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DDE9" w14:textId="584F54E8" w:rsidR="003A4883" w:rsidRPr="004A6040" w:rsidRDefault="003755C4" w:rsidP="003A4883">
      <w:pPr>
        <w:pStyle w:val="1-MainHeading"/>
      </w:pPr>
      <w:bookmarkStart w:id="0" w:name="_Toc124945460"/>
      <w:bookmarkStart w:id="1" w:name="_Toc121775184"/>
      <w:bookmarkStart w:id="2" w:name="_Toc107927647"/>
      <w:bookmarkStart w:id="3" w:name="_Toc380746195"/>
      <w:bookmarkStart w:id="4" w:name="_Toc380746321"/>
      <w:bookmarkStart w:id="5" w:name="_Toc380746602"/>
      <w:r>
        <w:t>7.06</w:t>
      </w:r>
      <w:r w:rsidR="003A4883">
        <w:tab/>
        <w:t>APREMILAST,</w:t>
      </w:r>
      <w:r w:rsidR="003A4883">
        <w:br/>
        <w:t>Tablet 30 mg</w:t>
      </w:r>
      <w:r w:rsidR="00E95FAE">
        <w:t>,</w:t>
      </w:r>
      <w:r w:rsidR="003A4883">
        <w:t xml:space="preserve"> </w:t>
      </w:r>
      <w:r w:rsidR="003A4883">
        <w:br/>
        <w:t xml:space="preserve">Pack containing 4 tablets of 10 mg, 4 tablets of </w:t>
      </w:r>
      <w:r w:rsidR="00961BEE">
        <w:t>20 </w:t>
      </w:r>
      <w:r w:rsidR="003A4883">
        <w:t>mg and 19 tablets of 30 mg,</w:t>
      </w:r>
      <w:r w:rsidR="003A4883">
        <w:br/>
        <w:t>Otezla</w:t>
      </w:r>
      <w:r w:rsidR="003A4883" w:rsidRPr="004A6040">
        <w:rPr>
          <w:vertAlign w:val="superscript"/>
        </w:rPr>
        <w:t>®</w:t>
      </w:r>
      <w:r w:rsidR="003A4883" w:rsidRPr="004A6040">
        <w:t>,</w:t>
      </w:r>
      <w:r w:rsidR="003A4883" w:rsidRPr="004A6040">
        <w:br/>
      </w:r>
      <w:r w:rsidR="003A4883">
        <w:t>Amgen Australia Pty Limited</w:t>
      </w:r>
      <w:r w:rsidR="003A4883" w:rsidRPr="004A6040">
        <w:t>.</w:t>
      </w:r>
      <w:bookmarkEnd w:id="0"/>
      <w:r w:rsidR="003A4883">
        <w:t xml:space="preserve"> </w:t>
      </w:r>
    </w:p>
    <w:p w14:paraId="7A9F82B7" w14:textId="77777777" w:rsidR="003A4883" w:rsidRPr="00407F2D" w:rsidRDefault="003A4883" w:rsidP="003F62EC">
      <w:pPr>
        <w:pStyle w:val="2-SectionHeading"/>
      </w:pPr>
      <w:bookmarkStart w:id="6" w:name="_Toc124945462"/>
      <w:r w:rsidRPr="00407F2D">
        <w:t xml:space="preserve">Purpose of </w:t>
      </w:r>
      <w:r>
        <w:t>submission</w:t>
      </w:r>
      <w:bookmarkEnd w:id="6"/>
    </w:p>
    <w:p w14:paraId="546697D9" w14:textId="78E51549" w:rsidR="003A4883" w:rsidRPr="008B1757" w:rsidRDefault="003A4883" w:rsidP="003A4883">
      <w:pPr>
        <w:pStyle w:val="3-BodyText"/>
        <w:ind w:left="720" w:hanging="720"/>
      </w:pPr>
      <w:r>
        <w:t xml:space="preserve">The Standard Re-entry submission </w:t>
      </w:r>
      <w:r w:rsidRPr="004E18E9">
        <w:t xml:space="preserve">requested </w:t>
      </w:r>
      <w:r>
        <w:t xml:space="preserve">an </w:t>
      </w:r>
      <w:r w:rsidRPr="004E18E9">
        <w:t>Authority Required</w:t>
      </w:r>
      <w:r>
        <w:t xml:space="preserve"> (STREAMLINED)</w:t>
      </w:r>
      <w:r w:rsidRPr="004E18E9">
        <w:t xml:space="preserve"> listing for </w:t>
      </w:r>
      <w:r>
        <w:t>apremilast</w:t>
      </w:r>
      <w:r w:rsidRPr="004E18E9">
        <w:t xml:space="preserve"> for the treatment of </w:t>
      </w:r>
      <w:r>
        <w:t>sever</w:t>
      </w:r>
      <w:r w:rsidR="002B0171">
        <w:t>e</w:t>
      </w:r>
      <w:r>
        <w:t xml:space="preserve"> active psoriatic arthritis (PsA)</w:t>
      </w:r>
      <w:r w:rsidRPr="00C527C7">
        <w:t>.</w:t>
      </w:r>
      <w:r w:rsidRPr="00C527C7">
        <w:rPr>
          <w:color w:val="0066FF"/>
        </w:rPr>
        <w:t xml:space="preserve"> </w:t>
      </w:r>
    </w:p>
    <w:p w14:paraId="7EDC32ED" w14:textId="77777777" w:rsidR="003A4883" w:rsidRDefault="003A4883" w:rsidP="003A4883">
      <w:pPr>
        <w:pStyle w:val="3-BodyText"/>
        <w:ind w:left="720" w:hanging="720"/>
      </w:pPr>
      <w:r w:rsidRPr="005750C5">
        <w:t xml:space="preserve">Listing was requested on the basis of a </w:t>
      </w:r>
      <w:r>
        <w:t>cost-utility</w:t>
      </w:r>
      <w:r w:rsidRPr="005750C5">
        <w:t xml:space="preserve"> analysis versus</w:t>
      </w:r>
      <w:r>
        <w:t xml:space="preserve"> placebo plus best supportive care (BSC).</w:t>
      </w:r>
      <w:r w:rsidRPr="005750C5">
        <w:t xml:space="preserve"> </w:t>
      </w:r>
    </w:p>
    <w:p w14:paraId="609A98CB" w14:textId="49F42E4F" w:rsidR="003A4883" w:rsidRPr="004A6040" w:rsidRDefault="003A4883" w:rsidP="003A4883">
      <w:pPr>
        <w:pStyle w:val="TableFigureHeading"/>
        <w:rPr>
          <w:rStyle w:val="CommentReference"/>
          <w:b/>
          <w:szCs w:val="24"/>
        </w:rPr>
      </w:pPr>
      <w:r>
        <w:t xml:space="preserve">Table </w:t>
      </w:r>
      <w:r w:rsidR="00A05E81">
        <w:fldChar w:fldCharType="begin"/>
      </w:r>
      <w:r w:rsidR="00A05E81">
        <w:instrText xml:space="preserve"> SEQ Table \* ARABIC </w:instrText>
      </w:r>
      <w:r w:rsidR="00A05E81">
        <w:fldChar w:fldCharType="separate"/>
      </w:r>
      <w:r w:rsidR="00A05E81">
        <w:rPr>
          <w:noProof/>
        </w:rPr>
        <w:t>1</w:t>
      </w:r>
      <w:r w:rsidR="00A05E81">
        <w:rPr>
          <w:noProof/>
        </w:rPr>
        <w:fldChar w:fldCharType="end"/>
      </w:r>
      <w:r>
        <w:t>:</w:t>
      </w:r>
      <w:r w:rsidRPr="004A6040">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86"/>
      </w:tblGrid>
      <w:tr w:rsidR="003A4883" w:rsidRPr="00514796" w14:paraId="2447E0E9" w14:textId="77777777" w:rsidTr="00146FF1">
        <w:tc>
          <w:tcPr>
            <w:tcW w:w="849" w:type="pct"/>
            <w:vAlign w:val="center"/>
          </w:tcPr>
          <w:p w14:paraId="25E496C3" w14:textId="77777777" w:rsidR="003A4883" w:rsidRPr="00514796" w:rsidRDefault="003A4883" w:rsidP="001A5767">
            <w:pPr>
              <w:pStyle w:val="In-tableHeading"/>
              <w:jc w:val="center"/>
            </w:pPr>
            <w:r w:rsidRPr="00514796">
              <w:t>Component</w:t>
            </w:r>
          </w:p>
        </w:tc>
        <w:tc>
          <w:tcPr>
            <w:tcW w:w="4151" w:type="pct"/>
            <w:vAlign w:val="center"/>
          </w:tcPr>
          <w:p w14:paraId="4D7889B6" w14:textId="77777777" w:rsidR="003A4883" w:rsidRPr="00514796" w:rsidRDefault="003A4883" w:rsidP="001A5767">
            <w:pPr>
              <w:pStyle w:val="In-tableHeading"/>
              <w:jc w:val="center"/>
            </w:pPr>
            <w:r w:rsidRPr="00514796">
              <w:t>Description</w:t>
            </w:r>
          </w:p>
        </w:tc>
      </w:tr>
      <w:tr w:rsidR="003A4883" w:rsidRPr="00514796" w14:paraId="3C4924C4" w14:textId="77777777" w:rsidTr="00146FF1">
        <w:tc>
          <w:tcPr>
            <w:tcW w:w="849" w:type="pct"/>
            <w:vAlign w:val="center"/>
          </w:tcPr>
          <w:p w14:paraId="748C23A8" w14:textId="77777777" w:rsidR="003A4883" w:rsidRPr="00514796" w:rsidRDefault="003A4883" w:rsidP="001A5767">
            <w:pPr>
              <w:pStyle w:val="TableText0"/>
            </w:pPr>
            <w:r w:rsidRPr="00514796">
              <w:t>Population</w:t>
            </w:r>
          </w:p>
        </w:tc>
        <w:tc>
          <w:tcPr>
            <w:tcW w:w="4151" w:type="pct"/>
            <w:vAlign w:val="center"/>
          </w:tcPr>
          <w:p w14:paraId="3F40DC24" w14:textId="77777777" w:rsidR="003A4883" w:rsidRPr="00514796" w:rsidRDefault="003A4883" w:rsidP="001A5767">
            <w:pPr>
              <w:pStyle w:val="TableText0"/>
            </w:pPr>
            <w:r w:rsidRPr="00514796">
              <w:t>Severe active psoriatic arthritis patients who:</w:t>
            </w:r>
          </w:p>
          <w:p w14:paraId="364A3183" w14:textId="77777777" w:rsidR="003A4883" w:rsidRPr="00514796" w:rsidRDefault="003A4883" w:rsidP="0097685D">
            <w:pPr>
              <w:pStyle w:val="TableText0"/>
              <w:numPr>
                <w:ilvl w:val="0"/>
                <w:numId w:val="13"/>
              </w:numPr>
            </w:pPr>
            <w:r w:rsidRPr="00514796">
              <w:t xml:space="preserve">have previously received, and failed to achieve an adequate response to, methotrexate, sulfasalazine, and leflunomide unless clinically inappropriate for treatment with one or more of these agents; AND </w:t>
            </w:r>
          </w:p>
          <w:p w14:paraId="575A3FA9" w14:textId="2F9D4281" w:rsidR="003A4883" w:rsidRPr="00514796" w:rsidRDefault="003A4883" w:rsidP="0097685D">
            <w:pPr>
              <w:pStyle w:val="TableText0"/>
              <w:numPr>
                <w:ilvl w:val="0"/>
                <w:numId w:val="13"/>
              </w:numPr>
            </w:pPr>
            <w:r w:rsidRPr="004D045F">
              <w:t>are inappropriate for treatment with a biologic medicine for this condition</w:t>
            </w:r>
            <w:r w:rsidR="0044146C" w:rsidRPr="004D045F">
              <w:t xml:space="preserve"> </w:t>
            </w:r>
            <w:r w:rsidRPr="00514796">
              <w:rPr>
                <w:vertAlign w:val="superscript"/>
              </w:rPr>
              <w:t>a</w:t>
            </w:r>
          </w:p>
        </w:tc>
      </w:tr>
      <w:tr w:rsidR="003A4883" w:rsidRPr="00514796" w14:paraId="516B4454" w14:textId="77777777" w:rsidTr="00146FF1">
        <w:tc>
          <w:tcPr>
            <w:tcW w:w="849" w:type="pct"/>
            <w:vAlign w:val="center"/>
          </w:tcPr>
          <w:p w14:paraId="5D143C08" w14:textId="77777777" w:rsidR="003A4883" w:rsidRPr="00514796" w:rsidRDefault="003A4883" w:rsidP="001A5767">
            <w:pPr>
              <w:pStyle w:val="TableText0"/>
            </w:pPr>
            <w:r w:rsidRPr="00514796">
              <w:t>Intervention</w:t>
            </w:r>
          </w:p>
        </w:tc>
        <w:tc>
          <w:tcPr>
            <w:tcW w:w="4151" w:type="pct"/>
            <w:vAlign w:val="center"/>
          </w:tcPr>
          <w:p w14:paraId="6C4FEE06" w14:textId="77777777" w:rsidR="003A4883" w:rsidRPr="00514796" w:rsidRDefault="003A4883" w:rsidP="001A5767">
            <w:pPr>
              <w:pStyle w:val="TableText0"/>
            </w:pPr>
            <w:r w:rsidRPr="00514796">
              <w:t>Apremilast, an oral inhibitor of phosphodiesterase 4 (PDE4), 30 mg tablet twice daily</w:t>
            </w:r>
          </w:p>
        </w:tc>
      </w:tr>
      <w:tr w:rsidR="003A4883" w:rsidRPr="00514796" w14:paraId="4414DC35" w14:textId="77777777" w:rsidTr="00146FF1">
        <w:tc>
          <w:tcPr>
            <w:tcW w:w="849" w:type="pct"/>
            <w:vAlign w:val="center"/>
          </w:tcPr>
          <w:p w14:paraId="1B2936F0" w14:textId="77777777" w:rsidR="003A4883" w:rsidRPr="00514796" w:rsidRDefault="003A4883" w:rsidP="001A5767">
            <w:pPr>
              <w:pStyle w:val="TableText0"/>
            </w:pPr>
            <w:r w:rsidRPr="00514796">
              <w:t>Comparator</w:t>
            </w:r>
          </w:p>
        </w:tc>
        <w:tc>
          <w:tcPr>
            <w:tcW w:w="4151" w:type="pct"/>
            <w:vAlign w:val="center"/>
          </w:tcPr>
          <w:p w14:paraId="172D68A9" w14:textId="3F0D18F8" w:rsidR="003A4883" w:rsidRPr="00514796" w:rsidRDefault="003A4883" w:rsidP="001A5767">
            <w:pPr>
              <w:pStyle w:val="TableText0"/>
            </w:pPr>
            <w:r w:rsidRPr="004D045F">
              <w:t>Placebo plus BSC</w:t>
            </w:r>
            <w:r w:rsidR="0044146C" w:rsidRPr="004D045F">
              <w:t xml:space="preserve"> </w:t>
            </w:r>
            <w:r w:rsidRPr="00514796">
              <w:rPr>
                <w:vertAlign w:val="superscript"/>
              </w:rPr>
              <w:t>b</w:t>
            </w:r>
          </w:p>
        </w:tc>
      </w:tr>
      <w:tr w:rsidR="003A4883" w:rsidRPr="00514796" w14:paraId="2D104220" w14:textId="77777777" w:rsidTr="00146FF1">
        <w:tc>
          <w:tcPr>
            <w:tcW w:w="849" w:type="pct"/>
            <w:vAlign w:val="center"/>
          </w:tcPr>
          <w:p w14:paraId="6F50BBA9" w14:textId="77777777" w:rsidR="003A4883" w:rsidRPr="00514796" w:rsidRDefault="003A4883" w:rsidP="001A5767">
            <w:pPr>
              <w:pStyle w:val="TableText0"/>
            </w:pPr>
            <w:r w:rsidRPr="00514796">
              <w:t>Outcomes</w:t>
            </w:r>
          </w:p>
        </w:tc>
        <w:tc>
          <w:tcPr>
            <w:tcW w:w="4151" w:type="pct"/>
            <w:vAlign w:val="center"/>
          </w:tcPr>
          <w:p w14:paraId="073C3D81" w14:textId="7483AE38" w:rsidR="003A4883" w:rsidRPr="00514796" w:rsidRDefault="003A4883" w:rsidP="001A5767">
            <w:pPr>
              <w:pStyle w:val="TableText0"/>
            </w:pPr>
            <w:r w:rsidRPr="004D045F">
              <w:t>Improvement in accepted measures of response (ACR20, ACR50); and physical function (HAQ-DI)</w:t>
            </w:r>
            <w:r w:rsidR="0044146C" w:rsidRPr="004D045F">
              <w:t xml:space="preserve"> </w:t>
            </w:r>
            <w:r w:rsidRPr="00514796">
              <w:rPr>
                <w:vertAlign w:val="superscript"/>
              </w:rPr>
              <w:t>c</w:t>
            </w:r>
          </w:p>
        </w:tc>
      </w:tr>
      <w:tr w:rsidR="003A4883" w:rsidRPr="00514796" w14:paraId="39830A62" w14:textId="77777777" w:rsidTr="00146FF1">
        <w:tc>
          <w:tcPr>
            <w:tcW w:w="849" w:type="pct"/>
            <w:vAlign w:val="center"/>
          </w:tcPr>
          <w:p w14:paraId="63C58B4E" w14:textId="77777777" w:rsidR="003A4883" w:rsidRPr="00514796" w:rsidRDefault="003A4883" w:rsidP="001A5767">
            <w:pPr>
              <w:pStyle w:val="TableText0"/>
            </w:pPr>
            <w:r w:rsidRPr="00514796">
              <w:t>Clinical claim</w:t>
            </w:r>
          </w:p>
        </w:tc>
        <w:tc>
          <w:tcPr>
            <w:tcW w:w="4151" w:type="pct"/>
            <w:vAlign w:val="center"/>
          </w:tcPr>
          <w:p w14:paraId="2C7E2CB1" w14:textId="77777777" w:rsidR="003A4883" w:rsidRPr="004D045F" w:rsidRDefault="003A4883" w:rsidP="0097685D">
            <w:pPr>
              <w:pStyle w:val="TableText0"/>
              <w:numPr>
                <w:ilvl w:val="0"/>
                <w:numId w:val="7"/>
              </w:numPr>
            </w:pPr>
            <w:r w:rsidRPr="004D045F">
              <w:t>In terms of clinical efficacy, apremilast is superior to placebo plus BSC</w:t>
            </w:r>
          </w:p>
          <w:p w14:paraId="7F8557B7" w14:textId="7ABF8929" w:rsidR="003A4883" w:rsidRPr="00514796" w:rsidRDefault="003A4883" w:rsidP="0097685D">
            <w:pPr>
              <w:pStyle w:val="TableText0"/>
              <w:numPr>
                <w:ilvl w:val="0"/>
                <w:numId w:val="7"/>
              </w:numPr>
            </w:pPr>
            <w:r w:rsidRPr="004D045F">
              <w:t>In terms of safety, apremilast has inferior short-term safety compared to placebo plus BSC</w:t>
            </w:r>
            <w:r w:rsidR="0044146C" w:rsidRPr="004D045F">
              <w:t xml:space="preserve"> </w:t>
            </w:r>
            <w:r w:rsidRPr="00514796">
              <w:rPr>
                <w:vertAlign w:val="superscript"/>
              </w:rPr>
              <w:t>d</w:t>
            </w:r>
          </w:p>
        </w:tc>
      </w:tr>
    </w:tbl>
    <w:p w14:paraId="733211AA" w14:textId="1CF1B14F" w:rsidR="003A4883" w:rsidRPr="004B4E4C" w:rsidRDefault="003A4883" w:rsidP="003A4883">
      <w:pPr>
        <w:pStyle w:val="FooterTableFigure"/>
      </w:pPr>
      <w:r>
        <w:t xml:space="preserve">Source: Table 1-1, p4 </w:t>
      </w:r>
      <w:r w:rsidRPr="00D13A3E">
        <w:t xml:space="preserve">of the </w:t>
      </w:r>
      <w:r>
        <w:t xml:space="preserve">submission; paragraphs 2.1 &amp; 3.3, apremilast, </w:t>
      </w:r>
      <w:r w:rsidR="00851AD9">
        <w:t>Public Summary Document (</w:t>
      </w:r>
      <w:r>
        <w:t>PSD</w:t>
      </w:r>
      <w:r w:rsidR="00851AD9">
        <w:t>)</w:t>
      </w:r>
      <w:r>
        <w:t xml:space="preserve">, November 2015 PBAC meeting; apremilast submission for the November 2015 PBAC meeting. </w:t>
      </w:r>
    </w:p>
    <w:p w14:paraId="62DC8C35" w14:textId="77777777" w:rsidR="003A4883" w:rsidRDefault="003A4883" w:rsidP="003A4883">
      <w:pPr>
        <w:pStyle w:val="FooterTableFigure"/>
      </w:pPr>
      <w:r>
        <w:t xml:space="preserve">ACR20 = </w:t>
      </w:r>
      <w:r w:rsidRPr="006E6573">
        <w:t>Modified American College of Rheumatology 20</w:t>
      </w:r>
      <w:r>
        <w:t xml:space="preserve">% response; ACR50 = </w:t>
      </w:r>
      <w:r w:rsidRPr="0074442E">
        <w:t xml:space="preserve">Modified American College of Rheumatology </w:t>
      </w:r>
      <w:r>
        <w:t>5</w:t>
      </w:r>
      <w:r w:rsidRPr="0074442E">
        <w:t>0</w:t>
      </w:r>
      <w:r>
        <w:t xml:space="preserve">% response; </w:t>
      </w:r>
      <w:r w:rsidRPr="00BD6EE5">
        <w:t>BSC</w:t>
      </w:r>
      <w:r>
        <w:t xml:space="preserve"> =</w:t>
      </w:r>
      <w:r w:rsidRPr="00BD6EE5">
        <w:t xml:space="preserve"> best supportive care; </w:t>
      </w:r>
      <w:r>
        <w:t>bDMARD</w:t>
      </w:r>
      <w:r w:rsidRPr="00924750">
        <w:t xml:space="preserve"> = biologic disease modifying antirheumatic drug; </w:t>
      </w:r>
      <w:r>
        <w:t xml:space="preserve">EQ-5D = </w:t>
      </w:r>
      <w:r w:rsidRPr="000C5040">
        <w:t>EuroQol 5 Dimensions Questionnaire</w:t>
      </w:r>
      <w:r>
        <w:t>;</w:t>
      </w:r>
      <w:r w:rsidRPr="000C5040">
        <w:t xml:space="preserve"> </w:t>
      </w:r>
      <w:r w:rsidRPr="00BD6EE5">
        <w:t>HAQ-DI</w:t>
      </w:r>
      <w:r>
        <w:t xml:space="preserve"> =</w:t>
      </w:r>
      <w:r w:rsidRPr="00BD6EE5">
        <w:t xml:space="preserve"> </w:t>
      </w:r>
      <w:r>
        <w:t>H</w:t>
      </w:r>
      <w:r w:rsidRPr="00BD6EE5">
        <w:t xml:space="preserve">ealth </w:t>
      </w:r>
      <w:r>
        <w:t>A</w:t>
      </w:r>
      <w:r w:rsidRPr="00BD6EE5">
        <w:t xml:space="preserve">ssessment </w:t>
      </w:r>
      <w:r>
        <w:t>Q</w:t>
      </w:r>
      <w:r w:rsidRPr="00BD6EE5">
        <w:t xml:space="preserve">uestionnaire </w:t>
      </w:r>
      <w:r>
        <w:t>D</w:t>
      </w:r>
      <w:r w:rsidRPr="00BD6EE5">
        <w:t xml:space="preserve">isability </w:t>
      </w:r>
      <w:r>
        <w:t>I</w:t>
      </w:r>
      <w:r w:rsidRPr="00BD6EE5">
        <w:t>ndex</w:t>
      </w:r>
      <w:r>
        <w:t xml:space="preserve">; PBS = Pharmaceutical Benefits Scheme; PBAC = Pharmaceutical Benefits Advisory Committee; PASI 75 = </w:t>
      </w:r>
      <w:r w:rsidRPr="000C5040">
        <w:t>Psoriasis Area and Severity Index</w:t>
      </w:r>
      <w:r>
        <w:t xml:space="preserve"> 75% response;</w:t>
      </w:r>
      <w:r w:rsidRPr="000C5040">
        <w:t xml:space="preserve"> </w:t>
      </w:r>
      <w:r>
        <w:t xml:space="preserve">PsA = psoriatic arthritis; PsARC = </w:t>
      </w:r>
      <w:r w:rsidRPr="000C5040">
        <w:t>Psoriatic Arthritis Response Criteria</w:t>
      </w:r>
      <w:r>
        <w:t xml:space="preserve">; SF-36 = </w:t>
      </w:r>
      <w:r w:rsidRPr="000C5040">
        <w:t>36-item Short Form Health Survey</w:t>
      </w:r>
      <w:r>
        <w:t>.</w:t>
      </w:r>
    </w:p>
    <w:p w14:paraId="41FBCB5C" w14:textId="77777777" w:rsidR="003A4883" w:rsidRDefault="003A4883" w:rsidP="003A4883">
      <w:pPr>
        <w:pStyle w:val="FooterTableFigure"/>
      </w:pPr>
      <w:r w:rsidRPr="00C541AE">
        <w:rPr>
          <w:vertAlign w:val="superscript"/>
        </w:rPr>
        <w:t>a</w:t>
      </w:r>
      <w:r>
        <w:t xml:space="preserve"> Population in the November 2015 submission described as "</w:t>
      </w:r>
      <w:r w:rsidRPr="00C541AE">
        <w:t>Severe active PsA, where (methotrexate AND sulfasalazine OR leflunomide), are ineffective, OR contra-indicated or cannot tolerate methotrexate, sulfasalazine or leflunomide</w:t>
      </w:r>
      <w:r>
        <w:t>." (i.e., no discussion of bDMARDs)</w:t>
      </w:r>
    </w:p>
    <w:p w14:paraId="73B556CB" w14:textId="77777777" w:rsidR="003A4883" w:rsidRDefault="003A4883" w:rsidP="003A4883">
      <w:pPr>
        <w:pStyle w:val="FooterTableFigure"/>
      </w:pPr>
      <w:r w:rsidRPr="00C541AE">
        <w:rPr>
          <w:vertAlign w:val="superscript"/>
        </w:rPr>
        <w:t>b</w:t>
      </w:r>
      <w:r>
        <w:t xml:space="preserve"> Comparator in the November 2015 submission was adalimumab</w:t>
      </w:r>
    </w:p>
    <w:p w14:paraId="0ECFA9CD" w14:textId="77777777" w:rsidR="003A4883" w:rsidRDefault="003A4883" w:rsidP="003A4883">
      <w:pPr>
        <w:pStyle w:val="FooterTableFigure"/>
      </w:pPr>
      <w:r w:rsidRPr="00C541AE">
        <w:rPr>
          <w:vertAlign w:val="superscript"/>
        </w:rPr>
        <w:t>c</w:t>
      </w:r>
      <w:r>
        <w:t xml:space="preserve"> Outcomes in the November 2015 submission were ACR50, ACR20, Modified PsARC response, PASI75, HAQ-DI, SF-36, and EQ-5D</w:t>
      </w:r>
    </w:p>
    <w:p w14:paraId="4FB1E148" w14:textId="77777777" w:rsidR="003A4883" w:rsidRDefault="003A4883" w:rsidP="003A4883">
      <w:pPr>
        <w:pStyle w:val="FooterTableFigure"/>
      </w:pPr>
      <w:r w:rsidRPr="00C541AE">
        <w:rPr>
          <w:vertAlign w:val="superscript"/>
        </w:rPr>
        <w:t>d</w:t>
      </w:r>
      <w:r>
        <w:t xml:space="preserve"> Clinical claim in the November 2015 submission was "Apremilast is inferior in terms of comparative effectiveness and noninferior in terms of comparative safety over adalimumab."</w:t>
      </w:r>
    </w:p>
    <w:p w14:paraId="761C6FC1" w14:textId="77777777" w:rsidR="003A4883" w:rsidRPr="00407F2D" w:rsidRDefault="003A4883" w:rsidP="003A4883">
      <w:pPr>
        <w:pStyle w:val="2-SectionHeading"/>
      </w:pPr>
      <w:bookmarkStart w:id="7" w:name="_Toc124945463"/>
      <w:r w:rsidRPr="00407F2D">
        <w:t>Background</w:t>
      </w:r>
      <w:bookmarkEnd w:id="7"/>
    </w:p>
    <w:p w14:paraId="3BF82ED5" w14:textId="77777777" w:rsidR="003A4883" w:rsidRPr="004151CF" w:rsidRDefault="003A4883" w:rsidP="003A4883">
      <w:pPr>
        <w:pStyle w:val="4-SubsectionHeading"/>
      </w:pPr>
      <w:bookmarkStart w:id="8" w:name="_Toc22897638"/>
      <w:bookmarkStart w:id="9" w:name="_Toc124945464"/>
      <w:r w:rsidRPr="004151CF">
        <w:t>Registration status</w:t>
      </w:r>
      <w:bookmarkEnd w:id="8"/>
      <w:bookmarkEnd w:id="9"/>
    </w:p>
    <w:p w14:paraId="3B2974A0" w14:textId="11DC4FC2" w:rsidR="003A4883" w:rsidRDefault="003A4883" w:rsidP="003A4883">
      <w:pPr>
        <w:pStyle w:val="3-BodyText"/>
        <w:ind w:left="720" w:hanging="720"/>
      </w:pPr>
      <w:bookmarkStart w:id="10" w:name="_Toc22897639"/>
      <w:r>
        <w:t>Apremilast</w:t>
      </w:r>
      <w:r w:rsidRPr="004E18E9">
        <w:t xml:space="preserve"> was </w:t>
      </w:r>
      <w:r w:rsidR="00756001">
        <w:t xml:space="preserve">included on the Australian Register of Therapeutic Goods in March 2015 and is currently </w:t>
      </w:r>
      <w:r w:rsidRPr="004E18E9">
        <w:t xml:space="preserve">TGA registered for </w:t>
      </w:r>
      <w:r>
        <w:t xml:space="preserve">the following </w:t>
      </w:r>
      <w:r w:rsidRPr="004E18E9">
        <w:t>indication</w:t>
      </w:r>
      <w:r>
        <w:t>s:</w:t>
      </w:r>
    </w:p>
    <w:p w14:paraId="406BF066" w14:textId="77777777" w:rsidR="003A4883" w:rsidRDefault="003A4883" w:rsidP="0097685D">
      <w:pPr>
        <w:pStyle w:val="3-BodyText"/>
        <w:numPr>
          <w:ilvl w:val="1"/>
          <w:numId w:val="14"/>
        </w:numPr>
      </w:pPr>
      <w:r>
        <w:t>The treatment of signs and symptoms of active PsA in adult patients.</w:t>
      </w:r>
    </w:p>
    <w:p w14:paraId="07F23D78" w14:textId="77777777" w:rsidR="003A4883" w:rsidRPr="00CF3A1B" w:rsidRDefault="003A4883" w:rsidP="0097685D">
      <w:pPr>
        <w:pStyle w:val="3-BodyText"/>
        <w:numPr>
          <w:ilvl w:val="1"/>
          <w:numId w:val="14"/>
        </w:numPr>
      </w:pPr>
      <w:r>
        <w:lastRenderedPageBreak/>
        <w:t>The treatment of adult patients with moderate to severe plaque psoriasis (PsO) who are candidates for phototherapy or systemic therapy.</w:t>
      </w:r>
    </w:p>
    <w:p w14:paraId="732CD1D9" w14:textId="77777777" w:rsidR="003A4883" w:rsidRPr="00621ADA" w:rsidRDefault="003A4883" w:rsidP="003A4883">
      <w:pPr>
        <w:pStyle w:val="4-SubsectionHeading"/>
      </w:pPr>
      <w:bookmarkStart w:id="11" w:name="_Toc124945465"/>
      <w:r w:rsidRPr="00621ADA">
        <w:t>Previous PBAC consideration</w:t>
      </w:r>
      <w:bookmarkEnd w:id="10"/>
      <w:bookmarkEnd w:id="11"/>
    </w:p>
    <w:bookmarkStart w:id="12" w:name="_Toc107902078"/>
    <w:bookmarkEnd w:id="12"/>
    <w:p w14:paraId="197B66F3" w14:textId="1B9786A9" w:rsidR="003A4883" w:rsidRPr="003577F3" w:rsidRDefault="003A4883" w:rsidP="003A4883">
      <w:pPr>
        <w:pStyle w:val="3-BodyText"/>
        <w:ind w:left="720" w:hanging="720"/>
      </w:pPr>
      <w:r>
        <w:rPr>
          <w:snapToGrid/>
          <w:lang w:val="en-US"/>
        </w:rPr>
        <w:fldChar w:fldCharType="begin"/>
      </w:r>
      <w:r>
        <w:instrText xml:space="preserve"> REF _Ref121404954 \h </w:instrText>
      </w:r>
      <w:r>
        <w:rPr>
          <w:snapToGrid/>
          <w:lang w:val="en-US"/>
        </w:rPr>
      </w:r>
      <w:r>
        <w:rPr>
          <w:snapToGrid/>
          <w:lang w:val="en-US"/>
        </w:rPr>
        <w:fldChar w:fldCharType="separate"/>
      </w:r>
      <w:r w:rsidR="00A05E81" w:rsidRPr="003577F3">
        <w:t xml:space="preserve">Table </w:t>
      </w:r>
      <w:r w:rsidR="00A05E81">
        <w:rPr>
          <w:noProof/>
        </w:rPr>
        <w:t>2</w:t>
      </w:r>
      <w:r>
        <w:rPr>
          <w:snapToGrid/>
          <w:lang w:val="en-US"/>
        </w:rPr>
        <w:fldChar w:fldCharType="end"/>
      </w:r>
      <w:r>
        <w:rPr>
          <w:snapToGrid/>
          <w:lang w:val="en-US"/>
        </w:rPr>
        <w:t xml:space="preserve"> summarises the key matters of concern highlighted at the </w:t>
      </w:r>
      <w:r w:rsidR="00F12DAA">
        <w:rPr>
          <w:snapToGrid/>
          <w:lang w:val="en-US"/>
        </w:rPr>
        <w:t xml:space="preserve">March 2015 and </w:t>
      </w:r>
      <w:r>
        <w:rPr>
          <w:snapToGrid/>
          <w:lang w:val="en-US"/>
        </w:rPr>
        <w:t>November 2015 PBAC meeting</w:t>
      </w:r>
      <w:r w:rsidR="00F12DAA">
        <w:rPr>
          <w:snapToGrid/>
          <w:lang w:val="en-US"/>
        </w:rPr>
        <w:t>s</w:t>
      </w:r>
      <w:r>
        <w:rPr>
          <w:snapToGrid/>
          <w:lang w:val="en-US"/>
        </w:rPr>
        <w:t>.</w:t>
      </w:r>
    </w:p>
    <w:p w14:paraId="2E292828" w14:textId="03EF5BBF" w:rsidR="003A4883" w:rsidRPr="002E4F02" w:rsidRDefault="003A4883" w:rsidP="003A4883">
      <w:pPr>
        <w:pStyle w:val="TableFigureHeading"/>
        <w:rPr>
          <w:rStyle w:val="CommentReference"/>
          <w:b/>
          <w:szCs w:val="24"/>
          <w:highlight w:val="cyan"/>
        </w:rPr>
      </w:pPr>
      <w:bookmarkStart w:id="13" w:name="_Ref121404954"/>
      <w:r w:rsidRPr="003577F3">
        <w:t xml:space="preserve">Table </w:t>
      </w:r>
      <w:r w:rsidR="00A05E81">
        <w:fldChar w:fldCharType="begin"/>
      </w:r>
      <w:r w:rsidR="00A05E81">
        <w:instrText xml:space="preserve"> SEQ Table \* ARABIC </w:instrText>
      </w:r>
      <w:r w:rsidR="00A05E81">
        <w:fldChar w:fldCharType="separate"/>
      </w:r>
      <w:r w:rsidR="00A05E81">
        <w:rPr>
          <w:noProof/>
        </w:rPr>
        <w:t>2</w:t>
      </w:r>
      <w:r w:rsidR="00A05E81">
        <w:rPr>
          <w:noProof/>
        </w:rPr>
        <w:fldChar w:fldCharType="end"/>
      </w:r>
      <w:bookmarkEnd w:id="13"/>
      <w:r w:rsidRPr="003577F3">
        <w:t>:</w:t>
      </w:r>
      <w:r w:rsidRPr="003577F3">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2379"/>
        <w:gridCol w:w="2692"/>
        <w:gridCol w:w="2784"/>
      </w:tblGrid>
      <w:tr w:rsidR="003A4883" w:rsidRPr="00203181" w14:paraId="1501BE73" w14:textId="77777777" w:rsidTr="00146FF1">
        <w:trPr>
          <w:cantSplit/>
          <w:tblHeader/>
        </w:trPr>
        <w:tc>
          <w:tcPr>
            <w:tcW w:w="644" w:type="pct"/>
            <w:vAlign w:val="center"/>
          </w:tcPr>
          <w:p w14:paraId="7BF662FD" w14:textId="77777777" w:rsidR="003A4883" w:rsidRPr="00C21883" w:rsidRDefault="003A4883" w:rsidP="001A5767">
            <w:pPr>
              <w:pStyle w:val="In-tableHeading"/>
              <w:keepNext w:val="0"/>
              <w:jc w:val="center"/>
            </w:pPr>
            <w:r w:rsidRPr="00C21883">
              <w:t>Component</w:t>
            </w:r>
          </w:p>
        </w:tc>
        <w:tc>
          <w:tcPr>
            <w:tcW w:w="1319" w:type="pct"/>
          </w:tcPr>
          <w:p w14:paraId="364089A8" w14:textId="77777777" w:rsidR="003A4883" w:rsidRDefault="003A4883" w:rsidP="001A5767">
            <w:pPr>
              <w:pStyle w:val="In-tableHeading"/>
              <w:keepNext w:val="0"/>
              <w:jc w:val="center"/>
            </w:pPr>
            <w:r w:rsidRPr="00C21883">
              <w:t>Matter of concern</w:t>
            </w:r>
            <w:r>
              <w:t xml:space="preserve"> </w:t>
            </w:r>
          </w:p>
          <w:p w14:paraId="64EDD4B6" w14:textId="77777777" w:rsidR="003A4883" w:rsidRPr="00C21883" w:rsidRDefault="003A4883" w:rsidP="001A5767">
            <w:pPr>
              <w:pStyle w:val="In-tableHeading"/>
              <w:keepNext w:val="0"/>
              <w:jc w:val="center"/>
            </w:pPr>
            <w:r>
              <w:t>(March 2015 submission)</w:t>
            </w:r>
          </w:p>
        </w:tc>
        <w:tc>
          <w:tcPr>
            <w:tcW w:w="1493" w:type="pct"/>
            <w:vAlign w:val="center"/>
          </w:tcPr>
          <w:p w14:paraId="13062C6D" w14:textId="77777777" w:rsidR="003A4883" w:rsidRDefault="003A4883" w:rsidP="001A5767">
            <w:pPr>
              <w:pStyle w:val="In-tableHeading"/>
              <w:keepNext w:val="0"/>
              <w:jc w:val="center"/>
            </w:pPr>
            <w:r w:rsidRPr="00C21883">
              <w:t>Matter of concern</w:t>
            </w:r>
            <w:r>
              <w:t xml:space="preserve"> </w:t>
            </w:r>
          </w:p>
          <w:p w14:paraId="6EE3110F" w14:textId="77777777" w:rsidR="003A4883" w:rsidRPr="00C21883" w:rsidRDefault="003A4883" w:rsidP="001A5767">
            <w:pPr>
              <w:pStyle w:val="In-tableHeading"/>
              <w:keepNext w:val="0"/>
              <w:jc w:val="center"/>
            </w:pPr>
            <w:r>
              <w:t>(November 2015 submission)</w:t>
            </w:r>
          </w:p>
        </w:tc>
        <w:tc>
          <w:tcPr>
            <w:tcW w:w="1544" w:type="pct"/>
            <w:vAlign w:val="center"/>
          </w:tcPr>
          <w:p w14:paraId="181266E3" w14:textId="77777777" w:rsidR="003A4883" w:rsidRPr="00C21883" w:rsidRDefault="003A4883" w:rsidP="001A5767">
            <w:pPr>
              <w:pStyle w:val="In-tableHeading"/>
              <w:keepNext w:val="0"/>
              <w:jc w:val="center"/>
            </w:pPr>
            <w:r w:rsidRPr="00C21883">
              <w:t>How the resubmission addresses it</w:t>
            </w:r>
          </w:p>
        </w:tc>
      </w:tr>
      <w:tr w:rsidR="003A4883" w:rsidRPr="00203181" w14:paraId="5BBED323" w14:textId="77777777" w:rsidTr="00146FF1">
        <w:trPr>
          <w:cantSplit/>
        </w:trPr>
        <w:tc>
          <w:tcPr>
            <w:tcW w:w="644" w:type="pct"/>
            <w:vAlign w:val="center"/>
          </w:tcPr>
          <w:p w14:paraId="7EF40D27" w14:textId="77777777" w:rsidR="003A4883" w:rsidRPr="00E0432F" w:rsidRDefault="003A4883" w:rsidP="001A5767">
            <w:pPr>
              <w:pStyle w:val="TableText0"/>
              <w:keepNext w:val="0"/>
            </w:pPr>
            <w:r w:rsidRPr="00E0432F">
              <w:t>Positioning</w:t>
            </w:r>
          </w:p>
        </w:tc>
        <w:tc>
          <w:tcPr>
            <w:tcW w:w="1319" w:type="pct"/>
          </w:tcPr>
          <w:p w14:paraId="73A98707" w14:textId="77777777" w:rsidR="003A4883" w:rsidRDefault="003A4883" w:rsidP="001A5767">
            <w:pPr>
              <w:pStyle w:val="TableText0"/>
              <w:keepNext w:val="0"/>
              <w:rPr>
                <w:rFonts w:eastAsia="Times New Roman" w:cs="Arial"/>
                <w:bCs w:val="0"/>
                <w:snapToGrid w:val="0"/>
                <w:szCs w:val="20"/>
              </w:rPr>
            </w:pPr>
            <w:r>
              <w:rPr>
                <w:rFonts w:eastAsia="Times New Roman" w:cs="Arial"/>
                <w:bCs w:val="0"/>
                <w:snapToGrid w:val="0"/>
                <w:szCs w:val="20"/>
              </w:rPr>
              <w:t xml:space="preserve">Requested PBS listing: </w:t>
            </w:r>
            <w:r w:rsidRPr="008725BD">
              <w:rPr>
                <w:rFonts w:eastAsia="Times New Roman" w:cs="Arial"/>
                <w:bCs w:val="0"/>
                <w:snapToGrid w:val="0"/>
                <w:szCs w:val="20"/>
              </w:rPr>
              <w:t>severe active PsA, where other DMARDS, including methotrexate, are ineffective or inappropriate</w:t>
            </w:r>
            <w:r>
              <w:rPr>
                <w:rFonts w:eastAsia="Times New Roman" w:cs="Arial"/>
                <w:bCs w:val="0"/>
                <w:snapToGrid w:val="0"/>
                <w:szCs w:val="20"/>
              </w:rPr>
              <w:t xml:space="preserve"> (para. 3.3, March 2015 PSD).</w:t>
            </w:r>
          </w:p>
          <w:p w14:paraId="49AE0D1B" w14:textId="77777777" w:rsidR="003A4883" w:rsidRDefault="003A4883" w:rsidP="001A5767">
            <w:pPr>
              <w:pStyle w:val="TableText0"/>
              <w:keepNext w:val="0"/>
              <w:rPr>
                <w:rFonts w:eastAsia="Times New Roman" w:cs="Arial"/>
                <w:bCs w:val="0"/>
                <w:snapToGrid w:val="0"/>
                <w:szCs w:val="20"/>
              </w:rPr>
            </w:pPr>
          </w:p>
          <w:p w14:paraId="35399E80" w14:textId="77777777" w:rsidR="003A4883" w:rsidRPr="00E0432F" w:rsidRDefault="003A4883" w:rsidP="001A5767">
            <w:pPr>
              <w:pStyle w:val="TableText0"/>
              <w:keepNext w:val="0"/>
              <w:rPr>
                <w:rFonts w:eastAsia="Times New Roman" w:cs="Arial"/>
                <w:bCs w:val="0"/>
                <w:snapToGrid w:val="0"/>
                <w:szCs w:val="20"/>
              </w:rPr>
            </w:pPr>
            <w:r>
              <w:rPr>
                <w:rFonts w:eastAsia="Times New Roman" w:cs="Arial"/>
                <w:bCs w:val="0"/>
                <w:snapToGrid w:val="0"/>
                <w:szCs w:val="20"/>
              </w:rPr>
              <w:t xml:space="preserve">PBAC advice: </w:t>
            </w:r>
            <w:r w:rsidRPr="008725BD">
              <w:rPr>
                <w:rFonts w:eastAsia="Times New Roman" w:cs="Arial"/>
                <w:bCs w:val="0"/>
                <w:snapToGrid w:val="0"/>
                <w:szCs w:val="20"/>
              </w:rPr>
              <w:t>The PBAC did not consider it to be clinically appropriate to potentially delay the time in commencing bDMARD therapy by requiring patients to have trialled methotrexate, apremilast and either leflunomide or sulfasalazine prior to the bDMARDs</w:t>
            </w:r>
            <w:r>
              <w:rPr>
                <w:rFonts w:eastAsia="Times New Roman" w:cs="Arial"/>
                <w:bCs w:val="0"/>
                <w:snapToGrid w:val="0"/>
                <w:szCs w:val="20"/>
              </w:rPr>
              <w:t xml:space="preserve"> (para 7.2, March 2015 PSD).</w:t>
            </w:r>
          </w:p>
        </w:tc>
        <w:tc>
          <w:tcPr>
            <w:tcW w:w="1493" w:type="pct"/>
          </w:tcPr>
          <w:p w14:paraId="7E82583B" w14:textId="77777777" w:rsidR="003A4883" w:rsidRPr="00E0432F" w:rsidRDefault="003A4883" w:rsidP="001A5767">
            <w:pPr>
              <w:pStyle w:val="TableText0"/>
              <w:keepNext w:val="0"/>
              <w:rPr>
                <w:rFonts w:eastAsia="Times New Roman" w:cs="Arial"/>
                <w:bCs w:val="0"/>
                <w:snapToGrid w:val="0"/>
                <w:szCs w:val="20"/>
              </w:rPr>
            </w:pPr>
            <w:r w:rsidRPr="00E0432F">
              <w:rPr>
                <w:rFonts w:eastAsia="Times New Roman" w:cs="Arial"/>
                <w:bCs w:val="0"/>
                <w:snapToGrid w:val="0"/>
                <w:szCs w:val="20"/>
              </w:rPr>
              <w:t xml:space="preserve">Requested PBS listing: </w:t>
            </w:r>
            <w:bookmarkStart w:id="14" w:name="_Hlk121407624"/>
            <w:r w:rsidRPr="00E0432F">
              <w:rPr>
                <w:rFonts w:eastAsia="Times New Roman" w:cs="Arial"/>
                <w:bCs w:val="0"/>
                <w:snapToGrid w:val="0"/>
                <w:szCs w:val="20"/>
              </w:rPr>
              <w:t>Severe active PsA, where (methotrexate AND sulfasalazine OR leflunomide), are ineffective, OR contra-indicated or cannot tolerate methotrexate, sulfasalazine or leflunomide.</w:t>
            </w:r>
            <w:bookmarkEnd w:id="14"/>
          </w:p>
          <w:p w14:paraId="697FD76D" w14:textId="77777777" w:rsidR="003A4883" w:rsidRPr="00E0432F" w:rsidRDefault="003A4883" w:rsidP="001A5767">
            <w:pPr>
              <w:pStyle w:val="TableText0"/>
              <w:keepNext w:val="0"/>
              <w:rPr>
                <w:rFonts w:eastAsia="Times New Roman" w:cs="Arial"/>
                <w:bCs w:val="0"/>
                <w:snapToGrid w:val="0"/>
                <w:szCs w:val="20"/>
              </w:rPr>
            </w:pPr>
          </w:p>
          <w:p w14:paraId="68786482" w14:textId="77777777" w:rsidR="003A4883" w:rsidRPr="00E0432F" w:rsidRDefault="003A4883" w:rsidP="001A5767">
            <w:pPr>
              <w:pStyle w:val="TableText0"/>
              <w:keepNext w:val="0"/>
              <w:rPr>
                <w:rFonts w:eastAsia="Times New Roman" w:cs="Arial"/>
                <w:bCs w:val="0"/>
                <w:snapToGrid w:val="0"/>
                <w:szCs w:val="20"/>
              </w:rPr>
            </w:pPr>
            <w:r w:rsidRPr="00E0432F">
              <w:rPr>
                <w:rFonts w:eastAsia="Times New Roman" w:cs="Arial"/>
                <w:bCs w:val="0"/>
                <w:snapToGrid w:val="0"/>
                <w:szCs w:val="20"/>
              </w:rPr>
              <w:t>PBAC advice:</w:t>
            </w:r>
            <w:r>
              <w:t xml:space="preserve"> </w:t>
            </w:r>
            <w:r w:rsidRPr="00E0432F">
              <w:rPr>
                <w:rFonts w:eastAsia="Times New Roman" w:cs="Arial"/>
                <w:bCs w:val="0"/>
                <w:snapToGrid w:val="0"/>
                <w:szCs w:val="20"/>
              </w:rPr>
              <w:t>The proposed place of apremilast in the clinical management algorithm was deemed inappropriate</w:t>
            </w:r>
            <w:r>
              <w:rPr>
                <w:rFonts w:eastAsia="Times New Roman" w:cs="Arial"/>
                <w:bCs w:val="0"/>
                <w:snapToGrid w:val="0"/>
                <w:szCs w:val="20"/>
              </w:rPr>
              <w:t xml:space="preserve"> (para. 7.1, November 2015 PSD)</w:t>
            </w:r>
            <w:r w:rsidRPr="00E0432F">
              <w:rPr>
                <w:rFonts w:eastAsia="Times New Roman" w:cs="Arial"/>
                <w:bCs w:val="0"/>
                <w:snapToGrid w:val="0"/>
                <w:szCs w:val="20"/>
              </w:rPr>
              <w:t xml:space="preserve">. </w:t>
            </w:r>
            <w:r>
              <w:rPr>
                <w:rFonts w:eastAsia="Times New Roman" w:cs="Arial"/>
                <w:bCs w:val="0"/>
                <w:snapToGrid w:val="0"/>
                <w:szCs w:val="20"/>
              </w:rPr>
              <w:t>A</w:t>
            </w:r>
            <w:r w:rsidRPr="00E0432F">
              <w:rPr>
                <w:rFonts w:eastAsia="Times New Roman" w:cs="Arial"/>
                <w:bCs w:val="0"/>
                <w:snapToGrid w:val="0"/>
                <w:szCs w:val="20"/>
              </w:rPr>
              <w:t>premilast should be one option</w:t>
            </w:r>
            <w:r>
              <w:rPr>
                <w:rFonts w:eastAsia="Times New Roman" w:cs="Arial"/>
                <w:bCs w:val="0"/>
                <w:snapToGrid w:val="0"/>
                <w:szCs w:val="20"/>
              </w:rPr>
              <w:t xml:space="preserve"> </w:t>
            </w:r>
            <w:r w:rsidRPr="00E0432F">
              <w:rPr>
                <w:rFonts w:eastAsia="Times New Roman" w:cs="Arial"/>
                <w:bCs w:val="0"/>
                <w:snapToGrid w:val="0"/>
                <w:szCs w:val="20"/>
              </w:rPr>
              <w:t xml:space="preserve">used before </w:t>
            </w:r>
            <w:r>
              <w:rPr>
                <w:rFonts w:eastAsia="Times New Roman" w:cs="Arial"/>
                <w:bCs w:val="0"/>
                <w:snapToGrid w:val="0"/>
                <w:szCs w:val="20"/>
              </w:rPr>
              <w:t>b</w:t>
            </w:r>
            <w:r w:rsidRPr="00E0432F">
              <w:rPr>
                <w:rFonts w:eastAsia="Times New Roman" w:cs="Arial"/>
                <w:bCs w:val="0"/>
                <w:snapToGrid w:val="0"/>
                <w:szCs w:val="20"/>
              </w:rPr>
              <w:t>DMARDs, but not as an additional line of therapy</w:t>
            </w:r>
            <w:r>
              <w:rPr>
                <w:rFonts w:eastAsia="Times New Roman" w:cs="Arial"/>
                <w:bCs w:val="0"/>
                <w:snapToGrid w:val="0"/>
                <w:szCs w:val="20"/>
              </w:rPr>
              <w:t xml:space="preserve"> </w:t>
            </w:r>
            <w:r w:rsidRPr="00E0432F">
              <w:rPr>
                <w:rFonts w:eastAsia="Times New Roman" w:cs="Arial"/>
                <w:bCs w:val="0"/>
                <w:snapToGrid w:val="0"/>
                <w:szCs w:val="20"/>
              </w:rPr>
              <w:t>prior to patients being initiated on bDMARD therapy because this would</w:t>
            </w:r>
            <w:r>
              <w:rPr>
                <w:rFonts w:eastAsia="Times New Roman" w:cs="Arial"/>
                <w:bCs w:val="0"/>
                <w:snapToGrid w:val="0"/>
                <w:szCs w:val="20"/>
              </w:rPr>
              <w:t xml:space="preserve"> </w:t>
            </w:r>
            <w:r w:rsidRPr="00E0432F">
              <w:rPr>
                <w:rFonts w:eastAsia="Times New Roman" w:cs="Arial"/>
                <w:bCs w:val="0"/>
                <w:snapToGrid w:val="0"/>
                <w:szCs w:val="20"/>
              </w:rPr>
              <w:t>unnecessarily delay the use of more effective bDMARD treatment</w:t>
            </w:r>
            <w:r>
              <w:rPr>
                <w:rFonts w:eastAsia="Times New Roman" w:cs="Arial"/>
                <w:bCs w:val="0"/>
                <w:snapToGrid w:val="0"/>
                <w:szCs w:val="20"/>
              </w:rPr>
              <w:t xml:space="preserve"> (para. 7.1, November 2015 PSD).</w:t>
            </w:r>
          </w:p>
        </w:tc>
        <w:tc>
          <w:tcPr>
            <w:tcW w:w="1544" w:type="pct"/>
          </w:tcPr>
          <w:p w14:paraId="6DB4CF5A" w14:textId="77777777" w:rsidR="003A4883" w:rsidRDefault="003A4883" w:rsidP="001A5767">
            <w:pPr>
              <w:pStyle w:val="TableText0"/>
              <w:keepNext w:val="0"/>
              <w:rPr>
                <w:rFonts w:eastAsia="Times New Roman" w:cs="Arial"/>
                <w:bCs w:val="0"/>
                <w:snapToGrid w:val="0"/>
                <w:szCs w:val="20"/>
              </w:rPr>
            </w:pPr>
            <w:r w:rsidRPr="00E0432F">
              <w:rPr>
                <w:rFonts w:eastAsia="Times New Roman" w:cs="Arial"/>
                <w:bCs w:val="0"/>
                <w:snapToGrid w:val="0"/>
                <w:szCs w:val="20"/>
              </w:rPr>
              <w:t>Requested PBS listing:</w:t>
            </w:r>
            <w:r w:rsidRPr="00E0432F">
              <w:t xml:space="preserve"> </w:t>
            </w:r>
            <w:r w:rsidRPr="00E0432F">
              <w:rPr>
                <w:rFonts w:eastAsia="Times New Roman" w:cs="Arial"/>
                <w:bCs w:val="0"/>
                <w:snapToGrid w:val="0"/>
                <w:szCs w:val="20"/>
              </w:rPr>
              <w:t xml:space="preserve">Severe active PsA, where csDMARDs are clinically inappropriate and bDMARDs are inaccessible through the PBS or inappropriate due to </w:t>
            </w:r>
            <w:r>
              <w:rPr>
                <w:rFonts w:eastAsia="Times New Roman" w:cs="Arial"/>
                <w:bCs w:val="0"/>
                <w:snapToGrid w:val="0"/>
                <w:szCs w:val="20"/>
              </w:rPr>
              <w:t>contraindication or intolerance to treatment</w:t>
            </w:r>
            <w:r w:rsidRPr="00E0432F">
              <w:rPr>
                <w:rFonts w:eastAsia="Times New Roman" w:cs="Arial"/>
                <w:bCs w:val="0"/>
                <w:snapToGrid w:val="0"/>
                <w:szCs w:val="20"/>
              </w:rPr>
              <w:t xml:space="preserve"> (i.e., last line).</w:t>
            </w:r>
          </w:p>
          <w:p w14:paraId="4C83A0C3" w14:textId="77777777" w:rsidR="003A4883" w:rsidRDefault="003A4883" w:rsidP="001A5767">
            <w:pPr>
              <w:pStyle w:val="TableText0"/>
              <w:keepNext w:val="0"/>
              <w:rPr>
                <w:rFonts w:eastAsia="Times New Roman" w:cs="Arial"/>
                <w:bCs w:val="0"/>
                <w:snapToGrid w:val="0"/>
                <w:szCs w:val="20"/>
              </w:rPr>
            </w:pPr>
          </w:p>
          <w:p w14:paraId="70BB366C" w14:textId="77777777" w:rsidR="003A4883" w:rsidRDefault="003A4883" w:rsidP="001A5767">
            <w:pPr>
              <w:pStyle w:val="TableText0"/>
              <w:keepNext w:val="0"/>
              <w:rPr>
                <w:rFonts w:eastAsia="Times New Roman" w:cs="Arial"/>
                <w:bCs w:val="0"/>
                <w:snapToGrid w:val="0"/>
                <w:szCs w:val="20"/>
              </w:rPr>
            </w:pPr>
            <w:r w:rsidRPr="00E0432F">
              <w:rPr>
                <w:rFonts w:eastAsia="Times New Roman" w:cs="Arial"/>
                <w:bCs w:val="0"/>
                <w:snapToGrid w:val="0"/>
                <w:szCs w:val="20"/>
              </w:rPr>
              <w:t xml:space="preserve">Proposed a revised place in therapy; identified a niche population that addresses unmet need in clinical practice and does not impact access to the existing PBS reimbursed therapies used to manage severe active PsA nor delay access to bDMARD therapy. </w:t>
            </w:r>
          </w:p>
          <w:p w14:paraId="72CC9039" w14:textId="77777777" w:rsidR="00295039" w:rsidRPr="00295039" w:rsidRDefault="00295039" w:rsidP="001A5767">
            <w:pPr>
              <w:pStyle w:val="TableText0"/>
              <w:keepNext w:val="0"/>
              <w:rPr>
                <w:rFonts w:eastAsia="Times New Roman" w:cs="Arial"/>
                <w:bCs w:val="0"/>
                <w:snapToGrid w:val="0"/>
                <w:szCs w:val="20"/>
              </w:rPr>
            </w:pPr>
          </w:p>
          <w:p w14:paraId="4CCC7C06" w14:textId="4ED9A88B" w:rsidR="003A4883" w:rsidRPr="00A94BB8" w:rsidRDefault="003A4883" w:rsidP="001A5767">
            <w:pPr>
              <w:pStyle w:val="TableText0"/>
              <w:keepNext w:val="0"/>
              <w:rPr>
                <w:rFonts w:eastAsia="Times New Roman" w:cs="Arial"/>
                <w:bCs w:val="0"/>
                <w:snapToGrid w:val="0"/>
                <w:color w:val="0066FF"/>
                <w:szCs w:val="20"/>
                <w:highlight w:val="cyan"/>
              </w:rPr>
            </w:pPr>
          </w:p>
        </w:tc>
      </w:tr>
      <w:tr w:rsidR="003A4883" w:rsidRPr="00203181" w14:paraId="370469BB" w14:textId="77777777" w:rsidTr="00146FF1">
        <w:trPr>
          <w:cantSplit/>
        </w:trPr>
        <w:tc>
          <w:tcPr>
            <w:tcW w:w="644" w:type="pct"/>
            <w:vAlign w:val="center"/>
          </w:tcPr>
          <w:p w14:paraId="42B6C134" w14:textId="77777777" w:rsidR="003A4883" w:rsidRPr="00685A44" w:rsidRDefault="003A4883" w:rsidP="001A5767">
            <w:pPr>
              <w:pStyle w:val="TableText0"/>
              <w:keepNext w:val="0"/>
            </w:pPr>
            <w:r w:rsidRPr="00685A44">
              <w:t>Comparator</w:t>
            </w:r>
          </w:p>
        </w:tc>
        <w:tc>
          <w:tcPr>
            <w:tcW w:w="1319" w:type="pct"/>
          </w:tcPr>
          <w:p w14:paraId="781EB969" w14:textId="77777777" w:rsidR="003A4883" w:rsidRPr="008725BD" w:rsidRDefault="003A4883" w:rsidP="001A5767">
            <w:pPr>
              <w:pStyle w:val="TableText0"/>
              <w:rPr>
                <w:rFonts w:eastAsia="Times New Roman" w:cs="Arial"/>
                <w:bCs w:val="0"/>
                <w:snapToGrid w:val="0"/>
                <w:szCs w:val="20"/>
              </w:rPr>
            </w:pPr>
            <w:r w:rsidRPr="008725BD">
              <w:rPr>
                <w:rFonts w:eastAsia="Times New Roman" w:cs="Arial"/>
                <w:bCs w:val="0"/>
                <w:snapToGrid w:val="0"/>
                <w:szCs w:val="20"/>
              </w:rPr>
              <w:t>The submission’s nominated comparator was leflunomide. The PBAC accepted this</w:t>
            </w:r>
          </w:p>
          <w:p w14:paraId="3939FFB6" w14:textId="77777777" w:rsidR="003A4883" w:rsidRDefault="003A4883" w:rsidP="001A5767">
            <w:pPr>
              <w:pStyle w:val="TableText0"/>
              <w:keepNext w:val="0"/>
              <w:rPr>
                <w:rFonts w:eastAsia="Times New Roman" w:cs="Arial"/>
                <w:bCs w:val="0"/>
                <w:snapToGrid w:val="0"/>
                <w:szCs w:val="20"/>
              </w:rPr>
            </w:pPr>
            <w:r w:rsidRPr="008725BD">
              <w:rPr>
                <w:rFonts w:eastAsia="Times New Roman" w:cs="Arial"/>
                <w:bCs w:val="0"/>
                <w:snapToGrid w:val="0"/>
                <w:szCs w:val="20"/>
              </w:rPr>
              <w:t>but also considered that sulfasalazine was an appropriate secondary comparator</w:t>
            </w:r>
            <w:r>
              <w:rPr>
                <w:rFonts w:eastAsia="Times New Roman" w:cs="Arial"/>
                <w:bCs w:val="0"/>
                <w:snapToGrid w:val="0"/>
                <w:szCs w:val="20"/>
              </w:rPr>
              <w:t xml:space="preserve"> (para. 7.3, March 2015 PSD).</w:t>
            </w:r>
          </w:p>
          <w:p w14:paraId="6AC9C99A" w14:textId="7C8EE358" w:rsidR="00802967" w:rsidRDefault="00802967" w:rsidP="001A5767">
            <w:pPr>
              <w:pStyle w:val="TableText0"/>
              <w:keepNext w:val="0"/>
              <w:rPr>
                <w:rFonts w:eastAsia="Times New Roman" w:cs="Arial"/>
                <w:bCs w:val="0"/>
                <w:snapToGrid w:val="0"/>
                <w:szCs w:val="20"/>
              </w:rPr>
            </w:pPr>
          </w:p>
          <w:p w14:paraId="10B490D8" w14:textId="78A69F52" w:rsidR="00802967" w:rsidRDefault="00802967" w:rsidP="001A5767">
            <w:pPr>
              <w:pStyle w:val="TableText0"/>
              <w:keepNext w:val="0"/>
              <w:rPr>
                <w:rFonts w:eastAsia="Times New Roman" w:cs="Arial"/>
                <w:bCs w:val="0"/>
                <w:snapToGrid w:val="0"/>
                <w:szCs w:val="20"/>
              </w:rPr>
            </w:pPr>
          </w:p>
          <w:p w14:paraId="4DBBE2F6" w14:textId="0113AC68" w:rsidR="00802967" w:rsidRPr="00E0432F" w:rsidRDefault="00802967" w:rsidP="001A5767">
            <w:pPr>
              <w:pStyle w:val="TableText0"/>
              <w:keepNext w:val="0"/>
              <w:rPr>
                <w:rFonts w:eastAsia="Times New Roman" w:cs="Arial"/>
                <w:bCs w:val="0"/>
                <w:snapToGrid w:val="0"/>
                <w:szCs w:val="20"/>
              </w:rPr>
            </w:pPr>
          </w:p>
        </w:tc>
        <w:tc>
          <w:tcPr>
            <w:tcW w:w="1493" w:type="pct"/>
          </w:tcPr>
          <w:p w14:paraId="3BFECDE9" w14:textId="77777777" w:rsidR="003A4883" w:rsidRDefault="003A4883" w:rsidP="001A5767">
            <w:pPr>
              <w:pStyle w:val="TableText0"/>
              <w:keepNext w:val="0"/>
              <w:rPr>
                <w:rFonts w:eastAsia="Times New Roman" w:cs="Arial"/>
                <w:bCs w:val="0"/>
                <w:snapToGrid w:val="0"/>
                <w:color w:val="0066FF"/>
                <w:szCs w:val="20"/>
                <w:highlight w:val="cyan"/>
              </w:rPr>
            </w:pPr>
            <w:r w:rsidRPr="00E0432F">
              <w:rPr>
                <w:rFonts w:eastAsia="Times New Roman" w:cs="Arial"/>
                <w:bCs w:val="0"/>
                <w:snapToGrid w:val="0"/>
                <w:szCs w:val="20"/>
              </w:rPr>
              <w:t>The PBAC considered that adalimumab, or any bDMARD for the treatment of PsA, is not an appropriate comparator</w:t>
            </w:r>
            <w:r>
              <w:rPr>
                <w:rFonts w:eastAsia="Times New Roman" w:cs="Arial"/>
                <w:bCs w:val="0"/>
                <w:snapToGrid w:val="0"/>
                <w:szCs w:val="20"/>
              </w:rPr>
              <w:t xml:space="preserve"> </w:t>
            </w:r>
            <w:r w:rsidRPr="00E0432F">
              <w:rPr>
                <w:rFonts w:eastAsia="Times New Roman" w:cs="Arial"/>
                <w:bCs w:val="0"/>
                <w:snapToGrid w:val="0"/>
                <w:szCs w:val="20"/>
              </w:rPr>
              <w:t>(para. 7.</w:t>
            </w:r>
            <w:r>
              <w:rPr>
                <w:rFonts w:eastAsia="Times New Roman" w:cs="Arial"/>
                <w:bCs w:val="0"/>
                <w:snapToGrid w:val="0"/>
                <w:szCs w:val="20"/>
              </w:rPr>
              <w:t>4</w:t>
            </w:r>
            <w:r w:rsidRPr="00E0432F">
              <w:rPr>
                <w:rFonts w:eastAsia="Times New Roman" w:cs="Arial"/>
                <w:bCs w:val="0"/>
                <w:snapToGrid w:val="0"/>
                <w:szCs w:val="20"/>
              </w:rPr>
              <w:t xml:space="preserve">, November 2015 PSD). The PBAC reiterated that leflunomide, or another DMARD used </w:t>
            </w:r>
            <w:r>
              <w:rPr>
                <w:rFonts w:eastAsia="Times New Roman" w:cs="Arial"/>
                <w:bCs w:val="0"/>
                <w:snapToGrid w:val="0"/>
                <w:szCs w:val="20"/>
              </w:rPr>
              <w:t>to</w:t>
            </w:r>
            <w:r w:rsidRPr="00E0432F">
              <w:rPr>
                <w:rFonts w:eastAsia="Times New Roman" w:cs="Arial"/>
                <w:bCs w:val="0"/>
                <w:snapToGrid w:val="0"/>
                <w:szCs w:val="20"/>
              </w:rPr>
              <w:t xml:space="preserve"> treat PsA, is an appropriate comparator (para. 7.</w:t>
            </w:r>
            <w:r>
              <w:rPr>
                <w:rFonts w:eastAsia="Times New Roman" w:cs="Arial"/>
                <w:bCs w:val="0"/>
                <w:snapToGrid w:val="0"/>
                <w:szCs w:val="20"/>
              </w:rPr>
              <w:t>4</w:t>
            </w:r>
            <w:r w:rsidRPr="00E0432F">
              <w:rPr>
                <w:rFonts w:eastAsia="Times New Roman" w:cs="Arial"/>
                <w:bCs w:val="0"/>
                <w:snapToGrid w:val="0"/>
                <w:szCs w:val="20"/>
              </w:rPr>
              <w:t>, November 2015 PSD).</w:t>
            </w:r>
          </w:p>
        </w:tc>
        <w:tc>
          <w:tcPr>
            <w:tcW w:w="1544" w:type="pct"/>
          </w:tcPr>
          <w:p w14:paraId="392E359E" w14:textId="77777777" w:rsidR="003A4883" w:rsidRDefault="003A4883" w:rsidP="001A5767">
            <w:pPr>
              <w:pStyle w:val="TableText0"/>
              <w:keepNext w:val="0"/>
              <w:rPr>
                <w:rFonts w:eastAsia="Times New Roman" w:cs="Arial"/>
                <w:bCs w:val="0"/>
                <w:snapToGrid w:val="0"/>
                <w:szCs w:val="20"/>
              </w:rPr>
            </w:pPr>
            <w:r w:rsidRPr="00E0432F">
              <w:rPr>
                <w:rFonts w:eastAsia="Times New Roman" w:cs="Arial"/>
                <w:bCs w:val="0"/>
                <w:snapToGrid w:val="0"/>
                <w:szCs w:val="20"/>
              </w:rPr>
              <w:t>Consistent with the</w:t>
            </w:r>
            <w:r>
              <w:rPr>
                <w:rFonts w:eastAsia="Times New Roman" w:cs="Arial"/>
                <w:bCs w:val="0"/>
                <w:snapToGrid w:val="0"/>
                <w:szCs w:val="20"/>
              </w:rPr>
              <w:t xml:space="preserve"> revised</w:t>
            </w:r>
            <w:r w:rsidRPr="00E0432F">
              <w:rPr>
                <w:rFonts w:eastAsia="Times New Roman" w:cs="Arial"/>
                <w:bCs w:val="0"/>
                <w:snapToGrid w:val="0"/>
                <w:szCs w:val="20"/>
              </w:rPr>
              <w:t xml:space="preserve"> positioning proposed, </w:t>
            </w:r>
            <w:r>
              <w:rPr>
                <w:rFonts w:eastAsia="Times New Roman" w:cs="Arial"/>
                <w:bCs w:val="0"/>
                <w:snapToGrid w:val="0"/>
                <w:szCs w:val="20"/>
              </w:rPr>
              <w:t>BSC</w:t>
            </w:r>
            <w:r w:rsidRPr="00E0432F">
              <w:rPr>
                <w:rFonts w:eastAsia="Times New Roman" w:cs="Arial"/>
                <w:bCs w:val="0"/>
                <w:snapToGrid w:val="0"/>
                <w:szCs w:val="20"/>
              </w:rPr>
              <w:t xml:space="preserve"> has been nominated as the comparator.</w:t>
            </w:r>
          </w:p>
          <w:p w14:paraId="6F29F0B6" w14:textId="2E0679F3" w:rsidR="003A4883" w:rsidRPr="00A94BB8" w:rsidRDefault="003A4883" w:rsidP="001A5767">
            <w:pPr>
              <w:pStyle w:val="TableText0"/>
              <w:keepNext w:val="0"/>
              <w:rPr>
                <w:rFonts w:eastAsia="Times New Roman" w:cs="Arial"/>
                <w:bCs w:val="0"/>
                <w:snapToGrid w:val="0"/>
                <w:color w:val="0066FF"/>
                <w:szCs w:val="20"/>
                <w:highlight w:val="cyan"/>
              </w:rPr>
            </w:pPr>
          </w:p>
        </w:tc>
      </w:tr>
      <w:tr w:rsidR="003A4883" w:rsidRPr="00203181" w14:paraId="2A493CF6" w14:textId="77777777" w:rsidTr="00146FF1">
        <w:trPr>
          <w:cantSplit/>
        </w:trPr>
        <w:tc>
          <w:tcPr>
            <w:tcW w:w="644" w:type="pct"/>
            <w:vAlign w:val="center"/>
          </w:tcPr>
          <w:p w14:paraId="3F590F43" w14:textId="77777777" w:rsidR="003A4883" w:rsidRPr="00685A44" w:rsidRDefault="003A4883" w:rsidP="001A5767">
            <w:pPr>
              <w:pStyle w:val="TableText0"/>
              <w:keepNext w:val="0"/>
            </w:pPr>
            <w:r w:rsidRPr="00685A44">
              <w:lastRenderedPageBreak/>
              <w:t>Economic evaluation</w:t>
            </w:r>
          </w:p>
        </w:tc>
        <w:tc>
          <w:tcPr>
            <w:tcW w:w="1319" w:type="pct"/>
          </w:tcPr>
          <w:p w14:paraId="56AB5F7F" w14:textId="77777777" w:rsidR="003A4883" w:rsidRDefault="003A4883" w:rsidP="001A5767">
            <w:pPr>
              <w:pStyle w:val="TableText0"/>
              <w:rPr>
                <w:rFonts w:eastAsia="Times New Roman" w:cs="Arial"/>
                <w:bCs w:val="0"/>
                <w:snapToGrid w:val="0"/>
                <w:szCs w:val="20"/>
              </w:rPr>
            </w:pPr>
            <w:r>
              <w:rPr>
                <w:rFonts w:eastAsia="Times New Roman" w:cs="Arial"/>
                <w:bCs w:val="0"/>
                <w:snapToGrid w:val="0"/>
                <w:szCs w:val="20"/>
              </w:rPr>
              <w:t>Cost-utility analysis based on the premise that the listing of apremilast will delay the commencement of bDMARDs (para. 6.24, March 2015 PSD)</w:t>
            </w:r>
          </w:p>
          <w:p w14:paraId="077B6308" w14:textId="77777777" w:rsidR="003A4883" w:rsidRPr="004912D5" w:rsidRDefault="003A4883" w:rsidP="001A5767">
            <w:pPr>
              <w:pStyle w:val="TableText0"/>
              <w:rPr>
                <w:rFonts w:eastAsia="Times New Roman" w:cs="Arial"/>
                <w:bCs w:val="0"/>
                <w:snapToGrid w:val="0"/>
                <w:szCs w:val="20"/>
              </w:rPr>
            </w:pPr>
            <w:r>
              <w:rPr>
                <w:rFonts w:eastAsia="Times New Roman" w:cs="Arial"/>
                <w:bCs w:val="0"/>
                <w:snapToGrid w:val="0"/>
                <w:szCs w:val="20"/>
              </w:rPr>
              <w:t>T</w:t>
            </w:r>
            <w:r w:rsidRPr="008725BD">
              <w:rPr>
                <w:rFonts w:eastAsia="Times New Roman" w:cs="Arial"/>
                <w:bCs w:val="0"/>
                <w:snapToGrid w:val="0"/>
                <w:szCs w:val="20"/>
              </w:rPr>
              <w:t>he submission’s economic analysis modelled a</w:t>
            </w:r>
            <w:r>
              <w:rPr>
                <w:rFonts w:eastAsia="Times New Roman" w:cs="Arial"/>
                <w:bCs w:val="0"/>
                <w:snapToGrid w:val="0"/>
                <w:szCs w:val="20"/>
              </w:rPr>
              <w:t xml:space="preserve"> </w:t>
            </w:r>
            <w:r w:rsidRPr="008725BD">
              <w:rPr>
                <w:rFonts w:eastAsia="Times New Roman" w:cs="Arial"/>
                <w:bCs w:val="0"/>
                <w:snapToGrid w:val="0"/>
                <w:szCs w:val="20"/>
              </w:rPr>
              <w:t>treatment scenario that is unlikely to be realised in practice</w:t>
            </w:r>
            <w:r>
              <w:rPr>
                <w:rFonts w:eastAsia="Times New Roman" w:cs="Arial"/>
                <w:bCs w:val="0"/>
                <w:snapToGrid w:val="0"/>
                <w:szCs w:val="20"/>
              </w:rPr>
              <w:t xml:space="preserve"> (para. 7.6, March 2015 PSD).</w:t>
            </w:r>
          </w:p>
        </w:tc>
        <w:tc>
          <w:tcPr>
            <w:tcW w:w="1493" w:type="pct"/>
          </w:tcPr>
          <w:p w14:paraId="2392DFDB" w14:textId="77777777" w:rsidR="003A4883" w:rsidRPr="004912D5" w:rsidRDefault="003A4883" w:rsidP="001A5767">
            <w:pPr>
              <w:pStyle w:val="TableText0"/>
              <w:keepNext w:val="0"/>
              <w:rPr>
                <w:rFonts w:eastAsia="Times New Roman" w:cs="Arial"/>
                <w:bCs w:val="0"/>
                <w:snapToGrid w:val="0"/>
                <w:color w:val="0066FF"/>
                <w:szCs w:val="20"/>
              </w:rPr>
            </w:pPr>
            <w:r w:rsidRPr="004912D5">
              <w:rPr>
                <w:rFonts w:eastAsia="Times New Roman" w:cs="Arial"/>
                <w:bCs w:val="0"/>
                <w:snapToGrid w:val="0"/>
                <w:szCs w:val="20"/>
              </w:rPr>
              <w:t>Given the unclear patient population likely to use apremilast, th</w:t>
            </w:r>
            <w:r>
              <w:rPr>
                <w:rFonts w:eastAsia="Times New Roman" w:cs="Arial"/>
                <w:bCs w:val="0"/>
                <w:snapToGrid w:val="0"/>
                <w:szCs w:val="20"/>
              </w:rPr>
              <w:t>e economic</w:t>
            </w:r>
            <w:r w:rsidRPr="004912D5">
              <w:rPr>
                <w:rFonts w:eastAsia="Times New Roman" w:cs="Arial"/>
                <w:bCs w:val="0"/>
                <w:snapToGrid w:val="0"/>
                <w:szCs w:val="20"/>
              </w:rPr>
              <w:t xml:space="preserve"> model did not adequately assess the cost-effectiveness of apremilast in its proposed place in therapy, let alone the earlier place in therapy considered to be more appropriate</w:t>
            </w:r>
            <w:r>
              <w:rPr>
                <w:rFonts w:eastAsia="Times New Roman" w:cs="Arial"/>
                <w:bCs w:val="0"/>
                <w:snapToGrid w:val="0"/>
                <w:szCs w:val="20"/>
              </w:rPr>
              <w:t xml:space="preserve"> (para. 7.7, November 2015 PSD)</w:t>
            </w:r>
            <w:r w:rsidRPr="004912D5">
              <w:rPr>
                <w:rFonts w:eastAsia="Times New Roman" w:cs="Arial"/>
                <w:bCs w:val="0"/>
                <w:snapToGrid w:val="0"/>
                <w:szCs w:val="20"/>
              </w:rPr>
              <w:t xml:space="preserve">. </w:t>
            </w:r>
            <w:r>
              <w:rPr>
                <w:rFonts w:eastAsia="Times New Roman" w:cs="Arial"/>
                <w:bCs w:val="0"/>
                <w:snapToGrid w:val="0"/>
                <w:szCs w:val="20"/>
              </w:rPr>
              <w:t xml:space="preserve">A </w:t>
            </w:r>
            <w:r w:rsidRPr="004912D5">
              <w:rPr>
                <w:rFonts w:eastAsia="Times New Roman" w:cs="Arial"/>
                <w:bCs w:val="0"/>
                <w:snapToGrid w:val="0"/>
                <w:szCs w:val="20"/>
              </w:rPr>
              <w:t>cost-minimisation analysis compared to leflunomide would be a more appropriate economic evaluation</w:t>
            </w:r>
            <w:r>
              <w:rPr>
                <w:rFonts w:eastAsia="Times New Roman" w:cs="Arial"/>
                <w:bCs w:val="0"/>
                <w:snapToGrid w:val="0"/>
                <w:szCs w:val="20"/>
              </w:rPr>
              <w:t xml:space="preserve"> (para. 7.7, November 2015 PSD)</w:t>
            </w:r>
            <w:r w:rsidRPr="004912D5">
              <w:rPr>
                <w:rFonts w:eastAsia="Times New Roman" w:cs="Arial"/>
                <w:bCs w:val="0"/>
                <w:snapToGrid w:val="0"/>
                <w:szCs w:val="20"/>
              </w:rPr>
              <w:t>.</w:t>
            </w:r>
          </w:p>
        </w:tc>
        <w:tc>
          <w:tcPr>
            <w:tcW w:w="1544" w:type="pct"/>
          </w:tcPr>
          <w:p w14:paraId="54A2A601" w14:textId="71B82B70" w:rsidR="003A4883" w:rsidRPr="004912D5" w:rsidRDefault="00C1108B" w:rsidP="001A5767">
            <w:pPr>
              <w:pStyle w:val="TableText0"/>
              <w:keepNext w:val="0"/>
              <w:rPr>
                <w:rFonts w:eastAsia="Times New Roman" w:cs="Arial"/>
                <w:bCs w:val="0"/>
                <w:i/>
                <w:iCs/>
                <w:snapToGrid w:val="0"/>
                <w:szCs w:val="20"/>
              </w:rPr>
            </w:pPr>
            <w:r>
              <w:rPr>
                <w:rFonts w:eastAsia="Times New Roman" w:cs="Arial"/>
                <w:bCs w:val="0"/>
                <w:snapToGrid w:val="0"/>
                <w:szCs w:val="20"/>
              </w:rPr>
              <w:t xml:space="preserve">The submission stated </w:t>
            </w:r>
            <w:r w:rsidR="003A4883" w:rsidRPr="004912D5">
              <w:rPr>
                <w:rFonts w:eastAsia="Times New Roman" w:cs="Arial"/>
                <w:bCs w:val="0"/>
                <w:snapToGrid w:val="0"/>
                <w:szCs w:val="20"/>
              </w:rPr>
              <w:t xml:space="preserve">cost-minimisation </w:t>
            </w:r>
            <w:r>
              <w:rPr>
                <w:rFonts w:eastAsia="Times New Roman" w:cs="Arial"/>
                <w:bCs w:val="0"/>
                <w:snapToGrid w:val="0"/>
                <w:szCs w:val="20"/>
              </w:rPr>
              <w:t xml:space="preserve">approach </w:t>
            </w:r>
            <w:r w:rsidR="003A4883" w:rsidRPr="004912D5">
              <w:rPr>
                <w:rFonts w:eastAsia="Times New Roman" w:cs="Arial"/>
                <w:bCs w:val="0"/>
                <w:snapToGrid w:val="0"/>
                <w:szCs w:val="20"/>
              </w:rPr>
              <w:t>compared to leflunomide is an unviable option. A revised and simplified model, with a markedly reduced price compared to previous submissions, demonstrates cost-effectiveness of apremilast versus placebo plus BSC in the proposed population.</w:t>
            </w:r>
          </w:p>
          <w:p w14:paraId="2CC5CB53" w14:textId="77777777" w:rsidR="00295039" w:rsidRPr="00295039" w:rsidRDefault="00295039" w:rsidP="001A5767">
            <w:pPr>
              <w:pStyle w:val="TableText0"/>
              <w:keepNext w:val="0"/>
              <w:rPr>
                <w:rFonts w:eastAsia="Times New Roman" w:cs="Arial"/>
                <w:bCs w:val="0"/>
                <w:i/>
                <w:iCs/>
                <w:snapToGrid w:val="0"/>
                <w:szCs w:val="20"/>
              </w:rPr>
            </w:pPr>
          </w:p>
          <w:p w14:paraId="419C7535" w14:textId="31BBA667" w:rsidR="003A4883" w:rsidRPr="004912D5" w:rsidRDefault="003A4883" w:rsidP="001A5767">
            <w:pPr>
              <w:pStyle w:val="TableText0"/>
              <w:keepNext w:val="0"/>
              <w:rPr>
                <w:rFonts w:eastAsia="Times New Roman" w:cs="Arial"/>
                <w:bCs w:val="0"/>
                <w:i/>
                <w:iCs/>
                <w:snapToGrid w:val="0"/>
                <w:szCs w:val="20"/>
                <w:highlight w:val="cyan"/>
              </w:rPr>
            </w:pPr>
          </w:p>
        </w:tc>
      </w:tr>
    </w:tbl>
    <w:p w14:paraId="56B46083" w14:textId="77777777" w:rsidR="003A4883" w:rsidRDefault="003A4883" w:rsidP="003A4883">
      <w:pPr>
        <w:pStyle w:val="FooterTableFigure"/>
      </w:pPr>
      <w:r w:rsidRPr="003577F3">
        <w:t>Source: Table 1-8, pp11-12 of the submission</w:t>
      </w:r>
      <w:r>
        <w:t>; paragraphs 7.1, 7.4 &amp; 7.7, apremilast, PSD, November 2015 PBAC meeting</w:t>
      </w:r>
      <w:r w:rsidRPr="003577F3">
        <w:t>.</w:t>
      </w:r>
    </w:p>
    <w:p w14:paraId="16C5A2F6" w14:textId="005A4660" w:rsidR="0048379A" w:rsidRDefault="003A4883" w:rsidP="003A4883">
      <w:pPr>
        <w:pStyle w:val="FooterTableFigure"/>
      </w:pPr>
      <w:r>
        <w:t>bDMARD = biologic disease modifying antirheumatic drug; BSC = best supportive care; csDMARD =</w:t>
      </w:r>
      <w:r w:rsidRPr="00AD736B">
        <w:t xml:space="preserve"> conventional synthetic disease modifying antirheumatic drug</w:t>
      </w:r>
      <w:r>
        <w:t>; ES = executive summary; PBAC = Pharmaceutical Benefits Advisory Committee; PBS = Pharmaceutical Benefits Scheme; PsA = psoriatic arthritis; PSD = Public Summary Document.</w:t>
      </w:r>
    </w:p>
    <w:p w14:paraId="717D380E" w14:textId="77777777" w:rsidR="0048379A" w:rsidRPr="00C33D30" w:rsidRDefault="0048379A" w:rsidP="0048379A">
      <w:pPr>
        <w:ind w:firstLine="709"/>
        <w:rPr>
          <w:rFonts w:asciiTheme="minorHAnsi" w:hAnsiTheme="minorHAnsi"/>
          <w:i/>
        </w:rPr>
      </w:pPr>
      <w:bookmarkStart w:id="15" w:name="_Hlk76375324"/>
      <w:r w:rsidRPr="00C33D30">
        <w:rPr>
          <w:rFonts w:asciiTheme="minorHAnsi" w:hAnsiTheme="minorHAnsi"/>
          <w:i/>
        </w:rPr>
        <w:t>For more detail on PBAC’s view, see section 7 PBAC outcome.</w:t>
      </w:r>
    </w:p>
    <w:p w14:paraId="2A9F2F1D" w14:textId="77777777" w:rsidR="003A4883" w:rsidRPr="00882085" w:rsidRDefault="003A4883" w:rsidP="003A4883">
      <w:pPr>
        <w:pStyle w:val="2-SectionHeading"/>
      </w:pPr>
      <w:bookmarkStart w:id="16" w:name="_Toc124945466"/>
      <w:bookmarkEnd w:id="15"/>
      <w:r w:rsidRPr="00407F2D">
        <w:t>Requested listing</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1985"/>
        <w:gridCol w:w="709"/>
        <w:gridCol w:w="709"/>
        <w:gridCol w:w="812"/>
        <w:gridCol w:w="1836"/>
      </w:tblGrid>
      <w:tr w:rsidR="003A4883" w:rsidRPr="001428E9" w14:paraId="0AF36355" w14:textId="77777777" w:rsidTr="00EF48B5">
        <w:trPr>
          <w:cantSplit/>
          <w:trHeight w:val="20"/>
        </w:trPr>
        <w:tc>
          <w:tcPr>
            <w:tcW w:w="1645" w:type="pct"/>
            <w:vAlign w:val="center"/>
          </w:tcPr>
          <w:p w14:paraId="37DF25C1" w14:textId="77777777" w:rsidR="003A4883" w:rsidRPr="001428E9" w:rsidRDefault="003A4883" w:rsidP="001A5767">
            <w:pPr>
              <w:keepLines/>
              <w:jc w:val="center"/>
              <w:rPr>
                <w:rFonts w:ascii="Arial Narrow" w:hAnsi="Arial Narrow"/>
                <w:b/>
                <w:bCs/>
                <w:sz w:val="20"/>
                <w:szCs w:val="20"/>
              </w:rPr>
            </w:pPr>
            <w:bookmarkStart w:id="17" w:name="_Hlk104809055"/>
            <w:r w:rsidRPr="001428E9">
              <w:rPr>
                <w:rFonts w:ascii="Arial Narrow" w:hAnsi="Arial Narrow"/>
                <w:b/>
                <w:bCs/>
                <w:sz w:val="20"/>
                <w:szCs w:val="20"/>
              </w:rPr>
              <w:t>MEDICINAL PRODUCT</w:t>
            </w:r>
          </w:p>
          <w:p w14:paraId="06B83C20" w14:textId="77777777" w:rsidR="003A4883" w:rsidRPr="001428E9" w:rsidRDefault="003A4883" w:rsidP="001A5767">
            <w:pPr>
              <w:keepLines/>
              <w:jc w:val="center"/>
              <w:rPr>
                <w:rFonts w:ascii="Arial Narrow" w:hAnsi="Arial Narrow"/>
                <w:b/>
                <w:sz w:val="20"/>
                <w:szCs w:val="20"/>
              </w:rPr>
            </w:pPr>
            <w:r w:rsidRPr="001428E9">
              <w:rPr>
                <w:rFonts w:ascii="Arial Narrow" w:hAnsi="Arial Narrow"/>
                <w:b/>
                <w:bCs/>
                <w:sz w:val="20"/>
                <w:szCs w:val="20"/>
              </w:rPr>
              <w:t>medicinal product pack</w:t>
            </w:r>
          </w:p>
        </w:tc>
        <w:tc>
          <w:tcPr>
            <w:tcW w:w="1101" w:type="pct"/>
            <w:vAlign w:val="center"/>
          </w:tcPr>
          <w:p w14:paraId="64E75763" w14:textId="77777777" w:rsidR="003A4883" w:rsidRPr="00C61A59" w:rsidRDefault="003A4883" w:rsidP="001A5767">
            <w:pPr>
              <w:pStyle w:val="TableText0"/>
              <w:jc w:val="center"/>
              <w:rPr>
                <w:b/>
                <w:bCs w:val="0"/>
                <w:szCs w:val="20"/>
              </w:rPr>
            </w:pPr>
            <w:r w:rsidRPr="00C61A59">
              <w:rPr>
                <w:b/>
                <w:bCs w:val="0"/>
                <w:snapToGrid w:val="0"/>
              </w:rPr>
              <w:t>Dispensed Price for Max. Qty</w:t>
            </w:r>
          </w:p>
        </w:tc>
        <w:tc>
          <w:tcPr>
            <w:tcW w:w="393" w:type="pct"/>
            <w:vAlign w:val="center"/>
          </w:tcPr>
          <w:p w14:paraId="1A1060E9" w14:textId="77777777" w:rsidR="003A4883" w:rsidRPr="001428E9" w:rsidRDefault="003A4883" w:rsidP="001A5767">
            <w:pPr>
              <w:keepLines/>
              <w:jc w:val="center"/>
              <w:rPr>
                <w:rFonts w:ascii="Arial Narrow" w:hAnsi="Arial Narrow"/>
                <w:b/>
                <w:sz w:val="20"/>
                <w:szCs w:val="20"/>
              </w:rPr>
            </w:pPr>
            <w:r w:rsidRPr="001428E9">
              <w:rPr>
                <w:rFonts w:ascii="Arial Narrow" w:hAnsi="Arial Narrow"/>
                <w:b/>
                <w:sz w:val="20"/>
                <w:szCs w:val="20"/>
              </w:rPr>
              <w:t>Max. qty packs</w:t>
            </w:r>
          </w:p>
        </w:tc>
        <w:tc>
          <w:tcPr>
            <w:tcW w:w="393" w:type="pct"/>
            <w:vAlign w:val="center"/>
          </w:tcPr>
          <w:p w14:paraId="01628C5C" w14:textId="77777777" w:rsidR="003A4883" w:rsidRPr="001428E9" w:rsidRDefault="003A4883" w:rsidP="001A5767">
            <w:pPr>
              <w:keepLines/>
              <w:jc w:val="center"/>
              <w:rPr>
                <w:rFonts w:ascii="Arial Narrow" w:hAnsi="Arial Narrow"/>
                <w:b/>
                <w:sz w:val="20"/>
                <w:szCs w:val="20"/>
              </w:rPr>
            </w:pPr>
            <w:r w:rsidRPr="001428E9">
              <w:rPr>
                <w:rFonts w:ascii="Arial Narrow" w:hAnsi="Arial Narrow"/>
                <w:b/>
                <w:sz w:val="20"/>
                <w:szCs w:val="20"/>
              </w:rPr>
              <w:t>Max. qty units</w:t>
            </w:r>
          </w:p>
        </w:tc>
        <w:tc>
          <w:tcPr>
            <w:tcW w:w="450" w:type="pct"/>
            <w:vAlign w:val="center"/>
          </w:tcPr>
          <w:p w14:paraId="3CAF645D" w14:textId="77777777" w:rsidR="003A4883" w:rsidRPr="001428E9" w:rsidRDefault="003A4883" w:rsidP="001A5767">
            <w:pPr>
              <w:keepLines/>
              <w:jc w:val="center"/>
              <w:rPr>
                <w:rFonts w:ascii="Arial Narrow" w:hAnsi="Arial Narrow"/>
                <w:b/>
                <w:sz w:val="20"/>
                <w:szCs w:val="20"/>
              </w:rPr>
            </w:pPr>
            <w:r w:rsidRPr="001428E9">
              <w:rPr>
                <w:rFonts w:ascii="Arial Narrow" w:hAnsi="Arial Narrow"/>
                <w:b/>
                <w:sz w:val="20"/>
                <w:szCs w:val="20"/>
              </w:rPr>
              <w:t>№.of</w:t>
            </w:r>
          </w:p>
          <w:p w14:paraId="2FAA0D71" w14:textId="77777777" w:rsidR="003A4883" w:rsidRPr="001428E9" w:rsidRDefault="003A4883" w:rsidP="001A5767">
            <w:pPr>
              <w:keepLines/>
              <w:jc w:val="center"/>
              <w:rPr>
                <w:rFonts w:ascii="Arial Narrow" w:hAnsi="Arial Narrow"/>
                <w:b/>
                <w:sz w:val="20"/>
                <w:szCs w:val="20"/>
              </w:rPr>
            </w:pPr>
            <w:r w:rsidRPr="001428E9">
              <w:rPr>
                <w:rFonts w:ascii="Arial Narrow" w:hAnsi="Arial Narrow"/>
                <w:b/>
                <w:sz w:val="20"/>
                <w:szCs w:val="20"/>
              </w:rPr>
              <w:t>Rpts</w:t>
            </w:r>
          </w:p>
        </w:tc>
        <w:tc>
          <w:tcPr>
            <w:tcW w:w="1017" w:type="pct"/>
            <w:vAlign w:val="center"/>
          </w:tcPr>
          <w:p w14:paraId="29D27C32" w14:textId="77777777" w:rsidR="003A4883" w:rsidRPr="001428E9" w:rsidRDefault="003A4883" w:rsidP="001A5767">
            <w:pPr>
              <w:keepLines/>
              <w:jc w:val="center"/>
              <w:rPr>
                <w:rFonts w:ascii="Arial Narrow" w:hAnsi="Arial Narrow"/>
                <w:b/>
                <w:sz w:val="20"/>
                <w:szCs w:val="20"/>
                <w:lang w:val="fr-FR"/>
              </w:rPr>
            </w:pPr>
            <w:r w:rsidRPr="001428E9">
              <w:rPr>
                <w:rFonts w:ascii="Arial Narrow" w:hAnsi="Arial Narrow"/>
                <w:b/>
                <w:sz w:val="20"/>
                <w:szCs w:val="20"/>
              </w:rPr>
              <w:t>Available brands</w:t>
            </w:r>
          </w:p>
        </w:tc>
      </w:tr>
      <w:tr w:rsidR="003A4883" w:rsidRPr="001428E9" w14:paraId="610815A4" w14:textId="77777777" w:rsidTr="00146FF1">
        <w:trPr>
          <w:cantSplit/>
          <w:trHeight w:val="20"/>
        </w:trPr>
        <w:tc>
          <w:tcPr>
            <w:tcW w:w="5000" w:type="pct"/>
            <w:gridSpan w:val="6"/>
            <w:vAlign w:val="center"/>
          </w:tcPr>
          <w:p w14:paraId="36366D33" w14:textId="77777777" w:rsidR="003A4883" w:rsidRPr="001428E9" w:rsidRDefault="003A4883" w:rsidP="001A5767">
            <w:pPr>
              <w:pStyle w:val="TableText0"/>
              <w:rPr>
                <w:rFonts w:cs="Arial"/>
                <w:szCs w:val="20"/>
              </w:rPr>
            </w:pPr>
            <w:r w:rsidRPr="00591957">
              <w:rPr>
                <w:smallCaps/>
              </w:rPr>
              <w:t>A</w:t>
            </w:r>
            <w:r>
              <w:rPr>
                <w:smallCaps/>
              </w:rPr>
              <w:t>PREMILAST</w:t>
            </w:r>
            <w:r w:rsidRPr="003A4C14">
              <w:rPr>
                <w:rFonts w:cs="Arial"/>
                <w:color w:val="0066FF"/>
                <w:szCs w:val="20"/>
              </w:rPr>
              <w:t xml:space="preserve"> </w:t>
            </w:r>
          </w:p>
        </w:tc>
      </w:tr>
      <w:tr w:rsidR="003A4883" w:rsidRPr="001428E9" w14:paraId="07748B16" w14:textId="77777777" w:rsidTr="00EF48B5">
        <w:trPr>
          <w:cantSplit/>
          <w:trHeight w:val="20"/>
        </w:trPr>
        <w:tc>
          <w:tcPr>
            <w:tcW w:w="1645" w:type="pct"/>
            <w:vAlign w:val="center"/>
          </w:tcPr>
          <w:p w14:paraId="0E3325CC" w14:textId="7826D1CA" w:rsidR="003A4883" w:rsidRPr="003A4C14" w:rsidRDefault="003A4883" w:rsidP="001A5767">
            <w:pPr>
              <w:keepLines/>
              <w:rPr>
                <w:rFonts w:ascii="Arial Narrow" w:hAnsi="Arial Narrow"/>
                <w:color w:val="0066FF"/>
                <w:sz w:val="20"/>
                <w:szCs w:val="20"/>
              </w:rPr>
            </w:pPr>
            <w:r w:rsidRPr="00E24A10">
              <w:rPr>
                <w:rFonts w:ascii="Arial Narrow" w:hAnsi="Arial Narrow"/>
                <w:sz w:val="20"/>
                <w:szCs w:val="20"/>
              </w:rPr>
              <w:t>apremilast 10mg tablet, 4 &amp; 20</w:t>
            </w:r>
            <w:r w:rsidR="004C7FC0">
              <w:rPr>
                <w:rFonts w:ascii="Arial Narrow" w:hAnsi="Arial Narrow"/>
                <w:sz w:val="20"/>
                <w:szCs w:val="20"/>
              </w:rPr>
              <w:t> </w:t>
            </w:r>
            <w:r w:rsidRPr="00E24A10">
              <w:rPr>
                <w:rFonts w:ascii="Arial Narrow" w:hAnsi="Arial Narrow"/>
                <w:sz w:val="20"/>
                <w:szCs w:val="20"/>
              </w:rPr>
              <w:t>mg tablet, 4 &amp; 30 mg tablet, 19</w:t>
            </w:r>
          </w:p>
        </w:tc>
        <w:tc>
          <w:tcPr>
            <w:tcW w:w="1101" w:type="pct"/>
          </w:tcPr>
          <w:p w14:paraId="5B3DC831" w14:textId="77777777" w:rsidR="003A4883" w:rsidRPr="00565C79" w:rsidRDefault="003A4883" w:rsidP="001A5767">
            <w:pPr>
              <w:pStyle w:val="TableText0"/>
              <w:keepLines/>
            </w:pPr>
            <w:r w:rsidRPr="00565C79">
              <w:t>$</w:t>
            </w:r>
            <w:r>
              <w:t>272.35</w:t>
            </w:r>
            <w:r w:rsidRPr="00565C79">
              <w:t xml:space="preserve"> published price</w:t>
            </w:r>
          </w:p>
          <w:p w14:paraId="6C35EBC5" w14:textId="0C878991" w:rsidR="003A4883" w:rsidRPr="001428E9" w:rsidRDefault="003A4883" w:rsidP="001A5767">
            <w:pPr>
              <w:pStyle w:val="TableText0"/>
              <w:rPr>
                <w:szCs w:val="20"/>
              </w:rPr>
            </w:pPr>
            <w:r w:rsidRPr="00565C79">
              <w:t>$</w:t>
            </w:r>
            <w:r w:rsidR="00A50FC3" w:rsidRPr="00A50FC3">
              <w:rPr>
                <w:color w:val="000000"/>
                <w:spacing w:val="36"/>
                <w:shd w:val="solid" w:color="000000" w:fill="000000"/>
                <w:fitText w:val="440" w:id="-1233454592"/>
                <w14:textFill>
                  <w14:solidFill>
                    <w14:srgbClr w14:val="000000">
                      <w14:alpha w14:val="100000"/>
                    </w14:srgbClr>
                  </w14:solidFill>
                </w14:textFill>
              </w:rPr>
              <w:t>|||||</w:t>
            </w:r>
            <w:r w:rsidR="00A50FC3" w:rsidRPr="00A50FC3">
              <w:rPr>
                <w:color w:val="000000"/>
                <w:spacing w:val="5"/>
                <w:shd w:val="solid" w:color="000000" w:fill="000000"/>
                <w:fitText w:val="440" w:id="-1233454592"/>
                <w14:textFill>
                  <w14:solidFill>
                    <w14:srgbClr w14:val="000000">
                      <w14:alpha w14:val="100000"/>
                    </w14:srgbClr>
                  </w14:solidFill>
                </w14:textFill>
              </w:rPr>
              <w:t>|</w:t>
            </w:r>
            <w:r w:rsidR="00295039" w:rsidRPr="00295039">
              <w:t xml:space="preserve"> </w:t>
            </w:r>
            <w:r w:rsidRPr="00565C79">
              <w:t>effective price</w:t>
            </w:r>
          </w:p>
        </w:tc>
        <w:tc>
          <w:tcPr>
            <w:tcW w:w="393" w:type="pct"/>
            <w:vAlign w:val="center"/>
          </w:tcPr>
          <w:p w14:paraId="6BA2DAF3" w14:textId="77777777" w:rsidR="003A4883" w:rsidRPr="001428E9" w:rsidRDefault="003A4883" w:rsidP="001A5767">
            <w:pPr>
              <w:keepLines/>
              <w:jc w:val="center"/>
              <w:rPr>
                <w:rFonts w:ascii="Arial Narrow" w:hAnsi="Arial Narrow"/>
                <w:sz w:val="20"/>
                <w:szCs w:val="20"/>
              </w:rPr>
            </w:pPr>
            <w:r>
              <w:rPr>
                <w:rFonts w:ascii="Arial Narrow" w:hAnsi="Arial Narrow"/>
                <w:sz w:val="20"/>
              </w:rPr>
              <w:t>1</w:t>
            </w:r>
          </w:p>
        </w:tc>
        <w:tc>
          <w:tcPr>
            <w:tcW w:w="393" w:type="pct"/>
            <w:vAlign w:val="center"/>
          </w:tcPr>
          <w:p w14:paraId="61B69C2E" w14:textId="77777777" w:rsidR="003A4883" w:rsidRPr="001428E9" w:rsidRDefault="003A4883" w:rsidP="001A5767">
            <w:pPr>
              <w:keepLines/>
              <w:jc w:val="center"/>
              <w:rPr>
                <w:rFonts w:ascii="Arial Narrow" w:hAnsi="Arial Narrow"/>
                <w:sz w:val="20"/>
                <w:szCs w:val="20"/>
              </w:rPr>
            </w:pPr>
            <w:r>
              <w:rPr>
                <w:rFonts w:ascii="Arial Narrow" w:hAnsi="Arial Narrow"/>
                <w:sz w:val="20"/>
              </w:rPr>
              <w:t>27</w:t>
            </w:r>
          </w:p>
        </w:tc>
        <w:tc>
          <w:tcPr>
            <w:tcW w:w="450" w:type="pct"/>
            <w:vAlign w:val="center"/>
          </w:tcPr>
          <w:p w14:paraId="35926CF3" w14:textId="77777777" w:rsidR="003A4883" w:rsidRPr="001428E9" w:rsidRDefault="003A4883" w:rsidP="001A5767">
            <w:pPr>
              <w:keepLines/>
              <w:jc w:val="center"/>
              <w:rPr>
                <w:rFonts w:ascii="Arial Narrow" w:hAnsi="Arial Narrow"/>
                <w:sz w:val="20"/>
                <w:szCs w:val="20"/>
              </w:rPr>
            </w:pPr>
            <w:r>
              <w:rPr>
                <w:rFonts w:ascii="Arial Narrow" w:hAnsi="Arial Narrow"/>
                <w:sz w:val="20"/>
              </w:rPr>
              <w:t>0</w:t>
            </w:r>
          </w:p>
        </w:tc>
        <w:tc>
          <w:tcPr>
            <w:tcW w:w="1017" w:type="pct"/>
            <w:vAlign w:val="center"/>
          </w:tcPr>
          <w:p w14:paraId="4D6A70C1" w14:textId="77777777" w:rsidR="003A4883" w:rsidRPr="003A4C14" w:rsidRDefault="003A4883" w:rsidP="001A5767">
            <w:pPr>
              <w:keepLines/>
              <w:rPr>
                <w:rFonts w:ascii="Arial Narrow" w:hAnsi="Arial Narrow"/>
                <w:color w:val="0066FF"/>
                <w:sz w:val="20"/>
                <w:szCs w:val="20"/>
              </w:rPr>
            </w:pPr>
            <w:r>
              <w:rPr>
                <w:rFonts w:ascii="Arial Narrow" w:hAnsi="Arial Narrow"/>
                <w:sz w:val="20"/>
                <w:szCs w:val="20"/>
              </w:rPr>
              <w:t>Otezla</w:t>
            </w:r>
          </w:p>
        </w:tc>
      </w:tr>
      <w:tr w:rsidR="003A4883" w:rsidRPr="001428E9" w14:paraId="45F7F5DD" w14:textId="77777777" w:rsidTr="00EF48B5">
        <w:trPr>
          <w:cantSplit/>
          <w:trHeight w:val="20"/>
        </w:trPr>
        <w:tc>
          <w:tcPr>
            <w:tcW w:w="1645" w:type="pct"/>
            <w:vAlign w:val="center"/>
          </w:tcPr>
          <w:p w14:paraId="1D087ED8" w14:textId="77777777" w:rsidR="003A4883" w:rsidRPr="003A4C14" w:rsidRDefault="003A4883" w:rsidP="001A5767">
            <w:pPr>
              <w:keepLines/>
              <w:rPr>
                <w:rFonts w:ascii="Arial Narrow" w:hAnsi="Arial Narrow"/>
                <w:color w:val="0066FF"/>
                <w:sz w:val="20"/>
                <w:szCs w:val="20"/>
              </w:rPr>
            </w:pPr>
            <w:r w:rsidRPr="00E24A10">
              <w:rPr>
                <w:rFonts w:ascii="Arial Narrow" w:hAnsi="Arial Narrow"/>
                <w:sz w:val="20"/>
                <w:szCs w:val="20"/>
              </w:rPr>
              <w:t>apremilast 30 mg tablet, 56</w:t>
            </w:r>
          </w:p>
        </w:tc>
        <w:tc>
          <w:tcPr>
            <w:tcW w:w="1101" w:type="pct"/>
          </w:tcPr>
          <w:p w14:paraId="69F6F29E" w14:textId="77777777" w:rsidR="003A4883" w:rsidRPr="00565C79" w:rsidRDefault="003A4883" w:rsidP="001A5767">
            <w:pPr>
              <w:pStyle w:val="TableText0"/>
              <w:keepLines/>
            </w:pPr>
            <w:r w:rsidRPr="00565C79">
              <w:t>$</w:t>
            </w:r>
            <w:r>
              <w:t>652.86</w:t>
            </w:r>
            <w:r w:rsidRPr="00565C79">
              <w:t xml:space="preserve"> published price</w:t>
            </w:r>
          </w:p>
          <w:p w14:paraId="41C6828C" w14:textId="46B53C11" w:rsidR="003A4883" w:rsidRPr="001428E9" w:rsidRDefault="003A4883" w:rsidP="001A5767">
            <w:pPr>
              <w:pStyle w:val="TableText0"/>
              <w:rPr>
                <w:szCs w:val="20"/>
              </w:rPr>
            </w:pPr>
            <w:r w:rsidRPr="00565C79">
              <w:t>$</w:t>
            </w:r>
            <w:r w:rsidR="00A50FC3" w:rsidRPr="00A50FC3">
              <w:rPr>
                <w:color w:val="000000"/>
                <w:spacing w:val="36"/>
                <w:shd w:val="solid" w:color="000000" w:fill="000000"/>
                <w:fitText w:val="440" w:id="-1233454591"/>
                <w14:textFill>
                  <w14:solidFill>
                    <w14:srgbClr w14:val="000000">
                      <w14:alpha w14:val="100000"/>
                    </w14:srgbClr>
                  </w14:solidFill>
                </w14:textFill>
              </w:rPr>
              <w:t>|||||</w:t>
            </w:r>
            <w:r w:rsidR="00A50FC3" w:rsidRPr="00A50FC3">
              <w:rPr>
                <w:color w:val="000000"/>
                <w:spacing w:val="5"/>
                <w:shd w:val="solid" w:color="000000" w:fill="000000"/>
                <w:fitText w:val="440" w:id="-1233454591"/>
                <w14:textFill>
                  <w14:solidFill>
                    <w14:srgbClr w14:val="000000">
                      <w14:alpha w14:val="100000"/>
                    </w14:srgbClr>
                  </w14:solidFill>
                </w14:textFill>
              </w:rPr>
              <w:t>|</w:t>
            </w:r>
            <w:r w:rsidR="00295039" w:rsidRPr="00295039">
              <w:t xml:space="preserve"> </w:t>
            </w:r>
            <w:r w:rsidRPr="00565C79">
              <w:t>effective price</w:t>
            </w:r>
          </w:p>
        </w:tc>
        <w:tc>
          <w:tcPr>
            <w:tcW w:w="393" w:type="pct"/>
            <w:vAlign w:val="center"/>
          </w:tcPr>
          <w:p w14:paraId="778B04F4" w14:textId="77777777" w:rsidR="003A4883" w:rsidRPr="001428E9" w:rsidRDefault="003A4883" w:rsidP="001A5767">
            <w:pPr>
              <w:keepLines/>
              <w:jc w:val="center"/>
              <w:rPr>
                <w:rFonts w:ascii="Arial Narrow" w:hAnsi="Arial Narrow"/>
                <w:sz w:val="20"/>
                <w:szCs w:val="20"/>
              </w:rPr>
            </w:pPr>
            <w:r>
              <w:rPr>
                <w:rFonts w:ascii="Arial Narrow" w:hAnsi="Arial Narrow"/>
                <w:sz w:val="20"/>
              </w:rPr>
              <w:t>1</w:t>
            </w:r>
          </w:p>
        </w:tc>
        <w:tc>
          <w:tcPr>
            <w:tcW w:w="393" w:type="pct"/>
            <w:vAlign w:val="center"/>
          </w:tcPr>
          <w:p w14:paraId="2B4A0B83" w14:textId="77777777" w:rsidR="003A4883" w:rsidRPr="001428E9" w:rsidRDefault="003A4883" w:rsidP="001A5767">
            <w:pPr>
              <w:keepLines/>
              <w:jc w:val="center"/>
              <w:rPr>
                <w:rFonts w:ascii="Arial Narrow" w:hAnsi="Arial Narrow"/>
                <w:sz w:val="20"/>
                <w:szCs w:val="20"/>
              </w:rPr>
            </w:pPr>
            <w:r>
              <w:rPr>
                <w:rFonts w:ascii="Arial Narrow" w:hAnsi="Arial Narrow"/>
                <w:sz w:val="20"/>
              </w:rPr>
              <w:t>56</w:t>
            </w:r>
          </w:p>
        </w:tc>
        <w:tc>
          <w:tcPr>
            <w:tcW w:w="450" w:type="pct"/>
            <w:vAlign w:val="center"/>
          </w:tcPr>
          <w:p w14:paraId="52A878A1" w14:textId="77777777" w:rsidR="003A4883" w:rsidRPr="001428E9" w:rsidRDefault="003A4883" w:rsidP="001A5767">
            <w:pPr>
              <w:keepLines/>
              <w:jc w:val="center"/>
              <w:rPr>
                <w:rFonts w:ascii="Arial Narrow" w:hAnsi="Arial Narrow"/>
                <w:sz w:val="20"/>
                <w:szCs w:val="20"/>
              </w:rPr>
            </w:pPr>
            <w:r>
              <w:rPr>
                <w:rFonts w:ascii="Arial Narrow" w:hAnsi="Arial Narrow"/>
                <w:sz w:val="20"/>
              </w:rPr>
              <w:t>5</w:t>
            </w:r>
          </w:p>
        </w:tc>
        <w:tc>
          <w:tcPr>
            <w:tcW w:w="1017" w:type="pct"/>
            <w:vAlign w:val="center"/>
          </w:tcPr>
          <w:p w14:paraId="2428A2BD" w14:textId="77777777" w:rsidR="003A4883" w:rsidRPr="003A4C14" w:rsidRDefault="003A4883" w:rsidP="001A5767">
            <w:pPr>
              <w:keepLines/>
              <w:rPr>
                <w:rFonts w:ascii="Arial Narrow" w:hAnsi="Arial Narrow"/>
                <w:color w:val="0066FF"/>
                <w:sz w:val="20"/>
                <w:szCs w:val="20"/>
              </w:rPr>
            </w:pPr>
            <w:r>
              <w:rPr>
                <w:rFonts w:ascii="Arial Narrow" w:hAnsi="Arial Narrow"/>
                <w:sz w:val="20"/>
                <w:szCs w:val="20"/>
              </w:rPr>
              <w:t>Otezla</w:t>
            </w:r>
            <w:r w:rsidRPr="003A4C14">
              <w:rPr>
                <w:rFonts w:ascii="Arial Narrow" w:hAnsi="Arial Narrow"/>
                <w:sz w:val="20"/>
                <w:szCs w:val="20"/>
              </w:rPr>
              <w:t xml:space="preserve"> </w:t>
            </w:r>
          </w:p>
        </w:tc>
      </w:tr>
      <w:tr w:rsidR="00EF48B5" w:rsidRPr="001428E9" w14:paraId="0854FD5A" w14:textId="77777777" w:rsidTr="00EF48B5">
        <w:trPr>
          <w:cantSplit/>
          <w:trHeight w:val="20"/>
        </w:trPr>
        <w:tc>
          <w:tcPr>
            <w:tcW w:w="5000" w:type="pct"/>
            <w:gridSpan w:val="6"/>
            <w:vAlign w:val="center"/>
          </w:tcPr>
          <w:p w14:paraId="14E09F89" w14:textId="77777777" w:rsidR="00EF48B5" w:rsidRDefault="00EF48B5" w:rsidP="001A5767">
            <w:pPr>
              <w:keepLines/>
              <w:rPr>
                <w:rFonts w:ascii="Arial Narrow" w:hAnsi="Arial Narrow"/>
                <w:sz w:val="20"/>
                <w:szCs w:val="20"/>
              </w:rPr>
            </w:pPr>
          </w:p>
        </w:tc>
      </w:tr>
      <w:tr w:rsidR="003A4883" w:rsidRPr="00046D64" w14:paraId="786BCF15"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tcPr>
          <w:p w14:paraId="1ACE53A6" w14:textId="77777777" w:rsidR="003A4883" w:rsidRPr="00046D64" w:rsidRDefault="003A4883" w:rsidP="008E150E">
            <w:pPr>
              <w:pStyle w:val="TableText0"/>
              <w:keepNext w:val="0"/>
            </w:pPr>
            <w:bookmarkStart w:id="18" w:name="_Hlk104809470"/>
            <w:bookmarkEnd w:id="17"/>
            <w:r w:rsidRPr="00046D64">
              <w:rPr>
                <w:b/>
              </w:rPr>
              <w:t xml:space="preserve">Category / Program: </w:t>
            </w:r>
            <w:r>
              <w:t>General Schedule</w:t>
            </w:r>
          </w:p>
        </w:tc>
      </w:tr>
      <w:tr w:rsidR="003A4883" w:rsidRPr="00046D64" w14:paraId="6B11F459"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tcPr>
          <w:p w14:paraId="5AF45948" w14:textId="77777777" w:rsidR="003A4883" w:rsidRPr="00046D64" w:rsidRDefault="003A4883" w:rsidP="008E150E">
            <w:pPr>
              <w:pStyle w:val="TableText0"/>
              <w:keepNext w:val="0"/>
              <w:rPr>
                <w:b/>
              </w:rPr>
            </w:pPr>
            <w:r w:rsidRPr="00046D64">
              <w:rPr>
                <w:b/>
              </w:rPr>
              <w:t xml:space="preserve">Prescriber type: </w:t>
            </w:r>
            <w:r w:rsidRPr="00046D64">
              <w:fldChar w:fldCharType="begin">
                <w:ffData>
                  <w:name w:val="Check1"/>
                  <w:enabled/>
                  <w:calcOnExit w:val="0"/>
                  <w:checkBox>
                    <w:sizeAuto/>
                    <w:default w:val="0"/>
                  </w:checkBox>
                </w:ffData>
              </w:fldChar>
            </w:r>
            <w:r w:rsidRPr="00046D64">
              <w:instrText xml:space="preserve"> FORMCHECKBOX </w:instrText>
            </w:r>
            <w:r w:rsidR="00A05E81">
              <w:fldChar w:fldCharType="separate"/>
            </w:r>
            <w:r w:rsidRPr="00046D64">
              <w:fldChar w:fldCharType="end"/>
            </w:r>
            <w:r w:rsidRPr="00046D64">
              <w:t xml:space="preserve">Dental </w:t>
            </w:r>
            <w:r>
              <w:fldChar w:fldCharType="begin">
                <w:ffData>
                  <w:name w:val=""/>
                  <w:enabled/>
                  <w:calcOnExit w:val="0"/>
                  <w:checkBox>
                    <w:sizeAuto/>
                    <w:default w:val="1"/>
                  </w:checkBox>
                </w:ffData>
              </w:fldChar>
            </w:r>
            <w:r>
              <w:instrText xml:space="preserve"> FORMCHECKBOX </w:instrText>
            </w:r>
            <w:r w:rsidR="00A05E81">
              <w:fldChar w:fldCharType="separate"/>
            </w:r>
            <w:r>
              <w:fldChar w:fldCharType="end"/>
            </w:r>
            <w:r w:rsidRPr="00046D64">
              <w:t xml:space="preserve">Medical Practitioners </w:t>
            </w:r>
            <w:r w:rsidRPr="00046D64">
              <w:fldChar w:fldCharType="begin">
                <w:ffData>
                  <w:name w:val="Check3"/>
                  <w:enabled/>
                  <w:calcOnExit w:val="0"/>
                  <w:checkBox>
                    <w:sizeAuto/>
                    <w:default w:val="0"/>
                  </w:checkBox>
                </w:ffData>
              </w:fldChar>
            </w:r>
            <w:r w:rsidRPr="00046D64">
              <w:instrText xml:space="preserve"> FORMCHECKBOX </w:instrText>
            </w:r>
            <w:r w:rsidR="00A05E81">
              <w:fldChar w:fldCharType="separate"/>
            </w:r>
            <w:r w:rsidRPr="00046D64">
              <w:fldChar w:fldCharType="end"/>
            </w:r>
            <w:r w:rsidRPr="00046D64">
              <w:t xml:space="preserve">Nurse practitioners </w:t>
            </w:r>
            <w:r w:rsidRPr="00046D64">
              <w:fldChar w:fldCharType="begin">
                <w:ffData>
                  <w:name w:val=""/>
                  <w:enabled/>
                  <w:calcOnExit w:val="0"/>
                  <w:checkBox>
                    <w:sizeAuto/>
                    <w:default w:val="0"/>
                  </w:checkBox>
                </w:ffData>
              </w:fldChar>
            </w:r>
            <w:r w:rsidRPr="00046D64">
              <w:instrText xml:space="preserve"> FORMCHECKBOX </w:instrText>
            </w:r>
            <w:r w:rsidR="00A05E81">
              <w:fldChar w:fldCharType="separate"/>
            </w:r>
            <w:r w:rsidRPr="00046D64">
              <w:fldChar w:fldCharType="end"/>
            </w:r>
            <w:r w:rsidRPr="00046D64">
              <w:t xml:space="preserve">Optometrists </w:t>
            </w:r>
            <w:r w:rsidRPr="00046D64">
              <w:fldChar w:fldCharType="begin">
                <w:ffData>
                  <w:name w:val="Check5"/>
                  <w:enabled/>
                  <w:calcOnExit w:val="0"/>
                  <w:checkBox>
                    <w:sizeAuto/>
                    <w:default w:val="0"/>
                  </w:checkBox>
                </w:ffData>
              </w:fldChar>
            </w:r>
            <w:r w:rsidRPr="00046D64">
              <w:instrText xml:space="preserve"> FORMCHECKBOX </w:instrText>
            </w:r>
            <w:r w:rsidR="00A05E81">
              <w:fldChar w:fldCharType="separate"/>
            </w:r>
            <w:r w:rsidRPr="00046D64">
              <w:fldChar w:fldCharType="end"/>
            </w:r>
          </w:p>
        </w:tc>
      </w:tr>
      <w:tr w:rsidR="003A4883" w:rsidRPr="00046D64" w14:paraId="37F8AADE"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tcPr>
          <w:p w14:paraId="2AD7E854" w14:textId="77777777" w:rsidR="003A4883" w:rsidRPr="00046D64" w:rsidRDefault="003A4883" w:rsidP="008E150E">
            <w:pPr>
              <w:pStyle w:val="TableText0"/>
              <w:keepNext w:val="0"/>
              <w:rPr>
                <w:rFonts w:eastAsia="Times New Roman"/>
              </w:rPr>
            </w:pPr>
            <w:r w:rsidRPr="00046D64">
              <w:rPr>
                <w:b/>
              </w:rPr>
              <w:t xml:space="preserve">Restriction type: </w:t>
            </w:r>
            <w:r>
              <w:rPr>
                <w:rFonts w:eastAsia="Times New Roman"/>
              </w:rPr>
              <w:fldChar w:fldCharType="begin">
                <w:ffData>
                  <w:name w:val=""/>
                  <w:enabled/>
                  <w:calcOnExit w:val="0"/>
                  <w:checkBox>
                    <w:sizeAuto/>
                    <w:default w:val="1"/>
                  </w:checkBox>
                </w:ffData>
              </w:fldChar>
            </w:r>
            <w:r>
              <w:rPr>
                <w:rFonts w:eastAsia="Times New Roman"/>
              </w:rPr>
              <w:instrText xml:space="preserve"> FORMCHECKBOX </w:instrText>
            </w:r>
            <w:r w:rsidR="00A05E81">
              <w:rPr>
                <w:rFonts w:eastAsia="Times New Roman"/>
              </w:rPr>
            </w:r>
            <w:r w:rsidR="00A05E81">
              <w:rPr>
                <w:rFonts w:eastAsia="Times New Roman"/>
              </w:rPr>
              <w:fldChar w:fldCharType="separate"/>
            </w:r>
            <w:r>
              <w:rPr>
                <w:rFonts w:eastAsia="Times New Roman"/>
              </w:rPr>
              <w:fldChar w:fldCharType="end"/>
            </w:r>
            <w:r w:rsidRPr="00046D64">
              <w:rPr>
                <w:rFonts w:eastAsia="Times New Roman"/>
              </w:rPr>
              <w:t xml:space="preserve">Authority Required (STREAMLINED) </w:t>
            </w:r>
          </w:p>
        </w:tc>
      </w:tr>
      <w:tr w:rsidR="003A4883" w:rsidRPr="00046D64" w14:paraId="319B0701"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9BFE402" w14:textId="77777777" w:rsidR="003A4883" w:rsidRPr="00046D64" w:rsidRDefault="003A4883" w:rsidP="008E150E">
            <w:pPr>
              <w:pStyle w:val="TableText0"/>
              <w:keepNext w:val="0"/>
              <w:rPr>
                <w:b/>
              </w:rPr>
            </w:pPr>
            <w:r w:rsidRPr="00046D64">
              <w:rPr>
                <w:b/>
              </w:rPr>
              <w:t>Condition</w:t>
            </w:r>
            <w:r w:rsidRPr="00BF67D6">
              <w:rPr>
                <w:b/>
              </w:rPr>
              <w:t xml:space="preserve">: </w:t>
            </w:r>
            <w:r w:rsidRPr="00BF67D6">
              <w:rPr>
                <w:bCs w:val="0"/>
              </w:rPr>
              <w:t>Psoriatic arthritis</w:t>
            </w:r>
          </w:p>
        </w:tc>
      </w:tr>
      <w:tr w:rsidR="003A4883" w:rsidRPr="00046D64" w14:paraId="7C57FF91"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36888E2" w14:textId="77777777" w:rsidR="003A4883" w:rsidRPr="00046D64" w:rsidRDefault="003A4883" w:rsidP="008E150E">
            <w:pPr>
              <w:pStyle w:val="TableText0"/>
              <w:keepNext w:val="0"/>
            </w:pPr>
            <w:r w:rsidRPr="00046D64">
              <w:rPr>
                <w:b/>
              </w:rPr>
              <w:t>Indicat</w:t>
            </w:r>
            <w:r w:rsidRPr="00BF67D6">
              <w:rPr>
                <w:b/>
              </w:rPr>
              <w:t>ion:</w:t>
            </w:r>
            <w:r w:rsidRPr="00BF67D6">
              <w:t xml:space="preserve"> Severe active psoriatic arthritis</w:t>
            </w:r>
          </w:p>
        </w:tc>
      </w:tr>
      <w:tr w:rsidR="003A4883" w:rsidRPr="00046D64" w14:paraId="7996DD7A"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6F46A17" w14:textId="77777777" w:rsidR="003A4883" w:rsidRPr="00046D64" w:rsidRDefault="003A4883" w:rsidP="008E150E">
            <w:pPr>
              <w:pStyle w:val="TableText0"/>
              <w:keepNext w:val="0"/>
            </w:pPr>
            <w:r w:rsidRPr="00046D64">
              <w:rPr>
                <w:b/>
              </w:rPr>
              <w:t>Treatment Phase</w:t>
            </w:r>
            <w:r w:rsidRPr="00BF67D6">
              <w:rPr>
                <w:b/>
              </w:rPr>
              <w:t>:</w:t>
            </w:r>
            <w:r w:rsidRPr="00BF67D6">
              <w:t xml:space="preserve"> </w:t>
            </w:r>
            <w:r w:rsidRPr="00BF67D6">
              <w:rPr>
                <w:bCs w:val="0"/>
              </w:rPr>
              <w:t>All</w:t>
            </w:r>
          </w:p>
        </w:tc>
      </w:tr>
      <w:tr w:rsidR="003A4883" w:rsidRPr="00046D64" w14:paraId="54E1BDFA"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BBB8B74" w14:textId="77777777" w:rsidR="003A4883" w:rsidRPr="00046D64" w:rsidRDefault="003A4883" w:rsidP="008E150E">
            <w:pPr>
              <w:pStyle w:val="TableText0"/>
              <w:keepNext w:val="0"/>
            </w:pPr>
            <w:r w:rsidRPr="00046D64">
              <w:rPr>
                <w:b/>
              </w:rPr>
              <w:t>Clinical criteria:</w:t>
            </w:r>
          </w:p>
        </w:tc>
      </w:tr>
      <w:tr w:rsidR="003A4883" w:rsidRPr="00046D64" w14:paraId="45613693"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341FBAE" w14:textId="77777777" w:rsidR="003A4883" w:rsidRPr="00046D64" w:rsidRDefault="003A4883" w:rsidP="008E150E">
            <w:pPr>
              <w:pStyle w:val="TableText0"/>
              <w:keepNext w:val="0"/>
            </w:pPr>
            <w:r w:rsidRPr="006E505D">
              <w:t>Patient must have previously received, and failed to achieve an adequate response to, methotrexate, sulfasalazine, and leflunomide unless clinically inappropriate for treatment with one or more of these agents;</w:t>
            </w:r>
          </w:p>
        </w:tc>
      </w:tr>
      <w:tr w:rsidR="003A4883" w:rsidRPr="00046D64" w14:paraId="2CDD793F"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D7782B0" w14:textId="77777777" w:rsidR="003A4883" w:rsidRPr="00046D64" w:rsidRDefault="003A4883" w:rsidP="008E150E">
            <w:pPr>
              <w:pStyle w:val="TableText0"/>
              <w:keepNext w:val="0"/>
            </w:pPr>
            <w:r w:rsidRPr="00046D64">
              <w:rPr>
                <w:b/>
              </w:rPr>
              <w:t>AND</w:t>
            </w:r>
          </w:p>
        </w:tc>
      </w:tr>
      <w:tr w:rsidR="003A4883" w:rsidRPr="00046D64" w14:paraId="44BB9123"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7814186" w14:textId="77777777" w:rsidR="003A4883" w:rsidRPr="00046D64" w:rsidRDefault="003A4883" w:rsidP="008E150E">
            <w:pPr>
              <w:pStyle w:val="TableText0"/>
              <w:keepNext w:val="0"/>
            </w:pPr>
            <w:r w:rsidRPr="00046D64">
              <w:rPr>
                <w:b/>
              </w:rPr>
              <w:t>Clinical criteria:</w:t>
            </w:r>
          </w:p>
        </w:tc>
      </w:tr>
      <w:tr w:rsidR="003A4883" w:rsidRPr="00046D64" w14:paraId="64D15C67"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ABBD549" w14:textId="77777777" w:rsidR="003A4883" w:rsidRPr="006E505D" w:rsidRDefault="003A4883" w:rsidP="008E150E">
            <w:pPr>
              <w:pStyle w:val="TableText0"/>
              <w:keepNext w:val="0"/>
            </w:pPr>
            <w:r w:rsidRPr="006E505D">
              <w:t xml:space="preserve">Patient must be ineligible for PBS-subsidised treatment with a biologic medicine for this condition; OR </w:t>
            </w:r>
          </w:p>
          <w:p w14:paraId="42F24F19" w14:textId="77777777" w:rsidR="003A4883" w:rsidRPr="00C61A59" w:rsidRDefault="003A4883" w:rsidP="008E150E">
            <w:pPr>
              <w:pStyle w:val="TableText0"/>
              <w:keepNext w:val="0"/>
              <w:rPr>
                <w:color w:val="0066FF"/>
              </w:rPr>
            </w:pPr>
            <w:r w:rsidRPr="006E505D">
              <w:t>Patient must be clinically inappropriate for treatment with a biologic medicine for this condition;</w:t>
            </w:r>
          </w:p>
        </w:tc>
      </w:tr>
      <w:tr w:rsidR="003A4883" w:rsidRPr="00046D64" w14:paraId="08CD651F"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ED2D1F4" w14:textId="77777777" w:rsidR="003A4883" w:rsidRPr="006E505D" w:rsidRDefault="003A4883" w:rsidP="008E150E">
            <w:pPr>
              <w:pStyle w:val="TableText0"/>
              <w:keepNext w:val="0"/>
            </w:pPr>
            <w:r w:rsidRPr="00046D64">
              <w:rPr>
                <w:b/>
              </w:rPr>
              <w:t>AND</w:t>
            </w:r>
          </w:p>
        </w:tc>
      </w:tr>
      <w:tr w:rsidR="003A4883" w:rsidRPr="00046D64" w14:paraId="6A78538C"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AAD03D1" w14:textId="77777777" w:rsidR="003A4883" w:rsidRPr="006E505D" w:rsidRDefault="003A4883" w:rsidP="008E150E">
            <w:pPr>
              <w:pStyle w:val="TableText0"/>
              <w:keepNext w:val="0"/>
            </w:pPr>
            <w:r w:rsidRPr="00046D64">
              <w:rPr>
                <w:b/>
              </w:rPr>
              <w:t>Clinical criteria:</w:t>
            </w:r>
          </w:p>
        </w:tc>
      </w:tr>
      <w:tr w:rsidR="003A4883" w:rsidRPr="00046D64" w14:paraId="59645446"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52A0DE8" w14:textId="77777777" w:rsidR="003A4883" w:rsidRPr="006E505D" w:rsidRDefault="003A4883" w:rsidP="008E150E">
            <w:pPr>
              <w:pStyle w:val="TableText0"/>
              <w:keepNext w:val="0"/>
            </w:pPr>
            <w:r w:rsidRPr="006E505D">
              <w:t>The treatment must be the sole PBS-subsidised disease-modifying antirheumatic agent for psoriatic arthritis.</w:t>
            </w:r>
          </w:p>
        </w:tc>
      </w:tr>
      <w:tr w:rsidR="003A4883" w:rsidRPr="00046D64" w14:paraId="569C1F5E"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901D6D8" w14:textId="77777777" w:rsidR="003A4883" w:rsidRPr="00046D64" w:rsidRDefault="003A4883" w:rsidP="008E150E">
            <w:pPr>
              <w:pStyle w:val="TableText0"/>
              <w:keepNext w:val="0"/>
            </w:pPr>
            <w:r w:rsidRPr="00046D64">
              <w:rPr>
                <w:b/>
              </w:rPr>
              <w:t>Treatment criteria:</w:t>
            </w:r>
          </w:p>
        </w:tc>
      </w:tr>
      <w:tr w:rsidR="003A4883" w:rsidRPr="00046D64" w14:paraId="1465DC27"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E6C3F93" w14:textId="77777777" w:rsidR="003A4883" w:rsidRPr="006E505D" w:rsidRDefault="003A4883" w:rsidP="008E150E">
            <w:pPr>
              <w:pStyle w:val="TableText0"/>
              <w:keepNext w:val="0"/>
            </w:pPr>
            <w:r w:rsidRPr="006E505D">
              <w:lastRenderedPageBreak/>
              <w:t xml:space="preserve">Must be treated by a medical practitioner who is either: (i) a rheumatologist, (ii) an accredited rheumatology registrar in consultation with a rheumatologist, (iii) clinical immunologist with expertise in the management of psoriatic arthritis, (iv) general physician; OR </w:t>
            </w:r>
          </w:p>
          <w:p w14:paraId="59CFCFDB" w14:textId="77777777" w:rsidR="003A4883" w:rsidRPr="00046D64" w:rsidRDefault="003A4883" w:rsidP="008E150E">
            <w:pPr>
              <w:pStyle w:val="TableText0"/>
              <w:keepNext w:val="0"/>
              <w:rPr>
                <w:i/>
                <w:iCs/>
              </w:rPr>
            </w:pPr>
            <w:r w:rsidRPr="006E505D">
              <w:t>Must be treated by a general practitioner who has been directed to continue treatment (not initiate treatment) by one of the above practitioner types.</w:t>
            </w:r>
          </w:p>
        </w:tc>
      </w:tr>
      <w:tr w:rsidR="003A4883" w:rsidRPr="00046D64" w14:paraId="0EDB103E"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2BB849C" w14:textId="77777777" w:rsidR="003A4883" w:rsidRPr="00046D64" w:rsidRDefault="003A4883" w:rsidP="008E150E">
            <w:pPr>
              <w:pStyle w:val="TableText0"/>
              <w:keepNext w:val="0"/>
            </w:pPr>
            <w:r w:rsidRPr="00046D64">
              <w:rPr>
                <w:b/>
              </w:rPr>
              <w:t>Population criteria:</w:t>
            </w:r>
          </w:p>
        </w:tc>
      </w:tr>
      <w:tr w:rsidR="003A4883" w:rsidRPr="00046D64" w14:paraId="0CE0ACE8"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50ADD83" w14:textId="77777777" w:rsidR="003A4883" w:rsidRPr="00C61A59" w:rsidRDefault="003A4883" w:rsidP="008E150E">
            <w:pPr>
              <w:pStyle w:val="TableText0"/>
              <w:keepNext w:val="0"/>
              <w:rPr>
                <w:color w:val="0066FF"/>
              </w:rPr>
            </w:pPr>
            <w:r w:rsidRPr="006E505D">
              <w:t>Patient must be aged 18 years or older.</w:t>
            </w:r>
          </w:p>
        </w:tc>
      </w:tr>
      <w:tr w:rsidR="003A4883" w:rsidRPr="00046D64" w14:paraId="55081B92"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255EA3E" w14:textId="77777777" w:rsidR="003A4883" w:rsidRPr="00046D64" w:rsidRDefault="003A4883" w:rsidP="008E150E">
            <w:pPr>
              <w:pStyle w:val="TableText0"/>
              <w:keepNext w:val="0"/>
            </w:pPr>
            <w:r>
              <w:rPr>
                <w:b/>
              </w:rPr>
              <w:t>Notes</w:t>
            </w:r>
            <w:r w:rsidRPr="00046D64">
              <w:rPr>
                <w:b/>
              </w:rPr>
              <w:t>:</w:t>
            </w:r>
          </w:p>
        </w:tc>
      </w:tr>
      <w:tr w:rsidR="003A4883" w:rsidRPr="00046D64" w14:paraId="677220F4" w14:textId="77777777" w:rsidTr="00146FF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654C4A4" w14:textId="75225E7E" w:rsidR="003A4883" w:rsidRPr="0093075D" w:rsidRDefault="003A4883" w:rsidP="008E150E">
            <w:pPr>
              <w:pStyle w:val="TableText0"/>
              <w:keepNext w:val="0"/>
            </w:pPr>
            <w:r w:rsidRPr="0093075D">
              <w:t xml:space="preserve">No increase in the maximum number of repeats may be authorised. </w:t>
            </w:r>
          </w:p>
          <w:p w14:paraId="4B11E67D" w14:textId="42900C79" w:rsidR="003A4883" w:rsidRPr="0093075D" w:rsidRDefault="003A4883" w:rsidP="008E150E">
            <w:pPr>
              <w:pStyle w:val="TableText0"/>
              <w:keepNext w:val="0"/>
            </w:pPr>
            <w:r w:rsidRPr="0093075D">
              <w:t xml:space="preserve">No increase in the maximum quantity or number of units may be authorised. </w:t>
            </w:r>
          </w:p>
          <w:p w14:paraId="08C422A7" w14:textId="77777777" w:rsidR="003A4883" w:rsidRDefault="003A4883" w:rsidP="008E150E">
            <w:pPr>
              <w:pStyle w:val="TableText0"/>
              <w:keepNext w:val="0"/>
              <w:rPr>
                <w:b/>
              </w:rPr>
            </w:pPr>
            <w:r w:rsidRPr="0093075D">
              <w:t>Special Pricing Arrangements apply.</w:t>
            </w:r>
          </w:p>
        </w:tc>
      </w:tr>
      <w:bookmarkEnd w:id="18"/>
    </w:tbl>
    <w:p w14:paraId="20672B00" w14:textId="77777777" w:rsidR="003A4883" w:rsidRPr="00882085" w:rsidRDefault="003A4883" w:rsidP="003A4883"/>
    <w:p w14:paraId="21E704F9" w14:textId="3630F8AF" w:rsidR="006C6E3D" w:rsidRPr="00ED2038" w:rsidRDefault="003A4883" w:rsidP="006C6E3D">
      <w:pPr>
        <w:pStyle w:val="3-BodyText"/>
        <w:ind w:left="720" w:hanging="720"/>
      </w:pPr>
      <w:bookmarkStart w:id="19" w:name="_Hlk121403382"/>
      <w:r w:rsidRPr="00ED2038">
        <w:t xml:space="preserve">The proposed effective price </w:t>
      </w:r>
      <w:r w:rsidR="006C6E3D" w:rsidRPr="00ED2038">
        <w:t>i</w:t>
      </w:r>
      <w:r w:rsidR="0076384B" w:rsidRPr="00ED2038">
        <w:t>s</w:t>
      </w:r>
      <w:r w:rsidR="006C6E3D" w:rsidRPr="00ED2038">
        <w:t xml:space="preserve"> </w:t>
      </w:r>
      <w:r w:rsidRPr="00ED2038">
        <w:t xml:space="preserve">the same as </w:t>
      </w:r>
      <w:r w:rsidR="006C6E3D" w:rsidRPr="00ED2038">
        <w:t>the current effective AEMP</w:t>
      </w:r>
      <w:r w:rsidR="00F12DAA" w:rsidRPr="00ED2038">
        <w:t xml:space="preserve"> for</w:t>
      </w:r>
      <w:r w:rsidR="006C6E3D" w:rsidRPr="00ED2038">
        <w:t xml:space="preserve"> </w:t>
      </w:r>
      <w:r w:rsidRPr="00ED2038">
        <w:t>the severe chronic plaque PsO indication</w:t>
      </w:r>
      <w:r w:rsidR="005F514F">
        <w:t>.</w:t>
      </w:r>
      <w:r w:rsidRPr="00ED2038">
        <w:t xml:space="preserve"> </w:t>
      </w:r>
      <w:bookmarkEnd w:id="19"/>
    </w:p>
    <w:p w14:paraId="206A6A59" w14:textId="7FA0CA65" w:rsidR="003A4883" w:rsidRPr="00ED2038" w:rsidRDefault="003A4883" w:rsidP="003A4883">
      <w:pPr>
        <w:pStyle w:val="3-BodyText"/>
        <w:ind w:left="720" w:hanging="720"/>
      </w:pPr>
      <w:r w:rsidRPr="00ED2038">
        <w:t xml:space="preserve">The requested restriction </w:t>
      </w:r>
      <w:r w:rsidR="00514796">
        <w:t>was</w:t>
      </w:r>
      <w:r w:rsidRPr="00ED2038">
        <w:t xml:space="preserve"> narrower than the TGA indication, which does not specify that patients must fail to achieve an adequate response to conventional synthetic disease modifying antirheumatic drugs (csDMARDs) or be ineligible, contraindicated, or intolerant to biologic</w:t>
      </w:r>
      <w:r w:rsidR="006269E6" w:rsidRPr="00ED2038">
        <w:t xml:space="preserve"> or targeted synthetic</w:t>
      </w:r>
      <w:r w:rsidRPr="00ED2038">
        <w:t xml:space="preserve"> disease modifying antirheumatic drugs (bDMARDs</w:t>
      </w:r>
      <w:r w:rsidR="006269E6" w:rsidRPr="00ED2038">
        <w:t>/tsDMARD</w:t>
      </w:r>
      <w:r w:rsidRPr="00ED2038">
        <w:t xml:space="preserve">). </w:t>
      </w:r>
    </w:p>
    <w:p w14:paraId="2D7EA12A" w14:textId="39DE7F4A" w:rsidR="003A4883" w:rsidRPr="00ED2038" w:rsidRDefault="003A4883" w:rsidP="003A4883">
      <w:pPr>
        <w:pStyle w:val="3-BodyText"/>
        <w:ind w:left="720" w:hanging="720"/>
      </w:pPr>
      <w:bookmarkStart w:id="20" w:name="_Ref131670465"/>
      <w:r w:rsidRPr="00ED2038">
        <w:t xml:space="preserve">The requested restriction is not consistent with </w:t>
      </w:r>
      <w:r w:rsidR="00A3130A">
        <w:t>the clinical evidence presented,</w:t>
      </w:r>
      <w:r w:rsidRPr="00ED2038">
        <w:t xml:space="preserve"> as the trials presented did not require </w:t>
      </w:r>
      <w:r w:rsidR="0016441D" w:rsidRPr="00ED2038">
        <w:t xml:space="preserve">participants </w:t>
      </w:r>
      <w:r w:rsidRPr="00ED2038">
        <w:t>to have received and failed multiple lines of csDMARD therapy prior to receiving apremilast. Some trials presented also permitted prior bDMARD therapy and did not require apremilast to be the only DMARD treatment administered.</w:t>
      </w:r>
      <w:bookmarkEnd w:id="20"/>
    </w:p>
    <w:p w14:paraId="3DB8F205" w14:textId="13EC47A6" w:rsidR="006467B9" w:rsidRPr="0048379A" w:rsidRDefault="006467B9" w:rsidP="003A4883">
      <w:pPr>
        <w:pStyle w:val="3-BodyText"/>
        <w:ind w:left="720" w:hanging="720"/>
      </w:pPr>
      <w:bookmarkStart w:id="21" w:name="_Ref131671231"/>
      <w:r w:rsidRPr="0048379A">
        <w:t>The ESC noted reference to ‘clinically inappropriate’ in the proposed restric</w:t>
      </w:r>
      <w:r w:rsidR="001C69DF" w:rsidRPr="0048379A">
        <w:t xml:space="preserve">tion </w:t>
      </w:r>
      <w:r w:rsidRPr="0048379A">
        <w:t xml:space="preserve">would </w:t>
      </w:r>
      <w:r w:rsidR="001C69DF" w:rsidRPr="0048379A">
        <w:t xml:space="preserve">likely </w:t>
      </w:r>
      <w:r w:rsidRPr="0048379A">
        <w:t xml:space="preserve">not result in the same population as </w:t>
      </w:r>
      <w:r w:rsidR="001C69DF" w:rsidRPr="0048379A">
        <w:t>‘</w:t>
      </w:r>
      <w:r w:rsidRPr="0048379A">
        <w:t xml:space="preserve">contraindicated or stopped </w:t>
      </w:r>
      <w:r w:rsidR="001C69DF" w:rsidRPr="0048379A">
        <w:t xml:space="preserve">treatment </w:t>
      </w:r>
      <w:r w:rsidRPr="0048379A">
        <w:t>due to side effect</w:t>
      </w:r>
      <w:r w:rsidR="003B748D" w:rsidRPr="0048379A">
        <w:t>s</w:t>
      </w:r>
      <w:r w:rsidR="001C69DF" w:rsidRPr="0048379A">
        <w:t>’</w:t>
      </w:r>
      <w:r w:rsidRPr="0048379A">
        <w:t xml:space="preserve"> without further clarification what population this is intended to capture.</w:t>
      </w:r>
      <w:bookmarkEnd w:id="21"/>
      <w:r w:rsidR="0048379A" w:rsidRPr="0048379A">
        <w:t xml:space="preserve"> </w:t>
      </w:r>
    </w:p>
    <w:p w14:paraId="0D71FB80" w14:textId="77777777" w:rsidR="0048379A" w:rsidRPr="00C33D30" w:rsidRDefault="0048379A" w:rsidP="0048379A">
      <w:pPr>
        <w:ind w:firstLine="709"/>
        <w:rPr>
          <w:rFonts w:asciiTheme="minorHAnsi" w:hAnsiTheme="minorHAnsi"/>
          <w:i/>
        </w:rPr>
      </w:pPr>
      <w:r w:rsidRPr="00C33D30">
        <w:rPr>
          <w:rFonts w:asciiTheme="minorHAnsi" w:hAnsiTheme="minorHAnsi"/>
          <w:i/>
        </w:rPr>
        <w:t>For more detail on PBAC’s view, see section 7 PBAC outcome.</w:t>
      </w:r>
    </w:p>
    <w:p w14:paraId="1A3D083E" w14:textId="77777777" w:rsidR="003A4883" w:rsidRPr="00407F2D" w:rsidDel="00195452" w:rsidRDefault="003A4883" w:rsidP="003A4883">
      <w:pPr>
        <w:pStyle w:val="2-SectionHeading"/>
      </w:pPr>
      <w:bookmarkStart w:id="22" w:name="_Toc124945467"/>
      <w:r w:rsidDel="00195452">
        <w:t>Population and disease</w:t>
      </w:r>
      <w:bookmarkEnd w:id="22"/>
    </w:p>
    <w:p w14:paraId="3271F895" w14:textId="77777777" w:rsidR="003A4883" w:rsidRPr="00ED2038" w:rsidRDefault="003A4883" w:rsidP="003A4883">
      <w:pPr>
        <w:pStyle w:val="3-BodyText"/>
        <w:ind w:left="720" w:hanging="720"/>
      </w:pPr>
      <w:r w:rsidRPr="00ED2038">
        <w:t>PsA is a chronic, inflammatory disease with a diverse clinical spectrum characterised by six core domains: peripheral arthritis, axial disease, enthesitis (inflammation where tendons or ligaments attach to bone), dactylitis (inflammation of an entire digit), and skin and nail psoriasis. Initially, PsA typically presents as an oligoarticular (involving up to five peripheral joints) and mild disease. However, with time PsA becomes polyarticular (involving more than five peripheral joints), and it is a severe disease in at least 20% of patients.</w:t>
      </w:r>
    </w:p>
    <w:p w14:paraId="595A3F99" w14:textId="77777777" w:rsidR="003A4883" w:rsidRPr="0048379A" w:rsidRDefault="003A4883" w:rsidP="003A4883">
      <w:pPr>
        <w:pStyle w:val="3-BodyText"/>
        <w:ind w:left="720" w:hanging="720"/>
      </w:pPr>
      <w:r w:rsidRPr="0048379A">
        <w:t xml:space="preserve">For many patients, the impact of PsA goes beyond standard skin and joint involvement, and hard to treat domains like enthesitis and dactylitis are common. Active chronic PsA is also associated with cardiovascular, psychological, and metabolic </w:t>
      </w:r>
      <w:r w:rsidRPr="0048379A">
        <w:lastRenderedPageBreak/>
        <w:t>comorbidities, which, together with the musculoskeletal manifestations, impose a significant patient burden with impact on quality of life and accelerated mortality.</w:t>
      </w:r>
    </w:p>
    <w:p w14:paraId="7646B7C1" w14:textId="77777777" w:rsidR="003A4883" w:rsidRPr="0048379A" w:rsidRDefault="003A4883" w:rsidP="003A4883">
      <w:pPr>
        <w:pStyle w:val="3-BodyText"/>
        <w:ind w:left="720" w:hanging="720"/>
      </w:pPr>
      <w:r w:rsidRPr="0048379A">
        <w:t>The proposed populations eligible for apremilast have severe active PsA and have failed at least three csDMARDs, unless contraindicated or intolerant. Three distinct subpopulations have been identified for whom bDMARDs are not an option:</w:t>
      </w:r>
    </w:p>
    <w:p w14:paraId="12046BE4" w14:textId="253E8D81" w:rsidR="003A4883" w:rsidRPr="0048379A" w:rsidRDefault="003A4883" w:rsidP="0097685D">
      <w:pPr>
        <w:pStyle w:val="3-BodyText"/>
        <w:numPr>
          <w:ilvl w:val="0"/>
          <w:numId w:val="9"/>
        </w:numPr>
      </w:pPr>
      <w:r w:rsidRPr="0048379A">
        <w:t>Failed csDMARDs and PBS ineligible for bDMARDs</w:t>
      </w:r>
      <w:r w:rsidR="00BA5C08" w:rsidRPr="0048379A">
        <w:t xml:space="preserve"> (subpopulation 1)</w:t>
      </w:r>
      <w:r w:rsidRPr="0048379A">
        <w:t>.</w:t>
      </w:r>
    </w:p>
    <w:p w14:paraId="4EABB835" w14:textId="199A1877" w:rsidR="003A4883" w:rsidRPr="0048379A" w:rsidRDefault="003A4883" w:rsidP="0097685D">
      <w:pPr>
        <w:pStyle w:val="3-BodyText"/>
        <w:numPr>
          <w:ilvl w:val="0"/>
          <w:numId w:val="9"/>
        </w:numPr>
      </w:pPr>
      <w:r w:rsidRPr="0048379A">
        <w:t>Failed csDMARDs and contraindicated to treatment with bDMARDs</w:t>
      </w:r>
      <w:r w:rsidR="00BA5C08" w:rsidRPr="0048379A">
        <w:t xml:space="preserve"> (subpopulation 2)</w:t>
      </w:r>
      <w:r w:rsidRPr="0048379A">
        <w:t>.</w:t>
      </w:r>
    </w:p>
    <w:p w14:paraId="2CC6B3CE" w14:textId="31C0D907" w:rsidR="003A4883" w:rsidRPr="0048379A" w:rsidRDefault="003A4883" w:rsidP="0097685D">
      <w:pPr>
        <w:pStyle w:val="3-BodyText"/>
        <w:numPr>
          <w:ilvl w:val="0"/>
          <w:numId w:val="9"/>
        </w:numPr>
      </w:pPr>
      <w:r w:rsidRPr="0048379A">
        <w:t>Failed csDMARDs and stopped treatment with bDMARDs due to side effects</w:t>
      </w:r>
      <w:r w:rsidR="00BA5C08" w:rsidRPr="0048379A">
        <w:t xml:space="preserve"> (subpopulation 3)</w:t>
      </w:r>
      <w:r w:rsidRPr="0048379A">
        <w:t>.</w:t>
      </w:r>
    </w:p>
    <w:p w14:paraId="2F51ADCD" w14:textId="352C4862" w:rsidR="00BA5C08" w:rsidRPr="0048379A" w:rsidRDefault="00A3130A" w:rsidP="00D105BF">
      <w:pPr>
        <w:pStyle w:val="3-BodyText"/>
        <w:ind w:left="720" w:hanging="720"/>
      </w:pPr>
      <w:r w:rsidRPr="0048379A">
        <w:t xml:space="preserve">The ESC noted </w:t>
      </w:r>
      <w:r w:rsidR="0074176C" w:rsidRPr="0048379A">
        <w:t xml:space="preserve">the </w:t>
      </w:r>
      <w:r w:rsidRPr="0048379A">
        <w:t>PBAC has previously advised that leflunomide, or another csDMARD used for the treatment of</w:t>
      </w:r>
      <w:r w:rsidR="00BE1220" w:rsidRPr="0048379A">
        <w:t xml:space="preserve"> PsA</w:t>
      </w:r>
      <w:r w:rsidRPr="0048379A">
        <w:t xml:space="preserve">, </w:t>
      </w:r>
      <w:r w:rsidR="00BA5C08" w:rsidRPr="0048379A">
        <w:t xml:space="preserve">would be </w:t>
      </w:r>
      <w:r w:rsidRPr="0048379A">
        <w:t>the appropriate comparator</w:t>
      </w:r>
      <w:r w:rsidR="00BA5C08" w:rsidRPr="0048379A">
        <w:t xml:space="preserve"> for apremilast</w:t>
      </w:r>
      <w:r w:rsidRPr="0048379A">
        <w:t>. The ESC considered this remained the most appropriate place in therapy for apremilast in</w:t>
      </w:r>
      <w:r w:rsidR="0090658A" w:rsidRPr="0048379A">
        <w:t xml:space="preserve"> PsA but acknowledged the sponsor’s concerns regarding this issue (see paragraph </w:t>
      </w:r>
      <w:r w:rsidR="0090658A" w:rsidRPr="0048379A">
        <w:fldChar w:fldCharType="begin"/>
      </w:r>
      <w:r w:rsidR="0090658A" w:rsidRPr="0048379A">
        <w:instrText xml:space="preserve"> REF _Ref127346852 \r \h </w:instrText>
      </w:r>
      <w:r w:rsidR="0048379A" w:rsidRPr="0048379A">
        <w:instrText xml:space="preserve"> \* MERGEFORMAT </w:instrText>
      </w:r>
      <w:r w:rsidR="0090658A" w:rsidRPr="0048379A">
        <w:fldChar w:fldCharType="separate"/>
      </w:r>
      <w:r w:rsidR="00A05E81">
        <w:t>5.3</w:t>
      </w:r>
      <w:r w:rsidR="0090658A" w:rsidRPr="0048379A">
        <w:fldChar w:fldCharType="end"/>
      </w:r>
      <w:r w:rsidR="0090658A" w:rsidRPr="0048379A">
        <w:t>).</w:t>
      </w:r>
    </w:p>
    <w:p w14:paraId="1CE622FF" w14:textId="2905AA71" w:rsidR="005F71DB" w:rsidRPr="0048379A" w:rsidRDefault="003F5FFB" w:rsidP="00D105BF">
      <w:pPr>
        <w:pStyle w:val="3-BodyText"/>
        <w:ind w:left="720" w:hanging="720"/>
      </w:pPr>
      <w:r w:rsidRPr="0048379A">
        <w:t xml:space="preserve">There are currently 11 listed bDMARDs for PsA covering a variety of pharmacological classes. </w:t>
      </w:r>
      <w:r w:rsidR="00BA5C08" w:rsidRPr="0048379A">
        <w:t>The ESC noted p</w:t>
      </w:r>
      <w:r w:rsidRPr="0048379A">
        <w:t xml:space="preserve">atients </w:t>
      </w:r>
      <w:r w:rsidR="00BE1220" w:rsidRPr="0048379A">
        <w:t xml:space="preserve">would need to be contraindicated to, or trial and discontinue due to side effects, </w:t>
      </w:r>
      <w:r w:rsidRPr="0048379A">
        <w:t>1</w:t>
      </w:r>
      <w:r w:rsidR="00F85FF9">
        <w:t>1</w:t>
      </w:r>
      <w:r w:rsidRPr="0048379A">
        <w:t xml:space="preserve"> bDMARDs </w:t>
      </w:r>
      <w:r w:rsidR="00CC7EF9" w:rsidRPr="0048379A">
        <w:t xml:space="preserve">before entering subpopulation </w:t>
      </w:r>
      <w:r w:rsidR="00BE1220" w:rsidRPr="0048379A">
        <w:t xml:space="preserve">2 or </w:t>
      </w:r>
      <w:r w:rsidR="00CC7EF9" w:rsidRPr="0048379A">
        <w:t>3</w:t>
      </w:r>
      <w:r w:rsidR="00BE1220" w:rsidRPr="0048379A">
        <w:t>, respectively</w:t>
      </w:r>
      <w:r w:rsidRPr="0048379A">
        <w:t>.</w:t>
      </w:r>
      <w:r w:rsidR="00A14744" w:rsidRPr="0048379A">
        <w:t xml:space="preserve"> The ESC</w:t>
      </w:r>
      <w:r w:rsidR="00D105BF" w:rsidRPr="0048379A">
        <w:t xml:space="preserve"> considered</w:t>
      </w:r>
      <w:r w:rsidR="00A14744" w:rsidRPr="0048379A">
        <w:t xml:space="preserve"> the</w:t>
      </w:r>
      <w:r w:rsidR="00BE1220" w:rsidRPr="0048379A">
        <w:t xml:space="preserve"> </w:t>
      </w:r>
      <w:r w:rsidR="00210FF7" w:rsidRPr="0048379A">
        <w:t xml:space="preserve">clinical relevance of the </w:t>
      </w:r>
      <w:r w:rsidR="00A14744" w:rsidRPr="0048379A">
        <w:t>subpopulations w</w:t>
      </w:r>
      <w:r w:rsidR="00210FF7" w:rsidRPr="0048379A">
        <w:t>as</w:t>
      </w:r>
      <w:r w:rsidR="00A14744" w:rsidRPr="0048379A">
        <w:t xml:space="preserve"> uncertain, and likely reflected only a very small proportion of </w:t>
      </w:r>
      <w:r w:rsidR="00BA5C08" w:rsidRPr="0048379A">
        <w:t xml:space="preserve">patients with PsA </w:t>
      </w:r>
      <w:r w:rsidR="00D105BF" w:rsidRPr="0048379A">
        <w:t>, given the number of contraindications and/or intolerances that would be required to qualify.</w:t>
      </w:r>
    </w:p>
    <w:p w14:paraId="5A719056" w14:textId="1EB4E5F1" w:rsidR="003A4883" w:rsidRPr="0048379A" w:rsidRDefault="003A4883" w:rsidP="003A4883">
      <w:pPr>
        <w:pStyle w:val="3-BodyText"/>
        <w:ind w:left="720" w:hanging="720"/>
      </w:pPr>
      <w:r w:rsidRPr="0048379A">
        <w:t xml:space="preserve">Apremilast is a small-molecule inhibitor of the phosphodiesterase type 4 (PDE4) enzyme, </w:t>
      </w:r>
      <w:r w:rsidR="00DD6DEA" w:rsidRPr="0048379A">
        <w:t>which</w:t>
      </w:r>
      <w:r w:rsidRPr="0048379A">
        <w:t xml:space="preserve"> works intracellularly to modulate a network of pro-inflammatory and anti-inflammatory mediators. Inhibition of PDE4 elevates intracellular cyclic adenosine monophosphate (cAMP) levels, which in turn down-regulates the inflammatory response by modulating the expression of tumour necrosis factor alpha (TNF-α), interleukin 17 (IL-17), IL-23, and other inflammatory cytokines. Elevation of cAMP also modulates the production of anti-inflammatory cytokines such as IL-10. </w:t>
      </w:r>
    </w:p>
    <w:p w14:paraId="51BB0849" w14:textId="7BE4A2FA" w:rsidR="003A4883" w:rsidRPr="0048379A" w:rsidRDefault="0090658A" w:rsidP="003A4883">
      <w:pPr>
        <w:pStyle w:val="3-BodyText"/>
        <w:ind w:left="720" w:hanging="720"/>
      </w:pPr>
      <w:r w:rsidRPr="0048379A">
        <w:t xml:space="preserve">The proposed clinical management algorithm for the intended use of apremilast as a treatment for severe active PsA is provided in </w:t>
      </w:r>
      <w:r w:rsidRPr="0048379A">
        <w:fldChar w:fldCharType="begin"/>
      </w:r>
      <w:r w:rsidRPr="0048379A">
        <w:instrText xml:space="preserve"> REF _Ref127346359 \h  \* MERGEFORMAT </w:instrText>
      </w:r>
      <w:r w:rsidRPr="0048379A">
        <w:fldChar w:fldCharType="separate"/>
      </w:r>
      <w:r w:rsidR="00A05E81" w:rsidRPr="004D045F">
        <w:t xml:space="preserve">Figure </w:t>
      </w:r>
      <w:r w:rsidR="00A05E81">
        <w:rPr>
          <w:noProof/>
        </w:rPr>
        <w:t>1</w:t>
      </w:r>
      <w:r w:rsidRPr="0048379A">
        <w:fldChar w:fldCharType="end"/>
      </w:r>
      <w:r w:rsidRPr="0048379A">
        <w:t>.</w:t>
      </w:r>
      <w:r w:rsidR="00210FF7" w:rsidRPr="0048379A">
        <w:t xml:space="preserve"> The numbered boxes in the figure correspond to: (1) subpopulation 1; (2) subpopulation 2 and (3) subpopulation</w:t>
      </w:r>
      <w:r w:rsidR="00623C16" w:rsidRPr="0048379A">
        <w:t> </w:t>
      </w:r>
      <w:r w:rsidR="00210FF7" w:rsidRPr="0048379A">
        <w:t xml:space="preserve">3. </w:t>
      </w:r>
    </w:p>
    <w:p w14:paraId="006FDEF2" w14:textId="3B7AC435" w:rsidR="00EA5FE6" w:rsidRDefault="00EA5FE6" w:rsidP="00D46192">
      <w:pPr>
        <w:pStyle w:val="Caption"/>
        <w:jc w:val="left"/>
      </w:pPr>
      <w:bookmarkStart w:id="23" w:name="_Ref127346359"/>
      <w:r w:rsidRPr="004D045F">
        <w:lastRenderedPageBreak/>
        <w:t xml:space="preserve">Figure </w:t>
      </w:r>
      <w:r w:rsidR="00A05E81">
        <w:fldChar w:fldCharType="begin"/>
      </w:r>
      <w:r w:rsidR="00A05E81">
        <w:instrText xml:space="preserve"> SEQ Figure \* ARABIC </w:instrText>
      </w:r>
      <w:r w:rsidR="00A05E81">
        <w:fldChar w:fldCharType="separate"/>
      </w:r>
      <w:r w:rsidR="00A05E81">
        <w:rPr>
          <w:noProof/>
        </w:rPr>
        <w:t>1</w:t>
      </w:r>
      <w:r w:rsidR="00A05E81">
        <w:rPr>
          <w:noProof/>
        </w:rPr>
        <w:fldChar w:fldCharType="end"/>
      </w:r>
      <w:bookmarkEnd w:id="23"/>
      <w:r w:rsidRPr="004D045F">
        <w:t>: Proposed severe active PsA management algorithm including apremilast</w:t>
      </w:r>
    </w:p>
    <w:p w14:paraId="18C83861" w14:textId="2CDC8BBC" w:rsidR="00EA5FE6" w:rsidRDefault="00EA5FE6" w:rsidP="00EA5FE6">
      <w:pPr>
        <w:pStyle w:val="3-BodyText"/>
        <w:numPr>
          <w:ilvl w:val="0"/>
          <w:numId w:val="0"/>
        </w:numPr>
      </w:pPr>
      <w:r w:rsidRPr="00546DE2">
        <w:rPr>
          <w:noProof/>
        </w:rPr>
        <w:drawing>
          <wp:inline distT="0" distB="0" distL="0" distR="0" wp14:anchorId="23E970C2" wp14:editId="16C48984">
            <wp:extent cx="5732145" cy="3851275"/>
            <wp:effectExtent l="0" t="0" r="1905" b="0"/>
            <wp:docPr id="26" name="Picture 26" descr="Figure 1: Proposed severe active PsA management algorithm including apremi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Figure 1: Proposed severe active PsA management algorithm including apremilast"/>
                    <pic:cNvPicPr/>
                  </pic:nvPicPr>
                  <pic:blipFill>
                    <a:blip r:embed="rId8"/>
                    <a:stretch>
                      <a:fillRect/>
                    </a:stretch>
                  </pic:blipFill>
                  <pic:spPr>
                    <a:xfrm>
                      <a:off x="0" y="0"/>
                      <a:ext cx="5732145" cy="3851275"/>
                    </a:xfrm>
                    <a:prstGeom prst="rect">
                      <a:avLst/>
                    </a:prstGeom>
                  </pic:spPr>
                </pic:pic>
              </a:graphicData>
            </a:graphic>
          </wp:inline>
        </w:drawing>
      </w:r>
    </w:p>
    <w:p w14:paraId="0DE88900" w14:textId="01718EDE" w:rsidR="00EA5FE6" w:rsidRPr="008B4BDC" w:rsidRDefault="0090658A" w:rsidP="00EA5FE6">
      <w:pPr>
        <w:pStyle w:val="3-BodyText"/>
        <w:numPr>
          <w:ilvl w:val="0"/>
          <w:numId w:val="0"/>
        </w:numPr>
        <w:rPr>
          <w:rFonts w:ascii="Arial Narrow" w:hAnsi="Arial Narrow"/>
          <w:sz w:val="20"/>
          <w:szCs w:val="20"/>
        </w:rPr>
      </w:pPr>
      <w:r w:rsidRPr="008B4BDC">
        <w:rPr>
          <w:rFonts w:ascii="Arial Narrow" w:hAnsi="Arial Narrow"/>
          <w:sz w:val="20"/>
          <w:szCs w:val="20"/>
        </w:rPr>
        <w:t>Source: Figure 1-2, page 14 of the resubmission</w:t>
      </w:r>
    </w:p>
    <w:p w14:paraId="6FDB3937" w14:textId="27EC8CA4" w:rsidR="00CC7EF9" w:rsidRPr="0048379A" w:rsidRDefault="003B748D" w:rsidP="00BA5C08">
      <w:pPr>
        <w:pStyle w:val="3-BodyText"/>
        <w:ind w:left="720" w:hanging="720"/>
      </w:pPr>
      <w:bookmarkStart w:id="24" w:name="_Ref131671215"/>
      <w:r w:rsidRPr="0048379A">
        <w:t>The ESC considered there was a potential risk of use of apremilast in patients that would otherwise be appropriate for, and without contraindication, to csDMARDs (some of whom would be on the pathway to bDMARDs). In this population apremilast would effectively be used as a second line therapy, and therefore for these patients the proposed comparator (BSC) would no longer be appropriate.</w:t>
      </w:r>
      <w:bookmarkEnd w:id="24"/>
      <w:r w:rsidRPr="0048379A">
        <w:t xml:space="preserve"> </w:t>
      </w:r>
    </w:p>
    <w:p w14:paraId="4954C94D" w14:textId="2B3B4BCF" w:rsidR="0048379A" w:rsidRPr="00EF48B5" w:rsidRDefault="0048379A" w:rsidP="00EF48B5">
      <w:pPr>
        <w:ind w:firstLine="709"/>
        <w:rPr>
          <w:rFonts w:asciiTheme="minorHAnsi" w:hAnsiTheme="minorHAnsi"/>
          <w:i/>
        </w:rPr>
      </w:pPr>
      <w:r w:rsidRPr="00C33D30">
        <w:rPr>
          <w:rFonts w:asciiTheme="minorHAnsi" w:hAnsiTheme="minorHAnsi"/>
          <w:i/>
        </w:rPr>
        <w:t>For more detail on PBAC’s view, see section 7 PBAC outcome.</w:t>
      </w:r>
    </w:p>
    <w:p w14:paraId="30703FE7" w14:textId="77777777" w:rsidR="003A4883" w:rsidRPr="00407F2D" w:rsidRDefault="003A4883" w:rsidP="003A4883">
      <w:pPr>
        <w:pStyle w:val="2-SectionHeading"/>
      </w:pPr>
      <w:bookmarkStart w:id="25" w:name="_Toc124945468"/>
      <w:r w:rsidRPr="00407F2D">
        <w:t>Comparator</w:t>
      </w:r>
      <w:bookmarkEnd w:id="25"/>
    </w:p>
    <w:p w14:paraId="5D505D14" w14:textId="7810F9B6" w:rsidR="003A4883" w:rsidRPr="0048379A" w:rsidRDefault="003A4883" w:rsidP="003A4883">
      <w:pPr>
        <w:pStyle w:val="3-BodyText"/>
        <w:ind w:left="720" w:hanging="720"/>
        <w:rPr>
          <w:snapToGrid/>
          <w:lang w:val="en-US"/>
        </w:rPr>
      </w:pPr>
      <w:bookmarkStart w:id="26" w:name="_Toc22897640"/>
      <w:r w:rsidRPr="0048379A">
        <w:rPr>
          <w:snapToGrid/>
          <w:lang w:val="en-US"/>
        </w:rPr>
        <w:t>The submission nominated placebo plus BSC as the comparator. The main argument provided in support of this nomination was that patients in the proposed population had no other treatment options.</w:t>
      </w:r>
    </w:p>
    <w:p w14:paraId="6F0FB223" w14:textId="77777777" w:rsidR="003A4883" w:rsidRPr="0048379A" w:rsidRDefault="003A4883" w:rsidP="003A4883">
      <w:pPr>
        <w:pStyle w:val="3-BodyText"/>
        <w:ind w:left="720" w:hanging="720"/>
        <w:rPr>
          <w:snapToGrid/>
          <w:lang w:val="en-US"/>
        </w:rPr>
      </w:pPr>
      <w:r w:rsidRPr="0048379A">
        <w:rPr>
          <w:snapToGrid/>
          <w:lang w:val="en-US"/>
        </w:rPr>
        <w:t>The submission stated that BSC represents no active treatment and constitutes a range of pharmacological and non-pharmacological management strategies (e.g., oral corticosteroids, non-steroidal anti-inflammatory drugs, phototherapy, medical and allied health consultations).</w:t>
      </w:r>
    </w:p>
    <w:p w14:paraId="1ED7E0CA" w14:textId="1DCF4EFE" w:rsidR="00464436" w:rsidRPr="0048379A" w:rsidRDefault="003A4883" w:rsidP="00464436">
      <w:pPr>
        <w:widowControl w:val="0"/>
        <w:numPr>
          <w:ilvl w:val="1"/>
          <w:numId w:val="4"/>
        </w:numPr>
        <w:spacing w:after="120"/>
        <w:ind w:left="720" w:hanging="720"/>
        <w:rPr>
          <w:rFonts w:asciiTheme="minorHAnsi" w:hAnsiTheme="minorHAnsi"/>
          <w:bCs/>
          <w:snapToGrid w:val="0"/>
        </w:rPr>
      </w:pPr>
      <w:bookmarkStart w:id="27" w:name="_Ref127346852"/>
      <w:r w:rsidRPr="0048379A">
        <w:rPr>
          <w:lang w:val="en-US"/>
        </w:rPr>
        <w:t xml:space="preserve">The </w:t>
      </w:r>
      <w:r w:rsidR="0090658A" w:rsidRPr="0048379A">
        <w:rPr>
          <w:lang w:val="en-US"/>
        </w:rPr>
        <w:t xml:space="preserve">ESC noted the </w:t>
      </w:r>
      <w:r w:rsidRPr="0048379A">
        <w:rPr>
          <w:lang w:val="en-US"/>
        </w:rPr>
        <w:t xml:space="preserve">submission stated </w:t>
      </w:r>
      <w:r w:rsidR="00EA5FE6" w:rsidRPr="0048379A">
        <w:rPr>
          <w:lang w:val="en-US"/>
        </w:rPr>
        <w:t>(and the P</w:t>
      </w:r>
      <w:r w:rsidR="00D46192">
        <w:rPr>
          <w:lang w:val="en-US"/>
        </w:rPr>
        <w:t>re-Sub-Committee Response (P</w:t>
      </w:r>
      <w:r w:rsidR="00EA5FE6" w:rsidRPr="0048379A">
        <w:rPr>
          <w:lang w:val="en-US"/>
        </w:rPr>
        <w:t>SCR</w:t>
      </w:r>
      <w:r w:rsidR="00D46192">
        <w:rPr>
          <w:lang w:val="en-US"/>
        </w:rPr>
        <w:t xml:space="preserve">) </w:t>
      </w:r>
      <w:r w:rsidR="00EA5FE6" w:rsidRPr="0048379A">
        <w:rPr>
          <w:lang w:val="en-US"/>
        </w:rPr>
        <w:t xml:space="preserve">reiterated) </w:t>
      </w:r>
      <w:r w:rsidRPr="0048379A">
        <w:rPr>
          <w:lang w:val="en-US"/>
        </w:rPr>
        <w:t xml:space="preserve">that the ideal position of apremilast in the management of PsA would be as an alternate second line agent, analogous to the position of apremilast in treating </w:t>
      </w:r>
      <w:r w:rsidRPr="0048379A">
        <w:rPr>
          <w:lang w:val="en-US"/>
        </w:rPr>
        <w:lastRenderedPageBreak/>
        <w:t>plaque PsO; however, the low-cost second line comparators in PsA made this unviable.</w:t>
      </w:r>
      <w:r w:rsidR="00464436" w:rsidRPr="0048379A">
        <w:rPr>
          <w:lang w:val="en-US"/>
        </w:rPr>
        <w:t xml:space="preserve"> Apremilast was listed for PsO</w:t>
      </w:r>
      <w:r w:rsidR="00464436" w:rsidRPr="0048379A">
        <w:rPr>
          <w:rFonts w:asciiTheme="minorHAnsi" w:hAnsiTheme="minorHAnsi"/>
          <w:bCs/>
          <w:snapToGrid w:val="0"/>
        </w:rPr>
        <w:t xml:space="preserve"> on a cost minimisation basis with c</w:t>
      </w:r>
      <w:r w:rsidR="00D952CA" w:rsidRPr="0048379A">
        <w:rPr>
          <w:rFonts w:asciiTheme="minorHAnsi" w:hAnsiTheme="minorHAnsi"/>
          <w:bCs/>
          <w:snapToGrid w:val="0"/>
        </w:rPr>
        <w:t>i</w:t>
      </w:r>
      <w:r w:rsidR="00464436" w:rsidRPr="0048379A">
        <w:rPr>
          <w:rFonts w:asciiTheme="minorHAnsi" w:hAnsiTheme="minorHAnsi"/>
          <w:bCs/>
          <w:snapToGrid w:val="0"/>
        </w:rPr>
        <w:t>closporin, accounting for differential adverse event</w:t>
      </w:r>
      <w:r w:rsidR="0076384B" w:rsidRPr="0048379A">
        <w:rPr>
          <w:rFonts w:asciiTheme="minorHAnsi" w:hAnsiTheme="minorHAnsi"/>
          <w:bCs/>
          <w:snapToGrid w:val="0"/>
        </w:rPr>
        <w:t>s</w:t>
      </w:r>
      <w:r w:rsidR="00464436" w:rsidRPr="0048379A">
        <w:rPr>
          <w:rFonts w:asciiTheme="minorHAnsi" w:hAnsiTheme="minorHAnsi"/>
          <w:bCs/>
          <w:snapToGrid w:val="0"/>
        </w:rPr>
        <w:t xml:space="preserve"> and drug monitoring costs amounting to an </w:t>
      </w:r>
      <w:r w:rsidR="00A50FC3" w:rsidRPr="00A05E81">
        <w:rPr>
          <w:rFonts w:asciiTheme="minorHAnsi" w:hAnsiTheme="minorHAnsi"/>
          <w:bCs/>
          <w:snapToGrid w:val="0"/>
          <w:color w:val="000000"/>
          <w:w w:val="15"/>
          <w:shd w:val="solid" w:color="000000" w:fill="000000"/>
          <w:fitText w:val="-20" w:id="-1233454590"/>
          <w14:textFill>
            <w14:solidFill>
              <w14:srgbClr w14:val="000000">
                <w14:alpha w14:val="100000"/>
              </w14:srgbClr>
            </w14:solidFill>
          </w14:textFill>
        </w:rPr>
        <w:t xml:space="preserve">|  </w:t>
      </w:r>
      <w:r w:rsidR="00A50FC3" w:rsidRPr="00A05E81">
        <w:rPr>
          <w:rFonts w:asciiTheme="minorHAnsi" w:hAnsiTheme="minorHAnsi"/>
          <w:bCs/>
          <w:snapToGrid w:val="0"/>
          <w:color w:val="000000"/>
          <w:spacing w:val="-69"/>
          <w:w w:val="15"/>
          <w:shd w:val="solid" w:color="000000" w:fill="000000"/>
          <w:fitText w:val="-20" w:id="-1233454590"/>
          <w14:textFill>
            <w14:solidFill>
              <w14:srgbClr w14:val="000000">
                <w14:alpha w14:val="100000"/>
              </w14:srgbClr>
            </w14:solidFill>
          </w14:textFill>
        </w:rPr>
        <w:t>|</w:t>
      </w:r>
      <w:r w:rsidR="00295039" w:rsidRPr="00295039">
        <w:rPr>
          <w:rFonts w:asciiTheme="minorHAnsi" w:hAnsiTheme="minorHAnsi"/>
          <w:bCs/>
          <w:snapToGrid w:val="0"/>
        </w:rPr>
        <w:t xml:space="preserve"> </w:t>
      </w:r>
      <w:r w:rsidR="00464436" w:rsidRPr="0048379A">
        <w:rPr>
          <w:rFonts w:asciiTheme="minorHAnsi" w:hAnsiTheme="minorHAnsi"/>
          <w:bCs/>
          <w:snapToGrid w:val="0"/>
        </w:rPr>
        <w:t>% price premium over the AEMP</w:t>
      </w:r>
      <w:r w:rsidR="00D952CA" w:rsidRPr="0048379A">
        <w:rPr>
          <w:rFonts w:asciiTheme="minorHAnsi" w:hAnsiTheme="minorHAnsi"/>
          <w:bCs/>
          <w:snapToGrid w:val="0"/>
        </w:rPr>
        <w:t xml:space="preserve"> (paragraph 6.2, apremilast </w:t>
      </w:r>
      <w:r w:rsidR="00D46192">
        <w:rPr>
          <w:rFonts w:asciiTheme="minorHAnsi" w:hAnsiTheme="minorHAnsi"/>
          <w:bCs/>
          <w:snapToGrid w:val="0"/>
        </w:rPr>
        <w:t>Public Summary Document (PSD)</w:t>
      </w:r>
      <w:r w:rsidR="00D952CA" w:rsidRPr="0048379A">
        <w:rPr>
          <w:rFonts w:asciiTheme="minorHAnsi" w:hAnsiTheme="minorHAnsi"/>
          <w:bCs/>
          <w:snapToGrid w:val="0"/>
        </w:rPr>
        <w:t>, July 2020 PBAC meeting)</w:t>
      </w:r>
      <w:r w:rsidR="00464436" w:rsidRPr="0048379A">
        <w:rPr>
          <w:rFonts w:asciiTheme="minorHAnsi" w:hAnsiTheme="minorHAnsi"/>
          <w:bCs/>
          <w:snapToGrid w:val="0"/>
        </w:rPr>
        <w:t>.</w:t>
      </w:r>
      <w:bookmarkEnd w:id="27"/>
      <w:r w:rsidR="00D952CA" w:rsidRPr="0048379A">
        <w:rPr>
          <w:rFonts w:asciiTheme="minorHAnsi" w:hAnsiTheme="minorHAnsi"/>
          <w:bCs/>
          <w:snapToGrid w:val="0"/>
        </w:rPr>
        <w:t xml:space="preserve"> </w:t>
      </w:r>
    </w:p>
    <w:p w14:paraId="38B6C9FB" w14:textId="77777777" w:rsidR="003A4883" w:rsidRPr="00407F2D" w:rsidRDefault="003A4883" w:rsidP="003A4883">
      <w:pPr>
        <w:pStyle w:val="2-SectionHeading"/>
      </w:pPr>
      <w:bookmarkStart w:id="28" w:name="_Toc124945469"/>
      <w:r>
        <w:t>C</w:t>
      </w:r>
      <w:r w:rsidRPr="00407F2D">
        <w:t>onsideration of the evidence</w:t>
      </w:r>
      <w:bookmarkEnd w:id="28"/>
    </w:p>
    <w:p w14:paraId="73AE8C0C" w14:textId="77777777" w:rsidR="004C0D9B" w:rsidRPr="006E1229" w:rsidRDefault="004C0D9B" w:rsidP="004D045F">
      <w:pPr>
        <w:pStyle w:val="4-SubsectionHeading"/>
      </w:pPr>
      <w:bookmarkStart w:id="29" w:name="_Hlk76375935"/>
      <w:bookmarkStart w:id="30" w:name="_Toc124945470"/>
      <w:r w:rsidRPr="006E1229">
        <w:t>Sponsor hearing</w:t>
      </w:r>
    </w:p>
    <w:p w14:paraId="0A3F8E1E" w14:textId="4E4409DC" w:rsidR="004C0D9B" w:rsidRPr="00836F75" w:rsidRDefault="004C0D9B" w:rsidP="004C0D9B">
      <w:pPr>
        <w:widowControl w:val="0"/>
        <w:numPr>
          <w:ilvl w:val="1"/>
          <w:numId w:val="4"/>
        </w:numPr>
        <w:spacing w:after="120"/>
        <w:ind w:left="720" w:hanging="720"/>
        <w:rPr>
          <w:rFonts w:asciiTheme="minorHAnsi" w:hAnsiTheme="minorHAnsi"/>
          <w:bCs/>
          <w:snapToGrid w:val="0"/>
        </w:rPr>
      </w:pPr>
      <w:bookmarkStart w:id="31" w:name="_Hlk76382586"/>
      <w:r>
        <w:rPr>
          <w:rFonts w:asciiTheme="minorHAnsi" w:hAnsiTheme="minorHAnsi"/>
          <w:bCs/>
          <w:snapToGrid w:val="0"/>
        </w:rPr>
        <w:t xml:space="preserve">The </w:t>
      </w:r>
      <w:r w:rsidRPr="00836F75">
        <w:rPr>
          <w:rFonts w:asciiTheme="minorHAnsi" w:hAnsiTheme="minorHAnsi"/>
          <w:bCs/>
          <w:snapToGrid w:val="0"/>
        </w:rPr>
        <w:t>sponsor requested a hearing for this item. The clinician</w:t>
      </w:r>
      <w:r w:rsidR="00682D6F">
        <w:rPr>
          <w:rFonts w:asciiTheme="minorHAnsi" w:hAnsiTheme="minorHAnsi"/>
          <w:bCs/>
          <w:snapToGrid w:val="0"/>
        </w:rPr>
        <w:t>s</w:t>
      </w:r>
      <w:r w:rsidR="00F85FF9">
        <w:rPr>
          <w:rFonts w:asciiTheme="minorHAnsi" w:hAnsiTheme="minorHAnsi"/>
          <w:bCs/>
          <w:snapToGrid w:val="0"/>
        </w:rPr>
        <w:t xml:space="preserve"> considered</w:t>
      </w:r>
      <w:r w:rsidR="00682D6F">
        <w:rPr>
          <w:rFonts w:asciiTheme="minorHAnsi" w:hAnsiTheme="minorHAnsi"/>
          <w:bCs/>
          <w:snapToGrid w:val="0"/>
        </w:rPr>
        <w:t xml:space="preserve"> the proposed place in therapy for apremilast</w:t>
      </w:r>
      <w:r w:rsidR="00F85FF9">
        <w:rPr>
          <w:rFonts w:asciiTheme="minorHAnsi" w:hAnsiTheme="minorHAnsi"/>
          <w:bCs/>
          <w:snapToGrid w:val="0"/>
        </w:rPr>
        <w:t xml:space="preserve"> was reasonable</w:t>
      </w:r>
      <w:r w:rsidR="009055C5">
        <w:rPr>
          <w:rFonts w:asciiTheme="minorHAnsi" w:hAnsiTheme="minorHAnsi"/>
          <w:bCs/>
          <w:snapToGrid w:val="0"/>
        </w:rPr>
        <w:t>, however noted a preferred positioning would be after a patient failed or was ineligible for methotrexate (i.e. similar to the current listing of leflunomide)</w:t>
      </w:r>
      <w:r w:rsidR="00F85FF9">
        <w:rPr>
          <w:rFonts w:asciiTheme="minorHAnsi" w:hAnsiTheme="minorHAnsi"/>
          <w:bCs/>
          <w:snapToGrid w:val="0"/>
        </w:rPr>
        <w:t xml:space="preserve">. The clinicians </w:t>
      </w:r>
      <w:r w:rsidR="009055C5">
        <w:rPr>
          <w:rFonts w:asciiTheme="minorHAnsi" w:hAnsiTheme="minorHAnsi"/>
          <w:bCs/>
          <w:snapToGrid w:val="0"/>
        </w:rPr>
        <w:t xml:space="preserve">stated there was a need for additional treatment options for the three cohorts of patients identified in the </w:t>
      </w:r>
      <w:r w:rsidR="009E57BC">
        <w:rPr>
          <w:rFonts w:asciiTheme="minorHAnsi" w:hAnsiTheme="minorHAnsi"/>
          <w:bCs/>
          <w:snapToGrid w:val="0"/>
        </w:rPr>
        <w:t>re</w:t>
      </w:r>
      <w:r w:rsidR="009055C5">
        <w:rPr>
          <w:rFonts w:asciiTheme="minorHAnsi" w:hAnsiTheme="minorHAnsi"/>
          <w:bCs/>
          <w:snapToGrid w:val="0"/>
        </w:rPr>
        <w:t xml:space="preserve">submission, as there was limited evidence for sulfasalazine and leflunomide across all domains or manifestations of PsA symptoms, and patients with a high number of co-morbidities may be ineligible or intolerant for the range of bDMARDs available for PsA. </w:t>
      </w:r>
    </w:p>
    <w:bookmarkEnd w:id="31"/>
    <w:p w14:paraId="441E429E" w14:textId="77777777" w:rsidR="004C0D9B" w:rsidRPr="006E1229" w:rsidRDefault="004C0D9B" w:rsidP="004D045F">
      <w:pPr>
        <w:pStyle w:val="4-SubsectionHeading"/>
      </w:pPr>
      <w:r w:rsidRPr="006E1229">
        <w:t>Consumer comments</w:t>
      </w:r>
    </w:p>
    <w:p w14:paraId="57EE8369" w14:textId="7049EFA5" w:rsidR="004C0D9B" w:rsidRPr="00836F75" w:rsidRDefault="004C0D9B" w:rsidP="004C0D9B">
      <w:pPr>
        <w:widowControl w:val="0"/>
        <w:numPr>
          <w:ilvl w:val="1"/>
          <w:numId w:val="4"/>
        </w:numPr>
        <w:spacing w:after="120"/>
        <w:ind w:left="720" w:hanging="720"/>
        <w:rPr>
          <w:rFonts w:asciiTheme="minorHAnsi" w:hAnsiTheme="minorHAnsi"/>
          <w:bCs/>
          <w:snapToGrid w:val="0"/>
        </w:rPr>
      </w:pPr>
      <w:bookmarkStart w:id="32" w:name="_Hlk76382618"/>
      <w:r w:rsidRPr="00836F75">
        <w:rPr>
          <w:rFonts w:asciiTheme="minorHAnsi" w:hAnsiTheme="minorHAnsi"/>
          <w:bCs/>
          <w:snapToGrid w:val="0"/>
        </w:rPr>
        <w:t>The PBAC noted and welcomed the input from health care professionals (</w:t>
      </w:r>
      <w:r w:rsidR="009055C5">
        <w:rPr>
          <w:rFonts w:asciiTheme="minorHAnsi" w:hAnsiTheme="minorHAnsi"/>
          <w:bCs/>
          <w:snapToGrid w:val="0"/>
        </w:rPr>
        <w:t>6</w:t>
      </w:r>
      <w:r w:rsidRPr="00836F75">
        <w:rPr>
          <w:rFonts w:asciiTheme="minorHAnsi" w:hAnsiTheme="minorHAnsi"/>
          <w:bCs/>
          <w:snapToGrid w:val="0"/>
        </w:rPr>
        <w:t>) and organisations (</w:t>
      </w:r>
      <w:r w:rsidR="009055C5">
        <w:rPr>
          <w:rFonts w:asciiTheme="minorHAnsi" w:hAnsiTheme="minorHAnsi"/>
          <w:bCs/>
          <w:snapToGrid w:val="0"/>
        </w:rPr>
        <w:t>2</w:t>
      </w:r>
      <w:r w:rsidRPr="00836F75">
        <w:rPr>
          <w:rFonts w:asciiTheme="minorHAnsi" w:hAnsiTheme="minorHAnsi"/>
          <w:bCs/>
          <w:snapToGrid w:val="0"/>
        </w:rPr>
        <w:t xml:space="preserve">) via the Consumer Comments facility on the PBS website. The comments described </w:t>
      </w:r>
      <w:r w:rsidR="009055C5">
        <w:rPr>
          <w:rFonts w:asciiTheme="minorHAnsi" w:hAnsiTheme="minorHAnsi"/>
          <w:bCs/>
          <w:snapToGrid w:val="0"/>
        </w:rPr>
        <w:t>the effectiveness of apremilast in PsA and highlighted current conventional DMARD options including methotrexate, sulfasalazine and leflunomide are often not highly effective for patients and the clinical experience with apremilast is that</w:t>
      </w:r>
      <w:r w:rsidR="0084299E">
        <w:rPr>
          <w:rFonts w:asciiTheme="minorHAnsi" w:hAnsiTheme="minorHAnsi"/>
          <w:bCs/>
          <w:snapToGrid w:val="0"/>
        </w:rPr>
        <w:t xml:space="preserve"> it is</w:t>
      </w:r>
      <w:r w:rsidR="009A5C5D">
        <w:rPr>
          <w:rFonts w:asciiTheme="minorHAnsi" w:hAnsiTheme="minorHAnsi"/>
          <w:bCs/>
          <w:snapToGrid w:val="0"/>
        </w:rPr>
        <w:t xml:space="preserve"> </w:t>
      </w:r>
      <w:r w:rsidR="009055C5">
        <w:rPr>
          <w:rFonts w:asciiTheme="minorHAnsi" w:hAnsiTheme="minorHAnsi"/>
          <w:bCs/>
          <w:snapToGrid w:val="0"/>
        </w:rPr>
        <w:t xml:space="preserve">a safe and effective treatment option. </w:t>
      </w:r>
      <w:r w:rsidR="00FA6459">
        <w:rPr>
          <w:rFonts w:asciiTheme="minorHAnsi" w:hAnsiTheme="minorHAnsi"/>
          <w:bCs/>
          <w:snapToGrid w:val="0"/>
        </w:rPr>
        <w:t xml:space="preserve">The comments </w:t>
      </w:r>
      <w:r w:rsidR="00FA6459" w:rsidRPr="00FA6459">
        <w:rPr>
          <w:rFonts w:asciiTheme="minorHAnsi" w:hAnsiTheme="minorHAnsi"/>
          <w:bCs/>
          <w:snapToGrid w:val="0"/>
        </w:rPr>
        <w:t>note</w:t>
      </w:r>
      <w:r w:rsidR="00FA6459">
        <w:rPr>
          <w:rFonts w:asciiTheme="minorHAnsi" w:hAnsiTheme="minorHAnsi"/>
          <w:bCs/>
          <w:snapToGrid w:val="0"/>
        </w:rPr>
        <w:t xml:space="preserve">d </w:t>
      </w:r>
      <w:r w:rsidR="00FA6459" w:rsidRPr="00FA6459">
        <w:rPr>
          <w:rFonts w:asciiTheme="minorHAnsi" w:hAnsiTheme="minorHAnsi"/>
          <w:bCs/>
          <w:snapToGrid w:val="0"/>
        </w:rPr>
        <w:t xml:space="preserve">the gap in treatment options experienced by individuals who do not meet the criteria for treatment with </w:t>
      </w:r>
      <w:r w:rsidR="00FA6459">
        <w:rPr>
          <w:rFonts w:asciiTheme="minorHAnsi" w:hAnsiTheme="minorHAnsi"/>
          <w:bCs/>
          <w:snapToGrid w:val="0"/>
        </w:rPr>
        <w:t>b</w:t>
      </w:r>
      <w:r w:rsidR="00FA6459" w:rsidRPr="00FA6459">
        <w:rPr>
          <w:rFonts w:asciiTheme="minorHAnsi" w:hAnsiTheme="minorHAnsi"/>
          <w:bCs/>
          <w:snapToGrid w:val="0"/>
        </w:rPr>
        <w:t>DMARDs</w:t>
      </w:r>
      <w:r w:rsidR="00FA6459">
        <w:rPr>
          <w:rFonts w:asciiTheme="minorHAnsi" w:hAnsiTheme="minorHAnsi"/>
          <w:bCs/>
          <w:snapToGrid w:val="0"/>
        </w:rPr>
        <w:t>/ tsDMARDs</w:t>
      </w:r>
      <w:r w:rsidR="00FA6459" w:rsidRPr="00FA6459">
        <w:rPr>
          <w:rFonts w:asciiTheme="minorHAnsi" w:hAnsiTheme="minorHAnsi"/>
          <w:bCs/>
          <w:snapToGrid w:val="0"/>
        </w:rPr>
        <w:t>.</w:t>
      </w:r>
    </w:p>
    <w:p w14:paraId="11CB9929" w14:textId="77777777" w:rsidR="0084299E" w:rsidRDefault="004C0D9B" w:rsidP="004C0D9B">
      <w:pPr>
        <w:widowControl w:val="0"/>
        <w:numPr>
          <w:ilvl w:val="1"/>
          <w:numId w:val="4"/>
        </w:numPr>
        <w:spacing w:after="120"/>
        <w:ind w:left="720" w:hanging="720"/>
        <w:rPr>
          <w:rFonts w:asciiTheme="minorHAnsi" w:hAnsiTheme="minorHAnsi"/>
          <w:bCs/>
          <w:snapToGrid w:val="0"/>
        </w:rPr>
      </w:pPr>
      <w:r w:rsidRPr="00836F75">
        <w:rPr>
          <w:rFonts w:asciiTheme="minorHAnsi" w:hAnsiTheme="minorHAnsi"/>
          <w:bCs/>
          <w:snapToGrid w:val="0"/>
        </w:rPr>
        <w:t xml:space="preserve">The PBAC noted the advice received from </w:t>
      </w:r>
      <w:r w:rsidR="009055C5">
        <w:rPr>
          <w:rFonts w:asciiTheme="minorHAnsi" w:hAnsiTheme="minorHAnsi"/>
          <w:bCs/>
          <w:snapToGrid w:val="0"/>
        </w:rPr>
        <w:t xml:space="preserve">Musculoskeletal Australia, which outlined that </w:t>
      </w:r>
      <w:r w:rsidR="00BE4CF7">
        <w:rPr>
          <w:rFonts w:asciiTheme="minorHAnsi" w:hAnsiTheme="minorHAnsi"/>
          <w:bCs/>
          <w:snapToGrid w:val="0"/>
        </w:rPr>
        <w:t xml:space="preserve">access to apremilast would provide clinicians with more options for </w:t>
      </w:r>
      <w:r w:rsidR="00292137">
        <w:rPr>
          <w:rFonts w:asciiTheme="minorHAnsi" w:hAnsiTheme="minorHAnsi"/>
          <w:bCs/>
          <w:snapToGrid w:val="0"/>
        </w:rPr>
        <w:t xml:space="preserve">the </w:t>
      </w:r>
      <w:r w:rsidR="00BE4CF7">
        <w:rPr>
          <w:rFonts w:asciiTheme="minorHAnsi" w:hAnsiTheme="minorHAnsi"/>
          <w:bCs/>
          <w:snapToGrid w:val="0"/>
        </w:rPr>
        <w:t xml:space="preserve">treatment </w:t>
      </w:r>
      <w:r w:rsidR="00292137">
        <w:rPr>
          <w:rFonts w:asciiTheme="minorHAnsi" w:hAnsiTheme="minorHAnsi"/>
          <w:bCs/>
          <w:snapToGrid w:val="0"/>
        </w:rPr>
        <w:t xml:space="preserve">of </w:t>
      </w:r>
      <w:r w:rsidR="00BE4CF7">
        <w:rPr>
          <w:rFonts w:asciiTheme="minorHAnsi" w:hAnsiTheme="minorHAnsi"/>
          <w:bCs/>
          <w:snapToGrid w:val="0"/>
        </w:rPr>
        <w:t xml:space="preserve">patients with severe disease that are unresponsive to existing conventional options, and highlighted the favourable safety and tolerability profile compared to some of the alternative treatments. </w:t>
      </w:r>
    </w:p>
    <w:p w14:paraId="74342F14" w14:textId="2CEF5A9A" w:rsidR="004C0D9B" w:rsidRDefault="00BE4CF7" w:rsidP="004C0D9B">
      <w:pPr>
        <w:widowControl w:val="0"/>
        <w:numPr>
          <w:ilvl w:val="1"/>
          <w:numId w:val="4"/>
        </w:numPr>
        <w:spacing w:after="120"/>
        <w:ind w:left="720" w:hanging="720"/>
        <w:rPr>
          <w:rFonts w:asciiTheme="minorHAnsi" w:hAnsiTheme="minorHAnsi"/>
          <w:bCs/>
          <w:snapToGrid w:val="0"/>
        </w:rPr>
      </w:pPr>
      <w:r>
        <w:rPr>
          <w:rFonts w:asciiTheme="minorHAnsi" w:hAnsiTheme="minorHAnsi"/>
          <w:bCs/>
          <w:snapToGrid w:val="0"/>
        </w:rPr>
        <w:t xml:space="preserve">The PBAC noted advice from the Australian Rheumatology Association (ARA), which outlined the novel mechanism of action of apremilast, its favourable safety profile and highlighted the quality of data in PsA from clinical trials was stronger than many of the conventional DMARDs. </w:t>
      </w:r>
      <w:r w:rsidR="0084299E">
        <w:rPr>
          <w:rFonts w:asciiTheme="minorHAnsi" w:hAnsiTheme="minorHAnsi"/>
          <w:bCs/>
          <w:snapToGrid w:val="0"/>
        </w:rPr>
        <w:t xml:space="preserve">The ARA noted treatment guidelines stated that, whenever possible, a drug that is effective for a patient’s skin and joint disease should be used. The ARA stated that good arthritis control is important, even in </w:t>
      </w:r>
      <w:r w:rsidR="00EC63F0">
        <w:rPr>
          <w:rFonts w:asciiTheme="minorHAnsi" w:hAnsiTheme="minorHAnsi"/>
          <w:bCs/>
          <w:snapToGrid w:val="0"/>
        </w:rPr>
        <w:t>patients</w:t>
      </w:r>
      <w:r w:rsidR="0084299E">
        <w:rPr>
          <w:rFonts w:asciiTheme="minorHAnsi" w:hAnsiTheme="minorHAnsi"/>
          <w:bCs/>
          <w:snapToGrid w:val="0"/>
        </w:rPr>
        <w:t xml:space="preserve"> with only one or two affected joints, because PsA can be destructive. The ARA noted that since apremilast is already listed on the PBS for the management of severe CPP, it would be of additional value for it to also be listed for PsA. </w:t>
      </w:r>
    </w:p>
    <w:bookmarkEnd w:id="29"/>
    <w:bookmarkEnd w:id="32"/>
    <w:p w14:paraId="576F6DEF" w14:textId="77777777" w:rsidR="003A4883" w:rsidRPr="00C9624D" w:rsidRDefault="003A4883" w:rsidP="003A4883">
      <w:pPr>
        <w:pStyle w:val="4-SubsectionHeading"/>
      </w:pPr>
      <w:r w:rsidRPr="00C9624D">
        <w:lastRenderedPageBreak/>
        <w:t>Clinical trials</w:t>
      </w:r>
      <w:bookmarkEnd w:id="26"/>
      <w:bookmarkEnd w:id="30"/>
    </w:p>
    <w:p w14:paraId="68D95C2A" w14:textId="28E500E8" w:rsidR="003A4883" w:rsidRDefault="003A4883" w:rsidP="003A4883">
      <w:pPr>
        <w:pStyle w:val="3-BodyText"/>
        <w:ind w:left="720" w:hanging="720"/>
      </w:pPr>
      <w:r>
        <w:t xml:space="preserve">The </w:t>
      </w:r>
      <w:r w:rsidR="00F81FCD">
        <w:t>re</w:t>
      </w:r>
      <w:r>
        <w:t>submission was based on</w:t>
      </w:r>
      <w:r w:rsidR="00F81FCD">
        <w:t xml:space="preserve"> five randomised controlled trials of apremilast (30</w:t>
      </w:r>
      <w:r w:rsidR="004C7FC0">
        <w:t> </w:t>
      </w:r>
      <w:r w:rsidR="00F81FCD">
        <w:t>mg twice daily) compared to placebo</w:t>
      </w:r>
      <w:r>
        <w:t>:</w:t>
      </w:r>
      <w:r w:rsidR="00F81FCD">
        <w:t xml:space="preserve"> ACTIVE, PALACE 1, PALACE 2, PALACE 3 and PALACE</w:t>
      </w:r>
      <w:r w:rsidR="004C7FC0">
        <w:t> </w:t>
      </w:r>
      <w:r w:rsidR="00F81FCD">
        <w:t xml:space="preserve">4. </w:t>
      </w:r>
    </w:p>
    <w:p w14:paraId="6FAA1234" w14:textId="5E6C6AAC" w:rsidR="003A4883" w:rsidRDefault="003A4883" w:rsidP="003A4883">
      <w:pPr>
        <w:pStyle w:val="3-BodyText"/>
        <w:ind w:left="720" w:hanging="720"/>
      </w:pPr>
      <w:r>
        <w:t xml:space="preserve">The ACTIVE trial, completed in November 2016, has not been considered by the PBAC. The PALACE 1-4 trials were considered by the PBAC in the March and November 2015 submissions for apremilast in this indication. </w:t>
      </w:r>
    </w:p>
    <w:p w14:paraId="6A894A3A" w14:textId="0BA430DA" w:rsidR="003A4883" w:rsidRPr="0029191D" w:rsidRDefault="003A4883" w:rsidP="003A4883">
      <w:pPr>
        <w:pStyle w:val="3-BodyText"/>
        <w:ind w:left="720" w:hanging="720"/>
      </w:pPr>
      <w:bookmarkStart w:id="33" w:name="_Ref132226091"/>
      <w:r>
        <w:t>This submission presented extended follow-up data for the PALACE 1-4 trials (until week 260 for the PALACE 1-3 trials and until week 208 for the PALACE 4 trial). The November 2015 PBAC submission included data for the PALACE 1 and 3 trials until week 104 and the PALACE 2 trial until week 52.</w:t>
      </w:r>
      <w:bookmarkEnd w:id="33"/>
    </w:p>
    <w:p w14:paraId="2FF17E4B" w14:textId="6A3A3051" w:rsidR="003A4883" w:rsidRPr="001406E6" w:rsidRDefault="003A4883" w:rsidP="003A4883">
      <w:pPr>
        <w:pStyle w:val="3-BodyText"/>
        <w:ind w:left="720" w:hanging="720"/>
      </w:pPr>
      <w:r w:rsidRPr="001406E6">
        <w:t xml:space="preserve">The submission also presented subgroup analyses for prior </w:t>
      </w:r>
      <w:r w:rsidR="00FE1CFB" w:rsidRPr="001406E6">
        <w:t>csDMARDs</w:t>
      </w:r>
      <w:r w:rsidRPr="001406E6">
        <w:t xml:space="preserve"> exposure and baseline disease activity in the ACTIVE trial, prior </w:t>
      </w:r>
      <w:r w:rsidR="00FE1CFB" w:rsidRPr="001406E6">
        <w:t>csDMARDs</w:t>
      </w:r>
      <w:r w:rsidRPr="001406E6">
        <w:t xml:space="preserve"> and b</w:t>
      </w:r>
      <w:r w:rsidR="00B8317F">
        <w:t>DMARD</w:t>
      </w:r>
      <w:r w:rsidRPr="001406E6">
        <w:t xml:space="preserve"> exposure in the PALACE 1-3 trials.</w:t>
      </w:r>
    </w:p>
    <w:p w14:paraId="5E86DA50" w14:textId="0E443E46" w:rsidR="003A4883" w:rsidRPr="00B50DB8" w:rsidRDefault="003A4883" w:rsidP="003A4883">
      <w:pPr>
        <w:pStyle w:val="3-BodyText"/>
        <w:ind w:left="720" w:hanging="720"/>
      </w:pPr>
      <w:r>
        <w:rPr>
          <w:snapToGrid/>
          <w:lang w:val="en-US"/>
        </w:rPr>
        <w:t xml:space="preserve">Details of the trials presented in the submission are provided in </w:t>
      </w:r>
      <w:r>
        <w:rPr>
          <w:snapToGrid/>
          <w:lang w:val="en-US"/>
        </w:rPr>
        <w:fldChar w:fldCharType="begin"/>
      </w:r>
      <w:r>
        <w:rPr>
          <w:snapToGrid/>
          <w:lang w:val="en-US"/>
        </w:rPr>
        <w:instrText xml:space="preserve"> REF _Ref104803956 \h </w:instrText>
      </w:r>
      <w:r>
        <w:rPr>
          <w:snapToGrid/>
          <w:lang w:val="en-US"/>
        </w:rPr>
      </w:r>
      <w:r>
        <w:rPr>
          <w:snapToGrid/>
          <w:lang w:val="en-US"/>
        </w:rPr>
        <w:fldChar w:fldCharType="separate"/>
      </w:r>
      <w:r w:rsidR="00A05E81">
        <w:t xml:space="preserve">Table </w:t>
      </w:r>
      <w:r w:rsidR="00A05E81">
        <w:rPr>
          <w:noProof/>
        </w:rPr>
        <w:t>3</w:t>
      </w:r>
      <w:r>
        <w:rPr>
          <w:snapToGrid/>
          <w:lang w:val="en-US"/>
        </w:rPr>
        <w:fldChar w:fldCharType="end"/>
      </w:r>
      <w:r>
        <w:rPr>
          <w:snapToGrid/>
          <w:lang w:val="en-US"/>
        </w:rPr>
        <w:t xml:space="preserve">. </w:t>
      </w:r>
    </w:p>
    <w:p w14:paraId="76720B72" w14:textId="0E4220AF" w:rsidR="003A4883" w:rsidRPr="002E4F02" w:rsidRDefault="003A4883" w:rsidP="003A4883">
      <w:pPr>
        <w:pStyle w:val="TableFigureHeading"/>
        <w:rPr>
          <w:rStyle w:val="CommentReference"/>
          <w:b/>
          <w:szCs w:val="24"/>
        </w:rPr>
      </w:pPr>
      <w:bookmarkStart w:id="34" w:name="_Ref104803956"/>
      <w:r>
        <w:t xml:space="preserve">Table </w:t>
      </w:r>
      <w:r w:rsidR="00A05E81">
        <w:fldChar w:fldCharType="begin"/>
      </w:r>
      <w:r w:rsidR="00A05E81">
        <w:instrText xml:space="preserve"> SEQ Table \* ARABIC </w:instrText>
      </w:r>
      <w:r w:rsidR="00A05E81">
        <w:fldChar w:fldCharType="separate"/>
      </w:r>
      <w:r w:rsidR="00A05E81">
        <w:rPr>
          <w:noProof/>
        </w:rPr>
        <w:t>3</w:t>
      </w:r>
      <w:r w:rsidR="00A05E81">
        <w:rPr>
          <w:noProof/>
        </w:rPr>
        <w:fldChar w:fldCharType="end"/>
      </w:r>
      <w:bookmarkEnd w:id="34"/>
      <w:r>
        <w:t>:</w:t>
      </w:r>
      <w:r w:rsidRPr="002E4F02">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3A4883" w:rsidRPr="0033470C" w14:paraId="4EBF1ED5" w14:textId="77777777" w:rsidTr="00146FF1">
        <w:trPr>
          <w:cantSplit/>
          <w:tblHeader/>
        </w:trPr>
        <w:tc>
          <w:tcPr>
            <w:tcW w:w="795" w:type="pct"/>
            <w:vAlign w:val="center"/>
          </w:tcPr>
          <w:p w14:paraId="102E1332" w14:textId="77777777" w:rsidR="003A4883" w:rsidRPr="0033470C" w:rsidRDefault="003A4883" w:rsidP="001A5767">
            <w:pPr>
              <w:pStyle w:val="In-tableHeading"/>
              <w:keepNext w:val="0"/>
              <w:jc w:val="center"/>
            </w:pPr>
            <w:r w:rsidRPr="0033470C">
              <w:t>Trial ID</w:t>
            </w:r>
          </w:p>
        </w:tc>
        <w:tc>
          <w:tcPr>
            <w:tcW w:w="2803" w:type="pct"/>
            <w:vAlign w:val="center"/>
          </w:tcPr>
          <w:p w14:paraId="52A32587" w14:textId="77777777" w:rsidR="003A4883" w:rsidRPr="0033470C" w:rsidRDefault="003A4883" w:rsidP="001A5767">
            <w:pPr>
              <w:pStyle w:val="In-tableHeading"/>
              <w:keepNext w:val="0"/>
              <w:jc w:val="center"/>
            </w:pPr>
            <w:r w:rsidRPr="0033470C">
              <w:t>Protocol title/ Publication title</w:t>
            </w:r>
          </w:p>
        </w:tc>
        <w:tc>
          <w:tcPr>
            <w:tcW w:w="1402" w:type="pct"/>
            <w:vAlign w:val="center"/>
          </w:tcPr>
          <w:p w14:paraId="57E38701" w14:textId="77777777" w:rsidR="003A4883" w:rsidRPr="0033470C" w:rsidRDefault="003A4883" w:rsidP="001A5767">
            <w:pPr>
              <w:pStyle w:val="In-tableHeading"/>
              <w:keepNext w:val="0"/>
              <w:jc w:val="center"/>
            </w:pPr>
            <w:r w:rsidRPr="0033470C">
              <w:t>Publication citation</w:t>
            </w:r>
          </w:p>
        </w:tc>
      </w:tr>
      <w:tr w:rsidR="003A4883" w:rsidRPr="0033470C" w14:paraId="70EACAFA" w14:textId="77777777" w:rsidTr="00146FF1">
        <w:trPr>
          <w:cantSplit/>
        </w:trPr>
        <w:tc>
          <w:tcPr>
            <w:tcW w:w="795" w:type="pct"/>
            <w:vMerge w:val="restart"/>
            <w:vAlign w:val="center"/>
          </w:tcPr>
          <w:p w14:paraId="150EB9AF" w14:textId="77777777" w:rsidR="003A4883" w:rsidRPr="0033470C" w:rsidRDefault="003A4883" w:rsidP="001A5767">
            <w:pPr>
              <w:pStyle w:val="TableText0"/>
              <w:keepNext w:val="0"/>
              <w:rPr>
                <w:szCs w:val="20"/>
              </w:rPr>
            </w:pPr>
            <w:r w:rsidRPr="0033470C">
              <w:t>ACTIVE</w:t>
            </w:r>
            <w:r w:rsidRPr="0033470C">
              <w:br/>
              <w:t>NCT01925768</w:t>
            </w:r>
          </w:p>
        </w:tc>
        <w:tc>
          <w:tcPr>
            <w:tcW w:w="2803" w:type="pct"/>
            <w:tcBorders>
              <w:bottom w:val="nil"/>
            </w:tcBorders>
            <w:vAlign w:val="center"/>
          </w:tcPr>
          <w:p w14:paraId="70F61C0E" w14:textId="77777777" w:rsidR="003A4883" w:rsidRPr="0033470C" w:rsidRDefault="003A4883" w:rsidP="001A5767">
            <w:pPr>
              <w:pStyle w:val="TableText0"/>
              <w:keepNext w:val="0"/>
            </w:pPr>
            <w:r w:rsidRPr="0033470C">
              <w:t>CC-10004-PSA-006 A phase 3b, multicenter, randomized, double-blind, placebo-controlled, parallel-group study to evaluate the efficacy and safety of apremilast (cc-10004) monotherapy in subjects with active psoriatic arthritis</w:t>
            </w:r>
          </w:p>
        </w:tc>
        <w:tc>
          <w:tcPr>
            <w:tcW w:w="1402" w:type="pct"/>
            <w:tcBorders>
              <w:bottom w:val="nil"/>
            </w:tcBorders>
            <w:vAlign w:val="center"/>
          </w:tcPr>
          <w:p w14:paraId="2C9F28BE" w14:textId="77777777" w:rsidR="003A4883" w:rsidRPr="0033470C" w:rsidRDefault="003A4883" w:rsidP="001A5767">
            <w:pPr>
              <w:pStyle w:val="TableText0"/>
              <w:keepNext w:val="0"/>
              <w:rPr>
                <w:rFonts w:ascii="Times" w:hAnsi="Times"/>
              </w:rPr>
            </w:pPr>
            <w:r w:rsidRPr="0033470C">
              <w:t>CSR, 13 June 2017</w:t>
            </w:r>
          </w:p>
        </w:tc>
      </w:tr>
      <w:tr w:rsidR="003A4883" w:rsidRPr="0033470C" w14:paraId="2F9D418D" w14:textId="77777777" w:rsidTr="00146FF1">
        <w:trPr>
          <w:cantSplit/>
        </w:trPr>
        <w:tc>
          <w:tcPr>
            <w:tcW w:w="795" w:type="pct"/>
            <w:vMerge/>
            <w:vAlign w:val="center"/>
          </w:tcPr>
          <w:p w14:paraId="7A79BD5F" w14:textId="77777777" w:rsidR="003A4883" w:rsidRPr="0033470C" w:rsidRDefault="003A4883" w:rsidP="001A5767">
            <w:pPr>
              <w:pStyle w:val="TableText0"/>
              <w:keepNext w:val="0"/>
              <w:jc w:val="center"/>
            </w:pPr>
          </w:p>
        </w:tc>
        <w:tc>
          <w:tcPr>
            <w:tcW w:w="2803" w:type="pct"/>
            <w:tcBorders>
              <w:top w:val="nil"/>
              <w:bottom w:val="nil"/>
            </w:tcBorders>
            <w:vAlign w:val="center"/>
          </w:tcPr>
          <w:p w14:paraId="2B62DCB9" w14:textId="77777777" w:rsidR="003A4883" w:rsidRPr="0033470C" w:rsidRDefault="003A4883" w:rsidP="001A5767">
            <w:pPr>
              <w:pStyle w:val="TableText0"/>
              <w:keepNext w:val="0"/>
            </w:pPr>
            <w:r w:rsidRPr="0033470C">
              <w:rPr>
                <w:szCs w:val="18"/>
              </w:rPr>
              <w:t>Nash P, Ohson K, Walsh J et al. Early and sustained efficacy with apremilast monotherapy in biological-naïve patients with psoriatic arthritis: a phase IIIB, randomised controlled trial (ACTIVE).</w:t>
            </w:r>
          </w:p>
        </w:tc>
        <w:tc>
          <w:tcPr>
            <w:tcW w:w="1402" w:type="pct"/>
            <w:tcBorders>
              <w:top w:val="nil"/>
              <w:bottom w:val="nil"/>
            </w:tcBorders>
            <w:vAlign w:val="center"/>
          </w:tcPr>
          <w:p w14:paraId="0ABA7EC0" w14:textId="77777777" w:rsidR="003A4883" w:rsidRPr="0033470C" w:rsidRDefault="003A4883" w:rsidP="001A5767">
            <w:pPr>
              <w:pStyle w:val="TableText0"/>
              <w:keepNext w:val="0"/>
            </w:pPr>
            <w:r w:rsidRPr="0033470C">
              <w:t>Ann Rheum Dis. 2018; 77(5):690-698</w:t>
            </w:r>
          </w:p>
        </w:tc>
      </w:tr>
      <w:tr w:rsidR="003A4883" w:rsidRPr="0033470C" w14:paraId="05DF5791" w14:textId="77777777" w:rsidTr="00146FF1">
        <w:trPr>
          <w:cantSplit/>
        </w:trPr>
        <w:tc>
          <w:tcPr>
            <w:tcW w:w="795" w:type="pct"/>
            <w:vMerge/>
            <w:vAlign w:val="center"/>
          </w:tcPr>
          <w:p w14:paraId="3EE881BC" w14:textId="77777777" w:rsidR="003A4883" w:rsidRPr="0033470C" w:rsidRDefault="003A4883" w:rsidP="001A5767">
            <w:pPr>
              <w:pStyle w:val="TableText0"/>
              <w:keepNext w:val="0"/>
              <w:jc w:val="center"/>
            </w:pPr>
          </w:p>
        </w:tc>
        <w:tc>
          <w:tcPr>
            <w:tcW w:w="2803" w:type="pct"/>
            <w:tcBorders>
              <w:top w:val="nil"/>
              <w:bottom w:val="single" w:sz="4" w:space="0" w:color="auto"/>
            </w:tcBorders>
            <w:vAlign w:val="center"/>
          </w:tcPr>
          <w:p w14:paraId="78C5D605" w14:textId="77777777" w:rsidR="003A4883" w:rsidRPr="0033470C" w:rsidRDefault="003A4883" w:rsidP="001A5767">
            <w:pPr>
              <w:pStyle w:val="TableText0"/>
              <w:keepNext w:val="0"/>
              <w:rPr>
                <w:lang w:val="en-US"/>
              </w:rPr>
            </w:pPr>
            <w:r w:rsidRPr="0033470C">
              <w:rPr>
                <w:szCs w:val="18"/>
              </w:rPr>
              <w:t>Nash P, Richter S, Jardon S et al. Probability of achieving treatment targets with apremilast monotherapy in biologic-naive psoriatic arthritis patients in ACTIVE with moderate and high baseline disease activity.</w:t>
            </w:r>
          </w:p>
        </w:tc>
        <w:tc>
          <w:tcPr>
            <w:tcW w:w="1402" w:type="pct"/>
            <w:tcBorders>
              <w:top w:val="nil"/>
              <w:bottom w:val="single" w:sz="4" w:space="0" w:color="auto"/>
            </w:tcBorders>
            <w:vAlign w:val="center"/>
          </w:tcPr>
          <w:p w14:paraId="58B07E04" w14:textId="77777777" w:rsidR="003A4883" w:rsidRPr="0033470C" w:rsidRDefault="003A4883" w:rsidP="001A5767">
            <w:pPr>
              <w:pStyle w:val="TableText0"/>
              <w:keepNext w:val="0"/>
              <w:rPr>
                <w:lang w:val="en-US"/>
              </w:rPr>
            </w:pPr>
            <w:r w:rsidRPr="0033470C">
              <w:t>Annals of the Rheumatic Diseases 2021; 80:1310-1311.</w:t>
            </w:r>
          </w:p>
        </w:tc>
      </w:tr>
      <w:tr w:rsidR="0076384B" w:rsidRPr="0033470C" w14:paraId="7872A9A3" w14:textId="77777777" w:rsidTr="0076384B">
        <w:trPr>
          <w:cantSplit/>
        </w:trPr>
        <w:tc>
          <w:tcPr>
            <w:tcW w:w="795" w:type="pct"/>
            <w:vMerge w:val="restart"/>
            <w:vAlign w:val="center"/>
          </w:tcPr>
          <w:p w14:paraId="642F0FAB" w14:textId="77777777" w:rsidR="0076384B" w:rsidRPr="0033470C" w:rsidRDefault="0076384B" w:rsidP="001A5767">
            <w:pPr>
              <w:pStyle w:val="TableText0"/>
              <w:keepNext w:val="0"/>
            </w:pPr>
            <w:r w:rsidRPr="0033470C">
              <w:t>PALACE 1</w:t>
            </w:r>
          </w:p>
          <w:p w14:paraId="7C790396" w14:textId="77777777" w:rsidR="0076384B" w:rsidRPr="0033470C" w:rsidRDefault="0076384B" w:rsidP="001A5767">
            <w:pPr>
              <w:pStyle w:val="TableText0"/>
              <w:keepNext w:val="0"/>
              <w:rPr>
                <w:rFonts w:ascii="Times" w:hAnsi="Times"/>
              </w:rPr>
            </w:pPr>
            <w:r w:rsidRPr="0033470C">
              <w:t>NCT01172938</w:t>
            </w:r>
          </w:p>
        </w:tc>
        <w:tc>
          <w:tcPr>
            <w:tcW w:w="2803" w:type="pct"/>
            <w:tcBorders>
              <w:bottom w:val="nil"/>
            </w:tcBorders>
            <w:vAlign w:val="center"/>
          </w:tcPr>
          <w:p w14:paraId="498B83FB" w14:textId="77777777" w:rsidR="0076384B" w:rsidRPr="0033470C" w:rsidRDefault="0076384B" w:rsidP="001A5767">
            <w:pPr>
              <w:pStyle w:val="TableText0"/>
              <w:keepNext w:val="0"/>
              <w:rPr>
                <w:rFonts w:ascii="Times" w:hAnsi="Times"/>
              </w:rPr>
            </w:pPr>
            <w:r w:rsidRPr="0033470C">
              <w:t>CC-10004-PSA-002 A phase 3, multicenter, randomized, double-blind, placebo-controlled, parallel-group, efficacy and safety study of two doses of apremilast (CC-10004) in subjects with active psoriatic arthritis</w:t>
            </w:r>
          </w:p>
        </w:tc>
        <w:tc>
          <w:tcPr>
            <w:tcW w:w="1402" w:type="pct"/>
            <w:tcBorders>
              <w:bottom w:val="nil"/>
            </w:tcBorders>
            <w:vAlign w:val="center"/>
          </w:tcPr>
          <w:p w14:paraId="08532302" w14:textId="77777777" w:rsidR="0076384B" w:rsidRPr="0033470C" w:rsidRDefault="0076384B" w:rsidP="001A5767">
            <w:pPr>
              <w:pStyle w:val="TableText0"/>
              <w:keepNext w:val="0"/>
            </w:pPr>
            <w:r w:rsidRPr="0033470C">
              <w:t>CSR, 26 September 2013</w:t>
            </w:r>
          </w:p>
        </w:tc>
      </w:tr>
      <w:tr w:rsidR="0076384B" w:rsidRPr="0033470C" w14:paraId="42DA27BC" w14:textId="77777777" w:rsidTr="0076384B">
        <w:trPr>
          <w:cantSplit/>
        </w:trPr>
        <w:tc>
          <w:tcPr>
            <w:tcW w:w="795" w:type="pct"/>
            <w:vMerge/>
            <w:vAlign w:val="center"/>
          </w:tcPr>
          <w:p w14:paraId="6A759AC9" w14:textId="64AA498B" w:rsidR="0076384B" w:rsidRPr="0033470C" w:rsidRDefault="0076384B" w:rsidP="001A5767">
            <w:pPr>
              <w:pStyle w:val="TableText0"/>
              <w:keepNext w:val="0"/>
            </w:pPr>
          </w:p>
        </w:tc>
        <w:tc>
          <w:tcPr>
            <w:tcW w:w="2803" w:type="pct"/>
            <w:tcBorders>
              <w:top w:val="nil"/>
              <w:bottom w:val="nil"/>
            </w:tcBorders>
            <w:vAlign w:val="center"/>
          </w:tcPr>
          <w:p w14:paraId="3CBFF041" w14:textId="77777777" w:rsidR="0076384B" w:rsidRPr="0033470C" w:rsidRDefault="0076384B" w:rsidP="001A5767">
            <w:pPr>
              <w:pStyle w:val="TableText0"/>
              <w:keepNext w:val="0"/>
            </w:pPr>
            <w:r w:rsidRPr="0033470C">
              <w:t>Kavanaugh A, Mease PJ, Gomez-Reino JJ et al. Treatment of psoriatic arthritis in a phase 3 randomised, placebo-controlled trial with apremilast, an oral phosphodiesterase 4 inhibitor.</w:t>
            </w:r>
          </w:p>
        </w:tc>
        <w:tc>
          <w:tcPr>
            <w:tcW w:w="1402" w:type="pct"/>
            <w:tcBorders>
              <w:top w:val="nil"/>
              <w:bottom w:val="nil"/>
            </w:tcBorders>
            <w:vAlign w:val="center"/>
          </w:tcPr>
          <w:p w14:paraId="2A70C249" w14:textId="77777777" w:rsidR="0076384B" w:rsidRPr="0033470C" w:rsidRDefault="0076384B" w:rsidP="001A5767">
            <w:pPr>
              <w:pStyle w:val="TableText0"/>
              <w:keepNext w:val="0"/>
            </w:pPr>
            <w:r w:rsidRPr="0033470C">
              <w:t>Ann Rheum Dis. 2014; 73(6):1020-6</w:t>
            </w:r>
          </w:p>
        </w:tc>
      </w:tr>
      <w:tr w:rsidR="0076384B" w:rsidRPr="0033470C" w14:paraId="7B85C2D9" w14:textId="77777777" w:rsidTr="00EF48B5">
        <w:trPr>
          <w:cantSplit/>
        </w:trPr>
        <w:tc>
          <w:tcPr>
            <w:tcW w:w="795" w:type="pct"/>
            <w:vMerge/>
            <w:tcBorders>
              <w:bottom w:val="single" w:sz="4" w:space="0" w:color="auto"/>
            </w:tcBorders>
            <w:vAlign w:val="center"/>
          </w:tcPr>
          <w:p w14:paraId="4633407F" w14:textId="77777777" w:rsidR="0076384B" w:rsidRPr="0033470C" w:rsidRDefault="0076384B" w:rsidP="001A5767">
            <w:pPr>
              <w:pStyle w:val="TableText0"/>
              <w:keepNext w:val="0"/>
              <w:jc w:val="center"/>
            </w:pPr>
          </w:p>
        </w:tc>
        <w:tc>
          <w:tcPr>
            <w:tcW w:w="2803" w:type="pct"/>
            <w:tcBorders>
              <w:top w:val="nil"/>
              <w:bottom w:val="single" w:sz="4" w:space="0" w:color="auto"/>
            </w:tcBorders>
            <w:vAlign w:val="center"/>
          </w:tcPr>
          <w:p w14:paraId="373E22E0" w14:textId="77777777" w:rsidR="0076384B" w:rsidRPr="0033470C" w:rsidRDefault="0076384B" w:rsidP="001A5767">
            <w:pPr>
              <w:pStyle w:val="TableText0"/>
              <w:keepNext w:val="0"/>
            </w:pPr>
            <w:r w:rsidRPr="0033470C">
              <w:rPr>
                <w:szCs w:val="18"/>
              </w:rPr>
              <w:t>Kavanaugh A, Mease PJ, Gomez-Reino JJ et al. Longterm (52-week) results of a phase III randomized, controlled trial of apremilast in patients with psoriatic arthritis</w:t>
            </w:r>
          </w:p>
        </w:tc>
        <w:tc>
          <w:tcPr>
            <w:tcW w:w="1402" w:type="pct"/>
            <w:tcBorders>
              <w:top w:val="nil"/>
              <w:bottom w:val="single" w:sz="4" w:space="0" w:color="auto"/>
            </w:tcBorders>
            <w:vAlign w:val="center"/>
          </w:tcPr>
          <w:p w14:paraId="65CCC3F0" w14:textId="77777777" w:rsidR="0076384B" w:rsidRPr="0033470C" w:rsidRDefault="0076384B" w:rsidP="001A5767">
            <w:pPr>
              <w:pStyle w:val="TableText0"/>
              <w:keepNext w:val="0"/>
              <w:rPr>
                <w:rFonts w:ascii="Times" w:hAnsi="Times"/>
              </w:rPr>
            </w:pPr>
            <w:r w:rsidRPr="0033470C">
              <w:t>J Rheumatol. 2015; 42(3):479-88</w:t>
            </w:r>
          </w:p>
        </w:tc>
      </w:tr>
      <w:tr w:rsidR="003A4883" w:rsidRPr="0033470C" w14:paraId="1A4137FE" w14:textId="77777777" w:rsidTr="00EF48B5">
        <w:trPr>
          <w:cantSplit/>
        </w:trPr>
        <w:tc>
          <w:tcPr>
            <w:tcW w:w="795" w:type="pct"/>
            <w:vMerge w:val="restart"/>
            <w:tcBorders>
              <w:bottom w:val="single" w:sz="4" w:space="0" w:color="auto"/>
            </w:tcBorders>
            <w:vAlign w:val="center"/>
          </w:tcPr>
          <w:p w14:paraId="5590F7EA" w14:textId="77777777" w:rsidR="003A4883" w:rsidRPr="0033470C" w:rsidRDefault="003A4883" w:rsidP="001A5767">
            <w:pPr>
              <w:pStyle w:val="TableText0"/>
              <w:keepNext w:val="0"/>
            </w:pPr>
            <w:r w:rsidRPr="0033470C">
              <w:t>PALACE 2</w:t>
            </w:r>
          </w:p>
          <w:p w14:paraId="3583BA3A" w14:textId="77777777" w:rsidR="003A4883" w:rsidRPr="0033470C" w:rsidRDefault="003A4883" w:rsidP="001A5767">
            <w:pPr>
              <w:pStyle w:val="TableText0"/>
              <w:keepNext w:val="0"/>
            </w:pPr>
            <w:r w:rsidRPr="0033470C">
              <w:t>NCT01212757</w:t>
            </w:r>
          </w:p>
        </w:tc>
        <w:tc>
          <w:tcPr>
            <w:tcW w:w="2803" w:type="pct"/>
            <w:tcBorders>
              <w:bottom w:val="single" w:sz="4" w:space="0" w:color="auto"/>
            </w:tcBorders>
            <w:vAlign w:val="center"/>
          </w:tcPr>
          <w:p w14:paraId="198C2454" w14:textId="77777777" w:rsidR="003A4883" w:rsidRPr="0033470C" w:rsidRDefault="003A4883" w:rsidP="001A5767">
            <w:pPr>
              <w:pStyle w:val="TableText0"/>
              <w:keepNext w:val="0"/>
              <w:rPr>
                <w:rFonts w:ascii="Times" w:hAnsi="Times"/>
              </w:rPr>
            </w:pPr>
            <w:r w:rsidRPr="0033470C">
              <w:rPr>
                <w:szCs w:val="18"/>
              </w:rPr>
              <w:t>CC-10004-PSA-003 A phase 3, multicenter, randomized, double-blind, placebo-controlled, parallel-group, efficacy and safety study of two doses of apremilast (CC-10004) in subjects with active psoriatic arthritis</w:t>
            </w:r>
          </w:p>
        </w:tc>
        <w:tc>
          <w:tcPr>
            <w:tcW w:w="1402" w:type="pct"/>
            <w:tcBorders>
              <w:bottom w:val="single" w:sz="4" w:space="0" w:color="auto"/>
            </w:tcBorders>
            <w:vAlign w:val="center"/>
          </w:tcPr>
          <w:p w14:paraId="305A7B84" w14:textId="77777777" w:rsidR="003A4883" w:rsidRPr="0033470C" w:rsidRDefault="003A4883" w:rsidP="001A5767">
            <w:pPr>
              <w:pStyle w:val="TableText0"/>
              <w:keepNext w:val="0"/>
              <w:rPr>
                <w:rFonts w:ascii="Times" w:hAnsi="Times"/>
              </w:rPr>
            </w:pPr>
            <w:r w:rsidRPr="0033470C">
              <w:t>CSR, 30 September 2013</w:t>
            </w:r>
          </w:p>
        </w:tc>
      </w:tr>
      <w:tr w:rsidR="003A4883" w:rsidRPr="0033470C" w14:paraId="4C127A4A" w14:textId="77777777" w:rsidTr="00EF48B5">
        <w:trPr>
          <w:cantSplit/>
        </w:trPr>
        <w:tc>
          <w:tcPr>
            <w:tcW w:w="795" w:type="pct"/>
            <w:vMerge/>
            <w:tcBorders>
              <w:top w:val="single" w:sz="4" w:space="0" w:color="auto"/>
            </w:tcBorders>
            <w:vAlign w:val="center"/>
          </w:tcPr>
          <w:p w14:paraId="530DD839" w14:textId="77777777" w:rsidR="003A4883" w:rsidRPr="0033470C" w:rsidRDefault="003A4883" w:rsidP="001A5767">
            <w:pPr>
              <w:pStyle w:val="TableText0"/>
              <w:keepNext w:val="0"/>
              <w:jc w:val="center"/>
            </w:pPr>
          </w:p>
        </w:tc>
        <w:tc>
          <w:tcPr>
            <w:tcW w:w="2803" w:type="pct"/>
            <w:tcBorders>
              <w:top w:val="single" w:sz="4" w:space="0" w:color="auto"/>
              <w:bottom w:val="single" w:sz="4" w:space="0" w:color="auto"/>
            </w:tcBorders>
            <w:vAlign w:val="center"/>
          </w:tcPr>
          <w:p w14:paraId="552CF173" w14:textId="77777777" w:rsidR="003A4883" w:rsidRPr="0033470C" w:rsidRDefault="003A4883" w:rsidP="001A5767">
            <w:pPr>
              <w:pStyle w:val="TableText0"/>
              <w:keepNext w:val="0"/>
            </w:pPr>
            <w:r w:rsidRPr="0033470C">
              <w:rPr>
                <w:szCs w:val="18"/>
              </w:rPr>
              <w:t>Cutolo M, Myerson GE, Fleischmann RM et al. A Phase III, Randomized, Controlled Trial of Apremilast in Patients with Psoriatic Arthritis: Results of the PALACE 2 Trial.</w:t>
            </w:r>
          </w:p>
        </w:tc>
        <w:tc>
          <w:tcPr>
            <w:tcW w:w="1402" w:type="pct"/>
            <w:tcBorders>
              <w:top w:val="single" w:sz="4" w:space="0" w:color="auto"/>
              <w:bottom w:val="single" w:sz="4" w:space="0" w:color="auto"/>
            </w:tcBorders>
            <w:vAlign w:val="center"/>
          </w:tcPr>
          <w:p w14:paraId="3837B473" w14:textId="77777777" w:rsidR="003A4883" w:rsidRPr="0033470C" w:rsidRDefault="003A4883" w:rsidP="001A5767">
            <w:pPr>
              <w:pStyle w:val="TableText0"/>
              <w:keepNext w:val="0"/>
            </w:pPr>
            <w:r w:rsidRPr="0033470C">
              <w:t>J Rheumatol. 2016; 43(9):1724-34</w:t>
            </w:r>
          </w:p>
        </w:tc>
      </w:tr>
      <w:tr w:rsidR="003A4883" w:rsidRPr="0033470C" w14:paraId="0B4FC239" w14:textId="77777777" w:rsidTr="00146FF1">
        <w:trPr>
          <w:cantSplit/>
        </w:trPr>
        <w:tc>
          <w:tcPr>
            <w:tcW w:w="795" w:type="pct"/>
            <w:vMerge w:val="restart"/>
            <w:vAlign w:val="center"/>
          </w:tcPr>
          <w:p w14:paraId="7BEA52E7" w14:textId="77777777" w:rsidR="003A4883" w:rsidRPr="0033470C" w:rsidRDefault="003A4883" w:rsidP="001A5767">
            <w:pPr>
              <w:pStyle w:val="TableText0"/>
              <w:keepNext w:val="0"/>
            </w:pPr>
            <w:r w:rsidRPr="0033470C">
              <w:lastRenderedPageBreak/>
              <w:t>PALACE 3</w:t>
            </w:r>
          </w:p>
          <w:p w14:paraId="677B68F1" w14:textId="77777777" w:rsidR="003A4883" w:rsidRPr="0033470C" w:rsidRDefault="003A4883" w:rsidP="001A5767">
            <w:pPr>
              <w:pStyle w:val="TableText0"/>
              <w:keepNext w:val="0"/>
            </w:pPr>
            <w:r w:rsidRPr="0033470C">
              <w:t>NCT01212770</w:t>
            </w:r>
          </w:p>
        </w:tc>
        <w:tc>
          <w:tcPr>
            <w:tcW w:w="2803" w:type="pct"/>
            <w:tcBorders>
              <w:top w:val="single" w:sz="4" w:space="0" w:color="auto"/>
              <w:bottom w:val="single" w:sz="4" w:space="0" w:color="auto"/>
            </w:tcBorders>
            <w:vAlign w:val="center"/>
          </w:tcPr>
          <w:p w14:paraId="0475DDAA" w14:textId="77777777" w:rsidR="003A4883" w:rsidRPr="0033470C" w:rsidRDefault="003A4883" w:rsidP="001A5767">
            <w:pPr>
              <w:pStyle w:val="TableText0"/>
              <w:keepNext w:val="0"/>
              <w:rPr>
                <w:szCs w:val="18"/>
              </w:rPr>
            </w:pPr>
            <w:r w:rsidRPr="0033470C">
              <w:rPr>
                <w:szCs w:val="18"/>
              </w:rPr>
              <w:t>CC-10004-PSA-004 A phase 3, multicenter, randomized, double-blind, placebo-controlled, parallel-group, efficacy and safety study of two doses of apremilast (CC-10004) in subjects with active psoriatic arthritis and a qualifying psoriasis lesion</w:t>
            </w:r>
          </w:p>
        </w:tc>
        <w:tc>
          <w:tcPr>
            <w:tcW w:w="1402" w:type="pct"/>
            <w:tcBorders>
              <w:top w:val="single" w:sz="4" w:space="0" w:color="auto"/>
              <w:bottom w:val="single" w:sz="4" w:space="0" w:color="auto"/>
            </w:tcBorders>
            <w:vAlign w:val="center"/>
          </w:tcPr>
          <w:p w14:paraId="38C57CC1" w14:textId="77777777" w:rsidR="003A4883" w:rsidRPr="0033470C" w:rsidRDefault="003A4883" w:rsidP="001A5767">
            <w:pPr>
              <w:pStyle w:val="TableText0"/>
              <w:keepNext w:val="0"/>
            </w:pPr>
            <w:r w:rsidRPr="0033470C">
              <w:t>CSR, 26 September 2013</w:t>
            </w:r>
          </w:p>
        </w:tc>
      </w:tr>
      <w:tr w:rsidR="003A4883" w:rsidRPr="0033470C" w14:paraId="2287376A" w14:textId="77777777" w:rsidTr="00146FF1">
        <w:trPr>
          <w:cantSplit/>
        </w:trPr>
        <w:tc>
          <w:tcPr>
            <w:tcW w:w="795" w:type="pct"/>
            <w:vMerge/>
            <w:vAlign w:val="center"/>
          </w:tcPr>
          <w:p w14:paraId="0DDAAA79" w14:textId="77777777" w:rsidR="003A4883" w:rsidRPr="0033470C" w:rsidRDefault="003A4883" w:rsidP="001A5767">
            <w:pPr>
              <w:pStyle w:val="TableText0"/>
              <w:keepNext w:val="0"/>
              <w:jc w:val="center"/>
            </w:pPr>
          </w:p>
        </w:tc>
        <w:tc>
          <w:tcPr>
            <w:tcW w:w="2803" w:type="pct"/>
            <w:tcBorders>
              <w:top w:val="single" w:sz="4" w:space="0" w:color="auto"/>
              <w:bottom w:val="single" w:sz="4" w:space="0" w:color="auto"/>
            </w:tcBorders>
            <w:vAlign w:val="center"/>
          </w:tcPr>
          <w:p w14:paraId="18CAAC6A" w14:textId="77777777" w:rsidR="003A4883" w:rsidRPr="0033470C" w:rsidRDefault="003A4883" w:rsidP="001A5767">
            <w:pPr>
              <w:pStyle w:val="TableText0"/>
              <w:keepNext w:val="0"/>
              <w:rPr>
                <w:szCs w:val="18"/>
              </w:rPr>
            </w:pPr>
            <w:r w:rsidRPr="0033470C">
              <w:rPr>
                <w:szCs w:val="18"/>
              </w:rPr>
              <w:t>Edwards CJ, Blanco FJ, Crowley J et al. Apremilast, an oral phosphodiesterase 4 inhibitor, in patients with psoriatic arthritis and current skin involvement: a phase III, randomised, controlled trial (PALACE 3).</w:t>
            </w:r>
          </w:p>
        </w:tc>
        <w:tc>
          <w:tcPr>
            <w:tcW w:w="1402" w:type="pct"/>
            <w:tcBorders>
              <w:top w:val="single" w:sz="4" w:space="0" w:color="auto"/>
              <w:bottom w:val="single" w:sz="4" w:space="0" w:color="auto"/>
            </w:tcBorders>
            <w:vAlign w:val="center"/>
          </w:tcPr>
          <w:p w14:paraId="32452AC9" w14:textId="77777777" w:rsidR="003A4883" w:rsidRPr="0033470C" w:rsidRDefault="003A4883" w:rsidP="001A5767">
            <w:pPr>
              <w:pStyle w:val="TableText0"/>
              <w:keepNext w:val="0"/>
            </w:pPr>
            <w:r w:rsidRPr="0033470C">
              <w:t>Ann Rheum Dis. 2016; 75(6):1065-73</w:t>
            </w:r>
          </w:p>
        </w:tc>
      </w:tr>
      <w:tr w:rsidR="003A4883" w:rsidRPr="0033470C" w14:paraId="7EEEFCFA" w14:textId="77777777" w:rsidTr="00146FF1">
        <w:trPr>
          <w:cantSplit/>
        </w:trPr>
        <w:tc>
          <w:tcPr>
            <w:tcW w:w="795" w:type="pct"/>
            <w:vMerge w:val="restart"/>
            <w:vAlign w:val="center"/>
          </w:tcPr>
          <w:p w14:paraId="3865A18B" w14:textId="77777777" w:rsidR="003A4883" w:rsidRPr="0033470C" w:rsidRDefault="003A4883" w:rsidP="001A5767">
            <w:pPr>
              <w:pStyle w:val="TableText0"/>
              <w:keepNext w:val="0"/>
            </w:pPr>
            <w:r w:rsidRPr="0033470C">
              <w:t>PALACE 4</w:t>
            </w:r>
          </w:p>
          <w:p w14:paraId="2DF328A4" w14:textId="77777777" w:rsidR="003A4883" w:rsidRPr="0033470C" w:rsidRDefault="003A4883" w:rsidP="001A5767">
            <w:pPr>
              <w:pStyle w:val="TableText0"/>
              <w:keepNext w:val="0"/>
            </w:pPr>
            <w:r w:rsidRPr="0033470C">
              <w:t>NCT01307423</w:t>
            </w:r>
          </w:p>
        </w:tc>
        <w:tc>
          <w:tcPr>
            <w:tcW w:w="2803" w:type="pct"/>
            <w:tcBorders>
              <w:bottom w:val="nil"/>
            </w:tcBorders>
            <w:vAlign w:val="center"/>
          </w:tcPr>
          <w:p w14:paraId="646AD891" w14:textId="77777777" w:rsidR="003A4883" w:rsidRPr="0033470C" w:rsidRDefault="003A4883" w:rsidP="001A5767">
            <w:pPr>
              <w:pStyle w:val="TableText0"/>
              <w:keepNext w:val="0"/>
              <w:rPr>
                <w:szCs w:val="18"/>
              </w:rPr>
            </w:pPr>
            <w:r w:rsidRPr="0033470C">
              <w:rPr>
                <w:szCs w:val="18"/>
              </w:rPr>
              <w:t>CC-10004-PSA-005 A phase 3, multicenter, randomized, double-blind, placebo-controlled, parallel-group, efficacy and safety study of two doses of apremilast (CC-10004) in subjects with active psoriatic arthritis who have not been previously treated with disease-modifying antirheumatic drugs</w:t>
            </w:r>
          </w:p>
        </w:tc>
        <w:tc>
          <w:tcPr>
            <w:tcW w:w="1402" w:type="pct"/>
            <w:tcBorders>
              <w:bottom w:val="nil"/>
            </w:tcBorders>
            <w:vAlign w:val="center"/>
          </w:tcPr>
          <w:p w14:paraId="72032D55" w14:textId="77777777" w:rsidR="003A4883" w:rsidRPr="0033470C" w:rsidRDefault="003A4883" w:rsidP="001A5767">
            <w:pPr>
              <w:pStyle w:val="TableText0"/>
              <w:keepNext w:val="0"/>
            </w:pPr>
            <w:r w:rsidRPr="0033470C">
              <w:t>CSR, 11 December 2013</w:t>
            </w:r>
          </w:p>
        </w:tc>
      </w:tr>
      <w:tr w:rsidR="003A4883" w:rsidRPr="0033470C" w14:paraId="7A545E1E" w14:textId="77777777" w:rsidTr="00146FF1">
        <w:trPr>
          <w:cantSplit/>
        </w:trPr>
        <w:tc>
          <w:tcPr>
            <w:tcW w:w="795" w:type="pct"/>
            <w:vMerge/>
            <w:vAlign w:val="center"/>
          </w:tcPr>
          <w:p w14:paraId="316C00A0" w14:textId="77777777" w:rsidR="003A4883" w:rsidRPr="0033470C" w:rsidRDefault="003A4883" w:rsidP="001A5767">
            <w:pPr>
              <w:pStyle w:val="TableText0"/>
              <w:keepNext w:val="0"/>
              <w:jc w:val="center"/>
            </w:pPr>
          </w:p>
        </w:tc>
        <w:tc>
          <w:tcPr>
            <w:tcW w:w="2803" w:type="pct"/>
            <w:tcBorders>
              <w:top w:val="nil"/>
              <w:bottom w:val="nil"/>
            </w:tcBorders>
            <w:vAlign w:val="center"/>
          </w:tcPr>
          <w:p w14:paraId="1760D311" w14:textId="77777777" w:rsidR="003A4883" w:rsidRPr="0033470C" w:rsidRDefault="003A4883" w:rsidP="001A5767">
            <w:pPr>
              <w:pStyle w:val="TableText0"/>
              <w:keepNext w:val="0"/>
              <w:rPr>
                <w:szCs w:val="18"/>
              </w:rPr>
            </w:pPr>
            <w:r w:rsidRPr="0033470C">
              <w:rPr>
                <w:szCs w:val="18"/>
              </w:rPr>
              <w:t>Wells AF, Edwards CJ, Kivitz AJ et al. Apremilast monotherapy in DMARD-naive psoriatic arthritis patients: results of the randomized, placebo-controlled PALACE 4 trial.</w:t>
            </w:r>
          </w:p>
        </w:tc>
        <w:tc>
          <w:tcPr>
            <w:tcW w:w="1402" w:type="pct"/>
            <w:tcBorders>
              <w:top w:val="nil"/>
              <w:bottom w:val="nil"/>
            </w:tcBorders>
            <w:vAlign w:val="center"/>
          </w:tcPr>
          <w:p w14:paraId="788DFDF3" w14:textId="77777777" w:rsidR="003A4883" w:rsidRPr="0033470C" w:rsidRDefault="003A4883" w:rsidP="001A5767">
            <w:pPr>
              <w:pStyle w:val="TableText0"/>
              <w:keepNext w:val="0"/>
            </w:pPr>
            <w:r w:rsidRPr="0033470C">
              <w:t>Rheumatology (Oxford) 2018; 57(7):1253-1263</w:t>
            </w:r>
          </w:p>
        </w:tc>
      </w:tr>
      <w:tr w:rsidR="003A4883" w:rsidRPr="0033470C" w14:paraId="406D239B" w14:textId="77777777" w:rsidTr="00146FF1">
        <w:trPr>
          <w:cantSplit/>
        </w:trPr>
        <w:tc>
          <w:tcPr>
            <w:tcW w:w="795" w:type="pct"/>
            <w:vMerge/>
            <w:vAlign w:val="center"/>
          </w:tcPr>
          <w:p w14:paraId="11AB9512" w14:textId="77777777" w:rsidR="003A4883" w:rsidRPr="0033470C" w:rsidRDefault="003A4883" w:rsidP="001A5767">
            <w:pPr>
              <w:pStyle w:val="TableText0"/>
              <w:keepNext w:val="0"/>
              <w:jc w:val="center"/>
            </w:pPr>
          </w:p>
        </w:tc>
        <w:tc>
          <w:tcPr>
            <w:tcW w:w="2803" w:type="pct"/>
            <w:tcBorders>
              <w:top w:val="nil"/>
              <w:bottom w:val="single" w:sz="4" w:space="0" w:color="auto"/>
            </w:tcBorders>
            <w:vAlign w:val="center"/>
          </w:tcPr>
          <w:p w14:paraId="7E8283DD" w14:textId="77777777" w:rsidR="003A4883" w:rsidRPr="0033470C" w:rsidRDefault="003A4883" w:rsidP="001A5767">
            <w:pPr>
              <w:pStyle w:val="TableText0"/>
              <w:keepNext w:val="0"/>
              <w:rPr>
                <w:szCs w:val="18"/>
              </w:rPr>
            </w:pPr>
            <w:r w:rsidRPr="0033470C">
              <w:rPr>
                <w:szCs w:val="18"/>
              </w:rPr>
              <w:t>Wells AF, Edwards CJ, Kivitz AJ et al. Apremilast monotherapy for long-term treatment of active psoriatic arthritis in DMARD-naïve patients.</w:t>
            </w:r>
          </w:p>
        </w:tc>
        <w:tc>
          <w:tcPr>
            <w:tcW w:w="1402" w:type="pct"/>
            <w:tcBorders>
              <w:top w:val="nil"/>
              <w:bottom w:val="single" w:sz="4" w:space="0" w:color="auto"/>
            </w:tcBorders>
            <w:vAlign w:val="center"/>
          </w:tcPr>
          <w:p w14:paraId="7009BB8E" w14:textId="77777777" w:rsidR="003A4883" w:rsidRPr="0033470C" w:rsidRDefault="003A4883" w:rsidP="001A5767">
            <w:pPr>
              <w:pStyle w:val="TableText0"/>
              <w:keepNext w:val="0"/>
            </w:pPr>
            <w:r w:rsidRPr="0033470C">
              <w:t>Rheumatology (Oxford) 2022; 61(3):1035-1043</w:t>
            </w:r>
          </w:p>
        </w:tc>
      </w:tr>
      <w:tr w:rsidR="003A4883" w:rsidRPr="0033470C" w14:paraId="5E5DF555" w14:textId="77777777" w:rsidTr="00146FF1">
        <w:trPr>
          <w:cantSplit/>
        </w:trPr>
        <w:tc>
          <w:tcPr>
            <w:tcW w:w="795" w:type="pct"/>
            <w:vMerge w:val="restart"/>
            <w:vAlign w:val="center"/>
          </w:tcPr>
          <w:p w14:paraId="35FBD63D" w14:textId="77777777" w:rsidR="003A4883" w:rsidRPr="0033470C" w:rsidRDefault="003A4883" w:rsidP="00FE498C">
            <w:pPr>
              <w:pStyle w:val="TableText0"/>
              <w:keepLines/>
            </w:pPr>
            <w:r w:rsidRPr="0033470C">
              <w:t>PALACE 1-3</w:t>
            </w:r>
          </w:p>
          <w:p w14:paraId="1956AF57" w14:textId="77777777" w:rsidR="003A4883" w:rsidRPr="0033470C" w:rsidRDefault="003A4883" w:rsidP="00FE498C">
            <w:pPr>
              <w:pStyle w:val="TableText0"/>
              <w:keepLines/>
            </w:pPr>
            <w:r w:rsidRPr="0033470C">
              <w:t>Pooled analyses</w:t>
            </w:r>
          </w:p>
        </w:tc>
        <w:tc>
          <w:tcPr>
            <w:tcW w:w="2803" w:type="pct"/>
            <w:tcBorders>
              <w:bottom w:val="nil"/>
            </w:tcBorders>
            <w:vAlign w:val="center"/>
          </w:tcPr>
          <w:p w14:paraId="2D915388" w14:textId="77777777" w:rsidR="003A4883" w:rsidRPr="0033470C" w:rsidRDefault="003A4883" w:rsidP="00FE498C">
            <w:pPr>
              <w:pStyle w:val="TableText0"/>
              <w:keepLines/>
              <w:rPr>
                <w:szCs w:val="18"/>
              </w:rPr>
            </w:pPr>
            <w:r w:rsidRPr="0033470C">
              <w:rPr>
                <w:szCs w:val="18"/>
              </w:rPr>
              <w:t>Gladman DD, Kavanaugh A, Gómez-Reino JJ et al. Therapeutic benefit of apremilast on enthesitis and dactylitis in patients with psoriatic arthritis: a pooled analysis of the PALACE 1-3 studies.</w:t>
            </w:r>
          </w:p>
        </w:tc>
        <w:tc>
          <w:tcPr>
            <w:tcW w:w="1402" w:type="pct"/>
            <w:tcBorders>
              <w:bottom w:val="nil"/>
            </w:tcBorders>
            <w:vAlign w:val="center"/>
          </w:tcPr>
          <w:p w14:paraId="3B3E415A" w14:textId="77777777" w:rsidR="003A4883" w:rsidRPr="0033470C" w:rsidRDefault="003A4883" w:rsidP="00FE498C">
            <w:pPr>
              <w:pStyle w:val="TableText0"/>
              <w:keepLines/>
            </w:pPr>
            <w:r w:rsidRPr="0033470C">
              <w:t>RMD Open 2018; 4(1):e000669</w:t>
            </w:r>
          </w:p>
        </w:tc>
      </w:tr>
      <w:tr w:rsidR="003A4883" w:rsidRPr="0033470C" w14:paraId="24B87168" w14:textId="77777777" w:rsidTr="00146FF1">
        <w:trPr>
          <w:cantSplit/>
        </w:trPr>
        <w:tc>
          <w:tcPr>
            <w:tcW w:w="795" w:type="pct"/>
            <w:vMerge/>
            <w:vAlign w:val="center"/>
          </w:tcPr>
          <w:p w14:paraId="55999D56" w14:textId="77777777" w:rsidR="003A4883" w:rsidRPr="0033470C" w:rsidRDefault="003A4883" w:rsidP="00FE498C">
            <w:pPr>
              <w:pStyle w:val="TableText0"/>
              <w:keepLines/>
              <w:jc w:val="center"/>
            </w:pPr>
          </w:p>
        </w:tc>
        <w:tc>
          <w:tcPr>
            <w:tcW w:w="2803" w:type="pct"/>
            <w:tcBorders>
              <w:top w:val="nil"/>
              <w:bottom w:val="nil"/>
            </w:tcBorders>
            <w:vAlign w:val="center"/>
          </w:tcPr>
          <w:p w14:paraId="0135D5D2" w14:textId="77777777" w:rsidR="003A4883" w:rsidRPr="0033470C" w:rsidRDefault="003A4883" w:rsidP="00FE498C">
            <w:pPr>
              <w:pStyle w:val="TableText0"/>
              <w:keepLines/>
              <w:rPr>
                <w:szCs w:val="18"/>
              </w:rPr>
            </w:pPr>
            <w:r w:rsidRPr="0033470C">
              <w:rPr>
                <w:szCs w:val="18"/>
              </w:rPr>
              <w:t>Kavanaugh A, Gladman DD, Edwards CJ et al. Long-term experience with apremilast in patients with psoriatic arthritis: 5-year results from a PALACE 1-3 pooled analysis.</w:t>
            </w:r>
          </w:p>
        </w:tc>
        <w:tc>
          <w:tcPr>
            <w:tcW w:w="1402" w:type="pct"/>
            <w:tcBorders>
              <w:top w:val="nil"/>
              <w:bottom w:val="nil"/>
            </w:tcBorders>
            <w:vAlign w:val="center"/>
          </w:tcPr>
          <w:p w14:paraId="09588A25" w14:textId="77777777" w:rsidR="003A4883" w:rsidRPr="0033470C" w:rsidRDefault="003A4883" w:rsidP="00FE498C">
            <w:pPr>
              <w:pStyle w:val="TableText0"/>
              <w:keepLines/>
            </w:pPr>
            <w:r w:rsidRPr="0033470C">
              <w:t>Arthritis Res Ther. 2019; 21(1):118</w:t>
            </w:r>
          </w:p>
        </w:tc>
      </w:tr>
      <w:tr w:rsidR="003A4883" w:rsidRPr="0033470C" w14:paraId="513697F1" w14:textId="77777777" w:rsidTr="00146FF1">
        <w:trPr>
          <w:cantSplit/>
        </w:trPr>
        <w:tc>
          <w:tcPr>
            <w:tcW w:w="795" w:type="pct"/>
            <w:vMerge/>
            <w:vAlign w:val="center"/>
          </w:tcPr>
          <w:p w14:paraId="52E35818" w14:textId="77777777" w:rsidR="003A4883" w:rsidRPr="0033470C" w:rsidRDefault="003A4883" w:rsidP="00FE498C">
            <w:pPr>
              <w:pStyle w:val="TableText0"/>
              <w:keepLines/>
              <w:jc w:val="center"/>
            </w:pPr>
          </w:p>
        </w:tc>
        <w:tc>
          <w:tcPr>
            <w:tcW w:w="2803" w:type="pct"/>
            <w:tcBorders>
              <w:top w:val="nil"/>
              <w:bottom w:val="nil"/>
            </w:tcBorders>
            <w:vAlign w:val="center"/>
          </w:tcPr>
          <w:p w14:paraId="76B7607A" w14:textId="77777777" w:rsidR="003A4883" w:rsidRPr="0033470C" w:rsidRDefault="003A4883" w:rsidP="00FE498C">
            <w:pPr>
              <w:pStyle w:val="TableText0"/>
              <w:keepLines/>
              <w:rPr>
                <w:szCs w:val="18"/>
              </w:rPr>
            </w:pPr>
            <w:r w:rsidRPr="0033470C">
              <w:rPr>
                <w:szCs w:val="18"/>
              </w:rPr>
              <w:t>Mease PJ, Gladman DD, Kavanaugh A et al. Articular and Extra-Articular Benefits in ACR20 Non-responders at Week 104 Treated With Apremilast: Pooled Analysis of Three Randomized Controlled Trials.</w:t>
            </w:r>
          </w:p>
        </w:tc>
        <w:tc>
          <w:tcPr>
            <w:tcW w:w="1402" w:type="pct"/>
            <w:tcBorders>
              <w:top w:val="nil"/>
              <w:bottom w:val="nil"/>
            </w:tcBorders>
            <w:vAlign w:val="center"/>
          </w:tcPr>
          <w:p w14:paraId="73FD230D" w14:textId="77777777" w:rsidR="003A4883" w:rsidRPr="0033470C" w:rsidRDefault="003A4883" w:rsidP="00FE498C">
            <w:pPr>
              <w:pStyle w:val="TableText0"/>
              <w:keepLines/>
            </w:pPr>
            <w:r w:rsidRPr="0033470C">
              <w:t>Rheumatol Ther. 2021; 8(4):1677-1691</w:t>
            </w:r>
          </w:p>
        </w:tc>
      </w:tr>
      <w:tr w:rsidR="003A4883" w:rsidRPr="0033470C" w14:paraId="24F5CBE8" w14:textId="77777777" w:rsidTr="00146FF1">
        <w:trPr>
          <w:cantSplit/>
        </w:trPr>
        <w:tc>
          <w:tcPr>
            <w:tcW w:w="795" w:type="pct"/>
            <w:vMerge/>
            <w:vAlign w:val="center"/>
          </w:tcPr>
          <w:p w14:paraId="366FD9E2" w14:textId="77777777" w:rsidR="003A4883" w:rsidRPr="0033470C" w:rsidRDefault="003A4883" w:rsidP="00FE498C">
            <w:pPr>
              <w:pStyle w:val="TableText0"/>
              <w:keepLines/>
              <w:jc w:val="center"/>
            </w:pPr>
          </w:p>
        </w:tc>
        <w:tc>
          <w:tcPr>
            <w:tcW w:w="2803" w:type="pct"/>
            <w:tcBorders>
              <w:top w:val="nil"/>
              <w:bottom w:val="single" w:sz="4" w:space="0" w:color="auto"/>
            </w:tcBorders>
            <w:vAlign w:val="center"/>
          </w:tcPr>
          <w:p w14:paraId="7C068B10" w14:textId="77777777" w:rsidR="003A4883" w:rsidRPr="0033470C" w:rsidRDefault="003A4883" w:rsidP="00FE498C">
            <w:pPr>
              <w:pStyle w:val="TableText0"/>
              <w:keepLines/>
              <w:rPr>
                <w:szCs w:val="18"/>
              </w:rPr>
            </w:pPr>
            <w:r w:rsidRPr="0033470C">
              <w:rPr>
                <w:szCs w:val="18"/>
              </w:rPr>
              <w:t>Mease PJ, Gladman DD, Ogdie A et al. Treatment-to-Target With Apremilast in Psoriatic Arthritis: The Probability of Achieving Targets and Comprehensive Control of Disease Manifestations</w:t>
            </w:r>
          </w:p>
        </w:tc>
        <w:tc>
          <w:tcPr>
            <w:tcW w:w="1402" w:type="pct"/>
            <w:tcBorders>
              <w:top w:val="nil"/>
              <w:bottom w:val="single" w:sz="4" w:space="0" w:color="auto"/>
            </w:tcBorders>
            <w:vAlign w:val="center"/>
          </w:tcPr>
          <w:p w14:paraId="2211EE75" w14:textId="77777777" w:rsidR="003A4883" w:rsidRPr="0033470C" w:rsidRDefault="003A4883" w:rsidP="00FE498C">
            <w:pPr>
              <w:pStyle w:val="TableText0"/>
              <w:keepLines/>
            </w:pPr>
            <w:r w:rsidRPr="0033470C">
              <w:t>Arthritis Care Res (Hoboken). 2020; 72(6):814-821</w:t>
            </w:r>
          </w:p>
        </w:tc>
      </w:tr>
      <w:tr w:rsidR="003A4883" w:rsidRPr="0033470C" w14:paraId="61C9AF70" w14:textId="77777777" w:rsidTr="00146FF1">
        <w:trPr>
          <w:cantSplit/>
        </w:trPr>
        <w:tc>
          <w:tcPr>
            <w:tcW w:w="795" w:type="pct"/>
            <w:vMerge/>
            <w:vAlign w:val="center"/>
          </w:tcPr>
          <w:p w14:paraId="049C4F1D" w14:textId="77777777" w:rsidR="003A4883" w:rsidRPr="0033470C" w:rsidRDefault="003A4883" w:rsidP="00FE498C">
            <w:pPr>
              <w:pStyle w:val="TableText0"/>
              <w:keepLines/>
              <w:jc w:val="center"/>
            </w:pPr>
          </w:p>
        </w:tc>
        <w:tc>
          <w:tcPr>
            <w:tcW w:w="2803" w:type="pct"/>
            <w:tcBorders>
              <w:top w:val="single" w:sz="4" w:space="0" w:color="auto"/>
            </w:tcBorders>
            <w:vAlign w:val="center"/>
          </w:tcPr>
          <w:p w14:paraId="7B93B81D" w14:textId="77777777" w:rsidR="003A4883" w:rsidRPr="0033470C" w:rsidRDefault="003A4883" w:rsidP="00FE498C">
            <w:pPr>
              <w:pStyle w:val="TableText0"/>
              <w:keepLines/>
              <w:rPr>
                <w:szCs w:val="18"/>
              </w:rPr>
            </w:pPr>
            <w:r w:rsidRPr="0033470C">
              <w:rPr>
                <w:szCs w:val="18"/>
              </w:rPr>
              <w:t>Mease PJ, Gladman DD, Gomez-Reino JJ et al. Long-Term Safety and Tolerability of Apremilast Versus Placebo in Psoriatic Arthritis: A Pooled Safety Analysis of Three Phase III, Randomized, Controlled Trials.</w:t>
            </w:r>
          </w:p>
        </w:tc>
        <w:tc>
          <w:tcPr>
            <w:tcW w:w="1402" w:type="pct"/>
            <w:tcBorders>
              <w:top w:val="single" w:sz="4" w:space="0" w:color="auto"/>
            </w:tcBorders>
            <w:vAlign w:val="center"/>
          </w:tcPr>
          <w:p w14:paraId="6D0B33A8" w14:textId="77777777" w:rsidR="003A4883" w:rsidRPr="0033470C" w:rsidRDefault="003A4883" w:rsidP="00FE498C">
            <w:pPr>
              <w:pStyle w:val="TableText0"/>
              <w:keepLines/>
            </w:pPr>
            <w:r w:rsidRPr="0033470C">
              <w:t>ACR open rheumatology 2020; 2(8):459–470</w:t>
            </w:r>
          </w:p>
        </w:tc>
      </w:tr>
    </w:tbl>
    <w:p w14:paraId="115C3BD3" w14:textId="77777777" w:rsidR="003A4883" w:rsidRPr="00B1011F" w:rsidRDefault="003A4883" w:rsidP="00FE498C">
      <w:pPr>
        <w:pStyle w:val="FooterTableFigure"/>
        <w:keepNext/>
        <w:keepLines/>
        <w:rPr>
          <w:sz w:val="20"/>
        </w:rPr>
      </w:pPr>
      <w:r>
        <w:t xml:space="preserve">Source: Table 2-4, pp20-22 </w:t>
      </w:r>
      <w:r w:rsidRPr="00D13A3E">
        <w:t xml:space="preserve">of the </w:t>
      </w:r>
      <w:r>
        <w:t>submission; ACTIVE CSR; PALACE 1 CSR; PALACE 2 CSR; PALACE 3 CSR; PALACE 4 CSR.</w:t>
      </w:r>
    </w:p>
    <w:p w14:paraId="1A6FC2DB" w14:textId="6D832EB5" w:rsidR="003A4883" w:rsidRPr="00EC5836" w:rsidRDefault="003A4883" w:rsidP="003A4883">
      <w:pPr>
        <w:pStyle w:val="3-BodyText"/>
        <w:ind w:left="720" w:hanging="720"/>
        <w:rPr>
          <w:color w:val="0066FF"/>
        </w:rPr>
      </w:pPr>
      <w:r w:rsidRPr="00B50DB8">
        <w:t>The key features of the direct randomised trials are summarised in</w:t>
      </w:r>
      <w:r>
        <w:t xml:space="preserve"> </w:t>
      </w:r>
      <w:r>
        <w:fldChar w:fldCharType="begin"/>
      </w:r>
      <w:r>
        <w:instrText xml:space="preserve"> REF _Ref104804098 \h  \* MERGEFORMAT </w:instrText>
      </w:r>
      <w:r>
        <w:fldChar w:fldCharType="separate"/>
      </w:r>
      <w:r w:rsidR="00A05E81" w:rsidRPr="00A05E81">
        <w:t>Table 4</w:t>
      </w:r>
      <w:r>
        <w:fldChar w:fldCharType="end"/>
      </w:r>
      <w:r w:rsidRPr="00B50DB8">
        <w:t>.</w:t>
      </w:r>
      <w:r>
        <w:t xml:space="preserve"> </w:t>
      </w:r>
    </w:p>
    <w:p w14:paraId="4C92FDAF" w14:textId="10E8EE07" w:rsidR="003A4883" w:rsidRPr="00D6076E" w:rsidRDefault="003A4883" w:rsidP="00FE498C">
      <w:pPr>
        <w:pStyle w:val="Caption"/>
        <w:rPr>
          <w:rStyle w:val="CommentReference"/>
          <w:rFonts w:eastAsiaTheme="majorEastAsia" w:cstheme="majorBidi"/>
          <w:b/>
          <w:szCs w:val="24"/>
        </w:rPr>
      </w:pPr>
      <w:bookmarkStart w:id="35" w:name="_Ref104804098"/>
      <w:r w:rsidRPr="00D6076E">
        <w:rPr>
          <w:rStyle w:val="CommentReference"/>
          <w:rFonts w:eastAsiaTheme="majorEastAsia" w:cstheme="majorBidi"/>
          <w:b/>
          <w:szCs w:val="24"/>
        </w:rPr>
        <w:lastRenderedPageBreak/>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A05E81">
        <w:rPr>
          <w:rStyle w:val="CommentReference"/>
          <w:rFonts w:eastAsiaTheme="majorEastAsia" w:cstheme="majorBidi"/>
          <w:b/>
          <w:noProof/>
          <w:szCs w:val="24"/>
        </w:rPr>
        <w:t>4</w:t>
      </w:r>
      <w:r w:rsidRPr="00D6076E">
        <w:rPr>
          <w:rStyle w:val="CommentReference"/>
          <w:rFonts w:eastAsiaTheme="majorEastAsia" w:cstheme="majorBidi"/>
          <w:b/>
          <w:szCs w:val="24"/>
        </w:rPr>
        <w:fldChar w:fldCharType="end"/>
      </w:r>
      <w:bookmarkEnd w:id="35"/>
      <w:r w:rsidRPr="00D6076E">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67"/>
        <w:gridCol w:w="447"/>
        <w:gridCol w:w="1443"/>
        <w:gridCol w:w="1414"/>
        <w:gridCol w:w="1775"/>
        <w:gridCol w:w="1845"/>
        <w:gridCol w:w="1226"/>
      </w:tblGrid>
      <w:tr w:rsidR="003A4883" w:rsidRPr="00B41614" w14:paraId="284598BA" w14:textId="77777777" w:rsidTr="0016441D">
        <w:trPr>
          <w:cantSplit/>
          <w:tblHeader/>
        </w:trPr>
        <w:tc>
          <w:tcPr>
            <w:tcW w:w="481" w:type="pct"/>
            <w:shd w:val="clear" w:color="auto" w:fill="auto"/>
            <w:vAlign w:val="center"/>
          </w:tcPr>
          <w:p w14:paraId="3E1B1045" w14:textId="77777777" w:rsidR="003A4883" w:rsidRPr="00B41614" w:rsidRDefault="003A4883" w:rsidP="00FE498C">
            <w:pPr>
              <w:pStyle w:val="In-tableHeading"/>
              <w:keepLines/>
              <w:jc w:val="center"/>
            </w:pPr>
            <w:r w:rsidRPr="00B41614">
              <w:t>Trial</w:t>
            </w:r>
          </w:p>
        </w:tc>
        <w:tc>
          <w:tcPr>
            <w:tcW w:w="248" w:type="pct"/>
            <w:shd w:val="clear" w:color="auto" w:fill="auto"/>
            <w:vAlign w:val="center"/>
          </w:tcPr>
          <w:p w14:paraId="2F4BFDE9" w14:textId="77777777" w:rsidR="003A4883" w:rsidRPr="00B41614" w:rsidRDefault="003A4883" w:rsidP="00FE498C">
            <w:pPr>
              <w:pStyle w:val="In-tableHeading"/>
              <w:keepLines/>
              <w:jc w:val="center"/>
            </w:pPr>
            <w:r w:rsidRPr="00B41614">
              <w:t>N</w:t>
            </w:r>
          </w:p>
        </w:tc>
        <w:tc>
          <w:tcPr>
            <w:tcW w:w="800" w:type="pct"/>
            <w:shd w:val="clear" w:color="auto" w:fill="auto"/>
            <w:vAlign w:val="center"/>
          </w:tcPr>
          <w:p w14:paraId="11589B21" w14:textId="77777777" w:rsidR="003A4883" w:rsidRPr="00B41614" w:rsidRDefault="003A4883" w:rsidP="00FE498C">
            <w:pPr>
              <w:pStyle w:val="In-tableHeading"/>
              <w:keepLines/>
              <w:jc w:val="center"/>
            </w:pPr>
            <w:r w:rsidRPr="00B41614">
              <w:t>Design/ duration</w:t>
            </w:r>
          </w:p>
        </w:tc>
        <w:tc>
          <w:tcPr>
            <w:tcW w:w="784" w:type="pct"/>
            <w:shd w:val="clear" w:color="auto" w:fill="auto"/>
            <w:vAlign w:val="center"/>
          </w:tcPr>
          <w:p w14:paraId="0F43FF68" w14:textId="77777777" w:rsidR="003A4883" w:rsidRPr="00B41614" w:rsidRDefault="003A4883" w:rsidP="00FE498C">
            <w:pPr>
              <w:pStyle w:val="In-tableHeading"/>
              <w:keepLines/>
              <w:jc w:val="center"/>
            </w:pPr>
            <w:r w:rsidRPr="00B41614">
              <w:t>Risk of bias</w:t>
            </w:r>
          </w:p>
        </w:tc>
        <w:tc>
          <w:tcPr>
            <w:tcW w:w="984" w:type="pct"/>
            <w:shd w:val="clear" w:color="auto" w:fill="auto"/>
            <w:vAlign w:val="center"/>
          </w:tcPr>
          <w:p w14:paraId="3EA9F805" w14:textId="77777777" w:rsidR="003A4883" w:rsidRPr="00B41614" w:rsidRDefault="003A4883" w:rsidP="00FE498C">
            <w:pPr>
              <w:pStyle w:val="In-tableHeading"/>
              <w:keepLines/>
              <w:jc w:val="center"/>
            </w:pPr>
            <w:r w:rsidRPr="00B41614">
              <w:t>Patient population</w:t>
            </w:r>
          </w:p>
        </w:tc>
        <w:tc>
          <w:tcPr>
            <w:tcW w:w="1023" w:type="pct"/>
            <w:shd w:val="clear" w:color="auto" w:fill="auto"/>
            <w:vAlign w:val="center"/>
          </w:tcPr>
          <w:p w14:paraId="199CBD59" w14:textId="77777777" w:rsidR="003A4883" w:rsidRPr="00B41614" w:rsidRDefault="003A4883" w:rsidP="00FE498C">
            <w:pPr>
              <w:pStyle w:val="In-tableHeading"/>
              <w:keepLines/>
              <w:jc w:val="center"/>
            </w:pPr>
            <w:r w:rsidRPr="00B41614">
              <w:t>Outcome(s)</w:t>
            </w:r>
          </w:p>
        </w:tc>
        <w:tc>
          <w:tcPr>
            <w:tcW w:w="679" w:type="pct"/>
            <w:shd w:val="clear" w:color="auto" w:fill="auto"/>
            <w:vAlign w:val="center"/>
          </w:tcPr>
          <w:p w14:paraId="2D18B788" w14:textId="77777777" w:rsidR="003A4883" w:rsidRPr="00B41614" w:rsidRDefault="003A4883" w:rsidP="00FE498C">
            <w:pPr>
              <w:pStyle w:val="In-tableHeading"/>
              <w:keepLines/>
              <w:jc w:val="center"/>
            </w:pPr>
            <w:r w:rsidRPr="00B41614">
              <w:t>Use in modelled evaluation</w:t>
            </w:r>
          </w:p>
        </w:tc>
      </w:tr>
      <w:tr w:rsidR="003A4883" w:rsidRPr="00E2771E" w14:paraId="67BF2E6A" w14:textId="77777777" w:rsidTr="00146FF1">
        <w:trPr>
          <w:cantSplit/>
        </w:trPr>
        <w:tc>
          <w:tcPr>
            <w:tcW w:w="5000" w:type="pct"/>
            <w:gridSpan w:val="7"/>
            <w:shd w:val="clear" w:color="auto" w:fill="auto"/>
            <w:vAlign w:val="center"/>
          </w:tcPr>
          <w:p w14:paraId="1100D384" w14:textId="77777777" w:rsidR="003A4883" w:rsidRPr="00EC5836" w:rsidRDefault="003A4883" w:rsidP="00FE498C">
            <w:pPr>
              <w:pStyle w:val="In-tableHeading"/>
              <w:keepLines/>
            </w:pPr>
            <w:r>
              <w:t>Apremilast</w:t>
            </w:r>
            <w:r w:rsidRPr="00EC5836">
              <w:t xml:space="preserve"> vs. </w:t>
            </w:r>
            <w:r>
              <w:t>placebo</w:t>
            </w:r>
          </w:p>
        </w:tc>
      </w:tr>
      <w:tr w:rsidR="003A4883" w:rsidRPr="00E2771E" w14:paraId="077D4075" w14:textId="77777777" w:rsidTr="0016441D">
        <w:trPr>
          <w:cantSplit/>
        </w:trPr>
        <w:tc>
          <w:tcPr>
            <w:tcW w:w="481" w:type="pct"/>
            <w:shd w:val="clear" w:color="auto" w:fill="auto"/>
            <w:vAlign w:val="center"/>
          </w:tcPr>
          <w:p w14:paraId="2C6492F1" w14:textId="77777777" w:rsidR="003A4883" w:rsidRPr="00E2771E" w:rsidRDefault="003A4883" w:rsidP="00FE498C">
            <w:pPr>
              <w:pStyle w:val="TableText0"/>
              <w:keepLines/>
              <w:rPr>
                <w:lang w:val="en-US"/>
              </w:rPr>
            </w:pPr>
            <w:r>
              <w:rPr>
                <w:lang w:val="en-US"/>
              </w:rPr>
              <w:t>ACTIVE</w:t>
            </w:r>
          </w:p>
        </w:tc>
        <w:tc>
          <w:tcPr>
            <w:tcW w:w="248" w:type="pct"/>
            <w:shd w:val="clear" w:color="auto" w:fill="auto"/>
            <w:vAlign w:val="center"/>
          </w:tcPr>
          <w:p w14:paraId="2965F9C0" w14:textId="77777777" w:rsidR="003A4883" w:rsidRPr="00E2771E" w:rsidRDefault="003A4883" w:rsidP="00FE498C">
            <w:pPr>
              <w:pStyle w:val="TableText0"/>
              <w:keepLines/>
              <w:jc w:val="center"/>
              <w:rPr>
                <w:lang w:val="en-US"/>
              </w:rPr>
            </w:pPr>
            <w:r>
              <w:rPr>
                <w:lang w:val="en-US"/>
              </w:rPr>
              <w:t>219</w:t>
            </w:r>
          </w:p>
        </w:tc>
        <w:tc>
          <w:tcPr>
            <w:tcW w:w="800" w:type="pct"/>
            <w:shd w:val="clear" w:color="auto" w:fill="auto"/>
            <w:vAlign w:val="center"/>
          </w:tcPr>
          <w:p w14:paraId="482AF831" w14:textId="41B74B05" w:rsidR="003A4883" w:rsidRPr="00E2771E" w:rsidRDefault="003A4883" w:rsidP="00FE498C">
            <w:pPr>
              <w:pStyle w:val="TableText0"/>
              <w:keepLines/>
              <w:rPr>
                <w:lang w:val="en-US"/>
              </w:rPr>
            </w:pPr>
            <w:r w:rsidRPr="004C6AAD">
              <w:rPr>
                <w:lang w:val="en-US"/>
              </w:rPr>
              <w:t xml:space="preserve">R, </w:t>
            </w:r>
            <w:r>
              <w:rPr>
                <w:lang w:val="en-US"/>
              </w:rPr>
              <w:t xml:space="preserve">MC, </w:t>
            </w:r>
            <w:r w:rsidRPr="004C6AAD">
              <w:rPr>
                <w:lang w:val="en-US"/>
              </w:rPr>
              <w:t>DB (24 wk)</w:t>
            </w:r>
            <w:r w:rsidR="009F3EAF" w:rsidRPr="00E83C42">
              <w:rPr>
                <w:vertAlign w:val="superscript"/>
                <w:lang w:val="en-US"/>
              </w:rPr>
              <w:t>a</w:t>
            </w:r>
            <w:r w:rsidRPr="004C6AAD">
              <w:rPr>
                <w:lang w:val="en-US"/>
              </w:rPr>
              <w:t xml:space="preserve"> followed by APR phase (28 wk) and OL extension (1yr)</w:t>
            </w:r>
          </w:p>
        </w:tc>
        <w:tc>
          <w:tcPr>
            <w:tcW w:w="784" w:type="pct"/>
            <w:shd w:val="clear" w:color="auto" w:fill="auto"/>
            <w:vAlign w:val="center"/>
          </w:tcPr>
          <w:p w14:paraId="3380478B" w14:textId="77777777" w:rsidR="003A4883" w:rsidRPr="004C6AAD" w:rsidRDefault="003A4883" w:rsidP="00FE498C">
            <w:pPr>
              <w:pStyle w:val="TableText0"/>
              <w:keepLines/>
              <w:rPr>
                <w:iCs/>
                <w:lang w:val="en-US"/>
              </w:rPr>
            </w:pPr>
            <w:r>
              <w:rPr>
                <w:iCs/>
                <w:lang w:val="en-US"/>
              </w:rPr>
              <w:t>Low</w:t>
            </w:r>
          </w:p>
        </w:tc>
        <w:tc>
          <w:tcPr>
            <w:tcW w:w="984" w:type="pct"/>
            <w:shd w:val="clear" w:color="auto" w:fill="auto"/>
            <w:vAlign w:val="center"/>
          </w:tcPr>
          <w:p w14:paraId="5B456DDF" w14:textId="0D028894" w:rsidR="003A4883" w:rsidRPr="00E2771E" w:rsidRDefault="003A4883" w:rsidP="00FE498C">
            <w:pPr>
              <w:pStyle w:val="TableText0"/>
              <w:keepLines/>
              <w:rPr>
                <w:lang w:val="en-US"/>
              </w:rPr>
            </w:pPr>
            <w:r w:rsidRPr="004C6AAD">
              <w:rPr>
                <w:lang w:val="en-US"/>
              </w:rPr>
              <w:t>PsA ≥3 mo, ≥3 swollen AND ≥3 tender joints, high sensitivity CRP ≥</w:t>
            </w:r>
            <w:r w:rsidR="004C7FC0">
              <w:rPr>
                <w:lang w:val="en-US"/>
              </w:rPr>
              <w:t> </w:t>
            </w:r>
            <w:r w:rsidRPr="004C6AAD">
              <w:rPr>
                <w:lang w:val="en-US"/>
              </w:rPr>
              <w:t xml:space="preserve"> 0.2 mg/dL, biologic naïve, monotherapy</w:t>
            </w:r>
          </w:p>
        </w:tc>
        <w:tc>
          <w:tcPr>
            <w:tcW w:w="1023" w:type="pct"/>
            <w:shd w:val="clear" w:color="auto" w:fill="auto"/>
            <w:vAlign w:val="center"/>
          </w:tcPr>
          <w:p w14:paraId="1194DDB4" w14:textId="6271B42E" w:rsidR="003A4883" w:rsidRPr="004C6AAD" w:rsidRDefault="003A4883" w:rsidP="00FE498C">
            <w:pPr>
              <w:pStyle w:val="TableText0"/>
              <w:keepLines/>
            </w:pPr>
            <w:r w:rsidRPr="004C6AAD">
              <w:t>Primary: ACR20</w:t>
            </w:r>
            <w:r w:rsidR="000C1BD5">
              <w:t xml:space="preserve"> at 16 wk</w:t>
            </w:r>
          </w:p>
          <w:p w14:paraId="170A0621" w14:textId="77777777" w:rsidR="003A4883" w:rsidRPr="00E2771E" w:rsidRDefault="003A4883" w:rsidP="00FE498C">
            <w:pPr>
              <w:pStyle w:val="TableText0"/>
              <w:keepLines/>
              <w:rPr>
                <w:lang w:val="en-US"/>
              </w:rPr>
            </w:pPr>
            <w:r w:rsidRPr="004C6AAD">
              <w:t>Secondary: ACR50, HAQ-DI (health assessment – disability), GEI (enthesitis), SF-36, DAS-28 (disease activity), safety</w:t>
            </w:r>
          </w:p>
        </w:tc>
        <w:tc>
          <w:tcPr>
            <w:tcW w:w="679" w:type="pct"/>
            <w:shd w:val="clear" w:color="auto" w:fill="auto"/>
            <w:vAlign w:val="center"/>
          </w:tcPr>
          <w:p w14:paraId="318449B3" w14:textId="77777777" w:rsidR="000C1BD5" w:rsidRDefault="003A4883" w:rsidP="00FE498C">
            <w:pPr>
              <w:pStyle w:val="TableText0"/>
              <w:keepLines/>
              <w:jc w:val="center"/>
              <w:rPr>
                <w:lang w:val="en-US"/>
              </w:rPr>
            </w:pPr>
            <w:r>
              <w:rPr>
                <w:lang w:val="en-US"/>
              </w:rPr>
              <w:t>ACR20</w:t>
            </w:r>
            <w:r w:rsidR="000C1BD5">
              <w:rPr>
                <w:lang w:val="en-US"/>
              </w:rPr>
              <w:t xml:space="preserve"> at 24 wk</w:t>
            </w:r>
            <w:r>
              <w:rPr>
                <w:lang w:val="en-US"/>
              </w:rPr>
              <w:t xml:space="preserve">, </w:t>
            </w:r>
          </w:p>
          <w:p w14:paraId="7699DB41" w14:textId="029537A4" w:rsidR="003A4883" w:rsidRPr="00E2771E" w:rsidRDefault="003A4883" w:rsidP="00FE498C">
            <w:pPr>
              <w:pStyle w:val="TableText0"/>
              <w:keepLines/>
              <w:jc w:val="center"/>
              <w:rPr>
                <w:lang w:val="en-US"/>
              </w:rPr>
            </w:pPr>
            <w:r>
              <w:rPr>
                <w:lang w:val="en-US"/>
              </w:rPr>
              <w:t>HAQ-DI</w:t>
            </w:r>
            <w:r w:rsidR="000C1BD5">
              <w:rPr>
                <w:lang w:val="en-US"/>
              </w:rPr>
              <w:t xml:space="preserve"> at 16 and 24 wk</w:t>
            </w:r>
          </w:p>
        </w:tc>
      </w:tr>
      <w:tr w:rsidR="003A4883" w:rsidRPr="00E2771E" w14:paraId="77532C5C" w14:textId="77777777" w:rsidTr="0016441D">
        <w:trPr>
          <w:cantSplit/>
        </w:trPr>
        <w:tc>
          <w:tcPr>
            <w:tcW w:w="481" w:type="pct"/>
            <w:shd w:val="clear" w:color="auto" w:fill="auto"/>
            <w:vAlign w:val="center"/>
          </w:tcPr>
          <w:p w14:paraId="6B1E7515" w14:textId="77777777" w:rsidR="003A4883" w:rsidRPr="00E2771E" w:rsidRDefault="003A4883" w:rsidP="00FE498C">
            <w:pPr>
              <w:pStyle w:val="TableText0"/>
              <w:keepLines/>
              <w:rPr>
                <w:lang w:val="en-US"/>
              </w:rPr>
            </w:pPr>
            <w:r>
              <w:rPr>
                <w:lang w:val="en-US"/>
              </w:rPr>
              <w:t>PALACE 1</w:t>
            </w:r>
          </w:p>
        </w:tc>
        <w:tc>
          <w:tcPr>
            <w:tcW w:w="248" w:type="pct"/>
            <w:shd w:val="clear" w:color="auto" w:fill="auto"/>
            <w:vAlign w:val="center"/>
          </w:tcPr>
          <w:p w14:paraId="0A7EA9C2" w14:textId="77777777" w:rsidR="003A4883" w:rsidRPr="00E2771E" w:rsidRDefault="003A4883" w:rsidP="00FE498C">
            <w:pPr>
              <w:pStyle w:val="TableText0"/>
              <w:keepLines/>
              <w:jc w:val="center"/>
              <w:rPr>
                <w:lang w:val="en-US"/>
              </w:rPr>
            </w:pPr>
            <w:r>
              <w:rPr>
                <w:lang w:val="en-US"/>
              </w:rPr>
              <w:t>336</w:t>
            </w:r>
          </w:p>
        </w:tc>
        <w:tc>
          <w:tcPr>
            <w:tcW w:w="800" w:type="pct"/>
            <w:vMerge w:val="restart"/>
            <w:shd w:val="clear" w:color="auto" w:fill="auto"/>
            <w:vAlign w:val="center"/>
          </w:tcPr>
          <w:p w14:paraId="38432628" w14:textId="60B78E85" w:rsidR="003A4883" w:rsidRPr="00E2771E" w:rsidRDefault="003A4883" w:rsidP="00FE498C">
            <w:pPr>
              <w:pStyle w:val="TableText0"/>
              <w:keepLines/>
              <w:rPr>
                <w:lang w:val="en-US"/>
              </w:rPr>
            </w:pPr>
            <w:r w:rsidRPr="004C6AAD">
              <w:rPr>
                <w:lang w:val="en-US"/>
              </w:rPr>
              <w:t xml:space="preserve">R, </w:t>
            </w:r>
            <w:r>
              <w:rPr>
                <w:lang w:val="en-US"/>
              </w:rPr>
              <w:t xml:space="preserve">MC, </w:t>
            </w:r>
            <w:r w:rsidRPr="004C6AAD">
              <w:rPr>
                <w:lang w:val="en-US"/>
              </w:rPr>
              <w:t>DB (24 wk)</w:t>
            </w:r>
            <w:r w:rsidR="00E83C42" w:rsidRPr="00E83C42">
              <w:rPr>
                <w:vertAlign w:val="superscript"/>
                <w:lang w:val="en-US"/>
              </w:rPr>
              <w:t>a</w:t>
            </w:r>
            <w:r w:rsidRPr="004C6AAD">
              <w:rPr>
                <w:lang w:val="en-US"/>
              </w:rPr>
              <w:t xml:space="preserve"> followed by APR phase (28 wk) and OL extension (4 yr)</w:t>
            </w:r>
          </w:p>
        </w:tc>
        <w:tc>
          <w:tcPr>
            <w:tcW w:w="784" w:type="pct"/>
            <w:shd w:val="clear" w:color="auto" w:fill="auto"/>
            <w:vAlign w:val="center"/>
          </w:tcPr>
          <w:p w14:paraId="031BAC98" w14:textId="77777777" w:rsidR="003A4883" w:rsidRPr="00123902" w:rsidRDefault="003A4883" w:rsidP="00FE498C">
            <w:pPr>
              <w:pStyle w:val="TableText0"/>
              <w:keepLines/>
              <w:rPr>
                <w:i/>
                <w:lang w:val="en-US"/>
              </w:rPr>
            </w:pPr>
            <w:r>
              <w:rPr>
                <w:iCs/>
                <w:lang w:val="en-US"/>
              </w:rPr>
              <w:t>Low</w:t>
            </w:r>
          </w:p>
        </w:tc>
        <w:tc>
          <w:tcPr>
            <w:tcW w:w="984" w:type="pct"/>
            <w:vMerge w:val="restart"/>
            <w:shd w:val="clear" w:color="auto" w:fill="auto"/>
            <w:vAlign w:val="center"/>
          </w:tcPr>
          <w:p w14:paraId="57B8F173" w14:textId="77777777" w:rsidR="003A4883" w:rsidRPr="00E2771E" w:rsidRDefault="003A4883" w:rsidP="00FE498C">
            <w:pPr>
              <w:pStyle w:val="TableText0"/>
              <w:keepLines/>
              <w:rPr>
                <w:lang w:val="en-US"/>
              </w:rPr>
            </w:pPr>
            <w:r w:rsidRPr="004C6AAD">
              <w:rPr>
                <w:lang w:val="en-US"/>
              </w:rPr>
              <w:t>PsA ≥6 mo, ≥3 swollen AND ≥3 tender joints, combination therapy (e.g., methotrexate</w:t>
            </w:r>
            <w:r>
              <w:rPr>
                <w:lang w:val="en-US"/>
              </w:rPr>
              <w:t>)</w:t>
            </w:r>
            <w:r w:rsidRPr="004C6AAD">
              <w:rPr>
                <w:lang w:val="en-US"/>
              </w:rPr>
              <w:t xml:space="preserve"> allowed</w:t>
            </w:r>
          </w:p>
        </w:tc>
        <w:tc>
          <w:tcPr>
            <w:tcW w:w="1023" w:type="pct"/>
            <w:vMerge w:val="restart"/>
            <w:shd w:val="clear" w:color="auto" w:fill="auto"/>
            <w:vAlign w:val="center"/>
          </w:tcPr>
          <w:p w14:paraId="6D13A563" w14:textId="09A1A460" w:rsidR="003A4883" w:rsidRPr="004C6AAD" w:rsidRDefault="003A4883" w:rsidP="00FE498C">
            <w:pPr>
              <w:pStyle w:val="TableText0"/>
              <w:keepLines/>
            </w:pPr>
            <w:r w:rsidRPr="004C6AAD">
              <w:t>Primary: ACR20</w:t>
            </w:r>
            <w:r w:rsidR="000C1BD5">
              <w:t xml:space="preserve"> at 16 wk</w:t>
            </w:r>
          </w:p>
          <w:p w14:paraId="25BCCB4A" w14:textId="173F1DDB" w:rsidR="003A4883" w:rsidRPr="00E2771E" w:rsidRDefault="003A4883" w:rsidP="00FE498C">
            <w:pPr>
              <w:pStyle w:val="TableText0"/>
              <w:keepLines/>
              <w:rPr>
                <w:lang w:val="en-US"/>
              </w:rPr>
            </w:pPr>
            <w:r w:rsidRPr="004C6AAD">
              <w:t xml:space="preserve">Secondary: ACR50, HAQ-DI, </w:t>
            </w:r>
            <w:r>
              <w:t>MASES (enthesitis)</w:t>
            </w:r>
            <w:r w:rsidR="009F3EAF">
              <w:rPr>
                <w:vertAlign w:val="superscript"/>
              </w:rPr>
              <w:t>b</w:t>
            </w:r>
            <w:r w:rsidRPr="004C6AAD">
              <w:t xml:space="preserve">, </w:t>
            </w:r>
            <w:r w:rsidRPr="007C183C">
              <w:t xml:space="preserve">dactylitis count, PASI, SF-36, </w:t>
            </w:r>
            <w:r>
              <w:t xml:space="preserve">EQ-5D, </w:t>
            </w:r>
            <w:r w:rsidRPr="007C183C">
              <w:t>safety</w:t>
            </w:r>
          </w:p>
        </w:tc>
        <w:tc>
          <w:tcPr>
            <w:tcW w:w="679" w:type="pct"/>
            <w:vMerge w:val="restart"/>
            <w:shd w:val="clear" w:color="auto" w:fill="auto"/>
            <w:vAlign w:val="center"/>
          </w:tcPr>
          <w:p w14:paraId="56CFA754" w14:textId="0ECCE8F3" w:rsidR="003A4883" w:rsidRPr="00E2771E" w:rsidRDefault="003A4883" w:rsidP="00FE498C">
            <w:pPr>
              <w:pStyle w:val="TableText0"/>
              <w:keepLines/>
              <w:jc w:val="center"/>
              <w:rPr>
                <w:lang w:val="en-US"/>
              </w:rPr>
            </w:pPr>
            <w:r>
              <w:rPr>
                <w:lang w:val="en-US"/>
              </w:rPr>
              <w:t>PASI</w:t>
            </w:r>
            <w:r w:rsidR="000C1BD5">
              <w:rPr>
                <w:lang w:val="en-US"/>
              </w:rPr>
              <w:t xml:space="preserve"> at baseline</w:t>
            </w:r>
          </w:p>
        </w:tc>
      </w:tr>
      <w:tr w:rsidR="003A4883" w:rsidRPr="00E2771E" w14:paraId="120818B3" w14:textId="77777777" w:rsidTr="0016441D">
        <w:trPr>
          <w:cantSplit/>
        </w:trPr>
        <w:tc>
          <w:tcPr>
            <w:tcW w:w="481" w:type="pct"/>
            <w:shd w:val="clear" w:color="auto" w:fill="auto"/>
            <w:vAlign w:val="center"/>
          </w:tcPr>
          <w:p w14:paraId="4CD9C65F" w14:textId="77777777" w:rsidR="003A4883" w:rsidRPr="00E2771E" w:rsidRDefault="003A4883" w:rsidP="00FE498C">
            <w:pPr>
              <w:pStyle w:val="TableText0"/>
              <w:keepLines/>
              <w:rPr>
                <w:lang w:val="en-US"/>
              </w:rPr>
            </w:pPr>
            <w:r>
              <w:rPr>
                <w:lang w:val="en-US"/>
              </w:rPr>
              <w:t>PALACE 2</w:t>
            </w:r>
          </w:p>
        </w:tc>
        <w:tc>
          <w:tcPr>
            <w:tcW w:w="248" w:type="pct"/>
            <w:shd w:val="clear" w:color="auto" w:fill="auto"/>
            <w:vAlign w:val="center"/>
          </w:tcPr>
          <w:p w14:paraId="599C1B94" w14:textId="77777777" w:rsidR="003A4883" w:rsidRPr="00E2771E" w:rsidRDefault="003A4883" w:rsidP="00FE498C">
            <w:pPr>
              <w:pStyle w:val="TableText0"/>
              <w:keepLines/>
              <w:jc w:val="center"/>
              <w:rPr>
                <w:lang w:val="en-US"/>
              </w:rPr>
            </w:pPr>
            <w:r>
              <w:rPr>
                <w:lang w:val="en-US"/>
              </w:rPr>
              <w:t>321</w:t>
            </w:r>
          </w:p>
        </w:tc>
        <w:tc>
          <w:tcPr>
            <w:tcW w:w="800" w:type="pct"/>
            <w:vMerge/>
            <w:shd w:val="clear" w:color="auto" w:fill="auto"/>
            <w:vAlign w:val="center"/>
          </w:tcPr>
          <w:p w14:paraId="54DADA46" w14:textId="77777777" w:rsidR="003A4883" w:rsidRPr="00E2771E" w:rsidRDefault="003A4883" w:rsidP="00FE498C">
            <w:pPr>
              <w:pStyle w:val="TableText0"/>
              <w:keepLines/>
              <w:rPr>
                <w:lang w:val="en-US"/>
              </w:rPr>
            </w:pPr>
          </w:p>
        </w:tc>
        <w:tc>
          <w:tcPr>
            <w:tcW w:w="784" w:type="pct"/>
            <w:shd w:val="clear" w:color="auto" w:fill="auto"/>
            <w:vAlign w:val="center"/>
          </w:tcPr>
          <w:p w14:paraId="6AF4A3A4" w14:textId="77777777" w:rsidR="003A4883" w:rsidRPr="00123902" w:rsidRDefault="003A4883" w:rsidP="00FE498C">
            <w:pPr>
              <w:pStyle w:val="TableText0"/>
              <w:keepLines/>
              <w:rPr>
                <w:i/>
                <w:lang w:val="en-US"/>
              </w:rPr>
            </w:pPr>
            <w:r>
              <w:rPr>
                <w:iCs/>
                <w:lang w:val="en-US"/>
              </w:rPr>
              <w:t>Low</w:t>
            </w:r>
          </w:p>
        </w:tc>
        <w:tc>
          <w:tcPr>
            <w:tcW w:w="984" w:type="pct"/>
            <w:vMerge/>
            <w:shd w:val="clear" w:color="auto" w:fill="auto"/>
            <w:vAlign w:val="center"/>
          </w:tcPr>
          <w:p w14:paraId="4636C037" w14:textId="77777777" w:rsidR="003A4883" w:rsidRPr="00E2771E" w:rsidRDefault="003A4883" w:rsidP="00FE498C">
            <w:pPr>
              <w:pStyle w:val="TableText0"/>
              <w:keepLines/>
              <w:rPr>
                <w:lang w:val="en-US"/>
              </w:rPr>
            </w:pPr>
          </w:p>
        </w:tc>
        <w:tc>
          <w:tcPr>
            <w:tcW w:w="1023" w:type="pct"/>
            <w:vMerge/>
            <w:shd w:val="clear" w:color="auto" w:fill="auto"/>
            <w:vAlign w:val="center"/>
          </w:tcPr>
          <w:p w14:paraId="3D78DEB7" w14:textId="77777777" w:rsidR="003A4883" w:rsidRPr="00E2771E" w:rsidRDefault="003A4883" w:rsidP="00FE498C">
            <w:pPr>
              <w:pStyle w:val="TableText0"/>
              <w:keepLines/>
              <w:jc w:val="center"/>
              <w:rPr>
                <w:lang w:val="en-US"/>
              </w:rPr>
            </w:pPr>
          </w:p>
        </w:tc>
        <w:tc>
          <w:tcPr>
            <w:tcW w:w="679" w:type="pct"/>
            <w:vMerge/>
            <w:shd w:val="clear" w:color="auto" w:fill="auto"/>
            <w:vAlign w:val="center"/>
          </w:tcPr>
          <w:p w14:paraId="6104D910" w14:textId="77777777" w:rsidR="003A4883" w:rsidRPr="00E2771E" w:rsidRDefault="003A4883" w:rsidP="00FE498C">
            <w:pPr>
              <w:pStyle w:val="TableText0"/>
              <w:keepLines/>
              <w:jc w:val="center"/>
              <w:rPr>
                <w:lang w:val="en-US"/>
              </w:rPr>
            </w:pPr>
          </w:p>
        </w:tc>
      </w:tr>
      <w:tr w:rsidR="003A4883" w:rsidRPr="00E2771E" w14:paraId="21342289" w14:textId="77777777" w:rsidTr="0016441D">
        <w:trPr>
          <w:cantSplit/>
        </w:trPr>
        <w:tc>
          <w:tcPr>
            <w:tcW w:w="481" w:type="pct"/>
            <w:shd w:val="clear" w:color="auto" w:fill="auto"/>
            <w:vAlign w:val="center"/>
          </w:tcPr>
          <w:p w14:paraId="5BA8555B" w14:textId="77777777" w:rsidR="003A4883" w:rsidRPr="00E2771E" w:rsidRDefault="003A4883" w:rsidP="00FE498C">
            <w:pPr>
              <w:pStyle w:val="TableText0"/>
              <w:keepLines/>
              <w:rPr>
                <w:lang w:val="en-US"/>
              </w:rPr>
            </w:pPr>
            <w:r>
              <w:rPr>
                <w:lang w:val="en-US"/>
              </w:rPr>
              <w:t>PALACE 3</w:t>
            </w:r>
          </w:p>
        </w:tc>
        <w:tc>
          <w:tcPr>
            <w:tcW w:w="248" w:type="pct"/>
            <w:shd w:val="clear" w:color="auto" w:fill="auto"/>
            <w:vAlign w:val="center"/>
          </w:tcPr>
          <w:p w14:paraId="63DF6517" w14:textId="77777777" w:rsidR="003A4883" w:rsidRPr="00E2771E" w:rsidRDefault="003A4883" w:rsidP="00FE498C">
            <w:pPr>
              <w:pStyle w:val="TableText0"/>
              <w:keepLines/>
              <w:jc w:val="center"/>
              <w:rPr>
                <w:lang w:val="en-US"/>
              </w:rPr>
            </w:pPr>
            <w:r>
              <w:rPr>
                <w:lang w:val="en-US"/>
              </w:rPr>
              <w:t>336</w:t>
            </w:r>
          </w:p>
        </w:tc>
        <w:tc>
          <w:tcPr>
            <w:tcW w:w="800" w:type="pct"/>
            <w:vMerge/>
            <w:shd w:val="clear" w:color="auto" w:fill="auto"/>
            <w:vAlign w:val="center"/>
          </w:tcPr>
          <w:p w14:paraId="0C3605D1" w14:textId="77777777" w:rsidR="003A4883" w:rsidRPr="00E2771E" w:rsidRDefault="003A4883" w:rsidP="00FE498C">
            <w:pPr>
              <w:pStyle w:val="TableText0"/>
              <w:keepLines/>
              <w:rPr>
                <w:lang w:val="en-US"/>
              </w:rPr>
            </w:pPr>
          </w:p>
        </w:tc>
        <w:tc>
          <w:tcPr>
            <w:tcW w:w="784" w:type="pct"/>
            <w:shd w:val="clear" w:color="auto" w:fill="auto"/>
            <w:vAlign w:val="center"/>
          </w:tcPr>
          <w:p w14:paraId="0F89C9F7" w14:textId="77777777" w:rsidR="003A4883" w:rsidRPr="00123902" w:rsidRDefault="003A4883" w:rsidP="00FE498C">
            <w:pPr>
              <w:pStyle w:val="TableText0"/>
              <w:keepLines/>
              <w:rPr>
                <w:i/>
                <w:lang w:val="en-US"/>
              </w:rPr>
            </w:pPr>
            <w:r>
              <w:rPr>
                <w:iCs/>
                <w:lang w:val="en-US"/>
              </w:rPr>
              <w:t>Low</w:t>
            </w:r>
          </w:p>
        </w:tc>
        <w:tc>
          <w:tcPr>
            <w:tcW w:w="984" w:type="pct"/>
            <w:shd w:val="clear" w:color="auto" w:fill="auto"/>
            <w:vAlign w:val="center"/>
          </w:tcPr>
          <w:p w14:paraId="3415D48F" w14:textId="77777777" w:rsidR="003A4883" w:rsidRPr="00E2771E" w:rsidRDefault="003A4883" w:rsidP="00FE498C">
            <w:pPr>
              <w:pStyle w:val="TableText0"/>
              <w:keepLines/>
              <w:rPr>
                <w:lang w:val="en-US"/>
              </w:rPr>
            </w:pPr>
            <w:r w:rsidRPr="004C6AAD">
              <w:rPr>
                <w:lang w:val="en-US"/>
              </w:rPr>
              <w:t>PsA ≥6 mo, ≥3 swollen AND ≥3 tender joints, at least 1 plaque psoriasis lesion ≥2cm, combination therapy allowed</w:t>
            </w:r>
          </w:p>
        </w:tc>
        <w:tc>
          <w:tcPr>
            <w:tcW w:w="1023" w:type="pct"/>
            <w:vMerge/>
            <w:shd w:val="clear" w:color="auto" w:fill="auto"/>
            <w:vAlign w:val="center"/>
          </w:tcPr>
          <w:p w14:paraId="448844E5" w14:textId="77777777" w:rsidR="003A4883" w:rsidRPr="00E2771E" w:rsidRDefault="003A4883" w:rsidP="00FE498C">
            <w:pPr>
              <w:pStyle w:val="TableText0"/>
              <w:keepLines/>
              <w:jc w:val="center"/>
              <w:rPr>
                <w:lang w:val="en-US"/>
              </w:rPr>
            </w:pPr>
          </w:p>
        </w:tc>
        <w:tc>
          <w:tcPr>
            <w:tcW w:w="679" w:type="pct"/>
            <w:vMerge/>
            <w:shd w:val="clear" w:color="auto" w:fill="auto"/>
            <w:vAlign w:val="center"/>
          </w:tcPr>
          <w:p w14:paraId="3AC7E1F4" w14:textId="77777777" w:rsidR="003A4883" w:rsidRPr="00E2771E" w:rsidRDefault="003A4883" w:rsidP="00FE498C">
            <w:pPr>
              <w:pStyle w:val="TableText0"/>
              <w:keepLines/>
              <w:jc w:val="center"/>
              <w:rPr>
                <w:lang w:val="en-US"/>
              </w:rPr>
            </w:pPr>
          </w:p>
        </w:tc>
      </w:tr>
      <w:tr w:rsidR="003A4883" w:rsidRPr="00E2771E" w14:paraId="27F72220" w14:textId="77777777" w:rsidTr="0016441D">
        <w:trPr>
          <w:cantSplit/>
        </w:trPr>
        <w:tc>
          <w:tcPr>
            <w:tcW w:w="481" w:type="pct"/>
            <w:shd w:val="clear" w:color="auto" w:fill="auto"/>
            <w:vAlign w:val="center"/>
          </w:tcPr>
          <w:p w14:paraId="681DB3E4" w14:textId="77777777" w:rsidR="003A4883" w:rsidRPr="00E2771E" w:rsidRDefault="003A4883" w:rsidP="00FE498C">
            <w:pPr>
              <w:pStyle w:val="TableText0"/>
              <w:keepLines/>
              <w:rPr>
                <w:lang w:val="en-US"/>
              </w:rPr>
            </w:pPr>
            <w:r>
              <w:rPr>
                <w:lang w:val="en-US"/>
              </w:rPr>
              <w:t>PALACE 4</w:t>
            </w:r>
          </w:p>
        </w:tc>
        <w:tc>
          <w:tcPr>
            <w:tcW w:w="248" w:type="pct"/>
            <w:shd w:val="clear" w:color="auto" w:fill="auto"/>
            <w:vAlign w:val="center"/>
          </w:tcPr>
          <w:p w14:paraId="568B0EAA" w14:textId="77777777" w:rsidR="003A4883" w:rsidRPr="00E2771E" w:rsidRDefault="003A4883" w:rsidP="00FE498C">
            <w:pPr>
              <w:pStyle w:val="TableText0"/>
              <w:keepLines/>
              <w:jc w:val="center"/>
              <w:rPr>
                <w:lang w:val="en-US"/>
              </w:rPr>
            </w:pPr>
            <w:r>
              <w:rPr>
                <w:lang w:val="en-US"/>
              </w:rPr>
              <w:t>352</w:t>
            </w:r>
          </w:p>
        </w:tc>
        <w:tc>
          <w:tcPr>
            <w:tcW w:w="800" w:type="pct"/>
            <w:vMerge/>
            <w:shd w:val="clear" w:color="auto" w:fill="auto"/>
            <w:vAlign w:val="center"/>
          </w:tcPr>
          <w:p w14:paraId="2FBE6B9F" w14:textId="77777777" w:rsidR="003A4883" w:rsidRPr="00E2771E" w:rsidRDefault="003A4883" w:rsidP="00FE498C">
            <w:pPr>
              <w:pStyle w:val="TableText0"/>
              <w:keepLines/>
              <w:rPr>
                <w:lang w:val="en-US"/>
              </w:rPr>
            </w:pPr>
          </w:p>
        </w:tc>
        <w:tc>
          <w:tcPr>
            <w:tcW w:w="784" w:type="pct"/>
            <w:shd w:val="clear" w:color="auto" w:fill="auto"/>
            <w:vAlign w:val="center"/>
          </w:tcPr>
          <w:p w14:paraId="373380C3" w14:textId="77777777" w:rsidR="003A4883" w:rsidRPr="00123902" w:rsidRDefault="003A4883" w:rsidP="00FE498C">
            <w:pPr>
              <w:pStyle w:val="TableText0"/>
              <w:keepLines/>
              <w:rPr>
                <w:i/>
                <w:lang w:val="en-US"/>
              </w:rPr>
            </w:pPr>
            <w:r>
              <w:rPr>
                <w:iCs/>
                <w:lang w:val="en-US"/>
              </w:rPr>
              <w:t>Low</w:t>
            </w:r>
          </w:p>
        </w:tc>
        <w:tc>
          <w:tcPr>
            <w:tcW w:w="984" w:type="pct"/>
            <w:shd w:val="clear" w:color="auto" w:fill="auto"/>
            <w:vAlign w:val="center"/>
          </w:tcPr>
          <w:p w14:paraId="4DDF960D" w14:textId="77777777" w:rsidR="003A4883" w:rsidRPr="00E2771E" w:rsidRDefault="003A4883" w:rsidP="00FE498C">
            <w:pPr>
              <w:pStyle w:val="TableText0"/>
              <w:keepLines/>
              <w:rPr>
                <w:lang w:val="en-US"/>
              </w:rPr>
            </w:pPr>
            <w:r w:rsidRPr="004C6AAD">
              <w:rPr>
                <w:lang w:val="en-US"/>
              </w:rPr>
              <w:t>PsA ≥6 mo, ≥3 swollen AND ≥3 tender joints, treatment naïve, monotherapy</w:t>
            </w:r>
          </w:p>
        </w:tc>
        <w:tc>
          <w:tcPr>
            <w:tcW w:w="1023" w:type="pct"/>
            <w:vMerge/>
            <w:shd w:val="clear" w:color="auto" w:fill="auto"/>
            <w:vAlign w:val="center"/>
          </w:tcPr>
          <w:p w14:paraId="158C4911" w14:textId="77777777" w:rsidR="003A4883" w:rsidRPr="00E2771E" w:rsidRDefault="003A4883" w:rsidP="00FE498C">
            <w:pPr>
              <w:pStyle w:val="TableText0"/>
              <w:keepLines/>
              <w:jc w:val="center"/>
              <w:rPr>
                <w:lang w:val="en-US"/>
              </w:rPr>
            </w:pPr>
          </w:p>
        </w:tc>
        <w:tc>
          <w:tcPr>
            <w:tcW w:w="679" w:type="pct"/>
            <w:vMerge/>
            <w:shd w:val="clear" w:color="auto" w:fill="auto"/>
            <w:vAlign w:val="center"/>
          </w:tcPr>
          <w:p w14:paraId="41DBCA92" w14:textId="77777777" w:rsidR="003A4883" w:rsidRPr="00E2771E" w:rsidRDefault="003A4883" w:rsidP="00FE498C">
            <w:pPr>
              <w:pStyle w:val="TableText0"/>
              <w:keepLines/>
              <w:jc w:val="center"/>
              <w:rPr>
                <w:lang w:val="en-US"/>
              </w:rPr>
            </w:pPr>
          </w:p>
        </w:tc>
      </w:tr>
    </w:tbl>
    <w:p w14:paraId="4EE4EC5B" w14:textId="77777777" w:rsidR="003A4883" w:rsidRDefault="003A4883" w:rsidP="00FE498C">
      <w:pPr>
        <w:pStyle w:val="FooterTableFigure"/>
        <w:keepNext/>
        <w:keepLines/>
      </w:pPr>
      <w:r>
        <w:t xml:space="preserve">Source: Tables 2-5, 2-6, 2-7, 2-11, 2-12, 2-19 &amp; 2-20, pp23-24, 27, 30-31 &amp; 39-44 </w:t>
      </w:r>
      <w:r w:rsidRPr="00D13A3E">
        <w:t xml:space="preserve">of the </w:t>
      </w:r>
      <w:r>
        <w:t>submission; Figures 2-3 &amp; 2-4, p26 of the submission; pp22-23 of the submission.</w:t>
      </w:r>
    </w:p>
    <w:p w14:paraId="3F4C4AE1" w14:textId="012599FA" w:rsidR="003A4883" w:rsidRDefault="003A4883" w:rsidP="00FE498C">
      <w:pPr>
        <w:pStyle w:val="FooterTableFigure"/>
        <w:keepNext/>
        <w:keepLines/>
      </w:pPr>
      <w:r>
        <w:t xml:space="preserve">ACR20 = Modified American College of Rheumatology 20% response; ACR50 = Modified American College of Rheumatology 50% response; </w:t>
      </w:r>
      <w:r w:rsidR="0085608A">
        <w:t xml:space="preserve">APR = apremilast; </w:t>
      </w:r>
      <w:r>
        <w:t>CRP = C-reactive protein;</w:t>
      </w:r>
      <w:r w:rsidRPr="001C093F">
        <w:t xml:space="preserve"> DAS-28 = 28-Joint Disease Activity Score; </w:t>
      </w:r>
      <w:r w:rsidRPr="0072416F">
        <w:t>DB</w:t>
      </w:r>
      <w:r>
        <w:t xml:space="preserve"> </w:t>
      </w:r>
      <w:r w:rsidRPr="0072416F">
        <w:t>=</w:t>
      </w:r>
      <w:r>
        <w:t xml:space="preserve"> </w:t>
      </w:r>
      <w:r w:rsidRPr="0072416F">
        <w:t xml:space="preserve">double blind; </w:t>
      </w:r>
      <w:r>
        <w:t xml:space="preserve">EQ-5D = </w:t>
      </w:r>
      <w:r w:rsidRPr="00BB42ED">
        <w:t>EuroQol 5 Dimensions Questionnaire</w:t>
      </w:r>
      <w:r>
        <w:t xml:space="preserve">; </w:t>
      </w:r>
      <w:r w:rsidRPr="001C093F">
        <w:t xml:space="preserve">GEI = Gladman Enthesitis Index; HAQ-DI = Health Assessment Questionnaire-Disability Index; MASES = Maastricht Ankylosing Spondylitis Enthesitis Score; </w:t>
      </w:r>
      <w:r w:rsidRPr="0072416F">
        <w:t>MC</w:t>
      </w:r>
      <w:r>
        <w:t xml:space="preserve"> </w:t>
      </w:r>
      <w:r w:rsidRPr="0072416F">
        <w:t>=</w:t>
      </w:r>
      <w:r>
        <w:t xml:space="preserve"> </w:t>
      </w:r>
      <w:r w:rsidRPr="0072416F">
        <w:t xml:space="preserve">multi-centre; </w:t>
      </w:r>
      <w:r>
        <w:t xml:space="preserve">mo = month; </w:t>
      </w:r>
      <w:r w:rsidRPr="0072416F">
        <w:t>OL</w:t>
      </w:r>
      <w:r>
        <w:t xml:space="preserve"> </w:t>
      </w:r>
      <w:r w:rsidRPr="0072416F">
        <w:t>=</w:t>
      </w:r>
      <w:r>
        <w:t xml:space="preserve"> </w:t>
      </w:r>
      <w:r w:rsidRPr="0072416F">
        <w:t xml:space="preserve">open label; </w:t>
      </w:r>
      <w:r w:rsidRPr="001C093F">
        <w:t>PASI = Psoriasis Area and Severity Index</w:t>
      </w:r>
      <w:r>
        <w:t>;</w:t>
      </w:r>
      <w:r w:rsidRPr="001C093F">
        <w:t xml:space="preserve"> </w:t>
      </w:r>
      <w:r>
        <w:t xml:space="preserve">PsA = psoriatic arthritis; </w:t>
      </w:r>
      <w:r w:rsidRPr="0072416F">
        <w:t>R</w:t>
      </w:r>
      <w:r>
        <w:t xml:space="preserve"> </w:t>
      </w:r>
      <w:r w:rsidRPr="0072416F">
        <w:t>=</w:t>
      </w:r>
      <w:r>
        <w:t xml:space="preserve"> </w:t>
      </w:r>
      <w:r w:rsidRPr="0072416F">
        <w:t>randomised</w:t>
      </w:r>
      <w:r>
        <w:t>;</w:t>
      </w:r>
      <w:r w:rsidRPr="001C093F">
        <w:t xml:space="preserve"> SF-36 = Short Form Health Survey – 36 item</w:t>
      </w:r>
      <w:r>
        <w:t>; wk = week; yr = year</w:t>
      </w:r>
      <w:r w:rsidRPr="0072416F">
        <w:t>.</w:t>
      </w:r>
    </w:p>
    <w:p w14:paraId="77795ED8" w14:textId="63C2A02D" w:rsidR="009F3EAF" w:rsidRDefault="003A4883" w:rsidP="00FE498C">
      <w:pPr>
        <w:pStyle w:val="FooterTableFigure"/>
        <w:keepNext/>
        <w:keepLines/>
      </w:pPr>
      <w:r w:rsidRPr="000B7CED">
        <w:rPr>
          <w:vertAlign w:val="superscript"/>
        </w:rPr>
        <w:t>a</w:t>
      </w:r>
      <w:r>
        <w:t xml:space="preserve"> </w:t>
      </w:r>
      <w:r w:rsidR="00E83C42">
        <w:t xml:space="preserve">The primary outcomes were assessed at week 16. After the primary outcome was assessed, participants who achieved in insufficient </w:t>
      </w:r>
      <w:r w:rsidR="00FE1CFB">
        <w:t>response</w:t>
      </w:r>
      <w:r w:rsidR="00E83C42">
        <w:t xml:space="preserve"> were eligible for early escape to active treatment. </w:t>
      </w:r>
      <w:r w:rsidR="00E83C42" w:rsidRPr="00E83C42">
        <w:t>Further clinical assessments at week 24 including pa</w:t>
      </w:r>
      <w:r w:rsidR="0016441D">
        <w:t>rticipants</w:t>
      </w:r>
      <w:r w:rsidR="00E83C42" w:rsidRPr="00E83C42">
        <w:t xml:space="preserve"> in early escape were conducted without breaking the blind</w:t>
      </w:r>
      <w:r w:rsidR="00E83C42">
        <w:t>.</w:t>
      </w:r>
    </w:p>
    <w:p w14:paraId="6CE18230" w14:textId="167EA7DE" w:rsidR="003A4883" w:rsidRDefault="009F3EAF" w:rsidP="00FE498C">
      <w:pPr>
        <w:pStyle w:val="FooterTableFigure"/>
        <w:keepNext/>
        <w:keepLines/>
      </w:pPr>
      <w:r w:rsidRPr="00E83C42">
        <w:rPr>
          <w:vertAlign w:val="superscript"/>
        </w:rPr>
        <w:t>b</w:t>
      </w:r>
      <w:r>
        <w:t xml:space="preserve"> </w:t>
      </w:r>
      <w:r w:rsidR="003A4883">
        <w:t>PALACE 1-3 trials only</w:t>
      </w:r>
    </w:p>
    <w:p w14:paraId="643B38D4" w14:textId="77777777" w:rsidR="003A4883" w:rsidRPr="00C9624D" w:rsidRDefault="003A4883" w:rsidP="003A4883">
      <w:pPr>
        <w:pStyle w:val="4-SubsectionHeading"/>
      </w:pPr>
      <w:bookmarkStart w:id="36" w:name="_Toc22897641"/>
      <w:bookmarkStart w:id="37" w:name="_Toc124945471"/>
      <w:r w:rsidRPr="00C9624D">
        <w:t>Comparative effectiveness</w:t>
      </w:r>
      <w:bookmarkEnd w:id="36"/>
      <w:bookmarkEnd w:id="37"/>
    </w:p>
    <w:p w14:paraId="4F0014E6" w14:textId="77777777" w:rsidR="003A4883" w:rsidRPr="006429F6" w:rsidRDefault="003A4883" w:rsidP="003A4883">
      <w:pPr>
        <w:pStyle w:val="5-SubsectionSubheading"/>
      </w:pPr>
      <w:bookmarkStart w:id="38" w:name="_Toc124945472"/>
      <w:r w:rsidRPr="006429F6">
        <w:t>Whole trial analysis</w:t>
      </w:r>
      <w:bookmarkEnd w:id="38"/>
    </w:p>
    <w:p w14:paraId="512EAD5F" w14:textId="6C9617B8" w:rsidR="003A4883" w:rsidRPr="00EC5836" w:rsidRDefault="003A4883" w:rsidP="003A4883">
      <w:pPr>
        <w:pStyle w:val="3-BodyText"/>
        <w:ind w:left="720" w:hanging="720"/>
        <w:rPr>
          <w:color w:val="0066FF"/>
        </w:rPr>
      </w:pPr>
      <w:r>
        <w:rPr>
          <w:color w:val="0066FF"/>
        </w:rPr>
        <w:fldChar w:fldCharType="begin"/>
      </w:r>
      <w:r>
        <w:rPr>
          <w:color w:val="0066FF"/>
        </w:rPr>
        <w:instrText xml:space="preserve"> REF _Ref121434020 \h </w:instrText>
      </w:r>
      <w:r>
        <w:rPr>
          <w:color w:val="0066FF"/>
        </w:rPr>
      </w:r>
      <w:r>
        <w:rPr>
          <w:color w:val="0066FF"/>
        </w:rPr>
        <w:fldChar w:fldCharType="separate"/>
      </w:r>
      <w:r w:rsidR="00A05E81">
        <w:t xml:space="preserve">Table </w:t>
      </w:r>
      <w:r w:rsidR="00A05E81">
        <w:rPr>
          <w:noProof/>
        </w:rPr>
        <w:t>5</w:t>
      </w:r>
      <w:r>
        <w:rPr>
          <w:color w:val="0066FF"/>
        </w:rPr>
        <w:fldChar w:fldCharType="end"/>
      </w:r>
      <w:r w:rsidRPr="0078730A">
        <w:t xml:space="preserve"> </w:t>
      </w:r>
      <w:r>
        <w:t>compares the primary outcome (ACR20) and secondary outcome (ACR50) at week 16</w:t>
      </w:r>
      <w:r w:rsidR="00C537B4">
        <w:t xml:space="preserve"> </w:t>
      </w:r>
      <w:r>
        <w:t xml:space="preserve">across all trials. </w:t>
      </w:r>
    </w:p>
    <w:p w14:paraId="06BDEBFC" w14:textId="481E9DFA" w:rsidR="003A4883" w:rsidRDefault="003A4883" w:rsidP="003A4883">
      <w:pPr>
        <w:pStyle w:val="Caption"/>
      </w:pPr>
      <w:bookmarkStart w:id="39" w:name="_Ref121434020"/>
      <w:bookmarkStart w:id="40" w:name="_Hlk124334893"/>
      <w:r>
        <w:lastRenderedPageBreak/>
        <w:t xml:space="preserve">Table </w:t>
      </w:r>
      <w:r w:rsidR="00A05E81">
        <w:fldChar w:fldCharType="begin"/>
      </w:r>
      <w:r w:rsidR="00A05E81">
        <w:instrText xml:space="preserve"> SEQ Table \* ARABIC </w:instrText>
      </w:r>
      <w:r w:rsidR="00A05E81">
        <w:fldChar w:fldCharType="separate"/>
      </w:r>
      <w:r w:rsidR="00A05E81">
        <w:rPr>
          <w:noProof/>
        </w:rPr>
        <w:t>5</w:t>
      </w:r>
      <w:r w:rsidR="00A05E81">
        <w:rPr>
          <w:noProof/>
        </w:rPr>
        <w:fldChar w:fldCharType="end"/>
      </w:r>
      <w:bookmarkEnd w:id="39"/>
      <w:r>
        <w:t xml:space="preserve">: </w:t>
      </w:r>
      <w:r w:rsidRPr="00511F93">
        <w:rPr>
          <w:rStyle w:val="CommentReference"/>
          <w:b/>
          <w:szCs w:val="24"/>
        </w:rPr>
        <w:t>ACR20 and ACR50 response at Week 16</w:t>
      </w:r>
      <w:r>
        <w:rPr>
          <w:rStyle w:val="CommentReference"/>
          <w:b/>
          <w:szCs w:val="24"/>
        </w:rPr>
        <w:t xml:space="preserve"> in the ACTIVE and PALACE 1-4 trials</w:t>
      </w:r>
      <w:r w:rsidRPr="00511F93">
        <w:rPr>
          <w:rStyle w:val="CommentReference"/>
          <w:b/>
          <w:szCs w:val="24"/>
        </w:rPr>
        <w:t xml:space="preserve"> (FAS; NRI)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886"/>
        <w:gridCol w:w="58"/>
        <w:gridCol w:w="1868"/>
        <w:gridCol w:w="7"/>
        <w:gridCol w:w="1834"/>
        <w:gridCol w:w="47"/>
        <w:gridCol w:w="1888"/>
      </w:tblGrid>
      <w:tr w:rsidR="000A2013" w:rsidRPr="0033470C" w14:paraId="285DEE15" w14:textId="77777777" w:rsidTr="000A2013">
        <w:trPr>
          <w:tblHeader/>
        </w:trPr>
        <w:tc>
          <w:tcPr>
            <w:tcW w:w="792" w:type="pct"/>
            <w:vAlign w:val="center"/>
          </w:tcPr>
          <w:p w14:paraId="3F12C730" w14:textId="77777777" w:rsidR="000A2013" w:rsidRPr="0033470C" w:rsidRDefault="000A2013" w:rsidP="001A5767">
            <w:pPr>
              <w:pStyle w:val="TableFigureHeading"/>
              <w:jc w:val="center"/>
            </w:pPr>
            <w:r w:rsidRPr="0033470C">
              <w:t>Trial ID</w:t>
            </w:r>
          </w:p>
        </w:tc>
        <w:tc>
          <w:tcPr>
            <w:tcW w:w="1046" w:type="pct"/>
            <w:vAlign w:val="center"/>
          </w:tcPr>
          <w:p w14:paraId="4E704F75" w14:textId="77777777" w:rsidR="000A2013" w:rsidRPr="0033470C" w:rsidRDefault="000A2013" w:rsidP="001A5767">
            <w:pPr>
              <w:pStyle w:val="TableFigureHeading"/>
              <w:jc w:val="center"/>
            </w:pPr>
            <w:r w:rsidRPr="0033470C">
              <w:t>Apremilast</w:t>
            </w:r>
          </w:p>
          <w:p w14:paraId="45A51F3C" w14:textId="77777777" w:rsidR="000A2013" w:rsidRPr="0033470C" w:rsidRDefault="000A2013" w:rsidP="001A5767">
            <w:pPr>
              <w:pStyle w:val="TableFigureHeading"/>
              <w:jc w:val="center"/>
            </w:pPr>
            <w:r w:rsidRPr="0033470C">
              <w:t>n/N (%)</w:t>
            </w:r>
          </w:p>
        </w:tc>
        <w:tc>
          <w:tcPr>
            <w:tcW w:w="1072" w:type="pct"/>
            <w:gridSpan w:val="3"/>
            <w:vAlign w:val="center"/>
          </w:tcPr>
          <w:p w14:paraId="6AAC1191" w14:textId="77777777" w:rsidR="000A2013" w:rsidRPr="0033470C" w:rsidRDefault="000A2013" w:rsidP="001A5767">
            <w:pPr>
              <w:pStyle w:val="TableFigureHeading"/>
              <w:jc w:val="center"/>
            </w:pPr>
            <w:r w:rsidRPr="0033470C">
              <w:t>Placebo</w:t>
            </w:r>
          </w:p>
          <w:p w14:paraId="662AE088" w14:textId="77777777" w:rsidR="000A2013" w:rsidRPr="0033470C" w:rsidRDefault="000A2013" w:rsidP="001A5767">
            <w:pPr>
              <w:pStyle w:val="TableFigureHeading"/>
              <w:jc w:val="center"/>
            </w:pPr>
            <w:r w:rsidRPr="0033470C">
              <w:t>n/N (%)</w:t>
            </w:r>
          </w:p>
        </w:tc>
        <w:tc>
          <w:tcPr>
            <w:tcW w:w="1043" w:type="pct"/>
            <w:gridSpan w:val="2"/>
            <w:vAlign w:val="center"/>
          </w:tcPr>
          <w:p w14:paraId="6C3B1C74" w14:textId="77777777" w:rsidR="00C4107C" w:rsidRDefault="000A2013" w:rsidP="001A5767">
            <w:pPr>
              <w:pStyle w:val="TableFigureHeading"/>
              <w:jc w:val="center"/>
            </w:pPr>
            <w:r w:rsidRPr="0033470C">
              <w:t xml:space="preserve">Relative risk </w:t>
            </w:r>
          </w:p>
          <w:p w14:paraId="47B4B23A" w14:textId="32BF753E" w:rsidR="000A2013" w:rsidRPr="0033470C" w:rsidRDefault="000A2013" w:rsidP="001A5767">
            <w:pPr>
              <w:pStyle w:val="TableFigureHeading"/>
              <w:jc w:val="center"/>
            </w:pPr>
            <w:r w:rsidRPr="0033470C">
              <w:t>(95% CI)</w:t>
            </w:r>
            <w:r w:rsidRPr="0033470C">
              <w:rPr>
                <w:vertAlign w:val="superscript"/>
              </w:rPr>
              <w:t>a</w:t>
            </w:r>
          </w:p>
        </w:tc>
        <w:tc>
          <w:tcPr>
            <w:tcW w:w="1047" w:type="pct"/>
            <w:vAlign w:val="center"/>
          </w:tcPr>
          <w:p w14:paraId="7A263F79" w14:textId="2DD6991D" w:rsidR="000A2013" w:rsidRPr="0033470C" w:rsidRDefault="000A2013" w:rsidP="001A5767">
            <w:pPr>
              <w:pStyle w:val="TableFigureHeading"/>
              <w:jc w:val="center"/>
            </w:pPr>
            <w:r w:rsidRPr="0033470C">
              <w:t>Risk difference (95% CI)</w:t>
            </w:r>
            <w:r w:rsidRPr="0033470C">
              <w:rPr>
                <w:vertAlign w:val="superscript"/>
              </w:rPr>
              <w:t>a</w:t>
            </w:r>
          </w:p>
        </w:tc>
      </w:tr>
      <w:tr w:rsidR="00146FF1" w:rsidRPr="0033470C" w14:paraId="6B58589C" w14:textId="77777777" w:rsidTr="00146FF1">
        <w:trPr>
          <w:tblHeader/>
        </w:trPr>
        <w:tc>
          <w:tcPr>
            <w:tcW w:w="5000" w:type="pct"/>
            <w:gridSpan w:val="8"/>
          </w:tcPr>
          <w:p w14:paraId="36836F79" w14:textId="42520998" w:rsidR="003A4883" w:rsidRPr="0033470C" w:rsidRDefault="00987CEF" w:rsidP="001A5767">
            <w:pPr>
              <w:pStyle w:val="TableFigureHeading"/>
            </w:pPr>
            <w:r>
              <w:t>ACR 20</w:t>
            </w:r>
          </w:p>
        </w:tc>
      </w:tr>
      <w:tr w:rsidR="000A2013" w:rsidRPr="0033470C" w14:paraId="5B27B52D" w14:textId="77777777" w:rsidTr="000A2013">
        <w:tc>
          <w:tcPr>
            <w:tcW w:w="792" w:type="pct"/>
            <w:vAlign w:val="center"/>
          </w:tcPr>
          <w:p w14:paraId="374C48D7" w14:textId="77777777" w:rsidR="000A2013" w:rsidRPr="0033470C" w:rsidRDefault="000A2013" w:rsidP="001A5767">
            <w:pPr>
              <w:pStyle w:val="TableText0"/>
            </w:pPr>
            <w:r w:rsidRPr="0033470C">
              <w:t>ACTIVE</w:t>
            </w:r>
          </w:p>
        </w:tc>
        <w:tc>
          <w:tcPr>
            <w:tcW w:w="1078" w:type="pct"/>
            <w:gridSpan w:val="2"/>
            <w:vAlign w:val="center"/>
          </w:tcPr>
          <w:p w14:paraId="049336CD" w14:textId="77777777" w:rsidR="000A2013" w:rsidRPr="0033470C" w:rsidRDefault="000A2013" w:rsidP="001A5767">
            <w:pPr>
              <w:pStyle w:val="TableText0"/>
              <w:jc w:val="center"/>
            </w:pPr>
            <w:r w:rsidRPr="0033470C">
              <w:rPr>
                <w:rFonts w:cstheme="minorHAnsi"/>
              </w:rPr>
              <w:t>42/110 (38.2)</w:t>
            </w:r>
          </w:p>
        </w:tc>
        <w:tc>
          <w:tcPr>
            <w:tcW w:w="1036" w:type="pct"/>
            <w:vAlign w:val="center"/>
          </w:tcPr>
          <w:p w14:paraId="1EAA1005" w14:textId="77777777" w:rsidR="000A2013" w:rsidRPr="0033470C" w:rsidRDefault="000A2013" w:rsidP="001A5767">
            <w:pPr>
              <w:pStyle w:val="TableText0"/>
              <w:jc w:val="center"/>
            </w:pPr>
            <w:r w:rsidRPr="0033470C">
              <w:rPr>
                <w:rFonts w:cstheme="minorHAnsi"/>
              </w:rPr>
              <w:t>22/109 (20.2)</w:t>
            </w:r>
          </w:p>
        </w:tc>
        <w:tc>
          <w:tcPr>
            <w:tcW w:w="1021" w:type="pct"/>
            <w:gridSpan w:val="2"/>
            <w:vAlign w:val="center"/>
          </w:tcPr>
          <w:p w14:paraId="69B3A5EB" w14:textId="7FCD3E2C" w:rsidR="000A2013" w:rsidRPr="0033470C" w:rsidRDefault="000A2013" w:rsidP="001A5767">
            <w:pPr>
              <w:pStyle w:val="TableText0"/>
              <w:jc w:val="center"/>
              <w:rPr>
                <w:b/>
                <w:bCs w:val="0"/>
              </w:rPr>
            </w:pPr>
            <w:r w:rsidRPr="0033470C">
              <w:rPr>
                <w:b/>
                <w:bCs w:val="0"/>
              </w:rPr>
              <w:t>1.89 (1.22, 2.95)</w:t>
            </w:r>
          </w:p>
        </w:tc>
        <w:tc>
          <w:tcPr>
            <w:tcW w:w="1073" w:type="pct"/>
            <w:gridSpan w:val="2"/>
            <w:vAlign w:val="center"/>
          </w:tcPr>
          <w:p w14:paraId="2BF117B8" w14:textId="77777777" w:rsidR="000A2013" w:rsidRPr="0033470C" w:rsidRDefault="000A2013" w:rsidP="001A5767">
            <w:pPr>
              <w:pStyle w:val="TableText0"/>
              <w:jc w:val="center"/>
              <w:rPr>
                <w:b/>
                <w:bCs w:val="0"/>
              </w:rPr>
            </w:pPr>
            <w:r w:rsidRPr="0033470C">
              <w:rPr>
                <w:b/>
                <w:bCs w:val="0"/>
              </w:rPr>
              <w:t>0.18 (0.06, 0.30)</w:t>
            </w:r>
          </w:p>
        </w:tc>
      </w:tr>
      <w:tr w:rsidR="000A2013" w:rsidRPr="0033470C" w14:paraId="6DC0496B" w14:textId="77777777" w:rsidTr="000A2013">
        <w:tc>
          <w:tcPr>
            <w:tcW w:w="792" w:type="pct"/>
            <w:shd w:val="clear" w:color="auto" w:fill="B8CCE4" w:themeFill="accent1" w:themeFillTint="66"/>
            <w:vAlign w:val="center"/>
          </w:tcPr>
          <w:p w14:paraId="1D5E5631" w14:textId="77777777" w:rsidR="000A2013" w:rsidRPr="0033470C" w:rsidRDefault="000A2013" w:rsidP="001A5767">
            <w:pPr>
              <w:pStyle w:val="TableText0"/>
            </w:pPr>
            <w:r w:rsidRPr="0033470C">
              <w:t>PALACE 1</w:t>
            </w:r>
          </w:p>
        </w:tc>
        <w:tc>
          <w:tcPr>
            <w:tcW w:w="1078" w:type="pct"/>
            <w:gridSpan w:val="2"/>
            <w:shd w:val="clear" w:color="auto" w:fill="B8CCE4" w:themeFill="accent1" w:themeFillTint="66"/>
            <w:vAlign w:val="center"/>
          </w:tcPr>
          <w:p w14:paraId="471D5D48" w14:textId="77777777" w:rsidR="000A2013" w:rsidRPr="0033470C" w:rsidRDefault="000A2013" w:rsidP="001A5767">
            <w:pPr>
              <w:pStyle w:val="TableText0"/>
              <w:jc w:val="center"/>
            </w:pPr>
            <w:r w:rsidRPr="0033470C">
              <w:t>64/168 (38.1)</w:t>
            </w:r>
          </w:p>
        </w:tc>
        <w:tc>
          <w:tcPr>
            <w:tcW w:w="1036" w:type="pct"/>
            <w:shd w:val="clear" w:color="auto" w:fill="B8CCE4" w:themeFill="accent1" w:themeFillTint="66"/>
            <w:vAlign w:val="center"/>
          </w:tcPr>
          <w:p w14:paraId="4C9077EF" w14:textId="77777777" w:rsidR="000A2013" w:rsidRPr="0033470C" w:rsidRDefault="000A2013" w:rsidP="001A5767">
            <w:pPr>
              <w:pStyle w:val="TableText0"/>
              <w:jc w:val="center"/>
            </w:pPr>
            <w:r w:rsidRPr="0033470C">
              <w:t>32/168 (19.0)</w:t>
            </w:r>
          </w:p>
        </w:tc>
        <w:tc>
          <w:tcPr>
            <w:tcW w:w="1021" w:type="pct"/>
            <w:gridSpan w:val="2"/>
            <w:shd w:val="clear" w:color="auto" w:fill="B8CCE4" w:themeFill="accent1" w:themeFillTint="66"/>
            <w:vAlign w:val="center"/>
          </w:tcPr>
          <w:p w14:paraId="55D9522F" w14:textId="3B4495A2" w:rsidR="000A2013" w:rsidRPr="0033470C" w:rsidRDefault="000A2013" w:rsidP="001A5767">
            <w:pPr>
              <w:pStyle w:val="TableText0"/>
              <w:jc w:val="center"/>
              <w:rPr>
                <w:b/>
                <w:bCs w:val="0"/>
              </w:rPr>
            </w:pPr>
            <w:r w:rsidRPr="0033470C">
              <w:rPr>
                <w:b/>
                <w:bCs w:val="0"/>
              </w:rPr>
              <w:t>2.00 (1.39, 2.89)</w:t>
            </w:r>
          </w:p>
        </w:tc>
        <w:tc>
          <w:tcPr>
            <w:tcW w:w="1073" w:type="pct"/>
            <w:gridSpan w:val="2"/>
            <w:shd w:val="clear" w:color="auto" w:fill="B8CCE4" w:themeFill="accent1" w:themeFillTint="66"/>
            <w:vAlign w:val="center"/>
          </w:tcPr>
          <w:p w14:paraId="0D32B7C2" w14:textId="77777777" w:rsidR="000A2013" w:rsidRPr="0033470C" w:rsidRDefault="000A2013" w:rsidP="001A5767">
            <w:pPr>
              <w:pStyle w:val="TableText0"/>
              <w:jc w:val="center"/>
              <w:rPr>
                <w:b/>
                <w:bCs w:val="0"/>
              </w:rPr>
            </w:pPr>
            <w:r w:rsidRPr="0033470C">
              <w:rPr>
                <w:b/>
                <w:bCs w:val="0"/>
              </w:rPr>
              <w:t>0.19 (0.10, 0.28)</w:t>
            </w:r>
          </w:p>
        </w:tc>
      </w:tr>
      <w:tr w:rsidR="000A2013" w:rsidRPr="0033470C" w14:paraId="07ABAD31" w14:textId="77777777" w:rsidTr="000A2013">
        <w:tc>
          <w:tcPr>
            <w:tcW w:w="792" w:type="pct"/>
            <w:shd w:val="clear" w:color="auto" w:fill="B8CCE4" w:themeFill="accent1" w:themeFillTint="66"/>
            <w:vAlign w:val="center"/>
          </w:tcPr>
          <w:p w14:paraId="04CD73B4" w14:textId="77777777" w:rsidR="000A2013" w:rsidRPr="0033470C" w:rsidRDefault="000A2013" w:rsidP="001A5767">
            <w:pPr>
              <w:pStyle w:val="TableText0"/>
            </w:pPr>
            <w:r w:rsidRPr="0033470C">
              <w:t>PALACE 2</w:t>
            </w:r>
          </w:p>
        </w:tc>
        <w:tc>
          <w:tcPr>
            <w:tcW w:w="1078" w:type="pct"/>
            <w:gridSpan w:val="2"/>
            <w:shd w:val="clear" w:color="auto" w:fill="B8CCE4" w:themeFill="accent1" w:themeFillTint="66"/>
            <w:vAlign w:val="center"/>
          </w:tcPr>
          <w:p w14:paraId="58DC6E2C" w14:textId="77777777" w:rsidR="000A2013" w:rsidRPr="0033470C" w:rsidRDefault="000A2013" w:rsidP="001A5767">
            <w:pPr>
              <w:pStyle w:val="TableText0"/>
              <w:jc w:val="center"/>
            </w:pPr>
            <w:r w:rsidRPr="0033470C">
              <w:t>52/162 (32.1)</w:t>
            </w:r>
          </w:p>
        </w:tc>
        <w:tc>
          <w:tcPr>
            <w:tcW w:w="1036" w:type="pct"/>
            <w:shd w:val="clear" w:color="auto" w:fill="B8CCE4" w:themeFill="accent1" w:themeFillTint="66"/>
            <w:vAlign w:val="center"/>
          </w:tcPr>
          <w:p w14:paraId="1B7B6727" w14:textId="77777777" w:rsidR="000A2013" w:rsidRPr="0033470C" w:rsidRDefault="000A2013" w:rsidP="001A5767">
            <w:pPr>
              <w:pStyle w:val="TableText0"/>
              <w:jc w:val="center"/>
            </w:pPr>
            <w:r w:rsidRPr="0033470C">
              <w:t>30/159 (18.9)</w:t>
            </w:r>
          </w:p>
        </w:tc>
        <w:tc>
          <w:tcPr>
            <w:tcW w:w="1021" w:type="pct"/>
            <w:gridSpan w:val="2"/>
            <w:shd w:val="clear" w:color="auto" w:fill="B8CCE4" w:themeFill="accent1" w:themeFillTint="66"/>
            <w:vAlign w:val="center"/>
          </w:tcPr>
          <w:p w14:paraId="21ED48E6" w14:textId="2D70820B" w:rsidR="000A2013" w:rsidRPr="0033470C" w:rsidRDefault="000A2013" w:rsidP="001A5767">
            <w:pPr>
              <w:pStyle w:val="TableText0"/>
              <w:jc w:val="center"/>
              <w:rPr>
                <w:b/>
                <w:bCs w:val="0"/>
              </w:rPr>
            </w:pPr>
            <w:r w:rsidRPr="0033470C">
              <w:rPr>
                <w:b/>
                <w:bCs w:val="0"/>
              </w:rPr>
              <w:t>1.70 (1.15, 2.52)</w:t>
            </w:r>
          </w:p>
        </w:tc>
        <w:tc>
          <w:tcPr>
            <w:tcW w:w="1073" w:type="pct"/>
            <w:gridSpan w:val="2"/>
            <w:shd w:val="clear" w:color="auto" w:fill="B8CCE4" w:themeFill="accent1" w:themeFillTint="66"/>
            <w:vAlign w:val="center"/>
          </w:tcPr>
          <w:p w14:paraId="271264A4" w14:textId="77777777" w:rsidR="000A2013" w:rsidRPr="0033470C" w:rsidRDefault="000A2013" w:rsidP="001A5767">
            <w:pPr>
              <w:pStyle w:val="TableText0"/>
              <w:jc w:val="center"/>
              <w:rPr>
                <w:b/>
                <w:bCs w:val="0"/>
              </w:rPr>
            </w:pPr>
            <w:r w:rsidRPr="0033470C">
              <w:rPr>
                <w:b/>
                <w:bCs w:val="0"/>
              </w:rPr>
              <w:t>0.13 (0.04, 0.23)</w:t>
            </w:r>
          </w:p>
        </w:tc>
      </w:tr>
      <w:tr w:rsidR="000A2013" w:rsidRPr="0033470C" w14:paraId="2D7A534E" w14:textId="77777777" w:rsidTr="000A2013">
        <w:tc>
          <w:tcPr>
            <w:tcW w:w="792" w:type="pct"/>
            <w:shd w:val="clear" w:color="auto" w:fill="B8CCE4" w:themeFill="accent1" w:themeFillTint="66"/>
            <w:vAlign w:val="center"/>
          </w:tcPr>
          <w:p w14:paraId="601FDA76" w14:textId="77777777" w:rsidR="000A2013" w:rsidRPr="0033470C" w:rsidRDefault="000A2013" w:rsidP="001A5767">
            <w:pPr>
              <w:pStyle w:val="TableText0"/>
            </w:pPr>
            <w:r w:rsidRPr="0033470C">
              <w:t>PALACE 3</w:t>
            </w:r>
          </w:p>
        </w:tc>
        <w:tc>
          <w:tcPr>
            <w:tcW w:w="1078" w:type="pct"/>
            <w:gridSpan w:val="2"/>
            <w:shd w:val="clear" w:color="auto" w:fill="B8CCE4" w:themeFill="accent1" w:themeFillTint="66"/>
            <w:vAlign w:val="center"/>
          </w:tcPr>
          <w:p w14:paraId="410CBA68" w14:textId="77777777" w:rsidR="000A2013" w:rsidRPr="0033470C" w:rsidRDefault="000A2013" w:rsidP="001A5767">
            <w:pPr>
              <w:pStyle w:val="TableText0"/>
              <w:jc w:val="center"/>
            </w:pPr>
            <w:r w:rsidRPr="0033470C">
              <w:t>68/167 (40.7)</w:t>
            </w:r>
          </w:p>
        </w:tc>
        <w:tc>
          <w:tcPr>
            <w:tcW w:w="1036" w:type="pct"/>
            <w:shd w:val="clear" w:color="auto" w:fill="B8CCE4" w:themeFill="accent1" w:themeFillTint="66"/>
            <w:vAlign w:val="center"/>
          </w:tcPr>
          <w:p w14:paraId="205803F2" w14:textId="77777777" w:rsidR="000A2013" w:rsidRPr="0033470C" w:rsidRDefault="000A2013" w:rsidP="001A5767">
            <w:pPr>
              <w:pStyle w:val="TableText0"/>
              <w:jc w:val="center"/>
            </w:pPr>
            <w:r w:rsidRPr="0033470C">
              <w:t>31/169 (18.3)</w:t>
            </w:r>
          </w:p>
        </w:tc>
        <w:tc>
          <w:tcPr>
            <w:tcW w:w="1021" w:type="pct"/>
            <w:gridSpan w:val="2"/>
            <w:shd w:val="clear" w:color="auto" w:fill="B8CCE4" w:themeFill="accent1" w:themeFillTint="66"/>
            <w:vAlign w:val="center"/>
          </w:tcPr>
          <w:p w14:paraId="697431FD" w14:textId="04BCEE12" w:rsidR="000A2013" w:rsidRPr="0033470C" w:rsidRDefault="000A2013" w:rsidP="001A5767">
            <w:pPr>
              <w:pStyle w:val="TableText0"/>
              <w:jc w:val="center"/>
              <w:rPr>
                <w:b/>
                <w:bCs w:val="0"/>
              </w:rPr>
            </w:pPr>
            <w:r w:rsidRPr="0033470C">
              <w:rPr>
                <w:b/>
                <w:bCs w:val="0"/>
              </w:rPr>
              <w:t>2.22 (1.54, 3.20)</w:t>
            </w:r>
          </w:p>
        </w:tc>
        <w:tc>
          <w:tcPr>
            <w:tcW w:w="1073" w:type="pct"/>
            <w:gridSpan w:val="2"/>
            <w:shd w:val="clear" w:color="auto" w:fill="B8CCE4" w:themeFill="accent1" w:themeFillTint="66"/>
            <w:vAlign w:val="center"/>
          </w:tcPr>
          <w:p w14:paraId="29AEAEF2" w14:textId="77777777" w:rsidR="000A2013" w:rsidRPr="0033470C" w:rsidRDefault="000A2013" w:rsidP="001A5767">
            <w:pPr>
              <w:pStyle w:val="TableText0"/>
              <w:jc w:val="center"/>
              <w:rPr>
                <w:b/>
                <w:bCs w:val="0"/>
              </w:rPr>
            </w:pPr>
            <w:r w:rsidRPr="0033470C">
              <w:rPr>
                <w:b/>
                <w:bCs w:val="0"/>
              </w:rPr>
              <w:t>0.22 (0.13, 0.32)</w:t>
            </w:r>
          </w:p>
        </w:tc>
      </w:tr>
      <w:tr w:rsidR="000A2013" w:rsidRPr="0033470C" w14:paraId="298FE62B" w14:textId="77777777" w:rsidTr="000A2013">
        <w:tc>
          <w:tcPr>
            <w:tcW w:w="792" w:type="pct"/>
            <w:shd w:val="clear" w:color="auto" w:fill="B8CCE4" w:themeFill="accent1" w:themeFillTint="66"/>
            <w:vAlign w:val="center"/>
          </w:tcPr>
          <w:p w14:paraId="48DAA590" w14:textId="77777777" w:rsidR="000A2013" w:rsidRPr="0033470C" w:rsidRDefault="000A2013" w:rsidP="001A5767">
            <w:pPr>
              <w:pStyle w:val="TableText0"/>
            </w:pPr>
            <w:r w:rsidRPr="0033470C">
              <w:t>PALACE 4</w:t>
            </w:r>
          </w:p>
        </w:tc>
        <w:tc>
          <w:tcPr>
            <w:tcW w:w="1078" w:type="pct"/>
            <w:gridSpan w:val="2"/>
            <w:shd w:val="clear" w:color="auto" w:fill="B8CCE4" w:themeFill="accent1" w:themeFillTint="66"/>
            <w:vAlign w:val="center"/>
          </w:tcPr>
          <w:p w14:paraId="070E5112" w14:textId="77777777" w:rsidR="000A2013" w:rsidRPr="0033470C" w:rsidRDefault="000A2013" w:rsidP="001A5767">
            <w:pPr>
              <w:pStyle w:val="TableText0"/>
              <w:jc w:val="center"/>
            </w:pPr>
            <w:r w:rsidRPr="0033470C">
              <w:t>54/176 (30.7)</w:t>
            </w:r>
          </w:p>
        </w:tc>
        <w:tc>
          <w:tcPr>
            <w:tcW w:w="1036" w:type="pct"/>
            <w:shd w:val="clear" w:color="auto" w:fill="B8CCE4" w:themeFill="accent1" w:themeFillTint="66"/>
            <w:vAlign w:val="center"/>
          </w:tcPr>
          <w:p w14:paraId="4B48C527" w14:textId="4674BDDB" w:rsidR="000A2013" w:rsidRPr="0033470C" w:rsidRDefault="000A2013" w:rsidP="001A5767">
            <w:pPr>
              <w:pStyle w:val="TableText0"/>
              <w:jc w:val="center"/>
            </w:pPr>
            <w:r w:rsidRPr="0033470C">
              <w:t>28/176 (15.9)</w:t>
            </w:r>
          </w:p>
        </w:tc>
        <w:tc>
          <w:tcPr>
            <w:tcW w:w="1021" w:type="pct"/>
            <w:gridSpan w:val="2"/>
            <w:shd w:val="clear" w:color="auto" w:fill="B8CCE4" w:themeFill="accent1" w:themeFillTint="66"/>
            <w:vAlign w:val="center"/>
          </w:tcPr>
          <w:p w14:paraId="6D9A852A" w14:textId="14C45959" w:rsidR="000A2013" w:rsidRPr="0033470C" w:rsidRDefault="000A2013" w:rsidP="001A5767">
            <w:pPr>
              <w:pStyle w:val="TableText0"/>
              <w:jc w:val="center"/>
              <w:rPr>
                <w:b/>
                <w:bCs w:val="0"/>
              </w:rPr>
            </w:pPr>
            <w:r w:rsidRPr="0033470C">
              <w:rPr>
                <w:b/>
                <w:bCs w:val="0"/>
              </w:rPr>
              <w:t>1.93 (1.29, 2.89)</w:t>
            </w:r>
          </w:p>
        </w:tc>
        <w:tc>
          <w:tcPr>
            <w:tcW w:w="1073" w:type="pct"/>
            <w:gridSpan w:val="2"/>
            <w:shd w:val="clear" w:color="auto" w:fill="B8CCE4" w:themeFill="accent1" w:themeFillTint="66"/>
            <w:vAlign w:val="center"/>
          </w:tcPr>
          <w:p w14:paraId="5BF38DB3" w14:textId="7A0E61A1" w:rsidR="000A2013" w:rsidRPr="0033470C" w:rsidRDefault="000A2013" w:rsidP="001A5767">
            <w:pPr>
              <w:pStyle w:val="TableText0"/>
              <w:jc w:val="center"/>
              <w:rPr>
                <w:b/>
                <w:bCs w:val="0"/>
              </w:rPr>
            </w:pPr>
            <w:r w:rsidRPr="0033470C">
              <w:rPr>
                <w:b/>
                <w:bCs w:val="0"/>
              </w:rPr>
              <w:t>0.15 (0.06, 0.23)</w:t>
            </w:r>
          </w:p>
        </w:tc>
      </w:tr>
      <w:tr w:rsidR="00146FF1" w:rsidRPr="0033470C" w14:paraId="444095BE" w14:textId="77777777" w:rsidTr="00146FF1">
        <w:tc>
          <w:tcPr>
            <w:tcW w:w="5000" w:type="pct"/>
            <w:gridSpan w:val="8"/>
          </w:tcPr>
          <w:p w14:paraId="107DC6CE" w14:textId="77777777" w:rsidR="003A4883" w:rsidRPr="0033470C" w:rsidRDefault="003A4883" w:rsidP="001A5767">
            <w:pPr>
              <w:pStyle w:val="TableFigureHeading"/>
            </w:pPr>
            <w:r w:rsidRPr="0033470C">
              <w:t>ACR50</w:t>
            </w:r>
          </w:p>
        </w:tc>
      </w:tr>
      <w:tr w:rsidR="000A2013" w:rsidRPr="0033470C" w14:paraId="12DDF3D3" w14:textId="77777777" w:rsidTr="000A2013">
        <w:tc>
          <w:tcPr>
            <w:tcW w:w="792" w:type="pct"/>
            <w:vAlign w:val="center"/>
          </w:tcPr>
          <w:p w14:paraId="7CBD69BE" w14:textId="77777777" w:rsidR="000A2013" w:rsidRPr="0033470C" w:rsidRDefault="000A2013" w:rsidP="001A5767">
            <w:pPr>
              <w:pStyle w:val="TableText0"/>
            </w:pPr>
            <w:r w:rsidRPr="0033470C">
              <w:t>ACTIVE</w:t>
            </w:r>
          </w:p>
        </w:tc>
        <w:tc>
          <w:tcPr>
            <w:tcW w:w="1078" w:type="pct"/>
            <w:gridSpan w:val="2"/>
            <w:vAlign w:val="center"/>
          </w:tcPr>
          <w:p w14:paraId="098EA86B" w14:textId="77777777" w:rsidR="000A2013" w:rsidRPr="0033470C" w:rsidRDefault="000A2013" w:rsidP="001A5767">
            <w:pPr>
              <w:pStyle w:val="TableText0"/>
              <w:jc w:val="center"/>
            </w:pPr>
            <w:r w:rsidRPr="0033470C">
              <w:rPr>
                <w:rFonts w:cstheme="minorHAnsi"/>
              </w:rPr>
              <w:t>20/110 (18.2)</w:t>
            </w:r>
          </w:p>
        </w:tc>
        <w:tc>
          <w:tcPr>
            <w:tcW w:w="1036" w:type="pct"/>
            <w:vAlign w:val="center"/>
          </w:tcPr>
          <w:p w14:paraId="40DFD73B" w14:textId="77777777" w:rsidR="000A2013" w:rsidRPr="0033470C" w:rsidRDefault="000A2013" w:rsidP="001A5767">
            <w:pPr>
              <w:pStyle w:val="TableText0"/>
              <w:jc w:val="center"/>
            </w:pPr>
            <w:r w:rsidRPr="0033470C">
              <w:rPr>
                <w:rFonts w:cstheme="minorHAnsi"/>
              </w:rPr>
              <w:t>5/109 (4.6)</w:t>
            </w:r>
          </w:p>
        </w:tc>
        <w:tc>
          <w:tcPr>
            <w:tcW w:w="1021" w:type="pct"/>
            <w:gridSpan w:val="2"/>
            <w:vAlign w:val="center"/>
          </w:tcPr>
          <w:p w14:paraId="2C6B8C70" w14:textId="72EAE9BF" w:rsidR="000A2013" w:rsidRPr="0033470C" w:rsidRDefault="000A2013" w:rsidP="001A5767">
            <w:pPr>
              <w:pStyle w:val="TableText0"/>
              <w:jc w:val="center"/>
            </w:pPr>
            <w:r w:rsidRPr="0033470C">
              <w:t>3.96 (1.54, 10.18)</w:t>
            </w:r>
          </w:p>
        </w:tc>
        <w:tc>
          <w:tcPr>
            <w:tcW w:w="1073" w:type="pct"/>
            <w:gridSpan w:val="2"/>
            <w:vAlign w:val="center"/>
          </w:tcPr>
          <w:p w14:paraId="34F76B59" w14:textId="77777777" w:rsidR="000A2013" w:rsidRPr="0033470C" w:rsidRDefault="000A2013" w:rsidP="001A5767">
            <w:pPr>
              <w:pStyle w:val="TableText0"/>
              <w:jc w:val="center"/>
            </w:pPr>
            <w:r w:rsidRPr="0033470C">
              <w:t>0.14 (0.05, 0.22)</w:t>
            </w:r>
          </w:p>
        </w:tc>
      </w:tr>
      <w:tr w:rsidR="000A2013" w:rsidRPr="0033470C" w14:paraId="0657CAE4" w14:textId="77777777" w:rsidTr="000A2013">
        <w:tc>
          <w:tcPr>
            <w:tcW w:w="792" w:type="pct"/>
            <w:shd w:val="clear" w:color="auto" w:fill="B8CCE4" w:themeFill="accent1" w:themeFillTint="66"/>
            <w:vAlign w:val="center"/>
          </w:tcPr>
          <w:p w14:paraId="67DFABDC" w14:textId="77777777" w:rsidR="000A2013" w:rsidRPr="0033470C" w:rsidRDefault="000A2013" w:rsidP="001A5767">
            <w:pPr>
              <w:pStyle w:val="TableText0"/>
            </w:pPr>
            <w:r w:rsidRPr="0033470C">
              <w:t>PALACE 1</w:t>
            </w:r>
          </w:p>
        </w:tc>
        <w:tc>
          <w:tcPr>
            <w:tcW w:w="1078" w:type="pct"/>
            <w:gridSpan w:val="2"/>
            <w:shd w:val="clear" w:color="auto" w:fill="B8CCE4" w:themeFill="accent1" w:themeFillTint="66"/>
            <w:vAlign w:val="center"/>
          </w:tcPr>
          <w:p w14:paraId="0AD0F855" w14:textId="77777777" w:rsidR="000A2013" w:rsidRPr="0033470C" w:rsidRDefault="000A2013" w:rsidP="001A5767">
            <w:pPr>
              <w:pStyle w:val="TableText0"/>
              <w:jc w:val="center"/>
            </w:pPr>
            <w:r w:rsidRPr="0033470C">
              <w:rPr>
                <w:rFonts w:cstheme="minorHAnsi"/>
              </w:rPr>
              <w:t>27/168 (16.1)</w:t>
            </w:r>
          </w:p>
        </w:tc>
        <w:tc>
          <w:tcPr>
            <w:tcW w:w="1036" w:type="pct"/>
            <w:shd w:val="clear" w:color="auto" w:fill="B8CCE4" w:themeFill="accent1" w:themeFillTint="66"/>
            <w:vAlign w:val="center"/>
          </w:tcPr>
          <w:p w14:paraId="0DD38D74" w14:textId="77777777" w:rsidR="000A2013" w:rsidRPr="0033470C" w:rsidRDefault="000A2013" w:rsidP="001A5767">
            <w:pPr>
              <w:pStyle w:val="TableText0"/>
              <w:jc w:val="center"/>
            </w:pPr>
            <w:r w:rsidRPr="0033470C">
              <w:rPr>
                <w:rFonts w:cstheme="minorHAnsi"/>
              </w:rPr>
              <w:t>10/168 (6.0)</w:t>
            </w:r>
          </w:p>
        </w:tc>
        <w:tc>
          <w:tcPr>
            <w:tcW w:w="1021" w:type="pct"/>
            <w:gridSpan w:val="2"/>
            <w:shd w:val="clear" w:color="auto" w:fill="B8CCE4" w:themeFill="accent1" w:themeFillTint="66"/>
            <w:vAlign w:val="center"/>
          </w:tcPr>
          <w:p w14:paraId="651C4B2A" w14:textId="2A23B0B8" w:rsidR="000A2013" w:rsidRPr="0033470C" w:rsidRDefault="000A2013" w:rsidP="001A5767">
            <w:pPr>
              <w:pStyle w:val="TableText0"/>
              <w:jc w:val="center"/>
            </w:pPr>
            <w:r w:rsidRPr="0033470C">
              <w:t>2.70 (1.35, 5.40)</w:t>
            </w:r>
          </w:p>
        </w:tc>
        <w:tc>
          <w:tcPr>
            <w:tcW w:w="1073" w:type="pct"/>
            <w:gridSpan w:val="2"/>
            <w:shd w:val="clear" w:color="auto" w:fill="B8CCE4" w:themeFill="accent1" w:themeFillTint="66"/>
            <w:vAlign w:val="center"/>
          </w:tcPr>
          <w:p w14:paraId="097C7316" w14:textId="77777777" w:rsidR="000A2013" w:rsidRPr="0033470C" w:rsidRDefault="000A2013" w:rsidP="001A5767">
            <w:pPr>
              <w:pStyle w:val="TableText0"/>
              <w:jc w:val="center"/>
            </w:pPr>
            <w:r w:rsidRPr="0033470C">
              <w:t>0.10 (0.04, 0.17)</w:t>
            </w:r>
          </w:p>
        </w:tc>
      </w:tr>
      <w:tr w:rsidR="000A2013" w:rsidRPr="0033470C" w14:paraId="7CD1567E" w14:textId="77777777" w:rsidTr="000A2013">
        <w:tc>
          <w:tcPr>
            <w:tcW w:w="792" w:type="pct"/>
            <w:shd w:val="clear" w:color="auto" w:fill="B8CCE4" w:themeFill="accent1" w:themeFillTint="66"/>
            <w:vAlign w:val="center"/>
          </w:tcPr>
          <w:p w14:paraId="710F53A2" w14:textId="77777777" w:rsidR="000A2013" w:rsidRPr="0033470C" w:rsidRDefault="000A2013" w:rsidP="001A5767">
            <w:pPr>
              <w:pStyle w:val="TableText0"/>
            </w:pPr>
            <w:r w:rsidRPr="0033470C">
              <w:t>PALACE 2</w:t>
            </w:r>
          </w:p>
        </w:tc>
        <w:tc>
          <w:tcPr>
            <w:tcW w:w="1078" w:type="pct"/>
            <w:gridSpan w:val="2"/>
            <w:shd w:val="clear" w:color="auto" w:fill="B8CCE4" w:themeFill="accent1" w:themeFillTint="66"/>
            <w:vAlign w:val="center"/>
          </w:tcPr>
          <w:p w14:paraId="740860A4" w14:textId="77777777" w:rsidR="000A2013" w:rsidRPr="0033470C" w:rsidRDefault="000A2013" w:rsidP="001A5767">
            <w:pPr>
              <w:pStyle w:val="TableText0"/>
              <w:jc w:val="center"/>
            </w:pPr>
            <w:r w:rsidRPr="0033470C">
              <w:rPr>
                <w:rFonts w:cstheme="minorHAnsi"/>
              </w:rPr>
              <w:t>17/162 (10.5)</w:t>
            </w:r>
          </w:p>
        </w:tc>
        <w:tc>
          <w:tcPr>
            <w:tcW w:w="1036" w:type="pct"/>
            <w:shd w:val="clear" w:color="auto" w:fill="B8CCE4" w:themeFill="accent1" w:themeFillTint="66"/>
            <w:vAlign w:val="center"/>
          </w:tcPr>
          <w:p w14:paraId="007057E9" w14:textId="77777777" w:rsidR="000A2013" w:rsidRPr="0033470C" w:rsidRDefault="000A2013" w:rsidP="001A5767">
            <w:pPr>
              <w:pStyle w:val="TableText0"/>
              <w:jc w:val="center"/>
            </w:pPr>
            <w:r w:rsidRPr="0033470C">
              <w:rPr>
                <w:rFonts w:cstheme="minorHAnsi"/>
              </w:rPr>
              <w:t>8/159 (5.0)</w:t>
            </w:r>
          </w:p>
        </w:tc>
        <w:tc>
          <w:tcPr>
            <w:tcW w:w="1021" w:type="pct"/>
            <w:gridSpan w:val="2"/>
            <w:shd w:val="clear" w:color="auto" w:fill="B8CCE4" w:themeFill="accent1" w:themeFillTint="66"/>
            <w:vAlign w:val="center"/>
          </w:tcPr>
          <w:p w14:paraId="240DA882" w14:textId="2A3F87E9" w:rsidR="000A2013" w:rsidRPr="0033470C" w:rsidRDefault="000A2013" w:rsidP="001A5767">
            <w:pPr>
              <w:pStyle w:val="TableText0"/>
              <w:jc w:val="center"/>
            </w:pPr>
            <w:r w:rsidRPr="0033470C">
              <w:t>2.09 (0.93, 4.69)</w:t>
            </w:r>
          </w:p>
        </w:tc>
        <w:tc>
          <w:tcPr>
            <w:tcW w:w="1073" w:type="pct"/>
            <w:gridSpan w:val="2"/>
            <w:shd w:val="clear" w:color="auto" w:fill="B8CCE4" w:themeFill="accent1" w:themeFillTint="66"/>
            <w:vAlign w:val="center"/>
          </w:tcPr>
          <w:p w14:paraId="3B065400" w14:textId="77777777" w:rsidR="000A2013" w:rsidRPr="0033470C" w:rsidRDefault="000A2013" w:rsidP="001A5767">
            <w:pPr>
              <w:pStyle w:val="TableText0"/>
              <w:jc w:val="center"/>
            </w:pPr>
            <w:r w:rsidRPr="0033470C">
              <w:t>0.05 (-0.00, 0.11)</w:t>
            </w:r>
          </w:p>
        </w:tc>
      </w:tr>
      <w:tr w:rsidR="000A2013" w:rsidRPr="0033470C" w14:paraId="6FD493E0" w14:textId="77777777" w:rsidTr="000A2013">
        <w:tc>
          <w:tcPr>
            <w:tcW w:w="792" w:type="pct"/>
            <w:shd w:val="clear" w:color="auto" w:fill="B8CCE4" w:themeFill="accent1" w:themeFillTint="66"/>
            <w:vAlign w:val="center"/>
          </w:tcPr>
          <w:p w14:paraId="05F01F75" w14:textId="77777777" w:rsidR="000A2013" w:rsidRPr="0033470C" w:rsidRDefault="000A2013" w:rsidP="001A5767">
            <w:pPr>
              <w:pStyle w:val="TableText0"/>
            </w:pPr>
            <w:r w:rsidRPr="0033470C">
              <w:t>PALACE 3</w:t>
            </w:r>
          </w:p>
        </w:tc>
        <w:tc>
          <w:tcPr>
            <w:tcW w:w="1078" w:type="pct"/>
            <w:gridSpan w:val="2"/>
            <w:shd w:val="clear" w:color="auto" w:fill="B8CCE4" w:themeFill="accent1" w:themeFillTint="66"/>
            <w:vAlign w:val="center"/>
          </w:tcPr>
          <w:p w14:paraId="67F36C65" w14:textId="77777777" w:rsidR="000A2013" w:rsidRPr="0033470C" w:rsidRDefault="000A2013" w:rsidP="001A5767">
            <w:pPr>
              <w:pStyle w:val="TableText0"/>
              <w:jc w:val="center"/>
            </w:pPr>
            <w:r w:rsidRPr="0033470C">
              <w:rPr>
                <w:rFonts w:cstheme="minorHAnsi"/>
              </w:rPr>
              <w:t>25/167 (15.0)</w:t>
            </w:r>
          </w:p>
        </w:tc>
        <w:tc>
          <w:tcPr>
            <w:tcW w:w="1036" w:type="pct"/>
            <w:shd w:val="clear" w:color="auto" w:fill="B8CCE4" w:themeFill="accent1" w:themeFillTint="66"/>
            <w:vAlign w:val="center"/>
          </w:tcPr>
          <w:p w14:paraId="009254EF" w14:textId="77777777" w:rsidR="000A2013" w:rsidRPr="0033470C" w:rsidRDefault="000A2013" w:rsidP="001A5767">
            <w:pPr>
              <w:pStyle w:val="TableText0"/>
              <w:jc w:val="center"/>
            </w:pPr>
            <w:r w:rsidRPr="0033470C">
              <w:rPr>
                <w:rFonts w:cstheme="minorHAnsi"/>
              </w:rPr>
              <w:t>14/169 (8.3)</w:t>
            </w:r>
          </w:p>
        </w:tc>
        <w:tc>
          <w:tcPr>
            <w:tcW w:w="1021" w:type="pct"/>
            <w:gridSpan w:val="2"/>
            <w:shd w:val="clear" w:color="auto" w:fill="B8CCE4" w:themeFill="accent1" w:themeFillTint="66"/>
            <w:vAlign w:val="center"/>
          </w:tcPr>
          <w:p w14:paraId="534B42C3" w14:textId="356F5235" w:rsidR="000A2013" w:rsidRPr="0033470C" w:rsidRDefault="000A2013" w:rsidP="001A5767">
            <w:pPr>
              <w:pStyle w:val="TableText0"/>
              <w:jc w:val="center"/>
            </w:pPr>
            <w:r w:rsidRPr="0033470C">
              <w:t>1.81 (0.97, 3.35)</w:t>
            </w:r>
          </w:p>
        </w:tc>
        <w:tc>
          <w:tcPr>
            <w:tcW w:w="1073" w:type="pct"/>
            <w:gridSpan w:val="2"/>
            <w:shd w:val="clear" w:color="auto" w:fill="B8CCE4" w:themeFill="accent1" w:themeFillTint="66"/>
            <w:vAlign w:val="center"/>
          </w:tcPr>
          <w:p w14:paraId="094D26C2" w14:textId="77777777" w:rsidR="000A2013" w:rsidRPr="0033470C" w:rsidRDefault="000A2013" w:rsidP="001A5767">
            <w:pPr>
              <w:pStyle w:val="TableText0"/>
              <w:jc w:val="center"/>
            </w:pPr>
            <w:r w:rsidRPr="0033470C">
              <w:t>0.07 (-0.00, 0.14)</w:t>
            </w:r>
          </w:p>
        </w:tc>
      </w:tr>
      <w:tr w:rsidR="000A2013" w:rsidRPr="0033470C" w14:paraId="0169DB71" w14:textId="77777777" w:rsidTr="000A2013">
        <w:tc>
          <w:tcPr>
            <w:tcW w:w="792" w:type="pct"/>
            <w:shd w:val="clear" w:color="auto" w:fill="B8CCE4" w:themeFill="accent1" w:themeFillTint="66"/>
            <w:vAlign w:val="center"/>
          </w:tcPr>
          <w:p w14:paraId="4939E971" w14:textId="77777777" w:rsidR="000A2013" w:rsidRPr="0033470C" w:rsidRDefault="000A2013" w:rsidP="001A5767">
            <w:pPr>
              <w:pStyle w:val="TableText0"/>
            </w:pPr>
            <w:r w:rsidRPr="0033470C">
              <w:t>PALACE 4</w:t>
            </w:r>
          </w:p>
        </w:tc>
        <w:tc>
          <w:tcPr>
            <w:tcW w:w="1078" w:type="pct"/>
            <w:gridSpan w:val="2"/>
            <w:shd w:val="clear" w:color="auto" w:fill="B8CCE4" w:themeFill="accent1" w:themeFillTint="66"/>
            <w:vAlign w:val="center"/>
          </w:tcPr>
          <w:p w14:paraId="4DBD71A3" w14:textId="77777777" w:rsidR="000A2013" w:rsidRPr="0033470C" w:rsidRDefault="000A2013" w:rsidP="001A5767">
            <w:pPr>
              <w:pStyle w:val="TableText0"/>
              <w:jc w:val="center"/>
            </w:pPr>
            <w:r w:rsidRPr="0033470C">
              <w:rPr>
                <w:rFonts w:cstheme="minorHAnsi"/>
              </w:rPr>
              <w:t>20/176 (11.4)</w:t>
            </w:r>
          </w:p>
        </w:tc>
        <w:tc>
          <w:tcPr>
            <w:tcW w:w="1036" w:type="pct"/>
            <w:shd w:val="clear" w:color="auto" w:fill="B8CCE4" w:themeFill="accent1" w:themeFillTint="66"/>
            <w:vAlign w:val="center"/>
          </w:tcPr>
          <w:p w14:paraId="77BD4F08" w14:textId="77777777" w:rsidR="000A2013" w:rsidRPr="0033470C" w:rsidRDefault="000A2013" w:rsidP="001A5767">
            <w:pPr>
              <w:pStyle w:val="TableText0"/>
              <w:jc w:val="center"/>
            </w:pPr>
            <w:r w:rsidRPr="0033470C">
              <w:rPr>
                <w:rFonts w:cstheme="minorHAnsi"/>
              </w:rPr>
              <w:t>8/176 (4.5)</w:t>
            </w:r>
          </w:p>
        </w:tc>
        <w:tc>
          <w:tcPr>
            <w:tcW w:w="1021" w:type="pct"/>
            <w:gridSpan w:val="2"/>
            <w:shd w:val="clear" w:color="auto" w:fill="B8CCE4" w:themeFill="accent1" w:themeFillTint="66"/>
            <w:vAlign w:val="center"/>
          </w:tcPr>
          <w:p w14:paraId="291EB229" w14:textId="1340884A" w:rsidR="000A2013" w:rsidRPr="0033470C" w:rsidRDefault="000A2013" w:rsidP="001A5767">
            <w:pPr>
              <w:pStyle w:val="TableText0"/>
              <w:jc w:val="center"/>
            </w:pPr>
            <w:r w:rsidRPr="0033470C">
              <w:t>2.50 (1.13, 5.52)</w:t>
            </w:r>
          </w:p>
        </w:tc>
        <w:tc>
          <w:tcPr>
            <w:tcW w:w="1073" w:type="pct"/>
            <w:gridSpan w:val="2"/>
            <w:shd w:val="clear" w:color="auto" w:fill="B8CCE4" w:themeFill="accent1" w:themeFillTint="66"/>
            <w:vAlign w:val="center"/>
          </w:tcPr>
          <w:p w14:paraId="19A59C4C" w14:textId="43ABFCC8" w:rsidR="000A2013" w:rsidRPr="0033470C" w:rsidRDefault="000A2013" w:rsidP="001A5767">
            <w:pPr>
              <w:pStyle w:val="TableText0"/>
              <w:jc w:val="center"/>
            </w:pPr>
            <w:r w:rsidRPr="0033470C">
              <w:t>0.07 (0.01, 0.12)</w:t>
            </w:r>
            <w:r w:rsidRPr="0033470C">
              <w:rPr>
                <w:rFonts w:cstheme="minorHAnsi"/>
                <w:bCs w:val="0"/>
                <w:vertAlign w:val="superscript"/>
              </w:rPr>
              <w:t xml:space="preserve"> </w:t>
            </w:r>
            <w:r w:rsidR="00C4107C">
              <w:rPr>
                <w:rFonts w:cstheme="minorHAnsi"/>
                <w:bCs w:val="0"/>
                <w:vertAlign w:val="superscript"/>
              </w:rPr>
              <w:t>b</w:t>
            </w:r>
          </w:p>
        </w:tc>
      </w:tr>
    </w:tbl>
    <w:p w14:paraId="55142AA2" w14:textId="2A3B1CBF" w:rsidR="003A4883" w:rsidRPr="0088754E" w:rsidRDefault="003A4883" w:rsidP="003A4883">
      <w:pPr>
        <w:pStyle w:val="TableFooter"/>
        <w:rPr>
          <w:i/>
          <w:iCs/>
          <w:sz w:val="20"/>
        </w:rPr>
      </w:pPr>
      <w:r>
        <w:t xml:space="preserve">Source: Table 2-21, p45 </w:t>
      </w:r>
      <w:r w:rsidRPr="00D13A3E">
        <w:t xml:space="preserve">of the </w:t>
      </w:r>
      <w:r>
        <w:t xml:space="preserve">submission. </w:t>
      </w:r>
      <w:bookmarkStart w:id="41" w:name="_Hlk122378865"/>
      <w:r w:rsidRPr="00760F9E">
        <w:rPr>
          <w:rFonts w:eastAsia="Calibri"/>
          <w:b/>
        </w:rPr>
        <w:t>Bold</w:t>
      </w:r>
      <w:r>
        <w:rPr>
          <w:rFonts w:eastAsia="Calibri"/>
        </w:rPr>
        <w:t xml:space="preserve"> indicates statistically significant results (p&lt;0.05).</w:t>
      </w:r>
      <w:bookmarkEnd w:id="41"/>
    </w:p>
    <w:p w14:paraId="01B4659E" w14:textId="77777777" w:rsidR="003A4883" w:rsidRDefault="003A4883" w:rsidP="003A4883">
      <w:pPr>
        <w:pStyle w:val="TableFooter"/>
        <w:rPr>
          <w:rFonts w:eastAsia="Calibri"/>
        </w:rPr>
      </w:pPr>
      <w:r>
        <w:t xml:space="preserve">ACR20 = Modified American College of Rheumatology 20% response; ACR50 = Modified American College of Rheumatology 50% response; </w:t>
      </w:r>
      <w:r w:rsidRPr="00B40358">
        <w:rPr>
          <w:rFonts w:eastAsia="Calibri"/>
        </w:rPr>
        <w:t xml:space="preserve">CI = confidence interval; </w:t>
      </w:r>
      <w:r>
        <w:rPr>
          <w:rFonts w:eastAsia="Calibri"/>
        </w:rPr>
        <w:t xml:space="preserve">FAS = full analysis set; </w:t>
      </w:r>
      <w:r w:rsidRPr="00101EC8">
        <w:t>HAQ-DI = Health Assessment Questionnaire-Disability Index;</w:t>
      </w:r>
      <w:r>
        <w:t xml:space="preserve"> </w:t>
      </w:r>
      <w:r w:rsidRPr="00B40358">
        <w:rPr>
          <w:rFonts w:eastAsia="Calibri"/>
        </w:rPr>
        <w:t>n = number of participants with event; N = total participants in group</w:t>
      </w:r>
      <w:r>
        <w:rPr>
          <w:rFonts w:eastAsia="Calibri"/>
        </w:rPr>
        <w:t xml:space="preserve">; NRI = non-responder imputation. </w:t>
      </w:r>
    </w:p>
    <w:p w14:paraId="2BA0EC61" w14:textId="04A6BBE2" w:rsidR="00C4107C" w:rsidRDefault="003A4883" w:rsidP="00C4107C">
      <w:pPr>
        <w:pStyle w:val="TableFooter"/>
        <w:rPr>
          <w:rFonts w:eastAsia="Calibri"/>
          <w:vertAlign w:val="superscript"/>
        </w:rPr>
      </w:pPr>
      <w:r w:rsidRPr="0088754E">
        <w:rPr>
          <w:rFonts w:eastAsia="Calibri"/>
          <w:vertAlign w:val="superscript"/>
        </w:rPr>
        <w:t>a</w:t>
      </w:r>
      <w:r>
        <w:rPr>
          <w:rFonts w:eastAsia="Calibri"/>
        </w:rPr>
        <w:t xml:space="preserve"> calculated during the evaluation by entering the dichotomous outcome data in RevMan 5.4.1</w:t>
      </w:r>
    </w:p>
    <w:p w14:paraId="3ED3A4CC" w14:textId="57351CDB" w:rsidR="003A4883" w:rsidRDefault="00C4107C" w:rsidP="00C4107C">
      <w:pPr>
        <w:pStyle w:val="TableFooter"/>
        <w:spacing w:after="120"/>
        <w:rPr>
          <w:rFonts w:eastAsia="Calibri"/>
        </w:rPr>
      </w:pPr>
      <w:r>
        <w:rPr>
          <w:rFonts w:eastAsia="Calibri"/>
          <w:vertAlign w:val="superscript"/>
        </w:rPr>
        <w:t>b</w:t>
      </w:r>
      <w:r>
        <w:rPr>
          <w:rFonts w:eastAsia="Calibri"/>
        </w:rPr>
        <w:t xml:space="preserve"> </w:t>
      </w:r>
      <w:r w:rsidR="003A4883" w:rsidRPr="00F26017">
        <w:rPr>
          <w:rFonts w:eastAsia="Calibri"/>
        </w:rPr>
        <w:t xml:space="preserve">The p-value </w:t>
      </w:r>
      <w:r w:rsidR="003A4883">
        <w:rPr>
          <w:rFonts w:eastAsia="Calibri"/>
        </w:rPr>
        <w:t>was</w:t>
      </w:r>
      <w:r w:rsidR="003A4883" w:rsidRPr="00F26017">
        <w:rPr>
          <w:rFonts w:eastAsia="Calibri"/>
        </w:rPr>
        <w:t xml:space="preserve"> considered nominally significant, as hierarchical testing was</w:t>
      </w:r>
      <w:r w:rsidR="003A4883">
        <w:rPr>
          <w:rFonts w:eastAsia="Calibri"/>
        </w:rPr>
        <w:t xml:space="preserve"> </w:t>
      </w:r>
      <w:r w:rsidR="003A4883" w:rsidRPr="00F26017">
        <w:rPr>
          <w:rFonts w:eastAsia="Calibri"/>
        </w:rPr>
        <w:t xml:space="preserve">stopped </w:t>
      </w:r>
      <w:r w:rsidR="003A4883">
        <w:rPr>
          <w:rFonts w:eastAsia="Calibri"/>
        </w:rPr>
        <w:t>before this outcome was assessed for statistical significance.</w:t>
      </w:r>
    </w:p>
    <w:bookmarkEnd w:id="40"/>
    <w:p w14:paraId="5866093C" w14:textId="51A6D1E0" w:rsidR="003A4883" w:rsidRPr="0033470C" w:rsidRDefault="003A4883" w:rsidP="003A4883">
      <w:pPr>
        <w:pStyle w:val="3-BodyText"/>
        <w:ind w:left="720" w:hanging="720"/>
      </w:pPr>
      <w:r w:rsidRPr="0033470C">
        <w:t xml:space="preserve">A statistically significant greater proportion of </w:t>
      </w:r>
      <w:r w:rsidR="0016441D" w:rsidRPr="0033470C">
        <w:t xml:space="preserve">participants </w:t>
      </w:r>
      <w:r w:rsidRPr="0033470C">
        <w:t>treated with apremilast compared to placebo achieved an ACR20 at week 16 in all trials.</w:t>
      </w:r>
    </w:p>
    <w:p w14:paraId="5D7D1571" w14:textId="772590DA" w:rsidR="003A4883" w:rsidRPr="0033470C" w:rsidRDefault="003A4883" w:rsidP="003A4883">
      <w:pPr>
        <w:pStyle w:val="3-BodyText"/>
        <w:ind w:left="720" w:hanging="720"/>
      </w:pPr>
      <w:r w:rsidRPr="0033470C">
        <w:t xml:space="preserve">A greater proportion of </w:t>
      </w:r>
      <w:r w:rsidR="0016441D" w:rsidRPr="0033470C">
        <w:t xml:space="preserve">participants </w:t>
      </w:r>
      <w:r w:rsidRPr="0033470C">
        <w:t xml:space="preserve">treated with apremilast compared to placebo achieved an ACR50 response at week 16 in all trials. However, the difference was not statistically significant in the PALACE 2 or PALACE 3 trials. </w:t>
      </w:r>
      <w:bookmarkStart w:id="42" w:name="_Hlk122123394"/>
      <w:r w:rsidRPr="0033470C">
        <w:t xml:space="preserve">The ACR50 results in the ACTIVE, PALACE 1 and PALACE 4 trials are considered nominally significant </w:t>
      </w:r>
      <w:r w:rsidR="0085608A">
        <w:t xml:space="preserve">due to the hierarchical testing process. </w:t>
      </w:r>
      <w:bookmarkEnd w:id="42"/>
    </w:p>
    <w:p w14:paraId="22AC774E" w14:textId="5975E4FB" w:rsidR="003A4883" w:rsidRPr="0033470C" w:rsidRDefault="003A4883" w:rsidP="003A4883">
      <w:pPr>
        <w:pStyle w:val="3-BodyText"/>
        <w:ind w:left="720" w:hanging="720"/>
      </w:pPr>
      <w:r w:rsidRPr="0033470C">
        <w:fldChar w:fldCharType="begin"/>
      </w:r>
      <w:r w:rsidRPr="0033470C">
        <w:instrText xml:space="preserve"> REF _Ref121434581 \h </w:instrText>
      </w:r>
      <w:r w:rsidR="0033470C" w:rsidRPr="0033470C">
        <w:instrText xml:space="preserve"> \* MERGEFORMAT </w:instrText>
      </w:r>
      <w:r w:rsidRPr="0033470C">
        <w:fldChar w:fldCharType="separate"/>
      </w:r>
      <w:r w:rsidR="00A05E81">
        <w:t xml:space="preserve">Table </w:t>
      </w:r>
      <w:r w:rsidR="00A05E81">
        <w:rPr>
          <w:noProof/>
        </w:rPr>
        <w:t>6</w:t>
      </w:r>
      <w:r w:rsidRPr="0033470C">
        <w:fldChar w:fldCharType="end"/>
      </w:r>
      <w:r w:rsidRPr="0033470C">
        <w:t xml:space="preserve"> compares the change in HAQ-DI from baseline to week 16 in all trials. </w:t>
      </w:r>
    </w:p>
    <w:p w14:paraId="69B90F51" w14:textId="4DB9E262" w:rsidR="003A4883" w:rsidRDefault="003A4883" w:rsidP="008128EA">
      <w:pPr>
        <w:pStyle w:val="Caption"/>
      </w:pPr>
      <w:bookmarkStart w:id="43" w:name="_Ref121434581"/>
      <w:r>
        <w:lastRenderedPageBreak/>
        <w:t xml:space="preserve">Table </w:t>
      </w:r>
      <w:r w:rsidR="00A05E81">
        <w:fldChar w:fldCharType="begin"/>
      </w:r>
      <w:r w:rsidR="00A05E81">
        <w:instrText xml:space="preserve"> SEQ Table \* ARABIC </w:instrText>
      </w:r>
      <w:r w:rsidR="00A05E81">
        <w:fldChar w:fldCharType="separate"/>
      </w:r>
      <w:r w:rsidR="00A05E81">
        <w:rPr>
          <w:noProof/>
        </w:rPr>
        <w:t>6</w:t>
      </w:r>
      <w:r w:rsidR="00A05E81">
        <w:rPr>
          <w:noProof/>
        </w:rPr>
        <w:fldChar w:fldCharType="end"/>
      </w:r>
      <w:bookmarkEnd w:id="43"/>
      <w:r>
        <w:t xml:space="preserve">: </w:t>
      </w:r>
      <w:r>
        <w:rPr>
          <w:rStyle w:val="CommentReference"/>
          <w:b/>
          <w:szCs w:val="24"/>
        </w:rPr>
        <w:t>Change from baseline in HAQ-DI at week 16 in the ACTIVE</w:t>
      </w:r>
      <w:r w:rsidR="00D37409">
        <w:rPr>
          <w:rStyle w:val="CommentReference"/>
          <w:b/>
          <w:szCs w:val="24"/>
        </w:rPr>
        <w:t xml:space="preserve"> (FAS; MMRM)</w:t>
      </w:r>
      <w:r>
        <w:rPr>
          <w:rStyle w:val="CommentReference"/>
          <w:b/>
          <w:szCs w:val="24"/>
        </w:rPr>
        <w:t xml:space="preserve"> and PALACE 1-4 trials (FAS</w:t>
      </w:r>
      <w:r w:rsidRPr="005E4827">
        <w:rPr>
          <w:rStyle w:val="CommentReference"/>
          <w:b/>
          <w:szCs w:val="24"/>
        </w:rPr>
        <w:t>; LOCF)</w:t>
      </w:r>
      <w:r w:rsidRPr="005E4827">
        <w:rPr>
          <w:rStyle w:val="CommentReference"/>
          <w:b/>
          <w:szCs w:val="24"/>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879"/>
        <w:gridCol w:w="1006"/>
        <w:gridCol w:w="990"/>
        <w:gridCol w:w="13"/>
        <w:gridCol w:w="1152"/>
        <w:gridCol w:w="1080"/>
        <w:gridCol w:w="1004"/>
        <w:gridCol w:w="961"/>
        <w:gridCol w:w="943"/>
      </w:tblGrid>
      <w:tr w:rsidR="00146FF1" w:rsidRPr="00146FF1" w14:paraId="1FE974ED" w14:textId="77777777" w:rsidTr="00146FF1">
        <w:trPr>
          <w:tblHeader/>
        </w:trPr>
        <w:tc>
          <w:tcPr>
            <w:tcW w:w="548" w:type="pct"/>
            <w:vMerge w:val="restart"/>
            <w:vAlign w:val="center"/>
          </w:tcPr>
          <w:p w14:paraId="7B8D8158" w14:textId="77777777" w:rsidR="003A4883" w:rsidRPr="00146FF1" w:rsidRDefault="003A4883" w:rsidP="008128EA">
            <w:pPr>
              <w:pStyle w:val="In-tableHeading"/>
              <w:jc w:val="center"/>
            </w:pPr>
            <w:r w:rsidRPr="00146FF1">
              <w:t>Trial ID</w:t>
            </w:r>
          </w:p>
        </w:tc>
        <w:tc>
          <w:tcPr>
            <w:tcW w:w="1594" w:type="pct"/>
            <w:gridSpan w:val="3"/>
            <w:vAlign w:val="center"/>
          </w:tcPr>
          <w:p w14:paraId="7EA814E3" w14:textId="77777777" w:rsidR="003A4883" w:rsidRPr="00146FF1" w:rsidRDefault="003A4883" w:rsidP="008128EA">
            <w:pPr>
              <w:pStyle w:val="In-tableHeading"/>
              <w:jc w:val="center"/>
            </w:pPr>
            <w:r w:rsidRPr="00146FF1">
              <w:rPr>
                <w:iCs/>
              </w:rPr>
              <w:t>Apremilast</w:t>
            </w:r>
          </w:p>
        </w:tc>
        <w:tc>
          <w:tcPr>
            <w:tcW w:w="1802" w:type="pct"/>
            <w:gridSpan w:val="4"/>
            <w:vAlign w:val="center"/>
          </w:tcPr>
          <w:p w14:paraId="1136357D" w14:textId="77777777" w:rsidR="003A4883" w:rsidRPr="00146FF1" w:rsidRDefault="003A4883" w:rsidP="008128EA">
            <w:pPr>
              <w:pStyle w:val="In-tableHeading"/>
              <w:jc w:val="center"/>
            </w:pPr>
            <w:r w:rsidRPr="00146FF1">
              <w:rPr>
                <w:iCs/>
              </w:rPr>
              <w:t>Placebo</w:t>
            </w:r>
          </w:p>
        </w:tc>
        <w:tc>
          <w:tcPr>
            <w:tcW w:w="533" w:type="pct"/>
            <w:vMerge w:val="restart"/>
            <w:vAlign w:val="center"/>
          </w:tcPr>
          <w:p w14:paraId="67AEBAF9" w14:textId="77777777" w:rsidR="003A4883" w:rsidRPr="00146FF1" w:rsidRDefault="003A4883" w:rsidP="008128EA">
            <w:pPr>
              <w:pStyle w:val="In-tableHeading"/>
              <w:jc w:val="center"/>
            </w:pPr>
            <w:r w:rsidRPr="00146FF1">
              <w:rPr>
                <w:iCs/>
              </w:rPr>
              <w:t xml:space="preserve">LS Mean difference </w:t>
            </w:r>
          </w:p>
        </w:tc>
        <w:tc>
          <w:tcPr>
            <w:tcW w:w="523" w:type="pct"/>
            <w:vMerge w:val="restart"/>
            <w:vAlign w:val="center"/>
          </w:tcPr>
          <w:p w14:paraId="3547D5FF" w14:textId="77777777" w:rsidR="003A4883" w:rsidRPr="00146FF1" w:rsidRDefault="003A4883" w:rsidP="008128EA">
            <w:pPr>
              <w:pStyle w:val="In-tableHeading"/>
              <w:jc w:val="center"/>
            </w:pPr>
            <w:r w:rsidRPr="00146FF1">
              <w:rPr>
                <w:iCs/>
              </w:rPr>
              <w:t>p-value</w:t>
            </w:r>
          </w:p>
        </w:tc>
      </w:tr>
      <w:tr w:rsidR="00146FF1" w:rsidRPr="00146FF1" w14:paraId="2F0FF25D" w14:textId="77777777" w:rsidTr="00146FF1">
        <w:tc>
          <w:tcPr>
            <w:tcW w:w="548" w:type="pct"/>
            <w:vMerge/>
            <w:vAlign w:val="center"/>
          </w:tcPr>
          <w:p w14:paraId="5A37610B" w14:textId="77777777" w:rsidR="003A4883" w:rsidRPr="00146FF1" w:rsidRDefault="003A4883" w:rsidP="008128EA">
            <w:pPr>
              <w:pStyle w:val="TableText0"/>
            </w:pPr>
          </w:p>
        </w:tc>
        <w:tc>
          <w:tcPr>
            <w:tcW w:w="487" w:type="pct"/>
            <w:vAlign w:val="center"/>
          </w:tcPr>
          <w:p w14:paraId="1992BEA3" w14:textId="77777777" w:rsidR="003A4883" w:rsidRPr="00146FF1" w:rsidRDefault="003A4883" w:rsidP="008128EA">
            <w:pPr>
              <w:pStyle w:val="TableText0"/>
              <w:jc w:val="center"/>
              <w:rPr>
                <w:b/>
                <w:bCs w:val="0"/>
              </w:rPr>
            </w:pPr>
            <w:r w:rsidRPr="00146FF1">
              <w:rPr>
                <w:b/>
                <w:bCs w:val="0"/>
              </w:rPr>
              <w:t>mean baseline (SD)</w:t>
            </w:r>
          </w:p>
        </w:tc>
        <w:tc>
          <w:tcPr>
            <w:tcW w:w="558" w:type="pct"/>
            <w:vAlign w:val="center"/>
          </w:tcPr>
          <w:p w14:paraId="2DA82C50" w14:textId="77777777" w:rsidR="003A4883" w:rsidRPr="00146FF1" w:rsidRDefault="003A4883" w:rsidP="008128EA">
            <w:pPr>
              <w:pStyle w:val="TableText0"/>
              <w:jc w:val="center"/>
              <w:rPr>
                <w:b/>
                <w:bCs w:val="0"/>
              </w:rPr>
            </w:pPr>
            <w:r w:rsidRPr="00146FF1">
              <w:rPr>
                <w:b/>
                <w:bCs w:val="0"/>
              </w:rPr>
              <w:t>mean wk 16 (SD)</w:t>
            </w:r>
          </w:p>
        </w:tc>
        <w:tc>
          <w:tcPr>
            <w:tcW w:w="556" w:type="pct"/>
            <w:gridSpan w:val="2"/>
            <w:vAlign w:val="center"/>
          </w:tcPr>
          <w:p w14:paraId="27B8BC46" w14:textId="77777777" w:rsidR="003A4883" w:rsidRPr="00146FF1" w:rsidRDefault="003A4883" w:rsidP="008128EA">
            <w:pPr>
              <w:pStyle w:val="TableText0"/>
              <w:jc w:val="center"/>
              <w:rPr>
                <w:b/>
                <w:bCs w:val="0"/>
              </w:rPr>
            </w:pPr>
            <w:r w:rsidRPr="00146FF1">
              <w:rPr>
                <w:b/>
                <w:bCs w:val="0"/>
              </w:rPr>
              <w:t>LS mean change (SE)</w:t>
            </w:r>
          </w:p>
        </w:tc>
        <w:tc>
          <w:tcPr>
            <w:tcW w:w="639" w:type="pct"/>
            <w:vAlign w:val="center"/>
          </w:tcPr>
          <w:p w14:paraId="751BA0A5" w14:textId="77777777" w:rsidR="003A4883" w:rsidRPr="00146FF1" w:rsidRDefault="003A4883" w:rsidP="008128EA">
            <w:pPr>
              <w:pStyle w:val="TableText0"/>
              <w:jc w:val="center"/>
              <w:rPr>
                <w:b/>
                <w:bCs w:val="0"/>
              </w:rPr>
            </w:pPr>
            <w:r w:rsidRPr="00146FF1">
              <w:rPr>
                <w:b/>
                <w:bCs w:val="0"/>
              </w:rPr>
              <w:t>mean baseline (SD)</w:t>
            </w:r>
          </w:p>
        </w:tc>
        <w:tc>
          <w:tcPr>
            <w:tcW w:w="599" w:type="pct"/>
            <w:vAlign w:val="center"/>
          </w:tcPr>
          <w:p w14:paraId="3FEEC444" w14:textId="77777777" w:rsidR="003A4883" w:rsidRPr="00146FF1" w:rsidRDefault="003A4883" w:rsidP="008128EA">
            <w:pPr>
              <w:pStyle w:val="TableText0"/>
              <w:jc w:val="center"/>
              <w:rPr>
                <w:b/>
                <w:bCs w:val="0"/>
              </w:rPr>
            </w:pPr>
            <w:r w:rsidRPr="00146FF1">
              <w:rPr>
                <w:b/>
                <w:bCs w:val="0"/>
              </w:rPr>
              <w:t>mean wk 16 (SD)</w:t>
            </w:r>
          </w:p>
        </w:tc>
        <w:tc>
          <w:tcPr>
            <w:tcW w:w="557" w:type="pct"/>
            <w:vAlign w:val="center"/>
          </w:tcPr>
          <w:p w14:paraId="45EC34F4" w14:textId="77777777" w:rsidR="003A4883" w:rsidRPr="00146FF1" w:rsidRDefault="003A4883" w:rsidP="008128EA">
            <w:pPr>
              <w:pStyle w:val="TableText0"/>
              <w:jc w:val="center"/>
              <w:rPr>
                <w:b/>
                <w:bCs w:val="0"/>
              </w:rPr>
            </w:pPr>
            <w:r w:rsidRPr="00146FF1">
              <w:rPr>
                <w:b/>
                <w:bCs w:val="0"/>
              </w:rPr>
              <w:t>LS mean change (SE)</w:t>
            </w:r>
          </w:p>
        </w:tc>
        <w:tc>
          <w:tcPr>
            <w:tcW w:w="533" w:type="pct"/>
            <w:vMerge/>
            <w:vAlign w:val="center"/>
          </w:tcPr>
          <w:p w14:paraId="11B83CBA" w14:textId="77777777" w:rsidR="003A4883" w:rsidRPr="00146FF1" w:rsidRDefault="003A4883" w:rsidP="008128EA">
            <w:pPr>
              <w:pStyle w:val="TableText0"/>
              <w:jc w:val="center"/>
            </w:pPr>
          </w:p>
        </w:tc>
        <w:tc>
          <w:tcPr>
            <w:tcW w:w="523" w:type="pct"/>
            <w:vMerge/>
            <w:vAlign w:val="center"/>
          </w:tcPr>
          <w:p w14:paraId="63FE5501" w14:textId="77777777" w:rsidR="003A4883" w:rsidRPr="00146FF1" w:rsidRDefault="003A4883" w:rsidP="008128EA">
            <w:pPr>
              <w:pStyle w:val="TableText0"/>
              <w:jc w:val="center"/>
            </w:pPr>
          </w:p>
        </w:tc>
      </w:tr>
      <w:tr w:rsidR="00146FF1" w:rsidRPr="00146FF1" w14:paraId="31587BAA" w14:textId="77777777" w:rsidTr="00146FF1">
        <w:tc>
          <w:tcPr>
            <w:tcW w:w="5000" w:type="pct"/>
            <w:gridSpan w:val="10"/>
            <w:vAlign w:val="center"/>
          </w:tcPr>
          <w:p w14:paraId="11D19BF3" w14:textId="5D596691" w:rsidR="003A4883" w:rsidRPr="00146FF1" w:rsidRDefault="003A4883" w:rsidP="008128EA">
            <w:pPr>
              <w:pStyle w:val="TableText0"/>
              <w:rPr>
                <w:b/>
                <w:bCs w:val="0"/>
              </w:rPr>
            </w:pPr>
            <w:r w:rsidRPr="00146FF1">
              <w:rPr>
                <w:b/>
                <w:bCs w:val="0"/>
              </w:rPr>
              <w:t>ACTIVE</w:t>
            </w:r>
          </w:p>
        </w:tc>
      </w:tr>
      <w:tr w:rsidR="00146FF1" w:rsidRPr="00146FF1" w14:paraId="7D2D014A" w14:textId="77777777" w:rsidTr="00146FF1">
        <w:tc>
          <w:tcPr>
            <w:tcW w:w="548" w:type="pct"/>
            <w:vAlign w:val="center"/>
          </w:tcPr>
          <w:p w14:paraId="2A8D000D" w14:textId="77777777" w:rsidR="003A4883" w:rsidRPr="00146FF1" w:rsidRDefault="003A4883" w:rsidP="008128EA">
            <w:pPr>
              <w:pStyle w:val="TableText0"/>
            </w:pPr>
            <w:r w:rsidRPr="00146FF1">
              <w:t>n(APR)=109</w:t>
            </w:r>
          </w:p>
          <w:p w14:paraId="7E47BDA6" w14:textId="77777777" w:rsidR="003A4883" w:rsidRPr="00146FF1" w:rsidRDefault="003A4883" w:rsidP="008128EA">
            <w:pPr>
              <w:pStyle w:val="TableText0"/>
            </w:pPr>
            <w:r w:rsidRPr="00146FF1">
              <w:t>n(PBO)=109</w:t>
            </w:r>
          </w:p>
        </w:tc>
        <w:tc>
          <w:tcPr>
            <w:tcW w:w="487" w:type="pct"/>
            <w:vAlign w:val="center"/>
          </w:tcPr>
          <w:p w14:paraId="21437BB9" w14:textId="77777777" w:rsidR="003A4883" w:rsidRPr="00146FF1" w:rsidRDefault="003A4883" w:rsidP="008128EA">
            <w:pPr>
              <w:pStyle w:val="TableText0"/>
              <w:jc w:val="center"/>
            </w:pPr>
            <w:r w:rsidRPr="00146FF1">
              <w:rPr>
                <w:rFonts w:cstheme="minorHAnsi"/>
              </w:rPr>
              <w:t>1.253</w:t>
            </w:r>
          </w:p>
        </w:tc>
        <w:tc>
          <w:tcPr>
            <w:tcW w:w="558" w:type="pct"/>
            <w:vAlign w:val="center"/>
          </w:tcPr>
          <w:p w14:paraId="34EE29C5" w14:textId="77777777" w:rsidR="003A4883" w:rsidRPr="00146FF1" w:rsidRDefault="003A4883" w:rsidP="008128EA">
            <w:pPr>
              <w:pStyle w:val="TableText0"/>
              <w:jc w:val="center"/>
              <w:rPr>
                <w:rFonts w:cstheme="minorHAnsi"/>
              </w:rPr>
            </w:pPr>
            <w:r w:rsidRPr="00146FF1">
              <w:rPr>
                <w:rFonts w:cstheme="minorHAnsi"/>
              </w:rPr>
              <w:t>0.957</w:t>
            </w:r>
          </w:p>
          <w:p w14:paraId="2FC541EF" w14:textId="49C0A1FD" w:rsidR="003A4883" w:rsidRPr="00146FF1" w:rsidRDefault="003A4883" w:rsidP="008128EA">
            <w:pPr>
              <w:pStyle w:val="TableText0"/>
              <w:jc w:val="center"/>
            </w:pPr>
          </w:p>
        </w:tc>
        <w:tc>
          <w:tcPr>
            <w:tcW w:w="556" w:type="pct"/>
            <w:gridSpan w:val="2"/>
            <w:vAlign w:val="center"/>
          </w:tcPr>
          <w:p w14:paraId="55BC6423" w14:textId="469EB548" w:rsidR="003A4883" w:rsidRPr="00146FF1" w:rsidRDefault="003A4883" w:rsidP="008128EA">
            <w:pPr>
              <w:pStyle w:val="TableText0"/>
              <w:jc w:val="center"/>
            </w:pPr>
            <w:r w:rsidRPr="00146FF1">
              <w:rPr>
                <w:rFonts w:eastAsiaTheme="minorEastAsia" w:cs="Times New Roman"/>
                <w:szCs w:val="20"/>
              </w:rPr>
              <w:t>-0.205</w:t>
            </w:r>
            <w:r w:rsidRPr="00146FF1">
              <w:rPr>
                <w:rFonts w:eastAsiaTheme="minorEastAsia" w:cs="Times New Roman"/>
                <w:spacing w:val="-2"/>
                <w:szCs w:val="20"/>
              </w:rPr>
              <w:t xml:space="preserve"> </w:t>
            </w:r>
            <w:r w:rsidRPr="00146FF1">
              <w:rPr>
                <w:rFonts w:eastAsiaTheme="minorEastAsia" w:cs="Times New Roman"/>
                <w:szCs w:val="20"/>
              </w:rPr>
              <w:t>(0.0523)</w:t>
            </w:r>
          </w:p>
        </w:tc>
        <w:tc>
          <w:tcPr>
            <w:tcW w:w="639" w:type="pct"/>
            <w:vAlign w:val="center"/>
          </w:tcPr>
          <w:p w14:paraId="375A7AF1" w14:textId="77777777" w:rsidR="003A4883" w:rsidRPr="00146FF1" w:rsidRDefault="003A4883" w:rsidP="008128EA">
            <w:pPr>
              <w:pStyle w:val="TableText0"/>
              <w:jc w:val="center"/>
            </w:pPr>
            <w:r w:rsidRPr="00146FF1">
              <w:rPr>
                <w:rFonts w:cstheme="minorHAnsi"/>
              </w:rPr>
              <w:t>1.198</w:t>
            </w:r>
          </w:p>
        </w:tc>
        <w:tc>
          <w:tcPr>
            <w:tcW w:w="599" w:type="pct"/>
            <w:vAlign w:val="center"/>
          </w:tcPr>
          <w:p w14:paraId="06BA0961" w14:textId="1C1BF4A0" w:rsidR="003A4883" w:rsidRPr="00146FF1" w:rsidRDefault="003A4883" w:rsidP="008128EA">
            <w:pPr>
              <w:pStyle w:val="TableText0"/>
              <w:jc w:val="center"/>
            </w:pPr>
            <w:r w:rsidRPr="00146FF1">
              <w:rPr>
                <w:rFonts w:cstheme="minorHAnsi"/>
              </w:rPr>
              <w:t>1.157</w:t>
            </w:r>
          </w:p>
        </w:tc>
        <w:tc>
          <w:tcPr>
            <w:tcW w:w="557" w:type="pct"/>
            <w:vAlign w:val="center"/>
          </w:tcPr>
          <w:p w14:paraId="54359779" w14:textId="2B498676" w:rsidR="003A4883" w:rsidRPr="00146FF1" w:rsidRDefault="003A4883" w:rsidP="008128EA">
            <w:pPr>
              <w:pStyle w:val="TableText0"/>
              <w:jc w:val="center"/>
            </w:pPr>
            <w:r w:rsidRPr="00146FF1">
              <w:rPr>
                <w:rFonts w:eastAsiaTheme="minorEastAsia" w:cs="Times New Roman"/>
                <w:szCs w:val="20"/>
              </w:rPr>
              <w:t>-0.055</w:t>
            </w:r>
            <w:r w:rsidRPr="00146FF1">
              <w:rPr>
                <w:rFonts w:eastAsiaTheme="minorEastAsia" w:cs="Times New Roman"/>
                <w:spacing w:val="-2"/>
                <w:szCs w:val="20"/>
              </w:rPr>
              <w:t xml:space="preserve"> </w:t>
            </w:r>
            <w:r w:rsidRPr="00146FF1">
              <w:rPr>
                <w:rFonts w:eastAsiaTheme="minorEastAsia" w:cs="Times New Roman"/>
                <w:szCs w:val="20"/>
              </w:rPr>
              <w:t>(0.0513)</w:t>
            </w:r>
          </w:p>
        </w:tc>
        <w:tc>
          <w:tcPr>
            <w:tcW w:w="533" w:type="pct"/>
            <w:vAlign w:val="center"/>
          </w:tcPr>
          <w:p w14:paraId="69311FC4" w14:textId="3B7696AB" w:rsidR="003A4883" w:rsidRPr="00146FF1" w:rsidRDefault="003A4883" w:rsidP="008128EA">
            <w:pPr>
              <w:pStyle w:val="TableText0"/>
              <w:jc w:val="center"/>
            </w:pPr>
            <w:r w:rsidRPr="00146FF1">
              <w:t>-0.150</w:t>
            </w:r>
          </w:p>
        </w:tc>
        <w:tc>
          <w:tcPr>
            <w:tcW w:w="523" w:type="pct"/>
            <w:vAlign w:val="center"/>
          </w:tcPr>
          <w:p w14:paraId="3E8B32EA" w14:textId="03BAE3D0" w:rsidR="003A4883" w:rsidRPr="00146FF1" w:rsidRDefault="003A4883" w:rsidP="008128EA">
            <w:pPr>
              <w:pStyle w:val="TableText0"/>
              <w:jc w:val="center"/>
            </w:pPr>
            <w:r w:rsidRPr="00146FF1">
              <w:t>0.</w:t>
            </w:r>
            <w:r w:rsidR="00D37409" w:rsidRPr="00146FF1">
              <w:t>0229</w:t>
            </w:r>
            <w:r w:rsidR="00D37409">
              <w:rPr>
                <w:vertAlign w:val="superscript"/>
              </w:rPr>
              <w:t>b</w:t>
            </w:r>
          </w:p>
        </w:tc>
      </w:tr>
      <w:tr w:rsidR="00146FF1" w:rsidRPr="00146FF1" w14:paraId="43BB2ADD" w14:textId="77777777" w:rsidTr="00146FF1">
        <w:tc>
          <w:tcPr>
            <w:tcW w:w="5000" w:type="pct"/>
            <w:gridSpan w:val="10"/>
            <w:shd w:val="clear" w:color="auto" w:fill="B8CCE4" w:themeFill="accent1" w:themeFillTint="66"/>
            <w:vAlign w:val="center"/>
          </w:tcPr>
          <w:p w14:paraId="42975C42" w14:textId="77777777" w:rsidR="003A4883" w:rsidRPr="00146FF1" w:rsidRDefault="003A4883" w:rsidP="008128EA">
            <w:pPr>
              <w:pStyle w:val="TableText0"/>
              <w:rPr>
                <w:b/>
                <w:bCs w:val="0"/>
              </w:rPr>
            </w:pPr>
            <w:r w:rsidRPr="00146FF1">
              <w:rPr>
                <w:b/>
                <w:bCs w:val="0"/>
              </w:rPr>
              <w:t>PALACE 1</w:t>
            </w:r>
          </w:p>
        </w:tc>
      </w:tr>
      <w:tr w:rsidR="00146FF1" w:rsidRPr="00146FF1" w14:paraId="10390182" w14:textId="77777777" w:rsidTr="00146FF1">
        <w:tc>
          <w:tcPr>
            <w:tcW w:w="548" w:type="pct"/>
            <w:shd w:val="clear" w:color="auto" w:fill="B8CCE4" w:themeFill="accent1" w:themeFillTint="66"/>
            <w:vAlign w:val="center"/>
          </w:tcPr>
          <w:p w14:paraId="7E6846C9" w14:textId="77777777" w:rsidR="003A4883" w:rsidRPr="00146FF1" w:rsidRDefault="003A4883" w:rsidP="008128EA">
            <w:pPr>
              <w:pStyle w:val="TableText0"/>
            </w:pPr>
            <w:r w:rsidRPr="00146FF1">
              <w:t>n(APR)=159</w:t>
            </w:r>
          </w:p>
          <w:p w14:paraId="01707972" w14:textId="77777777" w:rsidR="003A4883" w:rsidRPr="00146FF1" w:rsidRDefault="003A4883" w:rsidP="008128EA">
            <w:pPr>
              <w:pStyle w:val="TableText0"/>
            </w:pPr>
            <w:r w:rsidRPr="00146FF1">
              <w:t>n(PBO)=165</w:t>
            </w:r>
          </w:p>
        </w:tc>
        <w:tc>
          <w:tcPr>
            <w:tcW w:w="487" w:type="pct"/>
            <w:shd w:val="clear" w:color="auto" w:fill="B8CCE4" w:themeFill="accent1" w:themeFillTint="66"/>
            <w:vAlign w:val="center"/>
          </w:tcPr>
          <w:p w14:paraId="52EFB798" w14:textId="77777777" w:rsidR="003A4883" w:rsidRPr="00146FF1" w:rsidRDefault="003A4883" w:rsidP="008128EA">
            <w:pPr>
              <w:pStyle w:val="TableText0"/>
              <w:jc w:val="center"/>
            </w:pPr>
            <w:r w:rsidRPr="00146FF1">
              <w:rPr>
                <w:rFonts w:cstheme="minorHAnsi"/>
              </w:rPr>
              <w:t>1.231</w:t>
            </w:r>
          </w:p>
        </w:tc>
        <w:tc>
          <w:tcPr>
            <w:tcW w:w="558" w:type="pct"/>
            <w:shd w:val="clear" w:color="auto" w:fill="B8CCE4" w:themeFill="accent1" w:themeFillTint="66"/>
            <w:vAlign w:val="center"/>
          </w:tcPr>
          <w:p w14:paraId="5163305D" w14:textId="77777777" w:rsidR="003A4883" w:rsidRPr="00146FF1" w:rsidRDefault="003A4883" w:rsidP="008128EA">
            <w:pPr>
              <w:pStyle w:val="TableText0"/>
              <w:jc w:val="center"/>
            </w:pPr>
            <w:r w:rsidRPr="00146FF1">
              <w:rPr>
                <w:rFonts w:cstheme="minorHAnsi"/>
              </w:rPr>
              <w:t>0.972</w:t>
            </w:r>
          </w:p>
        </w:tc>
        <w:tc>
          <w:tcPr>
            <w:tcW w:w="556" w:type="pct"/>
            <w:gridSpan w:val="2"/>
            <w:shd w:val="clear" w:color="auto" w:fill="B8CCE4" w:themeFill="accent1" w:themeFillTint="66"/>
            <w:vAlign w:val="center"/>
          </w:tcPr>
          <w:p w14:paraId="65434589" w14:textId="77777777" w:rsidR="003A4883" w:rsidRPr="00146FF1" w:rsidRDefault="003A4883" w:rsidP="008128EA">
            <w:pPr>
              <w:pStyle w:val="TableText0"/>
              <w:jc w:val="center"/>
            </w:pPr>
            <w:r w:rsidRPr="00146FF1">
              <w:rPr>
                <w:rFonts w:cstheme="minorHAnsi"/>
                <w:spacing w:val="-1"/>
              </w:rPr>
              <w:t>-0.244 (0.0364)</w:t>
            </w:r>
          </w:p>
        </w:tc>
        <w:tc>
          <w:tcPr>
            <w:tcW w:w="639" w:type="pct"/>
            <w:shd w:val="clear" w:color="auto" w:fill="B8CCE4" w:themeFill="accent1" w:themeFillTint="66"/>
            <w:vAlign w:val="center"/>
          </w:tcPr>
          <w:p w14:paraId="60CF8C3B" w14:textId="77777777" w:rsidR="003A4883" w:rsidRPr="00146FF1" w:rsidRDefault="003A4883" w:rsidP="008128EA">
            <w:pPr>
              <w:pStyle w:val="TableText0"/>
              <w:jc w:val="center"/>
            </w:pPr>
            <w:r w:rsidRPr="00146FF1">
              <w:rPr>
                <w:rFonts w:cstheme="minorHAnsi"/>
              </w:rPr>
              <w:t>1.206</w:t>
            </w:r>
          </w:p>
        </w:tc>
        <w:tc>
          <w:tcPr>
            <w:tcW w:w="599" w:type="pct"/>
            <w:shd w:val="clear" w:color="auto" w:fill="B8CCE4" w:themeFill="accent1" w:themeFillTint="66"/>
            <w:vAlign w:val="center"/>
          </w:tcPr>
          <w:p w14:paraId="1543B01E" w14:textId="77777777" w:rsidR="003A4883" w:rsidRPr="00146FF1" w:rsidRDefault="003A4883" w:rsidP="008128EA">
            <w:pPr>
              <w:pStyle w:val="TableText0"/>
              <w:jc w:val="center"/>
            </w:pPr>
            <w:r w:rsidRPr="00146FF1">
              <w:rPr>
                <w:rFonts w:cstheme="minorHAnsi"/>
              </w:rPr>
              <w:t>1.110</w:t>
            </w:r>
          </w:p>
        </w:tc>
        <w:tc>
          <w:tcPr>
            <w:tcW w:w="557" w:type="pct"/>
            <w:shd w:val="clear" w:color="auto" w:fill="B8CCE4" w:themeFill="accent1" w:themeFillTint="66"/>
            <w:vAlign w:val="center"/>
          </w:tcPr>
          <w:p w14:paraId="60C82BF7" w14:textId="77777777" w:rsidR="003A4883" w:rsidRPr="00146FF1" w:rsidRDefault="003A4883" w:rsidP="008128EA">
            <w:pPr>
              <w:pStyle w:val="TableText0"/>
              <w:jc w:val="center"/>
            </w:pPr>
            <w:r w:rsidRPr="00146FF1">
              <w:rPr>
                <w:rFonts w:cstheme="minorHAnsi"/>
                <w:spacing w:val="-1"/>
              </w:rPr>
              <w:t>-0.086 (0.0360)</w:t>
            </w:r>
          </w:p>
        </w:tc>
        <w:tc>
          <w:tcPr>
            <w:tcW w:w="533" w:type="pct"/>
            <w:shd w:val="clear" w:color="auto" w:fill="B8CCE4" w:themeFill="accent1" w:themeFillTint="66"/>
            <w:vAlign w:val="center"/>
          </w:tcPr>
          <w:p w14:paraId="7A4B7DFD" w14:textId="77777777" w:rsidR="003A4883" w:rsidRPr="00146FF1" w:rsidRDefault="003A4883" w:rsidP="008128EA">
            <w:pPr>
              <w:pStyle w:val="TableText0"/>
              <w:jc w:val="center"/>
            </w:pPr>
            <w:r w:rsidRPr="00146FF1">
              <w:t>-0.159</w:t>
            </w:r>
          </w:p>
        </w:tc>
        <w:tc>
          <w:tcPr>
            <w:tcW w:w="523" w:type="pct"/>
            <w:shd w:val="clear" w:color="auto" w:fill="B8CCE4" w:themeFill="accent1" w:themeFillTint="66"/>
            <w:vAlign w:val="center"/>
          </w:tcPr>
          <w:p w14:paraId="3D2D5C41" w14:textId="77777777" w:rsidR="003A4883" w:rsidRPr="00146FF1" w:rsidRDefault="003A4883" w:rsidP="008128EA">
            <w:pPr>
              <w:pStyle w:val="TableText0"/>
              <w:jc w:val="center"/>
              <w:rPr>
                <w:b/>
                <w:bCs w:val="0"/>
              </w:rPr>
            </w:pPr>
            <w:r w:rsidRPr="00146FF1">
              <w:rPr>
                <w:b/>
                <w:bCs w:val="0"/>
              </w:rPr>
              <w:t>0.0017</w:t>
            </w:r>
          </w:p>
        </w:tc>
      </w:tr>
      <w:tr w:rsidR="00146FF1" w:rsidRPr="00146FF1" w14:paraId="4E8A25CB" w14:textId="77777777" w:rsidTr="00146FF1">
        <w:tc>
          <w:tcPr>
            <w:tcW w:w="5000" w:type="pct"/>
            <w:gridSpan w:val="10"/>
            <w:shd w:val="clear" w:color="auto" w:fill="B8CCE4" w:themeFill="accent1" w:themeFillTint="66"/>
            <w:vAlign w:val="center"/>
          </w:tcPr>
          <w:p w14:paraId="75FB8E2C" w14:textId="77777777" w:rsidR="003A4883" w:rsidRPr="00146FF1" w:rsidRDefault="003A4883" w:rsidP="008128EA">
            <w:pPr>
              <w:pStyle w:val="TableText0"/>
              <w:rPr>
                <w:rStyle w:val="SmallBold"/>
                <w:b w:val="0"/>
                <w:bCs w:val="0"/>
              </w:rPr>
            </w:pPr>
            <w:r w:rsidRPr="00146FF1">
              <w:rPr>
                <w:b/>
                <w:bCs w:val="0"/>
              </w:rPr>
              <w:t>PALACE 2</w:t>
            </w:r>
          </w:p>
        </w:tc>
      </w:tr>
      <w:tr w:rsidR="00146FF1" w:rsidRPr="00146FF1" w14:paraId="48E6645E" w14:textId="77777777" w:rsidTr="00146FF1">
        <w:tc>
          <w:tcPr>
            <w:tcW w:w="548" w:type="pct"/>
            <w:shd w:val="clear" w:color="auto" w:fill="B8CCE4" w:themeFill="accent1" w:themeFillTint="66"/>
            <w:vAlign w:val="center"/>
          </w:tcPr>
          <w:p w14:paraId="24D8C7AC" w14:textId="77777777" w:rsidR="003A4883" w:rsidRPr="00146FF1" w:rsidRDefault="003A4883" w:rsidP="008128EA">
            <w:pPr>
              <w:pStyle w:val="TableText0"/>
            </w:pPr>
            <w:r w:rsidRPr="00146FF1">
              <w:t>n(APR)=154</w:t>
            </w:r>
          </w:p>
          <w:p w14:paraId="2B70CCAE" w14:textId="77777777" w:rsidR="003A4883" w:rsidRPr="00146FF1" w:rsidRDefault="003A4883" w:rsidP="008128EA">
            <w:pPr>
              <w:pStyle w:val="TableText0"/>
            </w:pPr>
            <w:r w:rsidRPr="00146FF1">
              <w:t>n(PBO)=153</w:t>
            </w:r>
          </w:p>
        </w:tc>
        <w:tc>
          <w:tcPr>
            <w:tcW w:w="487" w:type="pct"/>
            <w:shd w:val="clear" w:color="auto" w:fill="B8CCE4" w:themeFill="accent1" w:themeFillTint="66"/>
            <w:vAlign w:val="center"/>
          </w:tcPr>
          <w:p w14:paraId="2168F5B8" w14:textId="77777777" w:rsidR="003A4883" w:rsidRPr="00146FF1" w:rsidRDefault="003A4883" w:rsidP="008128EA">
            <w:pPr>
              <w:pStyle w:val="TableText0"/>
              <w:jc w:val="center"/>
            </w:pPr>
            <w:r w:rsidRPr="00146FF1">
              <w:rPr>
                <w:rFonts w:cstheme="minorHAnsi"/>
              </w:rPr>
              <w:t>1.222</w:t>
            </w:r>
          </w:p>
        </w:tc>
        <w:tc>
          <w:tcPr>
            <w:tcW w:w="558" w:type="pct"/>
            <w:shd w:val="clear" w:color="auto" w:fill="B8CCE4" w:themeFill="accent1" w:themeFillTint="66"/>
            <w:vAlign w:val="center"/>
          </w:tcPr>
          <w:p w14:paraId="52A76AC2" w14:textId="77777777" w:rsidR="003A4883" w:rsidRPr="00146FF1" w:rsidRDefault="003A4883" w:rsidP="008128EA">
            <w:pPr>
              <w:pStyle w:val="TableText0"/>
              <w:jc w:val="center"/>
            </w:pPr>
            <w:r w:rsidRPr="00146FF1">
              <w:rPr>
                <w:rFonts w:cstheme="minorHAnsi"/>
              </w:rPr>
              <w:t>0.995</w:t>
            </w:r>
          </w:p>
        </w:tc>
        <w:tc>
          <w:tcPr>
            <w:tcW w:w="556" w:type="pct"/>
            <w:gridSpan w:val="2"/>
            <w:shd w:val="clear" w:color="auto" w:fill="B8CCE4" w:themeFill="accent1" w:themeFillTint="66"/>
            <w:vAlign w:val="center"/>
          </w:tcPr>
          <w:p w14:paraId="7BB78949" w14:textId="77777777" w:rsidR="003A4883" w:rsidRPr="00146FF1" w:rsidRDefault="003A4883" w:rsidP="008128EA">
            <w:pPr>
              <w:pStyle w:val="TableText0"/>
              <w:jc w:val="center"/>
            </w:pPr>
            <w:r w:rsidRPr="00146FF1">
              <w:rPr>
                <w:rFonts w:cstheme="minorHAnsi"/>
              </w:rPr>
              <w:t>-0.193 (0.0354)</w:t>
            </w:r>
          </w:p>
        </w:tc>
        <w:tc>
          <w:tcPr>
            <w:tcW w:w="639" w:type="pct"/>
            <w:shd w:val="clear" w:color="auto" w:fill="B8CCE4" w:themeFill="accent1" w:themeFillTint="66"/>
            <w:vAlign w:val="center"/>
          </w:tcPr>
          <w:p w14:paraId="4B1ABC8A" w14:textId="77777777" w:rsidR="003A4883" w:rsidRPr="00146FF1" w:rsidRDefault="003A4883" w:rsidP="008128EA">
            <w:pPr>
              <w:pStyle w:val="TableText0"/>
              <w:jc w:val="center"/>
            </w:pPr>
            <w:r w:rsidRPr="00146FF1">
              <w:rPr>
                <w:rFonts w:cstheme="minorHAnsi"/>
              </w:rPr>
              <w:t>1.147</w:t>
            </w:r>
          </w:p>
        </w:tc>
        <w:tc>
          <w:tcPr>
            <w:tcW w:w="599" w:type="pct"/>
            <w:shd w:val="clear" w:color="auto" w:fill="B8CCE4" w:themeFill="accent1" w:themeFillTint="66"/>
            <w:vAlign w:val="center"/>
          </w:tcPr>
          <w:p w14:paraId="5BBFE042" w14:textId="77777777" w:rsidR="003A4883" w:rsidRPr="00146FF1" w:rsidRDefault="003A4883" w:rsidP="008128EA">
            <w:pPr>
              <w:pStyle w:val="TableText0"/>
              <w:jc w:val="center"/>
            </w:pPr>
            <w:r w:rsidRPr="00146FF1">
              <w:rPr>
                <w:rFonts w:cstheme="minorHAnsi"/>
              </w:rPr>
              <w:t>1.078</w:t>
            </w:r>
          </w:p>
        </w:tc>
        <w:tc>
          <w:tcPr>
            <w:tcW w:w="557" w:type="pct"/>
            <w:shd w:val="clear" w:color="auto" w:fill="B8CCE4" w:themeFill="accent1" w:themeFillTint="66"/>
            <w:vAlign w:val="center"/>
          </w:tcPr>
          <w:p w14:paraId="6B0B33EB" w14:textId="77777777" w:rsidR="003A4883" w:rsidRPr="00146FF1" w:rsidRDefault="003A4883" w:rsidP="008128EA">
            <w:pPr>
              <w:pStyle w:val="TableText0"/>
              <w:jc w:val="center"/>
            </w:pPr>
            <w:r w:rsidRPr="00146FF1">
              <w:rPr>
                <w:rFonts w:cstheme="minorHAnsi"/>
              </w:rPr>
              <w:t>-0.053 (0.0358)</w:t>
            </w:r>
          </w:p>
        </w:tc>
        <w:tc>
          <w:tcPr>
            <w:tcW w:w="533" w:type="pct"/>
            <w:shd w:val="clear" w:color="auto" w:fill="B8CCE4" w:themeFill="accent1" w:themeFillTint="66"/>
            <w:vAlign w:val="center"/>
          </w:tcPr>
          <w:p w14:paraId="27D3A673" w14:textId="77777777" w:rsidR="003A4883" w:rsidRPr="00146FF1" w:rsidRDefault="003A4883" w:rsidP="008128EA">
            <w:pPr>
              <w:pStyle w:val="TableText0"/>
              <w:jc w:val="center"/>
            </w:pPr>
            <w:r w:rsidRPr="00146FF1">
              <w:t>-0.140</w:t>
            </w:r>
          </w:p>
        </w:tc>
        <w:tc>
          <w:tcPr>
            <w:tcW w:w="523" w:type="pct"/>
            <w:shd w:val="clear" w:color="auto" w:fill="B8CCE4" w:themeFill="accent1" w:themeFillTint="66"/>
            <w:vAlign w:val="center"/>
          </w:tcPr>
          <w:p w14:paraId="7DA548CA" w14:textId="77777777" w:rsidR="003A4883" w:rsidRPr="00146FF1" w:rsidRDefault="003A4883" w:rsidP="008128EA">
            <w:pPr>
              <w:pStyle w:val="TableText0"/>
              <w:jc w:val="center"/>
              <w:rPr>
                <w:b/>
                <w:bCs w:val="0"/>
              </w:rPr>
            </w:pPr>
            <w:r w:rsidRPr="00146FF1">
              <w:rPr>
                <w:b/>
                <w:bCs w:val="0"/>
              </w:rPr>
              <w:t>0.0042</w:t>
            </w:r>
          </w:p>
        </w:tc>
      </w:tr>
      <w:tr w:rsidR="00146FF1" w:rsidRPr="00146FF1" w14:paraId="66BD7518" w14:textId="77777777" w:rsidTr="00146FF1">
        <w:tc>
          <w:tcPr>
            <w:tcW w:w="5000" w:type="pct"/>
            <w:gridSpan w:val="10"/>
            <w:shd w:val="clear" w:color="auto" w:fill="B8CCE4" w:themeFill="accent1" w:themeFillTint="66"/>
            <w:vAlign w:val="center"/>
          </w:tcPr>
          <w:p w14:paraId="49A55512" w14:textId="77777777" w:rsidR="003A4883" w:rsidRPr="00146FF1" w:rsidRDefault="003A4883" w:rsidP="008128EA">
            <w:pPr>
              <w:pStyle w:val="TableText0"/>
              <w:rPr>
                <w:rStyle w:val="SmallBold"/>
                <w:b w:val="0"/>
                <w:bCs w:val="0"/>
              </w:rPr>
            </w:pPr>
            <w:r w:rsidRPr="00146FF1">
              <w:rPr>
                <w:b/>
                <w:bCs w:val="0"/>
              </w:rPr>
              <w:t>PALACE 3</w:t>
            </w:r>
          </w:p>
        </w:tc>
      </w:tr>
      <w:tr w:rsidR="00146FF1" w:rsidRPr="00146FF1" w14:paraId="21BE1CEC" w14:textId="77777777" w:rsidTr="00146FF1">
        <w:tc>
          <w:tcPr>
            <w:tcW w:w="548" w:type="pct"/>
            <w:shd w:val="clear" w:color="auto" w:fill="B8CCE4" w:themeFill="accent1" w:themeFillTint="66"/>
            <w:vAlign w:val="center"/>
          </w:tcPr>
          <w:p w14:paraId="0D420698" w14:textId="77777777" w:rsidR="003A4883" w:rsidRPr="00146FF1" w:rsidRDefault="003A4883" w:rsidP="008128EA">
            <w:pPr>
              <w:pStyle w:val="TableText0"/>
            </w:pPr>
            <w:r w:rsidRPr="00146FF1">
              <w:t>n(APR)=160</w:t>
            </w:r>
          </w:p>
          <w:p w14:paraId="3903A5C6" w14:textId="77777777" w:rsidR="003A4883" w:rsidRPr="00146FF1" w:rsidRDefault="003A4883" w:rsidP="008128EA">
            <w:pPr>
              <w:pStyle w:val="TableText0"/>
            </w:pPr>
            <w:r w:rsidRPr="00146FF1">
              <w:t>n(PBO)=163</w:t>
            </w:r>
          </w:p>
        </w:tc>
        <w:tc>
          <w:tcPr>
            <w:tcW w:w="487" w:type="pct"/>
            <w:shd w:val="clear" w:color="auto" w:fill="B8CCE4" w:themeFill="accent1" w:themeFillTint="66"/>
            <w:vAlign w:val="center"/>
          </w:tcPr>
          <w:p w14:paraId="5BFB6B61" w14:textId="77777777" w:rsidR="003A4883" w:rsidRPr="00146FF1" w:rsidRDefault="003A4883" w:rsidP="008128EA">
            <w:pPr>
              <w:pStyle w:val="TableText0"/>
              <w:jc w:val="center"/>
            </w:pPr>
            <w:r w:rsidRPr="00146FF1">
              <w:rPr>
                <w:rFonts w:cstheme="minorHAnsi"/>
              </w:rPr>
              <w:t>1.160</w:t>
            </w:r>
          </w:p>
        </w:tc>
        <w:tc>
          <w:tcPr>
            <w:tcW w:w="558" w:type="pct"/>
            <w:shd w:val="clear" w:color="auto" w:fill="B8CCE4" w:themeFill="accent1" w:themeFillTint="66"/>
            <w:vAlign w:val="center"/>
          </w:tcPr>
          <w:p w14:paraId="575348E5" w14:textId="77777777" w:rsidR="003A4883" w:rsidRPr="00146FF1" w:rsidRDefault="003A4883" w:rsidP="008128EA">
            <w:pPr>
              <w:pStyle w:val="TableText0"/>
              <w:jc w:val="center"/>
            </w:pPr>
            <w:r w:rsidRPr="00146FF1">
              <w:rPr>
                <w:rFonts w:cstheme="minorHAnsi"/>
              </w:rPr>
              <w:t>0.965</w:t>
            </w:r>
          </w:p>
        </w:tc>
        <w:tc>
          <w:tcPr>
            <w:tcW w:w="556" w:type="pct"/>
            <w:gridSpan w:val="2"/>
            <w:shd w:val="clear" w:color="auto" w:fill="B8CCE4" w:themeFill="accent1" w:themeFillTint="66"/>
            <w:vAlign w:val="center"/>
          </w:tcPr>
          <w:p w14:paraId="31205F2C" w14:textId="77777777" w:rsidR="003A4883" w:rsidRPr="00146FF1" w:rsidRDefault="003A4883" w:rsidP="008128EA">
            <w:pPr>
              <w:pStyle w:val="TableText0"/>
              <w:jc w:val="center"/>
            </w:pPr>
            <w:r w:rsidRPr="00146FF1">
              <w:rPr>
                <w:rFonts w:cstheme="minorHAnsi"/>
                <w:spacing w:val="-1"/>
              </w:rPr>
              <w:t>-0.192 (0.0339)</w:t>
            </w:r>
          </w:p>
        </w:tc>
        <w:tc>
          <w:tcPr>
            <w:tcW w:w="639" w:type="pct"/>
            <w:shd w:val="clear" w:color="auto" w:fill="B8CCE4" w:themeFill="accent1" w:themeFillTint="66"/>
            <w:vAlign w:val="center"/>
          </w:tcPr>
          <w:p w14:paraId="41EFD6A1" w14:textId="77777777" w:rsidR="003A4883" w:rsidRPr="00146FF1" w:rsidRDefault="003A4883" w:rsidP="008128EA">
            <w:pPr>
              <w:pStyle w:val="TableText0"/>
              <w:jc w:val="center"/>
            </w:pPr>
            <w:r w:rsidRPr="00146FF1">
              <w:rPr>
                <w:rFonts w:cstheme="minorHAnsi"/>
              </w:rPr>
              <w:t>1.160</w:t>
            </w:r>
          </w:p>
        </w:tc>
        <w:tc>
          <w:tcPr>
            <w:tcW w:w="599" w:type="pct"/>
            <w:shd w:val="clear" w:color="auto" w:fill="B8CCE4" w:themeFill="accent1" w:themeFillTint="66"/>
            <w:vAlign w:val="center"/>
          </w:tcPr>
          <w:p w14:paraId="2909A872" w14:textId="77777777" w:rsidR="003A4883" w:rsidRPr="00146FF1" w:rsidRDefault="003A4883" w:rsidP="008128EA">
            <w:pPr>
              <w:pStyle w:val="TableText0"/>
              <w:jc w:val="center"/>
            </w:pPr>
            <w:r w:rsidRPr="00146FF1">
              <w:rPr>
                <w:rFonts w:cstheme="minorHAnsi"/>
              </w:rPr>
              <w:t>1.091</w:t>
            </w:r>
          </w:p>
        </w:tc>
        <w:tc>
          <w:tcPr>
            <w:tcW w:w="557" w:type="pct"/>
            <w:shd w:val="clear" w:color="auto" w:fill="B8CCE4" w:themeFill="accent1" w:themeFillTint="66"/>
            <w:vAlign w:val="center"/>
          </w:tcPr>
          <w:p w14:paraId="728FDB9A" w14:textId="77777777" w:rsidR="003A4883" w:rsidRPr="00146FF1" w:rsidRDefault="003A4883" w:rsidP="008128EA">
            <w:pPr>
              <w:pStyle w:val="TableText0"/>
              <w:jc w:val="center"/>
            </w:pPr>
            <w:r w:rsidRPr="00146FF1">
              <w:rPr>
                <w:rFonts w:cstheme="minorHAnsi"/>
                <w:spacing w:val="-1"/>
              </w:rPr>
              <w:t>-0.065 (0.0335)</w:t>
            </w:r>
          </w:p>
        </w:tc>
        <w:tc>
          <w:tcPr>
            <w:tcW w:w="533" w:type="pct"/>
            <w:shd w:val="clear" w:color="auto" w:fill="B8CCE4" w:themeFill="accent1" w:themeFillTint="66"/>
            <w:vAlign w:val="center"/>
          </w:tcPr>
          <w:p w14:paraId="13E89A02" w14:textId="77777777" w:rsidR="003A4883" w:rsidRPr="00146FF1" w:rsidRDefault="003A4883" w:rsidP="008128EA">
            <w:pPr>
              <w:pStyle w:val="TableText0"/>
              <w:jc w:val="center"/>
            </w:pPr>
            <w:r w:rsidRPr="00146FF1">
              <w:t>-0.127</w:t>
            </w:r>
          </w:p>
        </w:tc>
        <w:tc>
          <w:tcPr>
            <w:tcW w:w="523" w:type="pct"/>
            <w:shd w:val="clear" w:color="auto" w:fill="B8CCE4" w:themeFill="accent1" w:themeFillTint="66"/>
            <w:vAlign w:val="center"/>
          </w:tcPr>
          <w:p w14:paraId="5D690A54" w14:textId="77777777" w:rsidR="003A4883" w:rsidRPr="00146FF1" w:rsidRDefault="003A4883" w:rsidP="008128EA">
            <w:pPr>
              <w:pStyle w:val="TableText0"/>
              <w:jc w:val="center"/>
              <w:rPr>
                <w:b/>
                <w:bCs w:val="0"/>
              </w:rPr>
            </w:pPr>
            <w:r w:rsidRPr="00146FF1">
              <w:rPr>
                <w:b/>
                <w:bCs w:val="0"/>
              </w:rPr>
              <w:t>0.0073</w:t>
            </w:r>
          </w:p>
        </w:tc>
      </w:tr>
      <w:tr w:rsidR="00146FF1" w:rsidRPr="00146FF1" w14:paraId="5D4B77E8" w14:textId="77777777" w:rsidTr="00146FF1">
        <w:tc>
          <w:tcPr>
            <w:tcW w:w="5000" w:type="pct"/>
            <w:gridSpan w:val="10"/>
            <w:shd w:val="clear" w:color="auto" w:fill="B8CCE4" w:themeFill="accent1" w:themeFillTint="66"/>
            <w:vAlign w:val="center"/>
          </w:tcPr>
          <w:p w14:paraId="15684C80" w14:textId="77777777" w:rsidR="003A4883" w:rsidRPr="00146FF1" w:rsidRDefault="003A4883" w:rsidP="008128EA">
            <w:pPr>
              <w:pStyle w:val="TableText0"/>
              <w:rPr>
                <w:b/>
                <w:bCs w:val="0"/>
              </w:rPr>
            </w:pPr>
            <w:r w:rsidRPr="00146FF1">
              <w:rPr>
                <w:b/>
                <w:bCs w:val="0"/>
              </w:rPr>
              <w:t>PALACE 4</w:t>
            </w:r>
          </w:p>
        </w:tc>
      </w:tr>
      <w:tr w:rsidR="00146FF1" w:rsidRPr="00146FF1" w14:paraId="2F96FBC9" w14:textId="77777777" w:rsidTr="00146FF1">
        <w:tc>
          <w:tcPr>
            <w:tcW w:w="548" w:type="pct"/>
            <w:shd w:val="clear" w:color="auto" w:fill="B8CCE4" w:themeFill="accent1" w:themeFillTint="66"/>
            <w:vAlign w:val="center"/>
          </w:tcPr>
          <w:p w14:paraId="3343DBF8" w14:textId="77777777" w:rsidR="003A4883" w:rsidRPr="00146FF1" w:rsidRDefault="003A4883" w:rsidP="008128EA">
            <w:pPr>
              <w:pStyle w:val="TableText0"/>
            </w:pPr>
            <w:r w:rsidRPr="00146FF1">
              <w:t>n(APR)=167</w:t>
            </w:r>
          </w:p>
          <w:p w14:paraId="4D5A8705" w14:textId="77777777" w:rsidR="003A4883" w:rsidRPr="00146FF1" w:rsidRDefault="003A4883" w:rsidP="008128EA">
            <w:pPr>
              <w:pStyle w:val="TableText0"/>
            </w:pPr>
            <w:r w:rsidRPr="00146FF1">
              <w:t>n(PBO)=167</w:t>
            </w:r>
          </w:p>
        </w:tc>
        <w:tc>
          <w:tcPr>
            <w:tcW w:w="487" w:type="pct"/>
            <w:shd w:val="clear" w:color="auto" w:fill="B8CCE4" w:themeFill="accent1" w:themeFillTint="66"/>
            <w:vAlign w:val="center"/>
          </w:tcPr>
          <w:p w14:paraId="24FAA110" w14:textId="77777777" w:rsidR="003A4883" w:rsidRPr="00146FF1" w:rsidRDefault="003A4883" w:rsidP="008128EA">
            <w:pPr>
              <w:pStyle w:val="TableText0"/>
              <w:jc w:val="center"/>
            </w:pPr>
            <w:r w:rsidRPr="00146FF1">
              <w:rPr>
                <w:rFonts w:cstheme="minorHAnsi"/>
              </w:rPr>
              <w:t>1.083</w:t>
            </w:r>
          </w:p>
        </w:tc>
        <w:tc>
          <w:tcPr>
            <w:tcW w:w="558" w:type="pct"/>
            <w:shd w:val="clear" w:color="auto" w:fill="B8CCE4" w:themeFill="accent1" w:themeFillTint="66"/>
            <w:vAlign w:val="center"/>
          </w:tcPr>
          <w:p w14:paraId="3E0198E9" w14:textId="77777777" w:rsidR="003A4883" w:rsidRPr="00146FF1" w:rsidRDefault="003A4883" w:rsidP="008128EA">
            <w:pPr>
              <w:pStyle w:val="TableText0"/>
              <w:jc w:val="center"/>
            </w:pPr>
            <w:r w:rsidRPr="00146FF1">
              <w:rPr>
                <w:rFonts w:cstheme="minorHAnsi"/>
              </w:rPr>
              <w:t>0.876</w:t>
            </w:r>
          </w:p>
        </w:tc>
        <w:tc>
          <w:tcPr>
            <w:tcW w:w="556" w:type="pct"/>
            <w:gridSpan w:val="2"/>
            <w:shd w:val="clear" w:color="auto" w:fill="B8CCE4" w:themeFill="accent1" w:themeFillTint="66"/>
            <w:vAlign w:val="center"/>
          </w:tcPr>
          <w:p w14:paraId="5E540207" w14:textId="77777777" w:rsidR="003A4883" w:rsidRPr="00146FF1" w:rsidRDefault="003A4883" w:rsidP="008128EA">
            <w:pPr>
              <w:pStyle w:val="TableText0"/>
              <w:jc w:val="center"/>
            </w:pPr>
            <w:r w:rsidRPr="00146FF1">
              <w:rPr>
                <w:rFonts w:cstheme="minorHAnsi"/>
              </w:rPr>
              <w:t>-0.205 (0.0350)</w:t>
            </w:r>
          </w:p>
        </w:tc>
        <w:tc>
          <w:tcPr>
            <w:tcW w:w="639" w:type="pct"/>
            <w:shd w:val="clear" w:color="auto" w:fill="B8CCE4" w:themeFill="accent1" w:themeFillTint="66"/>
            <w:vAlign w:val="center"/>
          </w:tcPr>
          <w:p w14:paraId="57DEA926" w14:textId="77777777" w:rsidR="003A4883" w:rsidRPr="00146FF1" w:rsidRDefault="003A4883" w:rsidP="008128EA">
            <w:pPr>
              <w:pStyle w:val="TableText0"/>
              <w:jc w:val="center"/>
            </w:pPr>
            <w:r w:rsidRPr="00146FF1">
              <w:rPr>
                <w:rFonts w:cstheme="minorHAnsi"/>
              </w:rPr>
              <w:t>1.020</w:t>
            </w:r>
          </w:p>
        </w:tc>
        <w:tc>
          <w:tcPr>
            <w:tcW w:w="599" w:type="pct"/>
            <w:shd w:val="clear" w:color="auto" w:fill="B8CCE4" w:themeFill="accent1" w:themeFillTint="66"/>
            <w:vAlign w:val="center"/>
          </w:tcPr>
          <w:p w14:paraId="140BF225" w14:textId="77777777" w:rsidR="003A4883" w:rsidRPr="00146FF1" w:rsidRDefault="003A4883" w:rsidP="008128EA">
            <w:pPr>
              <w:pStyle w:val="TableText0"/>
              <w:jc w:val="center"/>
            </w:pPr>
            <w:r w:rsidRPr="00146FF1">
              <w:rPr>
                <w:rFonts w:cstheme="minorHAnsi"/>
              </w:rPr>
              <w:t>1.048</w:t>
            </w:r>
          </w:p>
        </w:tc>
        <w:tc>
          <w:tcPr>
            <w:tcW w:w="557" w:type="pct"/>
            <w:shd w:val="clear" w:color="auto" w:fill="B8CCE4" w:themeFill="accent1" w:themeFillTint="66"/>
            <w:vAlign w:val="center"/>
          </w:tcPr>
          <w:p w14:paraId="29553907" w14:textId="77777777" w:rsidR="003A4883" w:rsidRPr="00146FF1" w:rsidRDefault="003A4883" w:rsidP="008128EA">
            <w:pPr>
              <w:pStyle w:val="TableText0"/>
              <w:jc w:val="center"/>
            </w:pPr>
            <w:r w:rsidRPr="00146FF1">
              <w:rPr>
                <w:rFonts w:cstheme="minorHAnsi"/>
              </w:rPr>
              <w:t>0.012 (0.0350)</w:t>
            </w:r>
          </w:p>
        </w:tc>
        <w:tc>
          <w:tcPr>
            <w:tcW w:w="533" w:type="pct"/>
            <w:shd w:val="clear" w:color="auto" w:fill="B8CCE4" w:themeFill="accent1" w:themeFillTint="66"/>
            <w:vAlign w:val="center"/>
          </w:tcPr>
          <w:p w14:paraId="4579953D" w14:textId="77777777" w:rsidR="003A4883" w:rsidRPr="00146FF1" w:rsidRDefault="003A4883" w:rsidP="008128EA">
            <w:pPr>
              <w:pStyle w:val="TableText0"/>
              <w:jc w:val="center"/>
            </w:pPr>
            <w:r w:rsidRPr="00146FF1">
              <w:t>-0.217</w:t>
            </w:r>
          </w:p>
        </w:tc>
        <w:tc>
          <w:tcPr>
            <w:tcW w:w="523" w:type="pct"/>
            <w:shd w:val="clear" w:color="auto" w:fill="B8CCE4" w:themeFill="accent1" w:themeFillTint="66"/>
            <w:vAlign w:val="center"/>
          </w:tcPr>
          <w:p w14:paraId="645F1AE0" w14:textId="77777777" w:rsidR="003A4883" w:rsidRPr="00146FF1" w:rsidRDefault="003A4883" w:rsidP="008128EA">
            <w:pPr>
              <w:pStyle w:val="TableText0"/>
              <w:jc w:val="center"/>
              <w:rPr>
                <w:b/>
                <w:bCs w:val="0"/>
              </w:rPr>
            </w:pPr>
            <w:r w:rsidRPr="00146FF1">
              <w:rPr>
                <w:b/>
                <w:bCs w:val="0"/>
              </w:rPr>
              <w:t>&lt;0.0001</w:t>
            </w:r>
          </w:p>
        </w:tc>
      </w:tr>
    </w:tbl>
    <w:p w14:paraId="4E4623E3" w14:textId="4400B18F" w:rsidR="003A4883" w:rsidRPr="00D70E97" w:rsidRDefault="003A4883" w:rsidP="008E150E">
      <w:pPr>
        <w:pStyle w:val="TableFooter"/>
        <w:keepNext/>
        <w:rPr>
          <w:b/>
          <w:bCs/>
          <w:i/>
          <w:iCs/>
          <w:sz w:val="20"/>
        </w:rPr>
      </w:pPr>
      <w:r>
        <w:t xml:space="preserve">Source: Table 2-22, p48 </w:t>
      </w:r>
      <w:r w:rsidRPr="00D13A3E">
        <w:t xml:space="preserve">of the </w:t>
      </w:r>
      <w:r>
        <w:t>submission.</w:t>
      </w:r>
      <w:r>
        <w:rPr>
          <w:i/>
          <w:iCs/>
        </w:rPr>
        <w:t xml:space="preserve"> </w:t>
      </w:r>
      <w:r w:rsidRPr="00760F9E">
        <w:rPr>
          <w:rFonts w:eastAsia="Calibri"/>
          <w:b/>
        </w:rPr>
        <w:t>Bold</w:t>
      </w:r>
      <w:r>
        <w:rPr>
          <w:rFonts w:eastAsia="Calibri"/>
        </w:rPr>
        <w:t xml:space="preserve"> indicates statistically significant results (p&lt;0.05).</w:t>
      </w:r>
    </w:p>
    <w:p w14:paraId="73DB9B72" w14:textId="77777777" w:rsidR="003A4883" w:rsidRPr="00B40358" w:rsidRDefault="003A4883" w:rsidP="008E150E">
      <w:pPr>
        <w:pStyle w:val="TableFooter"/>
        <w:keepNext/>
      </w:pPr>
      <w:r>
        <w:t xml:space="preserve">APR = apremilast; </w:t>
      </w:r>
      <w:r w:rsidRPr="00B40358">
        <w:t xml:space="preserve">CI = confidence interval; </w:t>
      </w:r>
      <w:r>
        <w:t xml:space="preserve">FAS = full analysis set; </w:t>
      </w:r>
      <w:r w:rsidRPr="00101EC8">
        <w:t>HAQ-DI = Health Assessment Questionnaire-Disability Index;</w:t>
      </w:r>
      <w:r>
        <w:t xml:space="preserve"> LOCF = last observation carried forward; LS = least squares;</w:t>
      </w:r>
      <w:r w:rsidRPr="00101EC8">
        <w:t xml:space="preserve"> </w:t>
      </w:r>
      <w:r>
        <w:t>MMRM =</w:t>
      </w:r>
      <w:r w:rsidRPr="00977130">
        <w:t xml:space="preserve"> mixed-effects model of repeated measures</w:t>
      </w:r>
      <w:r>
        <w:t xml:space="preserve">; PBO = placebo; </w:t>
      </w:r>
      <w:r w:rsidRPr="00B40358">
        <w:t>SD = standard deviation</w:t>
      </w:r>
      <w:r>
        <w:t>; SE = standard error.</w:t>
      </w:r>
    </w:p>
    <w:p w14:paraId="4AE75867" w14:textId="04FEC870" w:rsidR="003A4883" w:rsidRDefault="003A4883" w:rsidP="008E150E">
      <w:pPr>
        <w:pStyle w:val="TableFooter"/>
        <w:keepNext/>
      </w:pPr>
      <w:r w:rsidRPr="00B40358">
        <w:rPr>
          <w:vertAlign w:val="superscript"/>
        </w:rPr>
        <w:t>a</w:t>
      </w:r>
      <w:r w:rsidRPr="00B40358">
        <w:t xml:space="preserve"> </w:t>
      </w:r>
      <w:r w:rsidR="00EA496D">
        <w:t xml:space="preserve">Analyses </w:t>
      </w:r>
      <w:r>
        <w:t>conducted for all participants with a baseline value and at least 1 post-baseline value.</w:t>
      </w:r>
    </w:p>
    <w:p w14:paraId="6BD7C6C0" w14:textId="76CBC636" w:rsidR="003A4883" w:rsidRDefault="003A4883" w:rsidP="00EF48B5">
      <w:pPr>
        <w:pStyle w:val="TableFooter"/>
        <w:spacing w:after="120"/>
      </w:pPr>
      <w:r w:rsidRPr="00D21190">
        <w:rPr>
          <w:vertAlign w:val="superscript"/>
        </w:rPr>
        <w:t>b</w:t>
      </w:r>
      <w:r>
        <w:t xml:space="preserve"> P-value nominally significant; however hierarchical testing was stopped after the first secondary endpoint (HAQ-DI at 24 weeks).</w:t>
      </w:r>
    </w:p>
    <w:p w14:paraId="4FF091A2" w14:textId="03160A5B" w:rsidR="003A4883" w:rsidRPr="0033470C" w:rsidRDefault="0016441D" w:rsidP="00EF48B5">
      <w:pPr>
        <w:pStyle w:val="3-BodyText"/>
        <w:ind w:left="720" w:hanging="720"/>
      </w:pPr>
      <w:r w:rsidRPr="0033470C">
        <w:t xml:space="preserve">Participants </w:t>
      </w:r>
      <w:r w:rsidR="003A4883" w:rsidRPr="0033470C">
        <w:t>treated with apremilast achieved improvements in HAQ-DI at Week 16, compared with placebo. The p-value observed for the ACTIVE trial is nominally significant, however hierarchical statistical testing was stopped after the first secondary endpoint (HAQ-DI at 24 weeks).</w:t>
      </w:r>
    </w:p>
    <w:p w14:paraId="5B0FE49E" w14:textId="192C4405" w:rsidR="003A4883" w:rsidRPr="0033470C" w:rsidRDefault="003A4883" w:rsidP="00EF48B5">
      <w:pPr>
        <w:pStyle w:val="3-BodyText"/>
        <w:ind w:left="720" w:hanging="720"/>
        <w:rPr>
          <w:rFonts w:eastAsia="Calibri"/>
        </w:rPr>
      </w:pPr>
      <w:r w:rsidRPr="0033470C">
        <w:rPr>
          <w:rFonts w:eastAsia="Calibri"/>
        </w:rPr>
        <w:t>The least squares mean difference in HAQ-DI change exceeded the MCID of 0.13 specified by Kwok et al (2010) in all trials except PALACE 3. The MCID of 0.30 specified by Mease et. al (2004) was not reached in any of the included trials.</w:t>
      </w:r>
    </w:p>
    <w:p w14:paraId="6E8BA1F7" w14:textId="7C2F10FD" w:rsidR="003438E2" w:rsidRPr="0033470C" w:rsidRDefault="00987CEF" w:rsidP="00EF48B5">
      <w:pPr>
        <w:pStyle w:val="3-BodyText"/>
        <w:ind w:left="720" w:hanging="720"/>
        <w:rPr>
          <w:rFonts w:eastAsia="Calibri"/>
        </w:rPr>
      </w:pPr>
      <w:r>
        <w:rPr>
          <w:rFonts w:eastAsia="Calibri"/>
        </w:rPr>
        <w:t xml:space="preserve">Additional data from the ACTIVE trial used in the economic evaluation is presented </w:t>
      </w:r>
      <w:r w:rsidR="003438E2" w:rsidRPr="0033470C">
        <w:rPr>
          <w:rFonts w:eastAsia="Calibri"/>
        </w:rPr>
        <w:t xml:space="preserve">in </w:t>
      </w:r>
      <w:r w:rsidR="003438E2" w:rsidRPr="0033470C">
        <w:rPr>
          <w:rFonts w:eastAsia="Calibri"/>
        </w:rPr>
        <w:fldChar w:fldCharType="begin"/>
      </w:r>
      <w:r w:rsidR="003438E2" w:rsidRPr="0033470C">
        <w:rPr>
          <w:rFonts w:eastAsia="Calibri"/>
        </w:rPr>
        <w:instrText xml:space="preserve"> REF _Ref124524022 \h </w:instrText>
      </w:r>
      <w:r w:rsidR="0033470C" w:rsidRPr="0033470C">
        <w:rPr>
          <w:rFonts w:eastAsia="Calibri"/>
        </w:rPr>
        <w:instrText xml:space="preserve"> \* MERGEFORMAT </w:instrText>
      </w:r>
      <w:r w:rsidR="003438E2" w:rsidRPr="0033470C">
        <w:rPr>
          <w:rFonts w:eastAsia="Calibri"/>
        </w:rPr>
      </w:r>
      <w:r w:rsidR="003438E2" w:rsidRPr="0033470C">
        <w:rPr>
          <w:rFonts w:eastAsia="Calibri"/>
        </w:rPr>
        <w:fldChar w:fldCharType="separate"/>
      </w:r>
      <w:r w:rsidR="00A05E81">
        <w:t xml:space="preserve">Table </w:t>
      </w:r>
      <w:r w:rsidR="00A05E81">
        <w:rPr>
          <w:noProof/>
        </w:rPr>
        <w:t>7</w:t>
      </w:r>
      <w:r w:rsidR="003438E2" w:rsidRPr="0033470C">
        <w:rPr>
          <w:rFonts w:eastAsia="Calibri"/>
        </w:rPr>
        <w:fldChar w:fldCharType="end"/>
      </w:r>
      <w:r w:rsidR="003438E2" w:rsidRPr="0033470C">
        <w:rPr>
          <w:rFonts w:eastAsia="Calibri"/>
        </w:rPr>
        <w:t>.</w:t>
      </w:r>
    </w:p>
    <w:p w14:paraId="15D28386" w14:textId="3A0F1E25" w:rsidR="003438E2" w:rsidRDefault="003438E2" w:rsidP="008128EA">
      <w:pPr>
        <w:pStyle w:val="TableFigureHeading"/>
      </w:pPr>
      <w:bookmarkStart w:id="44" w:name="_Ref124524022"/>
      <w:r>
        <w:lastRenderedPageBreak/>
        <w:t xml:space="preserve">Table </w:t>
      </w:r>
      <w:r w:rsidR="00A05E81">
        <w:fldChar w:fldCharType="begin"/>
      </w:r>
      <w:r w:rsidR="00A05E81">
        <w:instrText xml:space="preserve"> SEQ Table \* ARABIC </w:instrText>
      </w:r>
      <w:r w:rsidR="00A05E81">
        <w:fldChar w:fldCharType="separate"/>
      </w:r>
      <w:r w:rsidR="00A05E81">
        <w:rPr>
          <w:noProof/>
        </w:rPr>
        <w:t>7</w:t>
      </w:r>
      <w:r w:rsidR="00A05E81">
        <w:rPr>
          <w:noProof/>
        </w:rPr>
        <w:fldChar w:fldCharType="end"/>
      </w:r>
      <w:bookmarkEnd w:id="44"/>
      <w:r>
        <w:t xml:space="preserve">: </w:t>
      </w:r>
      <w:r w:rsidRPr="00511F93">
        <w:rPr>
          <w:rStyle w:val="CommentReference"/>
          <w:b/>
          <w:szCs w:val="24"/>
        </w:rPr>
        <w:t>ACR20</w:t>
      </w:r>
      <w:r>
        <w:rPr>
          <w:rStyle w:val="CommentReference"/>
          <w:b/>
          <w:szCs w:val="24"/>
        </w:rPr>
        <w:t xml:space="preserve"> response,</w:t>
      </w:r>
      <w:r w:rsidRPr="00511F93">
        <w:rPr>
          <w:rStyle w:val="CommentReference"/>
          <w:b/>
          <w:szCs w:val="24"/>
        </w:rPr>
        <w:t xml:space="preserve"> </w:t>
      </w:r>
      <w:r>
        <w:rPr>
          <w:rStyle w:val="CommentReference"/>
          <w:b/>
          <w:szCs w:val="24"/>
        </w:rPr>
        <w:t>A</w:t>
      </w:r>
      <w:r w:rsidRPr="00511F93">
        <w:rPr>
          <w:rStyle w:val="CommentReference"/>
          <w:b/>
          <w:szCs w:val="24"/>
        </w:rPr>
        <w:t>CR50 response</w:t>
      </w:r>
      <w:r>
        <w:rPr>
          <w:rStyle w:val="CommentReference"/>
          <w:b/>
          <w:szCs w:val="24"/>
        </w:rPr>
        <w:t>, and change in HAQ-DI</w:t>
      </w:r>
      <w:r w:rsidRPr="00511F93">
        <w:rPr>
          <w:rStyle w:val="CommentReference"/>
          <w:b/>
          <w:szCs w:val="24"/>
        </w:rPr>
        <w:t xml:space="preserve"> at Week </w:t>
      </w:r>
      <w:r>
        <w:rPr>
          <w:rStyle w:val="CommentReference"/>
          <w:b/>
          <w:szCs w:val="24"/>
        </w:rPr>
        <w:t xml:space="preserve">24 in the ACTIVE trial </w:t>
      </w:r>
      <w:r w:rsidRPr="00511F93">
        <w:rPr>
          <w:rStyle w:val="CommentReference"/>
          <w:b/>
          <w:szCs w:val="24"/>
        </w:rPr>
        <w:t>(FAS)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831"/>
        <w:gridCol w:w="1206"/>
        <w:gridCol w:w="1019"/>
        <w:gridCol w:w="1019"/>
        <w:gridCol w:w="1143"/>
        <w:gridCol w:w="1143"/>
        <w:gridCol w:w="1789"/>
      </w:tblGrid>
      <w:tr w:rsidR="003438E2" w:rsidRPr="00146FF1" w14:paraId="06A2BAC1" w14:textId="77777777" w:rsidTr="001A5767">
        <w:trPr>
          <w:tblHeader/>
        </w:trPr>
        <w:tc>
          <w:tcPr>
            <w:tcW w:w="480" w:type="pct"/>
            <w:vAlign w:val="center"/>
          </w:tcPr>
          <w:p w14:paraId="480C6A2B" w14:textId="77777777" w:rsidR="003438E2" w:rsidRPr="00146FF1" w:rsidRDefault="003438E2" w:rsidP="008128EA">
            <w:pPr>
              <w:pStyle w:val="TableFigureHeading"/>
              <w:jc w:val="center"/>
            </w:pPr>
            <w:r w:rsidRPr="00146FF1">
              <w:t>Trial ID</w:t>
            </w:r>
          </w:p>
        </w:tc>
        <w:tc>
          <w:tcPr>
            <w:tcW w:w="1130" w:type="pct"/>
            <w:gridSpan w:val="2"/>
            <w:vAlign w:val="center"/>
          </w:tcPr>
          <w:p w14:paraId="1F51E032" w14:textId="77777777" w:rsidR="003438E2" w:rsidRPr="00146FF1" w:rsidRDefault="003438E2" w:rsidP="008128EA">
            <w:pPr>
              <w:pStyle w:val="TableFigureHeading"/>
              <w:jc w:val="center"/>
            </w:pPr>
            <w:r w:rsidRPr="00146FF1">
              <w:t>Apremilast</w:t>
            </w:r>
          </w:p>
          <w:p w14:paraId="23129936" w14:textId="77777777" w:rsidR="003438E2" w:rsidRPr="00146FF1" w:rsidRDefault="003438E2" w:rsidP="008128EA">
            <w:pPr>
              <w:pStyle w:val="TableFigureHeading"/>
              <w:jc w:val="center"/>
            </w:pPr>
            <w:r w:rsidRPr="00146FF1">
              <w:t>n/N (%)</w:t>
            </w:r>
          </w:p>
        </w:tc>
        <w:tc>
          <w:tcPr>
            <w:tcW w:w="1130" w:type="pct"/>
            <w:gridSpan w:val="2"/>
            <w:vAlign w:val="center"/>
          </w:tcPr>
          <w:p w14:paraId="1B8C6531" w14:textId="77777777" w:rsidR="003438E2" w:rsidRPr="00146FF1" w:rsidRDefault="003438E2" w:rsidP="008128EA">
            <w:pPr>
              <w:pStyle w:val="TableFigureHeading"/>
              <w:jc w:val="center"/>
            </w:pPr>
            <w:r w:rsidRPr="00146FF1">
              <w:t>Placebo</w:t>
            </w:r>
          </w:p>
          <w:p w14:paraId="7412C198" w14:textId="77777777" w:rsidR="003438E2" w:rsidRPr="00146FF1" w:rsidRDefault="003438E2" w:rsidP="008128EA">
            <w:pPr>
              <w:pStyle w:val="TableFigureHeading"/>
              <w:jc w:val="center"/>
            </w:pPr>
            <w:r w:rsidRPr="00146FF1">
              <w:t>n/N (%)</w:t>
            </w:r>
          </w:p>
        </w:tc>
        <w:tc>
          <w:tcPr>
            <w:tcW w:w="1268" w:type="pct"/>
            <w:gridSpan w:val="2"/>
            <w:vAlign w:val="center"/>
          </w:tcPr>
          <w:p w14:paraId="0E99D849" w14:textId="77777777" w:rsidR="003438E2" w:rsidRPr="00146FF1" w:rsidRDefault="003438E2" w:rsidP="008128EA">
            <w:pPr>
              <w:pStyle w:val="TableFigureHeading"/>
              <w:jc w:val="center"/>
            </w:pPr>
            <w:r w:rsidRPr="00146FF1">
              <w:t>Difference in proportions</w:t>
            </w:r>
          </w:p>
          <w:p w14:paraId="3F0B29EF" w14:textId="77777777" w:rsidR="003438E2" w:rsidRPr="00146FF1" w:rsidRDefault="003438E2" w:rsidP="008128EA">
            <w:pPr>
              <w:pStyle w:val="TableFigureHeading"/>
              <w:jc w:val="center"/>
            </w:pPr>
            <w:r w:rsidRPr="00146FF1">
              <w:t>(95% CI)</w:t>
            </w:r>
          </w:p>
        </w:tc>
        <w:tc>
          <w:tcPr>
            <w:tcW w:w="993" w:type="pct"/>
            <w:vAlign w:val="center"/>
          </w:tcPr>
          <w:p w14:paraId="2A547F41" w14:textId="77777777" w:rsidR="003438E2" w:rsidRPr="00146FF1" w:rsidRDefault="003438E2" w:rsidP="008128EA">
            <w:pPr>
              <w:pStyle w:val="TableFigureHeading"/>
              <w:jc w:val="center"/>
              <w:rPr>
                <w:i/>
                <w:iCs/>
              </w:rPr>
            </w:pPr>
            <w:r w:rsidRPr="00146FF1">
              <w:t>p-value</w:t>
            </w:r>
          </w:p>
        </w:tc>
      </w:tr>
      <w:tr w:rsidR="003438E2" w:rsidRPr="00146FF1" w14:paraId="48E63D84" w14:textId="77777777" w:rsidTr="001A5767">
        <w:trPr>
          <w:tblHeader/>
        </w:trPr>
        <w:tc>
          <w:tcPr>
            <w:tcW w:w="5000" w:type="pct"/>
            <w:gridSpan w:val="8"/>
          </w:tcPr>
          <w:p w14:paraId="2BE3454C" w14:textId="77777777" w:rsidR="003438E2" w:rsidRPr="00146FF1" w:rsidRDefault="003438E2" w:rsidP="008128EA">
            <w:pPr>
              <w:pStyle w:val="TableFigureHeading"/>
            </w:pPr>
            <w:r w:rsidRPr="00146FF1">
              <w:t>ACR20</w:t>
            </w:r>
            <w:r>
              <w:t xml:space="preserve"> (NRI)</w:t>
            </w:r>
          </w:p>
        </w:tc>
      </w:tr>
      <w:tr w:rsidR="003438E2" w:rsidRPr="00146FF1" w14:paraId="277B7E92" w14:textId="77777777" w:rsidTr="001A5767">
        <w:tc>
          <w:tcPr>
            <w:tcW w:w="480" w:type="pct"/>
            <w:vAlign w:val="center"/>
          </w:tcPr>
          <w:p w14:paraId="43D2C0AD" w14:textId="77777777" w:rsidR="003438E2" w:rsidRPr="00146FF1" w:rsidRDefault="003438E2" w:rsidP="008128EA">
            <w:pPr>
              <w:pStyle w:val="TableText0"/>
            </w:pPr>
            <w:r w:rsidRPr="00146FF1">
              <w:t>ACTIVE</w:t>
            </w:r>
          </w:p>
        </w:tc>
        <w:tc>
          <w:tcPr>
            <w:tcW w:w="1130" w:type="pct"/>
            <w:gridSpan w:val="2"/>
            <w:vAlign w:val="center"/>
          </w:tcPr>
          <w:p w14:paraId="073690E1" w14:textId="77777777" w:rsidR="003438E2" w:rsidRPr="008B4BDC" w:rsidRDefault="003438E2" w:rsidP="008128EA">
            <w:pPr>
              <w:pStyle w:val="TableText0"/>
              <w:jc w:val="center"/>
            </w:pPr>
            <w:r w:rsidRPr="008B4BDC">
              <w:t>48/110 (43.6)</w:t>
            </w:r>
          </w:p>
        </w:tc>
        <w:tc>
          <w:tcPr>
            <w:tcW w:w="1130" w:type="pct"/>
            <w:gridSpan w:val="2"/>
            <w:vAlign w:val="center"/>
          </w:tcPr>
          <w:p w14:paraId="5360CE05" w14:textId="4CB4949D" w:rsidR="003438E2" w:rsidRPr="008B4BDC" w:rsidRDefault="003438E2" w:rsidP="008128EA">
            <w:pPr>
              <w:pStyle w:val="TableText0"/>
              <w:jc w:val="center"/>
            </w:pPr>
            <w:r w:rsidRPr="008B4BDC">
              <w:t>2</w:t>
            </w:r>
            <w:r w:rsidR="00492AB2" w:rsidRPr="008B4BDC">
              <w:t>7</w:t>
            </w:r>
            <w:r w:rsidRPr="008B4BDC">
              <w:t>/109 (24.8)</w:t>
            </w:r>
          </w:p>
        </w:tc>
        <w:tc>
          <w:tcPr>
            <w:tcW w:w="1268" w:type="pct"/>
            <w:gridSpan w:val="2"/>
            <w:vAlign w:val="center"/>
          </w:tcPr>
          <w:p w14:paraId="43CC7E31" w14:textId="77777777" w:rsidR="003438E2" w:rsidRPr="008B4BDC" w:rsidRDefault="003438E2" w:rsidP="008128EA">
            <w:pPr>
              <w:pStyle w:val="TableText0"/>
              <w:jc w:val="center"/>
            </w:pPr>
            <w:r w:rsidRPr="008B4BDC">
              <w:t>18.5 (6.3, 30.6)</w:t>
            </w:r>
          </w:p>
        </w:tc>
        <w:tc>
          <w:tcPr>
            <w:tcW w:w="993" w:type="pct"/>
            <w:vAlign w:val="center"/>
          </w:tcPr>
          <w:p w14:paraId="1711F89E" w14:textId="77777777" w:rsidR="003438E2" w:rsidRPr="008B4BDC" w:rsidRDefault="003438E2" w:rsidP="008128EA">
            <w:pPr>
              <w:pStyle w:val="TableText0"/>
              <w:jc w:val="center"/>
              <w:rPr>
                <w:bCs w:val="0"/>
              </w:rPr>
            </w:pPr>
            <w:r w:rsidRPr="008B4BDC">
              <w:rPr>
                <w:bCs w:val="0"/>
              </w:rPr>
              <w:t>0.0040</w:t>
            </w:r>
            <w:r w:rsidRPr="008B4BDC">
              <w:rPr>
                <w:bCs w:val="0"/>
                <w:vertAlign w:val="superscript"/>
              </w:rPr>
              <w:t>a</w:t>
            </w:r>
          </w:p>
        </w:tc>
      </w:tr>
      <w:tr w:rsidR="003438E2" w:rsidRPr="00146FF1" w14:paraId="4A0B4470" w14:textId="77777777" w:rsidTr="001A5767">
        <w:tc>
          <w:tcPr>
            <w:tcW w:w="5000" w:type="pct"/>
            <w:gridSpan w:val="8"/>
          </w:tcPr>
          <w:p w14:paraId="47B37138" w14:textId="77777777" w:rsidR="003438E2" w:rsidRPr="00987CEF" w:rsidRDefault="003438E2" w:rsidP="008128EA">
            <w:pPr>
              <w:pStyle w:val="TableFigureHeading"/>
            </w:pPr>
            <w:r w:rsidRPr="00987CEF">
              <w:t>ACR50 (NRI)</w:t>
            </w:r>
          </w:p>
        </w:tc>
      </w:tr>
      <w:tr w:rsidR="003438E2" w:rsidRPr="00146FF1" w14:paraId="522301EF" w14:textId="77777777" w:rsidTr="001A5767">
        <w:tc>
          <w:tcPr>
            <w:tcW w:w="480" w:type="pct"/>
            <w:vAlign w:val="center"/>
          </w:tcPr>
          <w:p w14:paraId="2D4D6763" w14:textId="77777777" w:rsidR="003438E2" w:rsidRPr="00146FF1" w:rsidRDefault="003438E2" w:rsidP="008128EA">
            <w:pPr>
              <w:pStyle w:val="TableText0"/>
            </w:pPr>
            <w:r w:rsidRPr="00146FF1">
              <w:t>ACTIVE</w:t>
            </w:r>
          </w:p>
        </w:tc>
        <w:tc>
          <w:tcPr>
            <w:tcW w:w="1130" w:type="pct"/>
            <w:gridSpan w:val="2"/>
            <w:vAlign w:val="center"/>
          </w:tcPr>
          <w:p w14:paraId="0D840D9F" w14:textId="77777777" w:rsidR="003438E2" w:rsidRPr="008B4BDC" w:rsidRDefault="003438E2" w:rsidP="008128EA">
            <w:pPr>
              <w:pStyle w:val="TableText0"/>
              <w:jc w:val="center"/>
            </w:pPr>
            <w:r w:rsidRPr="008B4BDC">
              <w:t>22/110 (20.0)</w:t>
            </w:r>
          </w:p>
        </w:tc>
        <w:tc>
          <w:tcPr>
            <w:tcW w:w="1130" w:type="pct"/>
            <w:gridSpan w:val="2"/>
            <w:vAlign w:val="center"/>
          </w:tcPr>
          <w:p w14:paraId="1E0B3946" w14:textId="77777777" w:rsidR="003438E2" w:rsidRPr="008B4BDC" w:rsidRDefault="003438E2" w:rsidP="008128EA">
            <w:pPr>
              <w:pStyle w:val="TableText0"/>
              <w:jc w:val="center"/>
            </w:pPr>
            <w:r w:rsidRPr="008B4BDC">
              <w:t>12/109 (11.0)</w:t>
            </w:r>
          </w:p>
        </w:tc>
        <w:tc>
          <w:tcPr>
            <w:tcW w:w="1268" w:type="pct"/>
            <w:gridSpan w:val="2"/>
            <w:vAlign w:val="center"/>
          </w:tcPr>
          <w:p w14:paraId="2FA0E1DC" w14:textId="5788B654" w:rsidR="003438E2" w:rsidRPr="008B4BDC" w:rsidRDefault="003438E2" w:rsidP="008128EA">
            <w:pPr>
              <w:pStyle w:val="TableText0"/>
              <w:jc w:val="center"/>
            </w:pPr>
            <w:r w:rsidRPr="008B4BDC">
              <w:t>8.5 (-0.</w:t>
            </w:r>
            <w:r w:rsidR="00492AB2" w:rsidRPr="008B4BDC">
              <w:t>8</w:t>
            </w:r>
            <w:r w:rsidRPr="008B4BDC">
              <w:t>, 17.7)</w:t>
            </w:r>
          </w:p>
        </w:tc>
        <w:tc>
          <w:tcPr>
            <w:tcW w:w="993" w:type="pct"/>
            <w:vAlign w:val="center"/>
          </w:tcPr>
          <w:p w14:paraId="4A058DF0" w14:textId="32C78716" w:rsidR="003438E2" w:rsidRPr="008B4BDC" w:rsidRDefault="003438E2" w:rsidP="008128EA">
            <w:pPr>
              <w:pStyle w:val="TableText0"/>
              <w:jc w:val="center"/>
            </w:pPr>
            <w:r w:rsidRPr="008B4BDC">
              <w:t>0.</w:t>
            </w:r>
            <w:r w:rsidR="00492AB2" w:rsidRPr="008B4BDC">
              <w:t>0</w:t>
            </w:r>
            <w:r w:rsidRPr="008B4BDC">
              <w:t>820</w:t>
            </w:r>
          </w:p>
        </w:tc>
      </w:tr>
      <w:tr w:rsidR="003438E2" w:rsidRPr="00146FF1" w14:paraId="4A42EB2E" w14:textId="77777777" w:rsidTr="001A5767">
        <w:tc>
          <w:tcPr>
            <w:tcW w:w="5000" w:type="pct"/>
            <w:gridSpan w:val="8"/>
            <w:vAlign w:val="center"/>
          </w:tcPr>
          <w:p w14:paraId="240E0E2F" w14:textId="77777777" w:rsidR="003438E2" w:rsidRPr="003C68A2" w:rsidRDefault="003438E2" w:rsidP="008128EA">
            <w:pPr>
              <w:pStyle w:val="TableText0"/>
              <w:rPr>
                <w:b/>
                <w:bCs w:val="0"/>
              </w:rPr>
            </w:pPr>
            <w:r w:rsidRPr="003C68A2">
              <w:rPr>
                <w:b/>
                <w:bCs w:val="0"/>
              </w:rPr>
              <w:t>HAQ-DI: change from baseline to week 24</w:t>
            </w:r>
            <w:r>
              <w:rPr>
                <w:b/>
                <w:bCs w:val="0"/>
              </w:rPr>
              <w:t xml:space="preserve"> </w:t>
            </w:r>
            <w:r>
              <w:rPr>
                <w:b/>
              </w:rPr>
              <w:t>(MMRM)</w:t>
            </w:r>
          </w:p>
        </w:tc>
      </w:tr>
      <w:tr w:rsidR="003438E2" w:rsidRPr="00146FF1" w14:paraId="34C808AA" w14:textId="77777777" w:rsidTr="001A5767">
        <w:tc>
          <w:tcPr>
            <w:tcW w:w="480" w:type="pct"/>
            <w:vMerge w:val="restart"/>
            <w:vAlign w:val="center"/>
          </w:tcPr>
          <w:p w14:paraId="04450FD8" w14:textId="77777777" w:rsidR="003438E2" w:rsidRPr="00146FF1" w:rsidRDefault="003438E2" w:rsidP="008128EA">
            <w:pPr>
              <w:pStyle w:val="TableText0"/>
            </w:pPr>
          </w:p>
        </w:tc>
        <w:tc>
          <w:tcPr>
            <w:tcW w:w="1695" w:type="pct"/>
            <w:gridSpan w:val="3"/>
            <w:vAlign w:val="center"/>
          </w:tcPr>
          <w:p w14:paraId="687D738F" w14:textId="77777777" w:rsidR="003438E2" w:rsidRPr="003C68A2" w:rsidRDefault="003438E2" w:rsidP="008128EA">
            <w:pPr>
              <w:pStyle w:val="TableText0"/>
              <w:jc w:val="center"/>
              <w:rPr>
                <w:b/>
                <w:bCs w:val="0"/>
                <w:i/>
                <w:iCs/>
              </w:rPr>
            </w:pPr>
            <w:r w:rsidRPr="003C68A2">
              <w:rPr>
                <w:rFonts w:cstheme="minorHAnsi"/>
                <w:b/>
                <w:bCs w:val="0"/>
              </w:rPr>
              <w:t>Apremilast</w:t>
            </w:r>
          </w:p>
        </w:tc>
        <w:tc>
          <w:tcPr>
            <w:tcW w:w="1833" w:type="pct"/>
            <w:gridSpan w:val="3"/>
            <w:vAlign w:val="center"/>
          </w:tcPr>
          <w:p w14:paraId="2FC72797" w14:textId="77777777" w:rsidR="003438E2" w:rsidRPr="003C68A2" w:rsidRDefault="003438E2" w:rsidP="008128EA">
            <w:pPr>
              <w:pStyle w:val="TableText0"/>
              <w:jc w:val="center"/>
              <w:rPr>
                <w:b/>
                <w:bCs w:val="0"/>
                <w:i/>
                <w:iCs/>
              </w:rPr>
            </w:pPr>
            <w:r w:rsidRPr="003C68A2">
              <w:rPr>
                <w:b/>
                <w:bCs w:val="0"/>
              </w:rPr>
              <w:t>Placebo</w:t>
            </w:r>
          </w:p>
        </w:tc>
        <w:tc>
          <w:tcPr>
            <w:tcW w:w="993" w:type="pct"/>
            <w:vMerge w:val="restart"/>
            <w:vAlign w:val="center"/>
          </w:tcPr>
          <w:p w14:paraId="0646A240" w14:textId="77777777" w:rsidR="003438E2" w:rsidRPr="003C68A2" w:rsidRDefault="003438E2" w:rsidP="008128EA">
            <w:pPr>
              <w:pStyle w:val="TableText0"/>
              <w:jc w:val="center"/>
              <w:rPr>
                <w:b/>
                <w:bCs w:val="0"/>
              </w:rPr>
            </w:pPr>
            <w:r w:rsidRPr="003C68A2">
              <w:rPr>
                <w:b/>
                <w:bCs w:val="0"/>
              </w:rPr>
              <w:t xml:space="preserve">LS mean difference: </w:t>
            </w:r>
          </w:p>
          <w:p w14:paraId="5ECB3549" w14:textId="0A785133" w:rsidR="003438E2" w:rsidRPr="000A4FD8" w:rsidRDefault="003438E2" w:rsidP="008128EA">
            <w:pPr>
              <w:pStyle w:val="TableText0"/>
              <w:jc w:val="center"/>
              <w:rPr>
                <w:i/>
                <w:iCs/>
              </w:rPr>
            </w:pPr>
            <w:r w:rsidRPr="003C68A2">
              <w:rPr>
                <w:b/>
                <w:bCs w:val="0"/>
              </w:rPr>
              <w:t>AP</w:t>
            </w:r>
            <w:r w:rsidR="007C1B54">
              <w:rPr>
                <w:b/>
                <w:bCs w:val="0"/>
              </w:rPr>
              <w:t>R</w:t>
            </w:r>
            <w:r w:rsidRPr="003C68A2">
              <w:rPr>
                <w:b/>
                <w:bCs w:val="0"/>
              </w:rPr>
              <w:t xml:space="preserve"> vs PBO</w:t>
            </w:r>
          </w:p>
        </w:tc>
      </w:tr>
      <w:tr w:rsidR="003438E2" w:rsidRPr="00146FF1" w14:paraId="1A3D39BC" w14:textId="77777777" w:rsidTr="001A5767">
        <w:tc>
          <w:tcPr>
            <w:tcW w:w="480" w:type="pct"/>
            <w:vMerge/>
            <w:vAlign w:val="center"/>
          </w:tcPr>
          <w:p w14:paraId="79011EBF" w14:textId="77777777" w:rsidR="003438E2" w:rsidRPr="00146FF1" w:rsidRDefault="003438E2" w:rsidP="008128EA">
            <w:pPr>
              <w:pStyle w:val="TableText0"/>
            </w:pPr>
          </w:p>
        </w:tc>
        <w:tc>
          <w:tcPr>
            <w:tcW w:w="461" w:type="pct"/>
            <w:vAlign w:val="center"/>
          </w:tcPr>
          <w:p w14:paraId="3B05800C" w14:textId="77777777" w:rsidR="003438E2" w:rsidRPr="003C68A2" w:rsidRDefault="003438E2" w:rsidP="008128EA">
            <w:pPr>
              <w:pStyle w:val="TableText0"/>
              <w:jc w:val="center"/>
              <w:rPr>
                <w:b/>
                <w:bCs w:val="0"/>
                <w:i/>
                <w:iCs/>
              </w:rPr>
            </w:pPr>
            <w:r w:rsidRPr="003C68A2">
              <w:rPr>
                <w:rFonts w:cstheme="minorHAnsi"/>
                <w:b/>
                <w:bCs w:val="0"/>
              </w:rPr>
              <w:t>N</w:t>
            </w:r>
          </w:p>
        </w:tc>
        <w:tc>
          <w:tcPr>
            <w:tcW w:w="669" w:type="pct"/>
            <w:vAlign w:val="center"/>
          </w:tcPr>
          <w:p w14:paraId="5D0E0D2C" w14:textId="77777777" w:rsidR="003438E2" w:rsidRPr="003C68A2" w:rsidRDefault="003438E2" w:rsidP="008128EA">
            <w:pPr>
              <w:pStyle w:val="TableText0"/>
              <w:jc w:val="center"/>
              <w:rPr>
                <w:b/>
                <w:bCs w:val="0"/>
                <w:i/>
                <w:iCs/>
              </w:rPr>
            </w:pPr>
            <w:r w:rsidRPr="003C68A2">
              <w:rPr>
                <w:rFonts w:cstheme="minorHAnsi"/>
                <w:b/>
                <w:bCs w:val="0"/>
              </w:rPr>
              <w:t xml:space="preserve">LS mean </w:t>
            </w:r>
            <w:r w:rsidRPr="003C68A2">
              <w:rPr>
                <w:b/>
                <w:bCs w:val="0"/>
              </w:rPr>
              <w:t>∆</w:t>
            </w:r>
          </w:p>
        </w:tc>
        <w:tc>
          <w:tcPr>
            <w:tcW w:w="565" w:type="pct"/>
            <w:vAlign w:val="center"/>
          </w:tcPr>
          <w:p w14:paraId="7F1C2F64" w14:textId="77777777" w:rsidR="003438E2" w:rsidRPr="003C68A2" w:rsidRDefault="003438E2" w:rsidP="008128EA">
            <w:pPr>
              <w:pStyle w:val="TableText0"/>
              <w:jc w:val="center"/>
              <w:rPr>
                <w:b/>
                <w:bCs w:val="0"/>
                <w:i/>
                <w:iCs/>
              </w:rPr>
            </w:pPr>
            <w:r w:rsidRPr="003C68A2">
              <w:rPr>
                <w:rFonts w:cstheme="minorHAnsi"/>
                <w:b/>
                <w:bCs w:val="0"/>
              </w:rPr>
              <w:t>SE</w:t>
            </w:r>
          </w:p>
        </w:tc>
        <w:tc>
          <w:tcPr>
            <w:tcW w:w="565" w:type="pct"/>
            <w:vAlign w:val="center"/>
          </w:tcPr>
          <w:p w14:paraId="77530A6F" w14:textId="77777777" w:rsidR="003438E2" w:rsidRPr="003C68A2" w:rsidRDefault="003438E2" w:rsidP="008128EA">
            <w:pPr>
              <w:pStyle w:val="TableText0"/>
              <w:jc w:val="center"/>
              <w:rPr>
                <w:b/>
                <w:bCs w:val="0"/>
                <w:i/>
                <w:iCs/>
              </w:rPr>
            </w:pPr>
            <w:r w:rsidRPr="003C68A2">
              <w:rPr>
                <w:rFonts w:cstheme="minorHAnsi"/>
                <w:b/>
                <w:bCs w:val="0"/>
              </w:rPr>
              <w:t>N</w:t>
            </w:r>
          </w:p>
        </w:tc>
        <w:tc>
          <w:tcPr>
            <w:tcW w:w="634" w:type="pct"/>
            <w:vAlign w:val="center"/>
          </w:tcPr>
          <w:p w14:paraId="47C42EF2" w14:textId="77777777" w:rsidR="003438E2" w:rsidRPr="003C68A2" w:rsidRDefault="003438E2" w:rsidP="008128EA">
            <w:pPr>
              <w:pStyle w:val="TableText0"/>
              <w:jc w:val="center"/>
              <w:rPr>
                <w:b/>
                <w:bCs w:val="0"/>
                <w:i/>
                <w:iCs/>
              </w:rPr>
            </w:pPr>
            <w:r w:rsidRPr="003C68A2">
              <w:rPr>
                <w:rFonts w:cstheme="minorHAnsi"/>
                <w:b/>
                <w:bCs w:val="0"/>
              </w:rPr>
              <w:t xml:space="preserve">LS mean </w:t>
            </w:r>
            <w:r w:rsidRPr="003C68A2">
              <w:rPr>
                <w:b/>
                <w:bCs w:val="0"/>
              </w:rPr>
              <w:t>∆</w:t>
            </w:r>
          </w:p>
        </w:tc>
        <w:tc>
          <w:tcPr>
            <w:tcW w:w="634" w:type="pct"/>
            <w:vAlign w:val="center"/>
          </w:tcPr>
          <w:p w14:paraId="4C49E609" w14:textId="77777777" w:rsidR="003438E2" w:rsidRPr="003C68A2" w:rsidRDefault="003438E2" w:rsidP="008128EA">
            <w:pPr>
              <w:pStyle w:val="TableText0"/>
              <w:jc w:val="center"/>
              <w:rPr>
                <w:b/>
                <w:bCs w:val="0"/>
                <w:i/>
                <w:iCs/>
              </w:rPr>
            </w:pPr>
            <w:r w:rsidRPr="003C68A2">
              <w:rPr>
                <w:rFonts w:cstheme="minorHAnsi"/>
                <w:b/>
                <w:bCs w:val="0"/>
              </w:rPr>
              <w:t>SE</w:t>
            </w:r>
          </w:p>
        </w:tc>
        <w:tc>
          <w:tcPr>
            <w:tcW w:w="993" w:type="pct"/>
            <w:vMerge/>
            <w:vAlign w:val="center"/>
          </w:tcPr>
          <w:p w14:paraId="4A0AC53B" w14:textId="77777777" w:rsidR="003438E2" w:rsidRPr="000A4FD8" w:rsidRDefault="003438E2" w:rsidP="008128EA">
            <w:pPr>
              <w:pStyle w:val="TableText0"/>
              <w:jc w:val="center"/>
              <w:rPr>
                <w:i/>
                <w:iCs/>
              </w:rPr>
            </w:pPr>
          </w:p>
        </w:tc>
      </w:tr>
      <w:tr w:rsidR="003438E2" w:rsidRPr="00146FF1" w14:paraId="090232AA" w14:textId="77777777" w:rsidTr="001A5767">
        <w:tc>
          <w:tcPr>
            <w:tcW w:w="480" w:type="pct"/>
            <w:vAlign w:val="center"/>
          </w:tcPr>
          <w:p w14:paraId="39DC97D8" w14:textId="77777777" w:rsidR="003438E2" w:rsidRPr="00146FF1" w:rsidRDefault="003438E2" w:rsidP="008128EA">
            <w:pPr>
              <w:pStyle w:val="TableText0"/>
            </w:pPr>
            <w:r>
              <w:t>ACTIVE</w:t>
            </w:r>
          </w:p>
        </w:tc>
        <w:tc>
          <w:tcPr>
            <w:tcW w:w="461" w:type="pct"/>
            <w:vAlign w:val="center"/>
          </w:tcPr>
          <w:p w14:paraId="5EBA1C4C" w14:textId="77777777" w:rsidR="003438E2" w:rsidRPr="008B4BDC" w:rsidRDefault="003438E2" w:rsidP="008128EA">
            <w:pPr>
              <w:pStyle w:val="TableText0"/>
              <w:jc w:val="center"/>
            </w:pPr>
            <w:r w:rsidRPr="008B4BDC">
              <w:t>109</w:t>
            </w:r>
          </w:p>
        </w:tc>
        <w:tc>
          <w:tcPr>
            <w:tcW w:w="669" w:type="pct"/>
            <w:vAlign w:val="center"/>
          </w:tcPr>
          <w:p w14:paraId="24DC7FDB" w14:textId="77777777" w:rsidR="003438E2" w:rsidRPr="008B4BDC" w:rsidRDefault="003438E2" w:rsidP="008128EA">
            <w:pPr>
              <w:pStyle w:val="TableText0"/>
              <w:jc w:val="center"/>
            </w:pPr>
            <w:r w:rsidRPr="008B4BDC">
              <w:t>-0.273</w:t>
            </w:r>
          </w:p>
        </w:tc>
        <w:tc>
          <w:tcPr>
            <w:tcW w:w="565" w:type="pct"/>
            <w:vAlign w:val="center"/>
          </w:tcPr>
          <w:p w14:paraId="3A21ABC8" w14:textId="77777777" w:rsidR="003438E2" w:rsidRPr="008B4BDC" w:rsidRDefault="003438E2" w:rsidP="008128EA">
            <w:pPr>
              <w:pStyle w:val="TableText0"/>
              <w:jc w:val="center"/>
            </w:pPr>
            <w:r w:rsidRPr="008B4BDC">
              <w:t>0.0572</w:t>
            </w:r>
          </w:p>
        </w:tc>
        <w:tc>
          <w:tcPr>
            <w:tcW w:w="565" w:type="pct"/>
            <w:vAlign w:val="center"/>
          </w:tcPr>
          <w:p w14:paraId="38C7EC7A" w14:textId="77777777" w:rsidR="003438E2" w:rsidRPr="008B4BDC" w:rsidRDefault="003438E2" w:rsidP="008128EA">
            <w:pPr>
              <w:pStyle w:val="TableText0"/>
              <w:jc w:val="center"/>
            </w:pPr>
            <w:r w:rsidRPr="008B4BDC">
              <w:t>109</w:t>
            </w:r>
          </w:p>
        </w:tc>
        <w:tc>
          <w:tcPr>
            <w:tcW w:w="634" w:type="pct"/>
            <w:vAlign w:val="center"/>
          </w:tcPr>
          <w:p w14:paraId="68C7CF79" w14:textId="77777777" w:rsidR="003438E2" w:rsidRPr="008B4BDC" w:rsidRDefault="003438E2" w:rsidP="008128EA">
            <w:pPr>
              <w:pStyle w:val="TableText0"/>
              <w:jc w:val="center"/>
            </w:pPr>
            <w:r w:rsidRPr="008B4BDC">
              <w:t>-0.169</w:t>
            </w:r>
          </w:p>
        </w:tc>
        <w:tc>
          <w:tcPr>
            <w:tcW w:w="634" w:type="pct"/>
            <w:vAlign w:val="center"/>
          </w:tcPr>
          <w:p w14:paraId="546F35EA" w14:textId="77777777" w:rsidR="003438E2" w:rsidRPr="008B4BDC" w:rsidRDefault="003438E2" w:rsidP="008128EA">
            <w:pPr>
              <w:pStyle w:val="TableText0"/>
              <w:jc w:val="center"/>
            </w:pPr>
            <w:r w:rsidRPr="008B4BDC">
              <w:t>0.0581</w:t>
            </w:r>
          </w:p>
        </w:tc>
        <w:tc>
          <w:tcPr>
            <w:tcW w:w="993" w:type="pct"/>
            <w:vAlign w:val="center"/>
          </w:tcPr>
          <w:p w14:paraId="49742D7F" w14:textId="77777777" w:rsidR="003438E2" w:rsidRPr="008B4BDC" w:rsidRDefault="003438E2" w:rsidP="008128EA">
            <w:pPr>
              <w:pStyle w:val="TableText0"/>
              <w:jc w:val="center"/>
            </w:pPr>
            <w:r w:rsidRPr="008B4BDC">
              <w:t>-0.103</w:t>
            </w:r>
          </w:p>
        </w:tc>
      </w:tr>
    </w:tbl>
    <w:p w14:paraId="345E48D9" w14:textId="4B605815" w:rsidR="003438E2" w:rsidRPr="0088754E" w:rsidRDefault="003438E2" w:rsidP="008128EA">
      <w:pPr>
        <w:pStyle w:val="TableFooter"/>
        <w:keepNext/>
        <w:rPr>
          <w:i/>
          <w:iCs/>
          <w:sz w:val="20"/>
        </w:rPr>
      </w:pPr>
      <w:r>
        <w:t xml:space="preserve">Source: Tables 24 &amp; 41 </w:t>
      </w:r>
      <w:r w:rsidRPr="00D13A3E">
        <w:t xml:space="preserve">of the </w:t>
      </w:r>
      <w:r>
        <w:t xml:space="preserve">ACTIVE CSR. </w:t>
      </w:r>
    </w:p>
    <w:p w14:paraId="201D834D" w14:textId="53831E0C" w:rsidR="003438E2" w:rsidRDefault="003438E2" w:rsidP="008E150E">
      <w:pPr>
        <w:pStyle w:val="TableFooter"/>
        <w:keepNext/>
        <w:keepLines/>
        <w:rPr>
          <w:rFonts w:eastAsia="Calibri"/>
        </w:rPr>
      </w:pPr>
      <w:r>
        <w:t xml:space="preserve">ACR20 = Modified American College of Rheumatology 20% response; ACR50 = Modified American College of Rheumatology 50% response; </w:t>
      </w:r>
      <w:r w:rsidR="007C1B54">
        <w:t xml:space="preserve">APR = apremilast; </w:t>
      </w:r>
      <w:r w:rsidRPr="00B40358">
        <w:rPr>
          <w:rFonts w:eastAsia="Calibri"/>
        </w:rPr>
        <w:t xml:space="preserve">CI = confidence interval; </w:t>
      </w:r>
      <w:r>
        <w:rPr>
          <w:rFonts w:eastAsia="Calibri"/>
        </w:rPr>
        <w:t xml:space="preserve">FAS = full analysis set; </w:t>
      </w:r>
      <w:r w:rsidR="007C1B54" w:rsidRPr="00101EC8">
        <w:t>HAQ-DI = Health Assessment Questionnaire-Disability Index;</w:t>
      </w:r>
      <w:r w:rsidR="007C1B54">
        <w:t xml:space="preserve"> LS = least squares;</w:t>
      </w:r>
      <w:r w:rsidR="007C1B54" w:rsidRPr="00101EC8">
        <w:t xml:space="preserve"> </w:t>
      </w:r>
      <w:r>
        <w:rPr>
          <w:rFonts w:eastAsia="Calibri"/>
        </w:rPr>
        <w:t>MMRM = mixed-</w:t>
      </w:r>
      <w:r w:rsidR="00FE1CFB">
        <w:rPr>
          <w:rFonts w:eastAsia="Calibri"/>
        </w:rPr>
        <w:t>effects</w:t>
      </w:r>
      <w:r>
        <w:rPr>
          <w:rFonts w:eastAsia="Calibri"/>
        </w:rPr>
        <w:t xml:space="preserve"> model of repeated measures; </w:t>
      </w:r>
      <w:r w:rsidRPr="00B40358">
        <w:rPr>
          <w:rFonts w:eastAsia="Calibri"/>
        </w:rPr>
        <w:t>n = number of participants with event; N = total participants in group</w:t>
      </w:r>
      <w:r>
        <w:rPr>
          <w:rFonts w:eastAsia="Calibri"/>
        </w:rPr>
        <w:t>; NRI = non-responder imputation</w:t>
      </w:r>
      <w:r w:rsidR="007C1B54">
        <w:rPr>
          <w:rFonts w:eastAsia="Calibri"/>
        </w:rPr>
        <w:t>; PBO = placebo; SE = standard error</w:t>
      </w:r>
      <w:r>
        <w:rPr>
          <w:rFonts w:eastAsia="Calibri"/>
        </w:rPr>
        <w:t xml:space="preserve">. </w:t>
      </w:r>
    </w:p>
    <w:p w14:paraId="16951446" w14:textId="72A72EEB" w:rsidR="00FE498C" w:rsidRDefault="003438E2" w:rsidP="008E150E">
      <w:pPr>
        <w:pStyle w:val="TableFooter"/>
        <w:keepNext/>
        <w:keepLines/>
        <w:spacing w:after="120"/>
        <w:rPr>
          <w:rFonts w:eastAsia="Calibri"/>
        </w:rPr>
      </w:pPr>
      <w:r w:rsidRPr="00623C16">
        <w:rPr>
          <w:rFonts w:eastAsia="Calibri"/>
          <w:vertAlign w:val="superscript"/>
        </w:rPr>
        <w:t>a</w:t>
      </w:r>
      <w:r>
        <w:rPr>
          <w:rFonts w:eastAsia="Calibri"/>
        </w:rPr>
        <w:t xml:space="preserve"> </w:t>
      </w:r>
      <w:r w:rsidRPr="00F26017">
        <w:rPr>
          <w:rFonts w:eastAsia="Calibri"/>
        </w:rPr>
        <w:t xml:space="preserve">The p-value </w:t>
      </w:r>
      <w:r>
        <w:rPr>
          <w:rFonts w:eastAsia="Calibri"/>
        </w:rPr>
        <w:t>was</w:t>
      </w:r>
      <w:r w:rsidRPr="00F26017">
        <w:rPr>
          <w:rFonts w:eastAsia="Calibri"/>
        </w:rPr>
        <w:t xml:space="preserve"> considered nominally significant, as hierarchical testing was</w:t>
      </w:r>
      <w:r>
        <w:rPr>
          <w:rFonts w:eastAsia="Calibri"/>
        </w:rPr>
        <w:t xml:space="preserve"> </w:t>
      </w:r>
      <w:r w:rsidRPr="00F26017">
        <w:rPr>
          <w:rFonts w:eastAsia="Calibri"/>
        </w:rPr>
        <w:t xml:space="preserve">stopped </w:t>
      </w:r>
      <w:r>
        <w:rPr>
          <w:rFonts w:eastAsia="Calibri"/>
        </w:rPr>
        <w:t>before this outcome was assessed for statistical significance.</w:t>
      </w:r>
    </w:p>
    <w:p w14:paraId="7A7193EC" w14:textId="518959D3" w:rsidR="00A90E0B" w:rsidRPr="0033470C" w:rsidRDefault="003A4883" w:rsidP="00EF48B5">
      <w:pPr>
        <w:pStyle w:val="3-BodyText"/>
        <w:ind w:left="720" w:hanging="720"/>
        <w:rPr>
          <w:rFonts w:eastAsia="Calibri"/>
        </w:rPr>
      </w:pPr>
      <w:r w:rsidRPr="0033470C">
        <w:rPr>
          <w:rFonts w:eastAsia="Calibri"/>
        </w:rPr>
        <w:fldChar w:fldCharType="begin"/>
      </w:r>
      <w:r w:rsidRPr="0033470C">
        <w:rPr>
          <w:rFonts w:eastAsia="Calibri"/>
        </w:rPr>
        <w:instrText xml:space="preserve"> REF _Ref121434709 \h </w:instrText>
      </w:r>
      <w:r w:rsidR="00A90E0B" w:rsidRPr="0033470C">
        <w:rPr>
          <w:rFonts w:eastAsia="Calibri"/>
        </w:rPr>
        <w:instrText xml:space="preserve"> \* MERGEFORMAT </w:instrText>
      </w:r>
      <w:r w:rsidRPr="0033470C">
        <w:rPr>
          <w:rFonts w:eastAsia="Calibri"/>
        </w:rPr>
      </w:r>
      <w:r w:rsidRPr="0033470C">
        <w:rPr>
          <w:rFonts w:eastAsia="Calibri"/>
        </w:rPr>
        <w:fldChar w:fldCharType="separate"/>
      </w:r>
      <w:r w:rsidR="00A05E81" w:rsidRPr="00A05E81">
        <w:rPr>
          <w:rFonts w:eastAsia="Calibri"/>
        </w:rPr>
        <w:t>Table 8</w:t>
      </w:r>
      <w:r w:rsidRPr="0033470C">
        <w:rPr>
          <w:rFonts w:eastAsia="Calibri"/>
        </w:rPr>
        <w:fldChar w:fldCharType="end"/>
      </w:r>
      <w:r w:rsidRPr="0033470C">
        <w:rPr>
          <w:rFonts w:eastAsia="Calibri"/>
        </w:rPr>
        <w:t xml:space="preserve"> compares PASI50 and PASI75 response at week 16 in the PALACE trials. PASI was not assessed in the ACTIVE trial. Pooled baseline PASI score from the PALACE 1-3 trials was used to estimate utilities in the economic model.</w:t>
      </w:r>
      <w:r w:rsidR="00A90E0B" w:rsidRPr="0033470C">
        <w:rPr>
          <w:rFonts w:eastAsia="Calibri"/>
        </w:rPr>
        <w:t xml:space="preserve"> </w:t>
      </w:r>
    </w:p>
    <w:p w14:paraId="3C524C64" w14:textId="788F117E" w:rsidR="003A4883" w:rsidRDefault="003A4883" w:rsidP="003A4883">
      <w:pPr>
        <w:pStyle w:val="Caption"/>
      </w:pPr>
      <w:bookmarkStart w:id="45" w:name="_Ref121434709"/>
      <w:r>
        <w:t xml:space="preserve">Table </w:t>
      </w:r>
      <w:r w:rsidR="00A05E81">
        <w:fldChar w:fldCharType="begin"/>
      </w:r>
      <w:r w:rsidR="00A05E81">
        <w:instrText xml:space="preserve"> SEQ Table \* ARABIC</w:instrText>
      </w:r>
      <w:r w:rsidR="00A05E81">
        <w:instrText xml:space="preserve"> </w:instrText>
      </w:r>
      <w:r w:rsidR="00A05E81">
        <w:fldChar w:fldCharType="separate"/>
      </w:r>
      <w:r w:rsidR="00A05E81">
        <w:rPr>
          <w:noProof/>
        </w:rPr>
        <w:t>8</w:t>
      </w:r>
      <w:r w:rsidR="00A05E81">
        <w:rPr>
          <w:noProof/>
        </w:rPr>
        <w:fldChar w:fldCharType="end"/>
      </w:r>
      <w:bookmarkEnd w:id="45"/>
      <w:r>
        <w:t xml:space="preserve">: </w:t>
      </w:r>
      <w:r>
        <w:rPr>
          <w:rStyle w:val="CommentReference"/>
          <w:b/>
          <w:szCs w:val="24"/>
        </w:rPr>
        <w:t>PASI50</w:t>
      </w:r>
      <w:r w:rsidRPr="00511F93">
        <w:rPr>
          <w:rStyle w:val="CommentReference"/>
          <w:b/>
          <w:szCs w:val="24"/>
        </w:rPr>
        <w:t xml:space="preserve"> and </w:t>
      </w:r>
      <w:r>
        <w:rPr>
          <w:rStyle w:val="CommentReference"/>
          <w:b/>
          <w:szCs w:val="24"/>
        </w:rPr>
        <w:t>PASI75</w:t>
      </w:r>
      <w:r w:rsidRPr="00511F93">
        <w:rPr>
          <w:rStyle w:val="CommentReference"/>
          <w:b/>
          <w:szCs w:val="24"/>
        </w:rPr>
        <w:t xml:space="preserve"> response at Week 16</w:t>
      </w:r>
      <w:r>
        <w:rPr>
          <w:rStyle w:val="CommentReference"/>
          <w:b/>
          <w:szCs w:val="24"/>
        </w:rPr>
        <w:t xml:space="preserve"> (FAS; LOCF)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300"/>
        <w:gridCol w:w="1300"/>
        <w:gridCol w:w="50"/>
        <w:gridCol w:w="2215"/>
        <w:gridCol w:w="1544"/>
        <w:gridCol w:w="1491"/>
      </w:tblGrid>
      <w:tr w:rsidR="00146FF1" w:rsidRPr="0048379A" w14:paraId="6AAEF46C" w14:textId="77777777" w:rsidTr="00146FF1">
        <w:trPr>
          <w:tblHeader/>
        </w:trPr>
        <w:tc>
          <w:tcPr>
            <w:tcW w:w="619" w:type="pct"/>
            <w:vAlign w:val="center"/>
          </w:tcPr>
          <w:p w14:paraId="3C49661B" w14:textId="77777777" w:rsidR="003A4883" w:rsidRPr="0048379A" w:rsidRDefault="003A4883" w:rsidP="001A5767">
            <w:pPr>
              <w:pStyle w:val="TableFigureHeading"/>
              <w:jc w:val="center"/>
            </w:pPr>
            <w:r w:rsidRPr="0048379A">
              <w:t>Trial ID</w:t>
            </w:r>
          </w:p>
        </w:tc>
        <w:tc>
          <w:tcPr>
            <w:tcW w:w="721" w:type="pct"/>
            <w:vAlign w:val="center"/>
          </w:tcPr>
          <w:p w14:paraId="66DEE21D" w14:textId="77777777" w:rsidR="003A4883" w:rsidRPr="0048379A" w:rsidRDefault="003A4883" w:rsidP="001A5767">
            <w:pPr>
              <w:pStyle w:val="TableFigureHeading"/>
              <w:jc w:val="center"/>
            </w:pPr>
            <w:r w:rsidRPr="0048379A">
              <w:t>Apremilast</w:t>
            </w:r>
          </w:p>
          <w:p w14:paraId="0F95573E" w14:textId="77777777" w:rsidR="003A4883" w:rsidRPr="0048379A" w:rsidRDefault="003A4883" w:rsidP="001A5767">
            <w:pPr>
              <w:pStyle w:val="TableFigureHeading"/>
              <w:jc w:val="center"/>
            </w:pPr>
            <w:r w:rsidRPr="0048379A">
              <w:t>n/N (%)</w:t>
            </w:r>
          </w:p>
        </w:tc>
        <w:tc>
          <w:tcPr>
            <w:tcW w:w="749" w:type="pct"/>
            <w:gridSpan w:val="2"/>
            <w:vAlign w:val="center"/>
          </w:tcPr>
          <w:p w14:paraId="6F409DCB" w14:textId="77777777" w:rsidR="003A4883" w:rsidRPr="0048379A" w:rsidRDefault="003A4883" w:rsidP="001A5767">
            <w:pPr>
              <w:pStyle w:val="TableFigureHeading"/>
              <w:jc w:val="center"/>
            </w:pPr>
            <w:r w:rsidRPr="0048379A">
              <w:t>Placebo</w:t>
            </w:r>
          </w:p>
          <w:p w14:paraId="1CF25E66" w14:textId="77777777" w:rsidR="003A4883" w:rsidRPr="0048379A" w:rsidRDefault="003A4883" w:rsidP="001A5767">
            <w:pPr>
              <w:pStyle w:val="TableFigureHeading"/>
              <w:jc w:val="center"/>
            </w:pPr>
            <w:r w:rsidRPr="0048379A">
              <w:t>n/N (%)</w:t>
            </w:r>
          </w:p>
        </w:tc>
        <w:tc>
          <w:tcPr>
            <w:tcW w:w="1228" w:type="pct"/>
            <w:vAlign w:val="center"/>
          </w:tcPr>
          <w:p w14:paraId="191C2707" w14:textId="77777777" w:rsidR="003A4883" w:rsidRPr="0048379A" w:rsidRDefault="003A4883" w:rsidP="001A5767">
            <w:pPr>
              <w:pStyle w:val="TableFigureHeading"/>
              <w:jc w:val="center"/>
            </w:pPr>
            <w:r w:rsidRPr="0048379A">
              <w:t>p-value</w:t>
            </w:r>
          </w:p>
        </w:tc>
        <w:tc>
          <w:tcPr>
            <w:tcW w:w="856" w:type="pct"/>
            <w:vAlign w:val="center"/>
          </w:tcPr>
          <w:p w14:paraId="68120551" w14:textId="276DAD4C" w:rsidR="003A4883" w:rsidRPr="00831F9C" w:rsidRDefault="003A4883" w:rsidP="001A5767">
            <w:pPr>
              <w:pStyle w:val="TableFigureHeading"/>
              <w:jc w:val="center"/>
            </w:pPr>
            <w:r w:rsidRPr="00831F9C">
              <w:t>Relative risk (95% CI)</w:t>
            </w:r>
            <w:r w:rsidR="00DD6DEA" w:rsidRPr="00831F9C">
              <w:t xml:space="preserve"> </w:t>
            </w:r>
            <w:r w:rsidRPr="00831F9C">
              <w:rPr>
                <w:vertAlign w:val="superscript"/>
              </w:rPr>
              <w:t>a</w:t>
            </w:r>
          </w:p>
        </w:tc>
        <w:tc>
          <w:tcPr>
            <w:tcW w:w="827" w:type="pct"/>
            <w:vAlign w:val="center"/>
          </w:tcPr>
          <w:p w14:paraId="1662E319" w14:textId="359E0717" w:rsidR="003A4883" w:rsidRPr="00831F9C" w:rsidRDefault="003A4883" w:rsidP="001A5767">
            <w:pPr>
              <w:pStyle w:val="TableFigureHeading"/>
              <w:jc w:val="center"/>
            </w:pPr>
            <w:r w:rsidRPr="00831F9C">
              <w:t>Risk difference (95% CI)</w:t>
            </w:r>
            <w:r w:rsidR="00DD6DEA" w:rsidRPr="00831F9C">
              <w:t xml:space="preserve"> </w:t>
            </w:r>
            <w:r w:rsidRPr="00831F9C">
              <w:rPr>
                <w:vertAlign w:val="superscript"/>
              </w:rPr>
              <w:t>a</w:t>
            </w:r>
          </w:p>
        </w:tc>
      </w:tr>
      <w:tr w:rsidR="00146FF1" w:rsidRPr="0048379A" w14:paraId="3E2B7B4C" w14:textId="77777777" w:rsidTr="00146FF1">
        <w:trPr>
          <w:tblHeader/>
        </w:trPr>
        <w:tc>
          <w:tcPr>
            <w:tcW w:w="5000" w:type="pct"/>
            <w:gridSpan w:val="7"/>
          </w:tcPr>
          <w:p w14:paraId="54E3B1DE" w14:textId="77777777" w:rsidR="003A4883" w:rsidRPr="0048379A" w:rsidRDefault="003A4883" w:rsidP="001A5767">
            <w:pPr>
              <w:pStyle w:val="TableFigureHeading"/>
            </w:pPr>
            <w:r w:rsidRPr="0048379A">
              <w:t>PASI50</w:t>
            </w:r>
          </w:p>
        </w:tc>
      </w:tr>
      <w:tr w:rsidR="00146FF1" w:rsidRPr="0048379A" w14:paraId="7E4DAE29" w14:textId="77777777" w:rsidTr="002A6699">
        <w:tc>
          <w:tcPr>
            <w:tcW w:w="619" w:type="pct"/>
            <w:vAlign w:val="center"/>
          </w:tcPr>
          <w:p w14:paraId="2525F0CC" w14:textId="77777777" w:rsidR="003A4883" w:rsidRPr="0048379A" w:rsidRDefault="003A4883" w:rsidP="001A5767">
            <w:pPr>
              <w:pStyle w:val="TableText0"/>
            </w:pPr>
            <w:r w:rsidRPr="0048379A">
              <w:t>PALACE 1</w:t>
            </w:r>
          </w:p>
        </w:tc>
        <w:tc>
          <w:tcPr>
            <w:tcW w:w="721" w:type="pct"/>
            <w:vAlign w:val="center"/>
          </w:tcPr>
          <w:p w14:paraId="24ED17D4" w14:textId="77777777" w:rsidR="003A4883" w:rsidRPr="0048379A" w:rsidRDefault="003A4883" w:rsidP="00BC762A">
            <w:pPr>
              <w:pStyle w:val="TableText0"/>
              <w:jc w:val="center"/>
            </w:pPr>
            <w:r w:rsidRPr="00831F9C">
              <w:t>36/82 (43.9)</w:t>
            </w:r>
          </w:p>
        </w:tc>
        <w:tc>
          <w:tcPr>
            <w:tcW w:w="721" w:type="pct"/>
            <w:vAlign w:val="center"/>
          </w:tcPr>
          <w:p w14:paraId="46BD68FC" w14:textId="77777777" w:rsidR="003A4883" w:rsidRPr="0048379A" w:rsidRDefault="003A4883" w:rsidP="00BC762A">
            <w:pPr>
              <w:pStyle w:val="TableText0"/>
              <w:jc w:val="center"/>
            </w:pPr>
            <w:r w:rsidRPr="00831F9C">
              <w:rPr>
                <w:spacing w:val="-1"/>
              </w:rPr>
              <w:t>11/68 (16.2)</w:t>
            </w:r>
          </w:p>
        </w:tc>
        <w:tc>
          <w:tcPr>
            <w:tcW w:w="1256" w:type="pct"/>
            <w:gridSpan w:val="2"/>
            <w:vAlign w:val="center"/>
          </w:tcPr>
          <w:p w14:paraId="7B17186E" w14:textId="77777777" w:rsidR="003A4883" w:rsidRPr="0048379A" w:rsidRDefault="003A4883" w:rsidP="00BC762A">
            <w:pPr>
              <w:pStyle w:val="TableText0"/>
              <w:jc w:val="center"/>
            </w:pPr>
            <w:r w:rsidRPr="00831F9C">
              <w:t>0.0003</w:t>
            </w:r>
            <w:r w:rsidRPr="00831F9C">
              <w:rPr>
                <w:vertAlign w:val="superscript"/>
              </w:rPr>
              <w:t>b</w:t>
            </w:r>
          </w:p>
        </w:tc>
        <w:tc>
          <w:tcPr>
            <w:tcW w:w="856" w:type="pct"/>
            <w:vAlign w:val="center"/>
          </w:tcPr>
          <w:p w14:paraId="40113D74" w14:textId="5225FB18" w:rsidR="003A4883" w:rsidRPr="00831F9C" w:rsidRDefault="003B2400" w:rsidP="00BC762A">
            <w:pPr>
              <w:pStyle w:val="TableText0"/>
              <w:jc w:val="center"/>
            </w:pPr>
            <w:r w:rsidRPr="00831F9C">
              <w:t>2.71 (1.50, 4.91)</w:t>
            </w:r>
          </w:p>
        </w:tc>
        <w:tc>
          <w:tcPr>
            <w:tcW w:w="827" w:type="pct"/>
            <w:vAlign w:val="center"/>
          </w:tcPr>
          <w:p w14:paraId="706F70F7" w14:textId="161EB976" w:rsidR="003A4883" w:rsidRPr="00831F9C" w:rsidRDefault="003B2400" w:rsidP="00BC762A">
            <w:pPr>
              <w:pStyle w:val="TableText0"/>
              <w:jc w:val="center"/>
            </w:pPr>
            <w:r w:rsidRPr="00831F9C">
              <w:t>0.28 (0.14, 0.42)</w:t>
            </w:r>
          </w:p>
        </w:tc>
      </w:tr>
      <w:tr w:rsidR="00146FF1" w:rsidRPr="0048379A" w14:paraId="30D8AE24" w14:textId="77777777" w:rsidTr="002A6699">
        <w:tc>
          <w:tcPr>
            <w:tcW w:w="619" w:type="pct"/>
            <w:vAlign w:val="center"/>
          </w:tcPr>
          <w:p w14:paraId="051F539C" w14:textId="77777777" w:rsidR="003A4883" w:rsidRPr="0048379A" w:rsidRDefault="003A4883" w:rsidP="001A5767">
            <w:pPr>
              <w:pStyle w:val="TableText0"/>
            </w:pPr>
            <w:r w:rsidRPr="0048379A">
              <w:t>PALACE 2</w:t>
            </w:r>
          </w:p>
        </w:tc>
        <w:tc>
          <w:tcPr>
            <w:tcW w:w="721" w:type="pct"/>
            <w:vAlign w:val="center"/>
          </w:tcPr>
          <w:p w14:paraId="62DD0B4E" w14:textId="0F96EC47" w:rsidR="003A4883" w:rsidRPr="0048379A" w:rsidRDefault="003A4883" w:rsidP="00BC762A">
            <w:pPr>
              <w:pStyle w:val="TableText0"/>
              <w:jc w:val="center"/>
            </w:pPr>
            <w:r w:rsidRPr="00831F9C">
              <w:t>3</w:t>
            </w:r>
            <w:r w:rsidR="006056E6" w:rsidRPr="00831F9C">
              <w:t>3</w:t>
            </w:r>
            <w:r w:rsidRPr="00831F9C">
              <w:t>/77 (</w:t>
            </w:r>
            <w:r w:rsidR="006056E6" w:rsidRPr="00831F9C">
              <w:t>42.9</w:t>
            </w:r>
            <w:r w:rsidRPr="00831F9C">
              <w:t>)</w:t>
            </w:r>
          </w:p>
        </w:tc>
        <w:tc>
          <w:tcPr>
            <w:tcW w:w="721" w:type="pct"/>
            <w:vAlign w:val="center"/>
          </w:tcPr>
          <w:p w14:paraId="20ACEC6A" w14:textId="7A3B707B" w:rsidR="003A4883" w:rsidRPr="0048379A" w:rsidRDefault="003A4883" w:rsidP="00BC762A">
            <w:pPr>
              <w:pStyle w:val="TableText0"/>
              <w:jc w:val="center"/>
            </w:pPr>
            <w:r w:rsidRPr="0048379A">
              <w:rPr>
                <w:rFonts w:cstheme="minorHAnsi"/>
                <w:spacing w:val="-1"/>
                <w:szCs w:val="20"/>
              </w:rPr>
              <w:t>10/74 (13.5)</w:t>
            </w:r>
          </w:p>
        </w:tc>
        <w:tc>
          <w:tcPr>
            <w:tcW w:w="1256" w:type="pct"/>
            <w:gridSpan w:val="2"/>
            <w:vAlign w:val="center"/>
          </w:tcPr>
          <w:p w14:paraId="1A2F7126" w14:textId="071860F2" w:rsidR="003A4883" w:rsidRPr="0048379A" w:rsidRDefault="003A4883" w:rsidP="00BC762A">
            <w:pPr>
              <w:pStyle w:val="TableText0"/>
              <w:jc w:val="center"/>
            </w:pPr>
            <w:r w:rsidRPr="0048379A">
              <w:rPr>
                <w:rFonts w:cstheme="minorHAnsi"/>
                <w:szCs w:val="20"/>
              </w:rPr>
              <w:t>≤ 0.005</w:t>
            </w:r>
            <w:r w:rsidRPr="00831F9C">
              <w:rPr>
                <w:rFonts w:cstheme="minorHAnsi"/>
                <w:vertAlign w:val="superscript"/>
              </w:rPr>
              <w:t>c</w:t>
            </w:r>
          </w:p>
        </w:tc>
        <w:tc>
          <w:tcPr>
            <w:tcW w:w="856" w:type="pct"/>
            <w:vAlign w:val="center"/>
          </w:tcPr>
          <w:p w14:paraId="2914914D" w14:textId="4D4BCB07" w:rsidR="003A4883" w:rsidRPr="00831F9C" w:rsidRDefault="003B2400" w:rsidP="00BC762A">
            <w:pPr>
              <w:pStyle w:val="TableText0"/>
              <w:jc w:val="center"/>
            </w:pPr>
            <w:r w:rsidRPr="00831F9C">
              <w:t>3.17 (1.69, 5.96)</w:t>
            </w:r>
          </w:p>
        </w:tc>
        <w:tc>
          <w:tcPr>
            <w:tcW w:w="827" w:type="pct"/>
            <w:vAlign w:val="center"/>
          </w:tcPr>
          <w:p w14:paraId="1517104A" w14:textId="6FB89E56" w:rsidR="003A4883" w:rsidRPr="00831F9C" w:rsidRDefault="003B2400" w:rsidP="00BC762A">
            <w:pPr>
              <w:pStyle w:val="TableText0"/>
              <w:jc w:val="center"/>
            </w:pPr>
            <w:r w:rsidRPr="00831F9C">
              <w:t>0.29 (0.16, 0.43)</w:t>
            </w:r>
          </w:p>
        </w:tc>
      </w:tr>
      <w:tr w:rsidR="00146FF1" w:rsidRPr="0048379A" w14:paraId="1FF9FB1A" w14:textId="77777777" w:rsidTr="002A6699">
        <w:tc>
          <w:tcPr>
            <w:tcW w:w="619" w:type="pct"/>
            <w:vAlign w:val="center"/>
          </w:tcPr>
          <w:p w14:paraId="039D6AF5" w14:textId="77777777" w:rsidR="003A4883" w:rsidRPr="0048379A" w:rsidRDefault="003A4883" w:rsidP="001A5767">
            <w:pPr>
              <w:pStyle w:val="TableText0"/>
            </w:pPr>
            <w:r w:rsidRPr="0048379A">
              <w:t>PALACE 3</w:t>
            </w:r>
          </w:p>
        </w:tc>
        <w:tc>
          <w:tcPr>
            <w:tcW w:w="721" w:type="pct"/>
            <w:vAlign w:val="center"/>
          </w:tcPr>
          <w:p w14:paraId="7386D4ED" w14:textId="302ADF19" w:rsidR="003A4883" w:rsidRPr="0048379A" w:rsidRDefault="003A4883" w:rsidP="00BC762A">
            <w:pPr>
              <w:pStyle w:val="TableText0"/>
              <w:jc w:val="center"/>
            </w:pPr>
            <w:r w:rsidRPr="00831F9C">
              <w:t>3</w:t>
            </w:r>
            <w:r w:rsidR="006056E6" w:rsidRPr="00831F9C">
              <w:t>8</w:t>
            </w:r>
            <w:r w:rsidRPr="00831F9C">
              <w:t>/90 (</w:t>
            </w:r>
            <w:r w:rsidR="006056E6" w:rsidRPr="00831F9C">
              <w:t>42.2</w:t>
            </w:r>
            <w:r w:rsidRPr="00831F9C">
              <w:t>)</w:t>
            </w:r>
          </w:p>
        </w:tc>
        <w:tc>
          <w:tcPr>
            <w:tcW w:w="721" w:type="pct"/>
            <w:vAlign w:val="center"/>
          </w:tcPr>
          <w:p w14:paraId="173B6B8E" w14:textId="77777777" w:rsidR="003A4883" w:rsidRPr="00831F9C" w:rsidRDefault="003A4883" w:rsidP="00BC762A">
            <w:pPr>
              <w:pStyle w:val="TableText0"/>
              <w:jc w:val="center"/>
            </w:pPr>
            <w:r w:rsidRPr="00831F9C">
              <w:rPr>
                <w:rFonts w:cstheme="minorHAnsi"/>
              </w:rPr>
              <w:t>22/89 (24.7)</w:t>
            </w:r>
          </w:p>
        </w:tc>
        <w:tc>
          <w:tcPr>
            <w:tcW w:w="1256" w:type="pct"/>
            <w:gridSpan w:val="2"/>
            <w:vAlign w:val="center"/>
          </w:tcPr>
          <w:p w14:paraId="73C7F88A" w14:textId="3ECEAD05" w:rsidR="003A4883" w:rsidRPr="0048379A" w:rsidRDefault="003A4883" w:rsidP="00BC762A">
            <w:pPr>
              <w:pStyle w:val="TableText0"/>
              <w:jc w:val="center"/>
            </w:pPr>
            <w:r w:rsidRPr="0048379A">
              <w:rPr>
                <w:rFonts w:cstheme="minorHAnsi"/>
                <w:szCs w:val="20"/>
              </w:rPr>
              <w:t>&lt; 0.05</w:t>
            </w:r>
            <w:r w:rsidRPr="0048379A">
              <w:rPr>
                <w:rFonts w:cstheme="minorHAnsi"/>
                <w:vertAlign w:val="superscript"/>
              </w:rPr>
              <w:t>b</w:t>
            </w:r>
          </w:p>
        </w:tc>
        <w:tc>
          <w:tcPr>
            <w:tcW w:w="856" w:type="pct"/>
            <w:vAlign w:val="center"/>
          </w:tcPr>
          <w:p w14:paraId="5996C31D" w14:textId="19D0779A" w:rsidR="003A4883" w:rsidRPr="00831F9C" w:rsidRDefault="003B2400" w:rsidP="00BC762A">
            <w:pPr>
              <w:pStyle w:val="TableText0"/>
              <w:jc w:val="center"/>
            </w:pPr>
            <w:r w:rsidRPr="00831F9C">
              <w:t>1.71 (1.10, 2.64)</w:t>
            </w:r>
          </w:p>
        </w:tc>
        <w:tc>
          <w:tcPr>
            <w:tcW w:w="827" w:type="pct"/>
            <w:vAlign w:val="center"/>
          </w:tcPr>
          <w:p w14:paraId="07C8087B" w14:textId="6D89202A" w:rsidR="003A4883" w:rsidRPr="00831F9C" w:rsidRDefault="003B2400" w:rsidP="00BC762A">
            <w:pPr>
              <w:pStyle w:val="TableText0"/>
              <w:jc w:val="center"/>
            </w:pPr>
            <w:r w:rsidRPr="00831F9C">
              <w:t>0.18 (0.04, 0.31)</w:t>
            </w:r>
          </w:p>
        </w:tc>
      </w:tr>
      <w:tr w:rsidR="00146FF1" w:rsidRPr="0048379A" w14:paraId="54BFC4B3" w14:textId="77777777" w:rsidTr="002A6699">
        <w:tc>
          <w:tcPr>
            <w:tcW w:w="619" w:type="pct"/>
            <w:vAlign w:val="center"/>
          </w:tcPr>
          <w:p w14:paraId="5422D28F" w14:textId="77777777" w:rsidR="003A4883" w:rsidRPr="0048379A" w:rsidRDefault="003A4883" w:rsidP="001A5767">
            <w:pPr>
              <w:pStyle w:val="TableText0"/>
            </w:pPr>
            <w:r w:rsidRPr="0048379A">
              <w:t>PALACE 4</w:t>
            </w:r>
          </w:p>
        </w:tc>
        <w:tc>
          <w:tcPr>
            <w:tcW w:w="721" w:type="pct"/>
            <w:vAlign w:val="center"/>
          </w:tcPr>
          <w:p w14:paraId="02DF7DA6" w14:textId="6AF76656" w:rsidR="003A4883" w:rsidRPr="0048379A" w:rsidRDefault="003A4883" w:rsidP="00BC762A">
            <w:pPr>
              <w:pStyle w:val="TableText0"/>
              <w:jc w:val="center"/>
            </w:pPr>
            <w:r w:rsidRPr="00831F9C">
              <w:rPr>
                <w:rFonts w:cstheme="minorHAnsi"/>
              </w:rPr>
              <w:t>5</w:t>
            </w:r>
            <w:r w:rsidR="006056E6" w:rsidRPr="00831F9C">
              <w:rPr>
                <w:rFonts w:cstheme="minorHAnsi"/>
              </w:rPr>
              <w:t>1</w:t>
            </w:r>
            <w:r w:rsidRPr="00831F9C">
              <w:rPr>
                <w:rFonts w:cstheme="minorHAnsi"/>
              </w:rPr>
              <w:t>/109 (</w:t>
            </w:r>
            <w:r w:rsidR="006056E6" w:rsidRPr="00831F9C">
              <w:rPr>
                <w:rFonts w:cstheme="minorHAnsi"/>
              </w:rPr>
              <w:t>46.8</w:t>
            </w:r>
            <w:r w:rsidRPr="00831F9C">
              <w:rPr>
                <w:rFonts w:cstheme="minorHAnsi"/>
              </w:rPr>
              <w:t>)</w:t>
            </w:r>
          </w:p>
        </w:tc>
        <w:tc>
          <w:tcPr>
            <w:tcW w:w="721" w:type="pct"/>
            <w:vAlign w:val="center"/>
          </w:tcPr>
          <w:p w14:paraId="0FE0F0C6" w14:textId="065D2468" w:rsidR="003A4883" w:rsidRPr="00831F9C" w:rsidRDefault="003A4883" w:rsidP="00BC762A">
            <w:pPr>
              <w:pStyle w:val="TableText0"/>
              <w:jc w:val="center"/>
            </w:pPr>
            <w:r w:rsidRPr="0048379A">
              <w:rPr>
                <w:rFonts w:cstheme="minorHAnsi"/>
                <w:szCs w:val="20"/>
              </w:rPr>
              <w:t>18/93 (19.4)</w:t>
            </w:r>
          </w:p>
        </w:tc>
        <w:tc>
          <w:tcPr>
            <w:tcW w:w="1256" w:type="pct"/>
            <w:gridSpan w:val="2"/>
            <w:vAlign w:val="center"/>
          </w:tcPr>
          <w:p w14:paraId="5C395C85" w14:textId="44A3AD43" w:rsidR="003A4883" w:rsidRPr="0048379A" w:rsidRDefault="003A4883" w:rsidP="00BC762A">
            <w:pPr>
              <w:pStyle w:val="TableText0"/>
              <w:jc w:val="center"/>
            </w:pPr>
            <w:r w:rsidRPr="0048379A">
              <w:rPr>
                <w:rFonts w:cstheme="minorHAnsi"/>
                <w:szCs w:val="20"/>
              </w:rPr>
              <w:t>≤ 0.0001</w:t>
            </w:r>
            <w:r w:rsidRPr="00831F9C">
              <w:rPr>
                <w:bCs w:val="0"/>
                <w:vertAlign w:val="superscript"/>
              </w:rPr>
              <w:t>b</w:t>
            </w:r>
          </w:p>
        </w:tc>
        <w:tc>
          <w:tcPr>
            <w:tcW w:w="856" w:type="pct"/>
            <w:vAlign w:val="center"/>
          </w:tcPr>
          <w:p w14:paraId="1F9F4F48" w14:textId="563AC20C" w:rsidR="003A4883" w:rsidRPr="00831F9C" w:rsidRDefault="003B2400" w:rsidP="00BC762A">
            <w:pPr>
              <w:pStyle w:val="TableText0"/>
              <w:jc w:val="center"/>
            </w:pPr>
            <w:r w:rsidRPr="00831F9C">
              <w:t>2.42 (1.53, 3.83)</w:t>
            </w:r>
          </w:p>
        </w:tc>
        <w:tc>
          <w:tcPr>
            <w:tcW w:w="827" w:type="pct"/>
            <w:vAlign w:val="center"/>
          </w:tcPr>
          <w:p w14:paraId="3DB14563" w14:textId="273336FA" w:rsidR="003A4883" w:rsidRPr="00831F9C" w:rsidRDefault="003B2400" w:rsidP="00BC762A">
            <w:pPr>
              <w:pStyle w:val="TableText0"/>
              <w:jc w:val="center"/>
            </w:pPr>
            <w:r w:rsidRPr="00831F9C">
              <w:t>0.27 (0.15, 0.40)</w:t>
            </w:r>
          </w:p>
        </w:tc>
      </w:tr>
      <w:tr w:rsidR="00146FF1" w:rsidRPr="0048379A" w14:paraId="37BA86EE" w14:textId="77777777" w:rsidTr="00146FF1">
        <w:tc>
          <w:tcPr>
            <w:tcW w:w="5000" w:type="pct"/>
            <w:gridSpan w:val="7"/>
          </w:tcPr>
          <w:p w14:paraId="5BE9E9C8" w14:textId="77777777" w:rsidR="003A4883" w:rsidRPr="0048379A" w:rsidRDefault="003A4883" w:rsidP="001A5767">
            <w:pPr>
              <w:pStyle w:val="TableFigureHeading"/>
            </w:pPr>
            <w:r w:rsidRPr="0048379A">
              <w:t>PASI75</w:t>
            </w:r>
          </w:p>
        </w:tc>
      </w:tr>
      <w:tr w:rsidR="00146FF1" w:rsidRPr="0048379A" w14:paraId="5BD52DD8" w14:textId="77777777" w:rsidTr="002A6699">
        <w:tc>
          <w:tcPr>
            <w:tcW w:w="619" w:type="pct"/>
            <w:vAlign w:val="center"/>
          </w:tcPr>
          <w:p w14:paraId="09D73A2C" w14:textId="77777777" w:rsidR="003A4883" w:rsidRPr="0048379A" w:rsidRDefault="003A4883" w:rsidP="001A5767">
            <w:pPr>
              <w:pStyle w:val="TableText0"/>
            </w:pPr>
            <w:r w:rsidRPr="0048379A">
              <w:t>PALACE 1</w:t>
            </w:r>
          </w:p>
        </w:tc>
        <w:tc>
          <w:tcPr>
            <w:tcW w:w="721" w:type="pct"/>
            <w:vAlign w:val="center"/>
          </w:tcPr>
          <w:p w14:paraId="334252DA" w14:textId="77777777" w:rsidR="003A4883" w:rsidRPr="0048379A" w:rsidRDefault="003A4883" w:rsidP="00BC762A">
            <w:pPr>
              <w:pStyle w:val="TableText0"/>
              <w:jc w:val="center"/>
            </w:pPr>
            <w:r w:rsidRPr="00831F9C">
              <w:rPr>
                <w:rFonts w:cstheme="minorHAnsi"/>
              </w:rPr>
              <w:t>18/82 (22.0)</w:t>
            </w:r>
          </w:p>
        </w:tc>
        <w:tc>
          <w:tcPr>
            <w:tcW w:w="749" w:type="pct"/>
            <w:gridSpan w:val="2"/>
            <w:vAlign w:val="center"/>
          </w:tcPr>
          <w:p w14:paraId="1E59B04F" w14:textId="77777777" w:rsidR="003A4883" w:rsidRPr="0048379A" w:rsidRDefault="003A4883" w:rsidP="00BC762A">
            <w:pPr>
              <w:pStyle w:val="TableText0"/>
              <w:jc w:val="center"/>
            </w:pPr>
            <w:r w:rsidRPr="0048379A">
              <w:rPr>
                <w:rFonts w:cstheme="minorHAnsi"/>
              </w:rPr>
              <w:t>3/68 (4.4)</w:t>
            </w:r>
          </w:p>
        </w:tc>
        <w:tc>
          <w:tcPr>
            <w:tcW w:w="1228" w:type="pct"/>
            <w:vAlign w:val="center"/>
          </w:tcPr>
          <w:p w14:paraId="743951FB" w14:textId="77777777" w:rsidR="003A4883" w:rsidRPr="0048379A" w:rsidRDefault="003A4883" w:rsidP="00BC762A">
            <w:pPr>
              <w:pStyle w:val="TableText0"/>
              <w:jc w:val="center"/>
              <w:rPr>
                <w:b/>
                <w:bCs w:val="0"/>
              </w:rPr>
            </w:pPr>
            <w:r w:rsidRPr="00831F9C">
              <w:rPr>
                <w:rFonts w:cstheme="minorHAnsi"/>
                <w:bCs w:val="0"/>
              </w:rPr>
              <w:t>0.0022</w:t>
            </w:r>
            <w:r w:rsidRPr="00831F9C">
              <w:rPr>
                <w:rFonts w:cstheme="minorHAnsi"/>
                <w:bCs w:val="0"/>
                <w:vertAlign w:val="superscript"/>
              </w:rPr>
              <w:t>b</w:t>
            </w:r>
          </w:p>
        </w:tc>
        <w:tc>
          <w:tcPr>
            <w:tcW w:w="856" w:type="pct"/>
            <w:vAlign w:val="center"/>
          </w:tcPr>
          <w:p w14:paraId="560AFDCC" w14:textId="72D0EEE2" w:rsidR="003A4883" w:rsidRPr="00831F9C" w:rsidRDefault="003B2400" w:rsidP="00BC762A">
            <w:pPr>
              <w:pStyle w:val="TableText0"/>
              <w:jc w:val="center"/>
            </w:pPr>
            <w:r w:rsidRPr="00831F9C">
              <w:t>4.98 (1.53, 16.18)</w:t>
            </w:r>
          </w:p>
        </w:tc>
        <w:tc>
          <w:tcPr>
            <w:tcW w:w="827" w:type="pct"/>
            <w:vAlign w:val="center"/>
          </w:tcPr>
          <w:p w14:paraId="7EB75F6F" w14:textId="54693AAD" w:rsidR="003A4883" w:rsidRPr="00831F9C" w:rsidRDefault="003B2400" w:rsidP="00BC762A">
            <w:pPr>
              <w:pStyle w:val="TableText0"/>
              <w:jc w:val="center"/>
            </w:pPr>
            <w:r w:rsidRPr="00831F9C">
              <w:t>0.18 (0.07, 0.28)</w:t>
            </w:r>
          </w:p>
        </w:tc>
      </w:tr>
      <w:tr w:rsidR="00146FF1" w:rsidRPr="0048379A" w14:paraId="69D204D7" w14:textId="77777777" w:rsidTr="002A6699">
        <w:tc>
          <w:tcPr>
            <w:tcW w:w="619" w:type="pct"/>
            <w:vAlign w:val="center"/>
          </w:tcPr>
          <w:p w14:paraId="1C4C8F83" w14:textId="77777777" w:rsidR="003A4883" w:rsidRPr="0048379A" w:rsidRDefault="003A4883" w:rsidP="001A5767">
            <w:pPr>
              <w:pStyle w:val="TableText0"/>
            </w:pPr>
            <w:r w:rsidRPr="0048379A">
              <w:t>PALACE 2</w:t>
            </w:r>
          </w:p>
        </w:tc>
        <w:tc>
          <w:tcPr>
            <w:tcW w:w="721" w:type="pct"/>
            <w:vAlign w:val="center"/>
          </w:tcPr>
          <w:p w14:paraId="33910987" w14:textId="79E8BD60" w:rsidR="003A4883" w:rsidRPr="0048379A" w:rsidRDefault="003A4883" w:rsidP="00BC762A">
            <w:pPr>
              <w:pStyle w:val="TableText0"/>
              <w:jc w:val="center"/>
            </w:pPr>
            <w:r w:rsidRPr="0048379A">
              <w:rPr>
                <w:rFonts w:cstheme="minorHAnsi"/>
                <w:szCs w:val="20"/>
              </w:rPr>
              <w:t>17/77 (22.1)</w:t>
            </w:r>
          </w:p>
        </w:tc>
        <w:tc>
          <w:tcPr>
            <w:tcW w:w="749" w:type="pct"/>
            <w:gridSpan w:val="2"/>
            <w:vAlign w:val="center"/>
          </w:tcPr>
          <w:p w14:paraId="23998857" w14:textId="146A1C76" w:rsidR="003A4883" w:rsidRPr="0048379A" w:rsidRDefault="003A4883" w:rsidP="00BC762A">
            <w:pPr>
              <w:pStyle w:val="TableText0"/>
              <w:jc w:val="center"/>
            </w:pPr>
            <w:r w:rsidRPr="0048379A">
              <w:rPr>
                <w:rFonts w:cstheme="minorHAnsi"/>
                <w:szCs w:val="20"/>
              </w:rPr>
              <w:t>2/74 (2.7)</w:t>
            </w:r>
          </w:p>
        </w:tc>
        <w:tc>
          <w:tcPr>
            <w:tcW w:w="1228" w:type="pct"/>
            <w:vAlign w:val="center"/>
          </w:tcPr>
          <w:p w14:paraId="0D766542" w14:textId="124EA05B" w:rsidR="003A4883" w:rsidRPr="0048379A" w:rsidRDefault="003A4883" w:rsidP="00BC762A">
            <w:pPr>
              <w:pStyle w:val="TableText0"/>
              <w:jc w:val="center"/>
            </w:pPr>
            <w:r w:rsidRPr="0048379A">
              <w:rPr>
                <w:rFonts w:cstheme="minorHAnsi"/>
                <w:szCs w:val="20"/>
              </w:rPr>
              <w:t>≤ 0.005</w:t>
            </w:r>
            <w:r w:rsidRPr="00831F9C">
              <w:rPr>
                <w:rFonts w:cstheme="minorHAnsi"/>
                <w:vertAlign w:val="superscript"/>
              </w:rPr>
              <w:t>c</w:t>
            </w:r>
          </w:p>
        </w:tc>
        <w:tc>
          <w:tcPr>
            <w:tcW w:w="856" w:type="pct"/>
            <w:vAlign w:val="center"/>
          </w:tcPr>
          <w:p w14:paraId="121743BC" w14:textId="77777777" w:rsidR="003A4883" w:rsidRPr="00831F9C" w:rsidRDefault="003A4883" w:rsidP="00BC762A">
            <w:pPr>
              <w:pStyle w:val="TableText0"/>
              <w:jc w:val="center"/>
            </w:pPr>
            <w:r w:rsidRPr="00831F9C">
              <w:t>8.17 (1.95, 34.14)</w:t>
            </w:r>
          </w:p>
        </w:tc>
        <w:tc>
          <w:tcPr>
            <w:tcW w:w="827" w:type="pct"/>
            <w:vAlign w:val="center"/>
          </w:tcPr>
          <w:p w14:paraId="218E43F6" w14:textId="77777777" w:rsidR="003A4883" w:rsidRPr="00831F9C" w:rsidRDefault="003A4883" w:rsidP="00BC762A">
            <w:pPr>
              <w:pStyle w:val="TableText0"/>
              <w:jc w:val="center"/>
            </w:pPr>
            <w:r w:rsidRPr="00831F9C">
              <w:t>0.19 (0.09, 0.29)</w:t>
            </w:r>
          </w:p>
        </w:tc>
      </w:tr>
      <w:tr w:rsidR="00146FF1" w:rsidRPr="0048379A" w14:paraId="55ACF7CE" w14:textId="77777777" w:rsidTr="002A6699">
        <w:tc>
          <w:tcPr>
            <w:tcW w:w="619" w:type="pct"/>
            <w:vAlign w:val="center"/>
          </w:tcPr>
          <w:p w14:paraId="39108918" w14:textId="77777777" w:rsidR="003A4883" w:rsidRPr="0048379A" w:rsidRDefault="003A4883" w:rsidP="001A5767">
            <w:pPr>
              <w:pStyle w:val="TableText0"/>
            </w:pPr>
            <w:r w:rsidRPr="0048379A">
              <w:t>PALACE 3</w:t>
            </w:r>
          </w:p>
        </w:tc>
        <w:tc>
          <w:tcPr>
            <w:tcW w:w="721" w:type="pct"/>
            <w:vAlign w:val="center"/>
          </w:tcPr>
          <w:p w14:paraId="17CCC14B" w14:textId="2735A43F" w:rsidR="003A4883" w:rsidRPr="0048379A" w:rsidRDefault="003A4883" w:rsidP="00BC762A">
            <w:pPr>
              <w:pStyle w:val="TableText0"/>
              <w:jc w:val="center"/>
            </w:pPr>
            <w:r w:rsidRPr="00831F9C">
              <w:rPr>
                <w:rFonts w:cstheme="minorHAnsi"/>
              </w:rPr>
              <w:t>2</w:t>
            </w:r>
            <w:r w:rsidR="006056E6" w:rsidRPr="00831F9C">
              <w:rPr>
                <w:rFonts w:cstheme="minorHAnsi"/>
              </w:rPr>
              <w:t>0</w:t>
            </w:r>
            <w:r w:rsidRPr="00831F9C">
              <w:rPr>
                <w:rFonts w:cstheme="minorHAnsi"/>
              </w:rPr>
              <w:t>/90 (</w:t>
            </w:r>
            <w:r w:rsidR="006056E6" w:rsidRPr="00831F9C">
              <w:rPr>
                <w:rFonts w:cstheme="minorHAnsi"/>
              </w:rPr>
              <w:t>22.2</w:t>
            </w:r>
            <w:r w:rsidRPr="00831F9C">
              <w:rPr>
                <w:rFonts w:cstheme="minorHAnsi"/>
              </w:rPr>
              <w:t>)</w:t>
            </w:r>
          </w:p>
        </w:tc>
        <w:tc>
          <w:tcPr>
            <w:tcW w:w="749" w:type="pct"/>
            <w:gridSpan w:val="2"/>
            <w:vAlign w:val="center"/>
          </w:tcPr>
          <w:p w14:paraId="5A595CC4" w14:textId="7E477012" w:rsidR="003A4883" w:rsidRPr="0048379A" w:rsidRDefault="003A4883" w:rsidP="00BC762A">
            <w:pPr>
              <w:pStyle w:val="TableText0"/>
              <w:jc w:val="center"/>
            </w:pPr>
            <w:r w:rsidRPr="0048379A">
              <w:rPr>
                <w:rFonts w:cstheme="minorHAnsi"/>
                <w:szCs w:val="20"/>
              </w:rPr>
              <w:t>7/89 (8)</w:t>
            </w:r>
          </w:p>
        </w:tc>
        <w:tc>
          <w:tcPr>
            <w:tcW w:w="1228" w:type="pct"/>
            <w:vAlign w:val="center"/>
          </w:tcPr>
          <w:p w14:paraId="4B66435D" w14:textId="35D6BE61" w:rsidR="003A4883" w:rsidRPr="0048379A" w:rsidRDefault="003A4883" w:rsidP="00BC762A">
            <w:pPr>
              <w:pStyle w:val="TableText0"/>
              <w:jc w:val="center"/>
            </w:pPr>
            <w:r w:rsidRPr="0048379A">
              <w:rPr>
                <w:rFonts w:cstheme="minorHAnsi"/>
                <w:szCs w:val="20"/>
              </w:rPr>
              <w:t>&lt; 0.05</w:t>
            </w:r>
            <w:r w:rsidRPr="00831F9C">
              <w:rPr>
                <w:rFonts w:cstheme="minorHAnsi"/>
                <w:vertAlign w:val="superscript"/>
              </w:rPr>
              <w:t>b</w:t>
            </w:r>
          </w:p>
        </w:tc>
        <w:tc>
          <w:tcPr>
            <w:tcW w:w="856" w:type="pct"/>
            <w:vAlign w:val="center"/>
          </w:tcPr>
          <w:p w14:paraId="2D333707" w14:textId="0A525394" w:rsidR="003A4883" w:rsidRPr="00831F9C" w:rsidRDefault="003B2400" w:rsidP="00BC762A">
            <w:pPr>
              <w:pStyle w:val="TableText0"/>
              <w:jc w:val="center"/>
            </w:pPr>
            <w:r w:rsidRPr="00831F9C">
              <w:t>2.83 (1.26, 6.35)</w:t>
            </w:r>
          </w:p>
        </w:tc>
        <w:tc>
          <w:tcPr>
            <w:tcW w:w="827" w:type="pct"/>
            <w:vAlign w:val="center"/>
          </w:tcPr>
          <w:p w14:paraId="20D2E521" w14:textId="135CFB0F" w:rsidR="003A4883" w:rsidRPr="00831F9C" w:rsidRDefault="003B2400" w:rsidP="00BC762A">
            <w:pPr>
              <w:pStyle w:val="TableText0"/>
              <w:jc w:val="center"/>
            </w:pPr>
            <w:r w:rsidRPr="00831F9C">
              <w:t>0.14 (0.04, 0.25)</w:t>
            </w:r>
          </w:p>
        </w:tc>
      </w:tr>
      <w:tr w:rsidR="00146FF1" w:rsidRPr="0048379A" w14:paraId="63D5F845" w14:textId="77777777" w:rsidTr="002A6699">
        <w:tc>
          <w:tcPr>
            <w:tcW w:w="619" w:type="pct"/>
            <w:vAlign w:val="center"/>
          </w:tcPr>
          <w:p w14:paraId="67AB8B5A" w14:textId="77777777" w:rsidR="003A4883" w:rsidRPr="0048379A" w:rsidRDefault="003A4883" w:rsidP="001A5767">
            <w:pPr>
              <w:pStyle w:val="TableText0"/>
            </w:pPr>
            <w:r w:rsidRPr="0048379A">
              <w:t>PALACE 4</w:t>
            </w:r>
          </w:p>
        </w:tc>
        <w:tc>
          <w:tcPr>
            <w:tcW w:w="721" w:type="pct"/>
            <w:vAlign w:val="center"/>
          </w:tcPr>
          <w:p w14:paraId="3B0DDCA7" w14:textId="278E68BA" w:rsidR="006056E6" w:rsidRPr="00831F9C" w:rsidRDefault="006056E6" w:rsidP="00BC762A">
            <w:pPr>
              <w:pStyle w:val="TableText0"/>
              <w:jc w:val="center"/>
            </w:pPr>
            <w:r w:rsidRPr="00831F9C">
              <w:rPr>
                <w:rFonts w:cstheme="minorHAnsi"/>
              </w:rPr>
              <w:t>29/109 (26.6)</w:t>
            </w:r>
          </w:p>
        </w:tc>
        <w:tc>
          <w:tcPr>
            <w:tcW w:w="749" w:type="pct"/>
            <w:gridSpan w:val="2"/>
            <w:vAlign w:val="center"/>
          </w:tcPr>
          <w:p w14:paraId="54AFA60D" w14:textId="44CEFECC" w:rsidR="003A4883" w:rsidRPr="0048379A" w:rsidRDefault="003A4883" w:rsidP="00BC762A">
            <w:pPr>
              <w:pStyle w:val="TableText0"/>
              <w:jc w:val="center"/>
            </w:pPr>
            <w:r w:rsidRPr="0048379A">
              <w:rPr>
                <w:rFonts w:cstheme="minorHAnsi"/>
                <w:szCs w:val="20"/>
              </w:rPr>
              <w:t>10/93 (10.8)</w:t>
            </w:r>
          </w:p>
        </w:tc>
        <w:tc>
          <w:tcPr>
            <w:tcW w:w="1228" w:type="pct"/>
            <w:vAlign w:val="center"/>
          </w:tcPr>
          <w:p w14:paraId="2AD9AE9A" w14:textId="45C7CA3E" w:rsidR="003A4883" w:rsidRPr="0048379A" w:rsidRDefault="003A4883" w:rsidP="00BC762A">
            <w:pPr>
              <w:pStyle w:val="TableText0"/>
              <w:jc w:val="center"/>
            </w:pPr>
            <w:r w:rsidRPr="0048379A">
              <w:rPr>
                <w:rFonts w:cstheme="minorHAnsi"/>
                <w:szCs w:val="20"/>
              </w:rPr>
              <w:t>&lt; 0.05</w:t>
            </w:r>
            <w:r w:rsidRPr="00831F9C">
              <w:rPr>
                <w:bCs w:val="0"/>
                <w:vertAlign w:val="superscript"/>
              </w:rPr>
              <w:t>b</w:t>
            </w:r>
          </w:p>
        </w:tc>
        <w:tc>
          <w:tcPr>
            <w:tcW w:w="856" w:type="pct"/>
            <w:vAlign w:val="center"/>
          </w:tcPr>
          <w:p w14:paraId="7C0C1518" w14:textId="1CA688C3" w:rsidR="003A4883" w:rsidRPr="00831F9C" w:rsidRDefault="003B2400" w:rsidP="00BC762A">
            <w:pPr>
              <w:pStyle w:val="TableText0"/>
              <w:jc w:val="center"/>
            </w:pPr>
            <w:r w:rsidRPr="00831F9C">
              <w:t>2.47 (1.27, 4.80)</w:t>
            </w:r>
          </w:p>
        </w:tc>
        <w:tc>
          <w:tcPr>
            <w:tcW w:w="827" w:type="pct"/>
            <w:vAlign w:val="center"/>
          </w:tcPr>
          <w:p w14:paraId="76924109" w14:textId="3BD96B52" w:rsidR="003A4883" w:rsidRPr="00831F9C" w:rsidRDefault="003B2400" w:rsidP="00BC762A">
            <w:pPr>
              <w:pStyle w:val="TableText0"/>
              <w:jc w:val="center"/>
            </w:pPr>
            <w:r w:rsidRPr="00831F9C">
              <w:t>0.16 (0.05, 0.26)</w:t>
            </w:r>
          </w:p>
        </w:tc>
      </w:tr>
    </w:tbl>
    <w:p w14:paraId="22A24E9A" w14:textId="12820482" w:rsidR="003A4883" w:rsidRPr="0088754E" w:rsidRDefault="003A4883" w:rsidP="003A4883">
      <w:pPr>
        <w:pStyle w:val="TableFooter"/>
        <w:rPr>
          <w:i/>
          <w:iCs/>
          <w:sz w:val="20"/>
        </w:rPr>
      </w:pPr>
      <w:r>
        <w:t xml:space="preserve">Source: Table 2-30, p55 </w:t>
      </w:r>
      <w:r w:rsidRPr="00D13A3E">
        <w:t xml:space="preserve">of the </w:t>
      </w:r>
      <w:r>
        <w:t xml:space="preserve">submission; </w:t>
      </w:r>
      <w:r w:rsidR="00BC762A">
        <w:t xml:space="preserve">Kavanaugh 2014; Cutolo 2016; Edwards 2016; Wells 2018; </w:t>
      </w:r>
      <w:r>
        <w:t xml:space="preserve">Table 44 of the PALACE 1, 2 &amp; 3 CSRs Table 37 of the PALACE 4 CSR. </w:t>
      </w:r>
      <w:bookmarkStart w:id="46" w:name="_Hlk122379015"/>
      <w:r w:rsidR="0048379A" w:rsidRPr="00514796">
        <w:t>Additional information was</w:t>
      </w:r>
      <w:r w:rsidRPr="00514796">
        <w:t xml:space="preserve"> added during the evaluation (n/N and p-values identified in the PALACE 1-4 CSRs, RR an</w:t>
      </w:r>
      <w:r w:rsidR="006056E6" w:rsidRPr="00514796">
        <w:t>d</w:t>
      </w:r>
      <w:r w:rsidRPr="00514796">
        <w:t xml:space="preserve"> RD calculated during the evaluation)</w:t>
      </w:r>
      <w:r w:rsidRPr="00514796">
        <w:rPr>
          <w:rFonts w:eastAsia="Calibri"/>
        </w:rPr>
        <w:t>.</w:t>
      </w:r>
      <w:bookmarkEnd w:id="46"/>
    </w:p>
    <w:p w14:paraId="47AE3420" w14:textId="77777777" w:rsidR="003A4883" w:rsidRDefault="003A4883" w:rsidP="003A4883">
      <w:pPr>
        <w:pStyle w:val="TableFooter"/>
        <w:rPr>
          <w:rFonts w:eastAsia="Calibri"/>
        </w:rPr>
      </w:pPr>
      <w:r w:rsidRPr="00B40358">
        <w:rPr>
          <w:rFonts w:eastAsia="Calibri"/>
        </w:rPr>
        <w:t xml:space="preserve">CI = confidence interval; </w:t>
      </w:r>
      <w:r>
        <w:rPr>
          <w:rFonts w:eastAsia="Calibri"/>
        </w:rPr>
        <w:t xml:space="preserve">FAS = full analysis set; LOCF = last observation carried forward; </w:t>
      </w:r>
      <w:r w:rsidRPr="00B40358">
        <w:rPr>
          <w:rFonts w:eastAsia="Calibri"/>
        </w:rPr>
        <w:t>n = number of participants with event; N = total participants in group</w:t>
      </w:r>
      <w:r>
        <w:rPr>
          <w:rFonts w:eastAsia="Calibri"/>
        </w:rPr>
        <w:t xml:space="preserve">; </w:t>
      </w:r>
      <w:r>
        <w:t xml:space="preserve">PASI50 = </w:t>
      </w:r>
      <w:r w:rsidRPr="0074442E">
        <w:t>Psoriasis Area and Severity Index</w:t>
      </w:r>
      <w:r>
        <w:t xml:space="preserve"> 50% response; PASI75 = </w:t>
      </w:r>
      <w:r w:rsidRPr="0074442E">
        <w:t>Psoriasis Area and Severity Index</w:t>
      </w:r>
      <w:r>
        <w:t xml:space="preserve"> 75% response</w:t>
      </w:r>
      <w:r>
        <w:rPr>
          <w:rFonts w:eastAsia="Calibri"/>
        </w:rPr>
        <w:t xml:space="preserve">. </w:t>
      </w:r>
    </w:p>
    <w:p w14:paraId="011282BA" w14:textId="1EF6F166" w:rsidR="003A4883" w:rsidRDefault="003A4883" w:rsidP="003A4883">
      <w:pPr>
        <w:pStyle w:val="TableFooter"/>
        <w:rPr>
          <w:rFonts w:eastAsia="Calibri"/>
        </w:rPr>
      </w:pPr>
      <w:r w:rsidRPr="0088754E">
        <w:rPr>
          <w:rFonts w:eastAsia="Calibri"/>
          <w:vertAlign w:val="superscript"/>
        </w:rPr>
        <w:t>a</w:t>
      </w:r>
      <w:r>
        <w:rPr>
          <w:rFonts w:eastAsia="Calibri"/>
        </w:rPr>
        <w:t xml:space="preserve"> Calculated during the evaluation by entering the dichotomous outcome data from the </w:t>
      </w:r>
      <w:r w:rsidR="002A6699">
        <w:rPr>
          <w:rFonts w:eastAsia="Calibri"/>
        </w:rPr>
        <w:t xml:space="preserve">CSRs </w:t>
      </w:r>
      <w:r>
        <w:rPr>
          <w:rFonts w:eastAsia="Calibri"/>
        </w:rPr>
        <w:t>in RevMan 5.4.1</w:t>
      </w:r>
    </w:p>
    <w:p w14:paraId="3E2DB78B" w14:textId="4BA99242" w:rsidR="003A4883" w:rsidRDefault="003A4883" w:rsidP="003A4883">
      <w:pPr>
        <w:pStyle w:val="TableFooter"/>
        <w:rPr>
          <w:rFonts w:eastAsia="Calibri"/>
        </w:rPr>
      </w:pPr>
      <w:r w:rsidRPr="00B27BF9">
        <w:rPr>
          <w:rFonts w:eastAsia="Calibri"/>
          <w:vertAlign w:val="superscript"/>
        </w:rPr>
        <w:t>b</w:t>
      </w:r>
      <w:r>
        <w:rPr>
          <w:rFonts w:eastAsia="Calibri"/>
        </w:rPr>
        <w:t xml:space="preserve"> </w:t>
      </w:r>
      <w:r w:rsidRPr="002A4A2B">
        <w:rPr>
          <w:rFonts w:eastAsia="Calibri"/>
        </w:rPr>
        <w:t>P-values are ≤ 0.050 and considered</w:t>
      </w:r>
      <w:r>
        <w:rPr>
          <w:rFonts w:eastAsia="Calibri"/>
        </w:rPr>
        <w:t xml:space="preserve"> </w:t>
      </w:r>
      <w:r w:rsidRPr="002A4A2B">
        <w:rPr>
          <w:rFonts w:eastAsia="Calibri"/>
        </w:rPr>
        <w:t>nominally significant, as there was no adjustment for multiplicity based on hierarchical testing.</w:t>
      </w:r>
    </w:p>
    <w:p w14:paraId="7AE71C25" w14:textId="77777777" w:rsidR="003A4883" w:rsidRPr="00FA142C" w:rsidRDefault="003A4883" w:rsidP="00EF48B5">
      <w:pPr>
        <w:pStyle w:val="TableFooter"/>
        <w:spacing w:after="120"/>
        <w:rPr>
          <w:color w:val="0066FF"/>
        </w:rPr>
      </w:pPr>
      <w:r w:rsidRPr="00B27BF9">
        <w:rPr>
          <w:rFonts w:eastAsia="Calibri"/>
          <w:vertAlign w:val="superscript"/>
        </w:rPr>
        <w:t>c</w:t>
      </w:r>
      <w:r>
        <w:rPr>
          <w:rFonts w:eastAsia="Calibri"/>
        </w:rPr>
        <w:t xml:space="preserve"> </w:t>
      </w:r>
      <w:r w:rsidRPr="00302F16">
        <w:rPr>
          <w:rFonts w:eastAsia="Calibri"/>
        </w:rPr>
        <w:t>The p-value was considered nominally significant, as hierarchical testing was stopped before this outcome was assessed for statistical significance.</w:t>
      </w:r>
    </w:p>
    <w:p w14:paraId="0F2FBC25" w14:textId="0EBE59EE" w:rsidR="003A4883" w:rsidRPr="00AC710E" w:rsidRDefault="003A4883" w:rsidP="001A5767">
      <w:pPr>
        <w:pStyle w:val="3-BodyText"/>
        <w:ind w:left="720" w:hanging="720"/>
      </w:pPr>
      <w:r w:rsidRPr="0033470C">
        <w:t xml:space="preserve">A greater proportion of </w:t>
      </w:r>
      <w:r w:rsidR="0016441D" w:rsidRPr="0033470C">
        <w:t xml:space="preserve">participants </w:t>
      </w:r>
      <w:r w:rsidRPr="0033470C">
        <w:t xml:space="preserve">treated with apremilast compared to placebo achieved a PASI50 and/or PASI75 response at week 16 in all trials. </w:t>
      </w:r>
    </w:p>
    <w:p w14:paraId="35517EEE" w14:textId="77777777" w:rsidR="003A4883" w:rsidRPr="00AC710E" w:rsidRDefault="003A4883" w:rsidP="001F63E3">
      <w:pPr>
        <w:pStyle w:val="5-SubsectionSubheading"/>
      </w:pPr>
      <w:bookmarkStart w:id="47" w:name="_Toc124945473"/>
      <w:r w:rsidRPr="00AC710E">
        <w:t>Subgroup analysis</w:t>
      </w:r>
      <w:bookmarkEnd w:id="47"/>
    </w:p>
    <w:p w14:paraId="127F3FBD" w14:textId="27795040" w:rsidR="003A4883" w:rsidRPr="000A2013" w:rsidRDefault="003A4883" w:rsidP="003A4883">
      <w:pPr>
        <w:pStyle w:val="3-BodyText"/>
        <w:ind w:left="720" w:hanging="720"/>
      </w:pPr>
      <w:r w:rsidRPr="000A2013">
        <w:t xml:space="preserve">A subgroup analysis comparing ACR20 based on prior csDMARD treatment in the ACTIVE trial is presented in </w:t>
      </w:r>
      <w:r w:rsidRPr="000A2013">
        <w:fldChar w:fldCharType="begin"/>
      </w:r>
      <w:r w:rsidRPr="000A2013">
        <w:instrText xml:space="preserve"> REF _Ref121435671 \h </w:instrText>
      </w:r>
      <w:r w:rsidR="00A14354" w:rsidRPr="000A2013">
        <w:instrText xml:space="preserve"> \* MERGEFORMAT </w:instrText>
      </w:r>
      <w:r w:rsidRPr="000A2013">
        <w:fldChar w:fldCharType="separate"/>
      </w:r>
      <w:r w:rsidR="00A05E81">
        <w:t xml:space="preserve">Table </w:t>
      </w:r>
      <w:r w:rsidR="00A05E81">
        <w:rPr>
          <w:noProof/>
        </w:rPr>
        <w:t>9</w:t>
      </w:r>
      <w:r w:rsidRPr="000A2013">
        <w:fldChar w:fldCharType="end"/>
      </w:r>
      <w:r w:rsidRPr="000A2013">
        <w:t xml:space="preserve">. </w:t>
      </w:r>
    </w:p>
    <w:p w14:paraId="36BCEFE1" w14:textId="0AAE8D98" w:rsidR="003A4883" w:rsidRDefault="003A4883" w:rsidP="003A4883">
      <w:pPr>
        <w:pStyle w:val="Caption"/>
      </w:pPr>
      <w:bookmarkStart w:id="48" w:name="_Ref121435671"/>
      <w:bookmarkStart w:id="49" w:name="_Hlk127430736"/>
      <w:r>
        <w:lastRenderedPageBreak/>
        <w:t xml:space="preserve">Table </w:t>
      </w:r>
      <w:r w:rsidR="00A05E81">
        <w:fldChar w:fldCharType="begin"/>
      </w:r>
      <w:r w:rsidR="00A05E81">
        <w:instrText xml:space="preserve"> SEQ Table \* ARABIC </w:instrText>
      </w:r>
      <w:r w:rsidR="00A05E81">
        <w:fldChar w:fldCharType="separate"/>
      </w:r>
      <w:r w:rsidR="00A05E81">
        <w:rPr>
          <w:noProof/>
        </w:rPr>
        <w:t>9</w:t>
      </w:r>
      <w:r w:rsidR="00A05E81">
        <w:rPr>
          <w:noProof/>
        </w:rPr>
        <w:fldChar w:fldCharType="end"/>
      </w:r>
      <w:bookmarkEnd w:id="48"/>
      <w:r>
        <w:t xml:space="preserve">: </w:t>
      </w:r>
      <w:r w:rsidRPr="002278A0">
        <w:rPr>
          <w:rStyle w:val="CommentReference"/>
          <w:b/>
          <w:szCs w:val="24"/>
        </w:rPr>
        <w:t>Results of subgroup analysis with whole trial population results and complement results</w:t>
      </w:r>
      <w:r>
        <w:rPr>
          <w:rStyle w:val="CommentReference"/>
          <w:b/>
          <w:szCs w:val="24"/>
        </w:rPr>
        <w:t xml:space="preserve"> in the ACTIVE trial at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767"/>
        <w:gridCol w:w="1776"/>
        <w:gridCol w:w="1558"/>
        <w:gridCol w:w="1652"/>
      </w:tblGrid>
      <w:tr w:rsidR="003A4883" w:rsidRPr="0048379A" w14:paraId="4A2FAA6F" w14:textId="77777777" w:rsidTr="00146FF1">
        <w:trPr>
          <w:tblHeader/>
        </w:trPr>
        <w:tc>
          <w:tcPr>
            <w:tcW w:w="1255" w:type="pct"/>
            <w:vAlign w:val="center"/>
          </w:tcPr>
          <w:p w14:paraId="094B69C0" w14:textId="77777777" w:rsidR="003A4883" w:rsidRPr="0048379A" w:rsidRDefault="003A4883" w:rsidP="001A5767">
            <w:pPr>
              <w:pStyle w:val="In-tableHeading"/>
              <w:jc w:val="center"/>
            </w:pPr>
            <w:r w:rsidRPr="0048379A">
              <w:t>Population</w:t>
            </w:r>
          </w:p>
        </w:tc>
        <w:tc>
          <w:tcPr>
            <w:tcW w:w="980" w:type="pct"/>
            <w:vAlign w:val="center"/>
          </w:tcPr>
          <w:p w14:paraId="2D24AA84" w14:textId="77777777" w:rsidR="003A4883" w:rsidRPr="0048379A" w:rsidRDefault="003A4883" w:rsidP="001A5767">
            <w:pPr>
              <w:pStyle w:val="In-tableHeading"/>
              <w:jc w:val="center"/>
            </w:pPr>
            <w:r w:rsidRPr="0048379A">
              <w:t>Apremilast</w:t>
            </w:r>
          </w:p>
        </w:tc>
        <w:tc>
          <w:tcPr>
            <w:tcW w:w="985" w:type="pct"/>
            <w:vAlign w:val="center"/>
          </w:tcPr>
          <w:p w14:paraId="72AE5388" w14:textId="77777777" w:rsidR="003A4883" w:rsidRPr="0048379A" w:rsidRDefault="003A4883" w:rsidP="001A5767">
            <w:pPr>
              <w:pStyle w:val="In-tableHeading"/>
              <w:jc w:val="center"/>
            </w:pPr>
            <w:r w:rsidRPr="0048379A">
              <w:t>Placebo</w:t>
            </w:r>
          </w:p>
        </w:tc>
        <w:tc>
          <w:tcPr>
            <w:tcW w:w="864" w:type="pct"/>
            <w:vAlign w:val="center"/>
          </w:tcPr>
          <w:p w14:paraId="24C7707C" w14:textId="73EFDDD1" w:rsidR="003A4883" w:rsidRPr="0048379A" w:rsidRDefault="003A4883" w:rsidP="001A5767">
            <w:pPr>
              <w:pStyle w:val="In-tableHeading"/>
              <w:jc w:val="center"/>
            </w:pPr>
            <w:r w:rsidRPr="0048379A">
              <w:t>RR (95% CI)</w:t>
            </w:r>
            <w:r w:rsidR="009A5C5D" w:rsidRPr="0088754E">
              <w:rPr>
                <w:rFonts w:eastAsia="Calibri"/>
                <w:vertAlign w:val="superscript"/>
              </w:rPr>
              <w:t xml:space="preserve"> a</w:t>
            </w:r>
          </w:p>
        </w:tc>
        <w:tc>
          <w:tcPr>
            <w:tcW w:w="916" w:type="pct"/>
            <w:vAlign w:val="center"/>
          </w:tcPr>
          <w:p w14:paraId="12330411" w14:textId="541D81A7" w:rsidR="003A4883" w:rsidRPr="0048379A" w:rsidRDefault="003A4883" w:rsidP="001A5767">
            <w:pPr>
              <w:pStyle w:val="In-tableHeading"/>
              <w:jc w:val="center"/>
            </w:pPr>
            <w:r w:rsidRPr="0048379A">
              <w:t>RD (95% CI)</w:t>
            </w:r>
            <w:r w:rsidRPr="0048379A">
              <w:rPr>
                <w:vertAlign w:val="superscript"/>
              </w:rPr>
              <w:t xml:space="preserve"> </w:t>
            </w:r>
            <w:r w:rsidR="009A5C5D" w:rsidRPr="0088754E">
              <w:rPr>
                <w:rFonts w:eastAsia="Calibri"/>
                <w:vertAlign w:val="superscript"/>
              </w:rPr>
              <w:t>a</w:t>
            </w:r>
          </w:p>
        </w:tc>
      </w:tr>
      <w:tr w:rsidR="003A4883" w:rsidRPr="0048379A" w14:paraId="1DAF0572" w14:textId="77777777" w:rsidTr="00146FF1">
        <w:trPr>
          <w:tblHeader/>
        </w:trPr>
        <w:tc>
          <w:tcPr>
            <w:tcW w:w="5000" w:type="pct"/>
            <w:gridSpan w:val="5"/>
            <w:vAlign w:val="center"/>
          </w:tcPr>
          <w:p w14:paraId="21AA4F40" w14:textId="77777777" w:rsidR="003A4883" w:rsidRPr="0048379A" w:rsidRDefault="003A4883" w:rsidP="001A5767">
            <w:pPr>
              <w:pStyle w:val="In-tableHeading"/>
            </w:pPr>
            <w:r w:rsidRPr="0048379A">
              <w:t>ACR20, n/N (%)</w:t>
            </w:r>
          </w:p>
        </w:tc>
      </w:tr>
      <w:tr w:rsidR="003A4883" w:rsidRPr="0048379A" w14:paraId="4F0C3F65" w14:textId="77777777" w:rsidTr="00146FF1">
        <w:tc>
          <w:tcPr>
            <w:tcW w:w="1255" w:type="pct"/>
            <w:vAlign w:val="center"/>
          </w:tcPr>
          <w:p w14:paraId="5E70ACEC" w14:textId="77777777" w:rsidR="003A4883" w:rsidRPr="0048379A" w:rsidRDefault="003A4883" w:rsidP="001A5767">
            <w:pPr>
              <w:pStyle w:val="TableText0"/>
            </w:pPr>
            <w:r w:rsidRPr="0048379A">
              <w:t>Whole trial population</w:t>
            </w:r>
          </w:p>
        </w:tc>
        <w:tc>
          <w:tcPr>
            <w:tcW w:w="980" w:type="pct"/>
            <w:vAlign w:val="center"/>
          </w:tcPr>
          <w:p w14:paraId="23A6B0A7" w14:textId="77777777" w:rsidR="003A4883" w:rsidRPr="0048379A" w:rsidRDefault="003A4883" w:rsidP="001A5767">
            <w:pPr>
              <w:pStyle w:val="TableText0"/>
              <w:jc w:val="center"/>
              <w:rPr>
                <w:b/>
                <w:bCs w:val="0"/>
              </w:rPr>
            </w:pPr>
            <w:r w:rsidRPr="0048379A">
              <w:rPr>
                <w:b/>
                <w:bCs w:val="0"/>
              </w:rPr>
              <w:t>42/110 (38.2)</w:t>
            </w:r>
          </w:p>
        </w:tc>
        <w:tc>
          <w:tcPr>
            <w:tcW w:w="985" w:type="pct"/>
            <w:vAlign w:val="center"/>
          </w:tcPr>
          <w:p w14:paraId="4CD3C51E" w14:textId="77777777" w:rsidR="003A4883" w:rsidRPr="0048379A" w:rsidRDefault="003A4883" w:rsidP="001A5767">
            <w:pPr>
              <w:pStyle w:val="TableText0"/>
              <w:jc w:val="center"/>
            </w:pPr>
            <w:r w:rsidRPr="0048379A">
              <w:t>22/109 (20.2)</w:t>
            </w:r>
          </w:p>
        </w:tc>
        <w:tc>
          <w:tcPr>
            <w:tcW w:w="864" w:type="pct"/>
            <w:vAlign w:val="center"/>
          </w:tcPr>
          <w:p w14:paraId="733DF08E" w14:textId="560819BE" w:rsidR="003A4883" w:rsidRPr="0048379A" w:rsidRDefault="003A4883" w:rsidP="001A5767">
            <w:pPr>
              <w:pStyle w:val="TableText0"/>
              <w:jc w:val="center"/>
              <w:rPr>
                <w:rFonts w:ascii="Times" w:hAnsi="Times"/>
              </w:rPr>
            </w:pPr>
            <w:r w:rsidRPr="00831F9C">
              <w:rPr>
                <w:b/>
                <w:bCs w:val="0"/>
              </w:rPr>
              <w:t xml:space="preserve">1.89 </w:t>
            </w:r>
            <w:r w:rsidR="009A5C5D">
              <w:rPr>
                <w:b/>
                <w:bCs w:val="0"/>
              </w:rPr>
              <w:t>(</w:t>
            </w:r>
            <w:r w:rsidRPr="00831F9C">
              <w:rPr>
                <w:b/>
                <w:bCs w:val="0"/>
              </w:rPr>
              <w:t>1.22, 2.95</w:t>
            </w:r>
            <w:r w:rsidR="009A5C5D">
              <w:rPr>
                <w:b/>
                <w:bCs w:val="0"/>
              </w:rPr>
              <w:t>)</w:t>
            </w:r>
            <w:r w:rsidR="00DD6DEA" w:rsidRPr="00831F9C">
              <w:rPr>
                <w:b/>
                <w:bCs w:val="0"/>
              </w:rPr>
              <w:t xml:space="preserve"> </w:t>
            </w:r>
          </w:p>
        </w:tc>
        <w:tc>
          <w:tcPr>
            <w:tcW w:w="916" w:type="pct"/>
            <w:vAlign w:val="center"/>
          </w:tcPr>
          <w:p w14:paraId="2A425D91" w14:textId="0AD56F50" w:rsidR="003A4883" w:rsidRPr="0048379A" w:rsidRDefault="003A4883" w:rsidP="001A5767">
            <w:pPr>
              <w:pStyle w:val="TableText0"/>
              <w:jc w:val="center"/>
              <w:rPr>
                <w:rFonts w:ascii="Times" w:hAnsi="Times"/>
              </w:rPr>
            </w:pPr>
            <w:r w:rsidRPr="00831F9C">
              <w:rPr>
                <w:b/>
                <w:bCs w:val="0"/>
              </w:rPr>
              <w:t xml:space="preserve">0.18 </w:t>
            </w:r>
            <w:r w:rsidR="009A5C5D">
              <w:rPr>
                <w:b/>
                <w:bCs w:val="0"/>
              </w:rPr>
              <w:t>(</w:t>
            </w:r>
            <w:r w:rsidRPr="00831F9C">
              <w:rPr>
                <w:b/>
                <w:bCs w:val="0"/>
              </w:rPr>
              <w:t>0.06, 0.30</w:t>
            </w:r>
            <w:r w:rsidR="009A5C5D">
              <w:rPr>
                <w:b/>
                <w:bCs w:val="0"/>
              </w:rPr>
              <w:t>)</w:t>
            </w:r>
          </w:p>
        </w:tc>
      </w:tr>
      <w:tr w:rsidR="003A4883" w:rsidRPr="0048379A" w14:paraId="6F01AC0B" w14:textId="77777777" w:rsidTr="00146FF1">
        <w:tc>
          <w:tcPr>
            <w:tcW w:w="1255" w:type="pct"/>
            <w:vAlign w:val="center"/>
          </w:tcPr>
          <w:p w14:paraId="23E8D69E" w14:textId="77777777" w:rsidR="003A4883" w:rsidRPr="0048379A" w:rsidRDefault="003A4883" w:rsidP="001A5767">
            <w:pPr>
              <w:pStyle w:val="TableText0"/>
              <w:rPr>
                <w:rFonts w:ascii="Times" w:hAnsi="Times"/>
              </w:rPr>
            </w:pPr>
            <w:r w:rsidRPr="0048379A">
              <w:t>Prior csDMARD use</w:t>
            </w:r>
          </w:p>
        </w:tc>
        <w:tc>
          <w:tcPr>
            <w:tcW w:w="980" w:type="pct"/>
            <w:vAlign w:val="center"/>
          </w:tcPr>
          <w:p w14:paraId="367E2578" w14:textId="77777777" w:rsidR="003A4883" w:rsidRPr="0048379A" w:rsidRDefault="003A4883" w:rsidP="001A5767">
            <w:pPr>
              <w:pStyle w:val="TableText0"/>
              <w:jc w:val="center"/>
              <w:rPr>
                <w:b/>
                <w:bCs w:val="0"/>
              </w:rPr>
            </w:pPr>
            <w:r w:rsidRPr="0048379A">
              <w:rPr>
                <w:b/>
                <w:bCs w:val="0"/>
              </w:rPr>
              <w:t>29/74 (39.2)</w:t>
            </w:r>
          </w:p>
        </w:tc>
        <w:tc>
          <w:tcPr>
            <w:tcW w:w="985" w:type="pct"/>
            <w:vAlign w:val="center"/>
          </w:tcPr>
          <w:p w14:paraId="20703DAB" w14:textId="77777777" w:rsidR="003A4883" w:rsidRPr="0048379A" w:rsidRDefault="003A4883" w:rsidP="001A5767">
            <w:pPr>
              <w:pStyle w:val="TableText0"/>
              <w:jc w:val="center"/>
            </w:pPr>
            <w:r w:rsidRPr="0048379A">
              <w:t>16/78 (20.5)</w:t>
            </w:r>
          </w:p>
        </w:tc>
        <w:tc>
          <w:tcPr>
            <w:tcW w:w="864" w:type="pct"/>
            <w:vAlign w:val="center"/>
          </w:tcPr>
          <w:p w14:paraId="0CFA9121" w14:textId="02210DFD" w:rsidR="003A4883" w:rsidRPr="00831F9C" w:rsidRDefault="006B6EA5" w:rsidP="001A5767">
            <w:pPr>
              <w:pStyle w:val="TableText0"/>
              <w:jc w:val="center"/>
              <w:rPr>
                <w:b/>
                <w:bCs w:val="0"/>
              </w:rPr>
            </w:pPr>
            <w:r w:rsidRPr="00831F9C">
              <w:rPr>
                <w:rFonts w:eastAsiaTheme="minorHAnsi"/>
                <w:b/>
                <w:bCs w:val="0"/>
              </w:rPr>
              <w:t xml:space="preserve">1.91 </w:t>
            </w:r>
            <w:r w:rsidR="009A5C5D">
              <w:rPr>
                <w:rFonts w:eastAsiaTheme="minorHAnsi"/>
                <w:b/>
                <w:bCs w:val="0"/>
              </w:rPr>
              <w:t>(</w:t>
            </w:r>
            <w:r w:rsidRPr="00831F9C">
              <w:rPr>
                <w:rFonts w:eastAsiaTheme="minorHAnsi"/>
                <w:b/>
                <w:bCs w:val="0"/>
              </w:rPr>
              <w:t>1.13, 3.22</w:t>
            </w:r>
            <w:r w:rsidR="009A5C5D">
              <w:rPr>
                <w:rFonts w:eastAsiaTheme="minorHAnsi"/>
                <w:b/>
                <w:bCs w:val="0"/>
              </w:rPr>
              <w:t>)</w:t>
            </w:r>
            <w:r w:rsidRPr="00831F9C">
              <w:rPr>
                <w:rFonts w:eastAsiaTheme="minorHAnsi"/>
                <w:b/>
                <w:bCs w:val="0"/>
              </w:rPr>
              <w:t xml:space="preserve"> </w:t>
            </w:r>
          </w:p>
        </w:tc>
        <w:tc>
          <w:tcPr>
            <w:tcW w:w="916" w:type="pct"/>
            <w:vAlign w:val="center"/>
          </w:tcPr>
          <w:p w14:paraId="039E67D3" w14:textId="539DB2DA" w:rsidR="003A4883" w:rsidRPr="00831F9C" w:rsidRDefault="006B6EA5" w:rsidP="001A5767">
            <w:pPr>
              <w:pStyle w:val="TableText0"/>
              <w:jc w:val="center"/>
              <w:rPr>
                <w:b/>
                <w:bCs w:val="0"/>
              </w:rPr>
            </w:pPr>
            <w:r w:rsidRPr="00831F9C">
              <w:rPr>
                <w:rFonts w:eastAsiaTheme="minorHAnsi"/>
                <w:b/>
                <w:bCs w:val="0"/>
              </w:rPr>
              <w:t xml:space="preserve">0.19 </w:t>
            </w:r>
            <w:r w:rsidR="009A5C5D">
              <w:rPr>
                <w:rFonts w:eastAsiaTheme="minorHAnsi"/>
                <w:b/>
                <w:bCs w:val="0"/>
              </w:rPr>
              <w:t>(</w:t>
            </w:r>
            <w:r w:rsidRPr="00831F9C">
              <w:rPr>
                <w:rFonts w:eastAsiaTheme="minorHAnsi"/>
                <w:b/>
                <w:bCs w:val="0"/>
              </w:rPr>
              <w:t>0.04, 0.33</w:t>
            </w:r>
            <w:r w:rsidR="009A5C5D">
              <w:rPr>
                <w:rFonts w:eastAsiaTheme="minorHAnsi"/>
                <w:b/>
                <w:bCs w:val="0"/>
              </w:rPr>
              <w:t>)</w:t>
            </w:r>
            <w:r w:rsidR="00DD6DEA" w:rsidRPr="00831F9C">
              <w:rPr>
                <w:b/>
                <w:bCs w:val="0"/>
              </w:rPr>
              <w:t xml:space="preserve"> </w:t>
            </w:r>
          </w:p>
        </w:tc>
      </w:tr>
      <w:tr w:rsidR="003A4883" w:rsidRPr="0048379A" w14:paraId="6994DBFD" w14:textId="77777777" w:rsidTr="00146FF1">
        <w:tc>
          <w:tcPr>
            <w:tcW w:w="1255" w:type="pct"/>
            <w:vAlign w:val="center"/>
          </w:tcPr>
          <w:p w14:paraId="2E320A26" w14:textId="77777777" w:rsidR="003A4883" w:rsidRPr="0048379A" w:rsidRDefault="003A4883" w:rsidP="001A5767">
            <w:pPr>
              <w:pStyle w:val="TableText0"/>
              <w:rPr>
                <w:rFonts w:ascii="Times" w:hAnsi="Times"/>
              </w:rPr>
            </w:pPr>
            <w:r w:rsidRPr="0048379A">
              <w:t>Complement of subgroup</w:t>
            </w:r>
          </w:p>
        </w:tc>
        <w:tc>
          <w:tcPr>
            <w:tcW w:w="980" w:type="pct"/>
            <w:vAlign w:val="center"/>
          </w:tcPr>
          <w:p w14:paraId="50BC19DD" w14:textId="77777777" w:rsidR="003A4883" w:rsidRPr="0048379A" w:rsidRDefault="003A4883" w:rsidP="001A5767">
            <w:pPr>
              <w:pStyle w:val="TableText0"/>
              <w:jc w:val="center"/>
            </w:pPr>
            <w:r w:rsidRPr="0048379A">
              <w:t>NR</w:t>
            </w:r>
          </w:p>
        </w:tc>
        <w:tc>
          <w:tcPr>
            <w:tcW w:w="985" w:type="pct"/>
            <w:vAlign w:val="center"/>
          </w:tcPr>
          <w:p w14:paraId="5B3906C1" w14:textId="77777777" w:rsidR="003A4883" w:rsidRPr="0048379A" w:rsidRDefault="003A4883" w:rsidP="001A5767">
            <w:pPr>
              <w:pStyle w:val="TableText0"/>
              <w:jc w:val="center"/>
            </w:pPr>
            <w:r w:rsidRPr="0048379A">
              <w:t>NR</w:t>
            </w:r>
          </w:p>
        </w:tc>
        <w:tc>
          <w:tcPr>
            <w:tcW w:w="864" w:type="pct"/>
            <w:vAlign w:val="center"/>
          </w:tcPr>
          <w:p w14:paraId="35C5014A" w14:textId="77777777" w:rsidR="003A4883" w:rsidRPr="0048379A" w:rsidRDefault="003A4883" w:rsidP="001A5767">
            <w:pPr>
              <w:pStyle w:val="TableText0"/>
              <w:jc w:val="center"/>
              <w:rPr>
                <w:rFonts w:ascii="Times" w:hAnsi="Times"/>
              </w:rPr>
            </w:pPr>
            <w:r w:rsidRPr="0048379A">
              <w:rPr>
                <w:rFonts w:ascii="Times" w:hAnsi="Times"/>
              </w:rPr>
              <w:t>-</w:t>
            </w:r>
          </w:p>
        </w:tc>
        <w:tc>
          <w:tcPr>
            <w:tcW w:w="916" w:type="pct"/>
            <w:vAlign w:val="center"/>
          </w:tcPr>
          <w:p w14:paraId="61CF524A" w14:textId="77777777" w:rsidR="003A4883" w:rsidRPr="0048379A" w:rsidRDefault="003A4883" w:rsidP="001A5767">
            <w:pPr>
              <w:pStyle w:val="TableText0"/>
              <w:jc w:val="center"/>
              <w:rPr>
                <w:rFonts w:ascii="Times" w:hAnsi="Times"/>
              </w:rPr>
            </w:pPr>
            <w:r w:rsidRPr="0048379A">
              <w:rPr>
                <w:rFonts w:ascii="Times" w:hAnsi="Times"/>
              </w:rPr>
              <w:t>-</w:t>
            </w:r>
          </w:p>
        </w:tc>
      </w:tr>
    </w:tbl>
    <w:p w14:paraId="0EC86376" w14:textId="760197CE" w:rsidR="003A4883" w:rsidRPr="00494F0C" w:rsidRDefault="003A4883" w:rsidP="003A4883">
      <w:pPr>
        <w:pStyle w:val="TableFooter"/>
        <w:keepNext/>
      </w:pPr>
      <w:r>
        <w:t>Source: Table 2-53, p</w:t>
      </w:r>
      <w:r w:rsidRPr="006B6EA5">
        <w:rPr>
          <w:i/>
          <w:iCs/>
        </w:rPr>
        <w:t>6</w:t>
      </w:r>
      <w:r w:rsidR="006B6EA5" w:rsidRPr="006B6EA5">
        <w:rPr>
          <w:i/>
          <w:iCs/>
        </w:rPr>
        <w:t>9</w:t>
      </w:r>
      <w:r>
        <w:t xml:space="preserve"> </w:t>
      </w:r>
      <w:r w:rsidRPr="00D13A3E">
        <w:t xml:space="preserve">of the </w:t>
      </w:r>
      <w:r>
        <w:t xml:space="preserve">submission. </w:t>
      </w:r>
      <w:r>
        <w:rPr>
          <w:b/>
          <w:bCs/>
        </w:rPr>
        <w:t>Bold</w:t>
      </w:r>
      <w:r>
        <w:t xml:space="preserve"> indicates statistically significant results (p&lt;0.05).</w:t>
      </w:r>
    </w:p>
    <w:p w14:paraId="389C6495" w14:textId="77777777" w:rsidR="003A4883" w:rsidRDefault="003A4883" w:rsidP="003A4883">
      <w:pPr>
        <w:pStyle w:val="TableFooter"/>
        <w:keepNext/>
        <w:rPr>
          <w:rFonts w:eastAsia="Calibri"/>
        </w:rPr>
      </w:pPr>
      <w:r>
        <w:t xml:space="preserve">ACR20 = Modified American College of Rheumatology 20% response; </w:t>
      </w:r>
      <w:r w:rsidRPr="00B40358">
        <w:rPr>
          <w:rFonts w:eastAsia="Calibri"/>
        </w:rPr>
        <w:t xml:space="preserve">CI = confidence interval; </w:t>
      </w:r>
      <w:r>
        <w:rPr>
          <w:rFonts w:eastAsia="Calibri"/>
        </w:rPr>
        <w:t xml:space="preserve">csDMARD = conventional synthetic disease modifying antirheumatic drug; </w:t>
      </w:r>
      <w:r w:rsidRPr="00B40358">
        <w:rPr>
          <w:rFonts w:eastAsia="Calibri"/>
        </w:rPr>
        <w:t>n = number of participants reporting data; N = total participants in group</w:t>
      </w:r>
      <w:r>
        <w:rPr>
          <w:rFonts w:eastAsia="Calibri"/>
        </w:rPr>
        <w:t>; NE = not estimated; NR = not reported; RD = risk difference; RR = relative risk</w:t>
      </w:r>
    </w:p>
    <w:p w14:paraId="62CB833D" w14:textId="204FD747" w:rsidR="003A4883" w:rsidRDefault="003A4883" w:rsidP="003A4883">
      <w:pPr>
        <w:pStyle w:val="TableFooter"/>
        <w:keepNext/>
        <w:spacing w:after="120"/>
        <w:rPr>
          <w:rFonts w:eastAsia="Calibri"/>
        </w:rPr>
      </w:pPr>
      <w:r w:rsidRPr="0088754E">
        <w:rPr>
          <w:rFonts w:eastAsia="Calibri"/>
          <w:vertAlign w:val="superscript"/>
        </w:rPr>
        <w:t>a</w:t>
      </w:r>
      <w:r>
        <w:rPr>
          <w:rFonts w:eastAsia="Calibri"/>
        </w:rPr>
        <w:t xml:space="preserve"> calculated during the evaluation by entering the dichotomous outcome data in RevMan 5.4.1</w:t>
      </w:r>
    </w:p>
    <w:bookmarkEnd w:id="49"/>
    <w:p w14:paraId="3476B691" w14:textId="4DEF1A6E" w:rsidR="003A4883" w:rsidRPr="0033470C" w:rsidRDefault="003A4883" w:rsidP="003A4883">
      <w:pPr>
        <w:pStyle w:val="3-BodyText"/>
        <w:ind w:left="720" w:hanging="720"/>
      </w:pPr>
      <w:r w:rsidRPr="0033470C">
        <w:t xml:space="preserve">The results observed in </w:t>
      </w:r>
      <w:r w:rsidR="0016441D" w:rsidRPr="0033470C">
        <w:t xml:space="preserve">participants </w:t>
      </w:r>
      <w:r w:rsidRPr="0033470C">
        <w:t>who have received prior csDMARD therapy appear similar to those for the whole trial population.</w:t>
      </w:r>
      <w:r w:rsidR="009A5C5D">
        <w:t xml:space="preserve"> R</w:t>
      </w:r>
      <w:r w:rsidRPr="0033470C">
        <w:t>esults for the complementary subgroup were not presented</w:t>
      </w:r>
      <w:r w:rsidR="009A5C5D">
        <w:t xml:space="preserve"> and n</w:t>
      </w:r>
      <w:r w:rsidRPr="0033470C">
        <w:t>o statistical tests for treatment interaction were presented within the submission.</w:t>
      </w:r>
    </w:p>
    <w:p w14:paraId="4946B8BC" w14:textId="03A89F3D" w:rsidR="003A4883" w:rsidRPr="0033470C" w:rsidRDefault="003A4883" w:rsidP="003A4883">
      <w:pPr>
        <w:pStyle w:val="3-BodyText"/>
        <w:ind w:left="720" w:hanging="720"/>
      </w:pPr>
      <w:r w:rsidRPr="0033470C">
        <w:fldChar w:fldCharType="begin"/>
      </w:r>
      <w:r w:rsidRPr="0033470C">
        <w:instrText xml:space="preserve"> REF _Ref121435970 \h </w:instrText>
      </w:r>
      <w:r w:rsidR="0033470C">
        <w:instrText xml:space="preserve"> \* MERGEFORMAT </w:instrText>
      </w:r>
      <w:r w:rsidRPr="0033470C">
        <w:fldChar w:fldCharType="separate"/>
      </w:r>
      <w:r w:rsidR="00A05E81">
        <w:t xml:space="preserve">Figure </w:t>
      </w:r>
      <w:r w:rsidR="00A05E81">
        <w:rPr>
          <w:noProof/>
        </w:rPr>
        <w:t>2</w:t>
      </w:r>
      <w:r w:rsidRPr="0033470C">
        <w:fldChar w:fldCharType="end"/>
      </w:r>
      <w:r w:rsidRPr="0033470C">
        <w:t xml:space="preserve"> shows the subgroup analysis comparing ACR20 response based on prior csDMARD and bDMARD use in the PALACE 1-3 trials.</w:t>
      </w:r>
    </w:p>
    <w:p w14:paraId="3929D8E4" w14:textId="3928097A" w:rsidR="003A4883" w:rsidRDefault="003A4883" w:rsidP="003A4883">
      <w:pPr>
        <w:pStyle w:val="Caption"/>
      </w:pPr>
      <w:bookmarkStart w:id="50" w:name="_Ref121435970"/>
      <w:r>
        <w:t xml:space="preserve">Figure </w:t>
      </w:r>
      <w:r w:rsidR="00A05E81">
        <w:fldChar w:fldCharType="begin"/>
      </w:r>
      <w:r w:rsidR="00A05E81">
        <w:instrText xml:space="preserve"> SEQ Figure \* ARABIC </w:instrText>
      </w:r>
      <w:r w:rsidR="00A05E81">
        <w:fldChar w:fldCharType="separate"/>
      </w:r>
      <w:r w:rsidR="00A05E81">
        <w:rPr>
          <w:noProof/>
        </w:rPr>
        <w:t>2</w:t>
      </w:r>
      <w:r w:rsidR="00A05E81">
        <w:rPr>
          <w:noProof/>
        </w:rPr>
        <w:fldChar w:fldCharType="end"/>
      </w:r>
      <w:bookmarkEnd w:id="50"/>
      <w:r>
        <w:t xml:space="preserve">: </w:t>
      </w:r>
      <w:r w:rsidRPr="006429F6">
        <w:t>ACR20 response rate at week 16 by prior use of csDMARDs and b</w:t>
      </w:r>
      <w:r>
        <w:t>DMARD</w:t>
      </w:r>
      <w:r w:rsidRPr="006429F6">
        <w:t>s (pooled data from the PALACE 1-3 trials)</w:t>
      </w:r>
    </w:p>
    <w:p w14:paraId="15727F71" w14:textId="77777777" w:rsidR="003A4883" w:rsidRDefault="003A4883" w:rsidP="003A4883">
      <w:pPr>
        <w:pStyle w:val="3-BodyText"/>
        <w:numPr>
          <w:ilvl w:val="0"/>
          <w:numId w:val="0"/>
        </w:numPr>
        <w:rPr>
          <w:color w:val="0066FF"/>
        </w:rPr>
      </w:pPr>
      <w:r w:rsidRPr="009D2152">
        <w:rPr>
          <w:noProof/>
        </w:rPr>
        <w:drawing>
          <wp:inline distT="0" distB="0" distL="0" distR="0" wp14:anchorId="761DEE11" wp14:editId="1AA8F078">
            <wp:extent cx="5732145" cy="3121025"/>
            <wp:effectExtent l="0" t="0" r="1905" b="3175"/>
            <wp:docPr id="23" name="Picture 23" descr="Figure 2: ACR20 response rate at week 16 by prior use of csDMARDs and bDMARDs (pooled data from the PALACE 1-3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2: ACR20 response rate at week 16 by prior use of csDMARDs and bDMARDs (pooled data from the PALACE 1-3 trials)"/>
                    <pic:cNvPicPr/>
                  </pic:nvPicPr>
                  <pic:blipFill>
                    <a:blip r:embed="rId9"/>
                    <a:stretch>
                      <a:fillRect/>
                    </a:stretch>
                  </pic:blipFill>
                  <pic:spPr>
                    <a:xfrm>
                      <a:off x="0" y="0"/>
                      <a:ext cx="5732145" cy="3121025"/>
                    </a:xfrm>
                    <a:prstGeom prst="rect">
                      <a:avLst/>
                    </a:prstGeom>
                  </pic:spPr>
                </pic:pic>
              </a:graphicData>
            </a:graphic>
          </wp:inline>
        </w:drawing>
      </w:r>
    </w:p>
    <w:p w14:paraId="648FD902" w14:textId="77777777" w:rsidR="003A4883" w:rsidRDefault="003A4883" w:rsidP="003A4883">
      <w:pPr>
        <w:pStyle w:val="TableFooter"/>
      </w:pPr>
      <w:r>
        <w:t>Source: Figure 2-11 p70 of the submission.</w:t>
      </w:r>
    </w:p>
    <w:p w14:paraId="7D84FC16" w14:textId="77777777" w:rsidR="003A4883" w:rsidRDefault="003A4883" w:rsidP="003A4883">
      <w:pPr>
        <w:pStyle w:val="TableFooter"/>
        <w:spacing w:after="120"/>
      </w:pPr>
      <w:r>
        <w:t xml:space="preserve">ACR20 = Modified American College of Rheumatology 20% response; BID = twice daily; </w:t>
      </w:r>
      <w:r>
        <w:rPr>
          <w:rFonts w:eastAsia="Calibri"/>
        </w:rPr>
        <w:t>bDMARD = biologic disease modifying antirheumatic drug;</w:t>
      </w:r>
      <w:r w:rsidRPr="00DA017D">
        <w:rPr>
          <w:rFonts w:eastAsia="Calibri"/>
        </w:rPr>
        <w:t xml:space="preserve"> </w:t>
      </w:r>
      <w:r>
        <w:t xml:space="preserve">CI = confidence interval; </w:t>
      </w:r>
      <w:r>
        <w:rPr>
          <w:rFonts w:eastAsia="Calibri"/>
        </w:rPr>
        <w:t>csDMARD = conventional synthetic disease modifying antirheumatic drug; DMARD = disease modifying antirheumatic drug.</w:t>
      </w:r>
    </w:p>
    <w:p w14:paraId="71C7DA71" w14:textId="795128C2" w:rsidR="003A4883" w:rsidRPr="0033470C" w:rsidRDefault="003A4883" w:rsidP="003A4883">
      <w:pPr>
        <w:pStyle w:val="3-BodyText"/>
        <w:ind w:left="720" w:hanging="720"/>
      </w:pPr>
      <w:r w:rsidRPr="0033470C">
        <w:t xml:space="preserve">The pre-planned subgroup analysis of ACR20 response demonstrated a consistent treatment effect regardless of prior treatment, excluding </w:t>
      </w:r>
      <w:r w:rsidR="0016441D" w:rsidRPr="0033470C">
        <w:t xml:space="preserve">participants </w:t>
      </w:r>
      <w:r w:rsidRPr="0033470C">
        <w:t>who have failed b</w:t>
      </w:r>
      <w:r w:rsidR="00B8317F" w:rsidRPr="0033470C">
        <w:t>DMARD</w:t>
      </w:r>
      <w:r w:rsidRPr="0033470C">
        <w:t xml:space="preserve"> treatment (who were also excluded from the proposed PBS population). No statistical tests for treatment interaction were presented.</w:t>
      </w:r>
    </w:p>
    <w:p w14:paraId="69EB7ECB" w14:textId="68D5D895" w:rsidR="003A4883" w:rsidRPr="0033470C" w:rsidRDefault="003A4883" w:rsidP="003A4883">
      <w:pPr>
        <w:pStyle w:val="3-BodyText"/>
        <w:ind w:left="720" w:hanging="720"/>
        <w:rPr>
          <w:color w:val="0066FF"/>
        </w:rPr>
      </w:pPr>
      <w:r w:rsidRPr="0033470C">
        <w:lastRenderedPageBreak/>
        <w:t>The statistical analyses presented for the subgroup analyses are insufficient to draw conclusions regarding the impact of prior treatment or baseline disease activity on the treatment effect of apremilast. Although the results show no large differences between subgroups, the trials were not designed, powered or analysed to detect a difference based on prior treatment or baseline disease activity.</w:t>
      </w:r>
    </w:p>
    <w:p w14:paraId="0A6C346D" w14:textId="77777777" w:rsidR="003A4883" w:rsidRPr="00752D03" w:rsidRDefault="003A4883" w:rsidP="003A4883">
      <w:pPr>
        <w:pStyle w:val="5-SubsectionSubheading"/>
      </w:pPr>
      <w:bookmarkStart w:id="51" w:name="_Toc124945474"/>
      <w:r w:rsidRPr="00752D03">
        <w:t>Quality of life assessment</w:t>
      </w:r>
      <w:bookmarkEnd w:id="51"/>
    </w:p>
    <w:p w14:paraId="7423E4AE" w14:textId="7895038B" w:rsidR="003A4883" w:rsidRPr="0033470C" w:rsidRDefault="003A4883" w:rsidP="003A4883">
      <w:pPr>
        <w:pStyle w:val="3-BodyText"/>
        <w:ind w:left="720" w:hanging="720"/>
        <w:rPr>
          <w:color w:val="0066FF"/>
        </w:rPr>
      </w:pPr>
      <w:bookmarkStart w:id="52" w:name="_Hlk121961237"/>
      <w:r w:rsidRPr="0033470C">
        <w:t xml:space="preserve">EQ-5D </w:t>
      </w:r>
      <w:r w:rsidR="006C2774">
        <w:t xml:space="preserve">results for PALACE-1 and PALACE-3 </w:t>
      </w:r>
      <w:r w:rsidRPr="0033470C">
        <w:t xml:space="preserve">are presented in </w:t>
      </w:r>
      <w:r w:rsidRPr="0033470C">
        <w:fldChar w:fldCharType="begin"/>
      </w:r>
      <w:r w:rsidRPr="0033470C">
        <w:instrText xml:space="preserve"> REF _Ref121472204 \h  \* MERGEFORMAT </w:instrText>
      </w:r>
      <w:r w:rsidRPr="0033470C">
        <w:fldChar w:fldCharType="separate"/>
      </w:r>
      <w:r w:rsidR="00A05E81">
        <w:t xml:space="preserve">Table </w:t>
      </w:r>
      <w:r w:rsidR="00A05E81">
        <w:rPr>
          <w:noProof/>
        </w:rPr>
        <w:t>10</w:t>
      </w:r>
      <w:r w:rsidRPr="0033470C">
        <w:fldChar w:fldCharType="end"/>
      </w:r>
      <w:r w:rsidRPr="0033470C">
        <w:t>.</w:t>
      </w:r>
      <w:bookmarkEnd w:id="52"/>
      <w:r w:rsidR="00E03813" w:rsidRPr="0033470C">
        <w:t xml:space="preserve"> </w:t>
      </w:r>
      <w:r w:rsidR="006C2774">
        <w:t xml:space="preserve">Although collected in the trials, </w:t>
      </w:r>
      <w:r w:rsidR="00E03813" w:rsidRPr="0033470C">
        <w:t xml:space="preserve">EQ-5D data were not in the PALACE 2 and 4 CSRs provided with the </w:t>
      </w:r>
      <w:r w:rsidR="00DA6261">
        <w:t>re</w:t>
      </w:r>
      <w:r w:rsidR="00FE1CFB" w:rsidRPr="0033470C">
        <w:t>submission</w:t>
      </w:r>
      <w:r w:rsidR="00E03813" w:rsidRPr="0033470C">
        <w:t>.</w:t>
      </w:r>
    </w:p>
    <w:p w14:paraId="2008D210" w14:textId="019B597E" w:rsidR="003A4883" w:rsidRDefault="003A4883" w:rsidP="003A4883">
      <w:pPr>
        <w:pStyle w:val="Caption"/>
      </w:pPr>
      <w:bookmarkStart w:id="53" w:name="_Ref121472204"/>
      <w:bookmarkStart w:id="54" w:name="_Hlk121961174"/>
      <w:r>
        <w:t xml:space="preserve">Table </w:t>
      </w:r>
      <w:r w:rsidR="00A05E81">
        <w:fldChar w:fldCharType="begin"/>
      </w:r>
      <w:r w:rsidR="00A05E81">
        <w:instrText xml:space="preserve"> SEQ Table \* ARABIC </w:instrText>
      </w:r>
      <w:r w:rsidR="00A05E81">
        <w:fldChar w:fldCharType="separate"/>
      </w:r>
      <w:r w:rsidR="00A05E81">
        <w:rPr>
          <w:noProof/>
        </w:rPr>
        <w:t>10</w:t>
      </w:r>
      <w:r w:rsidR="00A05E81">
        <w:rPr>
          <w:noProof/>
        </w:rPr>
        <w:fldChar w:fldCharType="end"/>
      </w:r>
      <w:bookmarkEnd w:id="53"/>
      <w:r>
        <w:t>:</w:t>
      </w:r>
      <w:r w:rsidRPr="000B303E">
        <w:rPr>
          <w:rStyle w:val="CommentReference"/>
          <w:b/>
          <w:szCs w:val="24"/>
        </w:rPr>
        <w:t xml:space="preserve"> </w:t>
      </w:r>
      <w:r>
        <w:rPr>
          <w:rStyle w:val="CommentReference"/>
          <w:b/>
          <w:szCs w:val="24"/>
        </w:rPr>
        <w:t xml:space="preserve">Change from baseline in EQ-5D at week 16 in the PALACE 1 &amp; 3 trials (FAS; </w:t>
      </w:r>
      <w:r w:rsidRPr="0054784E">
        <w:rPr>
          <w:rStyle w:val="CommentReference"/>
          <w:b/>
          <w:szCs w:val="24"/>
        </w:rPr>
        <w:t>LOCF)</w:t>
      </w:r>
      <w:r w:rsidR="0044146C">
        <w:rPr>
          <w:rStyle w:val="CommentReference"/>
          <w:b/>
          <w:szCs w:val="24"/>
        </w:rPr>
        <w:t xml:space="preserve"> </w:t>
      </w:r>
      <w:r w:rsidRPr="0054784E">
        <w:rPr>
          <w:rStyle w:val="CommentReference"/>
          <w:b/>
          <w:szCs w:val="24"/>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1298"/>
        <w:gridCol w:w="1289"/>
        <w:gridCol w:w="1286"/>
        <w:gridCol w:w="1223"/>
        <w:gridCol w:w="1279"/>
        <w:gridCol w:w="1365"/>
      </w:tblGrid>
      <w:tr w:rsidR="00146FF1" w:rsidRPr="0048379A" w14:paraId="147DBE7B" w14:textId="77777777" w:rsidTr="00146FF1">
        <w:trPr>
          <w:tblHeader/>
        </w:trPr>
        <w:tc>
          <w:tcPr>
            <w:tcW w:w="708" w:type="pct"/>
            <w:vMerge w:val="restart"/>
            <w:vAlign w:val="center"/>
          </w:tcPr>
          <w:p w14:paraId="0D6F6431" w14:textId="77777777" w:rsidR="003A4883" w:rsidRPr="0048379A" w:rsidRDefault="003A4883" w:rsidP="001A5767">
            <w:pPr>
              <w:pStyle w:val="In-tableHeading"/>
              <w:jc w:val="center"/>
            </w:pPr>
            <w:r w:rsidRPr="0048379A">
              <w:t>Trial ID</w:t>
            </w:r>
          </w:p>
        </w:tc>
        <w:tc>
          <w:tcPr>
            <w:tcW w:w="2148" w:type="pct"/>
            <w:gridSpan w:val="3"/>
            <w:vAlign w:val="center"/>
          </w:tcPr>
          <w:p w14:paraId="05635E02" w14:textId="77777777" w:rsidR="003A4883" w:rsidRPr="0048379A" w:rsidRDefault="003A4883" w:rsidP="001A5767">
            <w:pPr>
              <w:pStyle w:val="In-tableHeading"/>
              <w:jc w:val="center"/>
            </w:pPr>
            <w:r w:rsidRPr="0048379A">
              <w:t>Apremilast</w:t>
            </w:r>
          </w:p>
        </w:tc>
        <w:tc>
          <w:tcPr>
            <w:tcW w:w="2144" w:type="pct"/>
            <w:gridSpan w:val="3"/>
            <w:vAlign w:val="center"/>
          </w:tcPr>
          <w:p w14:paraId="501A1AAA" w14:textId="77777777" w:rsidR="003A4883" w:rsidRPr="0048379A" w:rsidRDefault="003A4883" w:rsidP="001A5767">
            <w:pPr>
              <w:pStyle w:val="In-tableHeading"/>
              <w:jc w:val="center"/>
            </w:pPr>
            <w:r w:rsidRPr="0048379A">
              <w:t>Placebo</w:t>
            </w:r>
          </w:p>
        </w:tc>
      </w:tr>
      <w:tr w:rsidR="00146FF1" w:rsidRPr="0048379A" w14:paraId="1E9A9A99" w14:textId="77777777" w:rsidTr="00146FF1">
        <w:tc>
          <w:tcPr>
            <w:tcW w:w="708" w:type="pct"/>
            <w:vMerge/>
            <w:vAlign w:val="center"/>
          </w:tcPr>
          <w:p w14:paraId="37013C8A" w14:textId="77777777" w:rsidR="003A4883" w:rsidRPr="0048379A" w:rsidRDefault="003A4883" w:rsidP="001A5767">
            <w:pPr>
              <w:pStyle w:val="TableText0"/>
            </w:pPr>
          </w:p>
        </w:tc>
        <w:tc>
          <w:tcPr>
            <w:tcW w:w="720" w:type="pct"/>
            <w:vAlign w:val="center"/>
          </w:tcPr>
          <w:p w14:paraId="457C5B64" w14:textId="77777777" w:rsidR="003A4883" w:rsidRPr="0048379A" w:rsidRDefault="003A4883" w:rsidP="001A5767">
            <w:pPr>
              <w:pStyle w:val="TableText0"/>
              <w:jc w:val="center"/>
              <w:rPr>
                <w:b/>
                <w:bCs w:val="0"/>
              </w:rPr>
            </w:pPr>
            <w:r w:rsidRPr="0048379A">
              <w:rPr>
                <w:b/>
                <w:bCs w:val="0"/>
              </w:rPr>
              <w:t>mean baseline (SD)</w:t>
            </w:r>
          </w:p>
        </w:tc>
        <w:tc>
          <w:tcPr>
            <w:tcW w:w="715" w:type="pct"/>
            <w:vAlign w:val="center"/>
          </w:tcPr>
          <w:p w14:paraId="4ECADC53" w14:textId="77777777" w:rsidR="003A4883" w:rsidRPr="0048379A" w:rsidRDefault="003A4883" w:rsidP="001A5767">
            <w:pPr>
              <w:pStyle w:val="TableText0"/>
              <w:jc w:val="center"/>
              <w:rPr>
                <w:b/>
                <w:bCs w:val="0"/>
              </w:rPr>
            </w:pPr>
            <w:r w:rsidRPr="0048379A">
              <w:rPr>
                <w:b/>
                <w:bCs w:val="0"/>
              </w:rPr>
              <w:t>mean wk 16 (SD)</w:t>
            </w:r>
          </w:p>
        </w:tc>
        <w:tc>
          <w:tcPr>
            <w:tcW w:w="713" w:type="pct"/>
            <w:vAlign w:val="center"/>
          </w:tcPr>
          <w:p w14:paraId="5773438D" w14:textId="77777777" w:rsidR="003A4883" w:rsidRPr="0048379A" w:rsidRDefault="003A4883" w:rsidP="001A5767">
            <w:pPr>
              <w:pStyle w:val="TableText0"/>
              <w:jc w:val="center"/>
              <w:rPr>
                <w:b/>
                <w:bCs w:val="0"/>
              </w:rPr>
            </w:pPr>
            <w:r w:rsidRPr="0048379A">
              <w:rPr>
                <w:b/>
                <w:bCs w:val="0"/>
              </w:rPr>
              <w:t>mean change (95% CI)</w:t>
            </w:r>
          </w:p>
        </w:tc>
        <w:tc>
          <w:tcPr>
            <w:tcW w:w="678" w:type="pct"/>
            <w:vAlign w:val="center"/>
          </w:tcPr>
          <w:p w14:paraId="7BF36B89" w14:textId="77777777" w:rsidR="003A4883" w:rsidRPr="0048379A" w:rsidRDefault="003A4883" w:rsidP="001A5767">
            <w:pPr>
              <w:pStyle w:val="TableText0"/>
              <w:jc w:val="center"/>
              <w:rPr>
                <w:b/>
                <w:bCs w:val="0"/>
              </w:rPr>
            </w:pPr>
            <w:r w:rsidRPr="0048379A">
              <w:rPr>
                <w:b/>
                <w:bCs w:val="0"/>
              </w:rPr>
              <w:t>mean baseline (SD)</w:t>
            </w:r>
          </w:p>
        </w:tc>
        <w:tc>
          <w:tcPr>
            <w:tcW w:w="709" w:type="pct"/>
            <w:vAlign w:val="center"/>
          </w:tcPr>
          <w:p w14:paraId="44715583" w14:textId="77777777" w:rsidR="003A4883" w:rsidRPr="0048379A" w:rsidRDefault="003A4883" w:rsidP="001A5767">
            <w:pPr>
              <w:pStyle w:val="TableText0"/>
              <w:jc w:val="center"/>
              <w:rPr>
                <w:b/>
                <w:bCs w:val="0"/>
              </w:rPr>
            </w:pPr>
            <w:r w:rsidRPr="0048379A">
              <w:rPr>
                <w:b/>
                <w:bCs w:val="0"/>
              </w:rPr>
              <w:t>mean wk 16 (SD)</w:t>
            </w:r>
          </w:p>
        </w:tc>
        <w:tc>
          <w:tcPr>
            <w:tcW w:w="757" w:type="pct"/>
            <w:vAlign w:val="center"/>
          </w:tcPr>
          <w:p w14:paraId="4AEA6E69" w14:textId="77777777" w:rsidR="003A4883" w:rsidRPr="0048379A" w:rsidRDefault="003A4883" w:rsidP="001A5767">
            <w:pPr>
              <w:pStyle w:val="TableText0"/>
              <w:jc w:val="center"/>
              <w:rPr>
                <w:b/>
                <w:bCs w:val="0"/>
              </w:rPr>
            </w:pPr>
            <w:r w:rsidRPr="0048379A">
              <w:rPr>
                <w:b/>
                <w:bCs w:val="0"/>
              </w:rPr>
              <w:t>mean change (95% CI)</w:t>
            </w:r>
          </w:p>
        </w:tc>
      </w:tr>
      <w:tr w:rsidR="00146FF1" w:rsidRPr="0048379A" w14:paraId="532C2A69" w14:textId="77777777" w:rsidTr="00146FF1">
        <w:tc>
          <w:tcPr>
            <w:tcW w:w="5000" w:type="pct"/>
            <w:gridSpan w:val="7"/>
            <w:vAlign w:val="center"/>
          </w:tcPr>
          <w:p w14:paraId="2C299B00" w14:textId="77777777" w:rsidR="003A4883" w:rsidRPr="00AA64DF" w:rsidRDefault="003A4883" w:rsidP="001A5767">
            <w:pPr>
              <w:pStyle w:val="TableText0"/>
              <w:rPr>
                <w:b/>
                <w:bCs w:val="0"/>
              </w:rPr>
            </w:pPr>
            <w:r w:rsidRPr="00AA64DF">
              <w:rPr>
                <w:b/>
                <w:bCs w:val="0"/>
              </w:rPr>
              <w:t>PALACE 1</w:t>
            </w:r>
          </w:p>
        </w:tc>
      </w:tr>
      <w:tr w:rsidR="00146FF1" w:rsidRPr="0048379A" w14:paraId="7D269829" w14:textId="77777777" w:rsidTr="00146FF1">
        <w:tc>
          <w:tcPr>
            <w:tcW w:w="708" w:type="pct"/>
            <w:vAlign w:val="center"/>
          </w:tcPr>
          <w:p w14:paraId="6063EF0F" w14:textId="77777777" w:rsidR="003A4883" w:rsidRPr="00AA64DF" w:rsidRDefault="003A4883" w:rsidP="001A5767">
            <w:pPr>
              <w:pStyle w:val="TableText0"/>
            </w:pPr>
            <w:r w:rsidRPr="00AA64DF">
              <w:t>n(APR)=159</w:t>
            </w:r>
          </w:p>
          <w:p w14:paraId="74D70862" w14:textId="77777777" w:rsidR="003A4883" w:rsidRPr="00AA64DF" w:rsidRDefault="003A4883" w:rsidP="001A5767">
            <w:pPr>
              <w:pStyle w:val="TableText0"/>
            </w:pPr>
            <w:r w:rsidRPr="00AA64DF">
              <w:t>n(PBO)=162</w:t>
            </w:r>
          </w:p>
        </w:tc>
        <w:tc>
          <w:tcPr>
            <w:tcW w:w="720" w:type="pct"/>
            <w:vAlign w:val="center"/>
          </w:tcPr>
          <w:p w14:paraId="7869940E" w14:textId="77777777" w:rsidR="003A4883" w:rsidRPr="00AA64DF" w:rsidRDefault="003A4883" w:rsidP="001A5767">
            <w:pPr>
              <w:pStyle w:val="TableText0"/>
              <w:jc w:val="center"/>
              <w:rPr>
                <w:highlight w:val="cyan"/>
              </w:rPr>
            </w:pPr>
            <w:r w:rsidRPr="00AA64DF">
              <w:t>0.6621 (0.16552)</w:t>
            </w:r>
          </w:p>
        </w:tc>
        <w:tc>
          <w:tcPr>
            <w:tcW w:w="715" w:type="pct"/>
            <w:vAlign w:val="center"/>
          </w:tcPr>
          <w:p w14:paraId="0561D20E" w14:textId="77777777" w:rsidR="003A4883" w:rsidRPr="00AA64DF" w:rsidRDefault="003A4883" w:rsidP="001A5767">
            <w:pPr>
              <w:pStyle w:val="TableText0"/>
              <w:jc w:val="center"/>
              <w:rPr>
                <w:highlight w:val="cyan"/>
              </w:rPr>
            </w:pPr>
            <w:r w:rsidRPr="00AA64DF">
              <w:t>0.7127 (0.17924)</w:t>
            </w:r>
          </w:p>
        </w:tc>
        <w:tc>
          <w:tcPr>
            <w:tcW w:w="713" w:type="pct"/>
            <w:vAlign w:val="center"/>
          </w:tcPr>
          <w:p w14:paraId="14C40508" w14:textId="77777777" w:rsidR="003A4883" w:rsidRPr="00AA64DF" w:rsidRDefault="003A4883" w:rsidP="001A5767">
            <w:pPr>
              <w:pStyle w:val="TableText0"/>
              <w:jc w:val="center"/>
            </w:pPr>
            <w:r w:rsidRPr="00AA64DF">
              <w:t>0.0506</w:t>
            </w:r>
          </w:p>
          <w:p w14:paraId="3F01C23F" w14:textId="77777777" w:rsidR="003A4883" w:rsidRPr="00AA64DF" w:rsidRDefault="003A4883" w:rsidP="001A5767">
            <w:pPr>
              <w:pStyle w:val="TableText0"/>
              <w:jc w:val="center"/>
              <w:rPr>
                <w:highlight w:val="cyan"/>
              </w:rPr>
            </w:pPr>
            <w:r w:rsidRPr="00AA64DF">
              <w:t>(0.0209, 0.0803)</w:t>
            </w:r>
          </w:p>
        </w:tc>
        <w:tc>
          <w:tcPr>
            <w:tcW w:w="678" w:type="pct"/>
            <w:vAlign w:val="center"/>
          </w:tcPr>
          <w:p w14:paraId="4185C985" w14:textId="77777777" w:rsidR="003A4883" w:rsidRPr="00AA64DF" w:rsidRDefault="003A4883" w:rsidP="001A5767">
            <w:pPr>
              <w:pStyle w:val="TableText0"/>
              <w:jc w:val="center"/>
              <w:rPr>
                <w:highlight w:val="cyan"/>
              </w:rPr>
            </w:pPr>
            <w:r w:rsidRPr="00AA64DF">
              <w:t>0.6467 (0.19394)</w:t>
            </w:r>
          </w:p>
        </w:tc>
        <w:tc>
          <w:tcPr>
            <w:tcW w:w="709" w:type="pct"/>
            <w:vAlign w:val="center"/>
          </w:tcPr>
          <w:p w14:paraId="4490DCF7" w14:textId="77777777" w:rsidR="003A4883" w:rsidRPr="00AA64DF" w:rsidRDefault="003A4883" w:rsidP="001A5767">
            <w:pPr>
              <w:pStyle w:val="TableText0"/>
              <w:jc w:val="center"/>
              <w:rPr>
                <w:highlight w:val="cyan"/>
              </w:rPr>
            </w:pPr>
            <w:r w:rsidRPr="00AA64DF">
              <w:t>0.6908 (0.16121)</w:t>
            </w:r>
          </w:p>
        </w:tc>
        <w:tc>
          <w:tcPr>
            <w:tcW w:w="757" w:type="pct"/>
            <w:vAlign w:val="center"/>
          </w:tcPr>
          <w:p w14:paraId="0479CDEB" w14:textId="77777777" w:rsidR="003A4883" w:rsidRPr="00AA64DF" w:rsidRDefault="003A4883" w:rsidP="001A5767">
            <w:pPr>
              <w:pStyle w:val="TableText0"/>
              <w:jc w:val="center"/>
            </w:pPr>
            <w:r w:rsidRPr="00AA64DF">
              <w:t xml:space="preserve">0.0441 </w:t>
            </w:r>
          </w:p>
          <w:p w14:paraId="4FDD7036" w14:textId="77777777" w:rsidR="003A4883" w:rsidRPr="00AA64DF" w:rsidRDefault="003A4883" w:rsidP="001A5767">
            <w:pPr>
              <w:pStyle w:val="TableText0"/>
              <w:jc w:val="center"/>
              <w:rPr>
                <w:highlight w:val="cyan"/>
              </w:rPr>
            </w:pPr>
            <w:r w:rsidRPr="00AA64DF">
              <w:t>(0.0143, 0.0739)</w:t>
            </w:r>
          </w:p>
        </w:tc>
      </w:tr>
      <w:tr w:rsidR="00146FF1" w:rsidRPr="0048379A" w14:paraId="738C6871" w14:textId="77777777" w:rsidTr="00146FF1">
        <w:tc>
          <w:tcPr>
            <w:tcW w:w="5000" w:type="pct"/>
            <w:gridSpan w:val="7"/>
            <w:vAlign w:val="center"/>
          </w:tcPr>
          <w:p w14:paraId="4CA86736" w14:textId="77777777" w:rsidR="003A4883" w:rsidRPr="00AA64DF" w:rsidRDefault="003A4883" w:rsidP="001A5767">
            <w:pPr>
              <w:pStyle w:val="TableText0"/>
              <w:rPr>
                <w:rStyle w:val="SmallBold"/>
                <w:b w:val="0"/>
                <w:bCs w:val="0"/>
              </w:rPr>
            </w:pPr>
            <w:r w:rsidRPr="00AA64DF">
              <w:rPr>
                <w:b/>
                <w:bCs w:val="0"/>
              </w:rPr>
              <w:t>PALACE 3</w:t>
            </w:r>
          </w:p>
        </w:tc>
      </w:tr>
      <w:tr w:rsidR="00146FF1" w:rsidRPr="0048379A" w14:paraId="76750ECE" w14:textId="77777777" w:rsidTr="00146FF1">
        <w:tc>
          <w:tcPr>
            <w:tcW w:w="708" w:type="pct"/>
            <w:vAlign w:val="center"/>
          </w:tcPr>
          <w:p w14:paraId="6C8FB17B" w14:textId="77777777" w:rsidR="003A4883" w:rsidRPr="00AA64DF" w:rsidRDefault="003A4883" w:rsidP="001A5767">
            <w:pPr>
              <w:pStyle w:val="TableText0"/>
            </w:pPr>
            <w:r w:rsidRPr="00AA64DF">
              <w:t>n(APR)=160</w:t>
            </w:r>
          </w:p>
          <w:p w14:paraId="5F98B464" w14:textId="77777777" w:rsidR="003A4883" w:rsidRPr="00AA64DF" w:rsidRDefault="003A4883" w:rsidP="001A5767">
            <w:pPr>
              <w:pStyle w:val="TableText0"/>
            </w:pPr>
            <w:r w:rsidRPr="00AA64DF">
              <w:t>n(PBO)=161</w:t>
            </w:r>
          </w:p>
        </w:tc>
        <w:tc>
          <w:tcPr>
            <w:tcW w:w="720" w:type="pct"/>
            <w:vAlign w:val="center"/>
          </w:tcPr>
          <w:p w14:paraId="004D5226" w14:textId="77777777" w:rsidR="003A4883" w:rsidRPr="00AA64DF" w:rsidRDefault="003A4883" w:rsidP="001A5767">
            <w:pPr>
              <w:pStyle w:val="TableText0"/>
              <w:jc w:val="center"/>
            </w:pPr>
            <w:r w:rsidRPr="00AA64DF">
              <w:t>0.6380 (0.19047)</w:t>
            </w:r>
          </w:p>
        </w:tc>
        <w:tc>
          <w:tcPr>
            <w:tcW w:w="715" w:type="pct"/>
            <w:vAlign w:val="center"/>
          </w:tcPr>
          <w:p w14:paraId="31552BE9" w14:textId="77777777" w:rsidR="003A4883" w:rsidRPr="00AA64DF" w:rsidRDefault="003A4883" w:rsidP="001A5767">
            <w:pPr>
              <w:pStyle w:val="TableText0"/>
              <w:jc w:val="center"/>
            </w:pPr>
            <w:r w:rsidRPr="00AA64DF">
              <w:t>0.7088 (0.15655)</w:t>
            </w:r>
          </w:p>
        </w:tc>
        <w:tc>
          <w:tcPr>
            <w:tcW w:w="713" w:type="pct"/>
            <w:vAlign w:val="center"/>
          </w:tcPr>
          <w:p w14:paraId="2B8254A7" w14:textId="77777777" w:rsidR="003A4883" w:rsidRPr="00AA64DF" w:rsidRDefault="003A4883" w:rsidP="001A5767">
            <w:pPr>
              <w:pStyle w:val="TableText0"/>
              <w:jc w:val="center"/>
            </w:pPr>
            <w:r w:rsidRPr="00AA64DF">
              <w:t xml:space="preserve">0.0708 </w:t>
            </w:r>
          </w:p>
          <w:p w14:paraId="41F645B6" w14:textId="77777777" w:rsidR="003A4883" w:rsidRPr="00AA64DF" w:rsidRDefault="003A4883" w:rsidP="001A5767">
            <w:pPr>
              <w:pStyle w:val="TableText0"/>
              <w:jc w:val="center"/>
            </w:pPr>
            <w:r w:rsidRPr="00AA64DF">
              <w:t>(0.0450, 0.0966)</w:t>
            </w:r>
          </w:p>
        </w:tc>
        <w:tc>
          <w:tcPr>
            <w:tcW w:w="678" w:type="pct"/>
            <w:vAlign w:val="center"/>
          </w:tcPr>
          <w:p w14:paraId="1FDD360E" w14:textId="77777777" w:rsidR="003A4883" w:rsidRPr="00AA64DF" w:rsidRDefault="003A4883" w:rsidP="001A5767">
            <w:pPr>
              <w:pStyle w:val="TableText0"/>
              <w:jc w:val="center"/>
            </w:pPr>
            <w:r w:rsidRPr="00AA64DF">
              <w:t>0.6544 (0.18441)</w:t>
            </w:r>
          </w:p>
        </w:tc>
        <w:tc>
          <w:tcPr>
            <w:tcW w:w="709" w:type="pct"/>
            <w:vAlign w:val="center"/>
          </w:tcPr>
          <w:p w14:paraId="046F6FE3" w14:textId="77777777" w:rsidR="003A4883" w:rsidRPr="00AA64DF" w:rsidRDefault="003A4883" w:rsidP="001A5767">
            <w:pPr>
              <w:pStyle w:val="TableText0"/>
              <w:jc w:val="center"/>
            </w:pPr>
            <w:r w:rsidRPr="00AA64DF">
              <w:t>0.6596 (0.19639)</w:t>
            </w:r>
          </w:p>
        </w:tc>
        <w:tc>
          <w:tcPr>
            <w:tcW w:w="757" w:type="pct"/>
            <w:vAlign w:val="center"/>
          </w:tcPr>
          <w:p w14:paraId="4223FECD" w14:textId="77777777" w:rsidR="003A4883" w:rsidRPr="00AA64DF" w:rsidRDefault="003A4883" w:rsidP="001A5767">
            <w:pPr>
              <w:pStyle w:val="TableText0"/>
              <w:jc w:val="center"/>
            </w:pPr>
            <w:r w:rsidRPr="00AA64DF">
              <w:t xml:space="preserve">0.0052 </w:t>
            </w:r>
          </w:p>
          <w:p w14:paraId="79F2E62C" w14:textId="77777777" w:rsidR="003A4883" w:rsidRPr="00AA64DF" w:rsidRDefault="003A4883" w:rsidP="001A5767">
            <w:pPr>
              <w:pStyle w:val="TableText0"/>
              <w:jc w:val="center"/>
            </w:pPr>
            <w:r w:rsidRPr="00AA64DF">
              <w:t>(-0.0209, 0.0313)</w:t>
            </w:r>
          </w:p>
        </w:tc>
      </w:tr>
    </w:tbl>
    <w:p w14:paraId="03C5F98A" w14:textId="1F1F3A97" w:rsidR="003A4883" w:rsidRPr="003D7A99" w:rsidRDefault="003A4883" w:rsidP="003A4883">
      <w:pPr>
        <w:pStyle w:val="FooterTableFigure"/>
        <w:rPr>
          <w:i/>
          <w:iCs/>
          <w:sz w:val="20"/>
        </w:rPr>
      </w:pPr>
      <w:r>
        <w:t xml:space="preserve">Source: Table 14.2.39.1 of the PALACE 1 CSR; Table 14.2.40.1 of the PALACE 3 CSR. </w:t>
      </w:r>
    </w:p>
    <w:p w14:paraId="5D02CA9E" w14:textId="362FBCEC" w:rsidR="003A4883" w:rsidRPr="00B40358" w:rsidRDefault="00D76656" w:rsidP="003A4883">
      <w:pPr>
        <w:pStyle w:val="FooterTableFigure"/>
      </w:pPr>
      <w:r>
        <w:t xml:space="preserve">APR = apremilast; </w:t>
      </w:r>
      <w:r w:rsidR="003A4883" w:rsidRPr="00B40358">
        <w:t xml:space="preserve">CI = confidence interval; </w:t>
      </w:r>
      <w:r w:rsidR="003A4883">
        <w:t xml:space="preserve">FAS = full analysis set; LOCF = last observation carried forward; </w:t>
      </w:r>
      <w:r>
        <w:t xml:space="preserve">PBO = placebo; </w:t>
      </w:r>
      <w:r w:rsidR="003A4883" w:rsidRPr="00B40358">
        <w:t>SD = standard deviation</w:t>
      </w:r>
      <w:r w:rsidR="003A4883">
        <w:t>.</w:t>
      </w:r>
    </w:p>
    <w:p w14:paraId="4F240509" w14:textId="256D9282" w:rsidR="003A4883" w:rsidRDefault="003A4883" w:rsidP="003A4883">
      <w:pPr>
        <w:pStyle w:val="FooterTableFigure"/>
      </w:pPr>
      <w:r w:rsidRPr="00B40358">
        <w:rPr>
          <w:vertAlign w:val="superscript"/>
        </w:rPr>
        <w:t>a</w:t>
      </w:r>
      <w:r w:rsidRPr="00B40358">
        <w:t xml:space="preserve"> </w:t>
      </w:r>
      <w:r>
        <w:t xml:space="preserve">Analysis conducted as last observation carried forward for all </w:t>
      </w:r>
      <w:r w:rsidR="0016441D">
        <w:t xml:space="preserve">participants </w:t>
      </w:r>
      <w:r>
        <w:t>with a baseline value and at least 1 post-baseline value.</w:t>
      </w:r>
    </w:p>
    <w:bookmarkEnd w:id="54"/>
    <w:p w14:paraId="33E20ADA" w14:textId="11A18722" w:rsidR="003A4883" w:rsidRPr="009A5C5D" w:rsidRDefault="003A4883" w:rsidP="003A4883">
      <w:pPr>
        <w:pStyle w:val="3-BodyText"/>
        <w:ind w:left="720" w:hanging="720"/>
        <w:rPr>
          <w:color w:val="0066FF"/>
        </w:rPr>
      </w:pPr>
      <w:r w:rsidRPr="0033470C">
        <w:t xml:space="preserve">Quality of life assessed through the EQ-5D improved for </w:t>
      </w:r>
      <w:r w:rsidR="0016441D" w:rsidRPr="0033470C">
        <w:t xml:space="preserve">participants </w:t>
      </w:r>
      <w:r w:rsidRPr="0033470C">
        <w:t xml:space="preserve">in both treatment arms in the PALACE 1 and 3 trials and the improvements were larger for </w:t>
      </w:r>
      <w:r w:rsidR="0016441D" w:rsidRPr="0033470C">
        <w:t xml:space="preserve">participants </w:t>
      </w:r>
      <w:r w:rsidRPr="0033470C">
        <w:t>who received apremilast compared with placebo.</w:t>
      </w:r>
    </w:p>
    <w:p w14:paraId="7CC9ED74" w14:textId="09573130" w:rsidR="00DA6261" w:rsidRPr="0033470C" w:rsidRDefault="00DA6261" w:rsidP="003A4883">
      <w:pPr>
        <w:pStyle w:val="3-BodyText"/>
        <w:ind w:left="720" w:hanging="720"/>
        <w:rPr>
          <w:color w:val="0066FF"/>
        </w:rPr>
      </w:pPr>
      <w:r w:rsidRPr="0033470C">
        <w:t>The SF-36 questionnaire was used in the ACTIVE and PALACE 1-4 trials</w:t>
      </w:r>
      <w:r>
        <w:t xml:space="preserve">, which </w:t>
      </w:r>
      <w:r w:rsidRPr="0033470C">
        <w:t xml:space="preserve">can be converted to SF-6D to create utility values for an economic model. </w:t>
      </w:r>
      <w:r>
        <w:t>O</w:t>
      </w:r>
      <w:r w:rsidRPr="0033470C">
        <w:t xml:space="preserve">nly the SF-36 physical functioning domain score in the ACTIVE trial was presented in the </w:t>
      </w:r>
      <w:r>
        <w:t>res</w:t>
      </w:r>
      <w:r w:rsidRPr="0033470C">
        <w:t>ubmission</w:t>
      </w:r>
      <w:r>
        <w:t>.</w:t>
      </w:r>
      <w:r w:rsidRPr="0033470C">
        <w:t xml:space="preserve"> </w:t>
      </w:r>
      <w:r>
        <w:t xml:space="preserve">The evaluation noted </w:t>
      </w:r>
      <w:r w:rsidRPr="0033470C">
        <w:t>no utility values were created using this approach.</w:t>
      </w:r>
    </w:p>
    <w:p w14:paraId="01C72C35" w14:textId="77777777" w:rsidR="003A4883" w:rsidRPr="00C9624D" w:rsidRDefault="003A4883" w:rsidP="003A4883">
      <w:pPr>
        <w:pStyle w:val="4-SubsectionHeading"/>
      </w:pPr>
      <w:bookmarkStart w:id="55" w:name="_Toc22897642"/>
      <w:bookmarkStart w:id="56" w:name="_Toc124945475"/>
      <w:r w:rsidRPr="00C9624D">
        <w:t>Comparative harms</w:t>
      </w:r>
      <w:bookmarkEnd w:id="55"/>
      <w:bookmarkEnd w:id="56"/>
    </w:p>
    <w:p w14:paraId="505590BA" w14:textId="455CCD62" w:rsidR="003A4883" w:rsidRPr="0036659C" w:rsidRDefault="003A4883" w:rsidP="003A4883">
      <w:pPr>
        <w:pStyle w:val="3-BodyText"/>
        <w:ind w:left="720" w:hanging="720"/>
      </w:pPr>
      <w:r w:rsidRPr="000E64F8">
        <w:t>The results of key safety outcomes for apremilast and placebo during the placebo controlled phase are presented in</w:t>
      </w:r>
      <w:r>
        <w:t xml:space="preserve"> </w:t>
      </w:r>
      <w:r>
        <w:fldChar w:fldCharType="begin"/>
      </w:r>
      <w:r>
        <w:instrText xml:space="preserve"> REF _Ref121473858 \h </w:instrText>
      </w:r>
      <w:r>
        <w:fldChar w:fldCharType="separate"/>
      </w:r>
      <w:r w:rsidR="00A05E81" w:rsidRPr="000E64F8">
        <w:t xml:space="preserve">Table </w:t>
      </w:r>
      <w:r w:rsidR="00A05E81">
        <w:rPr>
          <w:noProof/>
        </w:rPr>
        <w:t>11</w:t>
      </w:r>
      <w:r>
        <w:fldChar w:fldCharType="end"/>
      </w:r>
      <w:r>
        <w:t>.</w:t>
      </w:r>
      <w:r w:rsidR="001720A9">
        <w:t xml:space="preserve"> This data has been previously considered by the PBAC</w:t>
      </w:r>
      <w:r w:rsidR="008B4BDC">
        <w:t>.</w:t>
      </w:r>
      <w:r w:rsidR="001720A9">
        <w:t xml:space="preserve"> </w:t>
      </w:r>
    </w:p>
    <w:p w14:paraId="7D9E00F0" w14:textId="77777777" w:rsidR="003A4883" w:rsidRDefault="003A4883" w:rsidP="003A4883">
      <w:pPr>
        <w:rPr>
          <w:rFonts w:eastAsia="Calibri"/>
        </w:rPr>
      </w:pPr>
    </w:p>
    <w:p w14:paraId="3197016E" w14:textId="6BC45ADA" w:rsidR="003A4883" w:rsidRPr="000E64F8" w:rsidRDefault="003A4883" w:rsidP="003A4883">
      <w:pPr>
        <w:pStyle w:val="Caption"/>
      </w:pPr>
      <w:bookmarkStart w:id="57" w:name="_Ref121473858"/>
      <w:r w:rsidRPr="000E64F8">
        <w:lastRenderedPageBreak/>
        <w:t xml:space="preserve">Table </w:t>
      </w:r>
      <w:r w:rsidR="00A05E81">
        <w:fldChar w:fldCharType="begin"/>
      </w:r>
      <w:r w:rsidR="00A05E81">
        <w:instrText xml:space="preserve"> SEQ Table \* ARABIC </w:instrText>
      </w:r>
      <w:r w:rsidR="00A05E81">
        <w:fldChar w:fldCharType="separate"/>
      </w:r>
      <w:r w:rsidR="00A05E81">
        <w:rPr>
          <w:noProof/>
        </w:rPr>
        <w:t>11</w:t>
      </w:r>
      <w:r w:rsidR="00A05E81">
        <w:rPr>
          <w:noProof/>
        </w:rPr>
        <w:fldChar w:fldCharType="end"/>
      </w:r>
      <w:bookmarkEnd w:id="57"/>
      <w:r w:rsidRPr="000E64F8">
        <w:t>: Summary of adverse events in PALACE trials to 24 weeks (placebo-controlled phase)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11"/>
        <w:gridCol w:w="1531"/>
        <w:gridCol w:w="1531"/>
        <w:gridCol w:w="1533"/>
        <w:gridCol w:w="1511"/>
      </w:tblGrid>
      <w:tr w:rsidR="00146FF1" w:rsidRPr="00146FF1" w14:paraId="3219D7B8" w14:textId="77777777" w:rsidTr="00146FF1">
        <w:tc>
          <w:tcPr>
            <w:tcW w:w="1614" w:type="pct"/>
            <w:tcBorders>
              <w:top w:val="single" w:sz="4" w:space="0" w:color="auto"/>
              <w:left w:val="single" w:sz="4" w:space="0" w:color="auto"/>
              <w:bottom w:val="single" w:sz="4" w:space="0" w:color="auto"/>
              <w:right w:val="single" w:sz="4" w:space="0" w:color="auto"/>
            </w:tcBorders>
            <w:vAlign w:val="center"/>
            <w:hideMark/>
          </w:tcPr>
          <w:p w14:paraId="091EB7C0" w14:textId="77777777" w:rsidR="003A4883" w:rsidRPr="00146FF1" w:rsidRDefault="003A4883" w:rsidP="001A5767">
            <w:pPr>
              <w:keepNext/>
              <w:keepLines/>
              <w:tabs>
                <w:tab w:val="left" w:pos="150"/>
              </w:tabs>
              <w:jc w:val="center"/>
              <w:rPr>
                <w:rFonts w:ascii="Arial Narrow" w:hAnsi="Arial Narrow"/>
                <w:sz w:val="20"/>
              </w:rPr>
            </w:pPr>
            <w:r w:rsidRPr="00146FF1">
              <w:rPr>
                <w:rFonts w:ascii="Arial Narrow" w:hAnsi="Arial Narrow"/>
                <w:b/>
                <w:sz w:val="20"/>
              </w:rPr>
              <w:t>Trial ID</w:t>
            </w:r>
          </w:p>
        </w:tc>
        <w:tc>
          <w:tcPr>
            <w:tcW w:w="849" w:type="pct"/>
            <w:tcBorders>
              <w:top w:val="single" w:sz="4" w:space="0" w:color="auto"/>
              <w:left w:val="single" w:sz="4" w:space="0" w:color="auto"/>
              <w:bottom w:val="single" w:sz="4" w:space="0" w:color="auto"/>
              <w:right w:val="single" w:sz="4" w:space="0" w:color="auto"/>
            </w:tcBorders>
            <w:vAlign w:val="center"/>
            <w:hideMark/>
          </w:tcPr>
          <w:p w14:paraId="7A7BEB9B" w14:textId="77777777" w:rsidR="003A4883" w:rsidRPr="00146FF1" w:rsidRDefault="003A4883" w:rsidP="001A5767">
            <w:pPr>
              <w:keepNext/>
              <w:keepLines/>
              <w:jc w:val="center"/>
              <w:rPr>
                <w:rFonts w:ascii="Arial Narrow" w:hAnsi="Arial Narrow"/>
                <w:b/>
                <w:sz w:val="20"/>
              </w:rPr>
            </w:pPr>
            <w:r w:rsidRPr="00146FF1">
              <w:rPr>
                <w:rFonts w:ascii="Arial Narrow" w:hAnsi="Arial Narrow"/>
                <w:b/>
                <w:sz w:val="20"/>
              </w:rPr>
              <w:t>Apremilast</w:t>
            </w:r>
          </w:p>
          <w:p w14:paraId="7F0A959C" w14:textId="77777777" w:rsidR="003A4883" w:rsidRPr="00146FF1" w:rsidRDefault="003A4883" w:rsidP="001A5767">
            <w:pPr>
              <w:keepNext/>
              <w:keepLines/>
              <w:jc w:val="center"/>
              <w:rPr>
                <w:rFonts w:ascii="Arial Narrow" w:hAnsi="Arial Narrow"/>
                <w:sz w:val="20"/>
              </w:rPr>
            </w:pPr>
            <w:r w:rsidRPr="00146FF1">
              <w:rPr>
                <w:rFonts w:ascii="Arial Narrow" w:hAnsi="Arial Narrow"/>
                <w:b/>
                <w:sz w:val="20"/>
              </w:rPr>
              <w:t>n/N (%)</w:t>
            </w:r>
          </w:p>
        </w:tc>
        <w:tc>
          <w:tcPr>
            <w:tcW w:w="849" w:type="pct"/>
            <w:tcBorders>
              <w:top w:val="single" w:sz="4" w:space="0" w:color="auto"/>
              <w:left w:val="single" w:sz="4" w:space="0" w:color="auto"/>
              <w:bottom w:val="single" w:sz="4" w:space="0" w:color="auto"/>
              <w:right w:val="single" w:sz="4" w:space="0" w:color="auto"/>
            </w:tcBorders>
            <w:vAlign w:val="center"/>
            <w:hideMark/>
          </w:tcPr>
          <w:p w14:paraId="541A8F10" w14:textId="77777777" w:rsidR="003A4883" w:rsidRPr="00146FF1" w:rsidRDefault="003A4883" w:rsidP="001A5767">
            <w:pPr>
              <w:keepNext/>
              <w:keepLines/>
              <w:jc w:val="center"/>
              <w:rPr>
                <w:rFonts w:ascii="Arial Narrow" w:hAnsi="Arial Narrow"/>
                <w:b/>
                <w:sz w:val="20"/>
              </w:rPr>
            </w:pPr>
            <w:r w:rsidRPr="00146FF1">
              <w:rPr>
                <w:rFonts w:ascii="Arial Narrow" w:hAnsi="Arial Narrow"/>
                <w:b/>
                <w:sz w:val="20"/>
              </w:rPr>
              <w:t>Placebo</w:t>
            </w:r>
          </w:p>
          <w:p w14:paraId="19EF295D" w14:textId="77777777" w:rsidR="003A4883" w:rsidRPr="00146FF1" w:rsidRDefault="003A4883" w:rsidP="001A5767">
            <w:pPr>
              <w:keepNext/>
              <w:keepLines/>
              <w:jc w:val="center"/>
              <w:rPr>
                <w:rFonts w:ascii="Arial Narrow" w:hAnsi="Arial Narrow"/>
                <w:sz w:val="20"/>
              </w:rPr>
            </w:pPr>
            <w:r w:rsidRPr="00146FF1">
              <w:rPr>
                <w:rFonts w:ascii="Arial Narrow" w:hAnsi="Arial Narrow"/>
                <w:b/>
                <w:sz w:val="20"/>
              </w:rPr>
              <w:t>n/N (%)</w:t>
            </w:r>
          </w:p>
        </w:tc>
        <w:tc>
          <w:tcPr>
            <w:tcW w:w="850" w:type="pct"/>
            <w:tcBorders>
              <w:top w:val="single" w:sz="4" w:space="0" w:color="auto"/>
              <w:left w:val="single" w:sz="4" w:space="0" w:color="auto"/>
              <w:bottom w:val="single" w:sz="4" w:space="0" w:color="auto"/>
              <w:right w:val="single" w:sz="4" w:space="0" w:color="auto"/>
            </w:tcBorders>
            <w:vAlign w:val="center"/>
            <w:hideMark/>
          </w:tcPr>
          <w:p w14:paraId="07129261" w14:textId="77777777" w:rsidR="003A4883" w:rsidRPr="00146FF1" w:rsidRDefault="003A4883" w:rsidP="001A5767">
            <w:pPr>
              <w:keepNext/>
              <w:keepLines/>
              <w:jc w:val="center"/>
              <w:rPr>
                <w:rFonts w:ascii="Arial Narrow" w:hAnsi="Arial Narrow"/>
                <w:sz w:val="20"/>
              </w:rPr>
            </w:pPr>
            <w:r w:rsidRPr="00146FF1">
              <w:rPr>
                <w:rFonts w:ascii="Arial Narrow" w:hAnsi="Arial Narrow"/>
                <w:b/>
                <w:sz w:val="20"/>
              </w:rPr>
              <w:t>RD (95% CI)</w:t>
            </w:r>
          </w:p>
        </w:tc>
        <w:tc>
          <w:tcPr>
            <w:tcW w:w="838" w:type="pct"/>
            <w:tcBorders>
              <w:top w:val="single" w:sz="4" w:space="0" w:color="auto"/>
              <w:left w:val="single" w:sz="4" w:space="0" w:color="auto"/>
              <w:bottom w:val="single" w:sz="4" w:space="0" w:color="auto"/>
              <w:right w:val="single" w:sz="4" w:space="0" w:color="auto"/>
            </w:tcBorders>
            <w:vAlign w:val="center"/>
            <w:hideMark/>
          </w:tcPr>
          <w:p w14:paraId="6E86528D" w14:textId="77777777" w:rsidR="003A4883" w:rsidRPr="00146FF1" w:rsidRDefault="003A4883" w:rsidP="001A5767">
            <w:pPr>
              <w:keepNext/>
              <w:keepLines/>
              <w:jc w:val="center"/>
              <w:rPr>
                <w:rFonts w:ascii="Arial Narrow" w:hAnsi="Arial Narrow"/>
                <w:b/>
                <w:sz w:val="20"/>
              </w:rPr>
            </w:pPr>
            <w:r w:rsidRPr="00146FF1">
              <w:rPr>
                <w:rFonts w:ascii="Arial Narrow" w:hAnsi="Arial Narrow"/>
                <w:b/>
                <w:sz w:val="20"/>
              </w:rPr>
              <w:t>RR (95% CI)</w:t>
            </w:r>
          </w:p>
        </w:tc>
      </w:tr>
      <w:tr w:rsidR="00146FF1" w:rsidRPr="00146FF1" w14:paraId="0794F5A4" w14:textId="77777777" w:rsidTr="008B4BDC">
        <w:tc>
          <w:tcPr>
            <w:tcW w:w="1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758849" w14:textId="77777777" w:rsidR="003A4883" w:rsidRPr="00146FF1" w:rsidRDefault="003A4883" w:rsidP="001A5767">
            <w:pPr>
              <w:keepNext/>
              <w:keepLines/>
              <w:tabs>
                <w:tab w:val="left" w:pos="150"/>
              </w:tabs>
              <w:jc w:val="left"/>
              <w:rPr>
                <w:rFonts w:ascii="Arial Narrow" w:hAnsi="Arial Narrow"/>
                <w:b/>
                <w:bCs/>
                <w:sz w:val="20"/>
              </w:rPr>
            </w:pPr>
            <w:r w:rsidRPr="00146FF1">
              <w:rPr>
                <w:rFonts w:ascii="Arial Narrow" w:hAnsi="Arial Narrow"/>
                <w:b/>
                <w:bCs/>
                <w:sz w:val="20"/>
              </w:rPr>
              <w:t>PALACE 1</w:t>
            </w:r>
          </w:p>
          <w:p w14:paraId="4BFA1536"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w:t>
            </w:r>
          </w:p>
          <w:p w14:paraId="540C9767"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Drug-related TEAE</w:t>
            </w:r>
          </w:p>
          <w:p w14:paraId="02191BA5"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Severe TEAE</w:t>
            </w:r>
          </w:p>
          <w:p w14:paraId="18463886"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Serious TEAE (SAE)</w:t>
            </w:r>
          </w:p>
          <w:p w14:paraId="58F32D45"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Drug-related SAE</w:t>
            </w:r>
          </w:p>
          <w:p w14:paraId="041C9094"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 leading to drug withdrawal</w:t>
            </w:r>
          </w:p>
          <w:p w14:paraId="56E32F71"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 leading to death</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649FEC4C" w14:textId="77777777" w:rsidR="003A4883" w:rsidRPr="00146FF1" w:rsidRDefault="003A4883" w:rsidP="001A5767">
            <w:pPr>
              <w:keepNext/>
              <w:keepLines/>
              <w:jc w:val="center"/>
              <w:rPr>
                <w:rFonts w:ascii="Arial Narrow" w:hAnsi="Arial Narrow"/>
                <w:sz w:val="20"/>
              </w:rPr>
            </w:pPr>
          </w:p>
          <w:p w14:paraId="66390F2D"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103/168 (61.3)</w:t>
            </w:r>
          </w:p>
          <w:p w14:paraId="36081CF2"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70/168 (41.7)</w:t>
            </w:r>
          </w:p>
          <w:p w14:paraId="704B4375"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11/168 (6.5)</w:t>
            </w:r>
          </w:p>
          <w:p w14:paraId="1267CDA7"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9/168 (5.4)</w:t>
            </w:r>
          </w:p>
          <w:p w14:paraId="334933BF"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3/168 (1.8)</w:t>
            </w:r>
          </w:p>
          <w:p w14:paraId="1A52E315"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12/168 (7.1)</w:t>
            </w:r>
          </w:p>
          <w:p w14:paraId="78DE550C"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0471A4F3" w14:textId="77777777" w:rsidR="003A4883" w:rsidRPr="00146FF1" w:rsidRDefault="003A4883" w:rsidP="001A5767">
            <w:pPr>
              <w:keepNext/>
              <w:keepLines/>
              <w:jc w:val="center"/>
              <w:rPr>
                <w:rFonts w:ascii="Arial Narrow" w:hAnsi="Arial Narrow"/>
                <w:sz w:val="20"/>
              </w:rPr>
            </w:pPr>
          </w:p>
          <w:p w14:paraId="16D1ADDC"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81/168 (48.2)</w:t>
            </w:r>
          </w:p>
          <w:p w14:paraId="05079184"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32/168 (19.0)</w:t>
            </w:r>
          </w:p>
          <w:p w14:paraId="0E661819"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6/168 (3.6)</w:t>
            </w:r>
          </w:p>
          <w:p w14:paraId="7DB731D3"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7/168 (4.2)</w:t>
            </w:r>
          </w:p>
          <w:p w14:paraId="77FF5513"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2/168 (1.2)</w:t>
            </w:r>
          </w:p>
          <w:p w14:paraId="196FA9A0"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8/168 (4.8)</w:t>
            </w:r>
          </w:p>
          <w:p w14:paraId="6BCB0C01"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87AFF"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0.13 (0.03, 0.24)</w:t>
            </w:r>
          </w:p>
          <w:p w14:paraId="5FB3738F"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0.23 (0.13, 0.32)</w:t>
            </w:r>
          </w:p>
          <w:p w14:paraId="02651683"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0.03 (-0.02, 0.08)</w:t>
            </w:r>
          </w:p>
          <w:p w14:paraId="7B1D3FBB"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0.01 (-0.03, 0.06)</w:t>
            </w:r>
          </w:p>
          <w:p w14:paraId="2C22E638"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0.01 (-0.02, 0.03)</w:t>
            </w:r>
          </w:p>
          <w:p w14:paraId="51E6B182"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0.02 (-0.03, 0.07)</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4A6CA"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1.27 (1.04, 1.55)</w:t>
            </w:r>
          </w:p>
          <w:p w14:paraId="70EF4FB3"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2.19 (1.53, 3.13)</w:t>
            </w:r>
          </w:p>
          <w:p w14:paraId="27D16856"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1.83 (0.69, 4.84)</w:t>
            </w:r>
          </w:p>
          <w:p w14:paraId="279C6AB5"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1.29 (0.49, 3.37)</w:t>
            </w:r>
          </w:p>
          <w:p w14:paraId="36B675D3"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1.50 (0.25, 8.86)</w:t>
            </w:r>
          </w:p>
          <w:p w14:paraId="10D2F1DA"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1.50 (0.63, 3.58)</w:t>
            </w:r>
          </w:p>
        </w:tc>
      </w:tr>
      <w:tr w:rsidR="00146FF1" w:rsidRPr="00146FF1" w14:paraId="33286A21" w14:textId="77777777" w:rsidTr="008B4BDC">
        <w:tc>
          <w:tcPr>
            <w:tcW w:w="1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045F4" w14:textId="77777777" w:rsidR="003A4883" w:rsidRPr="00146FF1" w:rsidRDefault="003A4883" w:rsidP="001A5767">
            <w:pPr>
              <w:keepNext/>
              <w:keepLines/>
              <w:tabs>
                <w:tab w:val="left" w:pos="150"/>
              </w:tabs>
              <w:jc w:val="left"/>
              <w:rPr>
                <w:rFonts w:ascii="Arial Narrow" w:hAnsi="Arial Narrow"/>
                <w:b/>
                <w:bCs/>
                <w:sz w:val="20"/>
              </w:rPr>
            </w:pPr>
            <w:r w:rsidRPr="00146FF1">
              <w:rPr>
                <w:rFonts w:ascii="Arial Narrow" w:hAnsi="Arial Narrow"/>
                <w:b/>
                <w:bCs/>
                <w:sz w:val="20"/>
              </w:rPr>
              <w:t>PALACE 2</w:t>
            </w:r>
          </w:p>
          <w:p w14:paraId="37A89661"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w:t>
            </w:r>
          </w:p>
          <w:p w14:paraId="599DE113"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Drug-related TEAE</w:t>
            </w:r>
          </w:p>
          <w:p w14:paraId="18D08DF1"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Severe TEAE</w:t>
            </w:r>
          </w:p>
          <w:p w14:paraId="13E20994"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Serious TEAE (SAE)</w:t>
            </w:r>
          </w:p>
          <w:p w14:paraId="619640FD"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Drug-related SAE</w:t>
            </w:r>
          </w:p>
          <w:p w14:paraId="5C481C06"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 leading to drug withdrawal</w:t>
            </w:r>
          </w:p>
          <w:p w14:paraId="55680485"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 leading to death</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12824334" w14:textId="77777777" w:rsidR="003A4883" w:rsidRPr="00146FF1" w:rsidRDefault="003A4883" w:rsidP="001A5767">
            <w:pPr>
              <w:keepNext/>
              <w:keepLines/>
              <w:jc w:val="center"/>
              <w:rPr>
                <w:rFonts w:ascii="Arial Narrow" w:hAnsi="Arial Narrow"/>
                <w:sz w:val="20"/>
              </w:rPr>
            </w:pPr>
          </w:p>
          <w:p w14:paraId="2A58D00C"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96/162 (59.3)</w:t>
            </w:r>
          </w:p>
          <w:p w14:paraId="2C323201"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57/162 (35.2)</w:t>
            </w:r>
          </w:p>
          <w:p w14:paraId="1CB51B72"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11/162 (6.8)</w:t>
            </w:r>
          </w:p>
          <w:p w14:paraId="6AEA980A"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4/162 (2.5)</w:t>
            </w:r>
          </w:p>
          <w:p w14:paraId="44D7973E"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1/162 (0.6)</w:t>
            </w:r>
          </w:p>
          <w:p w14:paraId="1DD1F6AC"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12/162 (7.4)</w:t>
            </w:r>
          </w:p>
          <w:p w14:paraId="1AF0F376"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28B8BA94" w14:textId="77777777" w:rsidR="003A4883" w:rsidRPr="00146FF1" w:rsidRDefault="003A4883" w:rsidP="001A5767">
            <w:pPr>
              <w:keepNext/>
              <w:keepLines/>
              <w:jc w:val="center"/>
              <w:rPr>
                <w:rFonts w:ascii="Arial Narrow" w:hAnsi="Arial Narrow"/>
                <w:sz w:val="20"/>
              </w:rPr>
            </w:pPr>
          </w:p>
          <w:p w14:paraId="51DA88E5"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72/159 (45.3)</w:t>
            </w:r>
          </w:p>
          <w:p w14:paraId="47C29DD2"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28/159 (17.6)</w:t>
            </w:r>
          </w:p>
          <w:p w14:paraId="102D58F5"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5/159 (3.1)</w:t>
            </w:r>
          </w:p>
          <w:p w14:paraId="36BA7669"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3/159 (1.9)</w:t>
            </w:r>
          </w:p>
          <w:p w14:paraId="2A5D77F5"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p w14:paraId="5ECFB55D"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3/159 (1.9)</w:t>
            </w:r>
          </w:p>
          <w:p w14:paraId="616D95F0"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DFA45"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0.14 (0.03, 0.25)</w:t>
            </w:r>
          </w:p>
          <w:p w14:paraId="4D16F9FD"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0.18 (0.08, 0.27)</w:t>
            </w:r>
          </w:p>
          <w:p w14:paraId="05813F59"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0.04 (-0.01, 0.08)</w:t>
            </w:r>
          </w:p>
          <w:p w14:paraId="4A67E40A"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0.01 (-0.03, 0.04)</w:t>
            </w:r>
          </w:p>
          <w:p w14:paraId="0EA44201"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0.01 (-0.01, 0.02)</w:t>
            </w:r>
          </w:p>
          <w:p w14:paraId="4E84E931"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0.06 (0.01, 0.10)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2EBEB"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1.31 (1.06, 1.62)</w:t>
            </w:r>
          </w:p>
          <w:p w14:paraId="11517E86"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2.00 (1.34, 2.97)</w:t>
            </w:r>
          </w:p>
          <w:p w14:paraId="7E6FA096"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2.16 (0.77, 6.07)</w:t>
            </w:r>
          </w:p>
          <w:p w14:paraId="1B708664"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1.31 (0.30, 5.75)</w:t>
            </w:r>
          </w:p>
          <w:p w14:paraId="46E07362"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2.94 (0.12, 71.75)</w:t>
            </w:r>
          </w:p>
          <w:p w14:paraId="2BB75443"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3.93 (1.13, 13.65)</w:t>
            </w:r>
          </w:p>
        </w:tc>
      </w:tr>
      <w:tr w:rsidR="00146FF1" w:rsidRPr="00146FF1" w14:paraId="5351BB50" w14:textId="77777777" w:rsidTr="008B4BDC">
        <w:tc>
          <w:tcPr>
            <w:tcW w:w="1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C3B06" w14:textId="77777777" w:rsidR="003A4883" w:rsidRPr="00146FF1" w:rsidRDefault="003A4883" w:rsidP="001A5767">
            <w:pPr>
              <w:keepNext/>
              <w:keepLines/>
              <w:tabs>
                <w:tab w:val="left" w:pos="150"/>
              </w:tabs>
              <w:jc w:val="left"/>
              <w:rPr>
                <w:rFonts w:ascii="Arial Narrow" w:hAnsi="Arial Narrow"/>
                <w:b/>
                <w:bCs/>
                <w:sz w:val="20"/>
              </w:rPr>
            </w:pPr>
            <w:r w:rsidRPr="00146FF1">
              <w:rPr>
                <w:rFonts w:ascii="Arial Narrow" w:hAnsi="Arial Narrow"/>
                <w:b/>
                <w:bCs/>
                <w:sz w:val="20"/>
              </w:rPr>
              <w:t>PALACE 3</w:t>
            </w:r>
          </w:p>
          <w:p w14:paraId="28F11026"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w:t>
            </w:r>
          </w:p>
          <w:p w14:paraId="430559C5"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Drug-related TEAE</w:t>
            </w:r>
          </w:p>
          <w:p w14:paraId="3F51BDD9"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Severe TEAE</w:t>
            </w:r>
          </w:p>
          <w:p w14:paraId="3DECFB29"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Serious TEAE (SAE)</w:t>
            </w:r>
          </w:p>
          <w:p w14:paraId="476C18C1"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Drug-related SAE</w:t>
            </w:r>
          </w:p>
          <w:p w14:paraId="18FE7B2F"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 leading to drug withdrawal</w:t>
            </w:r>
          </w:p>
          <w:p w14:paraId="75C87018"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 leading to death</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25814780" w14:textId="77777777" w:rsidR="003A4883" w:rsidRPr="00146FF1" w:rsidRDefault="003A4883" w:rsidP="001A5767">
            <w:pPr>
              <w:keepNext/>
              <w:keepLines/>
              <w:jc w:val="center"/>
              <w:rPr>
                <w:rFonts w:ascii="Arial Narrow" w:hAnsi="Arial Narrow"/>
                <w:sz w:val="20"/>
              </w:rPr>
            </w:pPr>
          </w:p>
          <w:p w14:paraId="6BA0B9DC"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104/167 (62.3)</w:t>
            </w:r>
          </w:p>
          <w:p w14:paraId="10072E40"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62/167 (37.1)</w:t>
            </w:r>
          </w:p>
          <w:p w14:paraId="7E861481"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10/167 (6.0)</w:t>
            </w:r>
          </w:p>
          <w:p w14:paraId="78CD8F19"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6/167 (3.6)</w:t>
            </w:r>
          </w:p>
          <w:p w14:paraId="00F7A434"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p w14:paraId="37630495"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12/167 (7.2)</w:t>
            </w:r>
          </w:p>
          <w:p w14:paraId="6CB3899D"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3EB34E43" w14:textId="77777777" w:rsidR="003A4883" w:rsidRPr="00146FF1" w:rsidRDefault="003A4883" w:rsidP="001A5767">
            <w:pPr>
              <w:keepNext/>
              <w:keepLines/>
              <w:jc w:val="center"/>
              <w:rPr>
                <w:rFonts w:ascii="Arial Narrow" w:hAnsi="Arial Narrow"/>
                <w:sz w:val="20"/>
              </w:rPr>
            </w:pPr>
          </w:p>
          <w:p w14:paraId="7FCE2E7D"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83/168 (49.4)</w:t>
            </w:r>
          </w:p>
          <w:p w14:paraId="23DA5C8F"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33/168 (19.6)</w:t>
            </w:r>
          </w:p>
          <w:p w14:paraId="0B1DAA33"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8/168 (4.8)</w:t>
            </w:r>
          </w:p>
          <w:p w14:paraId="0C172E9D"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9/168 (5.4)</w:t>
            </w:r>
          </w:p>
          <w:p w14:paraId="7063E678"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2/168 (1.2)</w:t>
            </w:r>
          </w:p>
          <w:p w14:paraId="438D7497"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10/168 (6.0)</w:t>
            </w:r>
          </w:p>
          <w:p w14:paraId="24BEAD62"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E4AFD"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0.13 (0.02, 0.23)</w:t>
            </w:r>
          </w:p>
          <w:p w14:paraId="395FA334"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0.17 (0.08, 0.27)</w:t>
            </w:r>
          </w:p>
          <w:p w14:paraId="2504CCD2"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0.01 (-0.04, 0.06)</w:t>
            </w:r>
          </w:p>
          <w:p w14:paraId="44326057"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-0.02 (-0.06, 0.03)</w:t>
            </w:r>
          </w:p>
          <w:p w14:paraId="5BA6D174"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-0.01 (-0.03, 0.01)</w:t>
            </w:r>
          </w:p>
          <w:p w14:paraId="29BE45E7"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0.01 (-0.04, 0.07)</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C84F1"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1.26 (1.04, 1.53)</w:t>
            </w:r>
          </w:p>
          <w:p w14:paraId="40D4B2BF"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1.89 (1.31, 2.72)</w:t>
            </w:r>
          </w:p>
          <w:p w14:paraId="3ADA0EC5"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1.26 (0.51, 3.11)</w:t>
            </w:r>
          </w:p>
          <w:p w14:paraId="5A757D0C"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0.67 (0.24, 1.84)</w:t>
            </w:r>
          </w:p>
          <w:p w14:paraId="684B1B42"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0.20 (0.01, 4.16)</w:t>
            </w:r>
          </w:p>
          <w:p w14:paraId="2461B461"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1.21 (0.54, 2.72)</w:t>
            </w:r>
          </w:p>
        </w:tc>
      </w:tr>
      <w:tr w:rsidR="00146FF1" w:rsidRPr="00146FF1" w14:paraId="6FE50EFA" w14:textId="77777777" w:rsidTr="008B4BDC">
        <w:tc>
          <w:tcPr>
            <w:tcW w:w="16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BD03F" w14:textId="77777777" w:rsidR="003A4883" w:rsidRPr="00146FF1" w:rsidRDefault="003A4883" w:rsidP="001A5767">
            <w:pPr>
              <w:keepNext/>
              <w:keepLines/>
              <w:tabs>
                <w:tab w:val="left" w:pos="150"/>
              </w:tabs>
              <w:jc w:val="left"/>
              <w:rPr>
                <w:rFonts w:ascii="Arial Narrow" w:hAnsi="Arial Narrow"/>
                <w:b/>
                <w:bCs/>
                <w:sz w:val="20"/>
              </w:rPr>
            </w:pPr>
            <w:r w:rsidRPr="00146FF1">
              <w:rPr>
                <w:rFonts w:ascii="Arial Narrow" w:hAnsi="Arial Narrow"/>
                <w:b/>
                <w:bCs/>
                <w:sz w:val="20"/>
              </w:rPr>
              <w:t>PALACE 4</w:t>
            </w:r>
          </w:p>
          <w:p w14:paraId="6BC0AEBE"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w:t>
            </w:r>
          </w:p>
          <w:p w14:paraId="59FC8F28"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Drug-related TEAE</w:t>
            </w:r>
          </w:p>
          <w:p w14:paraId="490CD8B5"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Severe TEAE</w:t>
            </w:r>
          </w:p>
          <w:p w14:paraId="0CE2762B"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Serious TEAE (SAE)</w:t>
            </w:r>
          </w:p>
          <w:p w14:paraId="66DBFE00"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 xml:space="preserve">    Drug-related SAE</w:t>
            </w:r>
          </w:p>
          <w:p w14:paraId="20AC308D"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 leading to drug withdrawal</w:t>
            </w:r>
          </w:p>
          <w:p w14:paraId="08CF4FF1" w14:textId="77777777" w:rsidR="003A4883" w:rsidRPr="00146FF1" w:rsidRDefault="003A4883" w:rsidP="001A5767">
            <w:pPr>
              <w:keepNext/>
              <w:keepLines/>
              <w:tabs>
                <w:tab w:val="left" w:pos="150"/>
              </w:tabs>
              <w:jc w:val="left"/>
              <w:rPr>
                <w:rFonts w:ascii="Arial Narrow" w:hAnsi="Arial Narrow"/>
                <w:sz w:val="20"/>
              </w:rPr>
            </w:pPr>
            <w:r w:rsidRPr="00146FF1">
              <w:rPr>
                <w:rFonts w:ascii="Arial Narrow" w:hAnsi="Arial Narrow"/>
                <w:sz w:val="20"/>
              </w:rPr>
              <w:tab/>
              <w:t>TEAE leading to death</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143A854E" w14:textId="77777777" w:rsidR="003A4883" w:rsidRPr="00146FF1" w:rsidRDefault="003A4883" w:rsidP="001A5767">
            <w:pPr>
              <w:keepNext/>
              <w:keepLines/>
              <w:jc w:val="center"/>
              <w:rPr>
                <w:rFonts w:ascii="Arial Narrow" w:hAnsi="Arial Narrow"/>
                <w:sz w:val="20"/>
              </w:rPr>
            </w:pPr>
          </w:p>
          <w:p w14:paraId="2418B005"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99/175 (56.6)</w:t>
            </w:r>
          </w:p>
          <w:p w14:paraId="62256982"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58/175 (33.1)</w:t>
            </w:r>
          </w:p>
          <w:p w14:paraId="504D9B2F"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2/175 (1.1)</w:t>
            </w:r>
          </w:p>
          <w:p w14:paraId="4C4736AF"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1/175 (0.6)</w:t>
            </w:r>
          </w:p>
          <w:p w14:paraId="6309C4E5"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1/175 (0.6)</w:t>
            </w:r>
          </w:p>
          <w:p w14:paraId="08D35F8F"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6/175 (3.4)</w:t>
            </w:r>
          </w:p>
          <w:p w14:paraId="3005A6AD"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14:paraId="63D7F763" w14:textId="77777777" w:rsidR="003A4883" w:rsidRPr="00146FF1" w:rsidRDefault="003A4883" w:rsidP="001A5767">
            <w:pPr>
              <w:keepNext/>
              <w:keepLines/>
              <w:jc w:val="center"/>
              <w:rPr>
                <w:rFonts w:ascii="Arial Narrow" w:hAnsi="Arial Narrow"/>
                <w:sz w:val="20"/>
              </w:rPr>
            </w:pPr>
          </w:p>
          <w:p w14:paraId="6F3A882C"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73/176 (41.5)</w:t>
            </w:r>
          </w:p>
          <w:p w14:paraId="3386FFD0"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25/176 (14.2)</w:t>
            </w:r>
          </w:p>
          <w:p w14:paraId="5D10A3E8"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6/176 (3.4)</w:t>
            </w:r>
          </w:p>
          <w:p w14:paraId="626CD0D9"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5/176 (2.8)</w:t>
            </w:r>
          </w:p>
          <w:p w14:paraId="0394FF4F"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p w14:paraId="06133173"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4/176 (2.3)</w:t>
            </w:r>
          </w:p>
          <w:p w14:paraId="295CC1A6" w14:textId="77777777" w:rsidR="003A4883" w:rsidRPr="00146FF1" w:rsidRDefault="003A4883" w:rsidP="001A5767">
            <w:pPr>
              <w:keepNext/>
              <w:keepLines/>
              <w:jc w:val="center"/>
              <w:rPr>
                <w:rFonts w:ascii="Arial Narrow" w:hAnsi="Arial Narrow"/>
                <w:sz w:val="20"/>
              </w:rPr>
            </w:pPr>
            <w:r w:rsidRPr="00146FF1">
              <w:rPr>
                <w:rFonts w:ascii="Arial Narrow" w:hAnsi="Arial Narrow"/>
                <w:sz w:val="20"/>
              </w:rPr>
              <w:t>0</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DD1F9"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0.15 (0.05, 0.25)</w:t>
            </w:r>
          </w:p>
          <w:p w14:paraId="03ED210A"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0.19 (0.10, 0.28)</w:t>
            </w:r>
          </w:p>
          <w:p w14:paraId="3B193F78"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-0.02 (-0.05, 0.01)</w:t>
            </w:r>
          </w:p>
          <w:p w14:paraId="52A4B955"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-0.02 (-0.05, 0.00)</w:t>
            </w:r>
          </w:p>
          <w:p w14:paraId="1466CA72"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0.01 (-0.01, 0.02)</w:t>
            </w:r>
          </w:p>
          <w:p w14:paraId="467145B7"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iCs/>
                <w:sz w:val="20"/>
              </w:rPr>
              <w:t>0.01 (-0.02, 0.05)</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C5035"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1.36 (1.10, 1.70)</w:t>
            </w:r>
          </w:p>
          <w:p w14:paraId="5BEDA2BF"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b/>
                <w:bCs/>
                <w:iCs/>
                <w:sz w:val="20"/>
              </w:rPr>
              <w:t>2.33 (1.53, 3.55)</w:t>
            </w:r>
          </w:p>
          <w:p w14:paraId="46895AA5"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0.34 (0.07, 1.64)</w:t>
            </w:r>
          </w:p>
          <w:p w14:paraId="1E6753F2"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0.20 (0.02, 1.70)</w:t>
            </w:r>
          </w:p>
          <w:p w14:paraId="7D0C22E2" w14:textId="77777777" w:rsidR="003A4883" w:rsidRPr="00146FF1" w:rsidRDefault="003A4883" w:rsidP="001A5767">
            <w:pPr>
              <w:keepNext/>
              <w:keepLines/>
              <w:jc w:val="center"/>
              <w:rPr>
                <w:rFonts w:ascii="Arial Narrow" w:hAnsi="Arial Narrow"/>
                <w:iCs/>
                <w:sz w:val="20"/>
              </w:rPr>
            </w:pPr>
            <w:r w:rsidRPr="00146FF1">
              <w:rPr>
                <w:rFonts w:ascii="Arial Narrow" w:hAnsi="Arial Narrow"/>
                <w:iCs/>
                <w:sz w:val="20"/>
              </w:rPr>
              <w:t>3.02 (0.12, 73.56)</w:t>
            </w:r>
          </w:p>
          <w:p w14:paraId="55A32C3D" w14:textId="77777777" w:rsidR="003A4883" w:rsidRPr="00146FF1" w:rsidRDefault="003A4883" w:rsidP="001A5767">
            <w:pPr>
              <w:keepNext/>
              <w:keepLines/>
              <w:jc w:val="center"/>
              <w:rPr>
                <w:rFonts w:ascii="Arial Narrow" w:hAnsi="Arial Narrow"/>
                <w:b/>
                <w:bCs/>
                <w:iCs/>
                <w:sz w:val="20"/>
              </w:rPr>
            </w:pPr>
            <w:r w:rsidRPr="00146FF1">
              <w:rPr>
                <w:rFonts w:ascii="Arial Narrow" w:hAnsi="Arial Narrow"/>
                <w:iCs/>
                <w:sz w:val="20"/>
              </w:rPr>
              <w:t>1.51 (0.43, 5.25)</w:t>
            </w:r>
          </w:p>
        </w:tc>
      </w:tr>
    </w:tbl>
    <w:p w14:paraId="417C7F76" w14:textId="77777777" w:rsidR="003A4883" w:rsidRPr="000E64F8" w:rsidRDefault="003A4883" w:rsidP="003A4883">
      <w:pPr>
        <w:pStyle w:val="TableFooter"/>
      </w:pPr>
      <w:r w:rsidRPr="000E64F8">
        <w:t xml:space="preserve">Source: </w:t>
      </w:r>
      <w:r>
        <w:t>paragraph 6.12, apremilast, PSD, March 2015 PBAC meeting</w:t>
      </w:r>
    </w:p>
    <w:p w14:paraId="6032A868" w14:textId="77777777" w:rsidR="003A4883" w:rsidRPr="006A2554" w:rsidRDefault="003A4883" w:rsidP="003A4883">
      <w:pPr>
        <w:pStyle w:val="FooterTableFigure"/>
        <w:rPr>
          <w:rFonts w:eastAsia="Calibri"/>
        </w:rPr>
      </w:pPr>
      <w:r w:rsidRPr="006A2554">
        <w:rPr>
          <w:rFonts w:eastAsia="Calibri"/>
        </w:rPr>
        <w:t>SAE = severe adverse events; TEAE = treatment emergent adverse events</w:t>
      </w:r>
    </w:p>
    <w:p w14:paraId="5D99E844" w14:textId="5C4B96FE" w:rsidR="005A4AE3" w:rsidRDefault="005A4AE3" w:rsidP="005A4AE3">
      <w:pPr>
        <w:pStyle w:val="3-BodyText"/>
        <w:ind w:left="720" w:hanging="720"/>
      </w:pPr>
      <w:r w:rsidRPr="0036659C">
        <w:t xml:space="preserve">The results of key safety outcomes for apremilast and placebo during the placebo controlled phase and for the apremilast exposure period (week 0 to 104) </w:t>
      </w:r>
      <w:r>
        <w:t xml:space="preserve">of the ACTIVE trial </w:t>
      </w:r>
      <w:r w:rsidRPr="0036659C">
        <w:t xml:space="preserve">are presented in </w:t>
      </w:r>
      <w:r>
        <w:fldChar w:fldCharType="begin"/>
      </w:r>
      <w:r>
        <w:instrText xml:space="preserve"> REF _Ref124510427 \h </w:instrText>
      </w:r>
      <w:r>
        <w:fldChar w:fldCharType="separate"/>
      </w:r>
      <w:r w:rsidR="00A05E81">
        <w:t xml:space="preserve">Table </w:t>
      </w:r>
      <w:r w:rsidR="00A05E81">
        <w:rPr>
          <w:noProof/>
        </w:rPr>
        <w:t>12</w:t>
      </w:r>
      <w:r>
        <w:fldChar w:fldCharType="end"/>
      </w:r>
      <w:r>
        <w:t xml:space="preserve">. </w:t>
      </w:r>
    </w:p>
    <w:p w14:paraId="178548DB" w14:textId="2165ADF9" w:rsidR="005A4AE3" w:rsidRDefault="005A4AE3" w:rsidP="005A4AE3">
      <w:pPr>
        <w:pStyle w:val="Caption"/>
      </w:pPr>
      <w:bookmarkStart w:id="58" w:name="_Ref124510427"/>
      <w:r>
        <w:lastRenderedPageBreak/>
        <w:t xml:space="preserve">Table </w:t>
      </w:r>
      <w:r w:rsidR="00A05E81">
        <w:fldChar w:fldCharType="begin"/>
      </w:r>
      <w:r w:rsidR="00A05E81">
        <w:instrText xml:space="preserve"> SEQ Table \* ARABIC </w:instrText>
      </w:r>
      <w:r w:rsidR="00A05E81">
        <w:fldChar w:fldCharType="separate"/>
      </w:r>
      <w:r w:rsidR="00A05E81">
        <w:rPr>
          <w:noProof/>
        </w:rPr>
        <w:t>12</w:t>
      </w:r>
      <w:r w:rsidR="00A05E81">
        <w:rPr>
          <w:noProof/>
        </w:rPr>
        <w:fldChar w:fldCharType="end"/>
      </w:r>
      <w:bookmarkEnd w:id="58"/>
      <w:r>
        <w:t xml:space="preserve">: </w:t>
      </w:r>
      <w:r w:rsidRPr="00080909">
        <w:t xml:space="preserve">Summary of key adverse events in the </w:t>
      </w:r>
      <w:r>
        <w:t>ACTIVE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992"/>
        <w:gridCol w:w="1142"/>
        <w:gridCol w:w="1262"/>
        <w:gridCol w:w="999"/>
        <w:gridCol w:w="1524"/>
        <w:gridCol w:w="1261"/>
      </w:tblGrid>
      <w:tr w:rsidR="005A4AE3" w:rsidRPr="0048379A" w14:paraId="0B7E4766" w14:textId="77777777" w:rsidTr="000B64E1">
        <w:trPr>
          <w:tblHeader/>
        </w:trPr>
        <w:tc>
          <w:tcPr>
            <w:tcW w:w="1019" w:type="pct"/>
            <w:vMerge w:val="restart"/>
            <w:vAlign w:val="center"/>
          </w:tcPr>
          <w:p w14:paraId="6F48B9EB" w14:textId="77777777" w:rsidR="005A4AE3" w:rsidRPr="0048379A" w:rsidRDefault="005A4AE3" w:rsidP="001A5767">
            <w:pPr>
              <w:pStyle w:val="In-tableHeading"/>
              <w:jc w:val="center"/>
            </w:pPr>
          </w:p>
        </w:tc>
        <w:tc>
          <w:tcPr>
            <w:tcW w:w="2437" w:type="pct"/>
            <w:gridSpan w:val="4"/>
            <w:vAlign w:val="center"/>
          </w:tcPr>
          <w:p w14:paraId="54116DB2" w14:textId="77777777" w:rsidR="005A4AE3" w:rsidRPr="0048379A" w:rsidRDefault="005A4AE3" w:rsidP="001A5767">
            <w:pPr>
              <w:pStyle w:val="In-tableHeading"/>
              <w:jc w:val="center"/>
            </w:pPr>
            <w:r w:rsidRPr="0048379A">
              <w:t>Phase 1 (week 0 to 24), Safety population</w:t>
            </w:r>
          </w:p>
        </w:tc>
        <w:tc>
          <w:tcPr>
            <w:tcW w:w="1544" w:type="pct"/>
            <w:gridSpan w:val="2"/>
          </w:tcPr>
          <w:p w14:paraId="3BAA3349" w14:textId="77777777" w:rsidR="005A4AE3" w:rsidRPr="0048379A" w:rsidRDefault="005A4AE3" w:rsidP="001A5767">
            <w:pPr>
              <w:pStyle w:val="In-tableHeading"/>
              <w:jc w:val="center"/>
            </w:pPr>
            <w:r w:rsidRPr="0048379A">
              <w:t>Apremilast exposure period (week 0 to 104), ART population</w:t>
            </w:r>
          </w:p>
        </w:tc>
      </w:tr>
      <w:tr w:rsidR="005A4AE3" w:rsidRPr="0048379A" w14:paraId="1E8C4175" w14:textId="77777777" w:rsidTr="000B64E1">
        <w:trPr>
          <w:tblHeader/>
        </w:trPr>
        <w:tc>
          <w:tcPr>
            <w:tcW w:w="1019" w:type="pct"/>
            <w:vMerge/>
            <w:vAlign w:val="center"/>
          </w:tcPr>
          <w:p w14:paraId="0685B94C" w14:textId="77777777" w:rsidR="005A4AE3" w:rsidRPr="0048379A" w:rsidRDefault="005A4AE3" w:rsidP="001A5767">
            <w:pPr>
              <w:pStyle w:val="In-tableHeading"/>
              <w:jc w:val="center"/>
            </w:pPr>
          </w:p>
        </w:tc>
        <w:tc>
          <w:tcPr>
            <w:tcW w:w="1183" w:type="pct"/>
            <w:gridSpan w:val="2"/>
            <w:vAlign w:val="center"/>
          </w:tcPr>
          <w:p w14:paraId="532256A6" w14:textId="77777777" w:rsidR="005A4AE3" w:rsidRPr="0048379A" w:rsidRDefault="005A4AE3" w:rsidP="001A5767">
            <w:pPr>
              <w:pStyle w:val="In-tableHeading"/>
              <w:jc w:val="center"/>
            </w:pPr>
            <w:r w:rsidRPr="0048379A">
              <w:t>Apremilast</w:t>
            </w:r>
          </w:p>
          <w:p w14:paraId="6763076D" w14:textId="77777777" w:rsidR="005A4AE3" w:rsidRPr="0048379A" w:rsidRDefault="005A4AE3" w:rsidP="001A5767">
            <w:pPr>
              <w:pStyle w:val="In-tableHeading"/>
              <w:jc w:val="center"/>
            </w:pPr>
            <w:r w:rsidRPr="0048379A">
              <w:t>N = 109</w:t>
            </w:r>
          </w:p>
          <w:p w14:paraId="5D20DABB" w14:textId="77777777" w:rsidR="005A4AE3" w:rsidRPr="0048379A" w:rsidRDefault="005A4AE3" w:rsidP="001A5767">
            <w:pPr>
              <w:pStyle w:val="In-tableHeading"/>
              <w:jc w:val="center"/>
            </w:pPr>
            <w:r w:rsidRPr="0048379A">
              <w:t>Subject years = 43.7</w:t>
            </w:r>
          </w:p>
        </w:tc>
        <w:tc>
          <w:tcPr>
            <w:tcW w:w="1254" w:type="pct"/>
            <w:gridSpan w:val="2"/>
          </w:tcPr>
          <w:p w14:paraId="5074149F" w14:textId="77777777" w:rsidR="005A4AE3" w:rsidRPr="0048379A" w:rsidRDefault="005A4AE3" w:rsidP="001A5767">
            <w:pPr>
              <w:pStyle w:val="In-tableHeading"/>
              <w:jc w:val="center"/>
            </w:pPr>
            <w:r w:rsidRPr="0048379A">
              <w:t>Placebo</w:t>
            </w:r>
          </w:p>
          <w:p w14:paraId="1047E5B1" w14:textId="77777777" w:rsidR="005A4AE3" w:rsidRPr="0048379A" w:rsidRDefault="005A4AE3" w:rsidP="001A5767">
            <w:pPr>
              <w:pStyle w:val="In-tableHeading"/>
              <w:jc w:val="center"/>
            </w:pPr>
            <w:r w:rsidRPr="0048379A">
              <w:t>N = 109</w:t>
            </w:r>
          </w:p>
          <w:p w14:paraId="3143672E" w14:textId="77777777" w:rsidR="005A4AE3" w:rsidRPr="0048379A" w:rsidRDefault="005A4AE3" w:rsidP="001A5767">
            <w:pPr>
              <w:pStyle w:val="In-tableHeading"/>
              <w:jc w:val="center"/>
            </w:pPr>
            <w:r w:rsidRPr="0048379A">
              <w:t>Subject years = 41.8</w:t>
            </w:r>
          </w:p>
        </w:tc>
        <w:tc>
          <w:tcPr>
            <w:tcW w:w="1544" w:type="pct"/>
            <w:gridSpan w:val="2"/>
          </w:tcPr>
          <w:p w14:paraId="01DA2C2D" w14:textId="77777777" w:rsidR="005A4AE3" w:rsidRPr="0048379A" w:rsidRDefault="005A4AE3" w:rsidP="001A5767">
            <w:pPr>
              <w:pStyle w:val="In-tableHeading"/>
              <w:jc w:val="center"/>
            </w:pPr>
            <w:r w:rsidRPr="0048379A">
              <w:t>Apremilast</w:t>
            </w:r>
          </w:p>
          <w:p w14:paraId="29DD735F" w14:textId="77777777" w:rsidR="005A4AE3" w:rsidRPr="0048379A" w:rsidRDefault="005A4AE3" w:rsidP="001A5767">
            <w:pPr>
              <w:pStyle w:val="In-tableHeading"/>
              <w:jc w:val="center"/>
            </w:pPr>
            <w:r w:rsidRPr="0048379A">
              <w:t>N = 206</w:t>
            </w:r>
          </w:p>
          <w:p w14:paraId="2F9FBFC2" w14:textId="77777777" w:rsidR="005A4AE3" w:rsidRPr="0048379A" w:rsidRDefault="005A4AE3" w:rsidP="001A5767">
            <w:pPr>
              <w:pStyle w:val="In-tableHeading"/>
              <w:jc w:val="center"/>
            </w:pPr>
            <w:r w:rsidRPr="0048379A">
              <w:t>Subject years = 289.6</w:t>
            </w:r>
          </w:p>
        </w:tc>
      </w:tr>
      <w:tr w:rsidR="005A4AE3" w:rsidRPr="0048379A" w14:paraId="29F3E64A" w14:textId="77777777" w:rsidTr="000B64E1">
        <w:trPr>
          <w:tblHeader/>
        </w:trPr>
        <w:tc>
          <w:tcPr>
            <w:tcW w:w="1019" w:type="pct"/>
            <w:vMerge/>
            <w:vAlign w:val="center"/>
          </w:tcPr>
          <w:p w14:paraId="05B7E007" w14:textId="77777777" w:rsidR="005A4AE3" w:rsidRPr="0048379A" w:rsidRDefault="005A4AE3" w:rsidP="001A5767">
            <w:pPr>
              <w:pStyle w:val="In-tableHeading"/>
              <w:jc w:val="center"/>
            </w:pPr>
          </w:p>
        </w:tc>
        <w:tc>
          <w:tcPr>
            <w:tcW w:w="550" w:type="pct"/>
            <w:vAlign w:val="center"/>
          </w:tcPr>
          <w:p w14:paraId="7A1A1AB2" w14:textId="77777777" w:rsidR="005A4AE3" w:rsidRPr="0048379A" w:rsidRDefault="005A4AE3" w:rsidP="001A5767">
            <w:pPr>
              <w:pStyle w:val="In-tableHeading"/>
              <w:jc w:val="center"/>
            </w:pPr>
            <w:r w:rsidRPr="0048379A">
              <w:t>n with event (%)</w:t>
            </w:r>
          </w:p>
        </w:tc>
        <w:tc>
          <w:tcPr>
            <w:tcW w:w="633" w:type="pct"/>
            <w:vAlign w:val="center"/>
          </w:tcPr>
          <w:p w14:paraId="567F1AAB" w14:textId="77777777" w:rsidR="005A4AE3" w:rsidRPr="0048379A" w:rsidRDefault="005A4AE3" w:rsidP="001A5767">
            <w:pPr>
              <w:pStyle w:val="In-tableHeading"/>
              <w:jc w:val="center"/>
            </w:pPr>
            <w:r w:rsidRPr="0048379A">
              <w:t>EAIR per</w:t>
            </w:r>
          </w:p>
          <w:p w14:paraId="652F03A3" w14:textId="77777777" w:rsidR="005A4AE3" w:rsidRPr="0048379A" w:rsidRDefault="005A4AE3" w:rsidP="001A5767">
            <w:pPr>
              <w:pStyle w:val="In-tableHeading"/>
              <w:jc w:val="center"/>
            </w:pPr>
            <w:r w:rsidRPr="0048379A">
              <w:t xml:space="preserve">100 SY </w:t>
            </w:r>
            <w:r w:rsidRPr="0048379A">
              <w:rPr>
                <w:vertAlign w:val="superscript"/>
              </w:rPr>
              <w:t>a</w:t>
            </w:r>
          </w:p>
        </w:tc>
        <w:tc>
          <w:tcPr>
            <w:tcW w:w="700" w:type="pct"/>
          </w:tcPr>
          <w:p w14:paraId="57AB652C" w14:textId="77777777" w:rsidR="005A4AE3" w:rsidRPr="0048379A" w:rsidRDefault="005A4AE3" w:rsidP="001A5767">
            <w:pPr>
              <w:pStyle w:val="In-tableHeading"/>
              <w:jc w:val="center"/>
            </w:pPr>
            <w:r w:rsidRPr="0048379A">
              <w:t>n with event (%)</w:t>
            </w:r>
          </w:p>
        </w:tc>
        <w:tc>
          <w:tcPr>
            <w:tcW w:w="554" w:type="pct"/>
          </w:tcPr>
          <w:p w14:paraId="65552478" w14:textId="77777777" w:rsidR="005A4AE3" w:rsidRPr="0048379A" w:rsidRDefault="005A4AE3" w:rsidP="001A5767">
            <w:pPr>
              <w:pStyle w:val="In-tableHeading"/>
              <w:jc w:val="center"/>
            </w:pPr>
            <w:r w:rsidRPr="0048379A">
              <w:t>EAIR per</w:t>
            </w:r>
          </w:p>
          <w:p w14:paraId="0E65077B" w14:textId="77777777" w:rsidR="005A4AE3" w:rsidRPr="0048379A" w:rsidRDefault="005A4AE3" w:rsidP="001A5767">
            <w:pPr>
              <w:pStyle w:val="In-tableHeading"/>
              <w:jc w:val="center"/>
            </w:pPr>
            <w:r w:rsidRPr="0048379A">
              <w:t xml:space="preserve">100 SY </w:t>
            </w:r>
            <w:r w:rsidRPr="0048379A">
              <w:rPr>
                <w:vertAlign w:val="superscript"/>
              </w:rPr>
              <w:t>a</w:t>
            </w:r>
          </w:p>
        </w:tc>
        <w:tc>
          <w:tcPr>
            <w:tcW w:w="845" w:type="pct"/>
          </w:tcPr>
          <w:p w14:paraId="54DCC523" w14:textId="77777777" w:rsidR="005A4AE3" w:rsidRPr="0048379A" w:rsidRDefault="005A4AE3" w:rsidP="001A5767">
            <w:pPr>
              <w:pStyle w:val="In-tableHeading"/>
              <w:jc w:val="center"/>
            </w:pPr>
            <w:r w:rsidRPr="0048379A">
              <w:t>n with event (%)</w:t>
            </w:r>
          </w:p>
        </w:tc>
        <w:tc>
          <w:tcPr>
            <w:tcW w:w="699" w:type="pct"/>
            <w:vAlign w:val="center"/>
          </w:tcPr>
          <w:p w14:paraId="3483A62F" w14:textId="77777777" w:rsidR="005A4AE3" w:rsidRPr="0048379A" w:rsidRDefault="005A4AE3" w:rsidP="001A5767">
            <w:pPr>
              <w:pStyle w:val="In-tableHeading"/>
              <w:jc w:val="center"/>
            </w:pPr>
            <w:r w:rsidRPr="0048379A">
              <w:t>EAIR per</w:t>
            </w:r>
          </w:p>
          <w:p w14:paraId="398B2414" w14:textId="77777777" w:rsidR="005A4AE3" w:rsidRPr="0048379A" w:rsidRDefault="005A4AE3" w:rsidP="001A5767">
            <w:pPr>
              <w:pStyle w:val="In-tableHeading"/>
              <w:jc w:val="center"/>
            </w:pPr>
            <w:r w:rsidRPr="0048379A">
              <w:t xml:space="preserve">100 SY </w:t>
            </w:r>
            <w:r w:rsidRPr="0048379A">
              <w:rPr>
                <w:vertAlign w:val="superscript"/>
              </w:rPr>
              <w:t>a</w:t>
            </w:r>
          </w:p>
        </w:tc>
      </w:tr>
      <w:tr w:rsidR="005A4AE3" w:rsidRPr="0048379A" w14:paraId="17840207" w14:textId="77777777" w:rsidTr="001A5767">
        <w:tc>
          <w:tcPr>
            <w:tcW w:w="5000" w:type="pct"/>
            <w:gridSpan w:val="7"/>
            <w:vAlign w:val="center"/>
          </w:tcPr>
          <w:p w14:paraId="0CD66241" w14:textId="77777777" w:rsidR="005A4AE3" w:rsidRPr="0048379A" w:rsidRDefault="005A4AE3" w:rsidP="001A5767">
            <w:pPr>
              <w:pStyle w:val="TableText0"/>
              <w:rPr>
                <w:rFonts w:cs="Arial"/>
                <w:b/>
                <w:bCs w:val="0"/>
                <w:szCs w:val="20"/>
                <w:lang w:val="en-GB"/>
              </w:rPr>
            </w:pPr>
            <w:r w:rsidRPr="0048379A">
              <w:rPr>
                <w:rFonts w:cs="Arial"/>
                <w:b/>
                <w:bCs w:val="0"/>
                <w:szCs w:val="20"/>
                <w:lang w:val="en-GB"/>
              </w:rPr>
              <w:t>Summary events</w:t>
            </w:r>
          </w:p>
        </w:tc>
      </w:tr>
      <w:tr w:rsidR="005A4AE3" w:rsidRPr="0048379A" w14:paraId="4187885A" w14:textId="77777777" w:rsidTr="000B64E1">
        <w:tc>
          <w:tcPr>
            <w:tcW w:w="1019" w:type="pct"/>
            <w:vAlign w:val="center"/>
          </w:tcPr>
          <w:p w14:paraId="3E4E72AD" w14:textId="77777777" w:rsidR="005A4AE3" w:rsidRPr="0048379A" w:rsidRDefault="005A4AE3" w:rsidP="001A5767">
            <w:pPr>
              <w:pStyle w:val="TableText0"/>
            </w:pPr>
            <w:r w:rsidRPr="0048379A">
              <w:t>TEAE</w:t>
            </w:r>
          </w:p>
        </w:tc>
        <w:tc>
          <w:tcPr>
            <w:tcW w:w="550" w:type="pct"/>
          </w:tcPr>
          <w:p w14:paraId="62923029" w14:textId="77777777" w:rsidR="005A4AE3" w:rsidRPr="0048379A" w:rsidRDefault="005A4AE3" w:rsidP="001A5767">
            <w:pPr>
              <w:pStyle w:val="TableText0"/>
              <w:jc w:val="center"/>
            </w:pPr>
            <w:r w:rsidRPr="0048379A">
              <w:rPr>
                <w:rFonts w:cs="Arial"/>
                <w:szCs w:val="20"/>
                <w:lang w:val="en-GB"/>
              </w:rPr>
              <w:t>73 (67.0)</w:t>
            </w:r>
          </w:p>
        </w:tc>
        <w:tc>
          <w:tcPr>
            <w:tcW w:w="633" w:type="pct"/>
          </w:tcPr>
          <w:p w14:paraId="1D4E8284" w14:textId="77777777" w:rsidR="005A4AE3" w:rsidRPr="0048379A" w:rsidRDefault="005A4AE3" w:rsidP="001A5767">
            <w:pPr>
              <w:pStyle w:val="TableText0"/>
              <w:jc w:val="center"/>
            </w:pPr>
            <w:r w:rsidRPr="0048379A">
              <w:rPr>
                <w:rFonts w:cs="Arial"/>
                <w:szCs w:val="20"/>
                <w:lang w:val="en-GB"/>
              </w:rPr>
              <w:t>336.4</w:t>
            </w:r>
          </w:p>
        </w:tc>
        <w:tc>
          <w:tcPr>
            <w:tcW w:w="700" w:type="pct"/>
          </w:tcPr>
          <w:p w14:paraId="67F1D1D3" w14:textId="77777777" w:rsidR="005A4AE3" w:rsidRPr="0048379A" w:rsidRDefault="005A4AE3" w:rsidP="001A5767">
            <w:pPr>
              <w:pStyle w:val="TableText0"/>
              <w:jc w:val="center"/>
            </w:pPr>
            <w:r w:rsidRPr="0048379A">
              <w:rPr>
                <w:rFonts w:cs="Arial"/>
                <w:szCs w:val="20"/>
                <w:lang w:val="en-GB"/>
              </w:rPr>
              <w:t>69 (63.3)</w:t>
            </w:r>
          </w:p>
        </w:tc>
        <w:tc>
          <w:tcPr>
            <w:tcW w:w="554" w:type="pct"/>
          </w:tcPr>
          <w:p w14:paraId="430B7D9E" w14:textId="77777777" w:rsidR="005A4AE3" w:rsidRPr="0048379A" w:rsidRDefault="005A4AE3" w:rsidP="001A5767">
            <w:pPr>
              <w:pStyle w:val="TableText0"/>
              <w:jc w:val="center"/>
            </w:pPr>
            <w:r w:rsidRPr="0048379A">
              <w:rPr>
                <w:rFonts w:cs="Arial"/>
                <w:szCs w:val="20"/>
                <w:lang w:val="en-GB"/>
              </w:rPr>
              <w:t>299.7</w:t>
            </w:r>
          </w:p>
        </w:tc>
        <w:tc>
          <w:tcPr>
            <w:tcW w:w="845" w:type="pct"/>
          </w:tcPr>
          <w:p w14:paraId="2ADEFACE" w14:textId="77777777" w:rsidR="005A4AE3" w:rsidRPr="0048379A" w:rsidRDefault="005A4AE3" w:rsidP="001A5767">
            <w:pPr>
              <w:pStyle w:val="TableText0"/>
              <w:jc w:val="center"/>
            </w:pPr>
            <w:r w:rsidRPr="0048379A">
              <w:rPr>
                <w:rFonts w:cs="Arial"/>
                <w:szCs w:val="20"/>
                <w:lang w:val="en-GB"/>
              </w:rPr>
              <w:t>157 (76.2)</w:t>
            </w:r>
          </w:p>
        </w:tc>
        <w:tc>
          <w:tcPr>
            <w:tcW w:w="699" w:type="pct"/>
          </w:tcPr>
          <w:p w14:paraId="47487399" w14:textId="77777777" w:rsidR="005A4AE3" w:rsidRPr="0048379A" w:rsidRDefault="005A4AE3" w:rsidP="001A5767">
            <w:pPr>
              <w:pStyle w:val="TableText0"/>
              <w:jc w:val="center"/>
            </w:pPr>
            <w:r w:rsidRPr="0048379A">
              <w:rPr>
                <w:rFonts w:cs="Arial"/>
                <w:szCs w:val="20"/>
                <w:lang w:val="en-GB"/>
              </w:rPr>
              <w:t>134.9</w:t>
            </w:r>
          </w:p>
        </w:tc>
      </w:tr>
      <w:tr w:rsidR="005A4AE3" w:rsidRPr="0048379A" w14:paraId="6D366120" w14:textId="77777777" w:rsidTr="000B64E1">
        <w:tc>
          <w:tcPr>
            <w:tcW w:w="1019" w:type="pct"/>
            <w:vAlign w:val="center"/>
          </w:tcPr>
          <w:p w14:paraId="0786C163" w14:textId="77777777" w:rsidR="005A4AE3" w:rsidRPr="0048379A" w:rsidRDefault="005A4AE3" w:rsidP="001A5767">
            <w:pPr>
              <w:pStyle w:val="TableText0"/>
            </w:pPr>
            <w:r w:rsidRPr="0048379A">
              <w:t>Drug related TEAE</w:t>
            </w:r>
          </w:p>
        </w:tc>
        <w:tc>
          <w:tcPr>
            <w:tcW w:w="550" w:type="pct"/>
          </w:tcPr>
          <w:p w14:paraId="57B59A87" w14:textId="77777777" w:rsidR="005A4AE3" w:rsidRPr="0048379A" w:rsidRDefault="005A4AE3" w:rsidP="001A5767">
            <w:pPr>
              <w:pStyle w:val="TableText0"/>
              <w:jc w:val="center"/>
            </w:pPr>
            <w:r w:rsidRPr="0048379A">
              <w:rPr>
                <w:rFonts w:cs="Arial"/>
                <w:szCs w:val="20"/>
                <w:lang w:val="en-GB"/>
              </w:rPr>
              <w:t>30 (27.5)</w:t>
            </w:r>
          </w:p>
        </w:tc>
        <w:tc>
          <w:tcPr>
            <w:tcW w:w="633" w:type="pct"/>
          </w:tcPr>
          <w:p w14:paraId="6CF60348" w14:textId="77777777" w:rsidR="005A4AE3" w:rsidRPr="0048379A" w:rsidRDefault="005A4AE3" w:rsidP="001A5767">
            <w:pPr>
              <w:pStyle w:val="TableText0"/>
              <w:jc w:val="center"/>
            </w:pPr>
            <w:r w:rsidRPr="0048379A">
              <w:rPr>
                <w:rFonts w:cs="Arial"/>
                <w:szCs w:val="20"/>
                <w:lang w:val="en-GB"/>
              </w:rPr>
              <w:t>80.7</w:t>
            </w:r>
          </w:p>
        </w:tc>
        <w:tc>
          <w:tcPr>
            <w:tcW w:w="700" w:type="pct"/>
          </w:tcPr>
          <w:p w14:paraId="34E8E3FB" w14:textId="77777777" w:rsidR="005A4AE3" w:rsidRPr="0048379A" w:rsidRDefault="005A4AE3" w:rsidP="001A5767">
            <w:pPr>
              <w:pStyle w:val="TableText0"/>
              <w:jc w:val="center"/>
            </w:pPr>
            <w:r w:rsidRPr="0048379A">
              <w:rPr>
                <w:rFonts w:cs="Arial"/>
                <w:szCs w:val="20"/>
                <w:lang w:val="en-GB"/>
              </w:rPr>
              <w:t>18 (16.5)</w:t>
            </w:r>
          </w:p>
        </w:tc>
        <w:tc>
          <w:tcPr>
            <w:tcW w:w="554" w:type="pct"/>
          </w:tcPr>
          <w:p w14:paraId="657EF3B7" w14:textId="77777777" w:rsidR="005A4AE3" w:rsidRPr="0048379A" w:rsidRDefault="005A4AE3" w:rsidP="001A5767">
            <w:pPr>
              <w:pStyle w:val="TableText0"/>
              <w:jc w:val="center"/>
            </w:pPr>
            <w:r w:rsidRPr="0048379A">
              <w:rPr>
                <w:rFonts w:cs="Arial"/>
                <w:szCs w:val="20"/>
                <w:lang w:val="en-GB"/>
              </w:rPr>
              <w:t>48.7</w:t>
            </w:r>
          </w:p>
        </w:tc>
        <w:tc>
          <w:tcPr>
            <w:tcW w:w="845" w:type="pct"/>
          </w:tcPr>
          <w:p w14:paraId="5258A406" w14:textId="77777777" w:rsidR="005A4AE3" w:rsidRPr="0048379A" w:rsidRDefault="005A4AE3" w:rsidP="001A5767">
            <w:pPr>
              <w:pStyle w:val="TableText0"/>
              <w:jc w:val="center"/>
            </w:pPr>
            <w:r w:rsidRPr="0048379A">
              <w:rPr>
                <w:rFonts w:cs="Arial"/>
                <w:szCs w:val="20"/>
                <w:lang w:val="en-GB"/>
              </w:rPr>
              <w:t>52 (25.2)</w:t>
            </w:r>
          </w:p>
        </w:tc>
        <w:tc>
          <w:tcPr>
            <w:tcW w:w="699" w:type="pct"/>
          </w:tcPr>
          <w:p w14:paraId="2D994D47" w14:textId="77777777" w:rsidR="005A4AE3" w:rsidRPr="0048379A" w:rsidRDefault="005A4AE3" w:rsidP="001A5767">
            <w:pPr>
              <w:pStyle w:val="TableText0"/>
              <w:jc w:val="center"/>
            </w:pPr>
            <w:r w:rsidRPr="0048379A">
              <w:rPr>
                <w:rFonts w:cs="Arial"/>
                <w:szCs w:val="20"/>
                <w:lang w:val="en-GB"/>
              </w:rPr>
              <w:t>21.4</w:t>
            </w:r>
          </w:p>
        </w:tc>
      </w:tr>
      <w:tr w:rsidR="005A4AE3" w:rsidRPr="0048379A" w14:paraId="18A5307D" w14:textId="77777777" w:rsidTr="000B64E1">
        <w:tc>
          <w:tcPr>
            <w:tcW w:w="1019" w:type="pct"/>
            <w:vAlign w:val="center"/>
          </w:tcPr>
          <w:p w14:paraId="5A38FBA3" w14:textId="77777777" w:rsidR="005A4AE3" w:rsidRPr="0048379A" w:rsidRDefault="005A4AE3" w:rsidP="001A5767">
            <w:pPr>
              <w:pStyle w:val="TableText0"/>
            </w:pPr>
            <w:r w:rsidRPr="0048379A">
              <w:t>Severe TEAE</w:t>
            </w:r>
          </w:p>
        </w:tc>
        <w:tc>
          <w:tcPr>
            <w:tcW w:w="550" w:type="pct"/>
          </w:tcPr>
          <w:p w14:paraId="571A9586" w14:textId="77777777" w:rsidR="005A4AE3" w:rsidRPr="0048379A" w:rsidRDefault="005A4AE3" w:rsidP="001A5767">
            <w:pPr>
              <w:pStyle w:val="TableText0"/>
              <w:jc w:val="center"/>
            </w:pPr>
            <w:r w:rsidRPr="0048379A">
              <w:rPr>
                <w:rFonts w:cs="Arial"/>
                <w:szCs w:val="20"/>
                <w:lang w:val="en-GB"/>
              </w:rPr>
              <w:t>2 (1.8)</w:t>
            </w:r>
          </w:p>
        </w:tc>
        <w:tc>
          <w:tcPr>
            <w:tcW w:w="633" w:type="pct"/>
          </w:tcPr>
          <w:p w14:paraId="31E71271" w14:textId="77777777" w:rsidR="005A4AE3" w:rsidRPr="0048379A" w:rsidRDefault="005A4AE3" w:rsidP="001A5767">
            <w:pPr>
              <w:pStyle w:val="TableText0"/>
              <w:jc w:val="center"/>
            </w:pPr>
            <w:r w:rsidRPr="0048379A">
              <w:rPr>
                <w:rFonts w:cs="Arial"/>
                <w:szCs w:val="20"/>
                <w:lang w:val="en-GB"/>
              </w:rPr>
              <w:t>4.6</w:t>
            </w:r>
          </w:p>
        </w:tc>
        <w:tc>
          <w:tcPr>
            <w:tcW w:w="700" w:type="pct"/>
          </w:tcPr>
          <w:p w14:paraId="08BB4DF3" w14:textId="77777777" w:rsidR="005A4AE3" w:rsidRPr="0048379A" w:rsidRDefault="005A4AE3" w:rsidP="001A5767">
            <w:pPr>
              <w:pStyle w:val="TableText0"/>
              <w:jc w:val="center"/>
            </w:pPr>
            <w:r w:rsidRPr="0048379A">
              <w:rPr>
                <w:rFonts w:cs="Arial"/>
                <w:szCs w:val="20"/>
                <w:lang w:val="en-GB"/>
              </w:rPr>
              <w:t>4 (3.7)</w:t>
            </w:r>
          </w:p>
        </w:tc>
        <w:tc>
          <w:tcPr>
            <w:tcW w:w="554" w:type="pct"/>
          </w:tcPr>
          <w:p w14:paraId="14AA0F0A" w14:textId="77777777" w:rsidR="005A4AE3" w:rsidRPr="0048379A" w:rsidRDefault="005A4AE3" w:rsidP="001A5767">
            <w:pPr>
              <w:pStyle w:val="TableText0"/>
              <w:jc w:val="center"/>
            </w:pPr>
            <w:r w:rsidRPr="0048379A">
              <w:rPr>
                <w:rFonts w:cs="Arial"/>
                <w:szCs w:val="20"/>
                <w:lang w:val="en-GB"/>
              </w:rPr>
              <w:t>9.7</w:t>
            </w:r>
          </w:p>
        </w:tc>
        <w:tc>
          <w:tcPr>
            <w:tcW w:w="845" w:type="pct"/>
          </w:tcPr>
          <w:p w14:paraId="5B0FA91B" w14:textId="77777777" w:rsidR="005A4AE3" w:rsidRPr="0048379A" w:rsidRDefault="005A4AE3" w:rsidP="001A5767">
            <w:pPr>
              <w:pStyle w:val="TableText0"/>
              <w:jc w:val="center"/>
            </w:pPr>
            <w:r w:rsidRPr="0048379A">
              <w:rPr>
                <w:rFonts w:cs="Arial"/>
                <w:szCs w:val="20"/>
                <w:lang w:val="en-GB"/>
              </w:rPr>
              <w:t>8 (3.9)</w:t>
            </w:r>
          </w:p>
        </w:tc>
        <w:tc>
          <w:tcPr>
            <w:tcW w:w="699" w:type="pct"/>
          </w:tcPr>
          <w:p w14:paraId="02D74CAD" w14:textId="77777777" w:rsidR="005A4AE3" w:rsidRPr="0048379A" w:rsidRDefault="005A4AE3" w:rsidP="001A5767">
            <w:pPr>
              <w:pStyle w:val="TableText0"/>
              <w:jc w:val="center"/>
            </w:pPr>
            <w:r w:rsidRPr="0048379A">
              <w:rPr>
                <w:rFonts w:cs="Arial"/>
                <w:szCs w:val="20"/>
                <w:lang w:val="en-GB"/>
              </w:rPr>
              <w:t>2.8</w:t>
            </w:r>
          </w:p>
        </w:tc>
      </w:tr>
      <w:tr w:rsidR="005A4AE3" w:rsidRPr="0048379A" w14:paraId="6F4357FB" w14:textId="77777777" w:rsidTr="000B64E1">
        <w:tc>
          <w:tcPr>
            <w:tcW w:w="1019" w:type="pct"/>
            <w:vAlign w:val="center"/>
          </w:tcPr>
          <w:p w14:paraId="1441E243" w14:textId="77777777" w:rsidR="005A4AE3" w:rsidRPr="0048379A" w:rsidRDefault="005A4AE3" w:rsidP="001A5767">
            <w:pPr>
              <w:pStyle w:val="TableText0"/>
            </w:pPr>
            <w:r w:rsidRPr="0048379A">
              <w:t>Serious TEAE (SAE)</w:t>
            </w:r>
          </w:p>
        </w:tc>
        <w:tc>
          <w:tcPr>
            <w:tcW w:w="550" w:type="pct"/>
          </w:tcPr>
          <w:p w14:paraId="3E91ED52" w14:textId="77777777" w:rsidR="005A4AE3" w:rsidRPr="0048379A" w:rsidRDefault="005A4AE3" w:rsidP="001A5767">
            <w:pPr>
              <w:pStyle w:val="TableText0"/>
              <w:jc w:val="center"/>
            </w:pPr>
            <w:r w:rsidRPr="0048379A">
              <w:rPr>
                <w:rFonts w:cs="Arial"/>
                <w:szCs w:val="20"/>
                <w:lang w:val="en-GB"/>
              </w:rPr>
              <w:t>3 (2.8)</w:t>
            </w:r>
          </w:p>
        </w:tc>
        <w:tc>
          <w:tcPr>
            <w:tcW w:w="633" w:type="pct"/>
          </w:tcPr>
          <w:p w14:paraId="7F4A397A" w14:textId="77777777" w:rsidR="005A4AE3" w:rsidRPr="0048379A" w:rsidRDefault="005A4AE3" w:rsidP="001A5767">
            <w:pPr>
              <w:pStyle w:val="TableText0"/>
              <w:jc w:val="center"/>
            </w:pPr>
            <w:r w:rsidRPr="0048379A">
              <w:rPr>
                <w:rFonts w:cs="Arial"/>
                <w:szCs w:val="20"/>
                <w:lang w:val="en-GB"/>
              </w:rPr>
              <w:t>7.0</w:t>
            </w:r>
          </w:p>
        </w:tc>
        <w:tc>
          <w:tcPr>
            <w:tcW w:w="700" w:type="pct"/>
          </w:tcPr>
          <w:p w14:paraId="5D8C0397" w14:textId="77777777" w:rsidR="005A4AE3" w:rsidRPr="0048379A" w:rsidRDefault="005A4AE3" w:rsidP="001A5767">
            <w:pPr>
              <w:pStyle w:val="TableText0"/>
              <w:jc w:val="center"/>
            </w:pPr>
            <w:r w:rsidRPr="0048379A">
              <w:rPr>
                <w:rFonts w:cs="Arial"/>
                <w:szCs w:val="20"/>
                <w:lang w:val="en-GB"/>
              </w:rPr>
              <w:t>5 (4.6)</w:t>
            </w:r>
          </w:p>
        </w:tc>
        <w:tc>
          <w:tcPr>
            <w:tcW w:w="554" w:type="pct"/>
          </w:tcPr>
          <w:p w14:paraId="5F72A4E0" w14:textId="77777777" w:rsidR="005A4AE3" w:rsidRPr="0048379A" w:rsidRDefault="005A4AE3" w:rsidP="001A5767">
            <w:pPr>
              <w:pStyle w:val="TableText0"/>
              <w:jc w:val="center"/>
            </w:pPr>
            <w:r w:rsidRPr="0048379A">
              <w:rPr>
                <w:rFonts w:cs="Arial"/>
                <w:szCs w:val="20"/>
                <w:lang w:val="en-GB"/>
              </w:rPr>
              <w:t>12.2</w:t>
            </w:r>
          </w:p>
        </w:tc>
        <w:tc>
          <w:tcPr>
            <w:tcW w:w="845" w:type="pct"/>
          </w:tcPr>
          <w:p w14:paraId="4C2C0A3A" w14:textId="77777777" w:rsidR="005A4AE3" w:rsidRPr="0048379A" w:rsidRDefault="005A4AE3" w:rsidP="001A5767">
            <w:pPr>
              <w:pStyle w:val="TableText0"/>
              <w:jc w:val="center"/>
            </w:pPr>
            <w:r w:rsidRPr="0048379A">
              <w:rPr>
                <w:rFonts w:cs="Arial"/>
                <w:szCs w:val="20"/>
                <w:lang w:val="en-GB"/>
              </w:rPr>
              <w:t>15 (7.3)</w:t>
            </w:r>
          </w:p>
        </w:tc>
        <w:tc>
          <w:tcPr>
            <w:tcW w:w="699" w:type="pct"/>
          </w:tcPr>
          <w:p w14:paraId="50913FA4" w14:textId="77777777" w:rsidR="005A4AE3" w:rsidRPr="0048379A" w:rsidRDefault="005A4AE3" w:rsidP="001A5767">
            <w:pPr>
              <w:pStyle w:val="TableText0"/>
              <w:jc w:val="center"/>
            </w:pPr>
            <w:r w:rsidRPr="0048379A">
              <w:rPr>
                <w:rFonts w:cs="Arial"/>
                <w:szCs w:val="20"/>
                <w:lang w:val="en-GB"/>
              </w:rPr>
              <w:t>5.4</w:t>
            </w:r>
          </w:p>
        </w:tc>
      </w:tr>
      <w:tr w:rsidR="005A4AE3" w:rsidRPr="0048379A" w14:paraId="426AB831" w14:textId="77777777" w:rsidTr="000B64E1">
        <w:tc>
          <w:tcPr>
            <w:tcW w:w="1019" w:type="pct"/>
            <w:vAlign w:val="center"/>
          </w:tcPr>
          <w:p w14:paraId="05933D7C" w14:textId="77777777" w:rsidR="005A4AE3" w:rsidRPr="0048379A" w:rsidRDefault="005A4AE3" w:rsidP="001A5767">
            <w:pPr>
              <w:pStyle w:val="TableText0"/>
            </w:pPr>
            <w:r w:rsidRPr="0048379A">
              <w:t>Drug related serious TEAE</w:t>
            </w:r>
          </w:p>
        </w:tc>
        <w:tc>
          <w:tcPr>
            <w:tcW w:w="550" w:type="pct"/>
          </w:tcPr>
          <w:p w14:paraId="7CAA76EA" w14:textId="77777777" w:rsidR="005A4AE3" w:rsidRPr="0048379A" w:rsidRDefault="005A4AE3" w:rsidP="001A5767">
            <w:pPr>
              <w:pStyle w:val="TableText0"/>
              <w:jc w:val="center"/>
            </w:pPr>
            <w:r w:rsidRPr="0048379A">
              <w:rPr>
                <w:rFonts w:cs="Arial"/>
                <w:szCs w:val="20"/>
                <w:lang w:val="en-GB"/>
              </w:rPr>
              <w:t>0 (0.0)</w:t>
            </w:r>
          </w:p>
        </w:tc>
        <w:tc>
          <w:tcPr>
            <w:tcW w:w="633" w:type="pct"/>
          </w:tcPr>
          <w:p w14:paraId="32A0EA0B" w14:textId="77777777" w:rsidR="005A4AE3" w:rsidRPr="0048379A" w:rsidRDefault="005A4AE3" w:rsidP="001A5767">
            <w:pPr>
              <w:pStyle w:val="TableText0"/>
              <w:jc w:val="center"/>
            </w:pPr>
            <w:r w:rsidRPr="0048379A">
              <w:rPr>
                <w:rFonts w:cs="Arial"/>
                <w:szCs w:val="20"/>
                <w:lang w:val="en-GB"/>
              </w:rPr>
              <w:t>0.0</w:t>
            </w:r>
          </w:p>
        </w:tc>
        <w:tc>
          <w:tcPr>
            <w:tcW w:w="700" w:type="pct"/>
          </w:tcPr>
          <w:p w14:paraId="623F655C" w14:textId="77777777" w:rsidR="005A4AE3" w:rsidRPr="0048379A" w:rsidRDefault="005A4AE3" w:rsidP="001A5767">
            <w:pPr>
              <w:pStyle w:val="TableText0"/>
              <w:jc w:val="center"/>
            </w:pPr>
            <w:r w:rsidRPr="0048379A">
              <w:rPr>
                <w:rFonts w:cs="Arial"/>
                <w:szCs w:val="20"/>
                <w:lang w:val="en-GB"/>
              </w:rPr>
              <w:t>0 (0.0)</w:t>
            </w:r>
          </w:p>
        </w:tc>
        <w:tc>
          <w:tcPr>
            <w:tcW w:w="554" w:type="pct"/>
          </w:tcPr>
          <w:p w14:paraId="3520718F" w14:textId="77777777" w:rsidR="005A4AE3" w:rsidRPr="0048379A" w:rsidRDefault="005A4AE3" w:rsidP="001A5767">
            <w:pPr>
              <w:pStyle w:val="TableText0"/>
              <w:jc w:val="center"/>
            </w:pPr>
            <w:r w:rsidRPr="0048379A">
              <w:rPr>
                <w:rFonts w:cs="Arial"/>
                <w:szCs w:val="20"/>
                <w:lang w:val="en-GB"/>
              </w:rPr>
              <w:t>0.0</w:t>
            </w:r>
          </w:p>
        </w:tc>
        <w:tc>
          <w:tcPr>
            <w:tcW w:w="845" w:type="pct"/>
          </w:tcPr>
          <w:p w14:paraId="38B14D72" w14:textId="77777777" w:rsidR="005A4AE3" w:rsidRPr="0048379A" w:rsidRDefault="005A4AE3" w:rsidP="001A5767">
            <w:pPr>
              <w:pStyle w:val="TableText0"/>
              <w:jc w:val="center"/>
            </w:pPr>
            <w:r w:rsidRPr="0048379A">
              <w:rPr>
                <w:rFonts w:cs="Arial"/>
                <w:szCs w:val="20"/>
                <w:lang w:val="en-GB"/>
              </w:rPr>
              <w:t>0 (0.0)</w:t>
            </w:r>
          </w:p>
        </w:tc>
        <w:tc>
          <w:tcPr>
            <w:tcW w:w="699" w:type="pct"/>
          </w:tcPr>
          <w:p w14:paraId="04F4E7BC" w14:textId="77777777" w:rsidR="005A4AE3" w:rsidRPr="0048379A" w:rsidRDefault="005A4AE3" w:rsidP="001A5767">
            <w:pPr>
              <w:pStyle w:val="TableText0"/>
              <w:jc w:val="center"/>
            </w:pPr>
            <w:r w:rsidRPr="0048379A">
              <w:rPr>
                <w:rFonts w:cs="Arial"/>
                <w:szCs w:val="20"/>
                <w:lang w:val="en-GB"/>
              </w:rPr>
              <w:t>0.0</w:t>
            </w:r>
          </w:p>
        </w:tc>
      </w:tr>
      <w:tr w:rsidR="005A4AE3" w:rsidRPr="0048379A" w14:paraId="2D22BD16" w14:textId="77777777" w:rsidTr="000B64E1">
        <w:tc>
          <w:tcPr>
            <w:tcW w:w="1019" w:type="pct"/>
            <w:vAlign w:val="center"/>
          </w:tcPr>
          <w:p w14:paraId="1328FFAD" w14:textId="77777777" w:rsidR="005A4AE3" w:rsidRPr="0048379A" w:rsidRDefault="005A4AE3" w:rsidP="001A5767">
            <w:pPr>
              <w:pStyle w:val="TableText0"/>
            </w:pPr>
            <w:r w:rsidRPr="0048379A">
              <w:t>TEAE leading to dose interruption</w:t>
            </w:r>
          </w:p>
        </w:tc>
        <w:tc>
          <w:tcPr>
            <w:tcW w:w="550" w:type="pct"/>
          </w:tcPr>
          <w:p w14:paraId="26E55B74" w14:textId="77777777" w:rsidR="005A4AE3" w:rsidRPr="0048379A" w:rsidRDefault="005A4AE3" w:rsidP="001A5767">
            <w:pPr>
              <w:pStyle w:val="TableText0"/>
              <w:jc w:val="center"/>
            </w:pPr>
            <w:r w:rsidRPr="0048379A">
              <w:rPr>
                <w:rFonts w:cs="Arial"/>
                <w:szCs w:val="20"/>
                <w:lang w:val="en-GB"/>
              </w:rPr>
              <w:t>10 (9.2)</w:t>
            </w:r>
          </w:p>
        </w:tc>
        <w:tc>
          <w:tcPr>
            <w:tcW w:w="633" w:type="pct"/>
          </w:tcPr>
          <w:p w14:paraId="47F22F2E" w14:textId="77777777" w:rsidR="005A4AE3" w:rsidRPr="0048379A" w:rsidRDefault="005A4AE3" w:rsidP="001A5767">
            <w:pPr>
              <w:pStyle w:val="TableText0"/>
              <w:jc w:val="center"/>
            </w:pPr>
            <w:r w:rsidRPr="0048379A">
              <w:rPr>
                <w:rFonts w:cs="Arial"/>
                <w:szCs w:val="20"/>
                <w:lang w:val="en-GB"/>
              </w:rPr>
              <w:t>23.9</w:t>
            </w:r>
          </w:p>
        </w:tc>
        <w:tc>
          <w:tcPr>
            <w:tcW w:w="700" w:type="pct"/>
          </w:tcPr>
          <w:p w14:paraId="3108E0D6" w14:textId="77777777" w:rsidR="005A4AE3" w:rsidRPr="0048379A" w:rsidRDefault="005A4AE3" w:rsidP="001A5767">
            <w:pPr>
              <w:pStyle w:val="TableText0"/>
              <w:jc w:val="center"/>
            </w:pPr>
            <w:r w:rsidRPr="0048379A">
              <w:rPr>
                <w:rFonts w:cs="Arial"/>
                <w:szCs w:val="20"/>
                <w:lang w:val="en-GB"/>
              </w:rPr>
              <w:t>7 (6.4)</w:t>
            </w:r>
          </w:p>
        </w:tc>
        <w:tc>
          <w:tcPr>
            <w:tcW w:w="554" w:type="pct"/>
          </w:tcPr>
          <w:p w14:paraId="3CA64583" w14:textId="77777777" w:rsidR="005A4AE3" w:rsidRPr="0048379A" w:rsidRDefault="005A4AE3" w:rsidP="001A5767">
            <w:pPr>
              <w:pStyle w:val="TableText0"/>
              <w:jc w:val="center"/>
            </w:pPr>
            <w:r w:rsidRPr="0048379A">
              <w:rPr>
                <w:rFonts w:cs="Arial"/>
                <w:szCs w:val="20"/>
                <w:lang w:val="en-GB"/>
              </w:rPr>
              <w:t>17.5</w:t>
            </w:r>
          </w:p>
        </w:tc>
        <w:tc>
          <w:tcPr>
            <w:tcW w:w="845" w:type="pct"/>
          </w:tcPr>
          <w:p w14:paraId="51C58F46" w14:textId="77777777" w:rsidR="005A4AE3" w:rsidRPr="0048379A" w:rsidRDefault="005A4AE3" w:rsidP="001A5767">
            <w:pPr>
              <w:pStyle w:val="TableText0"/>
              <w:jc w:val="center"/>
            </w:pPr>
            <w:r w:rsidRPr="0048379A">
              <w:rPr>
                <w:rFonts w:cs="Arial"/>
                <w:szCs w:val="20"/>
                <w:lang w:val="en-GB"/>
              </w:rPr>
              <w:t>28 (13.6)</w:t>
            </w:r>
          </w:p>
        </w:tc>
        <w:tc>
          <w:tcPr>
            <w:tcW w:w="699" w:type="pct"/>
          </w:tcPr>
          <w:p w14:paraId="231664B8" w14:textId="77777777" w:rsidR="005A4AE3" w:rsidRPr="0048379A" w:rsidRDefault="005A4AE3" w:rsidP="001A5767">
            <w:pPr>
              <w:pStyle w:val="TableText0"/>
              <w:jc w:val="center"/>
            </w:pPr>
            <w:r w:rsidRPr="0048379A">
              <w:rPr>
                <w:rFonts w:cs="Arial"/>
                <w:szCs w:val="20"/>
                <w:lang w:val="en-GB"/>
              </w:rPr>
              <w:t>10.6</w:t>
            </w:r>
          </w:p>
        </w:tc>
      </w:tr>
      <w:tr w:rsidR="005A4AE3" w:rsidRPr="0048379A" w14:paraId="3FE8640F" w14:textId="77777777" w:rsidTr="000B64E1">
        <w:tc>
          <w:tcPr>
            <w:tcW w:w="1019" w:type="pct"/>
            <w:vAlign w:val="center"/>
          </w:tcPr>
          <w:p w14:paraId="28BCD175" w14:textId="77777777" w:rsidR="005A4AE3" w:rsidRPr="0048379A" w:rsidRDefault="005A4AE3" w:rsidP="001A5767">
            <w:pPr>
              <w:pStyle w:val="TableText0"/>
            </w:pPr>
            <w:r w:rsidRPr="0048379A">
              <w:t>TEAE leading to drug withdrawal</w:t>
            </w:r>
          </w:p>
        </w:tc>
        <w:tc>
          <w:tcPr>
            <w:tcW w:w="550" w:type="pct"/>
          </w:tcPr>
          <w:p w14:paraId="6EBC2E86" w14:textId="77777777" w:rsidR="005A4AE3" w:rsidRPr="0048379A" w:rsidRDefault="005A4AE3" w:rsidP="001A5767">
            <w:pPr>
              <w:pStyle w:val="TableText0"/>
              <w:jc w:val="center"/>
            </w:pPr>
            <w:r w:rsidRPr="0048379A">
              <w:rPr>
                <w:rFonts w:cs="Arial"/>
                <w:szCs w:val="20"/>
                <w:lang w:val="en-GB"/>
              </w:rPr>
              <w:t>10 (9.2)</w:t>
            </w:r>
          </w:p>
        </w:tc>
        <w:tc>
          <w:tcPr>
            <w:tcW w:w="633" w:type="pct"/>
          </w:tcPr>
          <w:p w14:paraId="4451AD49" w14:textId="77777777" w:rsidR="005A4AE3" w:rsidRPr="0048379A" w:rsidRDefault="005A4AE3" w:rsidP="001A5767">
            <w:pPr>
              <w:pStyle w:val="TableText0"/>
              <w:jc w:val="center"/>
            </w:pPr>
            <w:r w:rsidRPr="0048379A">
              <w:rPr>
                <w:rFonts w:cs="Arial"/>
                <w:szCs w:val="20"/>
                <w:lang w:val="en-GB"/>
              </w:rPr>
              <w:t>23.3</w:t>
            </w:r>
          </w:p>
        </w:tc>
        <w:tc>
          <w:tcPr>
            <w:tcW w:w="700" w:type="pct"/>
          </w:tcPr>
          <w:p w14:paraId="0C71A4DC" w14:textId="77777777" w:rsidR="005A4AE3" w:rsidRPr="0048379A" w:rsidRDefault="005A4AE3" w:rsidP="001A5767">
            <w:pPr>
              <w:pStyle w:val="TableText0"/>
              <w:jc w:val="center"/>
            </w:pPr>
            <w:r w:rsidRPr="0048379A">
              <w:rPr>
                <w:rFonts w:cs="Arial"/>
                <w:szCs w:val="20"/>
                <w:lang w:val="en-GB"/>
              </w:rPr>
              <w:t>5 (4.6)</w:t>
            </w:r>
          </w:p>
        </w:tc>
        <w:tc>
          <w:tcPr>
            <w:tcW w:w="554" w:type="pct"/>
          </w:tcPr>
          <w:p w14:paraId="7ECE4F81" w14:textId="77777777" w:rsidR="005A4AE3" w:rsidRPr="0048379A" w:rsidRDefault="005A4AE3" w:rsidP="001A5767">
            <w:pPr>
              <w:pStyle w:val="TableText0"/>
              <w:jc w:val="center"/>
            </w:pPr>
            <w:r w:rsidRPr="0048379A">
              <w:rPr>
                <w:rFonts w:cs="Arial"/>
                <w:szCs w:val="20"/>
                <w:lang w:val="en-GB"/>
              </w:rPr>
              <w:t>12.0</w:t>
            </w:r>
          </w:p>
        </w:tc>
        <w:tc>
          <w:tcPr>
            <w:tcW w:w="845" w:type="pct"/>
          </w:tcPr>
          <w:p w14:paraId="4BCD01EC" w14:textId="77777777" w:rsidR="005A4AE3" w:rsidRPr="0048379A" w:rsidRDefault="005A4AE3" w:rsidP="001A5767">
            <w:pPr>
              <w:pStyle w:val="TableText0"/>
              <w:jc w:val="center"/>
            </w:pPr>
            <w:r w:rsidRPr="0048379A">
              <w:rPr>
                <w:rFonts w:cs="Arial"/>
                <w:szCs w:val="20"/>
                <w:lang w:val="en-GB"/>
              </w:rPr>
              <w:t>17 (8.3)</w:t>
            </w:r>
          </w:p>
        </w:tc>
        <w:tc>
          <w:tcPr>
            <w:tcW w:w="699" w:type="pct"/>
          </w:tcPr>
          <w:p w14:paraId="12CF9088" w14:textId="77777777" w:rsidR="005A4AE3" w:rsidRPr="0048379A" w:rsidRDefault="005A4AE3" w:rsidP="001A5767">
            <w:pPr>
              <w:pStyle w:val="TableText0"/>
              <w:jc w:val="center"/>
            </w:pPr>
            <w:r w:rsidRPr="0048379A">
              <w:rPr>
                <w:rFonts w:cs="Arial"/>
                <w:szCs w:val="20"/>
                <w:lang w:val="en-GB"/>
              </w:rPr>
              <w:t>5.9</w:t>
            </w:r>
          </w:p>
        </w:tc>
      </w:tr>
      <w:tr w:rsidR="005A4AE3" w:rsidRPr="0048379A" w14:paraId="18E506DC" w14:textId="77777777" w:rsidTr="000B64E1">
        <w:tc>
          <w:tcPr>
            <w:tcW w:w="1019" w:type="pct"/>
            <w:vAlign w:val="center"/>
          </w:tcPr>
          <w:p w14:paraId="51536532" w14:textId="77777777" w:rsidR="005A4AE3" w:rsidRPr="0048379A" w:rsidRDefault="005A4AE3" w:rsidP="001A5767">
            <w:pPr>
              <w:pStyle w:val="TableText0"/>
            </w:pPr>
            <w:r w:rsidRPr="0048379A">
              <w:t>Fatal TEAE</w:t>
            </w:r>
          </w:p>
        </w:tc>
        <w:tc>
          <w:tcPr>
            <w:tcW w:w="550" w:type="pct"/>
          </w:tcPr>
          <w:p w14:paraId="075E0F87" w14:textId="77777777" w:rsidR="005A4AE3" w:rsidRPr="0048379A" w:rsidRDefault="005A4AE3" w:rsidP="001A5767">
            <w:pPr>
              <w:pStyle w:val="TableText0"/>
              <w:jc w:val="center"/>
            </w:pPr>
            <w:r w:rsidRPr="0048379A">
              <w:rPr>
                <w:rFonts w:cs="Arial"/>
                <w:szCs w:val="20"/>
                <w:lang w:val="en-GB"/>
              </w:rPr>
              <w:t>0 (0.0)</w:t>
            </w:r>
          </w:p>
        </w:tc>
        <w:tc>
          <w:tcPr>
            <w:tcW w:w="633" w:type="pct"/>
          </w:tcPr>
          <w:p w14:paraId="3E8651C9" w14:textId="77777777" w:rsidR="005A4AE3" w:rsidRPr="0048379A" w:rsidRDefault="005A4AE3" w:rsidP="001A5767">
            <w:pPr>
              <w:pStyle w:val="TableText0"/>
              <w:jc w:val="center"/>
            </w:pPr>
            <w:r w:rsidRPr="0048379A">
              <w:rPr>
                <w:rFonts w:cs="Arial"/>
                <w:szCs w:val="20"/>
                <w:lang w:val="en-GB"/>
              </w:rPr>
              <w:t>0.0</w:t>
            </w:r>
          </w:p>
        </w:tc>
        <w:tc>
          <w:tcPr>
            <w:tcW w:w="700" w:type="pct"/>
          </w:tcPr>
          <w:p w14:paraId="41FC5826" w14:textId="77777777" w:rsidR="005A4AE3" w:rsidRPr="0048379A" w:rsidRDefault="005A4AE3" w:rsidP="001A5767">
            <w:pPr>
              <w:pStyle w:val="TableText0"/>
              <w:jc w:val="center"/>
            </w:pPr>
            <w:r w:rsidRPr="0048379A">
              <w:rPr>
                <w:rFonts w:cs="Arial"/>
                <w:szCs w:val="20"/>
                <w:lang w:val="en-GB"/>
              </w:rPr>
              <w:t>0 (0.0)</w:t>
            </w:r>
          </w:p>
        </w:tc>
        <w:tc>
          <w:tcPr>
            <w:tcW w:w="554" w:type="pct"/>
          </w:tcPr>
          <w:p w14:paraId="08CE7244" w14:textId="77777777" w:rsidR="005A4AE3" w:rsidRPr="0048379A" w:rsidRDefault="005A4AE3" w:rsidP="001A5767">
            <w:pPr>
              <w:pStyle w:val="TableText0"/>
              <w:jc w:val="center"/>
            </w:pPr>
            <w:r w:rsidRPr="0048379A">
              <w:rPr>
                <w:rFonts w:cs="Arial"/>
                <w:szCs w:val="20"/>
                <w:lang w:val="en-GB"/>
              </w:rPr>
              <w:t>0.0</w:t>
            </w:r>
          </w:p>
        </w:tc>
        <w:tc>
          <w:tcPr>
            <w:tcW w:w="845" w:type="pct"/>
          </w:tcPr>
          <w:p w14:paraId="7302409D" w14:textId="77777777" w:rsidR="005A4AE3" w:rsidRPr="0048379A" w:rsidRDefault="005A4AE3" w:rsidP="001A5767">
            <w:pPr>
              <w:pStyle w:val="TableText0"/>
              <w:jc w:val="center"/>
            </w:pPr>
            <w:r w:rsidRPr="0048379A">
              <w:rPr>
                <w:rFonts w:cs="Arial"/>
                <w:szCs w:val="20"/>
                <w:lang w:val="en-GB"/>
              </w:rPr>
              <w:t>1 (0.5)</w:t>
            </w:r>
          </w:p>
        </w:tc>
        <w:tc>
          <w:tcPr>
            <w:tcW w:w="699" w:type="pct"/>
          </w:tcPr>
          <w:p w14:paraId="3875C3CB" w14:textId="77777777" w:rsidR="005A4AE3" w:rsidRPr="0048379A" w:rsidRDefault="005A4AE3" w:rsidP="001A5767">
            <w:pPr>
              <w:pStyle w:val="TableText0"/>
              <w:jc w:val="center"/>
            </w:pPr>
            <w:r w:rsidRPr="0048379A">
              <w:rPr>
                <w:rFonts w:cs="Arial"/>
                <w:szCs w:val="20"/>
                <w:lang w:val="en-GB"/>
              </w:rPr>
              <w:t>0.3</w:t>
            </w:r>
          </w:p>
        </w:tc>
      </w:tr>
      <w:tr w:rsidR="005A4AE3" w:rsidRPr="0048379A" w14:paraId="5DF8C85A" w14:textId="77777777" w:rsidTr="001A5767">
        <w:tc>
          <w:tcPr>
            <w:tcW w:w="5000" w:type="pct"/>
            <w:gridSpan w:val="7"/>
            <w:vAlign w:val="center"/>
          </w:tcPr>
          <w:p w14:paraId="2544DDAC" w14:textId="77777777" w:rsidR="005A4AE3" w:rsidRPr="0048379A" w:rsidRDefault="005A4AE3" w:rsidP="001A5767">
            <w:pPr>
              <w:pStyle w:val="TableText0"/>
              <w:rPr>
                <w:rFonts w:cs="Arial"/>
                <w:b/>
                <w:bCs w:val="0"/>
                <w:szCs w:val="20"/>
                <w:lang w:val="en-GB"/>
              </w:rPr>
            </w:pPr>
            <w:r w:rsidRPr="0048379A">
              <w:rPr>
                <w:rFonts w:cs="Arial"/>
                <w:b/>
                <w:bCs w:val="0"/>
                <w:szCs w:val="20"/>
                <w:lang w:val="en-GB"/>
              </w:rPr>
              <w:t>Frequently reported AEs, AEs and vital signs of interest</w:t>
            </w:r>
          </w:p>
        </w:tc>
      </w:tr>
      <w:tr w:rsidR="005A4AE3" w:rsidRPr="0048379A" w14:paraId="57A39294" w14:textId="77777777" w:rsidTr="000B64E1">
        <w:tc>
          <w:tcPr>
            <w:tcW w:w="1019" w:type="pct"/>
            <w:vAlign w:val="center"/>
          </w:tcPr>
          <w:p w14:paraId="2C2B1FBB" w14:textId="77777777" w:rsidR="005A4AE3" w:rsidRPr="0048379A" w:rsidRDefault="005A4AE3" w:rsidP="001A5767">
            <w:pPr>
              <w:pStyle w:val="TableText0"/>
            </w:pPr>
            <w:r w:rsidRPr="0048379A">
              <w:t>Diarrhoea</w:t>
            </w:r>
          </w:p>
        </w:tc>
        <w:tc>
          <w:tcPr>
            <w:tcW w:w="550" w:type="pct"/>
          </w:tcPr>
          <w:p w14:paraId="0D6D0627" w14:textId="77777777" w:rsidR="005A4AE3" w:rsidRPr="0048379A" w:rsidRDefault="005A4AE3" w:rsidP="001A5767">
            <w:pPr>
              <w:pStyle w:val="TableText0"/>
              <w:jc w:val="center"/>
              <w:rPr>
                <w:rFonts w:cs="Arial"/>
                <w:szCs w:val="20"/>
                <w:lang w:val="en-GB"/>
              </w:rPr>
            </w:pPr>
            <w:r w:rsidRPr="0048379A">
              <w:rPr>
                <w:szCs w:val="20"/>
              </w:rPr>
              <w:t>16 (14.7)</w:t>
            </w:r>
          </w:p>
        </w:tc>
        <w:tc>
          <w:tcPr>
            <w:tcW w:w="633" w:type="pct"/>
          </w:tcPr>
          <w:p w14:paraId="2A91C901" w14:textId="77777777" w:rsidR="005A4AE3" w:rsidRPr="0048379A" w:rsidRDefault="005A4AE3" w:rsidP="001A5767">
            <w:pPr>
              <w:pStyle w:val="TableText0"/>
              <w:jc w:val="center"/>
              <w:rPr>
                <w:rFonts w:cs="Arial"/>
                <w:szCs w:val="20"/>
                <w:lang w:val="en-GB"/>
              </w:rPr>
            </w:pPr>
            <w:r w:rsidRPr="0048379A">
              <w:rPr>
                <w:szCs w:val="20"/>
              </w:rPr>
              <w:t>39.7</w:t>
            </w:r>
          </w:p>
        </w:tc>
        <w:tc>
          <w:tcPr>
            <w:tcW w:w="700" w:type="pct"/>
          </w:tcPr>
          <w:p w14:paraId="35D9061A" w14:textId="77777777" w:rsidR="005A4AE3" w:rsidRPr="0048379A" w:rsidRDefault="005A4AE3" w:rsidP="001A5767">
            <w:pPr>
              <w:pStyle w:val="TableText0"/>
              <w:jc w:val="center"/>
              <w:rPr>
                <w:rFonts w:cs="Arial"/>
                <w:szCs w:val="20"/>
                <w:lang w:val="en-GB"/>
              </w:rPr>
            </w:pPr>
            <w:r w:rsidRPr="0048379A">
              <w:rPr>
                <w:szCs w:val="20"/>
              </w:rPr>
              <w:t>12 (11.0)</w:t>
            </w:r>
          </w:p>
        </w:tc>
        <w:tc>
          <w:tcPr>
            <w:tcW w:w="554" w:type="pct"/>
          </w:tcPr>
          <w:p w14:paraId="61CBEC02" w14:textId="77777777" w:rsidR="005A4AE3" w:rsidRPr="0048379A" w:rsidRDefault="005A4AE3" w:rsidP="001A5767">
            <w:pPr>
              <w:pStyle w:val="TableText0"/>
              <w:jc w:val="center"/>
              <w:rPr>
                <w:rFonts w:cs="Arial"/>
                <w:szCs w:val="20"/>
                <w:lang w:val="en-GB"/>
              </w:rPr>
            </w:pPr>
            <w:r w:rsidRPr="0048379A">
              <w:rPr>
                <w:szCs w:val="20"/>
              </w:rPr>
              <w:t>31.1</w:t>
            </w:r>
          </w:p>
        </w:tc>
        <w:tc>
          <w:tcPr>
            <w:tcW w:w="845" w:type="pct"/>
          </w:tcPr>
          <w:p w14:paraId="6729FD63" w14:textId="77777777" w:rsidR="005A4AE3" w:rsidRPr="0048379A" w:rsidRDefault="005A4AE3" w:rsidP="001A5767">
            <w:pPr>
              <w:pStyle w:val="TableText0"/>
              <w:jc w:val="center"/>
              <w:rPr>
                <w:rFonts w:cs="Arial"/>
                <w:szCs w:val="20"/>
                <w:lang w:val="en-GB"/>
              </w:rPr>
            </w:pPr>
            <w:r w:rsidRPr="0048379A">
              <w:rPr>
                <w:szCs w:val="20"/>
              </w:rPr>
              <w:t>34 (16.5)</w:t>
            </w:r>
          </w:p>
        </w:tc>
        <w:tc>
          <w:tcPr>
            <w:tcW w:w="699" w:type="pct"/>
          </w:tcPr>
          <w:p w14:paraId="50EAB80C" w14:textId="77777777" w:rsidR="005A4AE3" w:rsidRPr="0048379A" w:rsidRDefault="005A4AE3" w:rsidP="001A5767">
            <w:pPr>
              <w:pStyle w:val="TableText0"/>
              <w:jc w:val="center"/>
              <w:rPr>
                <w:rFonts w:cs="Arial"/>
                <w:szCs w:val="20"/>
                <w:lang w:val="en-GB"/>
              </w:rPr>
            </w:pPr>
            <w:r w:rsidRPr="0048379A">
              <w:rPr>
                <w:szCs w:val="20"/>
              </w:rPr>
              <w:t>13.0</w:t>
            </w:r>
          </w:p>
        </w:tc>
      </w:tr>
      <w:tr w:rsidR="005A4AE3" w:rsidRPr="0048379A" w14:paraId="6DC75381" w14:textId="77777777" w:rsidTr="000B64E1">
        <w:tc>
          <w:tcPr>
            <w:tcW w:w="1019" w:type="pct"/>
            <w:vAlign w:val="center"/>
          </w:tcPr>
          <w:p w14:paraId="393B1906" w14:textId="77777777" w:rsidR="005A4AE3" w:rsidRPr="0048379A" w:rsidRDefault="005A4AE3" w:rsidP="001A5767">
            <w:pPr>
              <w:pStyle w:val="TableText0"/>
            </w:pPr>
            <w:r w:rsidRPr="0048379A">
              <w:t>Nasopharyngitis</w:t>
            </w:r>
          </w:p>
        </w:tc>
        <w:tc>
          <w:tcPr>
            <w:tcW w:w="550" w:type="pct"/>
          </w:tcPr>
          <w:p w14:paraId="2B3BCC2E" w14:textId="77777777" w:rsidR="005A4AE3" w:rsidRPr="0048379A" w:rsidRDefault="005A4AE3" w:rsidP="001A5767">
            <w:pPr>
              <w:pStyle w:val="TableText0"/>
              <w:jc w:val="center"/>
              <w:rPr>
                <w:rFonts w:cs="Arial"/>
                <w:szCs w:val="20"/>
                <w:lang w:val="en-GB"/>
              </w:rPr>
            </w:pPr>
            <w:r w:rsidRPr="0048379A">
              <w:rPr>
                <w:rFonts w:cs="Arial"/>
                <w:szCs w:val="20"/>
                <w:lang w:val="en-GB"/>
              </w:rPr>
              <w:t>9 (8.3)</w:t>
            </w:r>
          </w:p>
        </w:tc>
        <w:tc>
          <w:tcPr>
            <w:tcW w:w="633" w:type="pct"/>
          </w:tcPr>
          <w:p w14:paraId="3014C1C0" w14:textId="77777777" w:rsidR="005A4AE3" w:rsidRPr="0048379A" w:rsidRDefault="005A4AE3" w:rsidP="001A5767">
            <w:pPr>
              <w:pStyle w:val="TableText0"/>
              <w:jc w:val="center"/>
              <w:rPr>
                <w:rFonts w:cs="Arial"/>
                <w:szCs w:val="20"/>
                <w:lang w:val="en-GB"/>
              </w:rPr>
            </w:pPr>
            <w:r w:rsidRPr="0048379A">
              <w:rPr>
                <w:rFonts w:cs="Arial"/>
                <w:szCs w:val="20"/>
                <w:lang w:val="en-GB"/>
              </w:rPr>
              <w:t>21.9</w:t>
            </w:r>
          </w:p>
        </w:tc>
        <w:tc>
          <w:tcPr>
            <w:tcW w:w="700" w:type="pct"/>
          </w:tcPr>
          <w:p w14:paraId="2759AFB4" w14:textId="77777777" w:rsidR="005A4AE3" w:rsidRPr="0048379A" w:rsidRDefault="005A4AE3" w:rsidP="001A5767">
            <w:pPr>
              <w:pStyle w:val="TableText0"/>
              <w:jc w:val="center"/>
              <w:rPr>
                <w:rFonts w:cs="Arial"/>
                <w:szCs w:val="20"/>
                <w:lang w:val="en-GB"/>
              </w:rPr>
            </w:pPr>
            <w:r w:rsidRPr="0048379A">
              <w:rPr>
                <w:rFonts w:cs="Arial"/>
                <w:szCs w:val="20"/>
                <w:lang w:val="en-GB"/>
              </w:rPr>
              <w:t xml:space="preserve">7 (6.4) </w:t>
            </w:r>
          </w:p>
        </w:tc>
        <w:tc>
          <w:tcPr>
            <w:tcW w:w="554" w:type="pct"/>
          </w:tcPr>
          <w:p w14:paraId="36B654C6" w14:textId="77777777" w:rsidR="005A4AE3" w:rsidRPr="0048379A" w:rsidRDefault="005A4AE3" w:rsidP="001A5767">
            <w:pPr>
              <w:pStyle w:val="TableText0"/>
              <w:jc w:val="center"/>
              <w:rPr>
                <w:rFonts w:cs="Arial"/>
                <w:szCs w:val="20"/>
                <w:lang w:val="en-GB"/>
              </w:rPr>
            </w:pPr>
            <w:r w:rsidRPr="0048379A">
              <w:rPr>
                <w:rFonts w:cs="Arial"/>
                <w:szCs w:val="20"/>
                <w:lang w:val="en-GB"/>
              </w:rPr>
              <w:t>17.4</w:t>
            </w:r>
          </w:p>
        </w:tc>
        <w:tc>
          <w:tcPr>
            <w:tcW w:w="845" w:type="pct"/>
          </w:tcPr>
          <w:p w14:paraId="0BDEF53E" w14:textId="77777777" w:rsidR="005A4AE3" w:rsidRPr="0048379A" w:rsidRDefault="005A4AE3" w:rsidP="001A5767">
            <w:pPr>
              <w:pStyle w:val="TableText0"/>
              <w:jc w:val="center"/>
              <w:rPr>
                <w:rFonts w:cs="Arial"/>
                <w:szCs w:val="20"/>
                <w:lang w:val="en-GB"/>
              </w:rPr>
            </w:pPr>
            <w:r w:rsidRPr="0048379A">
              <w:rPr>
                <w:rFonts w:cs="Arial"/>
                <w:szCs w:val="20"/>
                <w:lang w:val="en-GB"/>
              </w:rPr>
              <w:t>17 (8.3)</w:t>
            </w:r>
          </w:p>
        </w:tc>
        <w:tc>
          <w:tcPr>
            <w:tcW w:w="699" w:type="pct"/>
          </w:tcPr>
          <w:p w14:paraId="0372FFAD" w14:textId="77777777" w:rsidR="005A4AE3" w:rsidRPr="0048379A" w:rsidRDefault="005A4AE3" w:rsidP="001A5767">
            <w:pPr>
              <w:pStyle w:val="TableText0"/>
              <w:jc w:val="center"/>
              <w:rPr>
                <w:rFonts w:cs="Arial"/>
                <w:szCs w:val="20"/>
                <w:lang w:val="en-GB"/>
              </w:rPr>
            </w:pPr>
            <w:r w:rsidRPr="0048379A">
              <w:rPr>
                <w:rFonts w:cs="Arial"/>
                <w:szCs w:val="20"/>
                <w:lang w:val="en-GB"/>
              </w:rPr>
              <w:t>6.3</w:t>
            </w:r>
          </w:p>
        </w:tc>
      </w:tr>
      <w:tr w:rsidR="005A4AE3" w:rsidRPr="0048379A" w14:paraId="12908844" w14:textId="77777777" w:rsidTr="000B64E1">
        <w:tc>
          <w:tcPr>
            <w:tcW w:w="1019" w:type="pct"/>
            <w:vAlign w:val="center"/>
          </w:tcPr>
          <w:p w14:paraId="12DB7CE5" w14:textId="77777777" w:rsidR="005A4AE3" w:rsidRPr="0048379A" w:rsidRDefault="005A4AE3" w:rsidP="001A5767">
            <w:pPr>
              <w:pStyle w:val="TableText0"/>
            </w:pPr>
            <w:r w:rsidRPr="0048379A">
              <w:t>Nausea</w:t>
            </w:r>
          </w:p>
        </w:tc>
        <w:tc>
          <w:tcPr>
            <w:tcW w:w="550" w:type="pct"/>
          </w:tcPr>
          <w:p w14:paraId="09530894" w14:textId="77777777" w:rsidR="005A4AE3" w:rsidRPr="0048379A" w:rsidRDefault="005A4AE3" w:rsidP="001A5767">
            <w:pPr>
              <w:pStyle w:val="TableText0"/>
              <w:jc w:val="center"/>
              <w:rPr>
                <w:rFonts w:cs="Arial"/>
                <w:szCs w:val="20"/>
                <w:lang w:val="en-GB"/>
              </w:rPr>
            </w:pPr>
            <w:r w:rsidRPr="0048379A">
              <w:rPr>
                <w:rFonts w:cs="Arial"/>
                <w:szCs w:val="20"/>
                <w:lang w:val="en-GB"/>
              </w:rPr>
              <w:t>9 (8.3)</w:t>
            </w:r>
          </w:p>
        </w:tc>
        <w:tc>
          <w:tcPr>
            <w:tcW w:w="633" w:type="pct"/>
          </w:tcPr>
          <w:p w14:paraId="517CCFC2" w14:textId="77777777" w:rsidR="005A4AE3" w:rsidRPr="0048379A" w:rsidRDefault="005A4AE3" w:rsidP="001A5767">
            <w:pPr>
              <w:pStyle w:val="TableText0"/>
              <w:jc w:val="center"/>
              <w:rPr>
                <w:rFonts w:cs="Arial"/>
                <w:szCs w:val="20"/>
                <w:lang w:val="en-GB"/>
              </w:rPr>
            </w:pPr>
            <w:r w:rsidRPr="0048379A">
              <w:rPr>
                <w:rFonts w:cs="Arial"/>
                <w:szCs w:val="20"/>
                <w:lang w:val="en-GB"/>
              </w:rPr>
              <w:t>21.8</w:t>
            </w:r>
          </w:p>
        </w:tc>
        <w:tc>
          <w:tcPr>
            <w:tcW w:w="700" w:type="pct"/>
          </w:tcPr>
          <w:p w14:paraId="3C3B35F2" w14:textId="77777777" w:rsidR="005A4AE3" w:rsidRPr="0048379A" w:rsidRDefault="005A4AE3" w:rsidP="001A5767">
            <w:pPr>
              <w:pStyle w:val="TableText0"/>
              <w:jc w:val="center"/>
              <w:rPr>
                <w:rFonts w:cs="Arial"/>
                <w:szCs w:val="20"/>
                <w:lang w:val="en-GB"/>
              </w:rPr>
            </w:pPr>
            <w:r w:rsidRPr="0048379A">
              <w:rPr>
                <w:rFonts w:cs="Arial"/>
                <w:szCs w:val="20"/>
                <w:lang w:val="en-GB"/>
              </w:rPr>
              <w:t xml:space="preserve">2 (1.8) </w:t>
            </w:r>
          </w:p>
        </w:tc>
        <w:tc>
          <w:tcPr>
            <w:tcW w:w="554" w:type="pct"/>
          </w:tcPr>
          <w:p w14:paraId="4691510B" w14:textId="77777777" w:rsidR="005A4AE3" w:rsidRPr="0048379A" w:rsidRDefault="005A4AE3" w:rsidP="001A5767">
            <w:pPr>
              <w:pStyle w:val="TableText0"/>
              <w:jc w:val="center"/>
              <w:rPr>
                <w:rFonts w:cs="Arial"/>
                <w:szCs w:val="20"/>
                <w:lang w:val="en-GB"/>
              </w:rPr>
            </w:pPr>
            <w:r w:rsidRPr="0048379A">
              <w:rPr>
                <w:rFonts w:cs="Arial"/>
                <w:szCs w:val="20"/>
                <w:lang w:val="en-GB"/>
              </w:rPr>
              <w:t>4.8</w:t>
            </w:r>
          </w:p>
        </w:tc>
        <w:tc>
          <w:tcPr>
            <w:tcW w:w="845" w:type="pct"/>
          </w:tcPr>
          <w:p w14:paraId="4FDEDB73" w14:textId="77777777" w:rsidR="005A4AE3" w:rsidRPr="0048379A" w:rsidRDefault="005A4AE3" w:rsidP="001A5767">
            <w:pPr>
              <w:pStyle w:val="TableText0"/>
              <w:jc w:val="center"/>
              <w:rPr>
                <w:rFonts w:cs="Arial"/>
                <w:szCs w:val="20"/>
                <w:lang w:val="en-GB"/>
              </w:rPr>
            </w:pPr>
            <w:r w:rsidRPr="0048379A">
              <w:rPr>
                <w:rFonts w:cs="Arial"/>
                <w:szCs w:val="20"/>
                <w:lang w:val="en-GB"/>
              </w:rPr>
              <w:t>18 (8.7)</w:t>
            </w:r>
          </w:p>
        </w:tc>
        <w:tc>
          <w:tcPr>
            <w:tcW w:w="699" w:type="pct"/>
          </w:tcPr>
          <w:p w14:paraId="3395BD6B" w14:textId="77777777" w:rsidR="005A4AE3" w:rsidRPr="0048379A" w:rsidRDefault="005A4AE3" w:rsidP="001A5767">
            <w:pPr>
              <w:pStyle w:val="TableText0"/>
              <w:jc w:val="center"/>
              <w:rPr>
                <w:rFonts w:cs="Arial"/>
                <w:szCs w:val="20"/>
                <w:lang w:val="en-GB"/>
              </w:rPr>
            </w:pPr>
            <w:r w:rsidRPr="0048379A">
              <w:rPr>
                <w:rFonts w:cs="Arial"/>
                <w:szCs w:val="20"/>
                <w:lang w:val="en-GB"/>
              </w:rPr>
              <w:t>6.6</w:t>
            </w:r>
          </w:p>
        </w:tc>
      </w:tr>
      <w:tr w:rsidR="005A4AE3" w:rsidRPr="0048379A" w14:paraId="4C68E756" w14:textId="77777777" w:rsidTr="000B64E1">
        <w:tc>
          <w:tcPr>
            <w:tcW w:w="1019" w:type="pct"/>
            <w:vAlign w:val="center"/>
          </w:tcPr>
          <w:p w14:paraId="4DC85CBD" w14:textId="77777777" w:rsidR="005A4AE3" w:rsidRPr="0048379A" w:rsidRDefault="005A4AE3" w:rsidP="001A5767">
            <w:pPr>
              <w:pStyle w:val="TableText0"/>
            </w:pPr>
            <w:r w:rsidRPr="0048379A">
              <w:t>Headache</w:t>
            </w:r>
          </w:p>
        </w:tc>
        <w:tc>
          <w:tcPr>
            <w:tcW w:w="550" w:type="pct"/>
          </w:tcPr>
          <w:p w14:paraId="1A9A95CE" w14:textId="77777777" w:rsidR="005A4AE3" w:rsidRPr="0048379A" w:rsidRDefault="005A4AE3" w:rsidP="001A5767">
            <w:pPr>
              <w:pStyle w:val="TableText0"/>
              <w:jc w:val="center"/>
              <w:rPr>
                <w:rFonts w:cs="Arial"/>
                <w:szCs w:val="20"/>
                <w:lang w:val="en-GB"/>
              </w:rPr>
            </w:pPr>
            <w:r w:rsidRPr="0048379A">
              <w:rPr>
                <w:rFonts w:cs="Arial"/>
                <w:szCs w:val="20"/>
                <w:lang w:val="en-GB"/>
              </w:rPr>
              <w:t>8 (7.3)</w:t>
            </w:r>
          </w:p>
        </w:tc>
        <w:tc>
          <w:tcPr>
            <w:tcW w:w="633" w:type="pct"/>
          </w:tcPr>
          <w:p w14:paraId="3771BCD4" w14:textId="77777777" w:rsidR="005A4AE3" w:rsidRPr="0048379A" w:rsidRDefault="005A4AE3" w:rsidP="001A5767">
            <w:pPr>
              <w:pStyle w:val="TableText0"/>
              <w:jc w:val="center"/>
              <w:rPr>
                <w:rFonts w:cs="Arial"/>
                <w:szCs w:val="20"/>
                <w:lang w:val="en-GB"/>
              </w:rPr>
            </w:pPr>
            <w:r w:rsidRPr="0048379A">
              <w:rPr>
                <w:rFonts w:cs="Arial"/>
                <w:szCs w:val="20"/>
                <w:lang w:val="en-GB"/>
              </w:rPr>
              <w:t>19.3</w:t>
            </w:r>
          </w:p>
        </w:tc>
        <w:tc>
          <w:tcPr>
            <w:tcW w:w="700" w:type="pct"/>
          </w:tcPr>
          <w:p w14:paraId="2165E550" w14:textId="77777777" w:rsidR="005A4AE3" w:rsidRPr="0048379A" w:rsidRDefault="005A4AE3" w:rsidP="001A5767">
            <w:pPr>
              <w:pStyle w:val="TableText0"/>
              <w:jc w:val="center"/>
              <w:rPr>
                <w:rFonts w:cs="Arial"/>
                <w:szCs w:val="20"/>
                <w:lang w:val="en-GB"/>
              </w:rPr>
            </w:pPr>
            <w:r w:rsidRPr="0048379A">
              <w:rPr>
                <w:rFonts w:cs="Arial"/>
                <w:szCs w:val="20"/>
                <w:lang w:val="en-GB"/>
              </w:rPr>
              <w:t xml:space="preserve">4 (3.7) </w:t>
            </w:r>
          </w:p>
        </w:tc>
        <w:tc>
          <w:tcPr>
            <w:tcW w:w="554" w:type="pct"/>
          </w:tcPr>
          <w:p w14:paraId="5D1AEECD" w14:textId="77777777" w:rsidR="005A4AE3" w:rsidRPr="0048379A" w:rsidRDefault="005A4AE3" w:rsidP="001A5767">
            <w:pPr>
              <w:pStyle w:val="TableText0"/>
              <w:jc w:val="center"/>
              <w:rPr>
                <w:rFonts w:cs="Arial"/>
                <w:szCs w:val="20"/>
                <w:lang w:val="en-GB"/>
              </w:rPr>
            </w:pPr>
            <w:r w:rsidRPr="0048379A">
              <w:rPr>
                <w:rFonts w:cs="Arial"/>
                <w:szCs w:val="20"/>
                <w:lang w:val="en-GB"/>
              </w:rPr>
              <w:t>9.9</w:t>
            </w:r>
          </w:p>
        </w:tc>
        <w:tc>
          <w:tcPr>
            <w:tcW w:w="845" w:type="pct"/>
          </w:tcPr>
          <w:p w14:paraId="6D4805E9" w14:textId="77777777" w:rsidR="005A4AE3" w:rsidRPr="0048379A" w:rsidRDefault="005A4AE3" w:rsidP="001A5767">
            <w:pPr>
              <w:pStyle w:val="TableText0"/>
              <w:jc w:val="center"/>
              <w:rPr>
                <w:rFonts w:cs="Arial"/>
                <w:szCs w:val="20"/>
                <w:lang w:val="en-GB"/>
              </w:rPr>
            </w:pPr>
            <w:r w:rsidRPr="0048379A">
              <w:rPr>
                <w:rFonts w:cs="Arial"/>
                <w:szCs w:val="20"/>
                <w:lang w:val="en-GB"/>
              </w:rPr>
              <w:t>13 (6.3)</w:t>
            </w:r>
          </w:p>
        </w:tc>
        <w:tc>
          <w:tcPr>
            <w:tcW w:w="699" w:type="pct"/>
          </w:tcPr>
          <w:p w14:paraId="7F17BADF" w14:textId="77777777" w:rsidR="005A4AE3" w:rsidRPr="0048379A" w:rsidRDefault="005A4AE3" w:rsidP="001A5767">
            <w:pPr>
              <w:pStyle w:val="TableText0"/>
              <w:jc w:val="center"/>
              <w:rPr>
                <w:rFonts w:cs="Arial"/>
                <w:szCs w:val="20"/>
                <w:lang w:val="en-GB"/>
              </w:rPr>
            </w:pPr>
            <w:r w:rsidRPr="0048379A">
              <w:rPr>
                <w:rFonts w:cs="Arial"/>
                <w:szCs w:val="20"/>
                <w:lang w:val="en-GB"/>
              </w:rPr>
              <w:t>4.7</w:t>
            </w:r>
          </w:p>
        </w:tc>
      </w:tr>
      <w:tr w:rsidR="005A4AE3" w:rsidRPr="0048379A" w14:paraId="54BD81C9" w14:textId="77777777" w:rsidTr="000B64E1">
        <w:tc>
          <w:tcPr>
            <w:tcW w:w="1019" w:type="pct"/>
            <w:vAlign w:val="center"/>
          </w:tcPr>
          <w:p w14:paraId="6F7F9E7D" w14:textId="77777777" w:rsidR="005A4AE3" w:rsidRPr="0048379A" w:rsidRDefault="005A4AE3" w:rsidP="001A5767">
            <w:pPr>
              <w:pStyle w:val="TableText0"/>
            </w:pPr>
            <w:r w:rsidRPr="0048379A">
              <w:t>Hypertension</w:t>
            </w:r>
          </w:p>
        </w:tc>
        <w:tc>
          <w:tcPr>
            <w:tcW w:w="550" w:type="pct"/>
          </w:tcPr>
          <w:p w14:paraId="0DF00FDC" w14:textId="77777777" w:rsidR="005A4AE3" w:rsidRPr="0048379A" w:rsidRDefault="005A4AE3" w:rsidP="001A5767">
            <w:pPr>
              <w:pStyle w:val="TableText0"/>
              <w:jc w:val="center"/>
              <w:rPr>
                <w:rFonts w:cs="Arial"/>
                <w:szCs w:val="20"/>
                <w:lang w:val="en-GB"/>
              </w:rPr>
            </w:pPr>
            <w:r w:rsidRPr="0048379A">
              <w:rPr>
                <w:rFonts w:cs="Arial"/>
                <w:szCs w:val="20"/>
                <w:lang w:val="en-GB"/>
              </w:rPr>
              <w:t>7 (6.4)</w:t>
            </w:r>
          </w:p>
        </w:tc>
        <w:tc>
          <w:tcPr>
            <w:tcW w:w="633" w:type="pct"/>
          </w:tcPr>
          <w:p w14:paraId="4D9D1482" w14:textId="77777777" w:rsidR="005A4AE3" w:rsidRPr="0048379A" w:rsidRDefault="005A4AE3" w:rsidP="001A5767">
            <w:pPr>
              <w:pStyle w:val="TableText0"/>
              <w:jc w:val="center"/>
              <w:rPr>
                <w:rFonts w:cs="Arial"/>
                <w:szCs w:val="20"/>
                <w:lang w:val="en-GB"/>
              </w:rPr>
            </w:pPr>
            <w:r w:rsidRPr="0048379A">
              <w:rPr>
                <w:rFonts w:cs="Arial"/>
                <w:szCs w:val="20"/>
                <w:lang w:val="en-GB"/>
              </w:rPr>
              <w:t>16.9</w:t>
            </w:r>
          </w:p>
        </w:tc>
        <w:tc>
          <w:tcPr>
            <w:tcW w:w="700" w:type="pct"/>
          </w:tcPr>
          <w:p w14:paraId="1E2891CD" w14:textId="77777777" w:rsidR="005A4AE3" w:rsidRPr="0048379A" w:rsidRDefault="005A4AE3" w:rsidP="001A5767">
            <w:pPr>
              <w:pStyle w:val="TableText0"/>
              <w:jc w:val="center"/>
              <w:rPr>
                <w:rFonts w:cs="Arial"/>
                <w:szCs w:val="20"/>
                <w:lang w:val="en-GB"/>
              </w:rPr>
            </w:pPr>
            <w:r w:rsidRPr="0048379A">
              <w:rPr>
                <w:rFonts w:cs="Arial"/>
                <w:szCs w:val="20"/>
                <w:lang w:val="en-GB"/>
              </w:rPr>
              <w:t xml:space="preserve">7 (6.4) </w:t>
            </w:r>
          </w:p>
        </w:tc>
        <w:tc>
          <w:tcPr>
            <w:tcW w:w="554" w:type="pct"/>
          </w:tcPr>
          <w:p w14:paraId="156E1F65" w14:textId="77777777" w:rsidR="005A4AE3" w:rsidRPr="0048379A" w:rsidRDefault="005A4AE3" w:rsidP="001A5767">
            <w:pPr>
              <w:pStyle w:val="TableText0"/>
              <w:jc w:val="center"/>
              <w:rPr>
                <w:rFonts w:cs="Arial"/>
                <w:szCs w:val="20"/>
                <w:lang w:val="en-GB"/>
              </w:rPr>
            </w:pPr>
            <w:r w:rsidRPr="0048379A">
              <w:rPr>
                <w:rFonts w:cs="Arial"/>
                <w:szCs w:val="20"/>
                <w:lang w:val="en-GB"/>
              </w:rPr>
              <w:t>17.2</w:t>
            </w:r>
          </w:p>
        </w:tc>
        <w:tc>
          <w:tcPr>
            <w:tcW w:w="845" w:type="pct"/>
          </w:tcPr>
          <w:p w14:paraId="3CB728D4" w14:textId="77777777" w:rsidR="005A4AE3" w:rsidRPr="0048379A" w:rsidRDefault="005A4AE3" w:rsidP="001A5767">
            <w:pPr>
              <w:pStyle w:val="TableText0"/>
              <w:jc w:val="center"/>
              <w:rPr>
                <w:rFonts w:cs="Arial"/>
                <w:szCs w:val="20"/>
                <w:lang w:val="en-GB"/>
              </w:rPr>
            </w:pPr>
            <w:r w:rsidRPr="0048379A">
              <w:rPr>
                <w:rFonts w:cs="Arial"/>
                <w:szCs w:val="20"/>
                <w:lang w:val="en-GB"/>
              </w:rPr>
              <w:t>13 (6.3)</w:t>
            </w:r>
          </w:p>
        </w:tc>
        <w:tc>
          <w:tcPr>
            <w:tcW w:w="699" w:type="pct"/>
          </w:tcPr>
          <w:p w14:paraId="59A61D43" w14:textId="77777777" w:rsidR="005A4AE3" w:rsidRPr="0048379A" w:rsidRDefault="005A4AE3" w:rsidP="001A5767">
            <w:pPr>
              <w:pStyle w:val="TableText0"/>
              <w:jc w:val="center"/>
              <w:rPr>
                <w:rFonts w:cs="Arial"/>
                <w:szCs w:val="20"/>
                <w:lang w:val="en-GB"/>
              </w:rPr>
            </w:pPr>
            <w:r w:rsidRPr="0048379A">
              <w:rPr>
                <w:rFonts w:cs="Arial"/>
                <w:szCs w:val="20"/>
                <w:lang w:val="en-GB"/>
              </w:rPr>
              <w:t>4.8</w:t>
            </w:r>
          </w:p>
        </w:tc>
      </w:tr>
      <w:tr w:rsidR="005A4AE3" w:rsidRPr="0048379A" w14:paraId="401418D5" w14:textId="77777777" w:rsidTr="000B64E1">
        <w:tc>
          <w:tcPr>
            <w:tcW w:w="1019" w:type="pct"/>
            <w:vAlign w:val="center"/>
          </w:tcPr>
          <w:p w14:paraId="0528CBD2" w14:textId="77777777" w:rsidR="005A4AE3" w:rsidRPr="0048379A" w:rsidRDefault="005A4AE3" w:rsidP="001A5767">
            <w:pPr>
              <w:pStyle w:val="TableText0"/>
            </w:pPr>
            <w:r w:rsidRPr="0048379A">
              <w:t>URTI</w:t>
            </w:r>
          </w:p>
        </w:tc>
        <w:tc>
          <w:tcPr>
            <w:tcW w:w="550" w:type="pct"/>
          </w:tcPr>
          <w:p w14:paraId="091FFBED" w14:textId="77777777" w:rsidR="005A4AE3" w:rsidRPr="0048379A" w:rsidRDefault="005A4AE3" w:rsidP="001A5767">
            <w:pPr>
              <w:pStyle w:val="TableText0"/>
              <w:jc w:val="center"/>
              <w:rPr>
                <w:rFonts w:cs="Arial"/>
                <w:szCs w:val="20"/>
                <w:lang w:val="en-GB"/>
              </w:rPr>
            </w:pPr>
            <w:r w:rsidRPr="0048379A">
              <w:rPr>
                <w:rFonts w:cs="Arial"/>
                <w:szCs w:val="20"/>
                <w:lang w:val="en-GB"/>
              </w:rPr>
              <w:t>5 (4.6)</w:t>
            </w:r>
          </w:p>
        </w:tc>
        <w:tc>
          <w:tcPr>
            <w:tcW w:w="633" w:type="pct"/>
          </w:tcPr>
          <w:p w14:paraId="2B107543" w14:textId="77777777" w:rsidR="005A4AE3" w:rsidRPr="0048379A" w:rsidRDefault="005A4AE3" w:rsidP="001A5767">
            <w:pPr>
              <w:pStyle w:val="TableText0"/>
              <w:jc w:val="center"/>
              <w:rPr>
                <w:rFonts w:cs="Arial"/>
                <w:szCs w:val="20"/>
                <w:lang w:val="en-GB"/>
              </w:rPr>
            </w:pPr>
            <w:r w:rsidRPr="0048379A">
              <w:rPr>
                <w:rFonts w:cs="Arial"/>
                <w:szCs w:val="20"/>
                <w:lang w:val="en-GB"/>
              </w:rPr>
              <w:t>11.9</w:t>
            </w:r>
          </w:p>
        </w:tc>
        <w:tc>
          <w:tcPr>
            <w:tcW w:w="700" w:type="pct"/>
          </w:tcPr>
          <w:p w14:paraId="316F4DBA" w14:textId="77777777" w:rsidR="005A4AE3" w:rsidRPr="0048379A" w:rsidRDefault="005A4AE3" w:rsidP="001A5767">
            <w:pPr>
              <w:pStyle w:val="TableText0"/>
              <w:jc w:val="center"/>
              <w:rPr>
                <w:rFonts w:cs="Arial"/>
                <w:szCs w:val="20"/>
                <w:lang w:val="en-GB"/>
              </w:rPr>
            </w:pPr>
            <w:r w:rsidRPr="0048379A">
              <w:rPr>
                <w:rFonts w:cs="Arial"/>
                <w:szCs w:val="20"/>
                <w:lang w:val="en-GB"/>
              </w:rPr>
              <w:t xml:space="preserve">11 (10.1) </w:t>
            </w:r>
          </w:p>
        </w:tc>
        <w:tc>
          <w:tcPr>
            <w:tcW w:w="554" w:type="pct"/>
          </w:tcPr>
          <w:p w14:paraId="1605AFDD" w14:textId="77777777" w:rsidR="005A4AE3" w:rsidRPr="0048379A" w:rsidRDefault="005A4AE3" w:rsidP="001A5767">
            <w:pPr>
              <w:pStyle w:val="TableText0"/>
              <w:jc w:val="center"/>
              <w:rPr>
                <w:rFonts w:cs="Arial"/>
                <w:szCs w:val="20"/>
                <w:lang w:val="en-GB"/>
              </w:rPr>
            </w:pPr>
            <w:r w:rsidRPr="0048379A">
              <w:rPr>
                <w:rFonts w:cs="Arial"/>
                <w:szCs w:val="20"/>
                <w:lang w:val="en-GB"/>
              </w:rPr>
              <w:t>27.8</w:t>
            </w:r>
          </w:p>
        </w:tc>
        <w:tc>
          <w:tcPr>
            <w:tcW w:w="845" w:type="pct"/>
          </w:tcPr>
          <w:p w14:paraId="73387C36" w14:textId="77777777" w:rsidR="005A4AE3" w:rsidRPr="0048379A" w:rsidRDefault="005A4AE3" w:rsidP="001A5767">
            <w:pPr>
              <w:pStyle w:val="TableText0"/>
              <w:jc w:val="center"/>
              <w:rPr>
                <w:rFonts w:cs="Arial"/>
                <w:szCs w:val="20"/>
                <w:lang w:val="en-GB"/>
              </w:rPr>
            </w:pPr>
            <w:r w:rsidRPr="0048379A">
              <w:rPr>
                <w:rFonts w:cs="Arial"/>
                <w:szCs w:val="20"/>
                <w:lang w:val="en-GB"/>
              </w:rPr>
              <w:t>17 (8.3)</w:t>
            </w:r>
          </w:p>
        </w:tc>
        <w:tc>
          <w:tcPr>
            <w:tcW w:w="699" w:type="pct"/>
          </w:tcPr>
          <w:p w14:paraId="59021608" w14:textId="77777777" w:rsidR="005A4AE3" w:rsidRPr="0048379A" w:rsidRDefault="005A4AE3" w:rsidP="001A5767">
            <w:pPr>
              <w:pStyle w:val="TableText0"/>
              <w:jc w:val="center"/>
              <w:rPr>
                <w:rFonts w:cs="Arial"/>
                <w:szCs w:val="20"/>
                <w:lang w:val="en-GB"/>
              </w:rPr>
            </w:pPr>
            <w:r w:rsidRPr="0048379A">
              <w:rPr>
                <w:rFonts w:cs="Arial"/>
                <w:szCs w:val="20"/>
                <w:lang w:val="en-GB"/>
              </w:rPr>
              <w:t>6.3</w:t>
            </w:r>
          </w:p>
        </w:tc>
      </w:tr>
      <w:tr w:rsidR="005A4AE3" w:rsidRPr="0048379A" w14:paraId="56E92AA1" w14:textId="77777777" w:rsidTr="000B64E1">
        <w:tc>
          <w:tcPr>
            <w:tcW w:w="1019" w:type="pct"/>
            <w:vAlign w:val="center"/>
          </w:tcPr>
          <w:p w14:paraId="5E097ABE" w14:textId="77777777" w:rsidR="005A4AE3" w:rsidRPr="00AA64DF" w:rsidRDefault="005A4AE3" w:rsidP="001A5767">
            <w:pPr>
              <w:pStyle w:val="TableText0"/>
            </w:pPr>
            <w:r w:rsidRPr="00AA64DF">
              <w:t>Bronchitis</w:t>
            </w:r>
          </w:p>
        </w:tc>
        <w:tc>
          <w:tcPr>
            <w:tcW w:w="550" w:type="pct"/>
          </w:tcPr>
          <w:p w14:paraId="2CB6C349" w14:textId="77777777" w:rsidR="005A4AE3" w:rsidRPr="00AA64DF" w:rsidRDefault="005A4AE3" w:rsidP="001A5767">
            <w:pPr>
              <w:pStyle w:val="TableText0"/>
              <w:jc w:val="center"/>
              <w:rPr>
                <w:rFonts w:cs="Arial"/>
                <w:szCs w:val="20"/>
                <w:lang w:val="en-GB"/>
              </w:rPr>
            </w:pPr>
            <w:r w:rsidRPr="00AA64DF">
              <w:rPr>
                <w:rFonts w:cs="Arial"/>
                <w:szCs w:val="20"/>
                <w:lang w:val="en-GB"/>
              </w:rPr>
              <w:t xml:space="preserve">5 (4.6) </w:t>
            </w:r>
          </w:p>
        </w:tc>
        <w:tc>
          <w:tcPr>
            <w:tcW w:w="633" w:type="pct"/>
          </w:tcPr>
          <w:p w14:paraId="7A6E8F73" w14:textId="77777777" w:rsidR="005A4AE3" w:rsidRPr="00AA64DF" w:rsidRDefault="005A4AE3" w:rsidP="001A5767">
            <w:pPr>
              <w:pStyle w:val="TableText0"/>
              <w:jc w:val="center"/>
              <w:rPr>
                <w:rFonts w:cs="Arial"/>
                <w:szCs w:val="20"/>
                <w:lang w:val="en-GB"/>
              </w:rPr>
            </w:pPr>
            <w:r w:rsidRPr="00AA64DF">
              <w:rPr>
                <w:rFonts w:cs="Arial"/>
                <w:szCs w:val="20"/>
                <w:lang w:val="en-GB"/>
              </w:rPr>
              <w:t>11.9</w:t>
            </w:r>
          </w:p>
        </w:tc>
        <w:tc>
          <w:tcPr>
            <w:tcW w:w="700" w:type="pct"/>
          </w:tcPr>
          <w:p w14:paraId="7E821700" w14:textId="77777777" w:rsidR="005A4AE3" w:rsidRPr="00AA64DF" w:rsidRDefault="005A4AE3" w:rsidP="001A5767">
            <w:pPr>
              <w:pStyle w:val="TableText0"/>
              <w:jc w:val="center"/>
              <w:rPr>
                <w:rFonts w:cs="Arial"/>
                <w:szCs w:val="20"/>
                <w:lang w:val="en-GB"/>
              </w:rPr>
            </w:pPr>
            <w:r w:rsidRPr="00AA64DF">
              <w:rPr>
                <w:rFonts w:cs="Arial"/>
                <w:szCs w:val="20"/>
                <w:lang w:val="en-GB"/>
              </w:rPr>
              <w:t>3 (2.8)</w:t>
            </w:r>
          </w:p>
        </w:tc>
        <w:tc>
          <w:tcPr>
            <w:tcW w:w="554" w:type="pct"/>
          </w:tcPr>
          <w:p w14:paraId="5FB94E50" w14:textId="77777777" w:rsidR="005A4AE3" w:rsidRPr="00AA64DF" w:rsidRDefault="005A4AE3" w:rsidP="001A5767">
            <w:pPr>
              <w:pStyle w:val="TableText0"/>
              <w:jc w:val="center"/>
              <w:rPr>
                <w:rFonts w:cs="Arial"/>
                <w:szCs w:val="20"/>
                <w:lang w:val="en-GB"/>
              </w:rPr>
            </w:pPr>
            <w:r w:rsidRPr="00AA64DF">
              <w:rPr>
                <w:rFonts w:cs="Arial"/>
                <w:szCs w:val="20"/>
                <w:lang w:val="en-GB"/>
              </w:rPr>
              <w:t>7.2</w:t>
            </w:r>
          </w:p>
        </w:tc>
        <w:tc>
          <w:tcPr>
            <w:tcW w:w="845" w:type="pct"/>
          </w:tcPr>
          <w:p w14:paraId="62FE41E1" w14:textId="77777777" w:rsidR="005A4AE3" w:rsidRPr="00AA64DF" w:rsidRDefault="005A4AE3" w:rsidP="001A5767">
            <w:pPr>
              <w:pStyle w:val="TableText0"/>
              <w:jc w:val="center"/>
              <w:rPr>
                <w:rFonts w:cs="Arial"/>
                <w:szCs w:val="20"/>
                <w:lang w:val="en-GB"/>
              </w:rPr>
            </w:pPr>
            <w:r w:rsidRPr="00AA64DF">
              <w:rPr>
                <w:rFonts w:cs="Arial"/>
                <w:szCs w:val="20"/>
                <w:lang w:val="en-GB"/>
              </w:rPr>
              <w:t xml:space="preserve">11 (5.3) </w:t>
            </w:r>
          </w:p>
        </w:tc>
        <w:tc>
          <w:tcPr>
            <w:tcW w:w="699" w:type="pct"/>
          </w:tcPr>
          <w:p w14:paraId="4F324761" w14:textId="77777777" w:rsidR="005A4AE3" w:rsidRPr="00AA64DF" w:rsidRDefault="005A4AE3" w:rsidP="001A5767">
            <w:pPr>
              <w:pStyle w:val="TableText0"/>
              <w:jc w:val="center"/>
              <w:rPr>
                <w:rFonts w:cs="Arial"/>
                <w:szCs w:val="20"/>
                <w:lang w:val="en-GB"/>
              </w:rPr>
            </w:pPr>
            <w:r w:rsidRPr="00AA64DF">
              <w:rPr>
                <w:rFonts w:cs="Arial"/>
                <w:szCs w:val="20"/>
                <w:lang w:val="en-GB"/>
              </w:rPr>
              <w:t>4.0</w:t>
            </w:r>
          </w:p>
        </w:tc>
      </w:tr>
      <w:tr w:rsidR="005A4AE3" w:rsidRPr="0048379A" w14:paraId="65D7342C" w14:textId="77777777" w:rsidTr="000B64E1">
        <w:tc>
          <w:tcPr>
            <w:tcW w:w="1019" w:type="pct"/>
            <w:vAlign w:val="center"/>
          </w:tcPr>
          <w:p w14:paraId="4A154CE3" w14:textId="77777777" w:rsidR="005A4AE3" w:rsidRPr="00AA64DF" w:rsidRDefault="005A4AE3" w:rsidP="001A5767">
            <w:pPr>
              <w:pStyle w:val="TableText0"/>
            </w:pPr>
            <w:r w:rsidRPr="00AA64DF">
              <w:t>Depression</w:t>
            </w:r>
          </w:p>
        </w:tc>
        <w:tc>
          <w:tcPr>
            <w:tcW w:w="550" w:type="pct"/>
          </w:tcPr>
          <w:p w14:paraId="2E33779C" w14:textId="77777777" w:rsidR="005A4AE3" w:rsidRPr="00AA64DF" w:rsidRDefault="005A4AE3" w:rsidP="001A5767">
            <w:pPr>
              <w:pStyle w:val="TableText0"/>
              <w:jc w:val="center"/>
              <w:rPr>
                <w:rFonts w:cs="Arial"/>
                <w:szCs w:val="20"/>
                <w:lang w:val="en-GB"/>
              </w:rPr>
            </w:pPr>
            <w:r w:rsidRPr="00AA64DF">
              <w:rPr>
                <w:rFonts w:cs="Arial"/>
                <w:szCs w:val="20"/>
                <w:lang w:val="en-GB"/>
              </w:rPr>
              <w:t>2 (1.8)</w:t>
            </w:r>
          </w:p>
        </w:tc>
        <w:tc>
          <w:tcPr>
            <w:tcW w:w="633" w:type="pct"/>
          </w:tcPr>
          <w:p w14:paraId="078058AB" w14:textId="77777777" w:rsidR="005A4AE3" w:rsidRPr="00AA64DF" w:rsidRDefault="005A4AE3" w:rsidP="001A5767">
            <w:pPr>
              <w:pStyle w:val="TableText0"/>
              <w:jc w:val="center"/>
              <w:rPr>
                <w:rFonts w:cs="Arial"/>
                <w:szCs w:val="20"/>
                <w:lang w:val="en-GB"/>
              </w:rPr>
            </w:pPr>
            <w:r w:rsidRPr="00AA64DF">
              <w:rPr>
                <w:rFonts w:cs="Arial"/>
                <w:szCs w:val="20"/>
                <w:lang w:val="en-GB"/>
              </w:rPr>
              <w:t>4.6</w:t>
            </w:r>
          </w:p>
        </w:tc>
        <w:tc>
          <w:tcPr>
            <w:tcW w:w="700" w:type="pct"/>
          </w:tcPr>
          <w:p w14:paraId="61D6460D" w14:textId="77777777" w:rsidR="005A4AE3" w:rsidRPr="00AA64DF" w:rsidRDefault="005A4AE3" w:rsidP="001A5767">
            <w:pPr>
              <w:pStyle w:val="TableText0"/>
              <w:jc w:val="center"/>
              <w:rPr>
                <w:rFonts w:cs="Arial"/>
                <w:szCs w:val="20"/>
                <w:lang w:val="en-GB"/>
              </w:rPr>
            </w:pPr>
            <w:r w:rsidRPr="00AA64DF">
              <w:rPr>
                <w:rFonts w:cs="Arial"/>
                <w:szCs w:val="20"/>
                <w:lang w:val="en-GB"/>
              </w:rPr>
              <w:t>0 (0.0)</w:t>
            </w:r>
          </w:p>
        </w:tc>
        <w:tc>
          <w:tcPr>
            <w:tcW w:w="554" w:type="pct"/>
          </w:tcPr>
          <w:p w14:paraId="744A47D2" w14:textId="77777777" w:rsidR="005A4AE3" w:rsidRPr="00AA64DF" w:rsidRDefault="005A4AE3" w:rsidP="001A5767">
            <w:pPr>
              <w:pStyle w:val="TableText0"/>
              <w:jc w:val="center"/>
              <w:rPr>
                <w:rFonts w:cs="Arial"/>
                <w:szCs w:val="20"/>
                <w:lang w:val="en-GB"/>
              </w:rPr>
            </w:pPr>
            <w:r w:rsidRPr="00AA64DF">
              <w:rPr>
                <w:rFonts w:cs="Arial"/>
                <w:szCs w:val="20"/>
                <w:lang w:val="en-GB"/>
              </w:rPr>
              <w:t>0</w:t>
            </w:r>
          </w:p>
        </w:tc>
        <w:tc>
          <w:tcPr>
            <w:tcW w:w="845" w:type="pct"/>
          </w:tcPr>
          <w:p w14:paraId="60B24118" w14:textId="77777777" w:rsidR="005A4AE3" w:rsidRPr="00AA64DF" w:rsidRDefault="005A4AE3" w:rsidP="001A5767">
            <w:pPr>
              <w:pStyle w:val="TableText0"/>
              <w:jc w:val="center"/>
              <w:rPr>
                <w:rFonts w:cs="Arial"/>
                <w:szCs w:val="20"/>
                <w:lang w:val="en-GB"/>
              </w:rPr>
            </w:pPr>
            <w:r w:rsidRPr="00AA64DF">
              <w:rPr>
                <w:rFonts w:cs="Arial"/>
                <w:szCs w:val="20"/>
                <w:lang w:val="en-GB"/>
              </w:rPr>
              <w:t>6 (2.9)</w:t>
            </w:r>
          </w:p>
        </w:tc>
        <w:tc>
          <w:tcPr>
            <w:tcW w:w="699" w:type="pct"/>
          </w:tcPr>
          <w:p w14:paraId="31780EA9" w14:textId="77777777" w:rsidR="005A4AE3" w:rsidRPr="00AA64DF" w:rsidRDefault="005A4AE3" w:rsidP="001A5767">
            <w:pPr>
              <w:pStyle w:val="TableText0"/>
              <w:jc w:val="center"/>
              <w:rPr>
                <w:rFonts w:cs="Arial"/>
                <w:szCs w:val="20"/>
                <w:lang w:val="en-GB"/>
              </w:rPr>
            </w:pPr>
            <w:r w:rsidRPr="00AA64DF">
              <w:rPr>
                <w:rFonts w:cs="Arial"/>
                <w:szCs w:val="20"/>
                <w:lang w:val="en-GB"/>
              </w:rPr>
              <w:t>2.1</w:t>
            </w:r>
          </w:p>
        </w:tc>
      </w:tr>
      <w:tr w:rsidR="005A4AE3" w:rsidRPr="0048379A" w14:paraId="24B3172B" w14:textId="77777777" w:rsidTr="000B64E1">
        <w:tc>
          <w:tcPr>
            <w:tcW w:w="1019" w:type="pct"/>
            <w:vAlign w:val="center"/>
          </w:tcPr>
          <w:p w14:paraId="0BF96077" w14:textId="77777777" w:rsidR="005A4AE3" w:rsidRPr="00AA64DF" w:rsidRDefault="005A4AE3" w:rsidP="001A5767">
            <w:pPr>
              <w:pStyle w:val="TableText0"/>
            </w:pPr>
            <w:r w:rsidRPr="00AA64DF">
              <w:t>Weight loss &gt;5%</w:t>
            </w:r>
          </w:p>
        </w:tc>
        <w:tc>
          <w:tcPr>
            <w:tcW w:w="550" w:type="pct"/>
          </w:tcPr>
          <w:p w14:paraId="78F67EF5" w14:textId="77777777" w:rsidR="005A4AE3" w:rsidRPr="00AA64DF" w:rsidRDefault="005A4AE3" w:rsidP="001A5767">
            <w:pPr>
              <w:pStyle w:val="TableText0"/>
              <w:jc w:val="center"/>
              <w:rPr>
                <w:rFonts w:cs="Arial"/>
                <w:szCs w:val="20"/>
                <w:lang w:val="en-GB"/>
              </w:rPr>
            </w:pPr>
            <w:r w:rsidRPr="00AA64DF">
              <w:rPr>
                <w:rFonts w:cs="Arial"/>
                <w:szCs w:val="20"/>
                <w:lang w:val="en-GB"/>
              </w:rPr>
              <w:t>12 (11.0)</w:t>
            </w:r>
          </w:p>
        </w:tc>
        <w:tc>
          <w:tcPr>
            <w:tcW w:w="633" w:type="pct"/>
          </w:tcPr>
          <w:p w14:paraId="23717305" w14:textId="77777777" w:rsidR="005A4AE3" w:rsidRPr="00AA64DF" w:rsidRDefault="005A4AE3" w:rsidP="001A5767">
            <w:pPr>
              <w:pStyle w:val="TableText0"/>
              <w:jc w:val="center"/>
              <w:rPr>
                <w:rFonts w:cs="Arial"/>
                <w:szCs w:val="20"/>
                <w:lang w:val="en-GB"/>
              </w:rPr>
            </w:pPr>
            <w:r w:rsidRPr="00AA64DF">
              <w:rPr>
                <w:rFonts w:cs="Arial"/>
                <w:szCs w:val="20"/>
                <w:lang w:val="en-GB"/>
              </w:rPr>
              <w:t>NR</w:t>
            </w:r>
          </w:p>
        </w:tc>
        <w:tc>
          <w:tcPr>
            <w:tcW w:w="700" w:type="pct"/>
          </w:tcPr>
          <w:p w14:paraId="52563D97" w14:textId="77777777" w:rsidR="005A4AE3" w:rsidRPr="00AA64DF" w:rsidRDefault="005A4AE3" w:rsidP="001A5767">
            <w:pPr>
              <w:pStyle w:val="TableText0"/>
              <w:jc w:val="center"/>
              <w:rPr>
                <w:rFonts w:cs="Arial"/>
                <w:szCs w:val="20"/>
                <w:lang w:val="en-GB"/>
              </w:rPr>
            </w:pPr>
            <w:r w:rsidRPr="00AA64DF">
              <w:rPr>
                <w:rFonts w:cs="Arial"/>
                <w:szCs w:val="20"/>
                <w:lang w:val="en-GB"/>
              </w:rPr>
              <w:t>1 (0.9)</w:t>
            </w:r>
          </w:p>
        </w:tc>
        <w:tc>
          <w:tcPr>
            <w:tcW w:w="554" w:type="pct"/>
          </w:tcPr>
          <w:p w14:paraId="51859B3A" w14:textId="77777777" w:rsidR="005A4AE3" w:rsidRPr="00AA64DF" w:rsidRDefault="005A4AE3" w:rsidP="001A5767">
            <w:pPr>
              <w:pStyle w:val="TableText0"/>
              <w:jc w:val="center"/>
              <w:rPr>
                <w:rFonts w:cs="Arial"/>
                <w:szCs w:val="20"/>
                <w:lang w:val="en-GB"/>
              </w:rPr>
            </w:pPr>
            <w:r w:rsidRPr="00AA64DF">
              <w:rPr>
                <w:rFonts w:cs="Arial"/>
                <w:szCs w:val="20"/>
                <w:lang w:val="en-GB"/>
              </w:rPr>
              <w:t>NR</w:t>
            </w:r>
          </w:p>
        </w:tc>
        <w:tc>
          <w:tcPr>
            <w:tcW w:w="845" w:type="pct"/>
          </w:tcPr>
          <w:p w14:paraId="0DA0E3F4" w14:textId="77777777" w:rsidR="005A4AE3" w:rsidRPr="00AA64DF" w:rsidRDefault="005A4AE3" w:rsidP="001A5767">
            <w:pPr>
              <w:pStyle w:val="TableText0"/>
              <w:jc w:val="center"/>
              <w:rPr>
                <w:rFonts w:cs="Arial"/>
                <w:szCs w:val="20"/>
                <w:lang w:val="en-GB"/>
              </w:rPr>
            </w:pPr>
            <w:r w:rsidRPr="00AA64DF">
              <w:rPr>
                <w:rFonts w:cs="Arial"/>
                <w:szCs w:val="20"/>
                <w:lang w:val="en-GB"/>
              </w:rPr>
              <w:t>39 (18.9)</w:t>
            </w:r>
          </w:p>
        </w:tc>
        <w:tc>
          <w:tcPr>
            <w:tcW w:w="699" w:type="pct"/>
          </w:tcPr>
          <w:p w14:paraId="7055BFFC" w14:textId="77777777" w:rsidR="005A4AE3" w:rsidRPr="00AA64DF" w:rsidRDefault="005A4AE3" w:rsidP="001A5767">
            <w:pPr>
              <w:pStyle w:val="TableText0"/>
              <w:jc w:val="center"/>
              <w:rPr>
                <w:rFonts w:cs="Arial"/>
                <w:szCs w:val="20"/>
                <w:lang w:val="en-GB"/>
              </w:rPr>
            </w:pPr>
            <w:r w:rsidRPr="00AA64DF">
              <w:rPr>
                <w:rFonts w:cs="Arial"/>
                <w:szCs w:val="20"/>
                <w:lang w:val="en-GB"/>
              </w:rPr>
              <w:t>NR</w:t>
            </w:r>
          </w:p>
        </w:tc>
      </w:tr>
    </w:tbl>
    <w:p w14:paraId="058C8067" w14:textId="73209519" w:rsidR="005A4AE3" w:rsidRPr="00731A73" w:rsidRDefault="005A4AE3" w:rsidP="005A4AE3">
      <w:pPr>
        <w:pStyle w:val="TableFooter"/>
        <w:rPr>
          <w:i/>
          <w:iCs/>
          <w:sz w:val="20"/>
        </w:rPr>
      </w:pPr>
      <w:r>
        <w:t xml:space="preserve">Source: Tables 2-33 &amp; 2-34, pp59-60 </w:t>
      </w:r>
      <w:r w:rsidRPr="00D13A3E">
        <w:t xml:space="preserve">of the </w:t>
      </w:r>
      <w:r>
        <w:t xml:space="preserve">submission; Tables 78, 79, 14.3.1.3.1.1 &amp; 14.3.1.3.1.3 of the ACTIVE CSR, pp181-182 of the ACTIVE CSR. </w:t>
      </w:r>
    </w:p>
    <w:p w14:paraId="7A26903C" w14:textId="77777777" w:rsidR="005A4AE3" w:rsidRDefault="005A4AE3" w:rsidP="005A4AE3">
      <w:pPr>
        <w:pStyle w:val="TableFooter"/>
        <w:rPr>
          <w:rFonts w:eastAsia="Calibri"/>
        </w:rPr>
      </w:pPr>
      <w:r>
        <w:t>AE = adverse event; ART =</w:t>
      </w:r>
      <w:r w:rsidRPr="00101EC8">
        <w:t xml:space="preserve"> Apremilast Participants as Randomized or Transitioned Population</w:t>
      </w:r>
      <w:r>
        <w:t xml:space="preserve">; </w:t>
      </w:r>
      <w:r w:rsidRPr="00B40358">
        <w:rPr>
          <w:rFonts w:eastAsia="Calibri"/>
        </w:rPr>
        <w:t xml:space="preserve">CI = confidence interval; </w:t>
      </w:r>
      <w:r>
        <w:rPr>
          <w:rFonts w:eastAsia="Calibri"/>
        </w:rPr>
        <w:t xml:space="preserve">EAIR = exposure adjusted incidence rate; </w:t>
      </w:r>
      <w:r w:rsidRPr="00B40358">
        <w:rPr>
          <w:rFonts w:eastAsia="Calibri"/>
        </w:rPr>
        <w:t>n = number of participants reporting data; N = total participants in group</w:t>
      </w:r>
      <w:r>
        <w:rPr>
          <w:rFonts w:eastAsia="Calibri"/>
        </w:rPr>
        <w:t>; SY = subject-years; TEAE = treatment emergent adverse event; URTI = upper respiratory tract infection.</w:t>
      </w:r>
    </w:p>
    <w:p w14:paraId="34783D11" w14:textId="77777777" w:rsidR="005A4AE3" w:rsidRPr="005E4827" w:rsidRDefault="005A4AE3" w:rsidP="005A4AE3">
      <w:pPr>
        <w:pStyle w:val="FooterTableFigure"/>
        <w:rPr>
          <w:vertAlign w:val="superscript"/>
        </w:rPr>
      </w:pPr>
      <w:r w:rsidRPr="005E4827">
        <w:rPr>
          <w:vertAlign w:val="superscript"/>
        </w:rPr>
        <w:t xml:space="preserve">a </w:t>
      </w:r>
      <w:r w:rsidRPr="005E4827">
        <w:t>The EAIR per 100 subject-years = 100 x (number of participants reporting the event/subject-years of exposure [up to the first event start date for each subject reporting the event]).</w:t>
      </w:r>
    </w:p>
    <w:p w14:paraId="081578DF" w14:textId="77777777" w:rsidR="005C3467" w:rsidRPr="0033470C" w:rsidRDefault="005A4AE3" w:rsidP="00192513">
      <w:pPr>
        <w:pStyle w:val="3-BodyText"/>
        <w:ind w:left="720" w:hanging="720"/>
      </w:pPr>
      <w:r w:rsidRPr="0033470C">
        <w:t>The apremilast product information includes special warnings for weight decrease; depression and/or suicidal thoughts or behaviour; and diarrhoea, nausea, and vomiting.</w:t>
      </w:r>
      <w:r w:rsidR="00AF7321" w:rsidRPr="0033470C">
        <w:t xml:space="preserve"> The TGA risk management plan stated that routine risk minimisation measures are sufficient to manage the safety concerns of apremilast.</w:t>
      </w:r>
      <w:r w:rsidR="00192513" w:rsidRPr="0033470C">
        <w:t xml:space="preserve"> </w:t>
      </w:r>
    </w:p>
    <w:p w14:paraId="74047AFF" w14:textId="77777777" w:rsidR="003A4883" w:rsidRPr="00C9624D" w:rsidRDefault="003A4883" w:rsidP="003A4883">
      <w:pPr>
        <w:pStyle w:val="4-SubsectionHeading"/>
      </w:pPr>
      <w:bookmarkStart w:id="59" w:name="_Toc22897643"/>
      <w:bookmarkStart w:id="60" w:name="_Toc124945476"/>
      <w:r w:rsidRPr="00C9624D">
        <w:t>Benefits/harms</w:t>
      </w:r>
      <w:bookmarkEnd w:id="59"/>
      <w:bookmarkEnd w:id="60"/>
    </w:p>
    <w:p w14:paraId="6AEF7668" w14:textId="446BDA81" w:rsidR="003A4883" w:rsidRPr="00D2155B" w:rsidRDefault="003A4883" w:rsidP="003A4883">
      <w:pPr>
        <w:pStyle w:val="3-BodyText"/>
        <w:ind w:left="720" w:hanging="720"/>
        <w:rPr>
          <w:rStyle w:val="CommentReference"/>
          <w:color w:val="0066FF"/>
        </w:rPr>
      </w:pPr>
      <w:r w:rsidRPr="00ED5BD4">
        <w:rPr>
          <w:lang w:val="en-US"/>
        </w:rPr>
        <w:t xml:space="preserve">A summary of the comparative benefits and harms for </w:t>
      </w:r>
      <w:r>
        <w:rPr>
          <w:lang w:val="en-US"/>
        </w:rPr>
        <w:t>apremilast</w:t>
      </w:r>
      <w:r w:rsidRPr="00ED5BD4">
        <w:rPr>
          <w:lang w:val="en-US"/>
        </w:rPr>
        <w:t xml:space="preserve"> versus </w:t>
      </w:r>
      <w:r>
        <w:rPr>
          <w:lang w:val="en-US"/>
        </w:rPr>
        <w:t>placebo</w:t>
      </w:r>
      <w:r w:rsidRPr="00ED5BD4">
        <w:rPr>
          <w:lang w:val="en-US"/>
        </w:rPr>
        <w:t xml:space="preserve"> is presented in</w:t>
      </w:r>
      <w:r>
        <w:rPr>
          <w:lang w:val="en-US"/>
        </w:rPr>
        <w:t xml:space="preserve"> </w:t>
      </w:r>
      <w:r>
        <w:rPr>
          <w:lang w:val="en-US"/>
        </w:rPr>
        <w:fldChar w:fldCharType="begin"/>
      </w:r>
      <w:r>
        <w:rPr>
          <w:lang w:val="en-US"/>
        </w:rPr>
        <w:instrText xml:space="preserve"> REF _Ref104805037 \h </w:instrText>
      </w:r>
      <w:r>
        <w:rPr>
          <w:lang w:val="en-US"/>
        </w:rPr>
      </w:r>
      <w:r>
        <w:rPr>
          <w:lang w:val="en-US"/>
        </w:rPr>
        <w:fldChar w:fldCharType="separate"/>
      </w:r>
      <w:r w:rsidR="00A05E81">
        <w:t xml:space="preserve">Table </w:t>
      </w:r>
      <w:r w:rsidR="00A05E81">
        <w:rPr>
          <w:noProof/>
        </w:rPr>
        <w:t>13</w:t>
      </w:r>
      <w:r>
        <w:rPr>
          <w:lang w:val="en-US"/>
        </w:rPr>
        <w:fldChar w:fldCharType="end"/>
      </w:r>
      <w:r w:rsidRPr="00D2155B">
        <w:t>.</w:t>
      </w:r>
    </w:p>
    <w:p w14:paraId="7F9E51AA" w14:textId="363586D3" w:rsidR="003A4883" w:rsidRPr="00D2155B" w:rsidRDefault="003A4883" w:rsidP="003A4883">
      <w:pPr>
        <w:pStyle w:val="Caption"/>
        <w:rPr>
          <w:rStyle w:val="CommentReference"/>
          <w:b/>
          <w:szCs w:val="24"/>
        </w:rPr>
      </w:pPr>
      <w:bookmarkStart w:id="61" w:name="_Ref104805037"/>
      <w:r>
        <w:lastRenderedPageBreak/>
        <w:t xml:space="preserve">Table </w:t>
      </w:r>
      <w:r w:rsidR="00A05E81">
        <w:fldChar w:fldCharType="begin"/>
      </w:r>
      <w:r w:rsidR="00A05E81">
        <w:instrText xml:space="preserve"> SEQ Table \* ARABIC </w:instrText>
      </w:r>
      <w:r w:rsidR="00A05E81">
        <w:fldChar w:fldCharType="separate"/>
      </w:r>
      <w:r w:rsidR="00A05E81">
        <w:rPr>
          <w:noProof/>
        </w:rPr>
        <w:t>13</w:t>
      </w:r>
      <w:r w:rsidR="00A05E81">
        <w:rPr>
          <w:noProof/>
        </w:rPr>
        <w:fldChar w:fldCharType="end"/>
      </w:r>
      <w:bookmarkEnd w:id="61"/>
      <w:r>
        <w:t xml:space="preserve">: </w:t>
      </w:r>
      <w:r w:rsidRPr="00D2155B">
        <w:rPr>
          <w:rStyle w:val="CommentReference"/>
          <w:b/>
          <w:szCs w:val="24"/>
        </w:rPr>
        <w:t xml:space="preserve">Summary of comparative </w:t>
      </w:r>
      <w:r w:rsidR="002E3CBB">
        <w:rPr>
          <w:rStyle w:val="CommentReference"/>
          <w:b/>
          <w:szCs w:val="24"/>
        </w:rPr>
        <w:t xml:space="preserve">benefits and </w:t>
      </w:r>
      <w:r w:rsidRPr="00D2155B">
        <w:rPr>
          <w:rStyle w:val="CommentReference"/>
          <w:b/>
          <w:szCs w:val="24"/>
        </w:rPr>
        <w:t xml:space="preserve">harms for </w:t>
      </w:r>
      <w:r>
        <w:rPr>
          <w:rStyle w:val="CommentReference"/>
          <w:b/>
          <w:szCs w:val="24"/>
        </w:rPr>
        <w:t>apremilast</w:t>
      </w:r>
      <w:r w:rsidRPr="00D2155B">
        <w:rPr>
          <w:rStyle w:val="CommentReference"/>
          <w:b/>
          <w:szCs w:val="24"/>
        </w:rPr>
        <w:t xml:space="preserve"> and </w:t>
      </w:r>
      <w:r>
        <w:rPr>
          <w:rStyle w:val="CommentReference"/>
          <w:b/>
          <w:szCs w:val="24"/>
        </w:rPr>
        <w:t xml:space="preserve">placebo </w:t>
      </w:r>
    </w:p>
    <w:tbl>
      <w:tblPr>
        <w:tblW w:w="5000" w:type="pct"/>
        <w:tblCellMar>
          <w:left w:w="28" w:type="dxa"/>
          <w:right w:w="28" w:type="dxa"/>
        </w:tblCellMar>
        <w:tblLook w:val="04A0" w:firstRow="1" w:lastRow="0" w:firstColumn="1" w:lastColumn="0" w:noHBand="0" w:noVBand="1"/>
      </w:tblPr>
      <w:tblGrid>
        <w:gridCol w:w="1141"/>
        <w:gridCol w:w="6"/>
        <w:gridCol w:w="1067"/>
        <w:gridCol w:w="86"/>
        <w:gridCol w:w="985"/>
        <w:gridCol w:w="298"/>
        <w:gridCol w:w="777"/>
        <w:gridCol w:w="777"/>
        <w:gridCol w:w="11"/>
        <w:gridCol w:w="168"/>
        <w:gridCol w:w="866"/>
        <w:gridCol w:w="7"/>
        <w:gridCol w:w="85"/>
        <w:gridCol w:w="959"/>
        <w:gridCol w:w="1784"/>
      </w:tblGrid>
      <w:tr w:rsidR="002E3CBB" w:rsidRPr="0048379A" w14:paraId="076C4D09" w14:textId="77777777" w:rsidTr="00C34CB1">
        <w:trPr>
          <w:cantSplit/>
          <w:trHeight w:val="150"/>
          <w:tblHeader/>
        </w:trPr>
        <w:tc>
          <w:tcPr>
            <w:tcW w:w="6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AFD786" w14:textId="77777777" w:rsidR="003A4883" w:rsidRPr="0048379A" w:rsidRDefault="003A4883" w:rsidP="001A5767">
            <w:pPr>
              <w:pStyle w:val="In-tableHeading"/>
              <w:jc w:val="center"/>
            </w:pPr>
            <w:r w:rsidRPr="0048379A">
              <w:t>Trial</w:t>
            </w:r>
          </w:p>
        </w:tc>
        <w:tc>
          <w:tcPr>
            <w:tcW w:w="643" w:type="pct"/>
            <w:gridSpan w:val="3"/>
            <w:vMerge w:val="restart"/>
            <w:tcBorders>
              <w:top w:val="single" w:sz="4" w:space="0" w:color="auto"/>
              <w:left w:val="single" w:sz="4" w:space="0" w:color="auto"/>
              <w:bottom w:val="single" w:sz="4" w:space="0" w:color="auto"/>
              <w:right w:val="single" w:sz="4" w:space="0" w:color="auto"/>
            </w:tcBorders>
            <w:vAlign w:val="center"/>
          </w:tcPr>
          <w:p w14:paraId="2FEC17C2" w14:textId="77777777" w:rsidR="003A4883" w:rsidRPr="0048379A" w:rsidRDefault="003A4883" w:rsidP="001A5767">
            <w:pPr>
              <w:pStyle w:val="In-tableHeading"/>
              <w:jc w:val="center"/>
            </w:pPr>
            <w:r w:rsidRPr="0048379A">
              <w:t>Apremilast</w:t>
            </w:r>
          </w:p>
          <w:p w14:paraId="0F582C7F" w14:textId="77777777" w:rsidR="003A4883" w:rsidRPr="0048379A" w:rsidRDefault="003A4883" w:rsidP="001A5767">
            <w:pPr>
              <w:pStyle w:val="In-tableHeading"/>
              <w:jc w:val="center"/>
            </w:pPr>
            <w:r w:rsidRPr="0048379A">
              <w:t>n/N</w:t>
            </w:r>
          </w:p>
        </w:tc>
        <w:tc>
          <w:tcPr>
            <w:tcW w:w="711" w:type="pct"/>
            <w:gridSpan w:val="2"/>
            <w:vMerge w:val="restart"/>
            <w:tcBorders>
              <w:top w:val="single" w:sz="4" w:space="0" w:color="auto"/>
              <w:left w:val="single" w:sz="4" w:space="0" w:color="auto"/>
              <w:bottom w:val="single" w:sz="4" w:space="0" w:color="auto"/>
              <w:right w:val="single" w:sz="4" w:space="0" w:color="auto"/>
            </w:tcBorders>
            <w:vAlign w:val="center"/>
          </w:tcPr>
          <w:p w14:paraId="44AFAE65" w14:textId="77777777" w:rsidR="003A4883" w:rsidRPr="0048379A" w:rsidRDefault="003A4883" w:rsidP="001A5767">
            <w:pPr>
              <w:pStyle w:val="In-tableHeading"/>
              <w:jc w:val="center"/>
            </w:pPr>
            <w:r w:rsidRPr="0048379A">
              <w:t>Placebo</w:t>
            </w:r>
          </w:p>
          <w:p w14:paraId="22C2439E" w14:textId="77777777" w:rsidR="003A4883" w:rsidRPr="0048379A" w:rsidRDefault="003A4883" w:rsidP="001A5767">
            <w:pPr>
              <w:pStyle w:val="In-tableHeading"/>
              <w:jc w:val="center"/>
            </w:pPr>
            <w:r w:rsidRPr="0048379A">
              <w:t>n/N</w:t>
            </w:r>
          </w:p>
        </w:tc>
        <w:tc>
          <w:tcPr>
            <w:tcW w:w="862" w:type="pct"/>
            <w:gridSpan w:val="2"/>
            <w:vMerge w:val="restart"/>
            <w:tcBorders>
              <w:top w:val="single" w:sz="4" w:space="0" w:color="auto"/>
              <w:left w:val="single" w:sz="4" w:space="0" w:color="auto"/>
              <w:bottom w:val="single" w:sz="4" w:space="0" w:color="auto"/>
              <w:right w:val="single" w:sz="4" w:space="0" w:color="auto"/>
            </w:tcBorders>
            <w:vAlign w:val="center"/>
          </w:tcPr>
          <w:p w14:paraId="11A8BF98" w14:textId="77777777" w:rsidR="003A4883" w:rsidRPr="0048379A" w:rsidRDefault="003A4883" w:rsidP="001A5767">
            <w:pPr>
              <w:pStyle w:val="In-tableHeading"/>
              <w:jc w:val="center"/>
            </w:pPr>
            <w:r w:rsidRPr="0048379A">
              <w:t>RR</w:t>
            </w:r>
          </w:p>
          <w:p w14:paraId="11CAF0BB" w14:textId="500AFB63" w:rsidR="003A4883" w:rsidRPr="0048379A" w:rsidRDefault="003A4883" w:rsidP="001A5767">
            <w:pPr>
              <w:pStyle w:val="In-tableHeading"/>
              <w:jc w:val="center"/>
            </w:pPr>
            <w:r w:rsidRPr="0048379A">
              <w:t>(95% CI)</w:t>
            </w:r>
            <w:r w:rsidR="00DD6DEA" w:rsidRPr="0048379A">
              <w:t xml:space="preserve"> </w:t>
            </w:r>
          </w:p>
        </w:tc>
        <w:tc>
          <w:tcPr>
            <w:tcW w:w="1162" w:type="pct"/>
            <w:gridSpan w:val="6"/>
            <w:tcBorders>
              <w:top w:val="single" w:sz="4" w:space="0" w:color="auto"/>
              <w:left w:val="single" w:sz="4" w:space="0" w:color="auto"/>
              <w:bottom w:val="single" w:sz="4" w:space="0" w:color="auto"/>
              <w:right w:val="single" w:sz="4" w:space="0" w:color="auto"/>
            </w:tcBorders>
            <w:vAlign w:val="center"/>
          </w:tcPr>
          <w:p w14:paraId="5F7417DC" w14:textId="3F65C183" w:rsidR="003A4883" w:rsidRPr="0048379A" w:rsidRDefault="003A4883" w:rsidP="00C34CB1">
            <w:pPr>
              <w:pStyle w:val="In-tableHeading"/>
              <w:jc w:val="center"/>
            </w:pPr>
            <w:r w:rsidRPr="0048379A">
              <w:t>Event rate/100 patients</w:t>
            </w:r>
          </w:p>
        </w:tc>
        <w:tc>
          <w:tcPr>
            <w:tcW w:w="989" w:type="pct"/>
            <w:vMerge w:val="restart"/>
            <w:tcBorders>
              <w:top w:val="single" w:sz="4" w:space="0" w:color="auto"/>
              <w:left w:val="single" w:sz="4" w:space="0" w:color="auto"/>
              <w:bottom w:val="single" w:sz="4" w:space="0" w:color="auto"/>
              <w:right w:val="single" w:sz="4" w:space="0" w:color="auto"/>
            </w:tcBorders>
            <w:vAlign w:val="center"/>
          </w:tcPr>
          <w:p w14:paraId="03C43395" w14:textId="77777777" w:rsidR="003A4883" w:rsidRPr="0048379A" w:rsidRDefault="003A4883" w:rsidP="001A5767">
            <w:pPr>
              <w:pStyle w:val="In-tableHeading"/>
              <w:jc w:val="center"/>
            </w:pPr>
            <w:r w:rsidRPr="0048379A">
              <w:t>RD</w:t>
            </w:r>
          </w:p>
          <w:p w14:paraId="18FB9ABF" w14:textId="6B21400F" w:rsidR="003A4883" w:rsidRPr="0048379A" w:rsidRDefault="003A4883" w:rsidP="001A5767">
            <w:pPr>
              <w:pStyle w:val="In-tableHeading"/>
              <w:jc w:val="center"/>
            </w:pPr>
            <w:r w:rsidRPr="0048379A">
              <w:t>(95% CI)</w:t>
            </w:r>
            <w:r w:rsidR="00DD6DEA" w:rsidRPr="0048379A">
              <w:t xml:space="preserve"> </w:t>
            </w:r>
            <w:r w:rsidRPr="0048379A">
              <w:rPr>
                <w:vertAlign w:val="superscript"/>
              </w:rPr>
              <w:t>a</w:t>
            </w:r>
          </w:p>
        </w:tc>
      </w:tr>
      <w:tr w:rsidR="002E3CBB" w:rsidRPr="0048379A" w14:paraId="06A5231F" w14:textId="77777777" w:rsidTr="00C537B4">
        <w:trPr>
          <w:cantSplit/>
          <w:trHeight w:val="315"/>
        </w:trPr>
        <w:tc>
          <w:tcPr>
            <w:tcW w:w="6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D3F5DC" w14:textId="77777777" w:rsidR="003A4883" w:rsidRPr="0048379A" w:rsidRDefault="003A4883" w:rsidP="001A5767">
            <w:pPr>
              <w:pStyle w:val="In-tableHeading"/>
              <w:jc w:val="center"/>
            </w:pPr>
          </w:p>
        </w:tc>
        <w:tc>
          <w:tcPr>
            <w:tcW w:w="643" w:type="pct"/>
            <w:gridSpan w:val="3"/>
            <w:vMerge/>
            <w:tcBorders>
              <w:top w:val="single" w:sz="4" w:space="0" w:color="auto"/>
              <w:left w:val="single" w:sz="4" w:space="0" w:color="auto"/>
              <w:bottom w:val="single" w:sz="4" w:space="0" w:color="auto"/>
              <w:right w:val="single" w:sz="4" w:space="0" w:color="auto"/>
            </w:tcBorders>
            <w:vAlign w:val="center"/>
          </w:tcPr>
          <w:p w14:paraId="3E8BDD7A" w14:textId="77777777" w:rsidR="003A4883" w:rsidRPr="0048379A" w:rsidRDefault="003A4883" w:rsidP="001A5767">
            <w:pPr>
              <w:pStyle w:val="In-tableHeading"/>
              <w:jc w:val="center"/>
            </w:pPr>
          </w:p>
        </w:tc>
        <w:tc>
          <w:tcPr>
            <w:tcW w:w="711" w:type="pct"/>
            <w:gridSpan w:val="2"/>
            <w:vMerge/>
            <w:tcBorders>
              <w:top w:val="single" w:sz="4" w:space="0" w:color="auto"/>
              <w:left w:val="single" w:sz="4" w:space="0" w:color="auto"/>
              <w:bottom w:val="single" w:sz="4" w:space="0" w:color="auto"/>
              <w:right w:val="single" w:sz="4" w:space="0" w:color="auto"/>
            </w:tcBorders>
            <w:vAlign w:val="center"/>
          </w:tcPr>
          <w:p w14:paraId="16BC6205" w14:textId="77777777" w:rsidR="003A4883" w:rsidRPr="0048379A" w:rsidRDefault="003A4883" w:rsidP="001A5767">
            <w:pPr>
              <w:pStyle w:val="In-tableHeading"/>
              <w:jc w:val="center"/>
            </w:pPr>
          </w:p>
        </w:tc>
        <w:tc>
          <w:tcPr>
            <w:tcW w:w="862" w:type="pct"/>
            <w:gridSpan w:val="2"/>
            <w:vMerge/>
            <w:tcBorders>
              <w:top w:val="single" w:sz="4" w:space="0" w:color="auto"/>
              <w:left w:val="single" w:sz="4" w:space="0" w:color="auto"/>
              <w:bottom w:val="single" w:sz="4" w:space="0" w:color="auto"/>
              <w:right w:val="single" w:sz="4" w:space="0" w:color="auto"/>
            </w:tcBorders>
            <w:vAlign w:val="center"/>
          </w:tcPr>
          <w:p w14:paraId="54092558" w14:textId="77777777" w:rsidR="003A4883" w:rsidRPr="0048379A" w:rsidRDefault="003A4883" w:rsidP="001A5767">
            <w:pPr>
              <w:pStyle w:val="In-tableHeading"/>
              <w:jc w:val="center"/>
            </w:pPr>
          </w:p>
        </w:tc>
        <w:tc>
          <w:tcPr>
            <w:tcW w:w="579" w:type="pct"/>
            <w:gridSpan w:val="3"/>
            <w:tcBorders>
              <w:top w:val="single" w:sz="4" w:space="0" w:color="auto"/>
              <w:left w:val="single" w:sz="4" w:space="0" w:color="auto"/>
              <w:bottom w:val="single" w:sz="4" w:space="0" w:color="auto"/>
              <w:right w:val="single" w:sz="4" w:space="0" w:color="auto"/>
            </w:tcBorders>
            <w:vAlign w:val="center"/>
          </w:tcPr>
          <w:p w14:paraId="7DEA7E67" w14:textId="77777777" w:rsidR="003A4883" w:rsidRPr="0048379A" w:rsidRDefault="003A4883" w:rsidP="001A5767">
            <w:pPr>
              <w:pStyle w:val="In-tableHeading"/>
              <w:jc w:val="center"/>
            </w:pPr>
            <w:r w:rsidRPr="0048379A">
              <w:t>Apremilast</w:t>
            </w:r>
          </w:p>
        </w:tc>
        <w:tc>
          <w:tcPr>
            <w:tcW w:w="583" w:type="pct"/>
            <w:gridSpan w:val="3"/>
            <w:tcBorders>
              <w:top w:val="single" w:sz="4" w:space="0" w:color="auto"/>
              <w:left w:val="single" w:sz="4" w:space="0" w:color="auto"/>
              <w:bottom w:val="single" w:sz="4" w:space="0" w:color="auto"/>
              <w:right w:val="single" w:sz="4" w:space="0" w:color="auto"/>
            </w:tcBorders>
            <w:vAlign w:val="center"/>
          </w:tcPr>
          <w:p w14:paraId="280022AA" w14:textId="77777777" w:rsidR="003A4883" w:rsidRPr="0048379A" w:rsidRDefault="003A4883" w:rsidP="001A5767">
            <w:pPr>
              <w:pStyle w:val="In-tableHeading"/>
              <w:jc w:val="center"/>
            </w:pPr>
            <w:r w:rsidRPr="0048379A">
              <w:t>Placebo</w:t>
            </w:r>
          </w:p>
        </w:tc>
        <w:tc>
          <w:tcPr>
            <w:tcW w:w="989" w:type="pct"/>
            <w:vMerge/>
            <w:tcBorders>
              <w:top w:val="single" w:sz="4" w:space="0" w:color="auto"/>
              <w:left w:val="single" w:sz="4" w:space="0" w:color="auto"/>
              <w:bottom w:val="single" w:sz="4" w:space="0" w:color="auto"/>
              <w:right w:val="single" w:sz="4" w:space="0" w:color="auto"/>
            </w:tcBorders>
            <w:vAlign w:val="center"/>
          </w:tcPr>
          <w:p w14:paraId="283EA74E" w14:textId="77777777" w:rsidR="003A4883" w:rsidRPr="0048379A" w:rsidRDefault="003A4883" w:rsidP="001A5767">
            <w:pPr>
              <w:pStyle w:val="In-tableHeading"/>
              <w:jc w:val="center"/>
            </w:pPr>
          </w:p>
        </w:tc>
      </w:tr>
      <w:tr w:rsidR="00146FF1" w:rsidRPr="0048379A" w14:paraId="4316D68E" w14:textId="77777777" w:rsidTr="00C537B4">
        <w:tc>
          <w:tcPr>
            <w:tcW w:w="5000" w:type="pct"/>
            <w:gridSpan w:val="15"/>
            <w:tcBorders>
              <w:top w:val="single" w:sz="4" w:space="0" w:color="auto"/>
              <w:left w:val="single" w:sz="4" w:space="0" w:color="auto"/>
              <w:bottom w:val="double" w:sz="4" w:space="0" w:color="auto"/>
              <w:right w:val="single" w:sz="4" w:space="0" w:color="auto"/>
            </w:tcBorders>
            <w:shd w:val="clear" w:color="auto" w:fill="auto"/>
            <w:vAlign w:val="center"/>
          </w:tcPr>
          <w:p w14:paraId="08411031" w14:textId="3DBD9941" w:rsidR="003A4883" w:rsidRPr="0048379A" w:rsidRDefault="00AF7321" w:rsidP="001A5767">
            <w:pPr>
              <w:pStyle w:val="In-tableHeading"/>
            </w:pPr>
            <w:r w:rsidRPr="0048379A">
              <w:t xml:space="preserve">Benefits </w:t>
            </w:r>
          </w:p>
        </w:tc>
      </w:tr>
      <w:tr w:rsidR="00AF7321" w:rsidRPr="0048379A" w14:paraId="1D74644B" w14:textId="77777777" w:rsidTr="00146FF1">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14:paraId="2723A4C2" w14:textId="1B880D8B" w:rsidR="00AF7321" w:rsidRPr="0048379A" w:rsidRDefault="00AF7321" w:rsidP="001A5767">
            <w:pPr>
              <w:pStyle w:val="In-tableHeading"/>
            </w:pPr>
            <w:r w:rsidRPr="0048379A">
              <w:t>ACR</w:t>
            </w:r>
            <w:r w:rsidR="00B2115D" w:rsidRPr="0048379A">
              <w:t>2</w:t>
            </w:r>
            <w:r w:rsidRPr="0048379A">
              <w:t>0</w:t>
            </w:r>
            <w:r w:rsidR="002E3CBB" w:rsidRPr="0048379A">
              <w:t xml:space="preserve"> at week 16</w:t>
            </w:r>
          </w:p>
        </w:tc>
      </w:tr>
      <w:tr w:rsidR="002E3CBB" w:rsidRPr="0048379A" w14:paraId="1EEE934D"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7C907" w14:textId="61113E4A" w:rsidR="00B2115D" w:rsidRPr="0048379A" w:rsidRDefault="00B2115D" w:rsidP="00B2115D">
            <w:pPr>
              <w:pStyle w:val="In-tableHeading"/>
              <w:rPr>
                <w:b w:val="0"/>
                <w:bCs/>
              </w:rPr>
            </w:pPr>
            <w:r w:rsidRPr="0048379A">
              <w:rPr>
                <w:b w:val="0"/>
                <w:bCs/>
              </w:rPr>
              <w:t>ACTIVE</w:t>
            </w:r>
          </w:p>
        </w:tc>
        <w:tc>
          <w:tcPr>
            <w:tcW w:w="639" w:type="pct"/>
            <w:gridSpan w:val="2"/>
            <w:tcBorders>
              <w:top w:val="single" w:sz="4" w:space="0" w:color="auto"/>
              <w:bottom w:val="single" w:sz="4" w:space="0" w:color="auto"/>
              <w:right w:val="single" w:sz="4" w:space="0" w:color="auto"/>
            </w:tcBorders>
            <w:vAlign w:val="center"/>
          </w:tcPr>
          <w:p w14:paraId="7188024F" w14:textId="2257FFE8" w:rsidR="00B2115D" w:rsidRPr="0048379A" w:rsidRDefault="00B2115D" w:rsidP="00B2115D">
            <w:pPr>
              <w:pStyle w:val="In-tableHeading"/>
              <w:jc w:val="center"/>
              <w:rPr>
                <w:b w:val="0"/>
                <w:bCs/>
              </w:rPr>
            </w:pPr>
            <w:r w:rsidRPr="0048379A">
              <w:rPr>
                <w:rFonts w:cstheme="minorHAnsi"/>
                <w:b w:val="0"/>
                <w:bCs/>
              </w:rPr>
              <w:t>42/110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9CD78C7" w14:textId="57036CF1" w:rsidR="00B2115D" w:rsidRPr="0048379A" w:rsidRDefault="00B2115D" w:rsidP="00B2115D">
            <w:pPr>
              <w:pStyle w:val="In-tableHeading"/>
              <w:jc w:val="center"/>
              <w:rPr>
                <w:b w:val="0"/>
                <w:bCs/>
              </w:rPr>
            </w:pPr>
            <w:r w:rsidRPr="0048379A">
              <w:rPr>
                <w:rFonts w:cstheme="minorHAnsi"/>
                <w:b w:val="0"/>
                <w:bCs/>
              </w:rPr>
              <w:t>22/109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2A9F294F" w14:textId="45394371" w:rsidR="00B2115D" w:rsidRPr="0048379A" w:rsidRDefault="00B2115D" w:rsidP="00B2115D">
            <w:pPr>
              <w:pStyle w:val="In-tableHeading"/>
              <w:jc w:val="center"/>
              <w:rPr>
                <w:b w:val="0"/>
                <w:bCs/>
              </w:rPr>
            </w:pPr>
            <w:r w:rsidRPr="00AA64DF">
              <w:rPr>
                <w:b w:val="0"/>
                <w:bCs/>
              </w:rPr>
              <w:t>1.89 (1.22, 2.95)</w:t>
            </w:r>
          </w:p>
        </w:tc>
        <w:tc>
          <w:tcPr>
            <w:tcW w:w="5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008C53" w14:textId="71C20083" w:rsidR="00B2115D" w:rsidRPr="0048379A" w:rsidRDefault="00C34CB1" w:rsidP="00B2115D">
            <w:pPr>
              <w:pStyle w:val="In-tableHeading"/>
              <w:jc w:val="center"/>
              <w:rPr>
                <w:b w:val="0"/>
                <w:bCs/>
              </w:rPr>
            </w:pPr>
            <w:r w:rsidRPr="0048379A">
              <w:rPr>
                <w:b w:val="0"/>
                <w:bCs/>
              </w:rPr>
              <w:t>38.2</w:t>
            </w:r>
          </w:p>
        </w:tc>
        <w:tc>
          <w:tcPr>
            <w:tcW w:w="5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410B7" w14:textId="00F394C5" w:rsidR="00B2115D" w:rsidRPr="0048379A" w:rsidRDefault="00C34CB1" w:rsidP="00B2115D">
            <w:pPr>
              <w:pStyle w:val="In-tableHeading"/>
              <w:jc w:val="center"/>
              <w:rPr>
                <w:b w:val="0"/>
                <w:bCs/>
              </w:rPr>
            </w:pPr>
            <w:r w:rsidRPr="0048379A">
              <w:rPr>
                <w:b w:val="0"/>
                <w:bCs/>
              </w:rPr>
              <w:t>20.2</w:t>
            </w:r>
          </w:p>
        </w:tc>
        <w:tc>
          <w:tcPr>
            <w:tcW w:w="989" w:type="pct"/>
            <w:tcBorders>
              <w:top w:val="single" w:sz="4" w:space="0" w:color="auto"/>
              <w:left w:val="single" w:sz="4" w:space="0" w:color="auto"/>
              <w:bottom w:val="single" w:sz="4" w:space="0" w:color="auto"/>
              <w:right w:val="single" w:sz="4" w:space="0" w:color="auto"/>
            </w:tcBorders>
            <w:vAlign w:val="center"/>
          </w:tcPr>
          <w:p w14:paraId="7E9E6DFE" w14:textId="29408812" w:rsidR="00B2115D" w:rsidRPr="0048379A" w:rsidRDefault="00B2115D" w:rsidP="00B2115D">
            <w:pPr>
              <w:pStyle w:val="In-tableHeading"/>
              <w:jc w:val="center"/>
              <w:rPr>
                <w:b w:val="0"/>
                <w:bCs/>
              </w:rPr>
            </w:pPr>
            <w:r w:rsidRPr="00AA64DF">
              <w:rPr>
                <w:b w:val="0"/>
                <w:bCs/>
              </w:rPr>
              <w:t>0.18 (0.06, 0.30)</w:t>
            </w:r>
          </w:p>
        </w:tc>
      </w:tr>
      <w:tr w:rsidR="002E3CBB" w:rsidRPr="0048379A" w14:paraId="3F5CC883"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40A4E" w14:textId="6D8F857B" w:rsidR="00B2115D" w:rsidRPr="0048379A" w:rsidRDefault="00B2115D" w:rsidP="00B2115D">
            <w:pPr>
              <w:pStyle w:val="In-tableHeading"/>
              <w:rPr>
                <w:b w:val="0"/>
                <w:bCs/>
              </w:rPr>
            </w:pPr>
            <w:r w:rsidRPr="0048379A">
              <w:rPr>
                <w:b w:val="0"/>
                <w:bCs/>
              </w:rPr>
              <w:t>PALACE 1</w:t>
            </w:r>
          </w:p>
        </w:tc>
        <w:tc>
          <w:tcPr>
            <w:tcW w:w="639" w:type="pct"/>
            <w:gridSpan w:val="2"/>
            <w:tcBorders>
              <w:top w:val="single" w:sz="4" w:space="0" w:color="auto"/>
              <w:bottom w:val="single" w:sz="4" w:space="0" w:color="auto"/>
              <w:right w:val="single" w:sz="4" w:space="0" w:color="auto"/>
            </w:tcBorders>
            <w:shd w:val="clear" w:color="auto" w:fill="auto"/>
            <w:vAlign w:val="center"/>
          </w:tcPr>
          <w:p w14:paraId="1D7C1C98" w14:textId="6C331F17" w:rsidR="00B2115D" w:rsidRPr="0048379A" w:rsidRDefault="00B2115D" w:rsidP="00B2115D">
            <w:pPr>
              <w:pStyle w:val="In-tableHeading"/>
              <w:jc w:val="center"/>
              <w:rPr>
                <w:b w:val="0"/>
                <w:bCs/>
              </w:rPr>
            </w:pPr>
            <w:r w:rsidRPr="0048379A">
              <w:rPr>
                <w:b w:val="0"/>
                <w:bCs/>
              </w:rPr>
              <w:t>64/168</w:t>
            </w:r>
          </w:p>
        </w:tc>
        <w:tc>
          <w:tcPr>
            <w:tcW w:w="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61A6EB" w14:textId="4046E2BF" w:rsidR="00B2115D" w:rsidRPr="0048379A" w:rsidRDefault="00B2115D" w:rsidP="00B2115D">
            <w:pPr>
              <w:pStyle w:val="In-tableHeading"/>
              <w:jc w:val="center"/>
              <w:rPr>
                <w:b w:val="0"/>
                <w:bCs/>
              </w:rPr>
            </w:pPr>
            <w:r w:rsidRPr="0048379A">
              <w:rPr>
                <w:b w:val="0"/>
                <w:bCs/>
              </w:rPr>
              <w:t>32/168</w:t>
            </w:r>
          </w:p>
        </w:tc>
        <w:tc>
          <w:tcPr>
            <w:tcW w:w="8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D6BF2" w14:textId="40DD200A" w:rsidR="00B2115D" w:rsidRPr="0048379A" w:rsidRDefault="00B2115D" w:rsidP="00B2115D">
            <w:pPr>
              <w:pStyle w:val="In-tableHeading"/>
              <w:jc w:val="center"/>
              <w:rPr>
                <w:b w:val="0"/>
                <w:bCs/>
              </w:rPr>
            </w:pPr>
            <w:r w:rsidRPr="00AA64DF">
              <w:rPr>
                <w:b w:val="0"/>
                <w:bCs/>
              </w:rPr>
              <w:t>2.00 (1.39, 2.89)</w:t>
            </w:r>
          </w:p>
        </w:tc>
        <w:tc>
          <w:tcPr>
            <w:tcW w:w="5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33164E" w14:textId="043108C6" w:rsidR="00B2115D" w:rsidRPr="0048379A" w:rsidRDefault="00C34CB1" w:rsidP="00B2115D">
            <w:pPr>
              <w:pStyle w:val="In-tableHeading"/>
              <w:jc w:val="center"/>
              <w:rPr>
                <w:b w:val="0"/>
                <w:bCs/>
              </w:rPr>
            </w:pPr>
            <w:r w:rsidRPr="0048379A">
              <w:rPr>
                <w:b w:val="0"/>
                <w:bCs/>
              </w:rPr>
              <w:t>38.1</w:t>
            </w:r>
          </w:p>
        </w:tc>
        <w:tc>
          <w:tcPr>
            <w:tcW w:w="5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EB7DB0" w14:textId="0E4CD788" w:rsidR="00B2115D" w:rsidRPr="0048379A" w:rsidRDefault="00C34CB1" w:rsidP="00B2115D">
            <w:pPr>
              <w:pStyle w:val="In-tableHeading"/>
              <w:jc w:val="center"/>
              <w:rPr>
                <w:b w:val="0"/>
                <w:bCs/>
              </w:rPr>
            </w:pPr>
            <w:r w:rsidRPr="0048379A">
              <w:rPr>
                <w:b w:val="0"/>
                <w:bCs/>
              </w:rPr>
              <w:t>19.0</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7A418A1F" w14:textId="2BB0DEE0" w:rsidR="00B2115D" w:rsidRPr="0048379A" w:rsidRDefault="00B2115D" w:rsidP="00B2115D">
            <w:pPr>
              <w:pStyle w:val="In-tableHeading"/>
              <w:jc w:val="center"/>
              <w:rPr>
                <w:b w:val="0"/>
                <w:bCs/>
              </w:rPr>
            </w:pPr>
            <w:r w:rsidRPr="00AA64DF">
              <w:rPr>
                <w:b w:val="0"/>
                <w:bCs/>
              </w:rPr>
              <w:t>0.19 (0.10, 0.28)</w:t>
            </w:r>
          </w:p>
        </w:tc>
      </w:tr>
      <w:tr w:rsidR="002E3CBB" w:rsidRPr="0048379A" w14:paraId="49613ED5"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27E38" w14:textId="3600AF67" w:rsidR="00B2115D" w:rsidRPr="0048379A" w:rsidRDefault="00B2115D" w:rsidP="00B2115D">
            <w:pPr>
              <w:pStyle w:val="In-tableHeading"/>
              <w:rPr>
                <w:b w:val="0"/>
                <w:bCs/>
              </w:rPr>
            </w:pPr>
            <w:r w:rsidRPr="0048379A">
              <w:rPr>
                <w:b w:val="0"/>
                <w:bCs/>
              </w:rPr>
              <w:t>PALACE 2</w:t>
            </w:r>
          </w:p>
        </w:tc>
        <w:tc>
          <w:tcPr>
            <w:tcW w:w="639" w:type="pct"/>
            <w:gridSpan w:val="2"/>
            <w:tcBorders>
              <w:top w:val="single" w:sz="4" w:space="0" w:color="auto"/>
              <w:bottom w:val="single" w:sz="4" w:space="0" w:color="auto"/>
              <w:right w:val="single" w:sz="4" w:space="0" w:color="auto"/>
            </w:tcBorders>
            <w:shd w:val="clear" w:color="auto" w:fill="auto"/>
            <w:vAlign w:val="center"/>
          </w:tcPr>
          <w:p w14:paraId="68211095" w14:textId="726897C9" w:rsidR="00B2115D" w:rsidRPr="0048379A" w:rsidRDefault="00B2115D" w:rsidP="00B2115D">
            <w:pPr>
              <w:pStyle w:val="In-tableHeading"/>
              <w:jc w:val="center"/>
              <w:rPr>
                <w:b w:val="0"/>
                <w:bCs/>
              </w:rPr>
            </w:pPr>
            <w:r w:rsidRPr="0048379A">
              <w:rPr>
                <w:b w:val="0"/>
                <w:bCs/>
              </w:rPr>
              <w:t>52/162</w:t>
            </w:r>
          </w:p>
        </w:tc>
        <w:tc>
          <w:tcPr>
            <w:tcW w:w="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60B74" w14:textId="4039E129" w:rsidR="00B2115D" w:rsidRPr="0048379A" w:rsidRDefault="00B2115D" w:rsidP="00B2115D">
            <w:pPr>
              <w:pStyle w:val="In-tableHeading"/>
              <w:jc w:val="center"/>
              <w:rPr>
                <w:b w:val="0"/>
                <w:bCs/>
              </w:rPr>
            </w:pPr>
            <w:r w:rsidRPr="0048379A">
              <w:rPr>
                <w:b w:val="0"/>
                <w:bCs/>
              </w:rPr>
              <w:t>30/159</w:t>
            </w:r>
          </w:p>
        </w:tc>
        <w:tc>
          <w:tcPr>
            <w:tcW w:w="8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24D7D" w14:textId="7E22FF3D" w:rsidR="00B2115D" w:rsidRPr="0048379A" w:rsidRDefault="00B2115D" w:rsidP="00B2115D">
            <w:pPr>
              <w:pStyle w:val="In-tableHeading"/>
              <w:jc w:val="center"/>
              <w:rPr>
                <w:b w:val="0"/>
                <w:bCs/>
              </w:rPr>
            </w:pPr>
            <w:r w:rsidRPr="00AA64DF">
              <w:rPr>
                <w:b w:val="0"/>
                <w:bCs/>
              </w:rPr>
              <w:t>1.70 (1.15, 2.52)</w:t>
            </w:r>
          </w:p>
        </w:tc>
        <w:tc>
          <w:tcPr>
            <w:tcW w:w="5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1380E9" w14:textId="2B98A1E3" w:rsidR="00B2115D" w:rsidRPr="0048379A" w:rsidRDefault="00C34CB1" w:rsidP="00B2115D">
            <w:pPr>
              <w:pStyle w:val="In-tableHeading"/>
              <w:jc w:val="center"/>
              <w:rPr>
                <w:b w:val="0"/>
                <w:bCs/>
              </w:rPr>
            </w:pPr>
            <w:r w:rsidRPr="0048379A">
              <w:rPr>
                <w:b w:val="0"/>
                <w:bCs/>
              </w:rPr>
              <w:t>32.1</w:t>
            </w:r>
          </w:p>
        </w:tc>
        <w:tc>
          <w:tcPr>
            <w:tcW w:w="5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4555F0" w14:textId="20459AF4" w:rsidR="00B2115D" w:rsidRPr="0048379A" w:rsidRDefault="00DF1C56" w:rsidP="00B2115D">
            <w:pPr>
              <w:pStyle w:val="In-tableHeading"/>
              <w:jc w:val="center"/>
              <w:rPr>
                <w:b w:val="0"/>
                <w:bCs/>
              </w:rPr>
            </w:pPr>
            <w:r w:rsidRPr="0048379A">
              <w:rPr>
                <w:b w:val="0"/>
                <w:bCs/>
              </w:rPr>
              <w:t>18.9</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21FEDC97" w14:textId="3B630407" w:rsidR="00B2115D" w:rsidRPr="0048379A" w:rsidRDefault="00B2115D" w:rsidP="00B2115D">
            <w:pPr>
              <w:pStyle w:val="In-tableHeading"/>
              <w:jc w:val="center"/>
              <w:rPr>
                <w:b w:val="0"/>
                <w:bCs/>
              </w:rPr>
            </w:pPr>
            <w:r w:rsidRPr="00AA64DF">
              <w:rPr>
                <w:b w:val="0"/>
                <w:bCs/>
              </w:rPr>
              <w:t>0.13 (0.04, 0.23)</w:t>
            </w:r>
          </w:p>
        </w:tc>
      </w:tr>
      <w:tr w:rsidR="002E3CBB" w:rsidRPr="0048379A" w14:paraId="2A628F33"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4A3B0" w14:textId="5355D5AA" w:rsidR="00B2115D" w:rsidRPr="0048379A" w:rsidRDefault="00B2115D" w:rsidP="00B2115D">
            <w:pPr>
              <w:pStyle w:val="In-tableHeading"/>
              <w:rPr>
                <w:b w:val="0"/>
                <w:bCs/>
              </w:rPr>
            </w:pPr>
            <w:r w:rsidRPr="0048379A">
              <w:rPr>
                <w:b w:val="0"/>
                <w:bCs/>
              </w:rPr>
              <w:t>PALACE 3</w:t>
            </w:r>
          </w:p>
        </w:tc>
        <w:tc>
          <w:tcPr>
            <w:tcW w:w="639" w:type="pct"/>
            <w:gridSpan w:val="2"/>
            <w:tcBorders>
              <w:top w:val="single" w:sz="4" w:space="0" w:color="auto"/>
              <w:bottom w:val="single" w:sz="4" w:space="0" w:color="auto"/>
              <w:right w:val="single" w:sz="4" w:space="0" w:color="auto"/>
            </w:tcBorders>
            <w:shd w:val="clear" w:color="auto" w:fill="auto"/>
            <w:vAlign w:val="center"/>
          </w:tcPr>
          <w:p w14:paraId="60985B32" w14:textId="697A7DFB" w:rsidR="00B2115D" w:rsidRPr="0048379A" w:rsidRDefault="00B2115D" w:rsidP="00B2115D">
            <w:pPr>
              <w:pStyle w:val="In-tableHeading"/>
              <w:jc w:val="center"/>
              <w:rPr>
                <w:b w:val="0"/>
                <w:bCs/>
              </w:rPr>
            </w:pPr>
            <w:r w:rsidRPr="0048379A">
              <w:rPr>
                <w:b w:val="0"/>
                <w:bCs/>
              </w:rPr>
              <w:t>68/167</w:t>
            </w:r>
          </w:p>
        </w:tc>
        <w:tc>
          <w:tcPr>
            <w:tcW w:w="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F7936" w14:textId="4D5783C0" w:rsidR="00B2115D" w:rsidRPr="0048379A" w:rsidRDefault="00B2115D" w:rsidP="00B2115D">
            <w:pPr>
              <w:pStyle w:val="In-tableHeading"/>
              <w:jc w:val="center"/>
              <w:rPr>
                <w:b w:val="0"/>
                <w:bCs/>
              </w:rPr>
            </w:pPr>
            <w:r w:rsidRPr="0048379A">
              <w:rPr>
                <w:b w:val="0"/>
                <w:bCs/>
              </w:rPr>
              <w:t>31/169</w:t>
            </w:r>
          </w:p>
        </w:tc>
        <w:tc>
          <w:tcPr>
            <w:tcW w:w="8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9E39C" w14:textId="1FA6BEAC" w:rsidR="00B2115D" w:rsidRPr="0048379A" w:rsidRDefault="00B2115D" w:rsidP="00B2115D">
            <w:pPr>
              <w:pStyle w:val="In-tableHeading"/>
              <w:jc w:val="center"/>
              <w:rPr>
                <w:b w:val="0"/>
                <w:bCs/>
              </w:rPr>
            </w:pPr>
            <w:r w:rsidRPr="00AA64DF">
              <w:rPr>
                <w:b w:val="0"/>
                <w:bCs/>
              </w:rPr>
              <w:t>2.22 (1.54, 3.20)</w:t>
            </w:r>
          </w:p>
        </w:tc>
        <w:tc>
          <w:tcPr>
            <w:tcW w:w="5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6DAD17" w14:textId="4DBB41D4" w:rsidR="00B2115D" w:rsidRPr="0048379A" w:rsidRDefault="00C34CB1" w:rsidP="00B2115D">
            <w:pPr>
              <w:pStyle w:val="In-tableHeading"/>
              <w:jc w:val="center"/>
              <w:rPr>
                <w:b w:val="0"/>
                <w:bCs/>
              </w:rPr>
            </w:pPr>
            <w:r w:rsidRPr="0048379A">
              <w:rPr>
                <w:b w:val="0"/>
                <w:bCs/>
              </w:rPr>
              <w:t>40.7</w:t>
            </w:r>
          </w:p>
        </w:tc>
        <w:tc>
          <w:tcPr>
            <w:tcW w:w="5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9627E5" w14:textId="1E692E54" w:rsidR="00B2115D" w:rsidRPr="0048379A" w:rsidRDefault="00DF1C56" w:rsidP="00B2115D">
            <w:pPr>
              <w:pStyle w:val="In-tableHeading"/>
              <w:jc w:val="center"/>
              <w:rPr>
                <w:b w:val="0"/>
                <w:bCs/>
              </w:rPr>
            </w:pPr>
            <w:r w:rsidRPr="0048379A">
              <w:rPr>
                <w:b w:val="0"/>
                <w:bCs/>
              </w:rPr>
              <w:t>18.3</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78853C2D" w14:textId="609E5369" w:rsidR="00B2115D" w:rsidRPr="0048379A" w:rsidRDefault="00B2115D" w:rsidP="00B2115D">
            <w:pPr>
              <w:pStyle w:val="In-tableHeading"/>
              <w:jc w:val="center"/>
              <w:rPr>
                <w:b w:val="0"/>
                <w:bCs/>
              </w:rPr>
            </w:pPr>
            <w:r w:rsidRPr="00AA64DF">
              <w:rPr>
                <w:b w:val="0"/>
                <w:bCs/>
              </w:rPr>
              <w:t>0.22 (0.13, 0.32)</w:t>
            </w:r>
          </w:p>
        </w:tc>
      </w:tr>
      <w:tr w:rsidR="002E3CBB" w:rsidRPr="0048379A" w14:paraId="119763E6"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5FCFF" w14:textId="1EF2AD08" w:rsidR="00B2115D" w:rsidRPr="0048379A" w:rsidRDefault="00B2115D" w:rsidP="00B2115D">
            <w:pPr>
              <w:pStyle w:val="In-tableHeading"/>
              <w:rPr>
                <w:b w:val="0"/>
                <w:bCs/>
              </w:rPr>
            </w:pPr>
            <w:r w:rsidRPr="0048379A">
              <w:rPr>
                <w:b w:val="0"/>
                <w:bCs/>
              </w:rPr>
              <w:t>PALACE 4</w:t>
            </w:r>
          </w:p>
        </w:tc>
        <w:tc>
          <w:tcPr>
            <w:tcW w:w="639" w:type="pct"/>
            <w:gridSpan w:val="2"/>
            <w:tcBorders>
              <w:top w:val="single" w:sz="4" w:space="0" w:color="auto"/>
              <w:bottom w:val="single" w:sz="4" w:space="0" w:color="auto"/>
              <w:right w:val="single" w:sz="4" w:space="0" w:color="auto"/>
            </w:tcBorders>
            <w:shd w:val="clear" w:color="auto" w:fill="auto"/>
            <w:vAlign w:val="center"/>
          </w:tcPr>
          <w:p w14:paraId="7AC79B33" w14:textId="76E3569C" w:rsidR="00B2115D" w:rsidRPr="0048379A" w:rsidRDefault="00B2115D" w:rsidP="00B2115D">
            <w:pPr>
              <w:pStyle w:val="In-tableHeading"/>
              <w:jc w:val="center"/>
              <w:rPr>
                <w:b w:val="0"/>
                <w:bCs/>
              </w:rPr>
            </w:pPr>
            <w:r w:rsidRPr="0048379A">
              <w:rPr>
                <w:b w:val="0"/>
                <w:bCs/>
              </w:rPr>
              <w:t>54/176</w:t>
            </w:r>
          </w:p>
        </w:tc>
        <w:tc>
          <w:tcPr>
            <w:tcW w:w="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9E831" w14:textId="1416D61D" w:rsidR="00B2115D" w:rsidRPr="00AA64DF" w:rsidRDefault="00C34CB1" w:rsidP="00C34CB1">
            <w:pPr>
              <w:pStyle w:val="TableText0"/>
              <w:jc w:val="center"/>
            </w:pPr>
            <w:r w:rsidRPr="00AA64DF">
              <w:t>2</w:t>
            </w:r>
            <w:r w:rsidR="00B2115D" w:rsidRPr="00AA64DF">
              <w:t>8/176</w:t>
            </w:r>
            <w:r w:rsidR="00B2115D" w:rsidRPr="00AA64DF">
              <w:rPr>
                <w:vertAlign w:val="superscript"/>
              </w:rPr>
              <w:t>b</w:t>
            </w:r>
          </w:p>
        </w:tc>
        <w:tc>
          <w:tcPr>
            <w:tcW w:w="8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D7298" w14:textId="650A665B" w:rsidR="00B2115D" w:rsidRPr="0048379A" w:rsidRDefault="00B2115D" w:rsidP="00B2115D">
            <w:pPr>
              <w:pStyle w:val="In-tableHeading"/>
              <w:jc w:val="center"/>
              <w:rPr>
                <w:b w:val="0"/>
                <w:bCs/>
              </w:rPr>
            </w:pPr>
            <w:r w:rsidRPr="00AA64DF">
              <w:rPr>
                <w:b w:val="0"/>
                <w:bCs/>
              </w:rPr>
              <w:t>1.93 (1.29, 2.89)</w:t>
            </w:r>
            <w:r w:rsidRPr="00AA64DF">
              <w:rPr>
                <w:b w:val="0"/>
                <w:bCs/>
                <w:vertAlign w:val="superscript"/>
              </w:rPr>
              <w:t>c</w:t>
            </w:r>
          </w:p>
        </w:tc>
        <w:tc>
          <w:tcPr>
            <w:tcW w:w="57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D22669" w14:textId="203938AD" w:rsidR="00B2115D" w:rsidRPr="0048379A" w:rsidRDefault="00C34CB1" w:rsidP="00B2115D">
            <w:pPr>
              <w:pStyle w:val="In-tableHeading"/>
              <w:jc w:val="center"/>
              <w:rPr>
                <w:b w:val="0"/>
                <w:bCs/>
              </w:rPr>
            </w:pPr>
            <w:r w:rsidRPr="0048379A">
              <w:rPr>
                <w:b w:val="0"/>
                <w:bCs/>
              </w:rPr>
              <w:t>30.7</w:t>
            </w:r>
          </w:p>
        </w:tc>
        <w:tc>
          <w:tcPr>
            <w:tcW w:w="58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1840EA" w14:textId="55BE6938" w:rsidR="00B2115D" w:rsidRPr="0048379A" w:rsidRDefault="00C34CB1" w:rsidP="00B2115D">
            <w:pPr>
              <w:pStyle w:val="In-tableHeading"/>
              <w:jc w:val="center"/>
              <w:rPr>
                <w:b w:val="0"/>
                <w:bCs/>
              </w:rPr>
            </w:pPr>
            <w:r w:rsidRPr="0048379A">
              <w:rPr>
                <w:b w:val="0"/>
                <w:bCs/>
              </w:rPr>
              <w:t>1</w:t>
            </w:r>
            <w:r w:rsidR="00DF1C56" w:rsidRPr="0048379A">
              <w:rPr>
                <w:b w:val="0"/>
                <w:bCs/>
              </w:rPr>
              <w:t>5.9</w:t>
            </w: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287F48BF" w14:textId="2A8EA5B6" w:rsidR="00B2115D" w:rsidRPr="0048379A" w:rsidRDefault="00B2115D" w:rsidP="00B2115D">
            <w:pPr>
              <w:pStyle w:val="In-tableHeading"/>
              <w:jc w:val="center"/>
              <w:rPr>
                <w:b w:val="0"/>
                <w:bCs/>
              </w:rPr>
            </w:pPr>
            <w:r w:rsidRPr="00AA64DF">
              <w:rPr>
                <w:b w:val="0"/>
                <w:bCs/>
              </w:rPr>
              <w:t>0.15 (0.06, 0.23)</w:t>
            </w:r>
            <w:r w:rsidRPr="00AA64DF">
              <w:rPr>
                <w:b w:val="0"/>
                <w:bCs/>
                <w:vertAlign w:val="superscript"/>
              </w:rPr>
              <w:t>c</w:t>
            </w:r>
          </w:p>
        </w:tc>
      </w:tr>
      <w:tr w:rsidR="00B2115D" w:rsidRPr="0048379A" w14:paraId="6A451187" w14:textId="77777777" w:rsidTr="00AF732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0469CF5F" w14:textId="695A2463" w:rsidR="00B2115D" w:rsidRPr="0048379A" w:rsidRDefault="00B2115D" w:rsidP="00B2115D">
            <w:pPr>
              <w:pStyle w:val="In-tableHeading"/>
            </w:pPr>
            <w:r w:rsidRPr="0048379A">
              <w:t>ACR50</w:t>
            </w:r>
            <w:r w:rsidR="002E3CBB" w:rsidRPr="0048379A">
              <w:t xml:space="preserve"> at week 16</w:t>
            </w:r>
          </w:p>
        </w:tc>
      </w:tr>
      <w:tr w:rsidR="002E3CBB" w:rsidRPr="0048379A" w14:paraId="709512CF"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91E7F" w14:textId="13037B71" w:rsidR="00B2115D" w:rsidRPr="0048379A" w:rsidRDefault="00B2115D" w:rsidP="00B2115D">
            <w:pPr>
              <w:pStyle w:val="In-tableHeading"/>
            </w:pPr>
            <w:r w:rsidRPr="0048379A">
              <w:rPr>
                <w:b w:val="0"/>
                <w:bCs/>
              </w:rPr>
              <w:t>ACTIVE</w:t>
            </w:r>
          </w:p>
        </w:tc>
        <w:tc>
          <w:tcPr>
            <w:tcW w:w="639" w:type="pct"/>
            <w:gridSpan w:val="2"/>
            <w:tcBorders>
              <w:top w:val="single" w:sz="4" w:space="0" w:color="auto"/>
              <w:bottom w:val="single" w:sz="4" w:space="0" w:color="auto"/>
              <w:right w:val="single" w:sz="4" w:space="0" w:color="auto"/>
            </w:tcBorders>
            <w:vAlign w:val="center"/>
          </w:tcPr>
          <w:p w14:paraId="5863D9CF" w14:textId="223118F8" w:rsidR="00B2115D" w:rsidRPr="0048379A" w:rsidRDefault="00B2115D" w:rsidP="00B2115D">
            <w:pPr>
              <w:pStyle w:val="In-tableHeading"/>
              <w:jc w:val="center"/>
              <w:rPr>
                <w:b w:val="0"/>
                <w:bCs/>
              </w:rPr>
            </w:pPr>
            <w:r w:rsidRPr="0048379A">
              <w:rPr>
                <w:rFonts w:cstheme="minorHAnsi"/>
                <w:b w:val="0"/>
                <w:bCs/>
              </w:rPr>
              <w:t>20/110</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9A7B4B7" w14:textId="11E27E18" w:rsidR="00B2115D" w:rsidRPr="0048379A" w:rsidRDefault="00B2115D" w:rsidP="00B2115D">
            <w:pPr>
              <w:pStyle w:val="In-tableHeading"/>
              <w:jc w:val="center"/>
              <w:rPr>
                <w:b w:val="0"/>
                <w:bCs/>
              </w:rPr>
            </w:pPr>
            <w:r w:rsidRPr="0048379A">
              <w:rPr>
                <w:rFonts w:cstheme="minorHAnsi"/>
                <w:b w:val="0"/>
                <w:bCs/>
              </w:rPr>
              <w:t>5/109</w:t>
            </w:r>
          </w:p>
        </w:tc>
        <w:tc>
          <w:tcPr>
            <w:tcW w:w="868" w:type="pct"/>
            <w:gridSpan w:val="3"/>
            <w:tcBorders>
              <w:top w:val="single" w:sz="4" w:space="0" w:color="auto"/>
              <w:left w:val="single" w:sz="4" w:space="0" w:color="auto"/>
              <w:bottom w:val="single" w:sz="4" w:space="0" w:color="auto"/>
            </w:tcBorders>
            <w:vAlign w:val="center"/>
          </w:tcPr>
          <w:p w14:paraId="01CC9425" w14:textId="236D81A7" w:rsidR="00B2115D" w:rsidRPr="0048379A" w:rsidRDefault="00B2115D" w:rsidP="00B2115D">
            <w:pPr>
              <w:pStyle w:val="In-tableHeading"/>
              <w:jc w:val="center"/>
              <w:rPr>
                <w:b w:val="0"/>
                <w:bCs/>
              </w:rPr>
            </w:pPr>
            <w:r w:rsidRPr="0048379A">
              <w:rPr>
                <w:rFonts w:cstheme="minorHAnsi"/>
                <w:b w:val="0"/>
                <w:bCs/>
              </w:rPr>
              <w:t>13.3 (5.1, 21.4)</w:t>
            </w:r>
          </w:p>
        </w:tc>
        <w:tc>
          <w:tcPr>
            <w:tcW w:w="5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5C03BE" w14:textId="1C1E55B3" w:rsidR="00B2115D" w:rsidRPr="0048379A" w:rsidRDefault="00C34CB1" w:rsidP="00C34CB1">
            <w:pPr>
              <w:pStyle w:val="In-tableHeading"/>
              <w:jc w:val="center"/>
              <w:rPr>
                <w:b w:val="0"/>
                <w:bCs/>
              </w:rPr>
            </w:pPr>
            <w:r w:rsidRPr="0048379A">
              <w:rPr>
                <w:b w:val="0"/>
                <w:bCs/>
              </w:rPr>
              <w:t>18.2</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861A0" w14:textId="7EFEF6CD" w:rsidR="00B2115D" w:rsidRPr="0048379A" w:rsidRDefault="00C34CB1" w:rsidP="00C34CB1">
            <w:pPr>
              <w:pStyle w:val="In-tableHeading"/>
              <w:jc w:val="center"/>
              <w:rPr>
                <w:b w:val="0"/>
                <w:bCs/>
              </w:rPr>
            </w:pPr>
            <w:r w:rsidRPr="0048379A">
              <w:rPr>
                <w:b w:val="0"/>
                <w:bCs/>
              </w:rPr>
              <w:t>4.6</w:t>
            </w:r>
          </w:p>
        </w:tc>
        <w:tc>
          <w:tcPr>
            <w:tcW w:w="989" w:type="pct"/>
            <w:tcBorders>
              <w:top w:val="single" w:sz="4" w:space="0" w:color="auto"/>
              <w:bottom w:val="single" w:sz="4" w:space="0" w:color="auto"/>
              <w:right w:val="single" w:sz="4" w:space="0" w:color="auto"/>
            </w:tcBorders>
            <w:vAlign w:val="center"/>
          </w:tcPr>
          <w:p w14:paraId="498AE58C" w14:textId="5F89CF8F" w:rsidR="00B2115D" w:rsidRPr="0048379A" w:rsidRDefault="00B2115D" w:rsidP="00B2115D">
            <w:pPr>
              <w:pStyle w:val="In-tableHeading"/>
              <w:jc w:val="center"/>
              <w:rPr>
                <w:b w:val="0"/>
                <w:bCs/>
              </w:rPr>
            </w:pPr>
            <w:r w:rsidRPr="00AA64DF">
              <w:rPr>
                <w:b w:val="0"/>
                <w:bCs/>
              </w:rPr>
              <w:t>0.14 (0.05, 0.22)</w:t>
            </w:r>
          </w:p>
        </w:tc>
      </w:tr>
      <w:tr w:rsidR="002E3CBB" w:rsidRPr="0048379A" w14:paraId="35AFDF5A"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B2040" w14:textId="07A34A7D" w:rsidR="00B2115D" w:rsidRPr="0048379A" w:rsidRDefault="00B2115D" w:rsidP="00B2115D">
            <w:pPr>
              <w:pStyle w:val="In-tableHeading"/>
            </w:pPr>
            <w:r w:rsidRPr="0048379A">
              <w:rPr>
                <w:b w:val="0"/>
                <w:bCs/>
              </w:rPr>
              <w:t>PALACE 1</w:t>
            </w:r>
          </w:p>
        </w:tc>
        <w:tc>
          <w:tcPr>
            <w:tcW w:w="639" w:type="pct"/>
            <w:gridSpan w:val="2"/>
            <w:tcBorders>
              <w:top w:val="single" w:sz="4" w:space="0" w:color="auto"/>
              <w:bottom w:val="single" w:sz="4" w:space="0" w:color="auto"/>
              <w:right w:val="single" w:sz="4" w:space="0" w:color="auto"/>
            </w:tcBorders>
            <w:shd w:val="clear" w:color="auto" w:fill="auto"/>
            <w:vAlign w:val="center"/>
          </w:tcPr>
          <w:p w14:paraId="4CF0E089" w14:textId="6C8AD8CC" w:rsidR="00B2115D" w:rsidRPr="0048379A" w:rsidRDefault="00B2115D" w:rsidP="00B2115D">
            <w:pPr>
              <w:pStyle w:val="In-tableHeading"/>
              <w:jc w:val="center"/>
              <w:rPr>
                <w:b w:val="0"/>
                <w:bCs/>
              </w:rPr>
            </w:pPr>
            <w:r w:rsidRPr="0048379A">
              <w:rPr>
                <w:rFonts w:cstheme="minorHAnsi"/>
                <w:b w:val="0"/>
                <w:bCs/>
              </w:rPr>
              <w:t>27/168</w:t>
            </w:r>
          </w:p>
        </w:tc>
        <w:tc>
          <w:tcPr>
            <w:tcW w:w="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2C4D4" w14:textId="519CD85C" w:rsidR="00B2115D" w:rsidRPr="0048379A" w:rsidRDefault="00B2115D" w:rsidP="00B2115D">
            <w:pPr>
              <w:pStyle w:val="In-tableHeading"/>
              <w:jc w:val="center"/>
              <w:rPr>
                <w:b w:val="0"/>
                <w:bCs/>
              </w:rPr>
            </w:pPr>
            <w:r w:rsidRPr="0048379A">
              <w:rPr>
                <w:rFonts w:cstheme="minorHAnsi"/>
                <w:b w:val="0"/>
                <w:bCs/>
              </w:rPr>
              <w:t>10/168</w:t>
            </w:r>
          </w:p>
        </w:tc>
        <w:tc>
          <w:tcPr>
            <w:tcW w:w="868" w:type="pct"/>
            <w:gridSpan w:val="3"/>
            <w:tcBorders>
              <w:top w:val="single" w:sz="4" w:space="0" w:color="auto"/>
              <w:left w:val="single" w:sz="4" w:space="0" w:color="auto"/>
              <w:bottom w:val="single" w:sz="4" w:space="0" w:color="auto"/>
            </w:tcBorders>
            <w:shd w:val="clear" w:color="auto" w:fill="auto"/>
            <w:vAlign w:val="center"/>
          </w:tcPr>
          <w:p w14:paraId="49A5E9C8" w14:textId="4BAF96B2" w:rsidR="00B2115D" w:rsidRPr="0048379A" w:rsidRDefault="00B2115D" w:rsidP="00B2115D">
            <w:pPr>
              <w:pStyle w:val="In-tableHeading"/>
              <w:jc w:val="center"/>
              <w:rPr>
                <w:b w:val="0"/>
                <w:bCs/>
              </w:rPr>
            </w:pPr>
            <w:r w:rsidRPr="0048379A">
              <w:rPr>
                <w:rFonts w:cstheme="minorHAnsi"/>
                <w:b w:val="0"/>
                <w:bCs/>
              </w:rPr>
              <w:t>10.3 (3.7, 16.8)</w:t>
            </w:r>
          </w:p>
        </w:tc>
        <w:tc>
          <w:tcPr>
            <w:tcW w:w="5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685A7" w14:textId="5CA2171F" w:rsidR="00B2115D" w:rsidRPr="0048379A" w:rsidRDefault="00C34CB1" w:rsidP="00C34CB1">
            <w:pPr>
              <w:pStyle w:val="In-tableHeading"/>
              <w:jc w:val="center"/>
              <w:rPr>
                <w:b w:val="0"/>
                <w:bCs/>
              </w:rPr>
            </w:pPr>
            <w:r w:rsidRPr="0048379A">
              <w:rPr>
                <w:b w:val="0"/>
                <w:bCs/>
              </w:rPr>
              <w:t>16.1</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25C5D" w14:textId="0520CE10" w:rsidR="00B2115D" w:rsidRPr="0048379A" w:rsidRDefault="00C34CB1" w:rsidP="00C34CB1">
            <w:pPr>
              <w:pStyle w:val="In-tableHeading"/>
              <w:jc w:val="center"/>
              <w:rPr>
                <w:b w:val="0"/>
                <w:bCs/>
              </w:rPr>
            </w:pPr>
            <w:r w:rsidRPr="0048379A">
              <w:rPr>
                <w:b w:val="0"/>
                <w:bCs/>
              </w:rPr>
              <w:t>6.0</w:t>
            </w:r>
          </w:p>
        </w:tc>
        <w:tc>
          <w:tcPr>
            <w:tcW w:w="989" w:type="pct"/>
            <w:tcBorders>
              <w:top w:val="single" w:sz="4" w:space="0" w:color="auto"/>
              <w:bottom w:val="single" w:sz="4" w:space="0" w:color="auto"/>
              <w:right w:val="single" w:sz="4" w:space="0" w:color="auto"/>
            </w:tcBorders>
            <w:shd w:val="clear" w:color="auto" w:fill="auto"/>
            <w:vAlign w:val="center"/>
          </w:tcPr>
          <w:p w14:paraId="52DE5000" w14:textId="44EC87D3" w:rsidR="00B2115D" w:rsidRPr="0048379A" w:rsidRDefault="00B2115D" w:rsidP="00B2115D">
            <w:pPr>
              <w:pStyle w:val="In-tableHeading"/>
              <w:jc w:val="center"/>
              <w:rPr>
                <w:b w:val="0"/>
                <w:bCs/>
              </w:rPr>
            </w:pPr>
            <w:r w:rsidRPr="00AA64DF">
              <w:rPr>
                <w:b w:val="0"/>
                <w:bCs/>
              </w:rPr>
              <w:t>0.10 (0.04, 0.17)</w:t>
            </w:r>
          </w:p>
        </w:tc>
      </w:tr>
      <w:tr w:rsidR="002E3CBB" w:rsidRPr="0048379A" w14:paraId="133B851C"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12CB8" w14:textId="1E6D45E0" w:rsidR="00B2115D" w:rsidRPr="0048379A" w:rsidRDefault="00B2115D" w:rsidP="00B2115D">
            <w:pPr>
              <w:pStyle w:val="In-tableHeading"/>
            </w:pPr>
            <w:r w:rsidRPr="0048379A">
              <w:rPr>
                <w:b w:val="0"/>
                <w:bCs/>
              </w:rPr>
              <w:t>PALACE 2</w:t>
            </w:r>
          </w:p>
        </w:tc>
        <w:tc>
          <w:tcPr>
            <w:tcW w:w="639" w:type="pct"/>
            <w:gridSpan w:val="2"/>
            <w:tcBorders>
              <w:top w:val="single" w:sz="4" w:space="0" w:color="auto"/>
              <w:bottom w:val="single" w:sz="4" w:space="0" w:color="auto"/>
              <w:right w:val="single" w:sz="4" w:space="0" w:color="auto"/>
            </w:tcBorders>
            <w:shd w:val="clear" w:color="auto" w:fill="auto"/>
            <w:vAlign w:val="center"/>
          </w:tcPr>
          <w:p w14:paraId="15CD7247" w14:textId="6D621293" w:rsidR="00B2115D" w:rsidRPr="0048379A" w:rsidRDefault="00B2115D" w:rsidP="00B2115D">
            <w:pPr>
              <w:pStyle w:val="In-tableHeading"/>
              <w:jc w:val="center"/>
              <w:rPr>
                <w:b w:val="0"/>
                <w:bCs/>
              </w:rPr>
            </w:pPr>
            <w:r w:rsidRPr="0048379A">
              <w:rPr>
                <w:rFonts w:cstheme="minorHAnsi"/>
                <w:b w:val="0"/>
                <w:bCs/>
              </w:rPr>
              <w:t>17/162</w:t>
            </w:r>
          </w:p>
        </w:tc>
        <w:tc>
          <w:tcPr>
            <w:tcW w:w="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5C2B2" w14:textId="64AEB9F4" w:rsidR="00B2115D" w:rsidRPr="0048379A" w:rsidRDefault="00B2115D" w:rsidP="00B2115D">
            <w:pPr>
              <w:pStyle w:val="In-tableHeading"/>
              <w:jc w:val="center"/>
              <w:rPr>
                <w:b w:val="0"/>
                <w:bCs/>
              </w:rPr>
            </w:pPr>
            <w:r w:rsidRPr="0048379A">
              <w:rPr>
                <w:rFonts w:cstheme="minorHAnsi"/>
                <w:b w:val="0"/>
                <w:bCs/>
              </w:rPr>
              <w:t>8/159</w:t>
            </w:r>
          </w:p>
        </w:tc>
        <w:tc>
          <w:tcPr>
            <w:tcW w:w="868" w:type="pct"/>
            <w:gridSpan w:val="3"/>
            <w:tcBorders>
              <w:top w:val="single" w:sz="4" w:space="0" w:color="auto"/>
              <w:left w:val="single" w:sz="4" w:space="0" w:color="auto"/>
              <w:bottom w:val="single" w:sz="4" w:space="0" w:color="auto"/>
            </w:tcBorders>
            <w:shd w:val="clear" w:color="auto" w:fill="auto"/>
            <w:vAlign w:val="center"/>
          </w:tcPr>
          <w:p w14:paraId="432AE348" w14:textId="268681B9" w:rsidR="00B2115D" w:rsidRPr="0048379A" w:rsidRDefault="00B2115D" w:rsidP="00B2115D">
            <w:pPr>
              <w:pStyle w:val="In-tableHeading"/>
              <w:jc w:val="center"/>
              <w:rPr>
                <w:b w:val="0"/>
                <w:bCs/>
              </w:rPr>
            </w:pPr>
            <w:r w:rsidRPr="0048379A">
              <w:rPr>
                <w:rFonts w:cstheme="minorHAnsi"/>
                <w:b w:val="0"/>
                <w:bCs/>
              </w:rPr>
              <w:t>5.6 (-0.2, 11.3)</w:t>
            </w:r>
          </w:p>
        </w:tc>
        <w:tc>
          <w:tcPr>
            <w:tcW w:w="5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5E18F8" w14:textId="5F7DFB0A" w:rsidR="00B2115D" w:rsidRPr="0048379A" w:rsidRDefault="00C34CB1" w:rsidP="00C34CB1">
            <w:pPr>
              <w:pStyle w:val="In-tableHeading"/>
              <w:jc w:val="center"/>
              <w:rPr>
                <w:b w:val="0"/>
                <w:bCs/>
              </w:rPr>
            </w:pPr>
            <w:r w:rsidRPr="0048379A">
              <w:rPr>
                <w:b w:val="0"/>
                <w:bCs/>
              </w:rPr>
              <w:t>10.5</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0DDCD" w14:textId="23FA274E" w:rsidR="00B2115D" w:rsidRPr="0048379A" w:rsidRDefault="00C34CB1" w:rsidP="00C34CB1">
            <w:pPr>
              <w:pStyle w:val="In-tableHeading"/>
              <w:jc w:val="center"/>
              <w:rPr>
                <w:b w:val="0"/>
                <w:bCs/>
              </w:rPr>
            </w:pPr>
            <w:r w:rsidRPr="0048379A">
              <w:rPr>
                <w:b w:val="0"/>
                <w:bCs/>
              </w:rPr>
              <w:t>5.0</w:t>
            </w:r>
          </w:p>
        </w:tc>
        <w:tc>
          <w:tcPr>
            <w:tcW w:w="989" w:type="pct"/>
            <w:tcBorders>
              <w:top w:val="single" w:sz="4" w:space="0" w:color="auto"/>
              <w:bottom w:val="single" w:sz="4" w:space="0" w:color="auto"/>
              <w:right w:val="single" w:sz="4" w:space="0" w:color="auto"/>
            </w:tcBorders>
            <w:shd w:val="clear" w:color="auto" w:fill="auto"/>
            <w:vAlign w:val="center"/>
          </w:tcPr>
          <w:p w14:paraId="2E79D70B" w14:textId="4123928D" w:rsidR="00B2115D" w:rsidRPr="0048379A" w:rsidRDefault="00B2115D" w:rsidP="00B2115D">
            <w:pPr>
              <w:pStyle w:val="In-tableHeading"/>
              <w:jc w:val="center"/>
              <w:rPr>
                <w:b w:val="0"/>
                <w:bCs/>
              </w:rPr>
            </w:pPr>
            <w:r w:rsidRPr="00AA64DF">
              <w:rPr>
                <w:b w:val="0"/>
                <w:bCs/>
              </w:rPr>
              <w:t>0.05 (-0.00, 0.11)</w:t>
            </w:r>
          </w:p>
        </w:tc>
      </w:tr>
      <w:tr w:rsidR="002E3CBB" w:rsidRPr="0048379A" w14:paraId="1B7EB7B3"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7EFEF" w14:textId="611E5925" w:rsidR="00B2115D" w:rsidRPr="0048379A" w:rsidRDefault="00B2115D" w:rsidP="00B2115D">
            <w:pPr>
              <w:pStyle w:val="In-tableHeading"/>
            </w:pPr>
            <w:r w:rsidRPr="0048379A">
              <w:rPr>
                <w:b w:val="0"/>
                <w:bCs/>
              </w:rPr>
              <w:t>PALACE 3</w:t>
            </w:r>
          </w:p>
        </w:tc>
        <w:tc>
          <w:tcPr>
            <w:tcW w:w="639" w:type="pct"/>
            <w:gridSpan w:val="2"/>
            <w:tcBorders>
              <w:top w:val="single" w:sz="4" w:space="0" w:color="auto"/>
              <w:bottom w:val="single" w:sz="4" w:space="0" w:color="auto"/>
              <w:right w:val="single" w:sz="4" w:space="0" w:color="auto"/>
            </w:tcBorders>
            <w:shd w:val="clear" w:color="auto" w:fill="auto"/>
            <w:vAlign w:val="center"/>
          </w:tcPr>
          <w:p w14:paraId="0ABC854F" w14:textId="494EB68D" w:rsidR="00B2115D" w:rsidRPr="0048379A" w:rsidRDefault="00B2115D" w:rsidP="00B2115D">
            <w:pPr>
              <w:pStyle w:val="In-tableHeading"/>
              <w:jc w:val="center"/>
              <w:rPr>
                <w:b w:val="0"/>
                <w:bCs/>
              </w:rPr>
            </w:pPr>
            <w:r w:rsidRPr="0048379A">
              <w:rPr>
                <w:rFonts w:cstheme="minorHAnsi"/>
                <w:b w:val="0"/>
                <w:bCs/>
              </w:rPr>
              <w:t>25/167</w:t>
            </w:r>
          </w:p>
        </w:tc>
        <w:tc>
          <w:tcPr>
            <w:tcW w:w="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2E73C" w14:textId="200B2080" w:rsidR="00B2115D" w:rsidRPr="0048379A" w:rsidRDefault="00B2115D" w:rsidP="00B2115D">
            <w:pPr>
              <w:pStyle w:val="In-tableHeading"/>
              <w:jc w:val="center"/>
              <w:rPr>
                <w:b w:val="0"/>
                <w:bCs/>
              </w:rPr>
            </w:pPr>
            <w:r w:rsidRPr="0048379A">
              <w:rPr>
                <w:rFonts w:cstheme="minorHAnsi"/>
                <w:b w:val="0"/>
                <w:bCs/>
              </w:rPr>
              <w:t>14/169</w:t>
            </w:r>
          </w:p>
        </w:tc>
        <w:tc>
          <w:tcPr>
            <w:tcW w:w="868" w:type="pct"/>
            <w:gridSpan w:val="3"/>
            <w:tcBorders>
              <w:top w:val="single" w:sz="4" w:space="0" w:color="auto"/>
              <w:left w:val="single" w:sz="4" w:space="0" w:color="auto"/>
              <w:bottom w:val="single" w:sz="4" w:space="0" w:color="auto"/>
            </w:tcBorders>
            <w:shd w:val="clear" w:color="auto" w:fill="auto"/>
            <w:vAlign w:val="center"/>
          </w:tcPr>
          <w:p w14:paraId="707DEA32" w14:textId="38762E0B" w:rsidR="00B2115D" w:rsidRPr="0048379A" w:rsidRDefault="00B2115D" w:rsidP="00B2115D">
            <w:pPr>
              <w:pStyle w:val="In-tableHeading"/>
              <w:jc w:val="center"/>
              <w:rPr>
                <w:b w:val="0"/>
                <w:bCs/>
              </w:rPr>
            </w:pPr>
            <w:r w:rsidRPr="0048379A">
              <w:rPr>
                <w:rFonts w:cstheme="minorHAnsi"/>
                <w:b w:val="0"/>
                <w:bCs/>
              </w:rPr>
              <w:t>6.8 (0.0, 13.5)</w:t>
            </w:r>
          </w:p>
        </w:tc>
        <w:tc>
          <w:tcPr>
            <w:tcW w:w="57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8E74AE" w14:textId="48607857" w:rsidR="00B2115D" w:rsidRPr="0048379A" w:rsidRDefault="00C34CB1" w:rsidP="00C34CB1">
            <w:pPr>
              <w:pStyle w:val="In-tableHeading"/>
              <w:jc w:val="center"/>
              <w:rPr>
                <w:b w:val="0"/>
                <w:bCs/>
              </w:rPr>
            </w:pPr>
            <w:r w:rsidRPr="0048379A">
              <w:rPr>
                <w:b w:val="0"/>
                <w:bCs/>
              </w:rPr>
              <w:t>15.0</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EFC12" w14:textId="4D2618A8" w:rsidR="00B2115D" w:rsidRPr="0048379A" w:rsidRDefault="00C34CB1" w:rsidP="00C34CB1">
            <w:pPr>
              <w:pStyle w:val="In-tableHeading"/>
              <w:jc w:val="center"/>
              <w:rPr>
                <w:b w:val="0"/>
                <w:bCs/>
              </w:rPr>
            </w:pPr>
            <w:r w:rsidRPr="0048379A">
              <w:rPr>
                <w:b w:val="0"/>
                <w:bCs/>
              </w:rPr>
              <w:t>8.3</w:t>
            </w:r>
          </w:p>
        </w:tc>
        <w:tc>
          <w:tcPr>
            <w:tcW w:w="989" w:type="pct"/>
            <w:tcBorders>
              <w:top w:val="single" w:sz="4" w:space="0" w:color="auto"/>
              <w:bottom w:val="single" w:sz="4" w:space="0" w:color="auto"/>
              <w:right w:val="single" w:sz="4" w:space="0" w:color="auto"/>
            </w:tcBorders>
            <w:shd w:val="clear" w:color="auto" w:fill="auto"/>
            <w:vAlign w:val="center"/>
          </w:tcPr>
          <w:p w14:paraId="14B9159C" w14:textId="0CBA1074" w:rsidR="00B2115D" w:rsidRPr="0048379A" w:rsidRDefault="00B2115D" w:rsidP="00B2115D">
            <w:pPr>
              <w:pStyle w:val="In-tableHeading"/>
              <w:jc w:val="center"/>
              <w:rPr>
                <w:b w:val="0"/>
                <w:bCs/>
              </w:rPr>
            </w:pPr>
            <w:r w:rsidRPr="00AA64DF">
              <w:rPr>
                <w:b w:val="0"/>
                <w:bCs/>
              </w:rPr>
              <w:t>0.07 (-0.00, 0.14)</w:t>
            </w:r>
          </w:p>
        </w:tc>
      </w:tr>
      <w:tr w:rsidR="002E3CBB" w:rsidRPr="0048379A" w14:paraId="1108B1D6" w14:textId="77777777" w:rsidTr="000B64E1">
        <w:tc>
          <w:tcPr>
            <w:tcW w:w="636"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0317A159" w14:textId="644ED82D" w:rsidR="00B2115D" w:rsidRPr="0048379A" w:rsidRDefault="00B2115D" w:rsidP="00B2115D">
            <w:pPr>
              <w:pStyle w:val="In-tableHeading"/>
            </w:pPr>
            <w:r w:rsidRPr="0048379A">
              <w:rPr>
                <w:b w:val="0"/>
                <w:bCs/>
              </w:rPr>
              <w:t>PALACE 4</w:t>
            </w:r>
          </w:p>
        </w:tc>
        <w:tc>
          <w:tcPr>
            <w:tcW w:w="639" w:type="pct"/>
            <w:gridSpan w:val="2"/>
            <w:tcBorders>
              <w:top w:val="single" w:sz="4" w:space="0" w:color="auto"/>
              <w:bottom w:val="double" w:sz="4" w:space="0" w:color="auto"/>
              <w:right w:val="single" w:sz="4" w:space="0" w:color="auto"/>
            </w:tcBorders>
            <w:shd w:val="clear" w:color="auto" w:fill="auto"/>
            <w:vAlign w:val="center"/>
          </w:tcPr>
          <w:p w14:paraId="3C9595F2" w14:textId="75763570" w:rsidR="00B2115D" w:rsidRPr="0048379A" w:rsidRDefault="00B2115D" w:rsidP="00B2115D">
            <w:pPr>
              <w:pStyle w:val="In-tableHeading"/>
              <w:jc w:val="center"/>
              <w:rPr>
                <w:b w:val="0"/>
                <w:bCs/>
              </w:rPr>
            </w:pPr>
            <w:r w:rsidRPr="0048379A">
              <w:rPr>
                <w:rFonts w:cstheme="minorHAnsi"/>
                <w:b w:val="0"/>
                <w:bCs/>
              </w:rPr>
              <w:t>20/176</w:t>
            </w:r>
          </w:p>
        </w:tc>
        <w:tc>
          <w:tcPr>
            <w:tcW w:w="711"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51A62AC0" w14:textId="0441C8E3" w:rsidR="00B2115D" w:rsidRPr="0048379A" w:rsidRDefault="00B2115D" w:rsidP="00B2115D">
            <w:pPr>
              <w:pStyle w:val="In-tableHeading"/>
              <w:jc w:val="center"/>
              <w:rPr>
                <w:b w:val="0"/>
                <w:bCs/>
              </w:rPr>
            </w:pPr>
            <w:r w:rsidRPr="0048379A">
              <w:rPr>
                <w:rFonts w:cstheme="minorHAnsi"/>
                <w:b w:val="0"/>
                <w:bCs/>
              </w:rPr>
              <w:t>8/176</w:t>
            </w:r>
          </w:p>
        </w:tc>
        <w:tc>
          <w:tcPr>
            <w:tcW w:w="868" w:type="pct"/>
            <w:gridSpan w:val="3"/>
            <w:tcBorders>
              <w:top w:val="single" w:sz="4" w:space="0" w:color="auto"/>
              <w:left w:val="single" w:sz="4" w:space="0" w:color="auto"/>
              <w:bottom w:val="double" w:sz="4" w:space="0" w:color="auto"/>
            </w:tcBorders>
            <w:shd w:val="clear" w:color="auto" w:fill="auto"/>
            <w:vAlign w:val="center"/>
          </w:tcPr>
          <w:p w14:paraId="6EC2DD51" w14:textId="2F4295AF" w:rsidR="00B2115D" w:rsidRPr="0048379A" w:rsidRDefault="00B2115D" w:rsidP="00B2115D">
            <w:pPr>
              <w:pStyle w:val="In-tableHeading"/>
              <w:jc w:val="center"/>
              <w:rPr>
                <w:b w:val="0"/>
                <w:bCs/>
              </w:rPr>
            </w:pPr>
            <w:r w:rsidRPr="0048379A">
              <w:rPr>
                <w:rFonts w:cstheme="minorHAnsi"/>
                <w:b w:val="0"/>
                <w:bCs/>
              </w:rPr>
              <w:t>6.8 (1.2, 12.4)</w:t>
            </w:r>
          </w:p>
        </w:tc>
        <w:tc>
          <w:tcPr>
            <w:tcW w:w="577" w:type="pct"/>
            <w:gridSpan w:val="3"/>
            <w:tcBorders>
              <w:top w:val="single" w:sz="4" w:space="0" w:color="auto"/>
              <w:left w:val="single" w:sz="4" w:space="0" w:color="auto"/>
              <w:bottom w:val="double" w:sz="4" w:space="0" w:color="auto"/>
              <w:right w:val="single" w:sz="4" w:space="0" w:color="auto"/>
            </w:tcBorders>
            <w:shd w:val="clear" w:color="auto" w:fill="auto"/>
            <w:vAlign w:val="center"/>
          </w:tcPr>
          <w:p w14:paraId="44B156E6" w14:textId="30FBAA1F" w:rsidR="00B2115D" w:rsidRPr="0048379A" w:rsidRDefault="00C34CB1" w:rsidP="00C34CB1">
            <w:pPr>
              <w:pStyle w:val="In-tableHeading"/>
              <w:jc w:val="center"/>
              <w:rPr>
                <w:b w:val="0"/>
                <w:bCs/>
              </w:rPr>
            </w:pPr>
            <w:r w:rsidRPr="0048379A">
              <w:rPr>
                <w:b w:val="0"/>
                <w:bCs/>
              </w:rPr>
              <w:t>11.4</w:t>
            </w:r>
          </w:p>
        </w:tc>
        <w:tc>
          <w:tcPr>
            <w:tcW w:w="579" w:type="pct"/>
            <w:gridSpan w:val="2"/>
            <w:tcBorders>
              <w:top w:val="single" w:sz="4" w:space="0" w:color="auto"/>
              <w:left w:val="single" w:sz="4" w:space="0" w:color="auto"/>
              <w:bottom w:val="double" w:sz="4" w:space="0" w:color="auto"/>
              <w:right w:val="single" w:sz="4" w:space="0" w:color="auto"/>
            </w:tcBorders>
            <w:shd w:val="clear" w:color="auto" w:fill="auto"/>
            <w:vAlign w:val="center"/>
          </w:tcPr>
          <w:p w14:paraId="625F93BD" w14:textId="7B0FA635" w:rsidR="00B2115D" w:rsidRPr="0048379A" w:rsidRDefault="00C34CB1" w:rsidP="00C34CB1">
            <w:pPr>
              <w:pStyle w:val="In-tableHeading"/>
              <w:jc w:val="center"/>
              <w:rPr>
                <w:b w:val="0"/>
                <w:bCs/>
              </w:rPr>
            </w:pPr>
            <w:r w:rsidRPr="0048379A">
              <w:rPr>
                <w:b w:val="0"/>
                <w:bCs/>
              </w:rPr>
              <w:t>4.5</w:t>
            </w:r>
          </w:p>
        </w:tc>
        <w:tc>
          <w:tcPr>
            <w:tcW w:w="989" w:type="pct"/>
            <w:tcBorders>
              <w:top w:val="single" w:sz="4" w:space="0" w:color="auto"/>
              <w:bottom w:val="double" w:sz="4" w:space="0" w:color="auto"/>
              <w:right w:val="single" w:sz="4" w:space="0" w:color="auto"/>
            </w:tcBorders>
            <w:shd w:val="clear" w:color="auto" w:fill="auto"/>
            <w:vAlign w:val="center"/>
          </w:tcPr>
          <w:p w14:paraId="07B39FDE" w14:textId="5915F4D3" w:rsidR="00B2115D" w:rsidRPr="0048379A" w:rsidRDefault="00B2115D" w:rsidP="00B2115D">
            <w:pPr>
              <w:pStyle w:val="In-tableHeading"/>
              <w:jc w:val="center"/>
              <w:rPr>
                <w:b w:val="0"/>
                <w:bCs/>
              </w:rPr>
            </w:pPr>
            <w:r w:rsidRPr="00AA64DF">
              <w:rPr>
                <w:b w:val="0"/>
                <w:bCs/>
              </w:rPr>
              <w:t>0.07 (0.01, 0.12)</w:t>
            </w:r>
          </w:p>
        </w:tc>
      </w:tr>
      <w:tr w:rsidR="00B2115D" w:rsidRPr="0048379A" w14:paraId="10610488" w14:textId="77777777" w:rsidTr="00B2115D">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14:paraId="78CDF5F1" w14:textId="49763291" w:rsidR="00B2115D" w:rsidRPr="0048379A" w:rsidRDefault="00B2115D" w:rsidP="00B2115D">
            <w:pPr>
              <w:pStyle w:val="In-tableHeading"/>
            </w:pPr>
            <w:r w:rsidRPr="0048379A">
              <w:t>HAQ-DI: change from baseline</w:t>
            </w:r>
            <w:r w:rsidR="002E3CBB" w:rsidRPr="0048379A">
              <w:t xml:space="preserve"> to week 16</w:t>
            </w:r>
          </w:p>
        </w:tc>
      </w:tr>
      <w:tr w:rsidR="002E3CBB" w:rsidRPr="0048379A" w14:paraId="3CC18A08" w14:textId="77777777" w:rsidTr="000B64E1">
        <w:tc>
          <w:tcPr>
            <w:tcW w:w="636" w:type="pct"/>
            <w:gridSpan w:val="2"/>
            <w:vMerge w:val="restart"/>
            <w:tcBorders>
              <w:top w:val="single" w:sz="4" w:space="0" w:color="auto"/>
              <w:left w:val="single" w:sz="4" w:space="0" w:color="auto"/>
              <w:right w:val="single" w:sz="4" w:space="0" w:color="auto"/>
            </w:tcBorders>
            <w:shd w:val="clear" w:color="auto" w:fill="auto"/>
            <w:vAlign w:val="center"/>
          </w:tcPr>
          <w:p w14:paraId="00FEA146" w14:textId="3B5B3446" w:rsidR="002E3CBB" w:rsidRPr="0048379A" w:rsidRDefault="002E3CBB" w:rsidP="00B2115D">
            <w:pPr>
              <w:pStyle w:val="In-tableHeading"/>
              <w:rPr>
                <w:b w:val="0"/>
                <w:bCs/>
              </w:rPr>
            </w:pPr>
          </w:p>
        </w:tc>
        <w:tc>
          <w:tcPr>
            <w:tcW w:w="1782" w:type="pct"/>
            <w:gridSpan w:val="5"/>
            <w:tcBorders>
              <w:top w:val="single" w:sz="4" w:space="0" w:color="auto"/>
              <w:bottom w:val="single" w:sz="4" w:space="0" w:color="auto"/>
            </w:tcBorders>
            <w:shd w:val="clear" w:color="auto" w:fill="auto"/>
            <w:vAlign w:val="center"/>
          </w:tcPr>
          <w:p w14:paraId="16142A6A" w14:textId="53E53AD8" w:rsidR="002E3CBB" w:rsidRPr="0048379A" w:rsidRDefault="002E3CBB" w:rsidP="00B2115D">
            <w:pPr>
              <w:pStyle w:val="In-tableHeading"/>
              <w:jc w:val="center"/>
              <w:rPr>
                <w:rFonts w:cstheme="minorHAnsi"/>
              </w:rPr>
            </w:pPr>
            <w:r w:rsidRPr="0048379A">
              <w:rPr>
                <w:rFonts w:cstheme="minorHAnsi"/>
              </w:rPr>
              <w:t>Apremilast</w:t>
            </w:r>
          </w:p>
        </w:tc>
        <w:tc>
          <w:tcPr>
            <w:tcW w:w="159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ACD66F" w14:textId="6F1D4AFD" w:rsidR="002E3CBB" w:rsidRPr="0048379A" w:rsidRDefault="002E3CBB" w:rsidP="002E3CBB">
            <w:pPr>
              <w:pStyle w:val="In-tableHeading"/>
              <w:jc w:val="center"/>
            </w:pPr>
            <w:r w:rsidRPr="0048379A">
              <w:t>Placebo</w:t>
            </w:r>
          </w:p>
        </w:tc>
        <w:tc>
          <w:tcPr>
            <w:tcW w:w="989" w:type="pct"/>
            <w:vMerge w:val="restart"/>
            <w:tcBorders>
              <w:top w:val="single" w:sz="4" w:space="0" w:color="auto"/>
              <w:right w:val="single" w:sz="4" w:space="0" w:color="auto"/>
            </w:tcBorders>
            <w:shd w:val="clear" w:color="auto" w:fill="auto"/>
            <w:vAlign w:val="center"/>
          </w:tcPr>
          <w:p w14:paraId="20C762BE" w14:textId="63F4C9E1" w:rsidR="002E3CBB" w:rsidRPr="0048379A" w:rsidRDefault="002E3CBB" w:rsidP="00B2115D">
            <w:pPr>
              <w:pStyle w:val="In-tableHeading"/>
              <w:jc w:val="center"/>
            </w:pPr>
            <w:r w:rsidRPr="0048379A">
              <w:t xml:space="preserve">LS mean difference: </w:t>
            </w:r>
          </w:p>
          <w:p w14:paraId="16AB17ED" w14:textId="5C59DC0B" w:rsidR="002E3CBB" w:rsidRPr="0048379A" w:rsidRDefault="002E3CBB" w:rsidP="00B2115D">
            <w:pPr>
              <w:pStyle w:val="In-tableHeading"/>
              <w:jc w:val="center"/>
            </w:pPr>
            <w:r w:rsidRPr="0048379A">
              <w:t>AP</w:t>
            </w:r>
            <w:r w:rsidR="007C1B54" w:rsidRPr="0048379A">
              <w:t>R</w:t>
            </w:r>
            <w:r w:rsidRPr="0048379A">
              <w:t xml:space="preserve"> vs PBO</w:t>
            </w:r>
          </w:p>
        </w:tc>
      </w:tr>
      <w:tr w:rsidR="002E3CBB" w:rsidRPr="0048379A" w14:paraId="74E12AF5" w14:textId="77777777" w:rsidTr="000B64E1">
        <w:tc>
          <w:tcPr>
            <w:tcW w:w="636" w:type="pct"/>
            <w:gridSpan w:val="2"/>
            <w:vMerge/>
            <w:tcBorders>
              <w:left w:val="single" w:sz="4" w:space="0" w:color="auto"/>
              <w:bottom w:val="single" w:sz="4" w:space="0" w:color="auto"/>
              <w:right w:val="single" w:sz="4" w:space="0" w:color="auto"/>
            </w:tcBorders>
            <w:shd w:val="clear" w:color="auto" w:fill="auto"/>
            <w:vAlign w:val="center"/>
          </w:tcPr>
          <w:p w14:paraId="545EC7F8" w14:textId="77777777" w:rsidR="002E3CBB" w:rsidRPr="0048379A" w:rsidRDefault="002E3CBB" w:rsidP="002E3CBB">
            <w:pPr>
              <w:pStyle w:val="In-tableHeading"/>
              <w:rPr>
                <w:b w:val="0"/>
                <w:bCs/>
              </w:rPr>
            </w:pPr>
          </w:p>
        </w:tc>
        <w:tc>
          <w:tcPr>
            <w:tcW w:w="592" w:type="pct"/>
            <w:tcBorders>
              <w:top w:val="single" w:sz="4" w:space="0" w:color="auto"/>
              <w:bottom w:val="single" w:sz="4" w:space="0" w:color="auto"/>
              <w:right w:val="single" w:sz="4" w:space="0" w:color="auto"/>
            </w:tcBorders>
            <w:shd w:val="clear" w:color="auto" w:fill="auto"/>
            <w:vAlign w:val="center"/>
          </w:tcPr>
          <w:p w14:paraId="532A4DA8" w14:textId="30297497" w:rsidR="002E3CBB" w:rsidRPr="0048379A" w:rsidRDefault="002E3CBB" w:rsidP="002E3CBB">
            <w:pPr>
              <w:pStyle w:val="In-tableHeading"/>
              <w:jc w:val="center"/>
              <w:rPr>
                <w:rFonts w:cstheme="minorHAnsi"/>
              </w:rPr>
            </w:pPr>
            <w:r w:rsidRPr="0048379A">
              <w:rPr>
                <w:rFonts w:cstheme="minorHAnsi"/>
              </w:rPr>
              <w:t>N</w:t>
            </w:r>
          </w:p>
        </w:tc>
        <w:tc>
          <w:tcPr>
            <w:tcW w:w="5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21AB3" w14:textId="09355988" w:rsidR="002E3CBB" w:rsidRPr="0048379A" w:rsidRDefault="002E3CBB" w:rsidP="002E3CBB">
            <w:pPr>
              <w:pStyle w:val="In-tableHeading"/>
              <w:jc w:val="center"/>
              <w:rPr>
                <w:rFonts w:cstheme="minorHAnsi"/>
              </w:rPr>
            </w:pPr>
            <w:r w:rsidRPr="0048379A">
              <w:rPr>
                <w:rFonts w:cstheme="minorHAnsi"/>
              </w:rPr>
              <w:t xml:space="preserve">LS mean </w:t>
            </w:r>
            <w:r w:rsidRPr="0048379A">
              <w:t>∆</w:t>
            </w:r>
          </w:p>
        </w:tc>
        <w:tc>
          <w:tcPr>
            <w:tcW w:w="596" w:type="pct"/>
            <w:gridSpan w:val="2"/>
            <w:tcBorders>
              <w:top w:val="single" w:sz="4" w:space="0" w:color="auto"/>
              <w:left w:val="single" w:sz="4" w:space="0" w:color="auto"/>
              <w:bottom w:val="single" w:sz="4" w:space="0" w:color="auto"/>
            </w:tcBorders>
            <w:shd w:val="clear" w:color="auto" w:fill="auto"/>
            <w:vAlign w:val="center"/>
          </w:tcPr>
          <w:p w14:paraId="1AED6901" w14:textId="7E6E1CF8" w:rsidR="002E3CBB" w:rsidRPr="0048379A" w:rsidRDefault="002E3CBB" w:rsidP="002E3CBB">
            <w:pPr>
              <w:pStyle w:val="In-tableHeading"/>
              <w:jc w:val="center"/>
              <w:rPr>
                <w:rFonts w:cstheme="minorHAnsi"/>
              </w:rPr>
            </w:pPr>
            <w:r w:rsidRPr="0048379A">
              <w:rPr>
                <w:rFonts w:cstheme="minorHAnsi"/>
              </w:rPr>
              <w:t>SE</w:t>
            </w:r>
          </w:p>
        </w:tc>
        <w:tc>
          <w:tcPr>
            <w:tcW w:w="530" w:type="pct"/>
            <w:gridSpan w:val="3"/>
            <w:tcBorders>
              <w:top w:val="single" w:sz="4" w:space="0" w:color="auto"/>
              <w:left w:val="single" w:sz="4" w:space="0" w:color="auto"/>
              <w:bottom w:val="single" w:sz="4" w:space="0" w:color="auto"/>
            </w:tcBorders>
            <w:shd w:val="clear" w:color="auto" w:fill="auto"/>
            <w:vAlign w:val="center"/>
          </w:tcPr>
          <w:p w14:paraId="1AF6F163" w14:textId="19C74198" w:rsidR="002E3CBB" w:rsidRPr="0048379A" w:rsidRDefault="002E3CBB" w:rsidP="002E3CBB">
            <w:pPr>
              <w:pStyle w:val="In-tableHeading"/>
              <w:jc w:val="center"/>
              <w:rPr>
                <w:rFonts w:cstheme="minorHAnsi"/>
                <w:b w:val="0"/>
                <w:bCs/>
              </w:rPr>
            </w:pPr>
            <w:r w:rsidRPr="0048379A">
              <w:rPr>
                <w:rFonts w:cstheme="minorHAnsi"/>
              </w:rPr>
              <w:t>N</w:t>
            </w:r>
          </w:p>
        </w:tc>
        <w:tc>
          <w:tcPr>
            <w:tcW w:w="5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72AD3" w14:textId="35C17C75" w:rsidR="002E3CBB" w:rsidRPr="0048379A" w:rsidRDefault="002E3CBB" w:rsidP="002E3CBB">
            <w:pPr>
              <w:pStyle w:val="In-tableHeading"/>
              <w:jc w:val="center"/>
            </w:pPr>
            <w:r w:rsidRPr="0048379A">
              <w:rPr>
                <w:rFonts w:cstheme="minorHAnsi"/>
              </w:rPr>
              <w:t xml:space="preserve">LS mean </w:t>
            </w:r>
            <w:r w:rsidRPr="0048379A">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8529B8B" w14:textId="207C303F" w:rsidR="002E3CBB" w:rsidRPr="0048379A" w:rsidRDefault="002E3CBB" w:rsidP="002E3CBB">
            <w:pPr>
              <w:pStyle w:val="In-tableHeading"/>
              <w:jc w:val="center"/>
            </w:pPr>
            <w:r w:rsidRPr="0048379A">
              <w:rPr>
                <w:rFonts w:cstheme="minorHAnsi"/>
              </w:rPr>
              <w:t>SE</w:t>
            </w:r>
          </w:p>
        </w:tc>
        <w:tc>
          <w:tcPr>
            <w:tcW w:w="989" w:type="pct"/>
            <w:vMerge/>
            <w:tcBorders>
              <w:bottom w:val="single" w:sz="4" w:space="0" w:color="auto"/>
              <w:right w:val="single" w:sz="4" w:space="0" w:color="auto"/>
            </w:tcBorders>
            <w:shd w:val="clear" w:color="auto" w:fill="auto"/>
            <w:vAlign w:val="center"/>
          </w:tcPr>
          <w:p w14:paraId="74261ADB" w14:textId="77777777" w:rsidR="002E3CBB" w:rsidRPr="00AA64DF" w:rsidRDefault="002E3CBB" w:rsidP="002E3CBB">
            <w:pPr>
              <w:pStyle w:val="In-tableHeading"/>
              <w:jc w:val="center"/>
              <w:rPr>
                <w:b w:val="0"/>
                <w:bCs/>
              </w:rPr>
            </w:pPr>
          </w:p>
        </w:tc>
      </w:tr>
      <w:tr w:rsidR="002E3CBB" w:rsidRPr="0048379A" w14:paraId="07B50F0D"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9A326" w14:textId="62F3EFCB" w:rsidR="002E3CBB" w:rsidRPr="0048379A" w:rsidRDefault="002E3CBB" w:rsidP="002E3CBB">
            <w:pPr>
              <w:pStyle w:val="In-tableHeading"/>
              <w:rPr>
                <w:b w:val="0"/>
                <w:bCs/>
              </w:rPr>
            </w:pPr>
            <w:r w:rsidRPr="0048379A">
              <w:rPr>
                <w:b w:val="0"/>
                <w:bCs/>
              </w:rPr>
              <w:t>ACTIVE</w:t>
            </w:r>
          </w:p>
        </w:tc>
        <w:tc>
          <w:tcPr>
            <w:tcW w:w="592" w:type="pct"/>
            <w:tcBorders>
              <w:top w:val="single" w:sz="4" w:space="0" w:color="auto"/>
              <w:bottom w:val="single" w:sz="4" w:space="0" w:color="auto"/>
              <w:right w:val="single" w:sz="4" w:space="0" w:color="auto"/>
            </w:tcBorders>
            <w:shd w:val="clear" w:color="auto" w:fill="auto"/>
            <w:vAlign w:val="center"/>
          </w:tcPr>
          <w:p w14:paraId="62B4D958" w14:textId="58ADCEEA" w:rsidR="002E3CBB" w:rsidRPr="0048379A" w:rsidRDefault="002E3CBB" w:rsidP="002E3CBB">
            <w:pPr>
              <w:pStyle w:val="In-tableHeading"/>
              <w:jc w:val="center"/>
              <w:rPr>
                <w:rFonts w:cstheme="minorHAnsi"/>
                <w:b w:val="0"/>
                <w:bCs/>
              </w:rPr>
            </w:pPr>
            <w:r w:rsidRPr="0048379A">
              <w:rPr>
                <w:rFonts w:cstheme="minorHAnsi"/>
                <w:b w:val="0"/>
                <w:bCs/>
              </w:rPr>
              <w:t>109</w:t>
            </w:r>
          </w:p>
        </w:tc>
        <w:tc>
          <w:tcPr>
            <w:tcW w:w="5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2FE94" w14:textId="335137E2" w:rsidR="002E3CBB" w:rsidRPr="0048379A" w:rsidRDefault="002E3CBB" w:rsidP="002E3CBB">
            <w:pPr>
              <w:pStyle w:val="In-tableHeading"/>
              <w:jc w:val="center"/>
              <w:rPr>
                <w:rFonts w:cstheme="minorHAnsi"/>
                <w:b w:val="0"/>
                <w:bCs/>
              </w:rPr>
            </w:pPr>
            <w:r w:rsidRPr="0048379A">
              <w:rPr>
                <w:rFonts w:cstheme="minorHAnsi"/>
                <w:b w:val="0"/>
                <w:bCs/>
              </w:rPr>
              <w:t xml:space="preserve">-0.205 </w:t>
            </w:r>
          </w:p>
        </w:tc>
        <w:tc>
          <w:tcPr>
            <w:tcW w:w="596" w:type="pct"/>
            <w:gridSpan w:val="2"/>
            <w:tcBorders>
              <w:top w:val="single" w:sz="4" w:space="0" w:color="auto"/>
              <w:left w:val="single" w:sz="4" w:space="0" w:color="auto"/>
              <w:bottom w:val="single" w:sz="4" w:space="0" w:color="auto"/>
            </w:tcBorders>
            <w:shd w:val="clear" w:color="auto" w:fill="auto"/>
            <w:vAlign w:val="center"/>
          </w:tcPr>
          <w:p w14:paraId="0557722E" w14:textId="2E449B90" w:rsidR="002E3CBB" w:rsidRPr="0048379A" w:rsidRDefault="002E3CBB" w:rsidP="002E3CBB">
            <w:pPr>
              <w:pStyle w:val="In-tableHeading"/>
              <w:jc w:val="center"/>
              <w:rPr>
                <w:rFonts w:cstheme="minorHAnsi"/>
                <w:b w:val="0"/>
                <w:bCs/>
              </w:rPr>
            </w:pPr>
            <w:r w:rsidRPr="0048379A">
              <w:rPr>
                <w:rFonts w:cstheme="minorHAnsi"/>
                <w:b w:val="0"/>
                <w:bCs/>
              </w:rPr>
              <w:t>0.0523</w:t>
            </w:r>
          </w:p>
        </w:tc>
        <w:tc>
          <w:tcPr>
            <w:tcW w:w="530" w:type="pct"/>
            <w:gridSpan w:val="3"/>
            <w:tcBorders>
              <w:top w:val="single" w:sz="4" w:space="0" w:color="auto"/>
              <w:left w:val="single" w:sz="4" w:space="0" w:color="auto"/>
              <w:bottom w:val="single" w:sz="4" w:space="0" w:color="auto"/>
            </w:tcBorders>
            <w:shd w:val="clear" w:color="auto" w:fill="auto"/>
            <w:vAlign w:val="center"/>
          </w:tcPr>
          <w:p w14:paraId="40ED460A" w14:textId="542E73B8" w:rsidR="002E3CBB" w:rsidRPr="0048379A" w:rsidRDefault="002E3CBB" w:rsidP="002E3CBB">
            <w:pPr>
              <w:pStyle w:val="In-tableHeading"/>
              <w:jc w:val="center"/>
              <w:rPr>
                <w:rFonts w:cstheme="minorHAnsi"/>
                <w:b w:val="0"/>
                <w:bCs/>
              </w:rPr>
            </w:pPr>
            <w:r w:rsidRPr="0048379A">
              <w:rPr>
                <w:rFonts w:cstheme="minorHAnsi"/>
                <w:b w:val="0"/>
                <w:bCs/>
              </w:rPr>
              <w:t>109</w:t>
            </w:r>
          </w:p>
        </w:tc>
        <w:tc>
          <w:tcPr>
            <w:tcW w:w="5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4B20A" w14:textId="3BBBE86F" w:rsidR="002E3CBB" w:rsidRPr="0048379A" w:rsidRDefault="002E3CBB" w:rsidP="002E3CBB">
            <w:pPr>
              <w:pStyle w:val="In-tableHeading"/>
              <w:jc w:val="center"/>
              <w:rPr>
                <w:b w:val="0"/>
                <w:bCs/>
              </w:rPr>
            </w:pPr>
            <w:r w:rsidRPr="0048379A">
              <w:rPr>
                <w:b w:val="0"/>
                <w:bCs/>
              </w:rPr>
              <w:t>-0.055</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E4F239D" w14:textId="2CEF7529" w:rsidR="002E3CBB" w:rsidRPr="0048379A" w:rsidRDefault="002E3CBB" w:rsidP="002E3CBB">
            <w:pPr>
              <w:pStyle w:val="In-tableHeading"/>
              <w:jc w:val="center"/>
              <w:rPr>
                <w:b w:val="0"/>
                <w:bCs/>
              </w:rPr>
            </w:pPr>
            <w:r w:rsidRPr="0048379A">
              <w:rPr>
                <w:b w:val="0"/>
                <w:bCs/>
              </w:rPr>
              <w:t>0.0513</w:t>
            </w:r>
          </w:p>
        </w:tc>
        <w:tc>
          <w:tcPr>
            <w:tcW w:w="989" w:type="pct"/>
            <w:tcBorders>
              <w:top w:val="single" w:sz="4" w:space="0" w:color="auto"/>
              <w:bottom w:val="single" w:sz="4" w:space="0" w:color="auto"/>
              <w:right w:val="single" w:sz="4" w:space="0" w:color="auto"/>
            </w:tcBorders>
            <w:shd w:val="clear" w:color="auto" w:fill="auto"/>
            <w:vAlign w:val="center"/>
          </w:tcPr>
          <w:p w14:paraId="6D163325" w14:textId="4ACA6F7C" w:rsidR="002E3CBB" w:rsidRPr="0048379A" w:rsidRDefault="002E3CBB" w:rsidP="002E3CBB">
            <w:pPr>
              <w:pStyle w:val="In-tableHeading"/>
              <w:jc w:val="center"/>
              <w:rPr>
                <w:b w:val="0"/>
                <w:bCs/>
              </w:rPr>
            </w:pPr>
            <w:r w:rsidRPr="0048379A">
              <w:rPr>
                <w:b w:val="0"/>
                <w:bCs/>
              </w:rPr>
              <w:t>-0.150</w:t>
            </w:r>
          </w:p>
        </w:tc>
      </w:tr>
      <w:tr w:rsidR="002E3CBB" w:rsidRPr="0048379A" w14:paraId="056D708A"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11AFE" w14:textId="0D1426EB" w:rsidR="002E3CBB" w:rsidRPr="0048379A" w:rsidRDefault="002E3CBB" w:rsidP="002E3CBB">
            <w:pPr>
              <w:pStyle w:val="In-tableHeading"/>
              <w:rPr>
                <w:b w:val="0"/>
                <w:bCs/>
              </w:rPr>
            </w:pPr>
            <w:r w:rsidRPr="0048379A">
              <w:rPr>
                <w:b w:val="0"/>
                <w:bCs/>
              </w:rPr>
              <w:t>PALACE 1</w:t>
            </w:r>
          </w:p>
        </w:tc>
        <w:tc>
          <w:tcPr>
            <w:tcW w:w="592" w:type="pct"/>
            <w:tcBorders>
              <w:top w:val="single" w:sz="4" w:space="0" w:color="auto"/>
              <w:bottom w:val="single" w:sz="4" w:space="0" w:color="auto"/>
              <w:right w:val="single" w:sz="4" w:space="0" w:color="auto"/>
            </w:tcBorders>
            <w:shd w:val="clear" w:color="auto" w:fill="auto"/>
            <w:vAlign w:val="center"/>
          </w:tcPr>
          <w:p w14:paraId="5275670D" w14:textId="61CD7F6C" w:rsidR="002E3CBB" w:rsidRPr="0048379A" w:rsidRDefault="002E3CBB" w:rsidP="002E3CBB">
            <w:pPr>
              <w:pStyle w:val="In-tableHeading"/>
              <w:jc w:val="center"/>
              <w:rPr>
                <w:rFonts w:cstheme="minorHAnsi"/>
                <w:b w:val="0"/>
                <w:bCs/>
              </w:rPr>
            </w:pPr>
            <w:r w:rsidRPr="0048379A">
              <w:rPr>
                <w:rFonts w:cstheme="minorHAnsi"/>
                <w:b w:val="0"/>
                <w:bCs/>
              </w:rPr>
              <w:t>159</w:t>
            </w:r>
          </w:p>
        </w:tc>
        <w:tc>
          <w:tcPr>
            <w:tcW w:w="5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F4366" w14:textId="45A198E3" w:rsidR="002E3CBB" w:rsidRPr="0048379A" w:rsidRDefault="002E3CBB" w:rsidP="002E3CBB">
            <w:pPr>
              <w:pStyle w:val="In-tableHeading"/>
              <w:jc w:val="center"/>
              <w:rPr>
                <w:rFonts w:cstheme="minorHAnsi"/>
                <w:b w:val="0"/>
                <w:bCs/>
              </w:rPr>
            </w:pPr>
            <w:r w:rsidRPr="0048379A">
              <w:rPr>
                <w:rFonts w:cstheme="minorHAnsi"/>
                <w:b w:val="0"/>
                <w:bCs/>
              </w:rPr>
              <w:t xml:space="preserve">-0.244 </w:t>
            </w:r>
          </w:p>
        </w:tc>
        <w:tc>
          <w:tcPr>
            <w:tcW w:w="596" w:type="pct"/>
            <w:gridSpan w:val="2"/>
            <w:tcBorders>
              <w:top w:val="single" w:sz="4" w:space="0" w:color="auto"/>
              <w:left w:val="single" w:sz="4" w:space="0" w:color="auto"/>
              <w:bottom w:val="single" w:sz="4" w:space="0" w:color="auto"/>
            </w:tcBorders>
            <w:shd w:val="clear" w:color="auto" w:fill="auto"/>
            <w:vAlign w:val="center"/>
          </w:tcPr>
          <w:p w14:paraId="727FE040" w14:textId="13B94C57" w:rsidR="002E3CBB" w:rsidRPr="0048379A" w:rsidRDefault="002E3CBB" w:rsidP="002E3CBB">
            <w:pPr>
              <w:pStyle w:val="In-tableHeading"/>
              <w:jc w:val="center"/>
              <w:rPr>
                <w:rFonts w:cstheme="minorHAnsi"/>
                <w:b w:val="0"/>
                <w:bCs/>
              </w:rPr>
            </w:pPr>
            <w:r w:rsidRPr="0048379A">
              <w:rPr>
                <w:rFonts w:cstheme="minorHAnsi"/>
                <w:b w:val="0"/>
                <w:bCs/>
              </w:rPr>
              <w:t>0.0364</w:t>
            </w:r>
          </w:p>
        </w:tc>
        <w:tc>
          <w:tcPr>
            <w:tcW w:w="530" w:type="pct"/>
            <w:gridSpan w:val="3"/>
            <w:tcBorders>
              <w:top w:val="single" w:sz="4" w:space="0" w:color="auto"/>
              <w:left w:val="single" w:sz="4" w:space="0" w:color="auto"/>
              <w:bottom w:val="single" w:sz="4" w:space="0" w:color="auto"/>
            </w:tcBorders>
            <w:shd w:val="clear" w:color="auto" w:fill="auto"/>
            <w:vAlign w:val="center"/>
          </w:tcPr>
          <w:p w14:paraId="67C98C8C" w14:textId="719778DB" w:rsidR="002E3CBB" w:rsidRPr="0048379A" w:rsidRDefault="002E3CBB" w:rsidP="002E3CBB">
            <w:pPr>
              <w:pStyle w:val="In-tableHeading"/>
              <w:jc w:val="center"/>
              <w:rPr>
                <w:rFonts w:cstheme="minorHAnsi"/>
                <w:b w:val="0"/>
                <w:bCs/>
              </w:rPr>
            </w:pPr>
            <w:r w:rsidRPr="0048379A">
              <w:rPr>
                <w:rFonts w:cstheme="minorHAnsi"/>
                <w:b w:val="0"/>
                <w:bCs/>
              </w:rPr>
              <w:t>165</w:t>
            </w:r>
          </w:p>
        </w:tc>
        <w:tc>
          <w:tcPr>
            <w:tcW w:w="5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21D7A9" w14:textId="361F6D01" w:rsidR="002E3CBB" w:rsidRPr="0048379A" w:rsidRDefault="002E3CBB" w:rsidP="002E3CBB">
            <w:pPr>
              <w:pStyle w:val="In-tableHeading"/>
              <w:jc w:val="center"/>
              <w:rPr>
                <w:b w:val="0"/>
                <w:bCs/>
              </w:rPr>
            </w:pPr>
            <w:r w:rsidRPr="0048379A">
              <w:rPr>
                <w:b w:val="0"/>
                <w:bCs/>
              </w:rPr>
              <w:t>-0.086</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F5B5173" w14:textId="3DDA849A" w:rsidR="002E3CBB" w:rsidRPr="0048379A" w:rsidRDefault="002E3CBB" w:rsidP="002E3CBB">
            <w:pPr>
              <w:pStyle w:val="In-tableHeading"/>
              <w:jc w:val="center"/>
              <w:rPr>
                <w:b w:val="0"/>
                <w:bCs/>
              </w:rPr>
            </w:pPr>
            <w:r w:rsidRPr="0048379A">
              <w:rPr>
                <w:b w:val="0"/>
                <w:bCs/>
              </w:rPr>
              <w:t>0.0360</w:t>
            </w:r>
          </w:p>
        </w:tc>
        <w:tc>
          <w:tcPr>
            <w:tcW w:w="989" w:type="pct"/>
            <w:tcBorders>
              <w:top w:val="single" w:sz="4" w:space="0" w:color="auto"/>
              <w:bottom w:val="single" w:sz="4" w:space="0" w:color="auto"/>
              <w:right w:val="single" w:sz="4" w:space="0" w:color="auto"/>
            </w:tcBorders>
            <w:shd w:val="clear" w:color="auto" w:fill="auto"/>
            <w:vAlign w:val="center"/>
          </w:tcPr>
          <w:p w14:paraId="2D508790" w14:textId="2353D758" w:rsidR="002E3CBB" w:rsidRPr="0048379A" w:rsidRDefault="002E3CBB" w:rsidP="002E3CBB">
            <w:pPr>
              <w:pStyle w:val="In-tableHeading"/>
              <w:jc w:val="center"/>
              <w:rPr>
                <w:b w:val="0"/>
                <w:bCs/>
              </w:rPr>
            </w:pPr>
            <w:r w:rsidRPr="0048379A">
              <w:rPr>
                <w:b w:val="0"/>
                <w:bCs/>
              </w:rPr>
              <w:t>-0.159</w:t>
            </w:r>
          </w:p>
        </w:tc>
      </w:tr>
      <w:tr w:rsidR="002E3CBB" w:rsidRPr="0048379A" w14:paraId="24A9FF83"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7A170" w14:textId="5925B480" w:rsidR="002E3CBB" w:rsidRPr="0048379A" w:rsidRDefault="002E3CBB" w:rsidP="002E3CBB">
            <w:pPr>
              <w:pStyle w:val="In-tableHeading"/>
              <w:rPr>
                <w:b w:val="0"/>
                <w:bCs/>
              </w:rPr>
            </w:pPr>
            <w:r w:rsidRPr="0048379A">
              <w:rPr>
                <w:b w:val="0"/>
                <w:bCs/>
              </w:rPr>
              <w:t>PALACE 2</w:t>
            </w:r>
          </w:p>
        </w:tc>
        <w:tc>
          <w:tcPr>
            <w:tcW w:w="592" w:type="pct"/>
            <w:tcBorders>
              <w:top w:val="single" w:sz="4" w:space="0" w:color="auto"/>
              <w:bottom w:val="single" w:sz="4" w:space="0" w:color="auto"/>
              <w:right w:val="single" w:sz="4" w:space="0" w:color="auto"/>
            </w:tcBorders>
            <w:shd w:val="clear" w:color="auto" w:fill="auto"/>
            <w:vAlign w:val="center"/>
          </w:tcPr>
          <w:p w14:paraId="7618FA36" w14:textId="711A5644" w:rsidR="002E3CBB" w:rsidRPr="0048379A" w:rsidRDefault="002E3CBB" w:rsidP="002E3CBB">
            <w:pPr>
              <w:pStyle w:val="In-tableHeading"/>
              <w:jc w:val="center"/>
              <w:rPr>
                <w:rFonts w:cstheme="minorHAnsi"/>
                <w:b w:val="0"/>
                <w:bCs/>
              </w:rPr>
            </w:pPr>
            <w:r w:rsidRPr="0048379A">
              <w:rPr>
                <w:rFonts w:cstheme="minorHAnsi"/>
                <w:b w:val="0"/>
                <w:bCs/>
              </w:rPr>
              <w:t>154</w:t>
            </w:r>
          </w:p>
        </w:tc>
        <w:tc>
          <w:tcPr>
            <w:tcW w:w="5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3D01F" w14:textId="42C44108" w:rsidR="002E3CBB" w:rsidRPr="0048379A" w:rsidRDefault="002E3CBB" w:rsidP="002E3CBB">
            <w:pPr>
              <w:pStyle w:val="In-tableHeading"/>
              <w:jc w:val="center"/>
              <w:rPr>
                <w:rFonts w:cstheme="minorHAnsi"/>
                <w:b w:val="0"/>
                <w:bCs/>
              </w:rPr>
            </w:pPr>
            <w:r w:rsidRPr="0048379A">
              <w:rPr>
                <w:rFonts w:cstheme="minorHAnsi"/>
                <w:b w:val="0"/>
                <w:bCs/>
              </w:rPr>
              <w:t xml:space="preserve">-0.193 </w:t>
            </w:r>
          </w:p>
        </w:tc>
        <w:tc>
          <w:tcPr>
            <w:tcW w:w="596" w:type="pct"/>
            <w:gridSpan w:val="2"/>
            <w:tcBorders>
              <w:top w:val="single" w:sz="4" w:space="0" w:color="auto"/>
              <w:left w:val="single" w:sz="4" w:space="0" w:color="auto"/>
              <w:bottom w:val="single" w:sz="4" w:space="0" w:color="auto"/>
            </w:tcBorders>
            <w:shd w:val="clear" w:color="auto" w:fill="auto"/>
            <w:vAlign w:val="center"/>
          </w:tcPr>
          <w:p w14:paraId="3197F66E" w14:textId="350191E6" w:rsidR="002E3CBB" w:rsidRPr="0048379A" w:rsidRDefault="002E3CBB" w:rsidP="002E3CBB">
            <w:pPr>
              <w:pStyle w:val="In-tableHeading"/>
              <w:jc w:val="center"/>
              <w:rPr>
                <w:rFonts w:cstheme="minorHAnsi"/>
                <w:b w:val="0"/>
                <w:bCs/>
              </w:rPr>
            </w:pPr>
            <w:r w:rsidRPr="0048379A">
              <w:rPr>
                <w:rFonts w:cstheme="minorHAnsi"/>
                <w:b w:val="0"/>
                <w:bCs/>
              </w:rPr>
              <w:t>0.0354</w:t>
            </w:r>
          </w:p>
        </w:tc>
        <w:tc>
          <w:tcPr>
            <w:tcW w:w="530" w:type="pct"/>
            <w:gridSpan w:val="3"/>
            <w:tcBorders>
              <w:top w:val="single" w:sz="4" w:space="0" w:color="auto"/>
              <w:left w:val="single" w:sz="4" w:space="0" w:color="auto"/>
              <w:bottom w:val="single" w:sz="4" w:space="0" w:color="auto"/>
            </w:tcBorders>
            <w:shd w:val="clear" w:color="auto" w:fill="auto"/>
            <w:vAlign w:val="center"/>
          </w:tcPr>
          <w:p w14:paraId="3F93FB52" w14:textId="5255A65D" w:rsidR="002E3CBB" w:rsidRPr="0048379A" w:rsidRDefault="002E3CBB" w:rsidP="002E3CBB">
            <w:pPr>
              <w:pStyle w:val="In-tableHeading"/>
              <w:jc w:val="center"/>
              <w:rPr>
                <w:rFonts w:cstheme="minorHAnsi"/>
                <w:b w:val="0"/>
                <w:bCs/>
              </w:rPr>
            </w:pPr>
            <w:r w:rsidRPr="0048379A">
              <w:rPr>
                <w:rFonts w:cstheme="minorHAnsi"/>
                <w:b w:val="0"/>
                <w:bCs/>
              </w:rPr>
              <w:t>153</w:t>
            </w:r>
          </w:p>
        </w:tc>
        <w:tc>
          <w:tcPr>
            <w:tcW w:w="5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D4C43" w14:textId="6EA5947B" w:rsidR="002E3CBB" w:rsidRPr="0048379A" w:rsidRDefault="002E3CBB" w:rsidP="002E3CBB">
            <w:pPr>
              <w:pStyle w:val="In-tableHeading"/>
              <w:jc w:val="center"/>
              <w:rPr>
                <w:b w:val="0"/>
                <w:bCs/>
              </w:rPr>
            </w:pPr>
            <w:r w:rsidRPr="0048379A">
              <w:rPr>
                <w:b w:val="0"/>
                <w:bCs/>
              </w:rPr>
              <w:t>-0.053</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E036728" w14:textId="17D60447" w:rsidR="002E3CBB" w:rsidRPr="0048379A" w:rsidRDefault="002E3CBB" w:rsidP="002E3CBB">
            <w:pPr>
              <w:pStyle w:val="In-tableHeading"/>
              <w:jc w:val="center"/>
              <w:rPr>
                <w:b w:val="0"/>
                <w:bCs/>
              </w:rPr>
            </w:pPr>
            <w:r w:rsidRPr="0048379A">
              <w:rPr>
                <w:b w:val="0"/>
                <w:bCs/>
              </w:rPr>
              <w:t>0.0358</w:t>
            </w:r>
          </w:p>
        </w:tc>
        <w:tc>
          <w:tcPr>
            <w:tcW w:w="989" w:type="pct"/>
            <w:tcBorders>
              <w:top w:val="single" w:sz="4" w:space="0" w:color="auto"/>
              <w:bottom w:val="single" w:sz="4" w:space="0" w:color="auto"/>
              <w:right w:val="single" w:sz="4" w:space="0" w:color="auto"/>
            </w:tcBorders>
            <w:shd w:val="clear" w:color="auto" w:fill="auto"/>
            <w:vAlign w:val="center"/>
          </w:tcPr>
          <w:p w14:paraId="03992195" w14:textId="450410F1" w:rsidR="002E3CBB" w:rsidRPr="0048379A" w:rsidRDefault="002E3CBB" w:rsidP="002E3CBB">
            <w:pPr>
              <w:pStyle w:val="In-tableHeading"/>
              <w:jc w:val="center"/>
              <w:rPr>
                <w:b w:val="0"/>
                <w:bCs/>
              </w:rPr>
            </w:pPr>
            <w:r w:rsidRPr="0048379A">
              <w:rPr>
                <w:b w:val="0"/>
                <w:bCs/>
              </w:rPr>
              <w:t>-0.140</w:t>
            </w:r>
          </w:p>
        </w:tc>
      </w:tr>
      <w:tr w:rsidR="002E3CBB" w:rsidRPr="0048379A" w14:paraId="400A5233" w14:textId="77777777" w:rsidTr="000B64E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2D73B" w14:textId="168A7602" w:rsidR="002E3CBB" w:rsidRPr="0048379A" w:rsidRDefault="002E3CBB" w:rsidP="002E3CBB">
            <w:pPr>
              <w:pStyle w:val="In-tableHeading"/>
              <w:rPr>
                <w:b w:val="0"/>
                <w:bCs/>
              </w:rPr>
            </w:pPr>
            <w:r w:rsidRPr="0048379A">
              <w:rPr>
                <w:b w:val="0"/>
                <w:bCs/>
              </w:rPr>
              <w:t>PALACE 3</w:t>
            </w:r>
          </w:p>
        </w:tc>
        <w:tc>
          <w:tcPr>
            <w:tcW w:w="592" w:type="pct"/>
            <w:tcBorders>
              <w:top w:val="single" w:sz="4" w:space="0" w:color="auto"/>
              <w:bottom w:val="single" w:sz="4" w:space="0" w:color="auto"/>
              <w:right w:val="single" w:sz="4" w:space="0" w:color="auto"/>
            </w:tcBorders>
            <w:shd w:val="clear" w:color="auto" w:fill="auto"/>
            <w:vAlign w:val="center"/>
          </w:tcPr>
          <w:p w14:paraId="1597C0F6" w14:textId="7E97F037" w:rsidR="002E3CBB" w:rsidRPr="0048379A" w:rsidRDefault="002E3CBB" w:rsidP="002E3CBB">
            <w:pPr>
              <w:pStyle w:val="In-tableHeading"/>
              <w:jc w:val="center"/>
              <w:rPr>
                <w:rFonts w:cstheme="minorHAnsi"/>
                <w:b w:val="0"/>
                <w:bCs/>
              </w:rPr>
            </w:pPr>
            <w:r w:rsidRPr="0048379A">
              <w:rPr>
                <w:rFonts w:cstheme="minorHAnsi"/>
                <w:b w:val="0"/>
                <w:bCs/>
              </w:rPr>
              <w:t>160</w:t>
            </w:r>
          </w:p>
        </w:tc>
        <w:tc>
          <w:tcPr>
            <w:tcW w:w="5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26D03" w14:textId="09B2E9F0" w:rsidR="002E3CBB" w:rsidRPr="0048379A" w:rsidRDefault="002E3CBB" w:rsidP="002E3CBB">
            <w:pPr>
              <w:pStyle w:val="In-tableHeading"/>
              <w:jc w:val="center"/>
              <w:rPr>
                <w:rFonts w:cstheme="minorHAnsi"/>
                <w:b w:val="0"/>
                <w:bCs/>
              </w:rPr>
            </w:pPr>
            <w:r w:rsidRPr="0048379A">
              <w:rPr>
                <w:rFonts w:cstheme="minorHAnsi"/>
                <w:b w:val="0"/>
                <w:bCs/>
              </w:rPr>
              <w:t xml:space="preserve">-0.192 </w:t>
            </w:r>
          </w:p>
        </w:tc>
        <w:tc>
          <w:tcPr>
            <w:tcW w:w="596" w:type="pct"/>
            <w:gridSpan w:val="2"/>
            <w:tcBorders>
              <w:top w:val="single" w:sz="4" w:space="0" w:color="auto"/>
              <w:left w:val="single" w:sz="4" w:space="0" w:color="auto"/>
              <w:bottom w:val="single" w:sz="4" w:space="0" w:color="auto"/>
            </w:tcBorders>
            <w:shd w:val="clear" w:color="auto" w:fill="auto"/>
            <w:vAlign w:val="center"/>
          </w:tcPr>
          <w:p w14:paraId="7A9B4FD0" w14:textId="103FC23F" w:rsidR="002E3CBB" w:rsidRPr="0048379A" w:rsidRDefault="002E3CBB" w:rsidP="002E3CBB">
            <w:pPr>
              <w:pStyle w:val="In-tableHeading"/>
              <w:jc w:val="center"/>
              <w:rPr>
                <w:rFonts w:cstheme="minorHAnsi"/>
                <w:b w:val="0"/>
                <w:bCs/>
              </w:rPr>
            </w:pPr>
            <w:r w:rsidRPr="0048379A">
              <w:rPr>
                <w:rFonts w:cstheme="minorHAnsi"/>
                <w:b w:val="0"/>
                <w:bCs/>
              </w:rPr>
              <w:t>0.0339</w:t>
            </w:r>
          </w:p>
        </w:tc>
        <w:tc>
          <w:tcPr>
            <w:tcW w:w="530" w:type="pct"/>
            <w:gridSpan w:val="3"/>
            <w:tcBorders>
              <w:top w:val="single" w:sz="4" w:space="0" w:color="auto"/>
              <w:left w:val="single" w:sz="4" w:space="0" w:color="auto"/>
              <w:bottom w:val="single" w:sz="4" w:space="0" w:color="auto"/>
            </w:tcBorders>
            <w:shd w:val="clear" w:color="auto" w:fill="auto"/>
            <w:vAlign w:val="center"/>
          </w:tcPr>
          <w:p w14:paraId="18AD0F84" w14:textId="22EA032E" w:rsidR="002E3CBB" w:rsidRPr="0048379A" w:rsidRDefault="002E3CBB" w:rsidP="002E3CBB">
            <w:pPr>
              <w:pStyle w:val="In-tableHeading"/>
              <w:jc w:val="center"/>
              <w:rPr>
                <w:rFonts w:cstheme="minorHAnsi"/>
                <w:b w:val="0"/>
                <w:bCs/>
              </w:rPr>
            </w:pPr>
            <w:r w:rsidRPr="0048379A">
              <w:rPr>
                <w:rFonts w:cstheme="minorHAnsi"/>
                <w:b w:val="0"/>
                <w:bCs/>
              </w:rPr>
              <w:t>163</w:t>
            </w:r>
          </w:p>
        </w:tc>
        <w:tc>
          <w:tcPr>
            <w:tcW w:w="53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90582" w14:textId="613E19B5" w:rsidR="002E3CBB" w:rsidRPr="0048379A" w:rsidRDefault="002E3CBB" w:rsidP="002E3CBB">
            <w:pPr>
              <w:pStyle w:val="In-tableHeading"/>
              <w:jc w:val="center"/>
              <w:rPr>
                <w:b w:val="0"/>
                <w:bCs/>
              </w:rPr>
            </w:pPr>
            <w:r w:rsidRPr="0048379A">
              <w:rPr>
                <w:b w:val="0"/>
                <w:bCs/>
              </w:rPr>
              <w:t>-0.065</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0951BCD" w14:textId="4FA9C75C" w:rsidR="002E3CBB" w:rsidRPr="0048379A" w:rsidRDefault="002E3CBB" w:rsidP="002E3CBB">
            <w:pPr>
              <w:pStyle w:val="In-tableHeading"/>
              <w:jc w:val="center"/>
              <w:rPr>
                <w:b w:val="0"/>
                <w:bCs/>
              </w:rPr>
            </w:pPr>
            <w:r w:rsidRPr="0048379A">
              <w:rPr>
                <w:b w:val="0"/>
                <w:bCs/>
              </w:rPr>
              <w:t>0.0335</w:t>
            </w:r>
          </w:p>
        </w:tc>
        <w:tc>
          <w:tcPr>
            <w:tcW w:w="989" w:type="pct"/>
            <w:tcBorders>
              <w:top w:val="single" w:sz="4" w:space="0" w:color="auto"/>
              <w:bottom w:val="single" w:sz="4" w:space="0" w:color="auto"/>
              <w:right w:val="single" w:sz="4" w:space="0" w:color="auto"/>
            </w:tcBorders>
            <w:shd w:val="clear" w:color="auto" w:fill="auto"/>
            <w:vAlign w:val="center"/>
          </w:tcPr>
          <w:p w14:paraId="13585D91" w14:textId="26542154" w:rsidR="002E3CBB" w:rsidRPr="0048379A" w:rsidRDefault="002E3CBB" w:rsidP="002E3CBB">
            <w:pPr>
              <w:pStyle w:val="In-tableHeading"/>
              <w:jc w:val="center"/>
              <w:rPr>
                <w:b w:val="0"/>
                <w:bCs/>
              </w:rPr>
            </w:pPr>
            <w:r w:rsidRPr="0048379A">
              <w:rPr>
                <w:b w:val="0"/>
                <w:bCs/>
              </w:rPr>
              <w:t>-0.127</w:t>
            </w:r>
          </w:p>
        </w:tc>
      </w:tr>
      <w:tr w:rsidR="002E3CBB" w:rsidRPr="0048379A" w14:paraId="18664C24" w14:textId="77777777" w:rsidTr="000B64E1">
        <w:tc>
          <w:tcPr>
            <w:tcW w:w="636" w:type="pct"/>
            <w:gridSpan w:val="2"/>
            <w:tcBorders>
              <w:top w:val="single" w:sz="4" w:space="0" w:color="auto"/>
              <w:left w:val="single" w:sz="4" w:space="0" w:color="auto"/>
              <w:bottom w:val="thickThinSmallGap" w:sz="12" w:space="0" w:color="auto"/>
              <w:right w:val="single" w:sz="4" w:space="0" w:color="auto"/>
            </w:tcBorders>
            <w:shd w:val="clear" w:color="auto" w:fill="auto"/>
            <w:vAlign w:val="center"/>
          </w:tcPr>
          <w:p w14:paraId="43AD5DC9" w14:textId="58DDE698" w:rsidR="002E3CBB" w:rsidRPr="0048379A" w:rsidRDefault="002E3CBB" w:rsidP="002E3CBB">
            <w:pPr>
              <w:pStyle w:val="In-tableHeading"/>
              <w:rPr>
                <w:b w:val="0"/>
                <w:bCs/>
              </w:rPr>
            </w:pPr>
            <w:r w:rsidRPr="0048379A">
              <w:rPr>
                <w:b w:val="0"/>
                <w:bCs/>
              </w:rPr>
              <w:t>PALACE 4</w:t>
            </w:r>
          </w:p>
        </w:tc>
        <w:tc>
          <w:tcPr>
            <w:tcW w:w="592" w:type="pct"/>
            <w:tcBorders>
              <w:top w:val="single" w:sz="4" w:space="0" w:color="auto"/>
              <w:bottom w:val="thickThinSmallGap" w:sz="12" w:space="0" w:color="auto"/>
              <w:right w:val="single" w:sz="4" w:space="0" w:color="auto"/>
            </w:tcBorders>
            <w:shd w:val="clear" w:color="auto" w:fill="auto"/>
            <w:vAlign w:val="center"/>
          </w:tcPr>
          <w:p w14:paraId="6CF3B591" w14:textId="3A48FCC7" w:rsidR="002E3CBB" w:rsidRPr="0048379A" w:rsidRDefault="002E3CBB" w:rsidP="002E3CBB">
            <w:pPr>
              <w:pStyle w:val="In-tableHeading"/>
              <w:jc w:val="center"/>
              <w:rPr>
                <w:rFonts w:cstheme="minorHAnsi"/>
                <w:b w:val="0"/>
                <w:bCs/>
              </w:rPr>
            </w:pPr>
            <w:r w:rsidRPr="0048379A">
              <w:rPr>
                <w:rFonts w:cstheme="minorHAnsi"/>
                <w:b w:val="0"/>
                <w:bCs/>
              </w:rPr>
              <w:t>167</w:t>
            </w:r>
          </w:p>
        </w:tc>
        <w:tc>
          <w:tcPr>
            <w:tcW w:w="594" w:type="pct"/>
            <w:gridSpan w:val="2"/>
            <w:tcBorders>
              <w:top w:val="single" w:sz="4" w:space="0" w:color="auto"/>
              <w:left w:val="single" w:sz="4" w:space="0" w:color="auto"/>
              <w:bottom w:val="thickThinSmallGap" w:sz="12" w:space="0" w:color="auto"/>
              <w:right w:val="single" w:sz="4" w:space="0" w:color="auto"/>
            </w:tcBorders>
            <w:shd w:val="clear" w:color="auto" w:fill="auto"/>
            <w:vAlign w:val="center"/>
          </w:tcPr>
          <w:p w14:paraId="5C897BCD" w14:textId="21766FDB" w:rsidR="002E3CBB" w:rsidRPr="0048379A" w:rsidRDefault="002E3CBB" w:rsidP="002E3CBB">
            <w:pPr>
              <w:pStyle w:val="In-tableHeading"/>
              <w:jc w:val="center"/>
              <w:rPr>
                <w:rFonts w:cstheme="minorHAnsi"/>
                <w:b w:val="0"/>
                <w:bCs/>
              </w:rPr>
            </w:pPr>
            <w:r w:rsidRPr="0048379A">
              <w:rPr>
                <w:rFonts w:cstheme="minorHAnsi"/>
                <w:b w:val="0"/>
                <w:bCs/>
              </w:rPr>
              <w:t xml:space="preserve">-0.205 </w:t>
            </w:r>
          </w:p>
        </w:tc>
        <w:tc>
          <w:tcPr>
            <w:tcW w:w="596" w:type="pct"/>
            <w:gridSpan w:val="2"/>
            <w:tcBorders>
              <w:top w:val="single" w:sz="4" w:space="0" w:color="auto"/>
              <w:left w:val="single" w:sz="4" w:space="0" w:color="auto"/>
              <w:bottom w:val="thickThinSmallGap" w:sz="12" w:space="0" w:color="auto"/>
            </w:tcBorders>
            <w:shd w:val="clear" w:color="auto" w:fill="auto"/>
            <w:vAlign w:val="center"/>
          </w:tcPr>
          <w:p w14:paraId="47AB8213" w14:textId="7B7EE2CB" w:rsidR="002E3CBB" w:rsidRPr="0048379A" w:rsidRDefault="002E3CBB" w:rsidP="002E3CBB">
            <w:pPr>
              <w:pStyle w:val="In-tableHeading"/>
              <w:jc w:val="center"/>
              <w:rPr>
                <w:rFonts w:cstheme="minorHAnsi"/>
                <w:b w:val="0"/>
                <w:bCs/>
              </w:rPr>
            </w:pPr>
            <w:r w:rsidRPr="0048379A">
              <w:rPr>
                <w:rFonts w:cstheme="minorHAnsi"/>
                <w:b w:val="0"/>
                <w:bCs/>
              </w:rPr>
              <w:t>0.0350</w:t>
            </w:r>
          </w:p>
        </w:tc>
        <w:tc>
          <w:tcPr>
            <w:tcW w:w="530" w:type="pct"/>
            <w:gridSpan w:val="3"/>
            <w:tcBorders>
              <w:top w:val="single" w:sz="4" w:space="0" w:color="auto"/>
              <w:left w:val="single" w:sz="4" w:space="0" w:color="auto"/>
              <w:bottom w:val="thickThinSmallGap" w:sz="12" w:space="0" w:color="auto"/>
            </w:tcBorders>
            <w:shd w:val="clear" w:color="auto" w:fill="auto"/>
            <w:vAlign w:val="center"/>
          </w:tcPr>
          <w:p w14:paraId="215F58B1" w14:textId="4AC7CCE4" w:rsidR="002E3CBB" w:rsidRPr="0048379A" w:rsidRDefault="002E3CBB" w:rsidP="002E3CBB">
            <w:pPr>
              <w:pStyle w:val="In-tableHeading"/>
              <w:jc w:val="center"/>
              <w:rPr>
                <w:rFonts w:cstheme="minorHAnsi"/>
                <w:b w:val="0"/>
                <w:bCs/>
              </w:rPr>
            </w:pPr>
            <w:r w:rsidRPr="0048379A">
              <w:rPr>
                <w:rFonts w:cstheme="minorHAnsi"/>
                <w:b w:val="0"/>
                <w:bCs/>
              </w:rPr>
              <w:t>167</w:t>
            </w:r>
          </w:p>
        </w:tc>
        <w:tc>
          <w:tcPr>
            <w:tcW w:w="531" w:type="pct"/>
            <w:gridSpan w:val="3"/>
            <w:tcBorders>
              <w:top w:val="single" w:sz="4" w:space="0" w:color="auto"/>
              <w:left w:val="single" w:sz="4" w:space="0" w:color="auto"/>
              <w:bottom w:val="thickThinSmallGap" w:sz="12" w:space="0" w:color="auto"/>
              <w:right w:val="single" w:sz="4" w:space="0" w:color="auto"/>
            </w:tcBorders>
            <w:shd w:val="clear" w:color="auto" w:fill="auto"/>
            <w:vAlign w:val="center"/>
          </w:tcPr>
          <w:p w14:paraId="61DA4362" w14:textId="266D2BAB" w:rsidR="002E3CBB" w:rsidRPr="0048379A" w:rsidRDefault="002E3CBB" w:rsidP="002E3CBB">
            <w:pPr>
              <w:pStyle w:val="In-tableHeading"/>
              <w:jc w:val="center"/>
              <w:rPr>
                <w:b w:val="0"/>
                <w:bCs/>
              </w:rPr>
            </w:pPr>
            <w:r w:rsidRPr="0048379A">
              <w:rPr>
                <w:b w:val="0"/>
                <w:bCs/>
              </w:rPr>
              <w:t>0.012</w:t>
            </w:r>
          </w:p>
        </w:tc>
        <w:tc>
          <w:tcPr>
            <w:tcW w:w="532" w:type="pct"/>
            <w:tcBorders>
              <w:top w:val="single" w:sz="4" w:space="0" w:color="auto"/>
              <w:left w:val="single" w:sz="4" w:space="0" w:color="auto"/>
              <w:bottom w:val="thickThinSmallGap" w:sz="12" w:space="0" w:color="auto"/>
              <w:right w:val="single" w:sz="4" w:space="0" w:color="auto"/>
            </w:tcBorders>
            <w:shd w:val="clear" w:color="auto" w:fill="auto"/>
            <w:vAlign w:val="center"/>
          </w:tcPr>
          <w:p w14:paraId="0D57F294" w14:textId="2098FE2D" w:rsidR="002E3CBB" w:rsidRPr="0048379A" w:rsidRDefault="002E3CBB" w:rsidP="002E3CBB">
            <w:pPr>
              <w:pStyle w:val="In-tableHeading"/>
              <w:jc w:val="center"/>
              <w:rPr>
                <w:b w:val="0"/>
                <w:bCs/>
              </w:rPr>
            </w:pPr>
            <w:r w:rsidRPr="0048379A">
              <w:rPr>
                <w:b w:val="0"/>
                <w:bCs/>
              </w:rPr>
              <w:t>0.0350</w:t>
            </w:r>
          </w:p>
        </w:tc>
        <w:tc>
          <w:tcPr>
            <w:tcW w:w="989" w:type="pct"/>
            <w:tcBorders>
              <w:top w:val="single" w:sz="4" w:space="0" w:color="auto"/>
              <w:bottom w:val="thickThinSmallGap" w:sz="12" w:space="0" w:color="auto"/>
              <w:right w:val="single" w:sz="4" w:space="0" w:color="auto"/>
            </w:tcBorders>
            <w:shd w:val="clear" w:color="auto" w:fill="auto"/>
            <w:vAlign w:val="center"/>
          </w:tcPr>
          <w:p w14:paraId="0201C16E" w14:textId="097F28D6" w:rsidR="002E3CBB" w:rsidRPr="0048379A" w:rsidRDefault="002E3CBB" w:rsidP="002E3CBB">
            <w:pPr>
              <w:pStyle w:val="In-tableHeading"/>
              <w:jc w:val="center"/>
              <w:rPr>
                <w:b w:val="0"/>
                <w:bCs/>
              </w:rPr>
            </w:pPr>
            <w:r w:rsidRPr="0048379A">
              <w:rPr>
                <w:b w:val="0"/>
                <w:bCs/>
              </w:rPr>
              <w:t>-0.217</w:t>
            </w:r>
          </w:p>
        </w:tc>
      </w:tr>
      <w:tr w:rsidR="002E3CBB" w:rsidRPr="0048379A" w14:paraId="54A6006E" w14:textId="77777777" w:rsidTr="003D2EEC">
        <w:tc>
          <w:tcPr>
            <w:tcW w:w="5000" w:type="pct"/>
            <w:gridSpan w:val="15"/>
            <w:tcBorders>
              <w:top w:val="thickThinSmallGap" w:sz="12" w:space="0" w:color="auto"/>
              <w:left w:val="single" w:sz="4" w:space="0" w:color="auto"/>
              <w:bottom w:val="single" w:sz="4" w:space="0" w:color="auto"/>
              <w:right w:val="single" w:sz="4" w:space="0" w:color="auto"/>
            </w:tcBorders>
            <w:shd w:val="clear" w:color="auto" w:fill="auto"/>
            <w:vAlign w:val="center"/>
          </w:tcPr>
          <w:p w14:paraId="77500A3F" w14:textId="58691454" w:rsidR="002E3CBB" w:rsidRPr="0048379A" w:rsidRDefault="002E3CBB" w:rsidP="002E3CBB">
            <w:pPr>
              <w:pStyle w:val="In-tableHeading"/>
            </w:pPr>
            <w:r w:rsidRPr="0048379A">
              <w:t>Harms</w:t>
            </w:r>
          </w:p>
        </w:tc>
      </w:tr>
      <w:tr w:rsidR="002E3CBB" w:rsidRPr="0048379A" w14:paraId="3C4F1382" w14:textId="77777777" w:rsidTr="00146FF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5E31EC9C" w14:textId="70A6A537" w:rsidR="002E3CBB" w:rsidRPr="0048379A" w:rsidRDefault="002E3CBB" w:rsidP="002E3CBB">
            <w:pPr>
              <w:pStyle w:val="In-tableHeading"/>
              <w:jc w:val="both"/>
            </w:pPr>
            <w:r w:rsidRPr="0048379A">
              <w:t>Diarrhoea to week 24</w:t>
            </w:r>
          </w:p>
        </w:tc>
      </w:tr>
      <w:tr w:rsidR="002E3CBB" w:rsidRPr="0048379A" w14:paraId="1680F833"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C3F36" w14:textId="77777777" w:rsidR="002E3CBB" w:rsidRPr="0048379A" w:rsidRDefault="002E3CBB" w:rsidP="002E3CBB">
            <w:pPr>
              <w:pStyle w:val="TableText0"/>
            </w:pPr>
            <w:r w:rsidRPr="0048379A">
              <w:t>ACTIVE</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2B01E46B" w14:textId="77777777" w:rsidR="002E3CBB" w:rsidRPr="0048379A" w:rsidRDefault="002E3CBB" w:rsidP="002E3CBB">
            <w:pPr>
              <w:pStyle w:val="TableText0"/>
              <w:jc w:val="center"/>
            </w:pPr>
            <w:r w:rsidRPr="0048379A">
              <w:t>16/109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2A4A2A2" w14:textId="77777777" w:rsidR="002E3CBB" w:rsidRPr="0048379A" w:rsidRDefault="002E3CBB" w:rsidP="002E3CBB">
            <w:pPr>
              <w:pStyle w:val="TableText0"/>
              <w:jc w:val="center"/>
            </w:pPr>
            <w:r w:rsidRPr="0048379A">
              <w:t>12/109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00FFD874" w14:textId="77777777" w:rsidR="002E3CBB" w:rsidRPr="00AA64DF" w:rsidRDefault="002E3CBB" w:rsidP="002E3CBB">
            <w:pPr>
              <w:pStyle w:val="TableText0"/>
              <w:jc w:val="center"/>
            </w:pPr>
            <w:r w:rsidRPr="00AA64DF">
              <w:t>1.33 (0.66, 2.68)</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721F8513" w14:textId="77777777" w:rsidR="002E3CBB" w:rsidRPr="00AA64DF" w:rsidRDefault="002E3CBB" w:rsidP="002E3CBB">
            <w:pPr>
              <w:pStyle w:val="TableText0"/>
              <w:jc w:val="center"/>
            </w:pPr>
            <w:r w:rsidRPr="00AA64DF">
              <w:t>15</w:t>
            </w:r>
          </w:p>
        </w:tc>
        <w:tc>
          <w:tcPr>
            <w:tcW w:w="532" w:type="pct"/>
            <w:tcBorders>
              <w:top w:val="single" w:sz="4" w:space="0" w:color="auto"/>
              <w:left w:val="single" w:sz="4" w:space="0" w:color="auto"/>
              <w:bottom w:val="single" w:sz="4" w:space="0" w:color="auto"/>
              <w:right w:val="nil"/>
            </w:tcBorders>
            <w:shd w:val="clear" w:color="auto" w:fill="auto"/>
            <w:vAlign w:val="bottom"/>
          </w:tcPr>
          <w:p w14:paraId="3E411DD0" w14:textId="77777777" w:rsidR="002E3CBB" w:rsidRPr="00AA64DF" w:rsidRDefault="002E3CBB" w:rsidP="002E3CBB">
            <w:pPr>
              <w:pStyle w:val="TableText0"/>
              <w:jc w:val="center"/>
            </w:pPr>
            <w:r w:rsidRPr="00AA64DF">
              <w:t>11</w:t>
            </w:r>
          </w:p>
        </w:tc>
        <w:tc>
          <w:tcPr>
            <w:tcW w:w="989" w:type="pct"/>
            <w:tcBorders>
              <w:top w:val="single" w:sz="4" w:space="0" w:color="auto"/>
              <w:left w:val="single" w:sz="4" w:space="0" w:color="auto"/>
              <w:bottom w:val="single" w:sz="4" w:space="0" w:color="auto"/>
              <w:right w:val="single" w:sz="4" w:space="0" w:color="auto"/>
            </w:tcBorders>
            <w:vAlign w:val="center"/>
          </w:tcPr>
          <w:p w14:paraId="63217B38" w14:textId="77777777" w:rsidR="002E3CBB" w:rsidRPr="00AA64DF" w:rsidRDefault="002E3CBB" w:rsidP="002E3CBB">
            <w:pPr>
              <w:pStyle w:val="TableText0"/>
              <w:jc w:val="center"/>
            </w:pPr>
            <w:r w:rsidRPr="00AA64DF">
              <w:t>0.04 (-0.05, 0.13)</w:t>
            </w:r>
          </w:p>
        </w:tc>
      </w:tr>
      <w:tr w:rsidR="002E3CBB" w:rsidRPr="0048379A" w14:paraId="00EE8B58"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E82BC" w14:textId="77777777" w:rsidR="002E3CBB" w:rsidRPr="0048379A" w:rsidRDefault="002E3CBB" w:rsidP="002E3CBB">
            <w:pPr>
              <w:pStyle w:val="TableText0"/>
            </w:pPr>
            <w:r w:rsidRPr="0048379A">
              <w:t>PALACE 1</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63AA47B4" w14:textId="77777777" w:rsidR="002E3CBB" w:rsidRPr="0048379A" w:rsidRDefault="002E3CBB" w:rsidP="002E3CBB">
            <w:pPr>
              <w:pStyle w:val="TableText0"/>
              <w:jc w:val="center"/>
            </w:pPr>
            <w:r w:rsidRPr="0048379A">
              <w:t>32/168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168DA354" w14:textId="77777777" w:rsidR="002E3CBB" w:rsidRPr="0048379A" w:rsidRDefault="002E3CBB" w:rsidP="002E3CBB">
            <w:pPr>
              <w:pStyle w:val="TableText0"/>
              <w:jc w:val="center"/>
            </w:pPr>
            <w:r w:rsidRPr="0048379A">
              <w:t>4/168</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52BF864F" w14:textId="77777777" w:rsidR="002E3CBB" w:rsidRPr="00AA64DF" w:rsidRDefault="002E3CBB" w:rsidP="002E3CBB">
            <w:pPr>
              <w:pStyle w:val="TableText0"/>
              <w:jc w:val="center"/>
            </w:pPr>
            <w:r w:rsidRPr="00AA64DF">
              <w:t>8.00 (2.89, 22.12)</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189078C4" w14:textId="77777777" w:rsidR="002E3CBB" w:rsidRPr="00AA64DF" w:rsidRDefault="002E3CBB" w:rsidP="002E3CBB">
            <w:pPr>
              <w:pStyle w:val="TableText0"/>
              <w:jc w:val="center"/>
            </w:pPr>
            <w:r w:rsidRPr="00AA64DF">
              <w:t>19</w:t>
            </w:r>
          </w:p>
        </w:tc>
        <w:tc>
          <w:tcPr>
            <w:tcW w:w="532" w:type="pct"/>
            <w:tcBorders>
              <w:top w:val="single" w:sz="4" w:space="0" w:color="auto"/>
              <w:left w:val="single" w:sz="4" w:space="0" w:color="auto"/>
              <w:bottom w:val="single" w:sz="4" w:space="0" w:color="auto"/>
              <w:right w:val="nil"/>
            </w:tcBorders>
            <w:shd w:val="clear" w:color="auto" w:fill="auto"/>
            <w:vAlign w:val="bottom"/>
          </w:tcPr>
          <w:p w14:paraId="7975B88A" w14:textId="77777777" w:rsidR="002E3CBB" w:rsidRPr="00AA64DF" w:rsidRDefault="002E3CBB" w:rsidP="002E3CBB">
            <w:pPr>
              <w:pStyle w:val="TableText0"/>
              <w:jc w:val="center"/>
            </w:pPr>
            <w:r w:rsidRPr="00AA64DF">
              <w:t>2</w:t>
            </w:r>
          </w:p>
        </w:tc>
        <w:tc>
          <w:tcPr>
            <w:tcW w:w="989" w:type="pct"/>
            <w:tcBorders>
              <w:top w:val="single" w:sz="4" w:space="0" w:color="auto"/>
              <w:left w:val="single" w:sz="4" w:space="0" w:color="auto"/>
              <w:bottom w:val="single" w:sz="4" w:space="0" w:color="auto"/>
              <w:right w:val="single" w:sz="4" w:space="0" w:color="auto"/>
            </w:tcBorders>
            <w:vAlign w:val="center"/>
          </w:tcPr>
          <w:p w14:paraId="34356EF5" w14:textId="77777777" w:rsidR="002E3CBB" w:rsidRPr="00AA64DF" w:rsidRDefault="002E3CBB" w:rsidP="002E3CBB">
            <w:pPr>
              <w:pStyle w:val="TableText0"/>
              <w:jc w:val="center"/>
            </w:pPr>
            <w:r w:rsidRPr="00AA64DF">
              <w:t>0.17 (0.10, 0.23)</w:t>
            </w:r>
          </w:p>
        </w:tc>
      </w:tr>
      <w:tr w:rsidR="002E3CBB" w:rsidRPr="0048379A" w14:paraId="381614B7"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45661" w14:textId="77777777" w:rsidR="002E3CBB" w:rsidRPr="0048379A" w:rsidRDefault="002E3CBB" w:rsidP="002E3CBB">
            <w:pPr>
              <w:pStyle w:val="TableText0"/>
            </w:pPr>
            <w:r w:rsidRPr="0048379A">
              <w:t>PALACE 2</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5652B5E8" w14:textId="77777777" w:rsidR="002E3CBB" w:rsidRPr="0048379A" w:rsidRDefault="002E3CBB" w:rsidP="002E3CBB">
            <w:pPr>
              <w:pStyle w:val="TableText0"/>
              <w:jc w:val="center"/>
            </w:pPr>
            <w:r w:rsidRPr="0048379A">
              <w:t>24/162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E197573" w14:textId="77777777" w:rsidR="002E3CBB" w:rsidRPr="0048379A" w:rsidRDefault="002E3CBB" w:rsidP="002E3CBB">
            <w:pPr>
              <w:pStyle w:val="TableText0"/>
              <w:jc w:val="center"/>
            </w:pPr>
            <w:r w:rsidRPr="0048379A">
              <w:t>8/159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71BB9364" w14:textId="77777777" w:rsidR="002E3CBB" w:rsidRPr="00AA64DF" w:rsidRDefault="002E3CBB" w:rsidP="002E3CBB">
            <w:pPr>
              <w:pStyle w:val="TableText0"/>
              <w:jc w:val="center"/>
            </w:pPr>
            <w:r w:rsidRPr="00AA64DF">
              <w:t>2.94 (1.36, 6.36)</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441262A2" w14:textId="77777777" w:rsidR="002E3CBB" w:rsidRPr="00AA64DF" w:rsidRDefault="002E3CBB" w:rsidP="002E3CBB">
            <w:pPr>
              <w:pStyle w:val="TableText0"/>
              <w:jc w:val="center"/>
            </w:pPr>
            <w:r w:rsidRPr="00AA64DF">
              <w:t>15</w:t>
            </w:r>
          </w:p>
        </w:tc>
        <w:tc>
          <w:tcPr>
            <w:tcW w:w="532" w:type="pct"/>
            <w:tcBorders>
              <w:top w:val="single" w:sz="4" w:space="0" w:color="auto"/>
              <w:left w:val="single" w:sz="4" w:space="0" w:color="auto"/>
              <w:bottom w:val="single" w:sz="4" w:space="0" w:color="auto"/>
              <w:right w:val="nil"/>
            </w:tcBorders>
            <w:shd w:val="clear" w:color="auto" w:fill="auto"/>
            <w:vAlign w:val="bottom"/>
          </w:tcPr>
          <w:p w14:paraId="105EABB5" w14:textId="77777777" w:rsidR="002E3CBB" w:rsidRPr="00AA64DF" w:rsidRDefault="002E3CBB" w:rsidP="002E3CBB">
            <w:pPr>
              <w:pStyle w:val="TableText0"/>
              <w:jc w:val="center"/>
            </w:pPr>
            <w:r w:rsidRPr="00AA64DF">
              <w:t>5</w:t>
            </w:r>
          </w:p>
        </w:tc>
        <w:tc>
          <w:tcPr>
            <w:tcW w:w="989" w:type="pct"/>
            <w:tcBorders>
              <w:top w:val="single" w:sz="4" w:space="0" w:color="auto"/>
              <w:left w:val="single" w:sz="4" w:space="0" w:color="auto"/>
              <w:bottom w:val="single" w:sz="4" w:space="0" w:color="auto"/>
              <w:right w:val="single" w:sz="4" w:space="0" w:color="auto"/>
            </w:tcBorders>
            <w:vAlign w:val="center"/>
          </w:tcPr>
          <w:p w14:paraId="1AEE03D7" w14:textId="77777777" w:rsidR="002E3CBB" w:rsidRPr="00AA64DF" w:rsidRDefault="002E3CBB" w:rsidP="002E3CBB">
            <w:pPr>
              <w:pStyle w:val="TableText0"/>
              <w:jc w:val="center"/>
            </w:pPr>
            <w:r w:rsidRPr="00AA64DF">
              <w:t>0.10 (0.03, 0.16)</w:t>
            </w:r>
          </w:p>
        </w:tc>
      </w:tr>
      <w:tr w:rsidR="002E3CBB" w:rsidRPr="0048379A" w14:paraId="3EB13727"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58081" w14:textId="77777777" w:rsidR="002E3CBB" w:rsidRPr="0048379A" w:rsidRDefault="002E3CBB" w:rsidP="002E3CBB">
            <w:pPr>
              <w:pStyle w:val="TableText0"/>
            </w:pPr>
            <w:r w:rsidRPr="0048379A">
              <w:t>PALACE 3</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33BFAE67" w14:textId="77777777" w:rsidR="002E3CBB" w:rsidRPr="0048379A" w:rsidRDefault="002E3CBB" w:rsidP="002E3CBB">
            <w:pPr>
              <w:pStyle w:val="TableText0"/>
              <w:jc w:val="center"/>
            </w:pPr>
            <w:r w:rsidRPr="0048379A">
              <w:t>26/167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B928194" w14:textId="77777777" w:rsidR="002E3CBB" w:rsidRPr="0048379A" w:rsidRDefault="002E3CBB" w:rsidP="002E3CBB">
            <w:pPr>
              <w:pStyle w:val="TableText0"/>
              <w:jc w:val="center"/>
            </w:pPr>
            <w:r w:rsidRPr="0048379A">
              <w:t>3/168</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1E81F4A4" w14:textId="77777777" w:rsidR="002E3CBB" w:rsidRPr="00AA64DF" w:rsidRDefault="002E3CBB" w:rsidP="002E3CBB">
            <w:pPr>
              <w:pStyle w:val="TableText0"/>
              <w:jc w:val="center"/>
            </w:pPr>
            <w:r w:rsidRPr="00AA64DF">
              <w:t>8.72 (2.69, 28.25)</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7A93044D" w14:textId="77777777" w:rsidR="002E3CBB" w:rsidRPr="00AA64DF" w:rsidRDefault="002E3CBB" w:rsidP="002E3CBB">
            <w:pPr>
              <w:pStyle w:val="TableText0"/>
              <w:jc w:val="center"/>
            </w:pPr>
            <w:r w:rsidRPr="00AA64DF">
              <w:t>16</w:t>
            </w:r>
          </w:p>
        </w:tc>
        <w:tc>
          <w:tcPr>
            <w:tcW w:w="532" w:type="pct"/>
            <w:tcBorders>
              <w:top w:val="single" w:sz="4" w:space="0" w:color="auto"/>
              <w:left w:val="single" w:sz="4" w:space="0" w:color="auto"/>
              <w:bottom w:val="single" w:sz="4" w:space="0" w:color="auto"/>
              <w:right w:val="nil"/>
            </w:tcBorders>
            <w:shd w:val="clear" w:color="auto" w:fill="auto"/>
            <w:vAlign w:val="bottom"/>
          </w:tcPr>
          <w:p w14:paraId="7518FE2C" w14:textId="77777777" w:rsidR="002E3CBB" w:rsidRPr="00AA64DF" w:rsidRDefault="002E3CBB" w:rsidP="002E3CBB">
            <w:pPr>
              <w:pStyle w:val="TableText0"/>
              <w:jc w:val="center"/>
            </w:pPr>
            <w:r w:rsidRPr="00AA64DF">
              <w:t>2</w:t>
            </w:r>
          </w:p>
        </w:tc>
        <w:tc>
          <w:tcPr>
            <w:tcW w:w="989" w:type="pct"/>
            <w:tcBorders>
              <w:top w:val="single" w:sz="4" w:space="0" w:color="auto"/>
              <w:left w:val="single" w:sz="4" w:space="0" w:color="auto"/>
              <w:bottom w:val="single" w:sz="4" w:space="0" w:color="auto"/>
              <w:right w:val="single" w:sz="4" w:space="0" w:color="auto"/>
            </w:tcBorders>
            <w:vAlign w:val="center"/>
          </w:tcPr>
          <w:p w14:paraId="5ADBD618" w14:textId="77777777" w:rsidR="002E3CBB" w:rsidRPr="00AA64DF" w:rsidRDefault="002E3CBB" w:rsidP="002E3CBB">
            <w:pPr>
              <w:pStyle w:val="TableText0"/>
              <w:jc w:val="center"/>
            </w:pPr>
            <w:r w:rsidRPr="00AA64DF">
              <w:t>0.14 (0.08, 0.20)</w:t>
            </w:r>
          </w:p>
        </w:tc>
      </w:tr>
      <w:tr w:rsidR="002E3CBB" w:rsidRPr="0048379A" w14:paraId="6F18F490"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DA43E" w14:textId="77777777" w:rsidR="002E3CBB" w:rsidRPr="0048379A" w:rsidRDefault="002E3CBB" w:rsidP="002E3CBB">
            <w:pPr>
              <w:pStyle w:val="TableText0"/>
            </w:pPr>
            <w:r w:rsidRPr="0048379A">
              <w:t>PALACE 4</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4DB2A687" w14:textId="77777777" w:rsidR="002E3CBB" w:rsidRPr="0048379A" w:rsidRDefault="002E3CBB" w:rsidP="002E3CBB">
            <w:pPr>
              <w:pStyle w:val="TableText0"/>
              <w:jc w:val="center"/>
            </w:pPr>
            <w:r w:rsidRPr="0048379A">
              <w:t>21/175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59AB783C" w14:textId="77777777" w:rsidR="002E3CBB" w:rsidRPr="0048379A" w:rsidRDefault="002E3CBB" w:rsidP="002E3CBB">
            <w:pPr>
              <w:pStyle w:val="TableText0"/>
              <w:jc w:val="center"/>
            </w:pPr>
            <w:r w:rsidRPr="0048379A">
              <w:t>3/176</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223084EB" w14:textId="77777777" w:rsidR="002E3CBB" w:rsidRPr="00AA64DF" w:rsidRDefault="002E3CBB" w:rsidP="002E3CBB">
            <w:pPr>
              <w:pStyle w:val="TableText0"/>
              <w:jc w:val="center"/>
            </w:pPr>
            <w:r w:rsidRPr="00AA64DF">
              <w:t>7.04 (2.14, 23.18)</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3A67ED29" w14:textId="77777777" w:rsidR="002E3CBB" w:rsidRPr="00AA64DF" w:rsidRDefault="002E3CBB" w:rsidP="002E3CBB">
            <w:pPr>
              <w:pStyle w:val="TableText0"/>
              <w:jc w:val="center"/>
            </w:pPr>
            <w:r w:rsidRPr="00AA64DF">
              <w:t>12</w:t>
            </w:r>
          </w:p>
        </w:tc>
        <w:tc>
          <w:tcPr>
            <w:tcW w:w="532" w:type="pct"/>
            <w:tcBorders>
              <w:top w:val="single" w:sz="4" w:space="0" w:color="auto"/>
              <w:left w:val="single" w:sz="4" w:space="0" w:color="auto"/>
              <w:bottom w:val="single" w:sz="4" w:space="0" w:color="auto"/>
              <w:right w:val="nil"/>
            </w:tcBorders>
            <w:shd w:val="clear" w:color="auto" w:fill="auto"/>
            <w:vAlign w:val="bottom"/>
          </w:tcPr>
          <w:p w14:paraId="400203CE" w14:textId="77777777" w:rsidR="002E3CBB" w:rsidRPr="00AA64DF" w:rsidRDefault="002E3CBB" w:rsidP="002E3CBB">
            <w:pPr>
              <w:pStyle w:val="TableText0"/>
              <w:jc w:val="center"/>
            </w:pPr>
            <w:r w:rsidRPr="00AA64DF">
              <w:t>2</w:t>
            </w:r>
          </w:p>
        </w:tc>
        <w:tc>
          <w:tcPr>
            <w:tcW w:w="989" w:type="pct"/>
            <w:tcBorders>
              <w:top w:val="single" w:sz="4" w:space="0" w:color="auto"/>
              <w:left w:val="single" w:sz="4" w:space="0" w:color="auto"/>
              <w:bottom w:val="single" w:sz="4" w:space="0" w:color="auto"/>
              <w:right w:val="single" w:sz="4" w:space="0" w:color="auto"/>
            </w:tcBorders>
            <w:vAlign w:val="center"/>
          </w:tcPr>
          <w:p w14:paraId="2858BB5F" w14:textId="77777777" w:rsidR="002E3CBB" w:rsidRPr="00AA64DF" w:rsidRDefault="002E3CBB" w:rsidP="002E3CBB">
            <w:pPr>
              <w:pStyle w:val="TableText0"/>
              <w:jc w:val="center"/>
            </w:pPr>
            <w:r w:rsidRPr="00AA64DF">
              <w:t>0.10 (0.05, 0.15)</w:t>
            </w:r>
          </w:p>
        </w:tc>
      </w:tr>
      <w:tr w:rsidR="002E3CBB" w:rsidRPr="0048379A" w14:paraId="4BF68B2E" w14:textId="77777777" w:rsidTr="00146FF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B6B3C56" w14:textId="04B98A00" w:rsidR="002E3CBB" w:rsidRPr="0048379A" w:rsidRDefault="002E3CBB" w:rsidP="002E3CBB">
            <w:pPr>
              <w:pStyle w:val="In-tableHeading"/>
            </w:pPr>
            <w:r w:rsidRPr="0048379A">
              <w:t>Weight loss &gt;5% to week 24</w:t>
            </w:r>
          </w:p>
        </w:tc>
      </w:tr>
      <w:tr w:rsidR="002E3CBB" w:rsidRPr="0048379A" w14:paraId="1536D4F9"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638AE" w14:textId="77777777" w:rsidR="002E3CBB" w:rsidRPr="0048379A" w:rsidRDefault="002E3CBB" w:rsidP="002E3CBB">
            <w:pPr>
              <w:pStyle w:val="TableText0"/>
            </w:pPr>
            <w:r w:rsidRPr="0048379A">
              <w:t>ACTIVE</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3CF9444D" w14:textId="77777777" w:rsidR="002E3CBB" w:rsidRPr="00AA64DF" w:rsidRDefault="002E3CBB" w:rsidP="002E3CBB">
            <w:pPr>
              <w:pStyle w:val="TableText0"/>
              <w:jc w:val="center"/>
            </w:pPr>
            <w:r w:rsidRPr="00AA64DF">
              <w:t>12/109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1BE16B0" w14:textId="77777777" w:rsidR="002E3CBB" w:rsidRPr="00AA64DF" w:rsidRDefault="002E3CBB" w:rsidP="002E3CBB">
            <w:pPr>
              <w:pStyle w:val="TableText0"/>
              <w:jc w:val="center"/>
            </w:pPr>
            <w:r w:rsidRPr="00AA64DF">
              <w:t>1/109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34793A2D" w14:textId="77777777" w:rsidR="002E3CBB" w:rsidRPr="00AA64DF" w:rsidRDefault="002E3CBB" w:rsidP="002E3CBB">
            <w:pPr>
              <w:pStyle w:val="TableText0"/>
              <w:jc w:val="center"/>
            </w:pPr>
            <w:r w:rsidRPr="00AA64DF">
              <w:t>12.00 (1.59, 90.70)</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29B99AD4" w14:textId="77777777" w:rsidR="002E3CBB" w:rsidRPr="00AA64DF" w:rsidRDefault="002E3CBB" w:rsidP="002E3CBB">
            <w:pPr>
              <w:pStyle w:val="TableText0"/>
              <w:jc w:val="center"/>
            </w:pPr>
            <w:r w:rsidRPr="00AA64DF">
              <w:t>11</w:t>
            </w:r>
          </w:p>
        </w:tc>
        <w:tc>
          <w:tcPr>
            <w:tcW w:w="532" w:type="pct"/>
            <w:tcBorders>
              <w:top w:val="single" w:sz="4" w:space="0" w:color="auto"/>
              <w:left w:val="single" w:sz="4" w:space="0" w:color="auto"/>
              <w:bottom w:val="single" w:sz="4" w:space="0" w:color="auto"/>
              <w:right w:val="nil"/>
            </w:tcBorders>
            <w:shd w:val="clear" w:color="auto" w:fill="auto"/>
            <w:vAlign w:val="bottom"/>
          </w:tcPr>
          <w:p w14:paraId="50757F9F" w14:textId="77777777" w:rsidR="002E3CBB" w:rsidRPr="00AA64DF" w:rsidRDefault="002E3CBB" w:rsidP="002E3CBB">
            <w:pPr>
              <w:pStyle w:val="TableText0"/>
              <w:jc w:val="center"/>
            </w:pPr>
            <w:r w:rsidRPr="00AA64DF">
              <w:t>1</w:t>
            </w:r>
          </w:p>
        </w:tc>
        <w:tc>
          <w:tcPr>
            <w:tcW w:w="989" w:type="pct"/>
            <w:tcBorders>
              <w:top w:val="single" w:sz="4" w:space="0" w:color="auto"/>
              <w:left w:val="single" w:sz="4" w:space="0" w:color="auto"/>
              <w:bottom w:val="single" w:sz="4" w:space="0" w:color="auto"/>
              <w:right w:val="single" w:sz="4" w:space="0" w:color="auto"/>
            </w:tcBorders>
            <w:vAlign w:val="center"/>
          </w:tcPr>
          <w:p w14:paraId="46ADD0FA" w14:textId="77777777" w:rsidR="002E3CBB" w:rsidRPr="00AA64DF" w:rsidRDefault="002E3CBB" w:rsidP="002E3CBB">
            <w:pPr>
              <w:pStyle w:val="TableText0"/>
              <w:jc w:val="center"/>
            </w:pPr>
            <w:r w:rsidRPr="00AA64DF">
              <w:t>0.10 (0.04, 0.16)</w:t>
            </w:r>
          </w:p>
        </w:tc>
      </w:tr>
      <w:tr w:rsidR="002E3CBB" w:rsidRPr="0048379A" w14:paraId="14A7E128"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5193D" w14:textId="77777777" w:rsidR="002E3CBB" w:rsidRPr="0048379A" w:rsidRDefault="002E3CBB" w:rsidP="002E3CBB">
            <w:pPr>
              <w:pStyle w:val="TableText0"/>
            </w:pPr>
            <w:r w:rsidRPr="0048379A">
              <w:t>PALACE 1</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39F62F9F" w14:textId="77777777" w:rsidR="002E3CBB" w:rsidRPr="00AA64DF" w:rsidRDefault="002E3CBB" w:rsidP="002E3CBB">
            <w:pPr>
              <w:pStyle w:val="TableText0"/>
              <w:jc w:val="center"/>
            </w:pPr>
            <w:r w:rsidRPr="00AA64DF">
              <w:t>15/168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48DC758" w14:textId="77777777" w:rsidR="002E3CBB" w:rsidRPr="00AA64DF" w:rsidRDefault="002E3CBB" w:rsidP="002E3CBB">
            <w:pPr>
              <w:pStyle w:val="TableText0"/>
              <w:jc w:val="center"/>
            </w:pPr>
            <w:r w:rsidRPr="00AA64DF">
              <w:t>7/168</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3E2559FA" w14:textId="77777777" w:rsidR="002E3CBB" w:rsidRPr="00AA64DF" w:rsidRDefault="002E3CBB" w:rsidP="002E3CBB">
            <w:pPr>
              <w:pStyle w:val="TableText0"/>
              <w:jc w:val="center"/>
            </w:pPr>
            <w:r w:rsidRPr="00AA64DF">
              <w:t>2.14 (0.90, 5.12)</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39F9B1F3" w14:textId="77777777" w:rsidR="002E3CBB" w:rsidRPr="00AA64DF" w:rsidRDefault="002E3CBB" w:rsidP="002E3CBB">
            <w:pPr>
              <w:pStyle w:val="TableText0"/>
              <w:jc w:val="center"/>
            </w:pPr>
            <w:r w:rsidRPr="00AA64DF">
              <w:t>9</w:t>
            </w:r>
          </w:p>
        </w:tc>
        <w:tc>
          <w:tcPr>
            <w:tcW w:w="532" w:type="pct"/>
            <w:tcBorders>
              <w:top w:val="single" w:sz="4" w:space="0" w:color="auto"/>
              <w:left w:val="single" w:sz="4" w:space="0" w:color="auto"/>
              <w:bottom w:val="single" w:sz="4" w:space="0" w:color="auto"/>
              <w:right w:val="nil"/>
            </w:tcBorders>
            <w:shd w:val="clear" w:color="auto" w:fill="auto"/>
            <w:vAlign w:val="bottom"/>
          </w:tcPr>
          <w:p w14:paraId="3B2C80DC" w14:textId="77777777" w:rsidR="002E3CBB" w:rsidRPr="00AA64DF" w:rsidRDefault="002E3CBB" w:rsidP="002E3CBB">
            <w:pPr>
              <w:pStyle w:val="TableText0"/>
              <w:jc w:val="center"/>
            </w:pPr>
            <w:r w:rsidRPr="00AA64DF">
              <w:t>4</w:t>
            </w:r>
          </w:p>
        </w:tc>
        <w:tc>
          <w:tcPr>
            <w:tcW w:w="989" w:type="pct"/>
            <w:tcBorders>
              <w:top w:val="single" w:sz="4" w:space="0" w:color="auto"/>
              <w:left w:val="single" w:sz="4" w:space="0" w:color="auto"/>
              <w:bottom w:val="single" w:sz="4" w:space="0" w:color="auto"/>
              <w:right w:val="single" w:sz="4" w:space="0" w:color="auto"/>
            </w:tcBorders>
            <w:vAlign w:val="center"/>
          </w:tcPr>
          <w:p w14:paraId="355839A3" w14:textId="77777777" w:rsidR="002E3CBB" w:rsidRPr="00AA64DF" w:rsidRDefault="002E3CBB" w:rsidP="002E3CBB">
            <w:pPr>
              <w:pStyle w:val="TableText0"/>
              <w:jc w:val="center"/>
            </w:pPr>
            <w:r w:rsidRPr="00AA64DF">
              <w:t>0.05 (-0.01, 0.10)</w:t>
            </w:r>
          </w:p>
        </w:tc>
      </w:tr>
      <w:tr w:rsidR="002E3CBB" w:rsidRPr="0048379A" w14:paraId="50F3D7CF"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58531" w14:textId="77777777" w:rsidR="002E3CBB" w:rsidRPr="0048379A" w:rsidRDefault="002E3CBB" w:rsidP="002E3CBB">
            <w:pPr>
              <w:pStyle w:val="TableText0"/>
            </w:pPr>
            <w:r w:rsidRPr="0048379A">
              <w:t>PALACE 2</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42834B1E" w14:textId="77777777" w:rsidR="002E3CBB" w:rsidRPr="00AA64DF" w:rsidRDefault="002E3CBB" w:rsidP="002E3CBB">
            <w:pPr>
              <w:pStyle w:val="TableText0"/>
              <w:jc w:val="center"/>
            </w:pPr>
            <w:r w:rsidRPr="00AA64DF">
              <w:t>20/162</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1E59F15" w14:textId="77777777" w:rsidR="002E3CBB" w:rsidRPr="00AA64DF" w:rsidRDefault="002E3CBB" w:rsidP="002E3CBB">
            <w:pPr>
              <w:pStyle w:val="TableText0"/>
              <w:jc w:val="center"/>
            </w:pPr>
            <w:r w:rsidRPr="00AA64DF">
              <w:t>6/159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2114B2A9" w14:textId="77777777" w:rsidR="002E3CBB" w:rsidRPr="00AA64DF" w:rsidRDefault="002E3CBB" w:rsidP="002E3CBB">
            <w:pPr>
              <w:pStyle w:val="TableText0"/>
              <w:jc w:val="center"/>
            </w:pPr>
            <w:r w:rsidRPr="00AA64DF">
              <w:t>3.27 (1.35, 7.93)</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3216C28E" w14:textId="77777777" w:rsidR="002E3CBB" w:rsidRPr="00AA64DF" w:rsidRDefault="002E3CBB" w:rsidP="002E3CBB">
            <w:pPr>
              <w:pStyle w:val="TableText0"/>
              <w:jc w:val="center"/>
            </w:pPr>
            <w:r w:rsidRPr="00AA64DF">
              <w:t>12</w:t>
            </w:r>
          </w:p>
        </w:tc>
        <w:tc>
          <w:tcPr>
            <w:tcW w:w="532" w:type="pct"/>
            <w:tcBorders>
              <w:top w:val="single" w:sz="4" w:space="0" w:color="auto"/>
              <w:left w:val="single" w:sz="4" w:space="0" w:color="auto"/>
              <w:bottom w:val="single" w:sz="4" w:space="0" w:color="auto"/>
              <w:right w:val="nil"/>
            </w:tcBorders>
            <w:shd w:val="clear" w:color="auto" w:fill="auto"/>
            <w:vAlign w:val="bottom"/>
          </w:tcPr>
          <w:p w14:paraId="2E328E2A" w14:textId="77777777" w:rsidR="002E3CBB" w:rsidRPr="00AA64DF" w:rsidRDefault="002E3CBB" w:rsidP="002E3CBB">
            <w:pPr>
              <w:pStyle w:val="TableText0"/>
              <w:jc w:val="center"/>
            </w:pPr>
            <w:r w:rsidRPr="00AA64DF">
              <w:t>4</w:t>
            </w:r>
          </w:p>
        </w:tc>
        <w:tc>
          <w:tcPr>
            <w:tcW w:w="989" w:type="pct"/>
            <w:tcBorders>
              <w:top w:val="single" w:sz="4" w:space="0" w:color="auto"/>
              <w:left w:val="single" w:sz="4" w:space="0" w:color="auto"/>
              <w:bottom w:val="single" w:sz="4" w:space="0" w:color="auto"/>
              <w:right w:val="single" w:sz="4" w:space="0" w:color="auto"/>
            </w:tcBorders>
            <w:vAlign w:val="center"/>
          </w:tcPr>
          <w:p w14:paraId="6484AD29" w14:textId="77777777" w:rsidR="002E3CBB" w:rsidRPr="00AA64DF" w:rsidRDefault="002E3CBB" w:rsidP="002E3CBB">
            <w:pPr>
              <w:pStyle w:val="TableText0"/>
              <w:jc w:val="center"/>
            </w:pPr>
            <w:r w:rsidRPr="00AA64DF">
              <w:t>0.09 (0.03, 0.14)</w:t>
            </w:r>
          </w:p>
        </w:tc>
      </w:tr>
      <w:tr w:rsidR="002E3CBB" w:rsidRPr="0048379A" w14:paraId="78C5CED3"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AF8D7" w14:textId="77777777" w:rsidR="002E3CBB" w:rsidRPr="0048379A" w:rsidRDefault="002E3CBB" w:rsidP="002E3CBB">
            <w:pPr>
              <w:pStyle w:val="TableText0"/>
            </w:pPr>
            <w:r w:rsidRPr="0048379A">
              <w:t>PALACE 3</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7B19255F" w14:textId="77777777" w:rsidR="002E3CBB" w:rsidRPr="00AA64DF" w:rsidRDefault="002E3CBB" w:rsidP="002E3CBB">
            <w:pPr>
              <w:pStyle w:val="TableText0"/>
              <w:jc w:val="center"/>
            </w:pPr>
            <w:r w:rsidRPr="00AA64DF">
              <w:t>19/167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EBBA27A" w14:textId="77777777" w:rsidR="002E3CBB" w:rsidRPr="00AA64DF" w:rsidRDefault="002E3CBB" w:rsidP="002E3CBB">
            <w:pPr>
              <w:pStyle w:val="TableText0"/>
              <w:jc w:val="center"/>
            </w:pPr>
            <w:r w:rsidRPr="00AA64DF">
              <w:t>6/168</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4F54EAA0" w14:textId="77777777" w:rsidR="002E3CBB" w:rsidRPr="00AA64DF" w:rsidRDefault="002E3CBB" w:rsidP="002E3CBB">
            <w:pPr>
              <w:pStyle w:val="TableText0"/>
              <w:jc w:val="center"/>
            </w:pPr>
            <w:r w:rsidRPr="00AA64DF">
              <w:t>3.19 (1.30, 7.78)</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07B9E0D5" w14:textId="77777777" w:rsidR="002E3CBB" w:rsidRPr="00AA64DF" w:rsidRDefault="002E3CBB" w:rsidP="002E3CBB">
            <w:pPr>
              <w:pStyle w:val="TableText0"/>
              <w:jc w:val="center"/>
            </w:pPr>
            <w:r w:rsidRPr="00AA64DF">
              <w:t>11</w:t>
            </w:r>
          </w:p>
        </w:tc>
        <w:tc>
          <w:tcPr>
            <w:tcW w:w="532" w:type="pct"/>
            <w:tcBorders>
              <w:top w:val="single" w:sz="4" w:space="0" w:color="auto"/>
              <w:left w:val="single" w:sz="4" w:space="0" w:color="auto"/>
              <w:bottom w:val="single" w:sz="4" w:space="0" w:color="auto"/>
              <w:right w:val="nil"/>
            </w:tcBorders>
            <w:shd w:val="clear" w:color="auto" w:fill="auto"/>
            <w:vAlign w:val="bottom"/>
          </w:tcPr>
          <w:p w14:paraId="00F303A7" w14:textId="77777777" w:rsidR="002E3CBB" w:rsidRPr="00AA64DF" w:rsidRDefault="002E3CBB" w:rsidP="002E3CBB">
            <w:pPr>
              <w:pStyle w:val="TableText0"/>
              <w:jc w:val="center"/>
            </w:pPr>
            <w:r w:rsidRPr="00AA64DF">
              <w:t>4</w:t>
            </w:r>
          </w:p>
        </w:tc>
        <w:tc>
          <w:tcPr>
            <w:tcW w:w="989" w:type="pct"/>
            <w:tcBorders>
              <w:top w:val="single" w:sz="4" w:space="0" w:color="auto"/>
              <w:left w:val="single" w:sz="4" w:space="0" w:color="auto"/>
              <w:bottom w:val="single" w:sz="4" w:space="0" w:color="auto"/>
              <w:right w:val="single" w:sz="4" w:space="0" w:color="auto"/>
            </w:tcBorders>
            <w:vAlign w:val="center"/>
          </w:tcPr>
          <w:p w14:paraId="05DFE0F5" w14:textId="77777777" w:rsidR="002E3CBB" w:rsidRPr="00AA64DF" w:rsidRDefault="002E3CBB" w:rsidP="002E3CBB">
            <w:pPr>
              <w:pStyle w:val="TableText0"/>
              <w:jc w:val="center"/>
            </w:pPr>
            <w:r w:rsidRPr="00AA64DF">
              <w:t>0.08 (0.02, 0.13)</w:t>
            </w:r>
          </w:p>
        </w:tc>
      </w:tr>
      <w:tr w:rsidR="002E3CBB" w:rsidRPr="0048379A" w14:paraId="5FC1B074"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C665A" w14:textId="77777777" w:rsidR="002E3CBB" w:rsidRPr="0048379A" w:rsidRDefault="002E3CBB" w:rsidP="002E3CBB">
            <w:pPr>
              <w:pStyle w:val="TableText0"/>
            </w:pPr>
            <w:r w:rsidRPr="0048379A">
              <w:t>PALACE 4</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260F624A" w14:textId="77777777" w:rsidR="002E3CBB" w:rsidRPr="00AA64DF" w:rsidRDefault="002E3CBB" w:rsidP="002E3CBB">
            <w:pPr>
              <w:pStyle w:val="TableText0"/>
              <w:jc w:val="center"/>
            </w:pPr>
            <w:r w:rsidRPr="00AA64DF">
              <w:t>19/175</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373A7152" w14:textId="77777777" w:rsidR="002E3CBB" w:rsidRPr="00AA64DF" w:rsidRDefault="002E3CBB" w:rsidP="002E3CBB">
            <w:pPr>
              <w:pStyle w:val="TableText0"/>
              <w:jc w:val="center"/>
            </w:pPr>
            <w:r w:rsidRPr="00AA64DF">
              <w:t>1/176</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581A38B8" w14:textId="77777777" w:rsidR="002E3CBB" w:rsidRPr="00AA64DF" w:rsidRDefault="002E3CBB" w:rsidP="002E3CBB">
            <w:pPr>
              <w:pStyle w:val="TableText0"/>
              <w:jc w:val="center"/>
            </w:pPr>
            <w:r w:rsidRPr="00AA64DF">
              <w:t>19.11 (2.59, 141.19)</w:t>
            </w:r>
          </w:p>
        </w:tc>
        <w:tc>
          <w:tcPr>
            <w:tcW w:w="630" w:type="pct"/>
            <w:gridSpan w:val="5"/>
            <w:tcBorders>
              <w:top w:val="single" w:sz="4" w:space="0" w:color="auto"/>
              <w:left w:val="nil"/>
              <w:bottom w:val="single" w:sz="4" w:space="0" w:color="auto"/>
              <w:right w:val="single" w:sz="4" w:space="0" w:color="auto"/>
            </w:tcBorders>
            <w:shd w:val="clear" w:color="auto" w:fill="auto"/>
            <w:vAlign w:val="bottom"/>
          </w:tcPr>
          <w:p w14:paraId="00FED432" w14:textId="77777777" w:rsidR="002E3CBB" w:rsidRPr="00AA64DF" w:rsidRDefault="002E3CBB" w:rsidP="002E3CBB">
            <w:pPr>
              <w:pStyle w:val="TableText0"/>
              <w:jc w:val="center"/>
            </w:pPr>
            <w:r w:rsidRPr="00AA64DF">
              <w:t>11</w:t>
            </w:r>
          </w:p>
        </w:tc>
        <w:tc>
          <w:tcPr>
            <w:tcW w:w="532" w:type="pct"/>
            <w:tcBorders>
              <w:top w:val="single" w:sz="4" w:space="0" w:color="auto"/>
              <w:left w:val="single" w:sz="4" w:space="0" w:color="auto"/>
              <w:bottom w:val="single" w:sz="4" w:space="0" w:color="auto"/>
              <w:right w:val="nil"/>
            </w:tcBorders>
            <w:shd w:val="clear" w:color="auto" w:fill="auto"/>
            <w:vAlign w:val="bottom"/>
          </w:tcPr>
          <w:p w14:paraId="4B1F447A" w14:textId="77777777" w:rsidR="002E3CBB" w:rsidRPr="00AA64DF" w:rsidRDefault="002E3CBB" w:rsidP="002E3CBB">
            <w:pPr>
              <w:pStyle w:val="TableText0"/>
              <w:jc w:val="center"/>
            </w:pPr>
            <w:r w:rsidRPr="00AA64DF">
              <w:t>1</w:t>
            </w:r>
          </w:p>
        </w:tc>
        <w:tc>
          <w:tcPr>
            <w:tcW w:w="989" w:type="pct"/>
            <w:tcBorders>
              <w:top w:val="single" w:sz="4" w:space="0" w:color="auto"/>
              <w:left w:val="single" w:sz="4" w:space="0" w:color="auto"/>
              <w:bottom w:val="single" w:sz="4" w:space="0" w:color="auto"/>
              <w:right w:val="single" w:sz="4" w:space="0" w:color="auto"/>
            </w:tcBorders>
            <w:vAlign w:val="center"/>
          </w:tcPr>
          <w:p w14:paraId="0992CCA6" w14:textId="77777777" w:rsidR="002E3CBB" w:rsidRPr="00AA64DF" w:rsidRDefault="002E3CBB" w:rsidP="002E3CBB">
            <w:pPr>
              <w:pStyle w:val="TableText0"/>
              <w:jc w:val="center"/>
            </w:pPr>
            <w:r w:rsidRPr="00AA64DF">
              <w:t>0.10 (0.06, 0.15)</w:t>
            </w:r>
          </w:p>
        </w:tc>
      </w:tr>
      <w:tr w:rsidR="002E3CBB" w:rsidRPr="0048379A" w14:paraId="725FF1EB" w14:textId="77777777" w:rsidTr="00146FF1">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49B3C2B" w14:textId="38BB5DB4" w:rsidR="002E3CBB" w:rsidRPr="0048379A" w:rsidRDefault="002E3CBB" w:rsidP="002E3CBB">
            <w:pPr>
              <w:pStyle w:val="In-tableHeading"/>
            </w:pPr>
            <w:r w:rsidRPr="0048379A">
              <w:t>Depression to week 24</w:t>
            </w:r>
          </w:p>
        </w:tc>
      </w:tr>
      <w:tr w:rsidR="002E3CBB" w:rsidRPr="0048379A" w14:paraId="2F921D14"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D0BC54" w14:textId="77777777" w:rsidR="002E3CBB" w:rsidRPr="0048379A" w:rsidRDefault="002E3CBB" w:rsidP="002E3CBB">
            <w:pPr>
              <w:pStyle w:val="TableText0"/>
            </w:pPr>
            <w:r w:rsidRPr="0048379A">
              <w:t>ACTIVE</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13D5DB61" w14:textId="77777777" w:rsidR="002E3CBB" w:rsidRPr="00AA64DF" w:rsidRDefault="002E3CBB" w:rsidP="002E3CBB">
            <w:pPr>
              <w:pStyle w:val="TableText0"/>
              <w:jc w:val="center"/>
            </w:pPr>
            <w:r w:rsidRPr="00AA64DF">
              <w:t>2/109</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E4DCB31" w14:textId="77777777" w:rsidR="002E3CBB" w:rsidRPr="00AA64DF" w:rsidRDefault="002E3CBB" w:rsidP="002E3CBB">
            <w:pPr>
              <w:pStyle w:val="TableText0"/>
              <w:jc w:val="center"/>
            </w:pPr>
            <w:r w:rsidRPr="00AA64DF">
              <w:t>0/109</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5978DE0E" w14:textId="77777777" w:rsidR="002E3CBB" w:rsidRPr="00AA64DF" w:rsidRDefault="002E3CBB" w:rsidP="002E3CBB">
            <w:pPr>
              <w:pStyle w:val="TableText0"/>
              <w:jc w:val="center"/>
            </w:pPr>
            <w:r w:rsidRPr="00AA64DF">
              <w:t>5.00 (0.24, 102.95)</w:t>
            </w:r>
          </w:p>
        </w:tc>
        <w:tc>
          <w:tcPr>
            <w:tcW w:w="630" w:type="pct"/>
            <w:gridSpan w:val="5"/>
            <w:tcBorders>
              <w:top w:val="single" w:sz="4" w:space="0" w:color="auto"/>
              <w:left w:val="single" w:sz="4" w:space="0" w:color="auto"/>
              <w:bottom w:val="single" w:sz="4" w:space="0" w:color="auto"/>
              <w:right w:val="single" w:sz="4" w:space="0" w:color="auto"/>
            </w:tcBorders>
            <w:vAlign w:val="center"/>
          </w:tcPr>
          <w:p w14:paraId="0CEBB554" w14:textId="77777777" w:rsidR="002E3CBB" w:rsidRPr="00AA64DF" w:rsidRDefault="002E3CBB" w:rsidP="002E3CBB">
            <w:pPr>
              <w:pStyle w:val="TableText0"/>
              <w:jc w:val="center"/>
            </w:pPr>
            <w:r w:rsidRPr="00AA64DF">
              <w:t>2</w:t>
            </w:r>
          </w:p>
        </w:tc>
        <w:tc>
          <w:tcPr>
            <w:tcW w:w="532" w:type="pct"/>
            <w:tcBorders>
              <w:top w:val="single" w:sz="4" w:space="0" w:color="auto"/>
              <w:left w:val="single" w:sz="4" w:space="0" w:color="auto"/>
              <w:bottom w:val="single" w:sz="4" w:space="0" w:color="auto"/>
              <w:right w:val="single" w:sz="4" w:space="0" w:color="auto"/>
            </w:tcBorders>
            <w:vAlign w:val="center"/>
          </w:tcPr>
          <w:p w14:paraId="4997FCC1" w14:textId="77777777" w:rsidR="002E3CBB" w:rsidRPr="00AA64DF" w:rsidRDefault="002E3CBB" w:rsidP="002E3CBB">
            <w:pPr>
              <w:pStyle w:val="TableText0"/>
              <w:jc w:val="center"/>
            </w:pPr>
            <w:r w:rsidRPr="00AA64DF">
              <w:t>0</w:t>
            </w:r>
          </w:p>
        </w:tc>
        <w:tc>
          <w:tcPr>
            <w:tcW w:w="989" w:type="pct"/>
            <w:tcBorders>
              <w:top w:val="single" w:sz="4" w:space="0" w:color="auto"/>
              <w:left w:val="single" w:sz="4" w:space="0" w:color="auto"/>
              <w:bottom w:val="single" w:sz="4" w:space="0" w:color="auto"/>
              <w:right w:val="single" w:sz="4" w:space="0" w:color="auto"/>
            </w:tcBorders>
            <w:vAlign w:val="center"/>
          </w:tcPr>
          <w:p w14:paraId="66C85C84" w14:textId="77777777" w:rsidR="002E3CBB" w:rsidRPr="00AA64DF" w:rsidRDefault="002E3CBB" w:rsidP="002E3CBB">
            <w:pPr>
              <w:pStyle w:val="TableText0"/>
              <w:jc w:val="center"/>
            </w:pPr>
            <w:r w:rsidRPr="00AA64DF">
              <w:t>0.02 (-0.01, 0.05)</w:t>
            </w:r>
          </w:p>
        </w:tc>
      </w:tr>
      <w:tr w:rsidR="002E3CBB" w:rsidRPr="0048379A" w14:paraId="5F22D7D9"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25C0A" w14:textId="77777777" w:rsidR="002E3CBB" w:rsidRPr="0048379A" w:rsidRDefault="002E3CBB" w:rsidP="002E3CBB">
            <w:pPr>
              <w:pStyle w:val="TableText0"/>
            </w:pPr>
            <w:r w:rsidRPr="0048379A">
              <w:t>PALACE 1</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2541A1F5" w14:textId="77777777" w:rsidR="002E3CBB" w:rsidRPr="00AA64DF" w:rsidRDefault="002E3CBB" w:rsidP="002E3CBB">
            <w:pPr>
              <w:pStyle w:val="TableText0"/>
              <w:jc w:val="center"/>
            </w:pPr>
            <w:r w:rsidRPr="00AA64DF">
              <w:t>1/168</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61EF01ED" w14:textId="77777777" w:rsidR="002E3CBB" w:rsidRPr="00AA64DF" w:rsidRDefault="002E3CBB" w:rsidP="002E3CBB">
            <w:pPr>
              <w:pStyle w:val="TableText0"/>
              <w:jc w:val="center"/>
            </w:pPr>
            <w:r w:rsidRPr="00AA64DF">
              <w:t>1/168</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2929DDB5" w14:textId="77777777" w:rsidR="002E3CBB" w:rsidRPr="00AA64DF" w:rsidRDefault="002E3CBB" w:rsidP="002E3CBB">
            <w:pPr>
              <w:pStyle w:val="TableText0"/>
              <w:jc w:val="center"/>
            </w:pPr>
            <w:r w:rsidRPr="00AA64DF">
              <w:t>1.00 (0.06, 15.86)</w:t>
            </w:r>
          </w:p>
        </w:tc>
        <w:tc>
          <w:tcPr>
            <w:tcW w:w="630" w:type="pct"/>
            <w:gridSpan w:val="5"/>
            <w:tcBorders>
              <w:top w:val="single" w:sz="4" w:space="0" w:color="auto"/>
              <w:left w:val="single" w:sz="4" w:space="0" w:color="auto"/>
              <w:bottom w:val="single" w:sz="4" w:space="0" w:color="auto"/>
              <w:right w:val="single" w:sz="4" w:space="0" w:color="auto"/>
            </w:tcBorders>
            <w:vAlign w:val="center"/>
          </w:tcPr>
          <w:p w14:paraId="462B1EDA" w14:textId="77777777" w:rsidR="002E3CBB" w:rsidRPr="00AA64DF" w:rsidRDefault="002E3CBB" w:rsidP="002E3CBB">
            <w:pPr>
              <w:pStyle w:val="TableText0"/>
              <w:jc w:val="center"/>
            </w:pPr>
            <w:r w:rsidRPr="00AA64DF">
              <w:t>1</w:t>
            </w:r>
          </w:p>
        </w:tc>
        <w:tc>
          <w:tcPr>
            <w:tcW w:w="532" w:type="pct"/>
            <w:tcBorders>
              <w:top w:val="single" w:sz="4" w:space="0" w:color="auto"/>
              <w:left w:val="single" w:sz="4" w:space="0" w:color="auto"/>
              <w:bottom w:val="single" w:sz="4" w:space="0" w:color="auto"/>
              <w:right w:val="single" w:sz="4" w:space="0" w:color="auto"/>
            </w:tcBorders>
            <w:vAlign w:val="center"/>
          </w:tcPr>
          <w:p w14:paraId="7F4B7093" w14:textId="77777777" w:rsidR="002E3CBB" w:rsidRPr="00AA64DF" w:rsidRDefault="002E3CBB" w:rsidP="002E3CBB">
            <w:pPr>
              <w:pStyle w:val="TableText0"/>
              <w:jc w:val="center"/>
            </w:pPr>
            <w:r w:rsidRPr="00AA64DF">
              <w:t>1</w:t>
            </w:r>
          </w:p>
        </w:tc>
        <w:tc>
          <w:tcPr>
            <w:tcW w:w="989" w:type="pct"/>
            <w:tcBorders>
              <w:top w:val="single" w:sz="4" w:space="0" w:color="auto"/>
              <w:left w:val="single" w:sz="4" w:space="0" w:color="auto"/>
              <w:bottom w:val="single" w:sz="4" w:space="0" w:color="auto"/>
              <w:right w:val="single" w:sz="4" w:space="0" w:color="auto"/>
            </w:tcBorders>
            <w:vAlign w:val="center"/>
          </w:tcPr>
          <w:p w14:paraId="0C2AC060" w14:textId="77777777" w:rsidR="002E3CBB" w:rsidRPr="00AA64DF" w:rsidRDefault="002E3CBB" w:rsidP="002E3CBB">
            <w:pPr>
              <w:pStyle w:val="TableText0"/>
              <w:jc w:val="center"/>
            </w:pPr>
            <w:r w:rsidRPr="00AA64DF">
              <w:t>0.00 (-0.02, 0.02)</w:t>
            </w:r>
          </w:p>
        </w:tc>
      </w:tr>
      <w:tr w:rsidR="002E3CBB" w:rsidRPr="0048379A" w14:paraId="7A5B76FB"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BF89C8" w14:textId="77777777" w:rsidR="002E3CBB" w:rsidRPr="0048379A" w:rsidRDefault="002E3CBB" w:rsidP="002E3CBB">
            <w:pPr>
              <w:pStyle w:val="TableText0"/>
            </w:pPr>
            <w:r w:rsidRPr="0048379A">
              <w:t>PALACE 2</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0D15915B" w14:textId="77777777" w:rsidR="002E3CBB" w:rsidRPr="00AA64DF" w:rsidRDefault="002E3CBB" w:rsidP="002E3CBB">
            <w:pPr>
              <w:pStyle w:val="TableText0"/>
              <w:jc w:val="center"/>
            </w:pPr>
            <w:r w:rsidRPr="00AA64DF">
              <w:t>NR</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F75FF6B" w14:textId="77777777" w:rsidR="002E3CBB" w:rsidRPr="00AA64DF" w:rsidRDefault="002E3CBB" w:rsidP="002E3CBB">
            <w:pPr>
              <w:pStyle w:val="TableText0"/>
              <w:jc w:val="center"/>
            </w:pPr>
            <w:r w:rsidRPr="00AA64DF">
              <w:t>NR</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3CD4578E" w14:textId="77777777" w:rsidR="002E3CBB" w:rsidRPr="00AA64DF" w:rsidRDefault="002E3CBB" w:rsidP="002E3CBB">
            <w:pPr>
              <w:pStyle w:val="TableText0"/>
              <w:jc w:val="center"/>
            </w:pPr>
            <w:r w:rsidRPr="00AA64DF">
              <w:t>-</w:t>
            </w:r>
          </w:p>
        </w:tc>
        <w:tc>
          <w:tcPr>
            <w:tcW w:w="630" w:type="pct"/>
            <w:gridSpan w:val="5"/>
            <w:tcBorders>
              <w:top w:val="single" w:sz="4" w:space="0" w:color="auto"/>
              <w:left w:val="single" w:sz="4" w:space="0" w:color="auto"/>
              <w:bottom w:val="single" w:sz="4" w:space="0" w:color="auto"/>
              <w:right w:val="single" w:sz="4" w:space="0" w:color="auto"/>
            </w:tcBorders>
            <w:vAlign w:val="center"/>
          </w:tcPr>
          <w:p w14:paraId="392FB874" w14:textId="77777777" w:rsidR="002E3CBB" w:rsidRPr="00AA64DF" w:rsidRDefault="002E3CBB" w:rsidP="002E3CBB">
            <w:pPr>
              <w:pStyle w:val="TableText0"/>
              <w:jc w:val="center"/>
            </w:pPr>
            <w:r w:rsidRPr="00AA64DF">
              <w:t>-</w:t>
            </w:r>
          </w:p>
        </w:tc>
        <w:tc>
          <w:tcPr>
            <w:tcW w:w="532" w:type="pct"/>
            <w:tcBorders>
              <w:top w:val="single" w:sz="4" w:space="0" w:color="auto"/>
              <w:left w:val="single" w:sz="4" w:space="0" w:color="auto"/>
              <w:bottom w:val="single" w:sz="4" w:space="0" w:color="auto"/>
              <w:right w:val="single" w:sz="4" w:space="0" w:color="auto"/>
            </w:tcBorders>
            <w:vAlign w:val="center"/>
          </w:tcPr>
          <w:p w14:paraId="76C41A1F" w14:textId="77777777" w:rsidR="002E3CBB" w:rsidRPr="00AA64DF" w:rsidRDefault="002E3CBB" w:rsidP="002E3CBB">
            <w:pPr>
              <w:pStyle w:val="TableText0"/>
              <w:jc w:val="center"/>
            </w:pPr>
            <w:r w:rsidRPr="00AA64DF">
              <w:t>-</w:t>
            </w:r>
          </w:p>
        </w:tc>
        <w:tc>
          <w:tcPr>
            <w:tcW w:w="989" w:type="pct"/>
            <w:tcBorders>
              <w:top w:val="single" w:sz="4" w:space="0" w:color="auto"/>
              <w:left w:val="single" w:sz="4" w:space="0" w:color="auto"/>
              <w:bottom w:val="single" w:sz="4" w:space="0" w:color="auto"/>
              <w:right w:val="single" w:sz="4" w:space="0" w:color="auto"/>
            </w:tcBorders>
            <w:vAlign w:val="center"/>
          </w:tcPr>
          <w:p w14:paraId="5C2B0B40" w14:textId="77777777" w:rsidR="002E3CBB" w:rsidRPr="00AA64DF" w:rsidRDefault="002E3CBB" w:rsidP="002E3CBB">
            <w:pPr>
              <w:pStyle w:val="TableText0"/>
              <w:jc w:val="center"/>
            </w:pPr>
            <w:r w:rsidRPr="00AA64DF">
              <w:t>-</w:t>
            </w:r>
          </w:p>
        </w:tc>
      </w:tr>
      <w:tr w:rsidR="002E3CBB" w:rsidRPr="0048379A" w14:paraId="00AAC09A"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06822" w14:textId="77777777" w:rsidR="002E3CBB" w:rsidRPr="0048379A" w:rsidRDefault="002E3CBB" w:rsidP="002E3CBB">
            <w:pPr>
              <w:pStyle w:val="TableText0"/>
            </w:pPr>
            <w:r w:rsidRPr="0048379A">
              <w:t>PALACE 3</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1ED79807" w14:textId="77777777" w:rsidR="002E3CBB" w:rsidRPr="00AA64DF" w:rsidRDefault="002E3CBB" w:rsidP="002E3CBB">
            <w:pPr>
              <w:pStyle w:val="TableText0"/>
              <w:jc w:val="center"/>
            </w:pPr>
            <w:r w:rsidRPr="00AA64DF">
              <w:t>3/167</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4FEFF672" w14:textId="77777777" w:rsidR="002E3CBB" w:rsidRPr="00AA64DF" w:rsidRDefault="002E3CBB" w:rsidP="002E3CBB">
            <w:pPr>
              <w:pStyle w:val="TableText0"/>
              <w:jc w:val="center"/>
            </w:pPr>
            <w:r w:rsidRPr="00AA64DF">
              <w:t>1/168</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43CE4C34" w14:textId="77777777" w:rsidR="002E3CBB" w:rsidRPr="00AA64DF" w:rsidRDefault="002E3CBB" w:rsidP="002E3CBB">
            <w:pPr>
              <w:pStyle w:val="TableText0"/>
              <w:jc w:val="center"/>
            </w:pPr>
            <w:r w:rsidRPr="00AA64DF">
              <w:t>3.02 (0.32, 28.72)</w:t>
            </w:r>
          </w:p>
        </w:tc>
        <w:tc>
          <w:tcPr>
            <w:tcW w:w="630" w:type="pct"/>
            <w:gridSpan w:val="5"/>
            <w:tcBorders>
              <w:top w:val="single" w:sz="4" w:space="0" w:color="auto"/>
              <w:left w:val="single" w:sz="4" w:space="0" w:color="auto"/>
              <w:bottom w:val="single" w:sz="4" w:space="0" w:color="auto"/>
              <w:right w:val="single" w:sz="4" w:space="0" w:color="auto"/>
            </w:tcBorders>
            <w:vAlign w:val="center"/>
          </w:tcPr>
          <w:p w14:paraId="5C4E4A18" w14:textId="77777777" w:rsidR="002E3CBB" w:rsidRPr="00AA64DF" w:rsidRDefault="002E3CBB" w:rsidP="002E3CBB">
            <w:pPr>
              <w:pStyle w:val="TableText0"/>
              <w:jc w:val="center"/>
            </w:pPr>
            <w:r w:rsidRPr="00AA64DF">
              <w:t>2</w:t>
            </w:r>
          </w:p>
        </w:tc>
        <w:tc>
          <w:tcPr>
            <w:tcW w:w="532" w:type="pct"/>
            <w:tcBorders>
              <w:top w:val="single" w:sz="4" w:space="0" w:color="auto"/>
              <w:left w:val="single" w:sz="4" w:space="0" w:color="auto"/>
              <w:bottom w:val="single" w:sz="4" w:space="0" w:color="auto"/>
              <w:right w:val="single" w:sz="4" w:space="0" w:color="auto"/>
            </w:tcBorders>
            <w:vAlign w:val="center"/>
          </w:tcPr>
          <w:p w14:paraId="427D6771" w14:textId="77777777" w:rsidR="002E3CBB" w:rsidRPr="00AA64DF" w:rsidRDefault="002E3CBB" w:rsidP="002E3CBB">
            <w:pPr>
              <w:pStyle w:val="TableText0"/>
              <w:jc w:val="center"/>
            </w:pPr>
            <w:r w:rsidRPr="00AA64DF">
              <w:t>1</w:t>
            </w:r>
          </w:p>
        </w:tc>
        <w:tc>
          <w:tcPr>
            <w:tcW w:w="989" w:type="pct"/>
            <w:tcBorders>
              <w:top w:val="single" w:sz="4" w:space="0" w:color="auto"/>
              <w:left w:val="single" w:sz="4" w:space="0" w:color="auto"/>
              <w:bottom w:val="single" w:sz="4" w:space="0" w:color="auto"/>
              <w:right w:val="single" w:sz="4" w:space="0" w:color="auto"/>
            </w:tcBorders>
            <w:vAlign w:val="center"/>
          </w:tcPr>
          <w:p w14:paraId="5FF62308" w14:textId="77777777" w:rsidR="002E3CBB" w:rsidRPr="00AA64DF" w:rsidRDefault="002E3CBB" w:rsidP="002E3CBB">
            <w:pPr>
              <w:pStyle w:val="TableText0"/>
              <w:jc w:val="center"/>
            </w:pPr>
            <w:r w:rsidRPr="00AA64DF">
              <w:t>0.01 (-0.01, 0.04)</w:t>
            </w:r>
          </w:p>
        </w:tc>
      </w:tr>
      <w:tr w:rsidR="002E3CBB" w:rsidRPr="0048379A" w14:paraId="37BBFD5B" w14:textId="77777777" w:rsidTr="00C34CB1">
        <w:tc>
          <w:tcPr>
            <w:tcW w:w="6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B8D7E" w14:textId="77777777" w:rsidR="002E3CBB" w:rsidRPr="0048379A" w:rsidRDefault="002E3CBB" w:rsidP="002E3CBB">
            <w:pPr>
              <w:pStyle w:val="TableText0"/>
            </w:pPr>
            <w:r w:rsidRPr="0048379A">
              <w:t>PALACE 4</w:t>
            </w:r>
          </w:p>
        </w:tc>
        <w:tc>
          <w:tcPr>
            <w:tcW w:w="639" w:type="pct"/>
            <w:gridSpan w:val="2"/>
            <w:tcBorders>
              <w:top w:val="single" w:sz="4" w:space="0" w:color="auto"/>
              <w:left w:val="single" w:sz="4" w:space="0" w:color="auto"/>
              <w:bottom w:val="single" w:sz="4" w:space="0" w:color="auto"/>
              <w:right w:val="single" w:sz="4" w:space="0" w:color="auto"/>
            </w:tcBorders>
            <w:vAlign w:val="center"/>
          </w:tcPr>
          <w:p w14:paraId="1D5FE16F" w14:textId="77777777" w:rsidR="002E3CBB" w:rsidRPr="00AA64DF" w:rsidRDefault="002E3CBB" w:rsidP="002E3CBB">
            <w:pPr>
              <w:pStyle w:val="TableText0"/>
              <w:jc w:val="center"/>
            </w:pPr>
            <w:r w:rsidRPr="00AA64DF">
              <w:t>NR</w:t>
            </w:r>
          </w:p>
        </w:tc>
        <w:tc>
          <w:tcPr>
            <w:tcW w:w="711" w:type="pct"/>
            <w:gridSpan w:val="2"/>
            <w:tcBorders>
              <w:top w:val="single" w:sz="4" w:space="0" w:color="auto"/>
              <w:left w:val="single" w:sz="4" w:space="0" w:color="auto"/>
              <w:bottom w:val="single" w:sz="4" w:space="0" w:color="auto"/>
              <w:right w:val="single" w:sz="4" w:space="0" w:color="auto"/>
            </w:tcBorders>
            <w:vAlign w:val="center"/>
          </w:tcPr>
          <w:p w14:paraId="02582952" w14:textId="77777777" w:rsidR="002E3CBB" w:rsidRPr="00AA64DF" w:rsidRDefault="002E3CBB" w:rsidP="002E3CBB">
            <w:pPr>
              <w:pStyle w:val="TableText0"/>
              <w:jc w:val="center"/>
            </w:pPr>
            <w:r w:rsidRPr="00AA64DF">
              <w:t>NR</w:t>
            </w:r>
          </w:p>
        </w:tc>
        <w:tc>
          <w:tcPr>
            <w:tcW w:w="862" w:type="pct"/>
            <w:gridSpan w:val="2"/>
            <w:tcBorders>
              <w:top w:val="single" w:sz="4" w:space="0" w:color="auto"/>
              <w:left w:val="single" w:sz="4" w:space="0" w:color="auto"/>
              <w:bottom w:val="single" w:sz="4" w:space="0" w:color="auto"/>
              <w:right w:val="single" w:sz="4" w:space="0" w:color="auto"/>
            </w:tcBorders>
            <w:vAlign w:val="center"/>
          </w:tcPr>
          <w:p w14:paraId="0B35DD49" w14:textId="77777777" w:rsidR="002E3CBB" w:rsidRPr="00AA64DF" w:rsidRDefault="002E3CBB" w:rsidP="002E3CBB">
            <w:pPr>
              <w:pStyle w:val="TableText0"/>
              <w:jc w:val="center"/>
            </w:pPr>
            <w:r w:rsidRPr="00AA64DF">
              <w:t>-</w:t>
            </w:r>
          </w:p>
        </w:tc>
        <w:tc>
          <w:tcPr>
            <w:tcW w:w="630" w:type="pct"/>
            <w:gridSpan w:val="5"/>
            <w:tcBorders>
              <w:top w:val="single" w:sz="4" w:space="0" w:color="auto"/>
              <w:left w:val="single" w:sz="4" w:space="0" w:color="auto"/>
              <w:bottom w:val="single" w:sz="4" w:space="0" w:color="auto"/>
              <w:right w:val="single" w:sz="4" w:space="0" w:color="auto"/>
            </w:tcBorders>
            <w:vAlign w:val="center"/>
          </w:tcPr>
          <w:p w14:paraId="2C76F4FB" w14:textId="77777777" w:rsidR="002E3CBB" w:rsidRPr="00AA64DF" w:rsidRDefault="002E3CBB" w:rsidP="002E3CBB">
            <w:pPr>
              <w:pStyle w:val="TableText0"/>
              <w:jc w:val="center"/>
            </w:pPr>
            <w:r w:rsidRPr="00AA64DF">
              <w:t>-</w:t>
            </w:r>
          </w:p>
        </w:tc>
        <w:tc>
          <w:tcPr>
            <w:tcW w:w="532" w:type="pct"/>
            <w:tcBorders>
              <w:top w:val="single" w:sz="4" w:space="0" w:color="auto"/>
              <w:left w:val="single" w:sz="4" w:space="0" w:color="auto"/>
              <w:bottom w:val="single" w:sz="4" w:space="0" w:color="auto"/>
              <w:right w:val="single" w:sz="4" w:space="0" w:color="auto"/>
            </w:tcBorders>
            <w:vAlign w:val="center"/>
          </w:tcPr>
          <w:p w14:paraId="6AA0FD87" w14:textId="77777777" w:rsidR="002E3CBB" w:rsidRPr="00AA64DF" w:rsidRDefault="002E3CBB" w:rsidP="002E3CBB">
            <w:pPr>
              <w:pStyle w:val="TableText0"/>
              <w:jc w:val="center"/>
            </w:pPr>
            <w:r w:rsidRPr="00AA64DF">
              <w:t>-</w:t>
            </w:r>
          </w:p>
        </w:tc>
        <w:tc>
          <w:tcPr>
            <w:tcW w:w="989" w:type="pct"/>
            <w:tcBorders>
              <w:top w:val="single" w:sz="4" w:space="0" w:color="auto"/>
              <w:left w:val="single" w:sz="4" w:space="0" w:color="auto"/>
              <w:bottom w:val="single" w:sz="4" w:space="0" w:color="auto"/>
              <w:right w:val="single" w:sz="4" w:space="0" w:color="auto"/>
            </w:tcBorders>
            <w:vAlign w:val="center"/>
          </w:tcPr>
          <w:p w14:paraId="3D2B0DC4" w14:textId="77777777" w:rsidR="002E3CBB" w:rsidRPr="00AA64DF" w:rsidRDefault="002E3CBB" w:rsidP="002E3CBB">
            <w:pPr>
              <w:pStyle w:val="TableText0"/>
              <w:jc w:val="center"/>
            </w:pPr>
            <w:r w:rsidRPr="00AA64DF">
              <w:t>-</w:t>
            </w:r>
          </w:p>
        </w:tc>
      </w:tr>
    </w:tbl>
    <w:p w14:paraId="41F36E24" w14:textId="5EDB5C0A" w:rsidR="003A4883" w:rsidRPr="0088754E" w:rsidRDefault="003A4883" w:rsidP="003A4883">
      <w:pPr>
        <w:pStyle w:val="FooterTableFigure"/>
        <w:rPr>
          <w:i/>
          <w:iCs/>
          <w:sz w:val="20"/>
        </w:rPr>
      </w:pPr>
      <w:r>
        <w:t>Source: Table</w:t>
      </w:r>
      <w:r w:rsidR="002954BC">
        <w:t>s</w:t>
      </w:r>
      <w:r>
        <w:t xml:space="preserve"> </w:t>
      </w:r>
      <w:r w:rsidR="002954BC">
        <w:t xml:space="preserve">2-21, 2-22, </w:t>
      </w:r>
      <w:r>
        <w:t>2-34, 2-38, 2-42, 2-46 &amp; 2-50, pp</w:t>
      </w:r>
      <w:r w:rsidR="002954BC">
        <w:t xml:space="preserve">45, 48, </w:t>
      </w:r>
      <w:r>
        <w:t xml:space="preserve">59-60, 62, 64, 66 &amp; 67-68 </w:t>
      </w:r>
      <w:r w:rsidRPr="00D13A3E">
        <w:t xml:space="preserve">of the </w:t>
      </w:r>
      <w:r>
        <w:t xml:space="preserve">submission; Tables 78 &amp; 14.3.1.3.1.3 of the ACTIVE CSR; Tables 68 &amp; 108 of the PALACE 1 CSR; Table 108 of the PALACE 2 CSR; Table 108 &amp; 14.3.1.4.1.1 of the PALACE 3 CSR; Table 78 of the PALACE 4 </w:t>
      </w:r>
      <w:r w:rsidRPr="00AA64DF">
        <w:t xml:space="preserve">CSR. </w:t>
      </w:r>
      <w:r w:rsidR="0048379A" w:rsidRPr="00AA64DF">
        <w:rPr>
          <w:i/>
          <w:iCs/>
        </w:rPr>
        <w:t xml:space="preserve"> </w:t>
      </w:r>
    </w:p>
    <w:p w14:paraId="32D52C00" w14:textId="5A677F30" w:rsidR="003A4883" w:rsidRDefault="002B7023" w:rsidP="003A4883">
      <w:pPr>
        <w:pStyle w:val="FooterTableFigure"/>
        <w:rPr>
          <w:rFonts w:eastAsia="Calibri"/>
        </w:rPr>
      </w:pPr>
      <w:r>
        <w:t xml:space="preserve">ACR20 = Modified American College of Rheumatology 20% response; ACR50 = Modified American College of Rheumatology 50% response; </w:t>
      </w:r>
      <w:r w:rsidR="007C1B54">
        <w:rPr>
          <w:rFonts w:eastAsia="Calibri"/>
        </w:rPr>
        <w:t xml:space="preserve">APR = apremilast; </w:t>
      </w:r>
      <w:r w:rsidR="003A4883" w:rsidRPr="00B40358">
        <w:rPr>
          <w:rFonts w:eastAsia="Calibri"/>
        </w:rPr>
        <w:t xml:space="preserve">CI = confidence interval; </w:t>
      </w:r>
      <w:r w:rsidRPr="00101EC8">
        <w:t>HAQ-DI = Health Assessment Questionnaire-Disability Index;</w:t>
      </w:r>
      <w:r>
        <w:t xml:space="preserve"> LS = least squares; </w:t>
      </w:r>
      <w:r w:rsidR="003A4883" w:rsidRPr="00B40358">
        <w:rPr>
          <w:rFonts w:eastAsia="Calibri"/>
        </w:rPr>
        <w:t>n = number of participants with event; N = total participants in group</w:t>
      </w:r>
      <w:r w:rsidR="003A4883">
        <w:rPr>
          <w:rFonts w:eastAsia="Calibri"/>
        </w:rPr>
        <w:t xml:space="preserve">; </w:t>
      </w:r>
      <w:r w:rsidR="007C1B54">
        <w:rPr>
          <w:rFonts w:eastAsia="Calibri"/>
        </w:rPr>
        <w:t xml:space="preserve">PBO = placebo; </w:t>
      </w:r>
      <w:r w:rsidR="003A4883">
        <w:rPr>
          <w:rFonts w:eastAsia="Calibri"/>
        </w:rPr>
        <w:t xml:space="preserve">RD = risk difference; RR = relative risk. </w:t>
      </w:r>
    </w:p>
    <w:p w14:paraId="3705DC6F" w14:textId="6039E6DC" w:rsidR="003A4883" w:rsidRDefault="003A4883" w:rsidP="003A4883">
      <w:pPr>
        <w:pStyle w:val="FooterTableFigure"/>
        <w:rPr>
          <w:rFonts w:eastAsia="Calibri"/>
        </w:rPr>
      </w:pPr>
      <w:r w:rsidRPr="00443EBF">
        <w:rPr>
          <w:rFonts w:eastAsia="Calibri"/>
          <w:vertAlign w:val="superscript"/>
        </w:rPr>
        <w:t>a</w:t>
      </w:r>
      <w:r>
        <w:rPr>
          <w:rFonts w:eastAsia="Calibri"/>
        </w:rPr>
        <w:t xml:space="preserve"> calculated during the evaluation by entering the dichotomous outcome data in RevMan 5.4.1</w:t>
      </w:r>
    </w:p>
    <w:p w14:paraId="76A9C75B" w14:textId="4B275154" w:rsidR="00B2115D" w:rsidRDefault="00B2115D" w:rsidP="003A4883">
      <w:pPr>
        <w:pStyle w:val="FooterTableFigure"/>
        <w:rPr>
          <w:rFonts w:eastAsia="Calibri"/>
        </w:rPr>
      </w:pPr>
      <w:r w:rsidRPr="00F26017">
        <w:rPr>
          <w:rFonts w:eastAsia="Calibri"/>
          <w:vertAlign w:val="superscript"/>
        </w:rPr>
        <w:t>b</w:t>
      </w:r>
      <w:r>
        <w:rPr>
          <w:rFonts w:eastAsia="Calibri"/>
        </w:rPr>
        <w:t xml:space="preserve"> The PALACE 4 CSR stated that 28 participants in the placebo arm achieved an ACR20 response (p93 of the CSR).</w:t>
      </w:r>
    </w:p>
    <w:p w14:paraId="3E67DF74" w14:textId="05E82C92" w:rsidR="00B2115D" w:rsidRDefault="00B2115D" w:rsidP="003A4883">
      <w:pPr>
        <w:pStyle w:val="FooterTableFigure"/>
        <w:rPr>
          <w:rFonts w:eastAsia="Calibri"/>
        </w:rPr>
      </w:pPr>
      <w:r w:rsidRPr="00333F49">
        <w:rPr>
          <w:rFonts w:eastAsia="Calibri"/>
          <w:vertAlign w:val="superscript"/>
        </w:rPr>
        <w:t>c</w:t>
      </w:r>
      <w:r>
        <w:rPr>
          <w:rFonts w:eastAsia="Calibri"/>
        </w:rPr>
        <w:t xml:space="preserve"> RR and RD calculated based on 28/176 participants achieving and ACR20 response.</w:t>
      </w:r>
    </w:p>
    <w:p w14:paraId="76E65F65" w14:textId="2666EE71" w:rsidR="003A4883" w:rsidRPr="00B50DB8" w:rsidRDefault="003A4883" w:rsidP="003A4883">
      <w:pPr>
        <w:pStyle w:val="3-BodyText"/>
        <w:ind w:left="720" w:hanging="720"/>
      </w:pPr>
      <w:r w:rsidRPr="00CF6EE4">
        <w:lastRenderedPageBreak/>
        <w:t xml:space="preserve">On the basis of direct evidence presented by the submission, for every 100 patients treated with </w:t>
      </w:r>
      <w:r>
        <w:t>apremilast</w:t>
      </w:r>
      <w:r w:rsidRPr="00CF6EE4">
        <w:t xml:space="preserve"> in comparison </w:t>
      </w:r>
      <w:r>
        <w:t>with</w:t>
      </w:r>
      <w:r w:rsidRPr="00CF6EE4">
        <w:t xml:space="preserve"> </w:t>
      </w:r>
      <w:r>
        <w:t>placebo over 16 weeks:</w:t>
      </w:r>
    </w:p>
    <w:p w14:paraId="7EE6940F" w14:textId="623A8CAF" w:rsidR="003A4883" w:rsidRPr="00CF6EE4" w:rsidRDefault="003A4883" w:rsidP="003A4883">
      <w:pPr>
        <w:pStyle w:val="ListParagraph"/>
        <w:ind w:left="1134"/>
      </w:pPr>
      <w:r>
        <w:t>Between</w:t>
      </w:r>
      <w:r w:rsidRPr="00CF6EE4">
        <w:t xml:space="preserve"> 1</w:t>
      </w:r>
      <w:r>
        <w:t>3 and 22</w:t>
      </w:r>
      <w:r w:rsidRPr="00CF6EE4">
        <w:t xml:space="preserve"> additional patients would </w:t>
      </w:r>
      <w:r>
        <w:t>achieve an ACR20 response.</w:t>
      </w:r>
    </w:p>
    <w:p w14:paraId="6ECAF2B7" w14:textId="2066E4DE" w:rsidR="003A4883" w:rsidRPr="00CF6EE4" w:rsidRDefault="003A4883" w:rsidP="003A4883">
      <w:pPr>
        <w:pStyle w:val="ListParagraph"/>
        <w:ind w:left="1134"/>
      </w:pPr>
      <w:r>
        <w:t xml:space="preserve">Between </w:t>
      </w:r>
      <w:r w:rsidR="001720A9">
        <w:t>5</w:t>
      </w:r>
      <w:r>
        <w:t xml:space="preserve"> and </w:t>
      </w:r>
      <w:r w:rsidR="00B80280">
        <w:t xml:space="preserve">14 </w:t>
      </w:r>
      <w:r>
        <w:t>additional patients would achieve an ACR50 response.</w:t>
      </w:r>
    </w:p>
    <w:p w14:paraId="768E41DF" w14:textId="77777777" w:rsidR="003A4883" w:rsidRPr="00CF6EE4" w:rsidRDefault="003A4883" w:rsidP="003A4883">
      <w:pPr>
        <w:pStyle w:val="3-BodyText"/>
        <w:ind w:left="720" w:hanging="720"/>
      </w:pPr>
      <w:r w:rsidRPr="00CF6EE4">
        <w:t xml:space="preserve">On the basis of direct evidence presented by the submission, the comparison of </w:t>
      </w:r>
      <w:r>
        <w:t xml:space="preserve">apremilast </w:t>
      </w:r>
      <w:r w:rsidRPr="00CF6EE4">
        <w:t xml:space="preserve">and </w:t>
      </w:r>
      <w:r>
        <w:t>placebo</w:t>
      </w:r>
      <w:r w:rsidRPr="00CF6EE4">
        <w:t xml:space="preserve"> resulted in:</w:t>
      </w:r>
    </w:p>
    <w:p w14:paraId="4A81F39C" w14:textId="55D63E11" w:rsidR="003A4883" w:rsidRPr="003270E4" w:rsidRDefault="003A4883" w:rsidP="003A4883">
      <w:pPr>
        <w:pStyle w:val="ListParagraph"/>
        <w:ind w:left="1134"/>
      </w:pPr>
      <w:r>
        <w:rPr>
          <w:snapToGrid/>
          <w:lang w:val="en-US"/>
        </w:rPr>
        <w:t>Between a 0.127 and 0.217 reduction in HAQ-DI score over 16 weeks. The submission stated that a reduction of 0.13 is clinically meaningful.</w:t>
      </w:r>
    </w:p>
    <w:p w14:paraId="766B7B37" w14:textId="1717E3ED" w:rsidR="003A4883" w:rsidRPr="00B50DB8" w:rsidRDefault="003A4883" w:rsidP="003A4883">
      <w:pPr>
        <w:pStyle w:val="3-BodyText"/>
        <w:ind w:left="720" w:hanging="720"/>
      </w:pPr>
      <w:r w:rsidRPr="00CF6EE4">
        <w:t xml:space="preserve">On the basis of direct evidence presented by the submission, for every 100 patients treated with </w:t>
      </w:r>
      <w:r>
        <w:t>apremilast</w:t>
      </w:r>
      <w:r w:rsidRPr="00CF6EE4">
        <w:t xml:space="preserve"> in comparison </w:t>
      </w:r>
      <w:r>
        <w:t>with</w:t>
      </w:r>
      <w:r w:rsidRPr="00CF6EE4">
        <w:t xml:space="preserve"> </w:t>
      </w:r>
      <w:r>
        <w:t>placebo over 24 weeks:</w:t>
      </w:r>
    </w:p>
    <w:p w14:paraId="1462DB21" w14:textId="77777777" w:rsidR="003A4883" w:rsidRPr="00CF6EE4" w:rsidRDefault="003A4883" w:rsidP="003A4883">
      <w:pPr>
        <w:pStyle w:val="ListParagraph"/>
        <w:ind w:left="1134"/>
      </w:pPr>
      <w:r>
        <w:t>Between 4 and 17</w:t>
      </w:r>
      <w:r w:rsidRPr="00CF6EE4">
        <w:t xml:space="preserve"> additional </w:t>
      </w:r>
      <w:r>
        <w:t>patients would experience diarrhoea.</w:t>
      </w:r>
    </w:p>
    <w:p w14:paraId="2F7D3511" w14:textId="77777777" w:rsidR="003A4883" w:rsidRDefault="003A4883" w:rsidP="003A4883">
      <w:pPr>
        <w:pStyle w:val="ListParagraph"/>
        <w:ind w:left="1134"/>
      </w:pPr>
      <w:r>
        <w:t>Between 5 and 10 additional patients would experience weight loss &gt;5%.</w:t>
      </w:r>
    </w:p>
    <w:p w14:paraId="716989DD" w14:textId="77777777" w:rsidR="003A4883" w:rsidRDefault="003A4883" w:rsidP="003A4883">
      <w:pPr>
        <w:pStyle w:val="ListParagraph"/>
        <w:ind w:left="1134"/>
      </w:pPr>
      <w:r>
        <w:t>Between 0 and 2 additional patients would experience depression.</w:t>
      </w:r>
    </w:p>
    <w:p w14:paraId="78DAE86E" w14:textId="77777777" w:rsidR="003A4883" w:rsidRPr="00C9624D" w:rsidRDefault="003A4883" w:rsidP="003A4883">
      <w:pPr>
        <w:pStyle w:val="4-SubsectionHeading"/>
      </w:pPr>
      <w:bookmarkStart w:id="62" w:name="_Toc22897644"/>
      <w:bookmarkStart w:id="63" w:name="_Toc124945477"/>
      <w:r w:rsidRPr="00C9624D">
        <w:t>Clinical claim</w:t>
      </w:r>
      <w:bookmarkEnd w:id="62"/>
      <w:bookmarkEnd w:id="63"/>
    </w:p>
    <w:p w14:paraId="582A4C2F" w14:textId="1476D10B" w:rsidR="003A4883" w:rsidRPr="0033470C" w:rsidRDefault="003A4883" w:rsidP="003A4883">
      <w:pPr>
        <w:pStyle w:val="3-BodyText"/>
        <w:ind w:left="720" w:hanging="720"/>
        <w:rPr>
          <w:rFonts w:eastAsia="Calibri"/>
        </w:rPr>
      </w:pPr>
      <w:r w:rsidRPr="0033470C">
        <w:rPr>
          <w:rFonts w:eastAsia="Calibri"/>
        </w:rPr>
        <w:t xml:space="preserve">The </w:t>
      </w:r>
      <w:r w:rsidR="00846CB5" w:rsidRPr="0033470C">
        <w:rPr>
          <w:rFonts w:eastAsia="Calibri"/>
        </w:rPr>
        <w:t>re</w:t>
      </w:r>
      <w:r w:rsidRPr="0033470C">
        <w:rPr>
          <w:rFonts w:eastAsia="Calibri"/>
        </w:rPr>
        <w:t>submission described apremilast as superior in terms of effectiveness compared to placebo based on the outcomes of ACR20, ACR50 and HAQ-DI</w:t>
      </w:r>
      <w:r w:rsidRPr="009A5C5D">
        <w:rPr>
          <w:rFonts w:eastAsia="Calibri"/>
          <w:i/>
          <w:iCs/>
        </w:rPr>
        <w:t xml:space="preserve">. </w:t>
      </w:r>
      <w:r w:rsidR="00D15E78" w:rsidRPr="009A5C5D">
        <w:rPr>
          <w:rFonts w:eastAsia="Calibri"/>
        </w:rPr>
        <w:t>The ESC considered</w:t>
      </w:r>
      <w:r w:rsidR="00D15E78">
        <w:rPr>
          <w:rFonts w:eastAsia="Calibri"/>
        </w:rPr>
        <w:t xml:space="preserve"> t</w:t>
      </w:r>
      <w:r w:rsidRPr="0033470C">
        <w:rPr>
          <w:rFonts w:eastAsia="Calibri"/>
        </w:rPr>
        <w:t xml:space="preserve">his claim was adequately supported. </w:t>
      </w:r>
      <w:r w:rsidRPr="0033470C">
        <w:t>Apremilast demonstrated superior efficacy in terms of the primary outcome (ACR20) in all included trials. Apremilast also demonstrated superior efficacy in terms of ACR50 in the ACTIVE, PALACE 1, PALACE 3 and PALACE 4 trials and HAQ-DI in all the included trials. Long term efficacy data for the PALACE 1-4 trials suggest treatment response measured by ACR20 an</w:t>
      </w:r>
      <w:r w:rsidR="00CF5FDF" w:rsidRPr="0033470C">
        <w:t>d</w:t>
      </w:r>
      <w:r w:rsidRPr="0033470C">
        <w:t xml:space="preserve"> ACR50 is maintained up to five years.</w:t>
      </w:r>
    </w:p>
    <w:p w14:paraId="69B99EBC" w14:textId="7C023A4B" w:rsidR="003A4883" w:rsidRPr="0033470C" w:rsidRDefault="003A4883" w:rsidP="003A4883">
      <w:pPr>
        <w:pStyle w:val="3-BodyText"/>
        <w:ind w:left="720" w:hanging="720"/>
        <w:rPr>
          <w:rFonts w:eastAsia="Calibri"/>
        </w:rPr>
      </w:pPr>
      <w:r w:rsidRPr="0033470C">
        <w:rPr>
          <w:rFonts w:eastAsia="Calibri"/>
        </w:rPr>
        <w:t>The submission described apremilast as inferior in terms of safety compared to placebo but with acceptable long term safety with no requirement for routine monitoring. Th</w:t>
      </w:r>
      <w:r w:rsidR="00D15E78">
        <w:rPr>
          <w:rFonts w:eastAsia="Calibri"/>
        </w:rPr>
        <w:t xml:space="preserve">e </w:t>
      </w:r>
      <w:r w:rsidR="00D15E78" w:rsidRPr="00AA64DF">
        <w:rPr>
          <w:rFonts w:eastAsia="Calibri"/>
        </w:rPr>
        <w:t>ESC considered this</w:t>
      </w:r>
      <w:r w:rsidRPr="0033470C">
        <w:rPr>
          <w:rFonts w:eastAsia="Calibri"/>
        </w:rPr>
        <w:t xml:space="preserve"> claim was adequately supported. Overall, the adverse event profile of apremilast is worse than placebo, however most events have mild or moderate severity and there appears to be no evidence of an increased incidence of adverse events with longer apremilast use.</w:t>
      </w:r>
    </w:p>
    <w:p w14:paraId="110B6F36" w14:textId="5EF91D75" w:rsidR="003A4883" w:rsidRPr="0033470C" w:rsidRDefault="003A4883" w:rsidP="003A4883">
      <w:pPr>
        <w:pStyle w:val="3-BodyText"/>
        <w:ind w:left="720" w:hanging="720"/>
        <w:rPr>
          <w:rFonts w:eastAsia="Calibri"/>
        </w:rPr>
      </w:pPr>
      <w:bookmarkStart w:id="64" w:name="_Ref131670108"/>
      <w:r w:rsidRPr="0033470C">
        <w:rPr>
          <w:rFonts w:eastAsia="Calibri"/>
        </w:rPr>
        <w:t xml:space="preserve">However, the </w:t>
      </w:r>
      <w:r w:rsidR="00CA7260">
        <w:rPr>
          <w:rFonts w:eastAsia="Calibri"/>
        </w:rPr>
        <w:t xml:space="preserve">evaluation considered the </w:t>
      </w:r>
      <w:r w:rsidRPr="0033470C">
        <w:rPr>
          <w:rFonts w:eastAsia="Calibri"/>
        </w:rPr>
        <w:t xml:space="preserve">applicability of the trial evidence to the proposed Australian population </w:t>
      </w:r>
      <w:r w:rsidR="00CF5FDF" w:rsidRPr="0033470C">
        <w:rPr>
          <w:rFonts w:eastAsia="Calibri"/>
        </w:rPr>
        <w:t xml:space="preserve">is uncertain </w:t>
      </w:r>
      <w:r w:rsidRPr="0033470C">
        <w:rPr>
          <w:rFonts w:eastAsia="Calibri"/>
        </w:rPr>
        <w:t>because:</w:t>
      </w:r>
      <w:bookmarkEnd w:id="64"/>
    </w:p>
    <w:p w14:paraId="7EB62715" w14:textId="77777777" w:rsidR="003A4883" w:rsidRPr="0033470C" w:rsidRDefault="003A4883" w:rsidP="0097685D">
      <w:pPr>
        <w:pStyle w:val="3-BodyText"/>
        <w:numPr>
          <w:ilvl w:val="0"/>
          <w:numId w:val="12"/>
        </w:numPr>
        <w:rPr>
          <w:rFonts w:eastAsia="Calibri"/>
        </w:rPr>
      </w:pPr>
      <w:r w:rsidRPr="0033470C">
        <w:rPr>
          <w:rFonts w:eastAsia="Calibri"/>
        </w:rPr>
        <w:t xml:space="preserve">None of the included trials had eligibility criteria that aligned with the proposed PBS restriction. The PALACE 1-3 trials permitted prior treatment with bDMARDs, which is not aligned with the proposed PBS restriction and treatment algorithm. The PALACE 1-3 trials also permitted concomitant csDMARD treatment, which was prohibited in the proposed PBS restriction. </w:t>
      </w:r>
    </w:p>
    <w:p w14:paraId="2D0640DF" w14:textId="52EA1B0A" w:rsidR="003A4883" w:rsidRPr="0033470C" w:rsidRDefault="003A4883" w:rsidP="0097685D">
      <w:pPr>
        <w:pStyle w:val="3-BodyText"/>
        <w:numPr>
          <w:ilvl w:val="0"/>
          <w:numId w:val="12"/>
        </w:numPr>
        <w:rPr>
          <w:rFonts w:eastAsia="Calibri"/>
        </w:rPr>
      </w:pPr>
      <w:r w:rsidRPr="0033470C">
        <w:rPr>
          <w:rFonts w:eastAsia="Calibri"/>
        </w:rPr>
        <w:t xml:space="preserve">No comparison of baseline disease characteristics between the ACTIVE trial and proposed PBS population was available during the evaluation. </w:t>
      </w:r>
      <w:bookmarkStart w:id="65" w:name="_Hlk122126373"/>
      <w:r w:rsidRPr="0033470C">
        <w:rPr>
          <w:rFonts w:eastAsia="Calibri"/>
        </w:rPr>
        <w:t xml:space="preserve">Approximately 30% </w:t>
      </w:r>
      <w:r w:rsidRPr="0033470C">
        <w:rPr>
          <w:rFonts w:eastAsia="Calibri"/>
        </w:rPr>
        <w:lastRenderedPageBreak/>
        <w:t xml:space="preserve">of </w:t>
      </w:r>
      <w:r w:rsidR="0016441D" w:rsidRPr="0033470C">
        <w:rPr>
          <w:rFonts w:eastAsia="Calibri"/>
        </w:rPr>
        <w:t xml:space="preserve">participants </w:t>
      </w:r>
      <w:r w:rsidRPr="0033470C">
        <w:rPr>
          <w:rFonts w:eastAsia="Calibri"/>
        </w:rPr>
        <w:t xml:space="preserve">in the ACTIVE trial had no prior treatment with csDMARDs and approximately 40% had not been treated with methotrexate. </w:t>
      </w:r>
      <w:bookmarkEnd w:id="65"/>
      <w:r w:rsidRPr="0033470C">
        <w:rPr>
          <w:rFonts w:eastAsia="Calibri"/>
        </w:rPr>
        <w:t>The impact of differences in baseline characteristics and prior treatments between the trial and proposed Australian population on treatment outcomes is uncertain.</w:t>
      </w:r>
    </w:p>
    <w:p w14:paraId="3721517C" w14:textId="77777777" w:rsidR="00AC710E" w:rsidRDefault="003A4883" w:rsidP="0097685D">
      <w:pPr>
        <w:pStyle w:val="3-BodyText"/>
        <w:numPr>
          <w:ilvl w:val="0"/>
          <w:numId w:val="12"/>
        </w:numPr>
        <w:rPr>
          <w:rFonts w:eastAsia="Calibri"/>
        </w:rPr>
      </w:pPr>
      <w:r w:rsidRPr="0033470C">
        <w:rPr>
          <w:rFonts w:eastAsia="Calibri"/>
        </w:rPr>
        <w:t xml:space="preserve">There is also likely to be substantial overlap between participants in the ACTIVE trial and Australian participants eligible for PBS funded treatment with bDMARDs. </w:t>
      </w:r>
      <w:bookmarkStart w:id="66" w:name="_Hlk122379694"/>
      <w:r w:rsidRPr="0033470C">
        <w:rPr>
          <w:rFonts w:eastAsia="Calibri"/>
        </w:rPr>
        <w:t>That is, some participants in the ACTIVE trial may have had characteristics that would make them eligible for bDMARDs in Australia.</w:t>
      </w:r>
      <w:bookmarkEnd w:id="66"/>
    </w:p>
    <w:p w14:paraId="3A538467" w14:textId="76B71A4A" w:rsidR="00AC710E" w:rsidRDefault="00AC710E" w:rsidP="00AC710E">
      <w:pPr>
        <w:pStyle w:val="3-BodyText"/>
        <w:ind w:left="720" w:hanging="720"/>
        <w:rPr>
          <w:rFonts w:eastAsia="Calibri"/>
        </w:rPr>
      </w:pPr>
      <w:r w:rsidRPr="00AA64DF">
        <w:rPr>
          <w:rFonts w:eastAsia="Calibri"/>
        </w:rPr>
        <w:t xml:space="preserve">The ESC considered that, while the trial populations likely only contained a small proportion of patients meeting the proposed PBS restriction criteria, the evidence </w:t>
      </w:r>
      <w:r w:rsidR="00251884" w:rsidRPr="00AA64DF">
        <w:rPr>
          <w:rFonts w:eastAsia="Calibri"/>
        </w:rPr>
        <w:t xml:space="preserve">presented </w:t>
      </w:r>
      <w:r w:rsidRPr="00AA64DF">
        <w:rPr>
          <w:rFonts w:eastAsia="Calibri"/>
        </w:rPr>
        <w:t xml:space="preserve">supported apremilast being of superior effectiveness </w:t>
      </w:r>
      <w:r w:rsidR="00251884" w:rsidRPr="00AA64DF">
        <w:rPr>
          <w:rFonts w:eastAsia="Calibri"/>
        </w:rPr>
        <w:t xml:space="preserve">and inferior safety </w:t>
      </w:r>
      <w:r w:rsidRPr="00AA64DF">
        <w:rPr>
          <w:rFonts w:eastAsia="Calibri"/>
        </w:rPr>
        <w:t>compared to BSC.</w:t>
      </w:r>
    </w:p>
    <w:p w14:paraId="6BE86828" w14:textId="710102EA" w:rsidR="00010B66" w:rsidRPr="00682D6F" w:rsidRDefault="00010B66" w:rsidP="00010B66">
      <w:pPr>
        <w:widowControl w:val="0"/>
        <w:numPr>
          <w:ilvl w:val="1"/>
          <w:numId w:val="4"/>
        </w:numPr>
        <w:spacing w:after="120"/>
        <w:ind w:left="720" w:hanging="720"/>
        <w:rPr>
          <w:rFonts w:asciiTheme="minorHAnsi" w:hAnsiTheme="minorHAnsi"/>
          <w:snapToGrid w:val="0"/>
          <w:szCs w:val="20"/>
        </w:rPr>
      </w:pPr>
      <w:bookmarkStart w:id="67" w:name="_Hlk76376200"/>
      <w:r w:rsidRPr="00682D6F">
        <w:rPr>
          <w:rFonts w:asciiTheme="minorHAnsi" w:hAnsiTheme="minorHAnsi"/>
          <w:iCs/>
          <w:snapToGrid w:val="0"/>
        </w:rPr>
        <w:t>The</w:t>
      </w:r>
      <w:r w:rsidRPr="00682D6F">
        <w:rPr>
          <w:rFonts w:asciiTheme="minorHAnsi" w:hAnsiTheme="minorHAnsi"/>
          <w:snapToGrid w:val="0"/>
          <w:szCs w:val="20"/>
        </w:rPr>
        <w:t xml:space="preserve"> PBAC considered that</w:t>
      </w:r>
      <w:r w:rsidR="00682D6F" w:rsidRPr="00682D6F">
        <w:rPr>
          <w:rFonts w:asciiTheme="minorHAnsi" w:hAnsiTheme="minorHAnsi"/>
          <w:snapToGrid w:val="0"/>
          <w:szCs w:val="20"/>
        </w:rPr>
        <w:t>, although the applicability of the evidence to the requested PBS population was uncertain,</w:t>
      </w:r>
      <w:r w:rsidRPr="00682D6F">
        <w:rPr>
          <w:rFonts w:asciiTheme="minorHAnsi" w:hAnsiTheme="minorHAnsi"/>
          <w:snapToGrid w:val="0"/>
          <w:szCs w:val="20"/>
        </w:rPr>
        <w:t xml:space="preserve"> the claim of superior comparative effectiveness</w:t>
      </w:r>
      <w:r w:rsidR="00AA64DF">
        <w:rPr>
          <w:rFonts w:asciiTheme="minorHAnsi" w:hAnsiTheme="minorHAnsi"/>
          <w:snapToGrid w:val="0"/>
          <w:szCs w:val="20"/>
        </w:rPr>
        <w:t xml:space="preserve"> to placebo + BSC</w:t>
      </w:r>
      <w:r w:rsidRPr="00682D6F">
        <w:rPr>
          <w:rFonts w:asciiTheme="minorHAnsi" w:hAnsiTheme="minorHAnsi"/>
          <w:snapToGrid w:val="0"/>
          <w:szCs w:val="20"/>
        </w:rPr>
        <w:t xml:space="preserve"> was </w:t>
      </w:r>
      <w:r w:rsidR="00682D6F" w:rsidRPr="00682D6F">
        <w:rPr>
          <w:rFonts w:asciiTheme="minorHAnsi" w:hAnsiTheme="minorHAnsi"/>
          <w:snapToGrid w:val="0"/>
          <w:szCs w:val="20"/>
        </w:rPr>
        <w:t xml:space="preserve">likely to be </w:t>
      </w:r>
      <w:r w:rsidRPr="00682D6F">
        <w:rPr>
          <w:rFonts w:asciiTheme="minorHAnsi" w:hAnsiTheme="minorHAnsi"/>
          <w:snapToGrid w:val="0"/>
          <w:szCs w:val="20"/>
        </w:rPr>
        <w:t>reasonable.</w:t>
      </w:r>
    </w:p>
    <w:p w14:paraId="4630AFBC" w14:textId="523EDEF7" w:rsidR="00010B66" w:rsidRPr="00682D6F" w:rsidRDefault="00010B66" w:rsidP="00682D6F">
      <w:pPr>
        <w:widowControl w:val="0"/>
        <w:numPr>
          <w:ilvl w:val="1"/>
          <w:numId w:val="4"/>
        </w:numPr>
        <w:spacing w:after="120"/>
        <w:ind w:left="720" w:hanging="720"/>
        <w:rPr>
          <w:rFonts w:asciiTheme="minorHAnsi" w:hAnsiTheme="minorHAnsi"/>
          <w:snapToGrid w:val="0"/>
          <w:szCs w:val="20"/>
        </w:rPr>
      </w:pPr>
      <w:r w:rsidRPr="00682D6F">
        <w:rPr>
          <w:rFonts w:asciiTheme="minorHAnsi" w:hAnsiTheme="minorHAnsi"/>
          <w:snapToGrid w:val="0"/>
          <w:szCs w:val="20"/>
        </w:rPr>
        <w:t>The PBAC considered that the claim of inferior comparative safety</w:t>
      </w:r>
      <w:r w:rsidR="00682D6F" w:rsidRPr="00682D6F">
        <w:rPr>
          <w:rFonts w:asciiTheme="minorHAnsi" w:hAnsiTheme="minorHAnsi"/>
          <w:snapToGrid w:val="0"/>
          <w:szCs w:val="20"/>
        </w:rPr>
        <w:t xml:space="preserve"> to placebo + BSC, with acceptable long-term safety,</w:t>
      </w:r>
      <w:r w:rsidRPr="00682D6F">
        <w:rPr>
          <w:rFonts w:asciiTheme="minorHAnsi" w:hAnsiTheme="minorHAnsi"/>
          <w:snapToGrid w:val="0"/>
          <w:szCs w:val="20"/>
        </w:rPr>
        <w:t xml:space="preserve"> was reasonable</w:t>
      </w:r>
      <w:r w:rsidR="00682D6F" w:rsidRPr="00682D6F">
        <w:rPr>
          <w:rFonts w:asciiTheme="minorHAnsi" w:hAnsiTheme="minorHAnsi"/>
          <w:snapToGrid w:val="0"/>
          <w:szCs w:val="20"/>
        </w:rPr>
        <w:t>.</w:t>
      </w:r>
      <w:bookmarkEnd w:id="67"/>
    </w:p>
    <w:p w14:paraId="10D1EA25" w14:textId="77777777" w:rsidR="003A4883" w:rsidRPr="00C9624D" w:rsidRDefault="003A4883" w:rsidP="003A4883">
      <w:pPr>
        <w:pStyle w:val="4-SubsectionHeading"/>
      </w:pPr>
      <w:bookmarkStart w:id="68" w:name="_Toc22897645"/>
      <w:bookmarkStart w:id="69" w:name="_Toc124945478"/>
      <w:r w:rsidRPr="00C9624D">
        <w:t>Economic analysis</w:t>
      </w:r>
      <w:bookmarkEnd w:id="68"/>
      <w:bookmarkEnd w:id="69"/>
      <w:r w:rsidRPr="00C9624D">
        <w:t xml:space="preserve"> </w:t>
      </w:r>
    </w:p>
    <w:p w14:paraId="6010505A" w14:textId="7C83506B" w:rsidR="003A4883" w:rsidRPr="0033470C" w:rsidRDefault="003A4883" w:rsidP="003A4883">
      <w:pPr>
        <w:pStyle w:val="3-BodyText"/>
        <w:ind w:left="720" w:hanging="720"/>
        <w:rPr>
          <w:b/>
          <w:bCs/>
          <w:color w:val="0066FF"/>
        </w:rPr>
      </w:pPr>
      <w:bookmarkStart w:id="70" w:name="_Toc22897646"/>
      <w:r w:rsidRPr="0033470C">
        <w:t xml:space="preserve">The submission presented a cost-utility analysis based on the ACTIVE trial. This was implemented using a Markov model with three health states (apremilast, BSC, and dead). </w:t>
      </w:r>
      <w:r w:rsidRPr="00AC710E">
        <w:t>This is consistent with the clinical claim of superior effectiveness</w:t>
      </w:r>
      <w:r w:rsidR="005761A2" w:rsidRPr="004A4A37">
        <w:t>.</w:t>
      </w:r>
    </w:p>
    <w:p w14:paraId="058339DE" w14:textId="0F6BF5D0" w:rsidR="003A4883" w:rsidRPr="00EA09BE" w:rsidRDefault="003A4883" w:rsidP="003A4883">
      <w:pPr>
        <w:pStyle w:val="3-BodyText"/>
        <w:ind w:left="720" w:hanging="720"/>
        <w:rPr>
          <w:b/>
          <w:bCs/>
          <w:color w:val="0066FF"/>
        </w:rPr>
      </w:pPr>
      <w:r>
        <w:fldChar w:fldCharType="begin"/>
      </w:r>
      <w:r>
        <w:rPr>
          <w:b/>
          <w:bCs/>
          <w:color w:val="0066FF"/>
        </w:rPr>
        <w:instrText xml:space="preserve"> REF _Ref121827913 \h </w:instrText>
      </w:r>
      <w:r>
        <w:fldChar w:fldCharType="separate"/>
      </w:r>
      <w:r w:rsidR="00A05E81" w:rsidRPr="00B14B63">
        <w:t xml:space="preserve">Table </w:t>
      </w:r>
      <w:r w:rsidR="00A05E81">
        <w:rPr>
          <w:noProof/>
        </w:rPr>
        <w:t>14</w:t>
      </w:r>
      <w:r>
        <w:fldChar w:fldCharType="end"/>
      </w:r>
      <w:r>
        <w:t xml:space="preserve"> summarises the model structure, key inputs, and rationale.</w:t>
      </w:r>
      <w:r w:rsidR="00A64BE3" w:rsidRPr="00A64BE3">
        <w:t xml:space="preserve"> </w:t>
      </w:r>
      <w:r w:rsidR="00A64BE3">
        <w:t xml:space="preserve">Although the economic models considered in March 2015 and November 2015 were based on different clinical positioning (and therefore different comparators, see </w:t>
      </w:r>
      <w:r w:rsidR="00A64BE3">
        <w:fldChar w:fldCharType="begin"/>
      </w:r>
      <w:r w:rsidR="00A64BE3">
        <w:instrText xml:space="preserve"> REF _Ref121404954 \h </w:instrText>
      </w:r>
      <w:r w:rsidR="00A64BE3">
        <w:fldChar w:fldCharType="separate"/>
      </w:r>
      <w:r w:rsidR="00A05E81" w:rsidRPr="003577F3">
        <w:t xml:space="preserve">Table </w:t>
      </w:r>
      <w:r w:rsidR="00A05E81">
        <w:rPr>
          <w:noProof/>
        </w:rPr>
        <w:t>2</w:t>
      </w:r>
      <w:r w:rsidR="00A64BE3">
        <w:fldChar w:fldCharType="end"/>
      </w:r>
      <w:r w:rsidR="00A64BE3">
        <w:t>), a comparison to the economic model in the resubmission is presented in Table 14.</w:t>
      </w:r>
    </w:p>
    <w:p w14:paraId="164FA20A" w14:textId="4DE7ED32" w:rsidR="003A4883" w:rsidRPr="00B14B63" w:rsidRDefault="003A4883" w:rsidP="00FE498C">
      <w:pPr>
        <w:pStyle w:val="Caption"/>
        <w:rPr>
          <w:rStyle w:val="CommentReference"/>
          <w:b/>
          <w:szCs w:val="24"/>
        </w:rPr>
      </w:pPr>
      <w:bookmarkStart w:id="71" w:name="_Ref121827913"/>
      <w:r w:rsidRPr="00B14B63">
        <w:lastRenderedPageBreak/>
        <w:t xml:space="preserve">Table </w:t>
      </w:r>
      <w:r w:rsidR="00A05E81">
        <w:fldChar w:fldCharType="begin"/>
      </w:r>
      <w:r w:rsidR="00A05E81">
        <w:instrText xml:space="preserve"> SEQ Table \* ARABIC </w:instrText>
      </w:r>
      <w:r w:rsidR="00A05E81">
        <w:fldChar w:fldCharType="separate"/>
      </w:r>
      <w:r w:rsidR="00A05E81">
        <w:rPr>
          <w:noProof/>
        </w:rPr>
        <w:t>14</w:t>
      </w:r>
      <w:r w:rsidR="00A05E81">
        <w:rPr>
          <w:noProof/>
        </w:rPr>
        <w:fldChar w:fldCharType="end"/>
      </w:r>
      <w:bookmarkEnd w:id="71"/>
      <w:r w:rsidRPr="00B14B63">
        <w:t>:</w:t>
      </w:r>
      <w:r w:rsidRPr="00B14B63">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7"/>
        <w:gridCol w:w="4785"/>
        <w:gridCol w:w="1472"/>
        <w:gridCol w:w="1793"/>
      </w:tblGrid>
      <w:tr w:rsidR="003A4883" w:rsidRPr="0033470C" w14:paraId="78E40D79" w14:textId="77777777" w:rsidTr="007D4E6D">
        <w:trPr>
          <w:cantSplit/>
          <w:tblHeader/>
        </w:trPr>
        <w:tc>
          <w:tcPr>
            <w:tcW w:w="536" w:type="pct"/>
            <w:shd w:val="clear" w:color="auto" w:fill="auto"/>
            <w:vAlign w:val="center"/>
          </w:tcPr>
          <w:p w14:paraId="08080971" w14:textId="77777777" w:rsidR="003A4883" w:rsidRPr="0033470C" w:rsidRDefault="003A4883" w:rsidP="00FE498C">
            <w:pPr>
              <w:pStyle w:val="In-tableHeading"/>
              <w:keepLines/>
              <w:jc w:val="center"/>
              <w:rPr>
                <w:lang w:val="en-AU"/>
              </w:rPr>
            </w:pPr>
            <w:r w:rsidRPr="0033470C">
              <w:rPr>
                <w:lang w:val="en-AU"/>
              </w:rPr>
              <w:t>Component</w:t>
            </w:r>
          </w:p>
        </w:tc>
        <w:tc>
          <w:tcPr>
            <w:tcW w:w="2654" w:type="pct"/>
            <w:shd w:val="clear" w:color="auto" w:fill="auto"/>
            <w:vAlign w:val="center"/>
          </w:tcPr>
          <w:p w14:paraId="375EE32E" w14:textId="77777777" w:rsidR="003A4883" w:rsidRPr="0033470C" w:rsidRDefault="003A4883" w:rsidP="00FE498C">
            <w:pPr>
              <w:pStyle w:val="In-tableHeading"/>
              <w:keepLines/>
              <w:jc w:val="center"/>
              <w:rPr>
                <w:lang w:val="en-AU"/>
              </w:rPr>
            </w:pPr>
            <w:r w:rsidRPr="0033470C">
              <w:rPr>
                <w:lang w:val="en-AU"/>
              </w:rPr>
              <w:t>Summary</w:t>
            </w:r>
          </w:p>
        </w:tc>
        <w:tc>
          <w:tcPr>
            <w:tcW w:w="816" w:type="pct"/>
            <w:vAlign w:val="center"/>
          </w:tcPr>
          <w:p w14:paraId="4E3E3F37" w14:textId="77777777" w:rsidR="003A4883" w:rsidRPr="0033470C" w:rsidRDefault="003A4883" w:rsidP="00FE498C">
            <w:pPr>
              <w:pStyle w:val="In-tableHeading"/>
              <w:keepLines/>
              <w:jc w:val="center"/>
              <w:rPr>
                <w:lang w:val="en-AU"/>
              </w:rPr>
            </w:pPr>
            <w:r w:rsidRPr="0033470C">
              <w:rPr>
                <w:lang w:val="en-AU"/>
              </w:rPr>
              <w:t>March 2015</w:t>
            </w:r>
          </w:p>
        </w:tc>
        <w:tc>
          <w:tcPr>
            <w:tcW w:w="994" w:type="pct"/>
            <w:vAlign w:val="center"/>
          </w:tcPr>
          <w:p w14:paraId="450C0336" w14:textId="77777777" w:rsidR="003A4883" w:rsidRPr="0033470C" w:rsidRDefault="003A4883" w:rsidP="00FE498C">
            <w:pPr>
              <w:pStyle w:val="In-tableHeading"/>
              <w:keepLines/>
              <w:jc w:val="center"/>
              <w:rPr>
                <w:lang w:val="en-AU"/>
              </w:rPr>
            </w:pPr>
            <w:r w:rsidRPr="0033470C">
              <w:rPr>
                <w:lang w:val="en-AU"/>
              </w:rPr>
              <w:t>November 2015</w:t>
            </w:r>
          </w:p>
        </w:tc>
      </w:tr>
      <w:tr w:rsidR="003A4883" w:rsidRPr="0033470C" w14:paraId="29438842" w14:textId="77777777" w:rsidTr="007D4E6D">
        <w:trPr>
          <w:cantSplit/>
        </w:trPr>
        <w:tc>
          <w:tcPr>
            <w:tcW w:w="536" w:type="pct"/>
            <w:shd w:val="clear" w:color="auto" w:fill="auto"/>
            <w:vAlign w:val="center"/>
          </w:tcPr>
          <w:p w14:paraId="5FE5D982" w14:textId="77777777" w:rsidR="003A4883" w:rsidRPr="0033470C" w:rsidRDefault="003A4883" w:rsidP="00FE498C">
            <w:pPr>
              <w:pStyle w:val="TableText0"/>
              <w:keepLines/>
            </w:pPr>
            <w:r w:rsidRPr="0033470C">
              <w:t>Treatments</w:t>
            </w:r>
          </w:p>
        </w:tc>
        <w:tc>
          <w:tcPr>
            <w:tcW w:w="2654" w:type="pct"/>
            <w:shd w:val="clear" w:color="auto" w:fill="auto"/>
            <w:vAlign w:val="center"/>
          </w:tcPr>
          <w:p w14:paraId="0FD6487D" w14:textId="77777777" w:rsidR="003A4883" w:rsidRPr="0033470C" w:rsidRDefault="003A4883" w:rsidP="00FE498C">
            <w:pPr>
              <w:pStyle w:val="TableText0"/>
              <w:keepLines/>
            </w:pPr>
            <w:r w:rsidRPr="0033470C">
              <w:t>Apremilast vs BSC</w:t>
            </w:r>
          </w:p>
        </w:tc>
        <w:tc>
          <w:tcPr>
            <w:tcW w:w="816" w:type="pct"/>
          </w:tcPr>
          <w:p w14:paraId="2AA7AB58" w14:textId="77777777" w:rsidR="003A4883" w:rsidRPr="0033470C" w:rsidRDefault="003A4883" w:rsidP="00FE498C">
            <w:pPr>
              <w:pStyle w:val="TableText0"/>
              <w:keepLines/>
            </w:pPr>
            <w:r w:rsidRPr="0033470C">
              <w:t>Apremilast vs leflunomide</w:t>
            </w:r>
          </w:p>
        </w:tc>
        <w:tc>
          <w:tcPr>
            <w:tcW w:w="994" w:type="pct"/>
          </w:tcPr>
          <w:p w14:paraId="7D6510D4" w14:textId="77777777" w:rsidR="003A4883" w:rsidRPr="0033470C" w:rsidRDefault="003A4883" w:rsidP="00FE498C">
            <w:pPr>
              <w:pStyle w:val="TableText0"/>
              <w:keepLines/>
            </w:pPr>
            <w:r w:rsidRPr="0033470C">
              <w:t>Apremilast vs adalimumab</w:t>
            </w:r>
          </w:p>
        </w:tc>
      </w:tr>
      <w:tr w:rsidR="003A4883" w:rsidRPr="0033470C" w14:paraId="2688C5CF" w14:textId="77777777" w:rsidTr="007D4E6D">
        <w:trPr>
          <w:cantSplit/>
        </w:trPr>
        <w:tc>
          <w:tcPr>
            <w:tcW w:w="536" w:type="pct"/>
            <w:shd w:val="clear" w:color="auto" w:fill="auto"/>
            <w:vAlign w:val="center"/>
          </w:tcPr>
          <w:p w14:paraId="1ECF0D8B" w14:textId="77777777" w:rsidR="003A4883" w:rsidRPr="0033470C" w:rsidRDefault="003A4883" w:rsidP="00FE498C">
            <w:pPr>
              <w:pStyle w:val="TableText0"/>
              <w:keepLines/>
            </w:pPr>
            <w:r w:rsidRPr="0033470C">
              <w:t>Time horizon</w:t>
            </w:r>
          </w:p>
        </w:tc>
        <w:tc>
          <w:tcPr>
            <w:tcW w:w="2654" w:type="pct"/>
            <w:shd w:val="clear" w:color="auto" w:fill="auto"/>
            <w:vAlign w:val="center"/>
          </w:tcPr>
          <w:p w14:paraId="30358666" w14:textId="3FF27A2B" w:rsidR="003A4883" w:rsidRPr="0033470C" w:rsidRDefault="003A4883" w:rsidP="00FE498C">
            <w:pPr>
              <w:pStyle w:val="TableText0"/>
              <w:keepLines/>
            </w:pPr>
            <w:r w:rsidRPr="0033470C">
              <w:t xml:space="preserve">Five years in the model base case versus the ACTIVE trial that was blinded until week 24, then followed up participants over two years. </w:t>
            </w:r>
          </w:p>
        </w:tc>
        <w:tc>
          <w:tcPr>
            <w:tcW w:w="816" w:type="pct"/>
            <w:vAlign w:val="center"/>
          </w:tcPr>
          <w:p w14:paraId="1071BEFD" w14:textId="77777777" w:rsidR="003A4883" w:rsidRPr="0033470C" w:rsidRDefault="003A4883" w:rsidP="00FE498C">
            <w:pPr>
              <w:pStyle w:val="TableText0"/>
              <w:keepLines/>
            </w:pPr>
            <w:r w:rsidRPr="0033470C">
              <w:t>11 years.</w:t>
            </w:r>
          </w:p>
        </w:tc>
        <w:tc>
          <w:tcPr>
            <w:tcW w:w="994" w:type="pct"/>
            <w:vAlign w:val="center"/>
          </w:tcPr>
          <w:p w14:paraId="76B8B1C5" w14:textId="77777777" w:rsidR="003A4883" w:rsidRPr="0033470C" w:rsidRDefault="003A4883" w:rsidP="00FE498C">
            <w:pPr>
              <w:pStyle w:val="TableText0"/>
              <w:keepLines/>
            </w:pPr>
            <w:r w:rsidRPr="0033470C">
              <w:t>Five years.</w:t>
            </w:r>
          </w:p>
        </w:tc>
      </w:tr>
      <w:tr w:rsidR="003A4883" w:rsidRPr="0033470C" w14:paraId="6BDC394E" w14:textId="77777777" w:rsidTr="007D4E6D">
        <w:trPr>
          <w:cantSplit/>
        </w:trPr>
        <w:tc>
          <w:tcPr>
            <w:tcW w:w="536" w:type="pct"/>
            <w:shd w:val="clear" w:color="auto" w:fill="auto"/>
            <w:vAlign w:val="center"/>
          </w:tcPr>
          <w:p w14:paraId="681957C2" w14:textId="77777777" w:rsidR="003A4883" w:rsidRPr="0033470C" w:rsidRDefault="003A4883" w:rsidP="00FE498C">
            <w:pPr>
              <w:pStyle w:val="TableText0"/>
              <w:keepLines/>
            </w:pPr>
            <w:r w:rsidRPr="0033470C">
              <w:t>Outcomes</w:t>
            </w:r>
          </w:p>
        </w:tc>
        <w:tc>
          <w:tcPr>
            <w:tcW w:w="2654" w:type="pct"/>
            <w:shd w:val="clear" w:color="auto" w:fill="auto"/>
            <w:vAlign w:val="center"/>
          </w:tcPr>
          <w:p w14:paraId="2F48AB35" w14:textId="77777777" w:rsidR="003A4883" w:rsidRPr="0033470C" w:rsidRDefault="003A4883" w:rsidP="00FE498C">
            <w:pPr>
              <w:pStyle w:val="TableText0"/>
              <w:keepLines/>
            </w:pPr>
            <w:r w:rsidRPr="0033470C">
              <w:t>QALYs. This is appropriate.</w:t>
            </w:r>
          </w:p>
        </w:tc>
        <w:tc>
          <w:tcPr>
            <w:tcW w:w="816" w:type="pct"/>
            <w:vAlign w:val="center"/>
          </w:tcPr>
          <w:p w14:paraId="11DCE227" w14:textId="77777777" w:rsidR="003A4883" w:rsidRPr="0033470C" w:rsidRDefault="003A4883" w:rsidP="00FE498C">
            <w:pPr>
              <w:pStyle w:val="TableText0"/>
              <w:keepLines/>
            </w:pPr>
            <w:r w:rsidRPr="0033470C">
              <w:t>QALYs.</w:t>
            </w:r>
          </w:p>
        </w:tc>
        <w:tc>
          <w:tcPr>
            <w:tcW w:w="994" w:type="pct"/>
            <w:vAlign w:val="center"/>
          </w:tcPr>
          <w:p w14:paraId="61DCBA19" w14:textId="77777777" w:rsidR="003A4883" w:rsidRPr="0033470C" w:rsidRDefault="003A4883" w:rsidP="00FE498C">
            <w:pPr>
              <w:pStyle w:val="TableText0"/>
              <w:keepLines/>
            </w:pPr>
            <w:r w:rsidRPr="0033470C">
              <w:t>QALYs.</w:t>
            </w:r>
          </w:p>
        </w:tc>
      </w:tr>
      <w:tr w:rsidR="003A4883" w:rsidRPr="0033470C" w14:paraId="53ED15E3" w14:textId="77777777" w:rsidTr="007D4E6D">
        <w:trPr>
          <w:cantSplit/>
        </w:trPr>
        <w:tc>
          <w:tcPr>
            <w:tcW w:w="536" w:type="pct"/>
            <w:shd w:val="clear" w:color="auto" w:fill="auto"/>
            <w:vAlign w:val="center"/>
          </w:tcPr>
          <w:p w14:paraId="7A8F5893" w14:textId="77777777" w:rsidR="003A4883" w:rsidRPr="0033470C" w:rsidRDefault="003A4883" w:rsidP="00FE498C">
            <w:pPr>
              <w:pStyle w:val="TableText0"/>
              <w:keepLines/>
            </w:pPr>
            <w:r w:rsidRPr="0033470C">
              <w:t>Methods used to generate results</w:t>
            </w:r>
          </w:p>
        </w:tc>
        <w:tc>
          <w:tcPr>
            <w:tcW w:w="2654" w:type="pct"/>
            <w:shd w:val="clear" w:color="auto" w:fill="auto"/>
            <w:vAlign w:val="center"/>
          </w:tcPr>
          <w:p w14:paraId="5CC858F5" w14:textId="5445955E" w:rsidR="003A4883" w:rsidRPr="0033470C" w:rsidRDefault="003A4883" w:rsidP="00FE498C">
            <w:pPr>
              <w:pStyle w:val="TableText0"/>
              <w:keepLines/>
            </w:pPr>
            <w:r w:rsidRPr="0033470C">
              <w:t xml:space="preserve">Markov model. </w:t>
            </w:r>
          </w:p>
        </w:tc>
        <w:tc>
          <w:tcPr>
            <w:tcW w:w="816" w:type="pct"/>
            <w:vAlign w:val="center"/>
          </w:tcPr>
          <w:p w14:paraId="0D0987DF" w14:textId="77777777" w:rsidR="003A4883" w:rsidRPr="0033470C" w:rsidRDefault="003A4883" w:rsidP="00FE498C">
            <w:pPr>
              <w:pStyle w:val="TableText0"/>
              <w:keepLines/>
            </w:pPr>
            <w:r w:rsidRPr="0033470C">
              <w:rPr>
                <w:snapToGrid w:val="0"/>
              </w:rPr>
              <w:t>Cohort expected value analysis.</w:t>
            </w:r>
          </w:p>
        </w:tc>
        <w:tc>
          <w:tcPr>
            <w:tcW w:w="994" w:type="pct"/>
            <w:vAlign w:val="center"/>
          </w:tcPr>
          <w:p w14:paraId="41AE39D2" w14:textId="77777777" w:rsidR="003A4883" w:rsidRPr="0033470C" w:rsidRDefault="003A4883" w:rsidP="00FE498C">
            <w:pPr>
              <w:pStyle w:val="TableText0"/>
              <w:keepLines/>
            </w:pPr>
            <w:r w:rsidRPr="0033470C">
              <w:rPr>
                <w:snapToGrid w:val="0"/>
              </w:rPr>
              <w:t>Cohort expected value analysis.</w:t>
            </w:r>
          </w:p>
        </w:tc>
      </w:tr>
      <w:tr w:rsidR="003A4883" w:rsidRPr="0033470C" w14:paraId="27EBE67E" w14:textId="77777777" w:rsidTr="007D4E6D">
        <w:trPr>
          <w:cantSplit/>
        </w:trPr>
        <w:tc>
          <w:tcPr>
            <w:tcW w:w="536" w:type="pct"/>
            <w:shd w:val="clear" w:color="auto" w:fill="auto"/>
            <w:vAlign w:val="center"/>
          </w:tcPr>
          <w:p w14:paraId="496D952F" w14:textId="77777777" w:rsidR="003A4883" w:rsidRPr="0033470C" w:rsidRDefault="003A4883" w:rsidP="00FE498C">
            <w:pPr>
              <w:pStyle w:val="TableText0"/>
              <w:keepLines/>
            </w:pPr>
            <w:r w:rsidRPr="0033470C">
              <w:t>Health states</w:t>
            </w:r>
          </w:p>
        </w:tc>
        <w:tc>
          <w:tcPr>
            <w:tcW w:w="2654" w:type="pct"/>
            <w:shd w:val="clear" w:color="auto" w:fill="auto"/>
            <w:vAlign w:val="center"/>
          </w:tcPr>
          <w:p w14:paraId="0C00FF40" w14:textId="7DF69258" w:rsidR="003A4883" w:rsidRPr="0033470C" w:rsidRDefault="003A4883" w:rsidP="00FE498C">
            <w:pPr>
              <w:pStyle w:val="TableText0"/>
              <w:keepLines/>
              <w:rPr>
                <w:szCs w:val="20"/>
              </w:rPr>
            </w:pPr>
            <w:r w:rsidRPr="0033470C">
              <w:rPr>
                <w:szCs w:val="20"/>
              </w:rPr>
              <w:t>BSC</w:t>
            </w:r>
            <w:r w:rsidRPr="0033470C">
              <w:rPr>
                <w:szCs w:val="20"/>
              </w:rPr>
              <w:br/>
              <w:t>Apremilast (</w:t>
            </w:r>
            <w:r w:rsidR="00D10922">
              <w:rPr>
                <w:szCs w:val="20"/>
              </w:rPr>
              <w:t>+</w:t>
            </w:r>
            <w:r w:rsidRPr="0033470C">
              <w:rPr>
                <w:szCs w:val="20"/>
              </w:rPr>
              <w:t>BSC)</w:t>
            </w:r>
            <w:r w:rsidRPr="0033470C">
              <w:rPr>
                <w:szCs w:val="20"/>
              </w:rPr>
              <w:br/>
              <w:t>Dead</w:t>
            </w:r>
          </w:p>
          <w:p w14:paraId="1D4CDF31" w14:textId="0FC1195C" w:rsidR="003A4883" w:rsidRPr="0033470C" w:rsidRDefault="003A4883" w:rsidP="00FE498C">
            <w:pPr>
              <w:pStyle w:val="TableText0"/>
              <w:keepLines/>
            </w:pPr>
            <w:r w:rsidRPr="0033470C">
              <w:t xml:space="preserve">The model structure assumed that patients do not become eligible for and receive bDMARDs later. This is consistent with the proposed clinical management algorithm but is not appropriate for Subpopulation 1 as they could become eligible for bDMARDs if their disease progresses. </w:t>
            </w:r>
          </w:p>
        </w:tc>
        <w:tc>
          <w:tcPr>
            <w:tcW w:w="816" w:type="pct"/>
            <w:vAlign w:val="center"/>
          </w:tcPr>
          <w:p w14:paraId="291B2355" w14:textId="77777777" w:rsidR="003A4883" w:rsidRPr="0033470C" w:rsidRDefault="003A4883" w:rsidP="00FE498C">
            <w:pPr>
              <w:pStyle w:val="TableText0"/>
              <w:keepLines/>
              <w:rPr>
                <w:szCs w:val="20"/>
              </w:rPr>
            </w:pPr>
            <w:r w:rsidRPr="0033470C">
              <w:rPr>
                <w:szCs w:val="20"/>
              </w:rPr>
              <w:t>Apremilast</w:t>
            </w:r>
          </w:p>
          <w:p w14:paraId="11274721" w14:textId="77777777" w:rsidR="003A4883" w:rsidRPr="0033470C" w:rsidRDefault="003A4883" w:rsidP="00FE498C">
            <w:pPr>
              <w:pStyle w:val="TableText0"/>
              <w:keepLines/>
              <w:rPr>
                <w:szCs w:val="20"/>
              </w:rPr>
            </w:pPr>
            <w:r w:rsidRPr="0033470C">
              <w:rPr>
                <w:szCs w:val="20"/>
              </w:rPr>
              <w:t>Leflunomide</w:t>
            </w:r>
          </w:p>
          <w:p w14:paraId="2AE068E6" w14:textId="77777777" w:rsidR="003A4883" w:rsidRPr="0033470C" w:rsidRDefault="003A4883" w:rsidP="00FE498C">
            <w:pPr>
              <w:pStyle w:val="TableText0"/>
              <w:keepLines/>
              <w:rPr>
                <w:szCs w:val="20"/>
              </w:rPr>
            </w:pPr>
            <w:r w:rsidRPr="0033470C">
              <w:rPr>
                <w:szCs w:val="20"/>
              </w:rPr>
              <w:t>Adalimumab</w:t>
            </w:r>
          </w:p>
          <w:p w14:paraId="7E2503F6" w14:textId="77777777" w:rsidR="003A4883" w:rsidRPr="0033470C" w:rsidRDefault="003A4883" w:rsidP="00FE498C">
            <w:pPr>
              <w:pStyle w:val="TableText0"/>
              <w:keepLines/>
              <w:rPr>
                <w:szCs w:val="20"/>
              </w:rPr>
            </w:pPr>
            <w:r w:rsidRPr="0033470C">
              <w:rPr>
                <w:szCs w:val="20"/>
              </w:rPr>
              <w:t>Etanercept</w:t>
            </w:r>
          </w:p>
          <w:p w14:paraId="6D15EE59" w14:textId="77777777" w:rsidR="003A4883" w:rsidRPr="0033470C" w:rsidRDefault="003A4883" w:rsidP="00FE498C">
            <w:pPr>
              <w:pStyle w:val="TableText0"/>
              <w:keepLines/>
              <w:rPr>
                <w:szCs w:val="20"/>
              </w:rPr>
            </w:pPr>
            <w:r w:rsidRPr="0033470C">
              <w:rPr>
                <w:szCs w:val="20"/>
              </w:rPr>
              <w:t>Golimumab</w:t>
            </w:r>
          </w:p>
          <w:p w14:paraId="7D65C171" w14:textId="77777777" w:rsidR="003A4883" w:rsidRPr="0033470C" w:rsidRDefault="003A4883" w:rsidP="00FE498C">
            <w:pPr>
              <w:pStyle w:val="TableText0"/>
              <w:keepLines/>
              <w:rPr>
                <w:szCs w:val="20"/>
              </w:rPr>
            </w:pPr>
            <w:r w:rsidRPr="0033470C">
              <w:rPr>
                <w:szCs w:val="20"/>
              </w:rPr>
              <w:t>BSC</w:t>
            </w:r>
          </w:p>
          <w:p w14:paraId="43BB08A8" w14:textId="77777777" w:rsidR="003A4883" w:rsidRPr="0033470C" w:rsidRDefault="003A4883" w:rsidP="00FE498C">
            <w:pPr>
              <w:pStyle w:val="TableText0"/>
              <w:keepLines/>
              <w:rPr>
                <w:szCs w:val="20"/>
              </w:rPr>
            </w:pPr>
            <w:r w:rsidRPr="0033470C">
              <w:rPr>
                <w:szCs w:val="20"/>
              </w:rPr>
              <w:t>Dead</w:t>
            </w:r>
          </w:p>
        </w:tc>
        <w:tc>
          <w:tcPr>
            <w:tcW w:w="994" w:type="pct"/>
            <w:vAlign w:val="center"/>
          </w:tcPr>
          <w:p w14:paraId="7947F191" w14:textId="77777777" w:rsidR="003A4883" w:rsidRPr="0033470C" w:rsidRDefault="003A4883" w:rsidP="00FE498C">
            <w:pPr>
              <w:pStyle w:val="TableText0"/>
              <w:keepLines/>
              <w:rPr>
                <w:szCs w:val="20"/>
              </w:rPr>
            </w:pPr>
            <w:r w:rsidRPr="0033470C">
              <w:rPr>
                <w:szCs w:val="20"/>
              </w:rPr>
              <w:t>Apremilast</w:t>
            </w:r>
          </w:p>
          <w:p w14:paraId="580B2E07" w14:textId="77777777" w:rsidR="003A4883" w:rsidRPr="0033470C" w:rsidRDefault="003A4883" w:rsidP="00FE498C">
            <w:pPr>
              <w:pStyle w:val="TableText0"/>
              <w:keepLines/>
              <w:rPr>
                <w:szCs w:val="20"/>
              </w:rPr>
            </w:pPr>
            <w:r w:rsidRPr="0033470C">
              <w:rPr>
                <w:szCs w:val="20"/>
              </w:rPr>
              <w:t>Adalimumab</w:t>
            </w:r>
          </w:p>
          <w:p w14:paraId="3FF1A12D" w14:textId="77777777" w:rsidR="003A4883" w:rsidRPr="0033470C" w:rsidRDefault="003A4883" w:rsidP="00FE498C">
            <w:pPr>
              <w:pStyle w:val="TableText0"/>
              <w:keepLines/>
              <w:rPr>
                <w:szCs w:val="20"/>
              </w:rPr>
            </w:pPr>
            <w:r w:rsidRPr="0033470C">
              <w:rPr>
                <w:szCs w:val="20"/>
              </w:rPr>
              <w:t>Etanercept</w:t>
            </w:r>
          </w:p>
          <w:p w14:paraId="33C124FF" w14:textId="77777777" w:rsidR="003A4883" w:rsidRPr="0033470C" w:rsidRDefault="003A4883" w:rsidP="00FE498C">
            <w:pPr>
              <w:pStyle w:val="TableText0"/>
              <w:keepLines/>
              <w:rPr>
                <w:szCs w:val="20"/>
              </w:rPr>
            </w:pPr>
            <w:r w:rsidRPr="0033470C">
              <w:rPr>
                <w:szCs w:val="20"/>
              </w:rPr>
              <w:t>Golimumab</w:t>
            </w:r>
          </w:p>
          <w:p w14:paraId="13B528D3" w14:textId="77777777" w:rsidR="003A4883" w:rsidRPr="0033470C" w:rsidRDefault="003A4883" w:rsidP="00FE498C">
            <w:pPr>
              <w:pStyle w:val="TableText0"/>
              <w:keepLines/>
              <w:rPr>
                <w:szCs w:val="20"/>
              </w:rPr>
            </w:pPr>
            <w:r w:rsidRPr="0033470C">
              <w:rPr>
                <w:szCs w:val="20"/>
              </w:rPr>
              <w:t>BSC</w:t>
            </w:r>
          </w:p>
        </w:tc>
      </w:tr>
      <w:tr w:rsidR="003A4883" w:rsidRPr="0033470C" w14:paraId="269AFEF5" w14:textId="77777777" w:rsidTr="007D4E6D">
        <w:trPr>
          <w:cantSplit/>
        </w:trPr>
        <w:tc>
          <w:tcPr>
            <w:tcW w:w="536" w:type="pct"/>
            <w:shd w:val="clear" w:color="auto" w:fill="auto"/>
            <w:vAlign w:val="center"/>
          </w:tcPr>
          <w:p w14:paraId="1FF64053" w14:textId="77777777" w:rsidR="003A4883" w:rsidRPr="0033470C" w:rsidRDefault="003A4883" w:rsidP="001A5767">
            <w:pPr>
              <w:pStyle w:val="TableText0"/>
              <w:keepNext w:val="0"/>
            </w:pPr>
            <w:r w:rsidRPr="0033470C">
              <w:t>Cycle length</w:t>
            </w:r>
          </w:p>
        </w:tc>
        <w:tc>
          <w:tcPr>
            <w:tcW w:w="2654" w:type="pct"/>
            <w:shd w:val="clear" w:color="auto" w:fill="auto"/>
            <w:vAlign w:val="center"/>
          </w:tcPr>
          <w:p w14:paraId="5594F7B3" w14:textId="0C801782" w:rsidR="003A4883" w:rsidRPr="0033470C" w:rsidRDefault="003A4883" w:rsidP="001A5767">
            <w:pPr>
              <w:pStyle w:val="TableText0"/>
              <w:keepNext w:val="0"/>
            </w:pPr>
            <w:r w:rsidRPr="0033470C">
              <w:t xml:space="preserve">Year/13 (28.0962 days). Allows for changes in treatment status, aligns with the ACTIVE trial outcomes and apremilast packs. </w:t>
            </w:r>
          </w:p>
        </w:tc>
        <w:tc>
          <w:tcPr>
            <w:tcW w:w="816" w:type="pct"/>
            <w:vAlign w:val="center"/>
          </w:tcPr>
          <w:p w14:paraId="4EEF7A86" w14:textId="77777777" w:rsidR="003A4883" w:rsidRPr="0033470C" w:rsidRDefault="003A4883" w:rsidP="001A5767">
            <w:pPr>
              <w:pStyle w:val="TableText0"/>
              <w:keepNext w:val="0"/>
            </w:pPr>
            <w:r w:rsidRPr="0033470C">
              <w:rPr>
                <w:snapToGrid w:val="0"/>
              </w:rPr>
              <w:t>28 days (4 weeks).</w:t>
            </w:r>
          </w:p>
        </w:tc>
        <w:tc>
          <w:tcPr>
            <w:tcW w:w="994" w:type="pct"/>
            <w:vAlign w:val="center"/>
          </w:tcPr>
          <w:p w14:paraId="543C411E" w14:textId="77777777" w:rsidR="003A4883" w:rsidRPr="0033470C" w:rsidRDefault="003A4883" w:rsidP="001A5767">
            <w:pPr>
              <w:pStyle w:val="TableText0"/>
              <w:keepNext w:val="0"/>
            </w:pPr>
            <w:r w:rsidRPr="0033470C">
              <w:rPr>
                <w:snapToGrid w:val="0"/>
              </w:rPr>
              <w:t>28 days (4 weeks).</w:t>
            </w:r>
          </w:p>
        </w:tc>
      </w:tr>
      <w:tr w:rsidR="003A4883" w:rsidRPr="0033470C" w14:paraId="42C7EAC7" w14:textId="77777777" w:rsidTr="007D4E6D">
        <w:trPr>
          <w:cantSplit/>
        </w:trPr>
        <w:tc>
          <w:tcPr>
            <w:tcW w:w="536" w:type="pct"/>
            <w:shd w:val="clear" w:color="auto" w:fill="auto"/>
            <w:vAlign w:val="center"/>
          </w:tcPr>
          <w:p w14:paraId="2333B56D" w14:textId="77777777" w:rsidR="003A4883" w:rsidRPr="0033470C" w:rsidRDefault="003A4883" w:rsidP="001A5767">
            <w:pPr>
              <w:pStyle w:val="TableText0"/>
              <w:keepNext w:val="0"/>
            </w:pPr>
            <w:r w:rsidRPr="0033470C">
              <w:t>Transition probabilities</w:t>
            </w:r>
          </w:p>
        </w:tc>
        <w:tc>
          <w:tcPr>
            <w:tcW w:w="2654" w:type="pct"/>
            <w:shd w:val="clear" w:color="auto" w:fill="auto"/>
            <w:vAlign w:val="center"/>
          </w:tcPr>
          <w:p w14:paraId="11C3E7D3" w14:textId="77777777" w:rsidR="003A4883" w:rsidRPr="0033470C" w:rsidRDefault="003A4883" w:rsidP="001A5767">
            <w:pPr>
              <w:pStyle w:val="TableText0"/>
              <w:keepNext w:val="0"/>
            </w:pPr>
            <w:bookmarkStart w:id="72" w:name="_Hlk124334392"/>
            <w:r w:rsidRPr="0033470C">
              <w:t xml:space="preserve">ACTIVE trial, Ali (2007) et al., and Australian life tables. </w:t>
            </w:r>
          </w:p>
          <w:p w14:paraId="23A1393C" w14:textId="0A246C21" w:rsidR="003A4883" w:rsidRPr="0033470C" w:rsidRDefault="003A4883" w:rsidP="001A5767">
            <w:pPr>
              <w:pStyle w:val="TableText0"/>
              <w:keepNext w:val="0"/>
            </w:pPr>
            <w:r w:rsidRPr="0033470C">
              <w:t xml:space="preserve">The eligibility criteria of the ACTIVE trial were not aligned with the proposed PBS </w:t>
            </w:r>
            <w:r w:rsidR="00FA4A0E" w:rsidRPr="0033470C">
              <w:t xml:space="preserve">population </w:t>
            </w:r>
            <w:r w:rsidR="00777CB6" w:rsidRPr="0033470C">
              <w:t>hindering its applicability</w:t>
            </w:r>
            <w:r w:rsidRPr="0033470C">
              <w:t>.</w:t>
            </w:r>
            <w:r w:rsidR="00777CB6" w:rsidRPr="0033470C">
              <w:t xml:space="preserve"> </w:t>
            </w:r>
            <w:bookmarkEnd w:id="72"/>
          </w:p>
        </w:tc>
        <w:tc>
          <w:tcPr>
            <w:tcW w:w="816" w:type="pct"/>
            <w:vAlign w:val="center"/>
          </w:tcPr>
          <w:p w14:paraId="7B1D7362" w14:textId="342061BF" w:rsidR="003A4883" w:rsidRPr="0033470C" w:rsidRDefault="008433BD" w:rsidP="001A5767">
            <w:pPr>
              <w:pStyle w:val="TableText0"/>
              <w:keepNext w:val="0"/>
            </w:pPr>
            <w:r w:rsidRPr="0033470C">
              <w:t xml:space="preserve">PALACE </w:t>
            </w:r>
            <w:r w:rsidR="003A4883" w:rsidRPr="0033470C">
              <w:t>1-3 trials and PBS data.</w:t>
            </w:r>
          </w:p>
        </w:tc>
        <w:tc>
          <w:tcPr>
            <w:tcW w:w="994" w:type="pct"/>
            <w:vAlign w:val="center"/>
          </w:tcPr>
          <w:p w14:paraId="33E06678" w14:textId="77777777" w:rsidR="003A4883" w:rsidRPr="0033470C" w:rsidRDefault="003A4883" w:rsidP="001A5767">
            <w:pPr>
              <w:pStyle w:val="TableText0"/>
              <w:keepNext w:val="0"/>
            </w:pPr>
            <w:r w:rsidRPr="0033470C">
              <w:t>PALACE 1-3 trials, pooled analysis for adalimumab, network meta-analysis conducted in the submission, PBS data, Rodgers et al. 2011.</w:t>
            </w:r>
          </w:p>
        </w:tc>
      </w:tr>
      <w:tr w:rsidR="003A4883" w:rsidRPr="0033470C" w14:paraId="6BD04D4A" w14:textId="77777777" w:rsidTr="007D4E6D">
        <w:trPr>
          <w:cantSplit/>
        </w:trPr>
        <w:tc>
          <w:tcPr>
            <w:tcW w:w="536" w:type="pct"/>
            <w:shd w:val="clear" w:color="auto" w:fill="auto"/>
            <w:vAlign w:val="center"/>
          </w:tcPr>
          <w:p w14:paraId="0A869E53" w14:textId="77777777" w:rsidR="003A4883" w:rsidRPr="0033470C" w:rsidRDefault="003A4883" w:rsidP="001A5767">
            <w:pPr>
              <w:pStyle w:val="TableText0"/>
              <w:keepNext w:val="0"/>
            </w:pPr>
            <w:r w:rsidRPr="0033470C">
              <w:t>Health-related quality of life</w:t>
            </w:r>
          </w:p>
        </w:tc>
        <w:tc>
          <w:tcPr>
            <w:tcW w:w="2654" w:type="pct"/>
            <w:shd w:val="clear" w:color="auto" w:fill="auto"/>
            <w:vAlign w:val="center"/>
          </w:tcPr>
          <w:p w14:paraId="7706A398" w14:textId="2912A055" w:rsidR="003A4883" w:rsidRPr="0033470C" w:rsidRDefault="003A4883" w:rsidP="001A5767">
            <w:pPr>
              <w:pStyle w:val="TableText0"/>
              <w:keepNext w:val="0"/>
            </w:pPr>
            <w:r w:rsidRPr="0033470C">
              <w:t>York Assessment Group regression model applied to baseline and change in HAQ-DI from the ACTIVE trial and baseline PASI from the PALACE 1-3 trials. The submission estimated utility decline for BSC based on estimates from the Norfolk Arthritis Register also presented in the York Assessment Group model.</w:t>
            </w:r>
          </w:p>
        </w:tc>
        <w:tc>
          <w:tcPr>
            <w:tcW w:w="816" w:type="pct"/>
            <w:vAlign w:val="center"/>
          </w:tcPr>
          <w:p w14:paraId="54BEFD39" w14:textId="77777777" w:rsidR="003A4883" w:rsidRPr="0033470C" w:rsidRDefault="003A4883" w:rsidP="001A5767">
            <w:pPr>
              <w:pStyle w:val="TableText0"/>
              <w:keepNext w:val="0"/>
            </w:pPr>
            <w:r w:rsidRPr="0033470C">
              <w:t>EQ-5D from PALACE 1-3 trials.</w:t>
            </w:r>
          </w:p>
        </w:tc>
        <w:tc>
          <w:tcPr>
            <w:tcW w:w="994" w:type="pct"/>
            <w:vAlign w:val="center"/>
          </w:tcPr>
          <w:p w14:paraId="3E05490D" w14:textId="77777777" w:rsidR="003A4883" w:rsidRPr="0033470C" w:rsidRDefault="003A4883" w:rsidP="001A5767">
            <w:pPr>
              <w:pStyle w:val="TableText0"/>
              <w:keepNext w:val="0"/>
            </w:pPr>
            <w:r w:rsidRPr="0033470C">
              <w:t>EQ-5D from PALACE 1-3 trials.</w:t>
            </w:r>
          </w:p>
        </w:tc>
      </w:tr>
      <w:tr w:rsidR="003A4883" w:rsidRPr="0033470C" w14:paraId="53617A66" w14:textId="77777777" w:rsidTr="007D4E6D">
        <w:trPr>
          <w:cantSplit/>
        </w:trPr>
        <w:tc>
          <w:tcPr>
            <w:tcW w:w="536" w:type="pct"/>
            <w:shd w:val="clear" w:color="auto" w:fill="auto"/>
            <w:vAlign w:val="center"/>
          </w:tcPr>
          <w:p w14:paraId="3131FA5B" w14:textId="77777777" w:rsidR="003A4883" w:rsidRPr="0033470C" w:rsidRDefault="003A4883" w:rsidP="001A5767">
            <w:pPr>
              <w:pStyle w:val="TableText0"/>
              <w:keepNext w:val="0"/>
            </w:pPr>
            <w:r w:rsidRPr="0033470C">
              <w:t xml:space="preserve">Costs </w:t>
            </w:r>
          </w:p>
        </w:tc>
        <w:tc>
          <w:tcPr>
            <w:tcW w:w="2654" w:type="pct"/>
            <w:shd w:val="clear" w:color="auto" w:fill="auto"/>
            <w:vAlign w:val="center"/>
          </w:tcPr>
          <w:p w14:paraId="655E533E" w14:textId="77777777" w:rsidR="003A4883" w:rsidRPr="0033470C" w:rsidRDefault="003A4883" w:rsidP="001A5767">
            <w:pPr>
              <w:pStyle w:val="TableText0"/>
              <w:keepNext w:val="0"/>
            </w:pPr>
            <w:r w:rsidRPr="0033470C">
              <w:t>Estimated from an advisory board and broader rheumatologist survey. Patients in the apremilast health state were assumed to have decreased costs compared to BSC.</w:t>
            </w:r>
          </w:p>
          <w:p w14:paraId="6EAC57B9" w14:textId="77777777" w:rsidR="003A4883" w:rsidRPr="0033470C" w:rsidRDefault="003A4883" w:rsidP="001A5767">
            <w:pPr>
              <w:pStyle w:val="TableText0"/>
              <w:keepNext w:val="0"/>
            </w:pPr>
            <w:r w:rsidRPr="0033470C">
              <w:t xml:space="preserve">The accuracy of expert opinion is uncertain, given the methods for collecting expert opinion were not presented in the submission. </w:t>
            </w:r>
          </w:p>
          <w:p w14:paraId="64AE4B1E" w14:textId="0BFFDF2D" w:rsidR="003A4883" w:rsidRPr="0033470C" w:rsidRDefault="003A4883" w:rsidP="00461AD5">
            <w:pPr>
              <w:pStyle w:val="TableText0"/>
            </w:pPr>
            <w:r w:rsidRPr="0033470C">
              <w:t xml:space="preserve">The submission presented evidence of apremilast impact on concomitant medications at 104 weeks. However, this </w:t>
            </w:r>
            <w:r w:rsidR="00046B67" w:rsidRPr="0033470C">
              <w:t>compared costs for the apremilast arm for weeks 0-24 with the unblinded period of weeks 24-104</w:t>
            </w:r>
            <w:r w:rsidR="00461AD5" w:rsidRPr="0033470C">
              <w:t xml:space="preserve">, </w:t>
            </w:r>
            <w:r w:rsidR="00046B67" w:rsidRPr="0033470C">
              <w:t xml:space="preserve">i.e., it is </w:t>
            </w:r>
            <w:r w:rsidRPr="0033470C">
              <w:t xml:space="preserve">not comparative data. No evidence was provided for other services or times longer than 104 weeks. </w:t>
            </w:r>
          </w:p>
        </w:tc>
        <w:tc>
          <w:tcPr>
            <w:tcW w:w="816" w:type="pct"/>
            <w:vAlign w:val="center"/>
          </w:tcPr>
          <w:p w14:paraId="0D84A1EE" w14:textId="77777777" w:rsidR="003A4883" w:rsidRPr="0033470C" w:rsidRDefault="003A4883" w:rsidP="001A5767">
            <w:pPr>
              <w:pStyle w:val="TableText0"/>
              <w:keepNext w:val="0"/>
            </w:pPr>
            <w:r w:rsidRPr="0033470C">
              <w:rPr>
                <w:rFonts w:cs="Times New Roman"/>
                <w:snapToGrid w:val="0"/>
              </w:rPr>
              <w:t>Survey of Australian rheumatologists and assumptions.</w:t>
            </w:r>
          </w:p>
        </w:tc>
        <w:tc>
          <w:tcPr>
            <w:tcW w:w="994" w:type="pct"/>
            <w:vAlign w:val="center"/>
          </w:tcPr>
          <w:p w14:paraId="3444EDBF" w14:textId="77777777" w:rsidR="003A4883" w:rsidRPr="0033470C" w:rsidRDefault="003A4883" w:rsidP="001A5767">
            <w:pPr>
              <w:pStyle w:val="TableText0"/>
              <w:keepNext w:val="0"/>
            </w:pPr>
            <w:r w:rsidRPr="0033470C">
              <w:rPr>
                <w:rFonts w:cs="Times New Roman"/>
                <w:snapToGrid w:val="0"/>
              </w:rPr>
              <w:t>Survey of Australian rheumatologists and assumptions.</w:t>
            </w:r>
          </w:p>
        </w:tc>
      </w:tr>
    </w:tbl>
    <w:p w14:paraId="5DA175DE" w14:textId="77777777" w:rsidR="003A4883" w:rsidRDefault="003A4883" w:rsidP="003A4883">
      <w:pPr>
        <w:pStyle w:val="FooterTableFigure"/>
      </w:pPr>
      <w:r w:rsidRPr="00B14B63">
        <w:t xml:space="preserve">Source: </w:t>
      </w:r>
      <w:r w:rsidRPr="00B174D7">
        <w:t>Table 3-1,</w:t>
      </w:r>
      <w:r>
        <w:t xml:space="preserve"> p82 of the submission;</w:t>
      </w:r>
      <w:r w:rsidRPr="00B174D7">
        <w:t xml:space="preserve"> pp22, 82, 83, 85, 92, 103 of the submission.</w:t>
      </w:r>
      <w:r>
        <w:t xml:space="preserve"> Table D3.3.1</w:t>
      </w:r>
      <w:r w:rsidRPr="006E7B3A">
        <w:t xml:space="preserve"> </w:t>
      </w:r>
      <w:r>
        <w:t>&amp; Figure D3.1, p58 of the Commentary on the March</w:t>
      </w:r>
      <w:r w:rsidRPr="00DA5CF1">
        <w:t xml:space="preserve"> </w:t>
      </w:r>
      <w:r>
        <w:t>apremilast 2015 submission. Figure D.3.1, Table D.3.1, Table D.4.2, Table D.4.3 pp53, 54,56, 57 of the Commentary on the November 2015 apremilast submission.</w:t>
      </w:r>
    </w:p>
    <w:p w14:paraId="1633A52F" w14:textId="77777777" w:rsidR="003A4883" w:rsidRPr="00B174D7" w:rsidRDefault="003A4883" w:rsidP="003A4883">
      <w:pPr>
        <w:pStyle w:val="FooterTableFigure"/>
      </w:pPr>
      <w:r w:rsidRPr="00B174D7">
        <w:t>BSC = best supportive care; HAQ-DI = Health Assessment Questionnaire-Disability Index score</w:t>
      </w:r>
      <w:r>
        <w:t>;</w:t>
      </w:r>
      <w:r w:rsidRPr="00B174D7">
        <w:t xml:space="preserve"> PASI = Psoriasis Area and Severity Index</w:t>
      </w:r>
      <w:r>
        <w:t>;</w:t>
      </w:r>
      <w:r w:rsidRPr="00B174D7">
        <w:t xml:space="preserve"> PBAC = Pharmaceutical Benefits Advisory Committee; PBS = Pharmaceutical Benefits Schedule; PsA = psoriatic arthritis</w:t>
      </w:r>
      <w:r>
        <w:t>.</w:t>
      </w:r>
    </w:p>
    <w:p w14:paraId="0D467EB6" w14:textId="722184DB" w:rsidR="003A4883" w:rsidRPr="0033470C" w:rsidRDefault="003A4883" w:rsidP="003A4883">
      <w:pPr>
        <w:pStyle w:val="3-BodyText"/>
        <w:ind w:left="720" w:hanging="720"/>
      </w:pPr>
      <w:r w:rsidRPr="0033470C">
        <w:t xml:space="preserve">The model structure was based on the ACTIVE trial and did not directly address PsA health states such as the six core domains peripheral arthritis, axial disease, enthesitis, dactylitis, and skin and nail psoriasis. </w:t>
      </w:r>
      <w:bookmarkStart w:id="73" w:name="_Hlk122360172"/>
      <w:r w:rsidRPr="0033470C">
        <w:t xml:space="preserve">Further, the model structure is not appropriate </w:t>
      </w:r>
      <w:r w:rsidRPr="0033470C">
        <w:lastRenderedPageBreak/>
        <w:t xml:space="preserve">for </w:t>
      </w:r>
      <w:r w:rsidR="003B5F31">
        <w:t>s</w:t>
      </w:r>
      <w:r w:rsidRPr="0033470C">
        <w:t>ubpopulation 1 as these patients could later become eligible for bDMARDs due to disease progression, which is not represented in the model.</w:t>
      </w:r>
      <w:bookmarkEnd w:id="73"/>
    </w:p>
    <w:p w14:paraId="443D1558" w14:textId="5CB4B9F9" w:rsidR="00CC3403" w:rsidRPr="0097685D" w:rsidRDefault="003A4883" w:rsidP="003A4883">
      <w:pPr>
        <w:pStyle w:val="3-BodyText"/>
        <w:ind w:left="720" w:hanging="720"/>
        <w:rPr>
          <w:i/>
          <w:iCs/>
        </w:rPr>
      </w:pPr>
      <w:r w:rsidRPr="004C0D9B">
        <w:t xml:space="preserve">The proportion of participants who continued apremilast after the first 24 weeks of treatment was assumed to be the proportion of participants </w:t>
      </w:r>
      <w:r w:rsidR="00CC3403" w:rsidRPr="00AA64DF">
        <w:t>in the apremilast treatment arm</w:t>
      </w:r>
      <w:r w:rsidR="00CC3403" w:rsidRPr="004C0D9B">
        <w:t xml:space="preserve"> </w:t>
      </w:r>
      <w:r w:rsidRPr="004C0D9B">
        <w:t>who were ACR20 responders at week 24 in the ACTIVE trial including two participants in early escape (</w:t>
      </w:r>
      <w:r w:rsidR="006F60A5" w:rsidRPr="004C0D9B">
        <w:t>50/110=</w:t>
      </w:r>
      <w:r w:rsidRPr="004C0D9B">
        <w:t>45.45%). This approach is not reasonable</w:t>
      </w:r>
      <w:r w:rsidR="00CC3403" w:rsidRPr="004C0D9B">
        <w:t xml:space="preserve"> </w:t>
      </w:r>
      <w:r w:rsidR="00CC3403" w:rsidRPr="00AA64DF">
        <w:t xml:space="preserve">as it will overestimate the response rate </w:t>
      </w:r>
      <w:r w:rsidR="003B5F31" w:rsidRPr="00AA64DF">
        <w:t xml:space="preserve">for apremilast </w:t>
      </w:r>
      <w:r w:rsidR="00CC3403" w:rsidRPr="00AA64DF">
        <w:t xml:space="preserve">as </w:t>
      </w:r>
      <w:r w:rsidR="008050A1" w:rsidRPr="00AA64DF">
        <w:t xml:space="preserve">(i) it includes patients in early escape and (ii) </w:t>
      </w:r>
      <w:r w:rsidR="00CC3403" w:rsidRPr="00AA64DF">
        <w:t>it does not account for the placebo response</w:t>
      </w:r>
      <w:r w:rsidR="00CC3403" w:rsidRPr="004C0D9B">
        <w:t>.</w:t>
      </w:r>
      <w:r w:rsidR="004F3EF3" w:rsidRPr="004C0D9B">
        <w:t xml:space="preserve"> </w:t>
      </w:r>
      <w:r w:rsidR="004F3EF3" w:rsidRPr="00AA64DF">
        <w:t xml:space="preserve">The ESC noted using the </w:t>
      </w:r>
      <w:r w:rsidR="00CA7260">
        <w:t>placebo-</w:t>
      </w:r>
      <w:r w:rsidR="004F3EF3" w:rsidRPr="00AA64DF">
        <w:t>adjusted differen</w:t>
      </w:r>
      <w:r w:rsidR="00CA7260">
        <w:t>ce</w:t>
      </w:r>
      <w:r w:rsidR="004F3EF3" w:rsidRPr="00AA64DF">
        <w:t xml:space="preserve"> (18%) increased the ICER from $</w:t>
      </w:r>
      <w:r w:rsidR="00097E81">
        <w:t>25,000 to &lt; $35,000</w:t>
      </w:r>
      <w:r w:rsidR="004F3EF3" w:rsidRPr="00AA64DF">
        <w:t>/ QALY to $</w:t>
      </w:r>
      <w:r w:rsidR="00097E81">
        <w:t>25,000 to &lt; $35,000</w:t>
      </w:r>
      <w:r w:rsidR="004F3EF3" w:rsidRPr="00AA64DF">
        <w:t>/ QALY</w:t>
      </w:r>
      <w:r w:rsidR="004F3EF3" w:rsidRPr="004F3EF3">
        <w:rPr>
          <w:i/>
          <w:iCs/>
        </w:rPr>
        <w:t>.</w:t>
      </w:r>
      <w:r w:rsidR="004F3EF3">
        <w:t xml:space="preserve"> </w:t>
      </w:r>
    </w:p>
    <w:p w14:paraId="6384BECA" w14:textId="1818E0D3" w:rsidR="003A4883" w:rsidRDefault="003A4883" w:rsidP="003A4883">
      <w:pPr>
        <w:pStyle w:val="3-BodyText"/>
        <w:ind w:left="720" w:hanging="720"/>
      </w:pPr>
      <w:r w:rsidRPr="0033470C">
        <w:t xml:space="preserve">The submission mapped HAQ-DI scores from the ACTIVE trial and baseline PASI scores from the PALACE 1-3 trials to EQ-5D utilities using the York Assessment Group regression equations. </w:t>
      </w:r>
      <w:bookmarkStart w:id="74" w:name="_Hlk121849896"/>
      <w:r w:rsidRPr="0033470C">
        <w:t>HAQ-DI captures physical functioning, whereas the PASI score represents dermatologic symptoms. Neither capture other attributes relevant to health-related quality of life, such as mental health.</w:t>
      </w:r>
      <w:r w:rsidR="0006067A">
        <w:t xml:space="preserve"> </w:t>
      </w:r>
    </w:p>
    <w:bookmarkEnd w:id="74"/>
    <w:p w14:paraId="7698449D" w14:textId="0A1E624B" w:rsidR="003A4883" w:rsidRDefault="003A4883" w:rsidP="003A4883">
      <w:pPr>
        <w:pStyle w:val="3-BodyText"/>
        <w:ind w:left="720" w:hanging="720"/>
      </w:pPr>
      <w:r w:rsidRPr="0033470C">
        <w:t>Changes in utility were inferred from changes in HAQ</w:t>
      </w:r>
      <w:r w:rsidRPr="0033470C">
        <w:noBreakHyphen/>
        <w:t>DI, ignoring changes in PASI because it was not collected in the ACTIVE trial. This makes the accuracy of derived utility estimates uncertain. The impact of this uncertainty cannot be determined. Baseline PASI scores from the PALACE 1-3 trials may not apply to the ACTIVE trial or the proposed PBS population. The impact of applying baseline estimates from two different datasets on the derived utilities is uncertain.</w:t>
      </w:r>
    </w:p>
    <w:p w14:paraId="436389D4" w14:textId="77777777" w:rsidR="00CA7260" w:rsidRPr="009A5C5D" w:rsidRDefault="003A4883" w:rsidP="003A4883">
      <w:pPr>
        <w:pStyle w:val="3-BodyText"/>
        <w:ind w:left="720" w:hanging="720"/>
        <w:rPr>
          <w:i/>
          <w:iCs/>
        </w:rPr>
      </w:pPr>
      <w:r w:rsidRPr="0033470C">
        <w:t xml:space="preserve">The ACTIVE trial reported the SF-36 physical function scale score and the physical component summary score. The ACTIVE trial CSR stated that Version 2 of the SF-36 was administered. The CSR did not report mental health components, and whether these were measured is unclear. The </w:t>
      </w:r>
      <w:r w:rsidR="008050A1" w:rsidRPr="00AA64DF">
        <w:t>evaluation considered the</w:t>
      </w:r>
      <w:r w:rsidR="008050A1">
        <w:t xml:space="preserve"> </w:t>
      </w:r>
      <w:r w:rsidRPr="0033470C">
        <w:t xml:space="preserve">full SF-36 would have been preferred as it would consider other attributes important to health-related quality of life, such as mental health. </w:t>
      </w:r>
    </w:p>
    <w:p w14:paraId="268B2BE4" w14:textId="088A51A5" w:rsidR="003A4883" w:rsidRDefault="003A4883" w:rsidP="00D10922">
      <w:pPr>
        <w:pStyle w:val="3-BodyText"/>
        <w:rPr>
          <w:i/>
          <w:iCs/>
        </w:rPr>
      </w:pPr>
      <w:r>
        <w:rPr>
          <w:i/>
          <w:iCs/>
        </w:rPr>
        <w:fldChar w:fldCharType="begin"/>
      </w:r>
      <w:r>
        <w:rPr>
          <w:i/>
          <w:iCs/>
        </w:rPr>
        <w:instrText xml:space="preserve"> REF _Ref121834034 \h </w:instrText>
      </w:r>
      <w:r>
        <w:rPr>
          <w:i/>
          <w:iCs/>
        </w:rPr>
      </w:r>
      <w:r>
        <w:rPr>
          <w:i/>
          <w:iCs/>
        </w:rPr>
        <w:fldChar w:fldCharType="separate"/>
      </w:r>
      <w:r w:rsidR="00A05E81">
        <w:t xml:space="preserve">Figure </w:t>
      </w:r>
      <w:r w:rsidR="00A05E81">
        <w:rPr>
          <w:noProof/>
        </w:rPr>
        <w:t>3</w:t>
      </w:r>
      <w:r>
        <w:rPr>
          <w:i/>
          <w:iCs/>
        </w:rPr>
        <w:fldChar w:fldCharType="end"/>
      </w:r>
      <w:r>
        <w:rPr>
          <w:i/>
          <w:iCs/>
        </w:rPr>
        <w:t xml:space="preserve"> </w:t>
      </w:r>
      <w:r>
        <w:t>presents utilities by health state over the model's time horizon.</w:t>
      </w:r>
      <w:r w:rsidR="00D10922">
        <w:t xml:space="preserve"> </w:t>
      </w:r>
    </w:p>
    <w:p w14:paraId="441FA28B" w14:textId="6196C0D3" w:rsidR="003A4883" w:rsidRDefault="003A4883" w:rsidP="003A4883">
      <w:pPr>
        <w:pStyle w:val="Caption"/>
      </w:pPr>
      <w:bookmarkStart w:id="75" w:name="_Ref121834034"/>
      <w:r>
        <w:lastRenderedPageBreak/>
        <w:t xml:space="preserve">Figure </w:t>
      </w:r>
      <w:r w:rsidR="00A05E81">
        <w:fldChar w:fldCharType="begin"/>
      </w:r>
      <w:r w:rsidR="00A05E81">
        <w:instrText xml:space="preserve"> SEQ Figure \* ARABIC </w:instrText>
      </w:r>
      <w:r w:rsidR="00A05E81">
        <w:fldChar w:fldCharType="separate"/>
      </w:r>
      <w:r w:rsidR="00A05E81">
        <w:rPr>
          <w:noProof/>
        </w:rPr>
        <w:t>3</w:t>
      </w:r>
      <w:r w:rsidR="00A05E81">
        <w:rPr>
          <w:noProof/>
        </w:rPr>
        <w:fldChar w:fldCharType="end"/>
      </w:r>
      <w:bookmarkEnd w:id="75"/>
      <w:r>
        <w:t xml:space="preserve">: </w:t>
      </w:r>
      <w:r w:rsidRPr="00B174D7">
        <w:t>Utility by health state over the model</w:t>
      </w:r>
      <w:r>
        <w:t>'</w:t>
      </w:r>
      <w:r w:rsidRPr="00B174D7">
        <w:t>s time horizon</w:t>
      </w:r>
    </w:p>
    <w:p w14:paraId="0CAB8ABC" w14:textId="77777777" w:rsidR="003A4883" w:rsidRPr="00B174D7" w:rsidRDefault="003A4883" w:rsidP="003A4883">
      <w:pPr>
        <w:jc w:val="center"/>
      </w:pPr>
      <w:r w:rsidRPr="00B174D7">
        <w:rPr>
          <w:noProof/>
        </w:rPr>
        <w:drawing>
          <wp:inline distT="0" distB="0" distL="0" distR="0" wp14:anchorId="22D10240" wp14:editId="678474F4">
            <wp:extent cx="4572000" cy="2743200"/>
            <wp:effectExtent l="0" t="0" r="0" b="0"/>
            <wp:docPr id="24" name="Picture 24" descr="Figure 3: Utility by health state over the model's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3: Utility by health state over the model's time horiz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BF618C7" w14:textId="77777777" w:rsidR="003A4883" w:rsidRPr="00B174D7" w:rsidRDefault="003A4883" w:rsidP="003A4883">
      <w:pPr>
        <w:pStyle w:val="FooterTableFigure"/>
      </w:pPr>
      <w:r w:rsidRPr="00B174D7">
        <w:t>Source: Figure 3-2, p95 of the submission.</w:t>
      </w:r>
    </w:p>
    <w:p w14:paraId="1B2152E7" w14:textId="77777777" w:rsidR="003A4883" w:rsidRPr="00B174D7" w:rsidRDefault="003A4883" w:rsidP="003A4883">
      <w:pPr>
        <w:pStyle w:val="FooterTableFigure"/>
      </w:pPr>
      <w:r w:rsidRPr="00B174D7">
        <w:t>BSC = best supportive care; W = weeks.</w:t>
      </w:r>
    </w:p>
    <w:p w14:paraId="68761BC4" w14:textId="77777777" w:rsidR="003A4883" w:rsidRPr="0033470C" w:rsidRDefault="003A4883" w:rsidP="003A4883">
      <w:pPr>
        <w:pStyle w:val="3-BodyText"/>
        <w:ind w:left="720" w:hanging="720"/>
      </w:pPr>
      <w:r w:rsidRPr="0033470C">
        <w:t>The submission assumed that HAQ-DI in the BSC health state would increase (i.e., decreasing utilities) after week 16. The submission estimated HAQ</w:t>
      </w:r>
      <w:r w:rsidRPr="0033470C">
        <w:noBreakHyphen/>
        <w:t>DI increase in the BSC health state from the Norfolk Arthritis Register. The Norfolk Arthritis Register included participants with three tender joints and three swollen joints, and previous use of two or more DMARDs or were still using two DMARDs for at least 30 days. These criteria were designed to assess patients eligible for bDMARDs in the United Kingdom. The applicability of this data to the Australian setting is uncertain.</w:t>
      </w:r>
    </w:p>
    <w:p w14:paraId="161422B8" w14:textId="77777777" w:rsidR="003A4883" w:rsidRPr="0033470C" w:rsidRDefault="003A4883" w:rsidP="003A4883">
      <w:pPr>
        <w:pStyle w:val="3-BodyText"/>
        <w:ind w:left="720" w:hanging="720"/>
      </w:pPr>
      <w:r w:rsidRPr="0033470C">
        <w:t>The submission assumed that HAQ-DI for patients in the apremilast arm after week 24 would remain unchanged, i.e., it did not consider disease progression. This might not be appropriate. Disease progression could also apply to patients taking apremilast, as the Norfolk Arthritis Register included patients still using two DMARDs (not biologics) for at least 30 days, showing deterioration after five years. Excluding disease progression in the apremilast health state if disease progression exists, overestimates utilities in the apremilast arm.</w:t>
      </w:r>
    </w:p>
    <w:p w14:paraId="1D84B1A1" w14:textId="33089D44" w:rsidR="003A4883" w:rsidRPr="0033470C" w:rsidRDefault="0036400B" w:rsidP="003A4883">
      <w:pPr>
        <w:pStyle w:val="3-BodyText"/>
        <w:ind w:left="720" w:hanging="720"/>
      </w:pPr>
      <w:r w:rsidRPr="0033470C">
        <w:t>The model considered utility decrements in the BSC health state according to the cycle and the transitions of apremilast to BSC health states</w:t>
      </w:r>
      <w:r w:rsidR="005234C7" w:rsidRPr="0033470C">
        <w:t xml:space="preserve">. When a </w:t>
      </w:r>
      <w:r w:rsidR="00FE1CFB" w:rsidRPr="0033470C">
        <w:t>non-responder</w:t>
      </w:r>
      <w:r w:rsidR="005234C7" w:rsidRPr="0033470C">
        <w:t xml:space="preserve"> transitioned from apremilast to BSC, utilities from cycle one in the BSC arm were applied, regardless of the cycle when the transition occurred. </w:t>
      </w:r>
      <w:r w:rsidR="003A4883" w:rsidRPr="0033470C">
        <w:t>This overestimates utilities in the apremilast arm.</w:t>
      </w:r>
    </w:p>
    <w:p w14:paraId="069F3D97" w14:textId="010CDA32" w:rsidR="003A4883" w:rsidRDefault="003A4883" w:rsidP="003A4883">
      <w:pPr>
        <w:pStyle w:val="3-BodyText"/>
        <w:ind w:left="720" w:hanging="720"/>
      </w:pPr>
      <w:r w:rsidRPr="0033470C">
        <w:t xml:space="preserve">The model assumed that every participant starting in the apremilast arm stayed in the apremilast health state from week 1 (cycle 1) until week 24 (cycle 6). It also assumed all participants in the apremilast arm experienced an increase in their utility from week 16 (cycle 4) to week 24 (cycle 6) compared to BSC. </w:t>
      </w:r>
      <w:bookmarkStart w:id="76" w:name="_Hlk122361402"/>
      <w:r w:rsidRPr="0033470C">
        <w:t xml:space="preserve">While some participants in the apremilast arm were non responders, the model assumed these </w:t>
      </w:r>
      <w:r w:rsidR="00FE1CFB" w:rsidRPr="0033470C">
        <w:t>non-responders</w:t>
      </w:r>
      <w:r w:rsidRPr="0033470C">
        <w:t xml:space="preserve"> also experienced an increase in their utility from week 16 (cycle 4) to week 24 (cycle 6). </w:t>
      </w:r>
      <w:r w:rsidRPr="0033470C">
        <w:lastRenderedPageBreak/>
        <w:t xml:space="preserve">Utilities for </w:t>
      </w:r>
      <w:r w:rsidR="00FE1CFB" w:rsidRPr="0033470C">
        <w:t>non-responders</w:t>
      </w:r>
      <w:r w:rsidRPr="0033470C">
        <w:t xml:space="preserve"> were therefore overestimated between week 16 (cycle 4) to week 24 (cycle 6).</w:t>
      </w:r>
      <w:bookmarkEnd w:id="76"/>
      <w:r w:rsidRPr="0033470C">
        <w:t xml:space="preserve"> </w:t>
      </w:r>
      <w:bookmarkStart w:id="77" w:name="_Hlk122361505"/>
      <w:r w:rsidRPr="0033470C">
        <w:t>The model also assumed non responders in the apremilast arm experienced the same decrease in BSC costs as responders between week 1 (cycle 1) to week 24 (cycle 6). This underestimates BSC costs in the apremilast arm.</w:t>
      </w:r>
    </w:p>
    <w:p w14:paraId="651B57E0" w14:textId="170089F2" w:rsidR="00EB4B72" w:rsidRPr="00AA64DF" w:rsidRDefault="00EB4B72" w:rsidP="003A4883">
      <w:pPr>
        <w:pStyle w:val="3-BodyText"/>
        <w:ind w:left="720" w:hanging="720"/>
      </w:pPr>
      <w:r w:rsidRPr="00AA64DF">
        <w:t>The PSCR stated the model uses a regression equation that estimates utility from HAQ-DI and PASI scores, however the model assumes no change in PASI score, so the change in utility depends only on change in HAQ-DI, as measured in the ACTIVE trial. The PSCR stated that for mathematical convenience, a baseline utility was required, however it has no effect on the calculated ICER</w:t>
      </w:r>
      <w:r w:rsidR="00E265F2">
        <w:t xml:space="preserve"> </w:t>
      </w:r>
      <w:r w:rsidRPr="00AA64DF">
        <w:t xml:space="preserve">and the assumption of no change in PASI score was likely to bias the model to higher ICER values, as apremilast is likely to lead to improvement in PASI score in responders. Furthermore, the PSCR also stated the utility between week 16 and 24 was estimated from the HAQ-DI of all apremilast patients at week 16, which therefore accounts for non-responders. </w:t>
      </w:r>
    </w:p>
    <w:bookmarkEnd w:id="77"/>
    <w:p w14:paraId="260A8400" w14:textId="77777777" w:rsidR="003A4883" w:rsidRPr="0033470C" w:rsidRDefault="003A4883" w:rsidP="003A4883">
      <w:pPr>
        <w:pStyle w:val="3-BodyText"/>
        <w:ind w:left="720" w:hanging="720"/>
      </w:pPr>
      <w:r w:rsidRPr="0033470C">
        <w:t xml:space="preserve">The submission estimated costs from a survey to an advisory board and Australian rheumatologists. It is appropriate to consult expert opinion due to the lack of Australian published data. However, results should be interpreted with caution as their accuracy is unclear, and methods were not presented. </w:t>
      </w:r>
    </w:p>
    <w:p w14:paraId="2CD6E30B" w14:textId="77777777" w:rsidR="000300F9" w:rsidRDefault="003A4883" w:rsidP="003A4883">
      <w:pPr>
        <w:pStyle w:val="3-BodyText"/>
        <w:ind w:left="720" w:hanging="720"/>
      </w:pPr>
      <w:r w:rsidRPr="0033470C">
        <w:t>The submission assumed that costs for BSC in the apremilast health state were lower than the BSC health state due to the effect of apremilast. It is uncertain whether the assumption of lower costs for BSC in the apremilast health state is valid</w:t>
      </w:r>
      <w:r w:rsidR="000300F9">
        <w:t>.</w:t>
      </w:r>
    </w:p>
    <w:p w14:paraId="34E2F875" w14:textId="5C09D9BD" w:rsidR="003A4883" w:rsidRPr="0033470C" w:rsidRDefault="003A4883" w:rsidP="003A4883">
      <w:pPr>
        <w:pStyle w:val="3-BodyText"/>
        <w:ind w:left="720" w:hanging="720"/>
        <w:rPr>
          <w:b/>
          <w:bCs/>
          <w:color w:val="0066FF"/>
        </w:rPr>
      </w:pPr>
      <w:r w:rsidRPr="0033470C">
        <w:t xml:space="preserve">A summary of the key drivers of the model is provided in </w:t>
      </w:r>
      <w:r w:rsidRPr="0033470C">
        <w:fldChar w:fldCharType="begin"/>
      </w:r>
      <w:r w:rsidRPr="0033470C">
        <w:instrText xml:space="preserve"> REF _Ref104805122 \h  \* MERGEFORMAT </w:instrText>
      </w:r>
      <w:r w:rsidRPr="0033470C">
        <w:fldChar w:fldCharType="separate"/>
      </w:r>
      <w:r w:rsidR="00A05E81" w:rsidRPr="00B14B63">
        <w:t xml:space="preserve">Table </w:t>
      </w:r>
      <w:r w:rsidR="00A05E81">
        <w:t>15</w:t>
      </w:r>
      <w:r w:rsidRPr="0033470C">
        <w:fldChar w:fldCharType="end"/>
      </w:r>
      <w:r w:rsidRPr="0033470C">
        <w:t xml:space="preserve">. </w:t>
      </w:r>
    </w:p>
    <w:p w14:paraId="026273C1" w14:textId="2C67216D" w:rsidR="003A4883" w:rsidRPr="00B14B63" w:rsidRDefault="003A4883" w:rsidP="003A4883">
      <w:pPr>
        <w:pStyle w:val="Caption"/>
        <w:rPr>
          <w:rStyle w:val="CommentReference"/>
          <w:b/>
          <w:szCs w:val="24"/>
        </w:rPr>
      </w:pPr>
      <w:bookmarkStart w:id="78" w:name="_Ref104805122"/>
      <w:r w:rsidRPr="00B14B63">
        <w:t xml:space="preserve">Table </w:t>
      </w:r>
      <w:r w:rsidR="00A05E81">
        <w:fldChar w:fldCharType="begin"/>
      </w:r>
      <w:r w:rsidR="00A05E81">
        <w:instrText xml:space="preserve"> SEQ Table \* ARABIC </w:instrText>
      </w:r>
      <w:r w:rsidR="00A05E81">
        <w:fldChar w:fldCharType="separate"/>
      </w:r>
      <w:r w:rsidR="00A05E81">
        <w:rPr>
          <w:noProof/>
        </w:rPr>
        <w:t>15</w:t>
      </w:r>
      <w:r w:rsidR="00A05E81">
        <w:rPr>
          <w:noProof/>
        </w:rPr>
        <w:fldChar w:fldCharType="end"/>
      </w:r>
      <w:bookmarkEnd w:id="78"/>
      <w:r w:rsidRPr="00B14B63">
        <w:t>:</w:t>
      </w:r>
      <w:r w:rsidRPr="00B14B63">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3686"/>
        <w:gridCol w:w="4202"/>
      </w:tblGrid>
      <w:tr w:rsidR="003A4883" w:rsidRPr="004C0D9B" w14:paraId="3F79E0A4" w14:textId="77777777" w:rsidTr="007D4E6D">
        <w:trPr>
          <w:tblHeader/>
        </w:trPr>
        <w:tc>
          <w:tcPr>
            <w:tcW w:w="626" w:type="pct"/>
            <w:shd w:val="clear" w:color="auto" w:fill="auto"/>
            <w:vAlign w:val="center"/>
          </w:tcPr>
          <w:p w14:paraId="15FF5F06" w14:textId="77777777" w:rsidR="003A4883" w:rsidRPr="004C0D9B" w:rsidRDefault="003A4883" w:rsidP="001A5767">
            <w:pPr>
              <w:pStyle w:val="In-tableHeading"/>
              <w:jc w:val="center"/>
              <w:rPr>
                <w:lang w:val="en-AU"/>
              </w:rPr>
            </w:pPr>
            <w:r w:rsidRPr="004C0D9B">
              <w:rPr>
                <w:lang w:val="en-AU"/>
              </w:rPr>
              <w:t>Description</w:t>
            </w:r>
          </w:p>
        </w:tc>
        <w:tc>
          <w:tcPr>
            <w:tcW w:w="2044" w:type="pct"/>
            <w:shd w:val="clear" w:color="auto" w:fill="auto"/>
            <w:vAlign w:val="center"/>
          </w:tcPr>
          <w:p w14:paraId="00ED2D99" w14:textId="77777777" w:rsidR="003A4883" w:rsidRPr="004C0D9B" w:rsidRDefault="003A4883" w:rsidP="001A5767">
            <w:pPr>
              <w:pStyle w:val="In-tableHeading"/>
              <w:jc w:val="center"/>
              <w:rPr>
                <w:lang w:val="en-AU"/>
              </w:rPr>
            </w:pPr>
            <w:r w:rsidRPr="004C0D9B">
              <w:rPr>
                <w:lang w:val="en-AU"/>
              </w:rPr>
              <w:t>Method/Value</w:t>
            </w:r>
          </w:p>
        </w:tc>
        <w:tc>
          <w:tcPr>
            <w:tcW w:w="2330" w:type="pct"/>
            <w:shd w:val="clear" w:color="auto" w:fill="auto"/>
            <w:vAlign w:val="center"/>
          </w:tcPr>
          <w:p w14:paraId="25FAE47B" w14:textId="77777777" w:rsidR="003A4883" w:rsidRPr="004C0D9B" w:rsidRDefault="003A4883" w:rsidP="001A5767">
            <w:pPr>
              <w:pStyle w:val="In-tableHeading"/>
              <w:jc w:val="center"/>
              <w:rPr>
                <w:lang w:val="en-AU"/>
              </w:rPr>
            </w:pPr>
            <w:r w:rsidRPr="004C0D9B">
              <w:rPr>
                <w:lang w:val="en-AU"/>
              </w:rPr>
              <w:t>Impact</w:t>
            </w:r>
          </w:p>
          <w:p w14:paraId="251C085F" w14:textId="35A82B0F" w:rsidR="003A4883" w:rsidRPr="004C0D9B" w:rsidRDefault="003A4883" w:rsidP="001A5767">
            <w:pPr>
              <w:pStyle w:val="In-tableHeading"/>
              <w:jc w:val="center"/>
              <w:rPr>
                <w:lang w:val="en-AU"/>
              </w:rPr>
            </w:pPr>
            <w:r w:rsidRPr="004C0D9B">
              <w:rPr>
                <w:rFonts w:cs="Arial"/>
                <w:szCs w:val="20"/>
                <w:lang w:val="en-AU"/>
              </w:rPr>
              <w:t>Base case: $</w:t>
            </w:r>
            <w:r w:rsidR="00A50FC3" w:rsidRPr="00A50FC3">
              <w:rPr>
                <w:rFonts w:cs="Arial"/>
                <w:color w:val="000000"/>
                <w:szCs w:val="20"/>
                <w:shd w:val="solid" w:color="000000" w:fill="000000"/>
                <w:lang w:val="en-AU"/>
                <w14:textFill>
                  <w14:solidFill>
                    <w14:srgbClr w14:val="000000">
                      <w14:alpha w14:val="100000"/>
                    </w14:srgbClr>
                  </w14:solidFill>
                </w14:textFill>
              </w:rPr>
              <w:t>|</w:t>
            </w:r>
            <w:r w:rsidR="00295039" w:rsidRPr="00295039">
              <w:rPr>
                <w:rFonts w:cs="Arial"/>
                <w:szCs w:val="20"/>
                <w:lang w:val="en-AU"/>
              </w:rPr>
              <w:t xml:space="preserve"> </w:t>
            </w:r>
            <w:r w:rsidR="00097E81">
              <w:rPr>
                <w:vertAlign w:val="superscript"/>
              </w:rPr>
              <w:t>2</w:t>
            </w:r>
            <w:r w:rsidRPr="00097E81">
              <w:rPr>
                <w:rFonts w:cs="Arial"/>
                <w:szCs w:val="20"/>
                <w:lang w:val="en-AU"/>
              </w:rPr>
              <w:t>/</w:t>
            </w:r>
            <w:r w:rsidRPr="004C0D9B">
              <w:rPr>
                <w:rFonts w:cs="Arial"/>
                <w:szCs w:val="20"/>
                <w:lang w:val="en-AU"/>
              </w:rPr>
              <w:t>QALY gained</w:t>
            </w:r>
          </w:p>
        </w:tc>
      </w:tr>
      <w:tr w:rsidR="003A4883" w:rsidRPr="004C0D9B" w14:paraId="7542657F" w14:textId="77777777" w:rsidTr="007D4E6D">
        <w:trPr>
          <w:tblHeader/>
        </w:trPr>
        <w:tc>
          <w:tcPr>
            <w:tcW w:w="626" w:type="pct"/>
            <w:shd w:val="clear" w:color="auto" w:fill="auto"/>
            <w:vAlign w:val="center"/>
          </w:tcPr>
          <w:p w14:paraId="41ABD7A5" w14:textId="77777777" w:rsidR="003A4883" w:rsidRPr="004C0D9B" w:rsidRDefault="003A4883" w:rsidP="001A5767">
            <w:pPr>
              <w:pStyle w:val="In-tableHeading"/>
              <w:rPr>
                <w:b w:val="0"/>
                <w:bCs/>
                <w:lang w:val="en-AU"/>
              </w:rPr>
            </w:pPr>
            <w:r w:rsidRPr="004C0D9B">
              <w:rPr>
                <w:b w:val="0"/>
                <w:bCs/>
              </w:rPr>
              <w:t>Time horizon</w:t>
            </w:r>
          </w:p>
        </w:tc>
        <w:tc>
          <w:tcPr>
            <w:tcW w:w="2044" w:type="pct"/>
            <w:shd w:val="clear" w:color="auto" w:fill="auto"/>
            <w:vAlign w:val="center"/>
          </w:tcPr>
          <w:p w14:paraId="787CB1D9" w14:textId="72DF3DC3" w:rsidR="003A4883" w:rsidRPr="00AA64DF" w:rsidRDefault="00955377" w:rsidP="001A5767">
            <w:pPr>
              <w:pStyle w:val="In-tableHeading"/>
              <w:rPr>
                <w:b w:val="0"/>
                <w:bCs/>
                <w:lang w:val="en-AU"/>
              </w:rPr>
            </w:pPr>
            <w:r w:rsidRPr="00AA64DF">
              <w:rPr>
                <w:b w:val="0"/>
                <w:bCs/>
              </w:rPr>
              <w:t xml:space="preserve">5 years (compared to 2 years follow up in </w:t>
            </w:r>
            <w:r w:rsidR="003A4883" w:rsidRPr="00AA64DF">
              <w:rPr>
                <w:b w:val="0"/>
                <w:bCs/>
              </w:rPr>
              <w:t xml:space="preserve">ACTIVE </w:t>
            </w:r>
            <w:r w:rsidRPr="00AA64DF">
              <w:rPr>
                <w:b w:val="0"/>
                <w:bCs/>
              </w:rPr>
              <w:t>trial)</w:t>
            </w:r>
            <w:r w:rsidR="00743EDD" w:rsidRPr="00AA64DF">
              <w:rPr>
                <w:b w:val="0"/>
                <w:bCs/>
              </w:rPr>
              <w:t>.</w:t>
            </w:r>
          </w:p>
        </w:tc>
        <w:tc>
          <w:tcPr>
            <w:tcW w:w="2330" w:type="pct"/>
            <w:shd w:val="clear" w:color="auto" w:fill="auto"/>
            <w:vAlign w:val="center"/>
          </w:tcPr>
          <w:p w14:paraId="62BFDB06" w14:textId="52611708" w:rsidR="003A4883" w:rsidRPr="004C0D9B" w:rsidRDefault="003A4883" w:rsidP="001A5767">
            <w:pPr>
              <w:pStyle w:val="In-tableHeading"/>
              <w:rPr>
                <w:b w:val="0"/>
                <w:bCs/>
                <w:lang w:val="en-AU"/>
              </w:rPr>
            </w:pPr>
            <w:r w:rsidRPr="004C0D9B">
              <w:rPr>
                <w:b w:val="0"/>
                <w:bCs/>
                <w:lang w:val="en-AU"/>
              </w:rPr>
              <w:t xml:space="preserve">High, favours apremilast. ICER at 24 weeks (blinded period allowing for early escape) </w:t>
            </w:r>
            <w:r w:rsidR="00FE396D" w:rsidRPr="004C0D9B">
              <w:rPr>
                <w:b w:val="0"/>
                <w:bCs/>
                <w:lang w:val="en-AU"/>
              </w:rPr>
              <w:t xml:space="preserve">was </w:t>
            </w:r>
            <w:r w:rsidRPr="004C0D9B">
              <w:rPr>
                <w:b w:val="0"/>
                <w:bCs/>
                <w:lang w:val="en-AU"/>
              </w:rPr>
              <w:t>$</w:t>
            </w:r>
            <w:r w:rsidR="00A50FC3" w:rsidRPr="00A50FC3">
              <w:rPr>
                <w:b w:val="0"/>
                <w:bCs/>
                <w:color w:val="000000"/>
                <w:spacing w:val="36"/>
                <w:shd w:val="solid" w:color="000000" w:fill="000000"/>
                <w:fitText w:val="440" w:id="-1233454589"/>
                <w:lang w:val="en-AU"/>
                <w14:textFill>
                  <w14:solidFill>
                    <w14:srgbClr w14:val="000000">
                      <w14:alpha w14:val="100000"/>
                    </w14:srgbClr>
                  </w14:solidFill>
                </w14:textFill>
              </w:rPr>
              <w:t>|||||</w:t>
            </w:r>
            <w:r w:rsidR="00A50FC3" w:rsidRPr="00A50FC3">
              <w:rPr>
                <w:b w:val="0"/>
                <w:bCs/>
                <w:color w:val="000000"/>
                <w:spacing w:val="5"/>
                <w:shd w:val="solid" w:color="000000" w:fill="000000"/>
                <w:fitText w:val="440" w:id="-1233454589"/>
                <w:lang w:val="en-AU"/>
                <w14:textFill>
                  <w14:solidFill>
                    <w14:srgbClr w14:val="000000">
                      <w14:alpha w14:val="100000"/>
                    </w14:srgbClr>
                  </w14:solidFill>
                </w14:textFill>
              </w:rPr>
              <w:t>|</w:t>
            </w:r>
            <w:r w:rsidR="00295039" w:rsidRPr="00295039">
              <w:rPr>
                <w:b w:val="0"/>
                <w:bCs/>
                <w:lang w:val="en-AU"/>
              </w:rPr>
              <w:t xml:space="preserve"> </w:t>
            </w:r>
            <w:r w:rsidR="00097E81">
              <w:rPr>
                <w:vertAlign w:val="superscript"/>
              </w:rPr>
              <w:t>1</w:t>
            </w:r>
            <w:r w:rsidRPr="004C0D9B">
              <w:rPr>
                <w:b w:val="0"/>
                <w:bCs/>
                <w:lang w:val="en-AU"/>
              </w:rPr>
              <w:t>/QALY gained.</w:t>
            </w:r>
            <w:r w:rsidR="003D0234" w:rsidRPr="004C0D9B">
              <w:rPr>
                <w:b w:val="0"/>
                <w:bCs/>
                <w:lang w:val="en-AU"/>
              </w:rPr>
              <w:t xml:space="preserve"> ICER at 3 years </w:t>
            </w:r>
            <w:r w:rsidR="00FE396D" w:rsidRPr="004C0D9B">
              <w:rPr>
                <w:b w:val="0"/>
                <w:bCs/>
                <w:lang w:val="en-AU"/>
              </w:rPr>
              <w:t>was $</w:t>
            </w:r>
            <w:r w:rsidR="00A50FC3" w:rsidRPr="00A50FC3">
              <w:rPr>
                <w:b w:val="0"/>
                <w:bCs/>
                <w:color w:val="000000"/>
                <w:spacing w:val="36"/>
                <w:shd w:val="solid" w:color="000000" w:fill="000000"/>
                <w:fitText w:val="440" w:id="-1233454588"/>
                <w:lang w:val="en-AU"/>
                <w14:textFill>
                  <w14:solidFill>
                    <w14:srgbClr w14:val="000000">
                      <w14:alpha w14:val="100000"/>
                    </w14:srgbClr>
                  </w14:solidFill>
                </w14:textFill>
              </w:rPr>
              <w:t>|||||</w:t>
            </w:r>
            <w:r w:rsidR="00A50FC3" w:rsidRPr="00A50FC3">
              <w:rPr>
                <w:b w:val="0"/>
                <w:bCs/>
                <w:color w:val="000000"/>
                <w:spacing w:val="5"/>
                <w:shd w:val="solid" w:color="000000" w:fill="000000"/>
                <w:fitText w:val="440" w:id="-1233454588"/>
                <w:lang w:val="en-AU"/>
                <w14:textFill>
                  <w14:solidFill>
                    <w14:srgbClr w14:val="000000">
                      <w14:alpha w14:val="100000"/>
                    </w14:srgbClr>
                  </w14:solidFill>
                </w14:textFill>
              </w:rPr>
              <w:t>|</w:t>
            </w:r>
            <w:r w:rsidR="00295039" w:rsidRPr="00295039">
              <w:rPr>
                <w:b w:val="0"/>
                <w:bCs/>
                <w:lang w:val="en-AU"/>
              </w:rPr>
              <w:t xml:space="preserve"> </w:t>
            </w:r>
            <w:r w:rsidR="00097E81">
              <w:rPr>
                <w:vertAlign w:val="superscript"/>
              </w:rPr>
              <w:t>2</w:t>
            </w:r>
            <w:r w:rsidR="00FE396D" w:rsidRPr="004C0D9B">
              <w:rPr>
                <w:b w:val="0"/>
                <w:bCs/>
                <w:lang w:val="en-AU"/>
              </w:rPr>
              <w:t>/QALY gained.</w:t>
            </w:r>
          </w:p>
        </w:tc>
      </w:tr>
      <w:tr w:rsidR="003A4883" w:rsidRPr="004C0D9B" w14:paraId="056B0B44" w14:textId="77777777" w:rsidTr="007D4E6D">
        <w:trPr>
          <w:tblHeader/>
        </w:trPr>
        <w:tc>
          <w:tcPr>
            <w:tcW w:w="626" w:type="pct"/>
            <w:shd w:val="clear" w:color="auto" w:fill="auto"/>
            <w:vAlign w:val="center"/>
          </w:tcPr>
          <w:p w14:paraId="0F3C9DB2" w14:textId="77777777" w:rsidR="003A4883" w:rsidRPr="004C0D9B" w:rsidRDefault="003A4883" w:rsidP="001A5767">
            <w:pPr>
              <w:pStyle w:val="In-tableHeading"/>
              <w:rPr>
                <w:b w:val="0"/>
                <w:bCs/>
                <w:lang w:val="en-AU"/>
              </w:rPr>
            </w:pPr>
            <w:r w:rsidRPr="004C0D9B">
              <w:rPr>
                <w:b w:val="0"/>
                <w:bCs/>
              </w:rPr>
              <w:t>Response rate</w:t>
            </w:r>
          </w:p>
        </w:tc>
        <w:tc>
          <w:tcPr>
            <w:tcW w:w="2044" w:type="pct"/>
            <w:shd w:val="clear" w:color="auto" w:fill="auto"/>
            <w:vAlign w:val="center"/>
          </w:tcPr>
          <w:p w14:paraId="237A6027" w14:textId="13D721DD" w:rsidR="003A4883" w:rsidRPr="004C0D9B" w:rsidRDefault="004F3EF3" w:rsidP="001A5767">
            <w:pPr>
              <w:pStyle w:val="In-tableHeading"/>
              <w:rPr>
                <w:b w:val="0"/>
                <w:bCs/>
                <w:highlight w:val="yellow"/>
                <w:lang w:val="en-AU"/>
              </w:rPr>
            </w:pPr>
            <w:r w:rsidRPr="00AA64DF">
              <w:rPr>
                <w:b w:val="0"/>
                <w:bCs/>
              </w:rPr>
              <w:t>Absolute apremilast response at 24 weeks (45%)</w:t>
            </w:r>
            <w:r w:rsidRPr="004C0D9B">
              <w:rPr>
                <w:b w:val="0"/>
                <w:bCs/>
              </w:rPr>
              <w:t xml:space="preserve"> </w:t>
            </w:r>
          </w:p>
        </w:tc>
        <w:tc>
          <w:tcPr>
            <w:tcW w:w="2330" w:type="pct"/>
            <w:shd w:val="clear" w:color="auto" w:fill="auto"/>
            <w:vAlign w:val="center"/>
          </w:tcPr>
          <w:p w14:paraId="28C76B45" w14:textId="3652D8C0" w:rsidR="003A4883" w:rsidRPr="00AA64DF" w:rsidRDefault="004F3EF3" w:rsidP="001A5767">
            <w:pPr>
              <w:pStyle w:val="In-tableHeading"/>
              <w:rPr>
                <w:b w:val="0"/>
                <w:bCs/>
                <w:highlight w:val="yellow"/>
                <w:lang w:val="en-AU"/>
              </w:rPr>
            </w:pPr>
            <w:r w:rsidRPr="00AA64DF">
              <w:rPr>
                <w:b w:val="0"/>
                <w:bCs/>
                <w:lang w:val="en-AU"/>
              </w:rPr>
              <w:t>Moderate</w:t>
            </w:r>
            <w:r w:rsidR="003A4883" w:rsidRPr="00AA64DF">
              <w:rPr>
                <w:b w:val="0"/>
                <w:bCs/>
                <w:lang w:val="en-AU"/>
              </w:rPr>
              <w:t>, favours apremilast</w:t>
            </w:r>
            <w:r w:rsidR="003A4883" w:rsidRPr="00AA64DF">
              <w:rPr>
                <w:rFonts w:cs="Arial"/>
                <w:b w:val="0"/>
                <w:bCs/>
                <w:color w:val="0066FF"/>
                <w:szCs w:val="20"/>
                <w:lang w:val="en-AU"/>
              </w:rPr>
              <w:t>:</w:t>
            </w:r>
            <w:r w:rsidR="003A4883" w:rsidRPr="00AA64DF">
              <w:rPr>
                <w:b w:val="0"/>
                <w:bCs/>
                <w:lang w:val="en-AU"/>
              </w:rPr>
              <w:t xml:space="preserve"> A</w:t>
            </w:r>
            <w:r w:rsidR="00383E32" w:rsidRPr="00AA64DF">
              <w:rPr>
                <w:b w:val="0"/>
                <w:bCs/>
                <w:lang w:val="en-AU"/>
              </w:rPr>
              <w:t>n 18</w:t>
            </w:r>
            <w:r w:rsidR="003A4883" w:rsidRPr="00AA64DF">
              <w:rPr>
                <w:b w:val="0"/>
                <w:bCs/>
                <w:lang w:val="en-AU"/>
              </w:rPr>
              <w:t>% response rate</w:t>
            </w:r>
            <w:r w:rsidR="00383E32" w:rsidRPr="00AA64DF">
              <w:rPr>
                <w:b w:val="0"/>
                <w:bCs/>
                <w:lang w:val="en-AU"/>
              </w:rPr>
              <w:t xml:space="preserve"> (accounting for placebo response)</w:t>
            </w:r>
            <w:r w:rsidR="003A4883" w:rsidRPr="00AA64DF">
              <w:rPr>
                <w:b w:val="0"/>
                <w:bCs/>
                <w:lang w:val="en-AU"/>
              </w:rPr>
              <w:t xml:space="preserve"> increased the ICER to $</w:t>
            </w:r>
            <w:r w:rsidR="00A50FC3" w:rsidRPr="00A50FC3">
              <w:rPr>
                <w:b w:val="0"/>
                <w:bCs/>
                <w:color w:val="000000"/>
                <w:spacing w:val="36"/>
                <w:shd w:val="solid" w:color="000000" w:fill="000000"/>
                <w:fitText w:val="440" w:id="-1233454587"/>
                <w:lang w:val="en-AU"/>
                <w14:textFill>
                  <w14:solidFill>
                    <w14:srgbClr w14:val="000000">
                      <w14:alpha w14:val="100000"/>
                    </w14:srgbClr>
                  </w14:solidFill>
                </w14:textFill>
              </w:rPr>
              <w:t>|||||</w:t>
            </w:r>
            <w:r w:rsidR="00A50FC3" w:rsidRPr="00A50FC3">
              <w:rPr>
                <w:b w:val="0"/>
                <w:bCs/>
                <w:color w:val="000000"/>
                <w:spacing w:val="5"/>
                <w:shd w:val="solid" w:color="000000" w:fill="000000"/>
                <w:fitText w:val="440" w:id="-1233454587"/>
                <w:lang w:val="en-AU"/>
                <w14:textFill>
                  <w14:solidFill>
                    <w14:srgbClr w14:val="000000">
                      <w14:alpha w14:val="100000"/>
                    </w14:srgbClr>
                  </w14:solidFill>
                </w14:textFill>
              </w:rPr>
              <w:t>|</w:t>
            </w:r>
            <w:r w:rsidR="00295039" w:rsidRPr="00295039">
              <w:rPr>
                <w:b w:val="0"/>
                <w:bCs/>
                <w:lang w:val="en-AU"/>
              </w:rPr>
              <w:t xml:space="preserve"> </w:t>
            </w:r>
            <w:r w:rsidR="00097E81">
              <w:rPr>
                <w:vertAlign w:val="superscript"/>
              </w:rPr>
              <w:t>2</w:t>
            </w:r>
            <w:r w:rsidR="003A4883" w:rsidRPr="00AA64DF">
              <w:rPr>
                <w:b w:val="0"/>
                <w:bCs/>
                <w:lang w:val="en-AU"/>
              </w:rPr>
              <w:t>/QALY gained.</w:t>
            </w:r>
          </w:p>
        </w:tc>
      </w:tr>
      <w:tr w:rsidR="00BA5F39" w:rsidRPr="004C0D9B" w14:paraId="36315A19" w14:textId="77777777" w:rsidTr="007D4E6D">
        <w:tc>
          <w:tcPr>
            <w:tcW w:w="626" w:type="pct"/>
            <w:vMerge w:val="restart"/>
            <w:shd w:val="clear" w:color="auto" w:fill="auto"/>
            <w:vAlign w:val="center"/>
          </w:tcPr>
          <w:p w14:paraId="7F9BACC5" w14:textId="77777777" w:rsidR="00BA5F39" w:rsidRPr="004C0D9B" w:rsidRDefault="00BA5F39" w:rsidP="001A5767">
            <w:pPr>
              <w:pStyle w:val="TableText0"/>
            </w:pPr>
            <w:r w:rsidRPr="004C0D9B">
              <w:t>Utilities</w:t>
            </w:r>
          </w:p>
          <w:p w14:paraId="769BD0F8" w14:textId="5EFED73E" w:rsidR="00BA5F39" w:rsidRPr="004C0D9B" w:rsidRDefault="00BA5F39" w:rsidP="001A5767">
            <w:pPr>
              <w:pStyle w:val="TableText0"/>
            </w:pPr>
          </w:p>
        </w:tc>
        <w:tc>
          <w:tcPr>
            <w:tcW w:w="2044" w:type="pct"/>
            <w:shd w:val="clear" w:color="auto" w:fill="auto"/>
            <w:vAlign w:val="center"/>
          </w:tcPr>
          <w:p w14:paraId="52ACACCF" w14:textId="77777777" w:rsidR="00BA5F39" w:rsidRPr="004C0D9B" w:rsidRDefault="00BA5F39" w:rsidP="001A5767">
            <w:pPr>
              <w:pStyle w:val="TableText0"/>
            </w:pPr>
            <w:r w:rsidRPr="004C0D9B">
              <w:t>Change in HAQ-DI at 24 weeks used to estimate utilities in the apremilast health state.</w:t>
            </w:r>
          </w:p>
        </w:tc>
        <w:tc>
          <w:tcPr>
            <w:tcW w:w="2330" w:type="pct"/>
            <w:shd w:val="clear" w:color="auto" w:fill="auto"/>
            <w:vAlign w:val="center"/>
          </w:tcPr>
          <w:p w14:paraId="456E5EA3" w14:textId="64DDF278" w:rsidR="00BA5F39" w:rsidRPr="004C0D9B" w:rsidRDefault="00BA5F39" w:rsidP="001A5767">
            <w:pPr>
              <w:pStyle w:val="TableText0"/>
            </w:pPr>
            <w:r w:rsidRPr="004C0D9B">
              <w:t>Moderate, favours apremilast</w:t>
            </w:r>
            <w:r w:rsidRPr="004C0D9B">
              <w:rPr>
                <w:rFonts w:cs="Arial"/>
                <w:color w:val="0066FF"/>
                <w:szCs w:val="20"/>
              </w:rPr>
              <w:t>:</w:t>
            </w:r>
            <w:r w:rsidRPr="004C0D9B">
              <w:t xml:space="preserve"> Applying 75% of the base case change in HAQ-DI increased the ICER to $</w:t>
            </w:r>
            <w:r w:rsidR="00A50FC3" w:rsidRPr="00A50FC3">
              <w:rPr>
                <w:color w:val="000000"/>
                <w:spacing w:val="36"/>
                <w:shd w:val="solid" w:color="000000" w:fill="000000"/>
                <w:fitText w:val="440" w:id="-1233454586"/>
                <w14:textFill>
                  <w14:solidFill>
                    <w14:srgbClr w14:val="000000">
                      <w14:alpha w14:val="100000"/>
                    </w14:srgbClr>
                  </w14:solidFill>
                </w14:textFill>
              </w:rPr>
              <w:t>|||||</w:t>
            </w:r>
            <w:r w:rsidR="00A50FC3" w:rsidRPr="00A50FC3">
              <w:rPr>
                <w:color w:val="000000"/>
                <w:spacing w:val="5"/>
                <w:shd w:val="solid" w:color="000000" w:fill="000000"/>
                <w:fitText w:val="440" w:id="-1233454586"/>
                <w14:textFill>
                  <w14:solidFill>
                    <w14:srgbClr w14:val="000000">
                      <w14:alpha w14:val="100000"/>
                    </w14:srgbClr>
                  </w14:solidFill>
                </w14:textFill>
              </w:rPr>
              <w:t>|</w:t>
            </w:r>
            <w:r w:rsidR="00295039" w:rsidRPr="00295039">
              <w:t xml:space="preserve"> </w:t>
            </w:r>
            <w:r w:rsidR="00097E81">
              <w:rPr>
                <w:vertAlign w:val="superscript"/>
              </w:rPr>
              <w:t>2</w:t>
            </w:r>
            <w:r w:rsidRPr="004C0D9B">
              <w:t>/QALY gained.</w:t>
            </w:r>
          </w:p>
        </w:tc>
      </w:tr>
      <w:tr w:rsidR="00BA5F39" w:rsidRPr="004C0D9B" w14:paraId="2D5A20C6" w14:textId="77777777" w:rsidTr="007D4E6D">
        <w:tc>
          <w:tcPr>
            <w:tcW w:w="626" w:type="pct"/>
            <w:vMerge/>
            <w:shd w:val="clear" w:color="auto" w:fill="auto"/>
            <w:vAlign w:val="center"/>
          </w:tcPr>
          <w:p w14:paraId="1E5A447B" w14:textId="494BE4F7" w:rsidR="00BA5F39" w:rsidRPr="004C0D9B" w:rsidRDefault="00BA5F39" w:rsidP="001A5767">
            <w:pPr>
              <w:pStyle w:val="TableText0"/>
            </w:pPr>
          </w:p>
        </w:tc>
        <w:tc>
          <w:tcPr>
            <w:tcW w:w="2044" w:type="pct"/>
            <w:shd w:val="clear" w:color="auto" w:fill="auto"/>
            <w:vAlign w:val="center"/>
          </w:tcPr>
          <w:p w14:paraId="0801DC88" w14:textId="77777777" w:rsidR="00BA5F39" w:rsidRPr="004C0D9B" w:rsidRDefault="00BA5F39" w:rsidP="001A5767">
            <w:pPr>
              <w:pStyle w:val="TableText0"/>
            </w:pPr>
            <w:r w:rsidRPr="004C0D9B">
              <w:t>Change in HAQ-DI for BSC after 16 weeks</w:t>
            </w:r>
          </w:p>
        </w:tc>
        <w:tc>
          <w:tcPr>
            <w:tcW w:w="2330" w:type="pct"/>
            <w:shd w:val="clear" w:color="auto" w:fill="auto"/>
            <w:vAlign w:val="center"/>
          </w:tcPr>
          <w:p w14:paraId="4A760993" w14:textId="6AA4868F" w:rsidR="00BA5F39" w:rsidRPr="004C0D9B" w:rsidRDefault="00BA5F39" w:rsidP="001A5767">
            <w:pPr>
              <w:pStyle w:val="TableText0"/>
            </w:pPr>
            <w:r w:rsidRPr="004C0D9B">
              <w:t>Moderate, favours apremilast</w:t>
            </w:r>
            <w:r w:rsidRPr="004C0D9B">
              <w:rPr>
                <w:rFonts w:cs="Arial"/>
                <w:color w:val="0066FF"/>
                <w:szCs w:val="20"/>
              </w:rPr>
              <w:t>:</w:t>
            </w:r>
            <w:r w:rsidRPr="004C0D9B">
              <w:t xml:space="preserve"> Applying lower CI change in HAQ-DI increased the ICER to $</w:t>
            </w:r>
            <w:r w:rsidR="00A50FC3" w:rsidRPr="00A50FC3">
              <w:rPr>
                <w:color w:val="000000"/>
                <w:spacing w:val="36"/>
                <w:shd w:val="solid" w:color="000000" w:fill="000000"/>
                <w:fitText w:val="440" w:id="-1233454585"/>
                <w14:textFill>
                  <w14:solidFill>
                    <w14:srgbClr w14:val="000000">
                      <w14:alpha w14:val="100000"/>
                    </w14:srgbClr>
                  </w14:solidFill>
                </w14:textFill>
              </w:rPr>
              <w:t>|||||</w:t>
            </w:r>
            <w:r w:rsidR="00A50FC3" w:rsidRPr="00A50FC3">
              <w:rPr>
                <w:color w:val="000000"/>
                <w:spacing w:val="5"/>
                <w:shd w:val="solid" w:color="000000" w:fill="000000"/>
                <w:fitText w:val="440" w:id="-1233454585"/>
                <w14:textFill>
                  <w14:solidFill>
                    <w14:srgbClr w14:val="000000">
                      <w14:alpha w14:val="100000"/>
                    </w14:srgbClr>
                  </w14:solidFill>
                </w14:textFill>
              </w:rPr>
              <w:t>|</w:t>
            </w:r>
            <w:r w:rsidR="00295039" w:rsidRPr="00295039">
              <w:t xml:space="preserve"> </w:t>
            </w:r>
            <w:r w:rsidR="00097E81">
              <w:rPr>
                <w:vertAlign w:val="superscript"/>
              </w:rPr>
              <w:t>2</w:t>
            </w:r>
            <w:r w:rsidRPr="004C0D9B">
              <w:t>/QALY gained.</w:t>
            </w:r>
          </w:p>
        </w:tc>
      </w:tr>
      <w:tr w:rsidR="00BA5F39" w:rsidRPr="004C0D9B" w14:paraId="3F330F61" w14:textId="77777777" w:rsidTr="007D4E6D">
        <w:tc>
          <w:tcPr>
            <w:tcW w:w="626" w:type="pct"/>
            <w:vMerge/>
            <w:shd w:val="clear" w:color="auto" w:fill="auto"/>
            <w:vAlign w:val="center"/>
          </w:tcPr>
          <w:p w14:paraId="75A813A2" w14:textId="72266109" w:rsidR="00BA5F39" w:rsidRPr="004C0D9B" w:rsidRDefault="00BA5F39" w:rsidP="001A5767">
            <w:pPr>
              <w:pStyle w:val="TableText0"/>
            </w:pPr>
          </w:p>
        </w:tc>
        <w:tc>
          <w:tcPr>
            <w:tcW w:w="2044" w:type="pct"/>
            <w:shd w:val="clear" w:color="auto" w:fill="auto"/>
            <w:vAlign w:val="center"/>
          </w:tcPr>
          <w:p w14:paraId="4C062789" w14:textId="0D764DDC" w:rsidR="00BA5F39" w:rsidRPr="004C0D9B" w:rsidRDefault="00000758" w:rsidP="001A5767">
            <w:pPr>
              <w:pStyle w:val="TableText0"/>
            </w:pPr>
            <w:r w:rsidRPr="004C0D9B">
              <w:t>A u</w:t>
            </w:r>
            <w:r w:rsidR="00BA5F39" w:rsidRPr="004C0D9B">
              <w:t xml:space="preserve">tility decrement applied to </w:t>
            </w:r>
            <w:r w:rsidR="006A488C" w:rsidRPr="004C0D9B">
              <w:t xml:space="preserve">the </w:t>
            </w:r>
            <w:r w:rsidR="00BA5F39" w:rsidRPr="004C0D9B">
              <w:t>apremilast</w:t>
            </w:r>
            <w:r w:rsidR="006A488C" w:rsidRPr="004C0D9B">
              <w:t xml:space="preserve"> health state</w:t>
            </w:r>
            <w:r w:rsidRPr="004C0D9B">
              <w:t xml:space="preserve"> was not applied</w:t>
            </w:r>
            <w:r w:rsidR="00743EDD" w:rsidRPr="004C0D9B">
              <w:t>.</w:t>
            </w:r>
          </w:p>
        </w:tc>
        <w:tc>
          <w:tcPr>
            <w:tcW w:w="2330" w:type="pct"/>
            <w:shd w:val="clear" w:color="auto" w:fill="auto"/>
            <w:vAlign w:val="center"/>
          </w:tcPr>
          <w:p w14:paraId="23278C03" w14:textId="4A7020D5" w:rsidR="00BA5F39" w:rsidRPr="004C0D9B" w:rsidRDefault="00BA5F39" w:rsidP="001A5767">
            <w:pPr>
              <w:pStyle w:val="TableText0"/>
            </w:pPr>
            <w:r w:rsidRPr="004C0D9B">
              <w:t>Moderate, favours apremilast</w:t>
            </w:r>
            <w:r w:rsidRPr="004C0D9B">
              <w:rPr>
                <w:rFonts w:cs="Arial"/>
                <w:color w:val="0066FF"/>
                <w:szCs w:val="20"/>
              </w:rPr>
              <w:t>:</w:t>
            </w:r>
            <w:r w:rsidRPr="004C0D9B">
              <w:t xml:space="preserve"> </w:t>
            </w:r>
            <w:r w:rsidRPr="00AA64DF">
              <w:t xml:space="preserve">Applying </w:t>
            </w:r>
            <w:r w:rsidR="00000758" w:rsidRPr="00AA64DF">
              <w:t>a utility decrement</w:t>
            </w:r>
            <w:r w:rsidR="00000758" w:rsidRPr="004C0D9B">
              <w:t xml:space="preserve"> i</w:t>
            </w:r>
            <w:r w:rsidRPr="004C0D9B">
              <w:t>ncreased the ICER to $</w:t>
            </w:r>
            <w:r w:rsidR="00A50FC3" w:rsidRPr="00A50FC3">
              <w:rPr>
                <w:color w:val="000000"/>
                <w:spacing w:val="36"/>
                <w:shd w:val="solid" w:color="000000" w:fill="000000"/>
                <w:fitText w:val="440" w:id="-1233454584"/>
                <w14:textFill>
                  <w14:solidFill>
                    <w14:srgbClr w14:val="000000">
                      <w14:alpha w14:val="100000"/>
                    </w14:srgbClr>
                  </w14:solidFill>
                </w14:textFill>
              </w:rPr>
              <w:t>|||||</w:t>
            </w:r>
            <w:r w:rsidR="00A50FC3" w:rsidRPr="00A50FC3">
              <w:rPr>
                <w:color w:val="000000"/>
                <w:spacing w:val="5"/>
                <w:shd w:val="solid" w:color="000000" w:fill="000000"/>
                <w:fitText w:val="440" w:id="-1233454584"/>
                <w14:textFill>
                  <w14:solidFill>
                    <w14:srgbClr w14:val="000000">
                      <w14:alpha w14:val="100000"/>
                    </w14:srgbClr>
                  </w14:solidFill>
                </w14:textFill>
              </w:rPr>
              <w:t>|</w:t>
            </w:r>
            <w:r w:rsidR="00295039" w:rsidRPr="00295039">
              <w:t xml:space="preserve"> </w:t>
            </w:r>
            <w:r w:rsidR="00097E81">
              <w:rPr>
                <w:vertAlign w:val="superscript"/>
              </w:rPr>
              <w:t>2</w:t>
            </w:r>
            <w:r w:rsidRPr="004C0D9B">
              <w:t>/QALY gained.</w:t>
            </w:r>
          </w:p>
        </w:tc>
      </w:tr>
      <w:tr w:rsidR="00BA5F39" w:rsidRPr="004C0D9B" w14:paraId="5F119A2C" w14:textId="77777777" w:rsidTr="007D4E6D">
        <w:tc>
          <w:tcPr>
            <w:tcW w:w="626" w:type="pct"/>
            <w:vMerge/>
            <w:shd w:val="clear" w:color="auto" w:fill="auto"/>
            <w:vAlign w:val="center"/>
          </w:tcPr>
          <w:p w14:paraId="24E1D03C" w14:textId="1735276B" w:rsidR="00BA5F39" w:rsidRPr="004C0D9B" w:rsidRDefault="00BA5F39" w:rsidP="001A5767">
            <w:pPr>
              <w:pStyle w:val="TableText0"/>
            </w:pPr>
          </w:p>
        </w:tc>
        <w:tc>
          <w:tcPr>
            <w:tcW w:w="2044" w:type="pct"/>
            <w:shd w:val="clear" w:color="auto" w:fill="auto"/>
            <w:vAlign w:val="center"/>
          </w:tcPr>
          <w:p w14:paraId="05FE5907" w14:textId="07D85401" w:rsidR="00BA5F39" w:rsidRPr="004C0D9B" w:rsidRDefault="00BA5F39" w:rsidP="001A5767">
            <w:pPr>
              <w:pStyle w:val="TableText0"/>
            </w:pPr>
            <w:r w:rsidRPr="004C0D9B">
              <w:t>Utility change per variation of HAQ-DI</w:t>
            </w:r>
            <w:r w:rsidR="006A488C" w:rsidRPr="004C0D9B">
              <w:t xml:space="preserve"> in the BSC health state</w:t>
            </w:r>
            <w:r w:rsidR="00743EDD" w:rsidRPr="004C0D9B">
              <w:t>.</w:t>
            </w:r>
          </w:p>
        </w:tc>
        <w:tc>
          <w:tcPr>
            <w:tcW w:w="2330" w:type="pct"/>
            <w:shd w:val="clear" w:color="auto" w:fill="auto"/>
            <w:vAlign w:val="center"/>
          </w:tcPr>
          <w:p w14:paraId="09AA231C" w14:textId="67A4B571" w:rsidR="00BA5F39" w:rsidRPr="004C0D9B" w:rsidRDefault="00BA5F39" w:rsidP="001A5767">
            <w:pPr>
              <w:pStyle w:val="TableText0"/>
            </w:pPr>
            <w:r w:rsidRPr="004C0D9B">
              <w:t>Moderate, favours apremilast</w:t>
            </w:r>
            <w:r w:rsidRPr="004C0D9B">
              <w:rPr>
                <w:rFonts w:cs="Arial"/>
                <w:color w:val="0066FF"/>
                <w:szCs w:val="20"/>
              </w:rPr>
              <w:t>:</w:t>
            </w:r>
            <w:r w:rsidRPr="004C0D9B">
              <w:t xml:space="preserve"> Applying 83.3% increased the ICER to $</w:t>
            </w:r>
            <w:r w:rsidR="00A50FC3" w:rsidRPr="00A50FC3">
              <w:rPr>
                <w:color w:val="000000"/>
                <w:spacing w:val="36"/>
                <w:shd w:val="solid" w:color="000000" w:fill="000000"/>
                <w:fitText w:val="440" w:id="-1233454583"/>
                <w14:textFill>
                  <w14:solidFill>
                    <w14:srgbClr w14:val="000000">
                      <w14:alpha w14:val="100000"/>
                    </w14:srgbClr>
                  </w14:solidFill>
                </w14:textFill>
              </w:rPr>
              <w:t>|||||</w:t>
            </w:r>
            <w:r w:rsidR="00A50FC3" w:rsidRPr="00A50FC3">
              <w:rPr>
                <w:color w:val="000000"/>
                <w:spacing w:val="5"/>
                <w:shd w:val="solid" w:color="000000" w:fill="000000"/>
                <w:fitText w:val="440" w:id="-1233454583"/>
                <w14:textFill>
                  <w14:solidFill>
                    <w14:srgbClr w14:val="000000">
                      <w14:alpha w14:val="100000"/>
                    </w14:srgbClr>
                  </w14:solidFill>
                </w14:textFill>
              </w:rPr>
              <w:t>|</w:t>
            </w:r>
            <w:r w:rsidR="00295039" w:rsidRPr="00295039">
              <w:t xml:space="preserve"> </w:t>
            </w:r>
            <w:r w:rsidR="00097E81">
              <w:rPr>
                <w:vertAlign w:val="superscript"/>
              </w:rPr>
              <w:t>2</w:t>
            </w:r>
            <w:r w:rsidRPr="004C0D9B">
              <w:t>/QALY gained.</w:t>
            </w:r>
          </w:p>
        </w:tc>
      </w:tr>
    </w:tbl>
    <w:p w14:paraId="4154823F" w14:textId="796BDF1D" w:rsidR="003A4883" w:rsidRDefault="003A4883" w:rsidP="003A4883">
      <w:pPr>
        <w:pStyle w:val="FooterTableFigure"/>
      </w:pPr>
      <w:r w:rsidRPr="00B14B63">
        <w:t xml:space="preserve">Source: </w:t>
      </w:r>
      <w:r>
        <w:t>C</w:t>
      </w:r>
      <w:r w:rsidRPr="00B174D7">
        <w:t xml:space="preserve">ompiled during the evaluation from </w:t>
      </w:r>
      <w:r w:rsidR="006A488C">
        <w:t>‘</w:t>
      </w:r>
      <w:r w:rsidRPr="00B174D7">
        <w:t>Appendix 3.2_Apremilast_PsA_Economic_Model</w:t>
      </w:r>
      <w:r w:rsidR="006A488C">
        <w:t>’</w:t>
      </w:r>
      <w:r w:rsidRPr="00B174D7">
        <w:t>.</w:t>
      </w:r>
    </w:p>
    <w:p w14:paraId="621572D1" w14:textId="2252EE74" w:rsidR="003A4883" w:rsidRDefault="003A4883" w:rsidP="003A4883">
      <w:pPr>
        <w:pStyle w:val="FooterTableFigure"/>
      </w:pPr>
      <w:r>
        <w:t xml:space="preserve">ACR50 = </w:t>
      </w:r>
      <w:r w:rsidRPr="00B174D7">
        <w:t>50% improvement in American College of Rheumatology criteria</w:t>
      </w:r>
      <w:r>
        <w:t>;</w:t>
      </w:r>
      <w:r w:rsidR="006A488C">
        <w:t xml:space="preserve"> BSC = best supportive care;</w:t>
      </w:r>
      <w:r>
        <w:t xml:space="preserve"> CI = confidence interval; HAQ</w:t>
      </w:r>
      <w:r w:rsidR="008433BD">
        <w:noBreakHyphen/>
      </w:r>
      <w:r>
        <w:t>DI</w:t>
      </w:r>
      <w:r w:rsidR="008433BD">
        <w:t> </w:t>
      </w:r>
      <w:r>
        <w:t>=</w:t>
      </w:r>
      <w:r w:rsidR="008433BD">
        <w:t> </w:t>
      </w:r>
      <w:r w:rsidRPr="00B174D7">
        <w:t>health assessment questionnaire disability index</w:t>
      </w:r>
      <w:r>
        <w:t>; ICER = incremental cost-effectiveness ratio; QALY = quality-adjusted life years.</w:t>
      </w:r>
    </w:p>
    <w:p w14:paraId="6292A2C4" w14:textId="21AE3081" w:rsidR="00097E81" w:rsidRPr="008E150E" w:rsidRDefault="00097E81" w:rsidP="003A4883">
      <w:pPr>
        <w:pStyle w:val="FooterTableFigure"/>
        <w:rPr>
          <w:i/>
          <w:iCs/>
        </w:rPr>
      </w:pPr>
      <w:r w:rsidRPr="008E150E">
        <w:rPr>
          <w:i/>
          <w:iCs/>
        </w:rPr>
        <w:t>The redacted values correspond to the following ranges:</w:t>
      </w:r>
    </w:p>
    <w:p w14:paraId="32878A06" w14:textId="10246A04" w:rsidR="00097E81" w:rsidRPr="008E150E" w:rsidRDefault="00097E81" w:rsidP="003A4883">
      <w:pPr>
        <w:pStyle w:val="FooterTableFigure"/>
        <w:rPr>
          <w:i/>
          <w:iCs/>
        </w:rPr>
      </w:pPr>
      <w:r w:rsidRPr="008E150E">
        <w:rPr>
          <w:i/>
          <w:iCs/>
          <w:vertAlign w:val="superscript"/>
        </w:rPr>
        <w:t>1</w:t>
      </w:r>
      <w:r w:rsidRPr="008E150E">
        <w:rPr>
          <w:i/>
          <w:iCs/>
        </w:rPr>
        <w:t xml:space="preserve"> $255,000 to &lt; $355,000</w:t>
      </w:r>
    </w:p>
    <w:p w14:paraId="6003C3D6" w14:textId="623006B5" w:rsidR="00097E81" w:rsidRPr="008E150E" w:rsidRDefault="00097E81" w:rsidP="003A4883">
      <w:pPr>
        <w:pStyle w:val="FooterTableFigure"/>
        <w:rPr>
          <w:i/>
          <w:iCs/>
        </w:rPr>
      </w:pPr>
      <w:r w:rsidRPr="008E150E">
        <w:rPr>
          <w:i/>
          <w:iCs/>
          <w:vertAlign w:val="superscript"/>
        </w:rPr>
        <w:t>2</w:t>
      </w:r>
      <w:r w:rsidRPr="008E150E">
        <w:rPr>
          <w:i/>
          <w:iCs/>
        </w:rPr>
        <w:t xml:space="preserve"> $25,000 to &lt; $35,000</w:t>
      </w:r>
    </w:p>
    <w:p w14:paraId="6BE2A426" w14:textId="7415C61C" w:rsidR="003A4883" w:rsidRPr="0033470C" w:rsidRDefault="003A4883" w:rsidP="003A4883">
      <w:pPr>
        <w:pStyle w:val="3-BodyText"/>
        <w:ind w:left="720" w:hanging="720"/>
        <w:rPr>
          <w:b/>
          <w:bCs/>
          <w:color w:val="0066FF"/>
        </w:rPr>
      </w:pPr>
      <w:r w:rsidRPr="0033470C">
        <w:lastRenderedPageBreak/>
        <w:t>The submission stated that a stepped analysis was not presented because the cost per HAQ</w:t>
      </w:r>
      <w:r w:rsidRPr="0033470C">
        <w:noBreakHyphen/>
        <w:t>DI</w:t>
      </w:r>
      <w:r w:rsidRPr="0033470C">
        <w:noBreakHyphen/>
        <w:t xml:space="preserve">week could not be readily interpreted. </w:t>
      </w:r>
      <w:bookmarkStart w:id="79" w:name="_Hlk124337673"/>
      <w:r w:rsidR="006A488C" w:rsidRPr="0033470C">
        <w:t>R</w:t>
      </w:r>
      <w:r w:rsidR="00FE396D" w:rsidRPr="0033470C">
        <w:t>esults</w:t>
      </w:r>
      <w:r w:rsidRPr="0033470C">
        <w:t xml:space="preserve"> considering the ACTIVE trial study design was conducted during the evaluation and is presented in </w:t>
      </w:r>
      <w:r w:rsidRPr="0033470C">
        <w:fldChar w:fldCharType="begin"/>
      </w:r>
      <w:r w:rsidRPr="0033470C">
        <w:instrText xml:space="preserve"> REF _Ref104805160 \h  \* MERGEFORMAT </w:instrText>
      </w:r>
      <w:r w:rsidRPr="0033470C">
        <w:fldChar w:fldCharType="separate"/>
      </w:r>
      <w:r w:rsidR="00A05E81" w:rsidRPr="00B14B63">
        <w:t xml:space="preserve">Table </w:t>
      </w:r>
      <w:r w:rsidR="00A05E81">
        <w:rPr>
          <w:noProof/>
        </w:rPr>
        <w:t>16</w:t>
      </w:r>
      <w:r w:rsidRPr="0033470C">
        <w:fldChar w:fldCharType="end"/>
      </w:r>
      <w:r w:rsidRPr="0033470C">
        <w:t>.</w:t>
      </w:r>
      <w:r w:rsidR="00FE396D" w:rsidRPr="0033470C">
        <w:t xml:space="preserve"> </w:t>
      </w:r>
      <w:bookmarkEnd w:id="79"/>
    </w:p>
    <w:p w14:paraId="70C0390B" w14:textId="07F8469B" w:rsidR="003A4883" w:rsidRDefault="003A4883" w:rsidP="003A4883">
      <w:pPr>
        <w:pStyle w:val="Caption"/>
        <w:rPr>
          <w:rStyle w:val="CommentReference"/>
          <w:b/>
          <w:szCs w:val="24"/>
        </w:rPr>
      </w:pPr>
      <w:bookmarkStart w:id="80" w:name="_Ref104805160"/>
      <w:r w:rsidRPr="00B14B63">
        <w:t xml:space="preserve">Table </w:t>
      </w:r>
      <w:r w:rsidR="00A05E81">
        <w:fldChar w:fldCharType="begin"/>
      </w:r>
      <w:r w:rsidR="00A05E81">
        <w:instrText xml:space="preserve"> SEQ Table \* ARABIC </w:instrText>
      </w:r>
      <w:r w:rsidR="00A05E81">
        <w:fldChar w:fldCharType="separate"/>
      </w:r>
      <w:r w:rsidR="00A05E81">
        <w:rPr>
          <w:noProof/>
        </w:rPr>
        <w:t>16</w:t>
      </w:r>
      <w:r w:rsidR="00A05E81">
        <w:rPr>
          <w:noProof/>
        </w:rPr>
        <w:fldChar w:fldCharType="end"/>
      </w:r>
      <w:bookmarkEnd w:id="80"/>
      <w:r w:rsidRPr="00B14B63">
        <w:t>:</w:t>
      </w:r>
      <w:r w:rsidRPr="00B14B63">
        <w:rPr>
          <w:rStyle w:val="CommentReference"/>
          <w:b/>
          <w:szCs w:val="24"/>
        </w:rPr>
        <w:t xml:space="preserve"> Results of the economic evaluation</w:t>
      </w:r>
      <w:r w:rsidR="005C3467">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31"/>
        <w:gridCol w:w="2325"/>
        <w:gridCol w:w="2173"/>
        <w:gridCol w:w="1888"/>
      </w:tblGrid>
      <w:tr w:rsidR="003A4883" w:rsidRPr="00523653" w14:paraId="2D9504FC" w14:textId="77777777" w:rsidTr="003F0811">
        <w:trPr>
          <w:cantSplit/>
          <w:tblHeader/>
        </w:trPr>
        <w:tc>
          <w:tcPr>
            <w:tcW w:w="1459" w:type="pct"/>
            <w:vAlign w:val="center"/>
          </w:tcPr>
          <w:p w14:paraId="195942ED" w14:textId="77777777" w:rsidR="003A4883" w:rsidRPr="00523653" w:rsidRDefault="003A4883" w:rsidP="001A5767">
            <w:pPr>
              <w:pStyle w:val="In-tableHeading"/>
              <w:jc w:val="center"/>
              <w:rPr>
                <w:lang w:val="en-AU"/>
              </w:rPr>
            </w:pPr>
            <w:r w:rsidRPr="00523653">
              <w:rPr>
                <w:lang w:val="en-AU"/>
              </w:rPr>
              <w:t>Step and component</w:t>
            </w:r>
          </w:p>
        </w:tc>
        <w:tc>
          <w:tcPr>
            <w:tcW w:w="1289" w:type="pct"/>
            <w:vAlign w:val="center"/>
          </w:tcPr>
          <w:p w14:paraId="10692F2E" w14:textId="77777777" w:rsidR="003A4883" w:rsidRPr="00523653" w:rsidRDefault="003A4883" w:rsidP="001A5767">
            <w:pPr>
              <w:pStyle w:val="In-tableHeading"/>
              <w:jc w:val="center"/>
              <w:rPr>
                <w:lang w:val="en-AU"/>
              </w:rPr>
            </w:pPr>
            <w:r w:rsidRPr="00523653">
              <w:rPr>
                <w:lang w:val="en-AU"/>
              </w:rPr>
              <w:t>Apremilast</w:t>
            </w:r>
          </w:p>
        </w:tc>
        <w:tc>
          <w:tcPr>
            <w:tcW w:w="1205" w:type="pct"/>
            <w:vAlign w:val="center"/>
          </w:tcPr>
          <w:p w14:paraId="2E43AA37" w14:textId="77777777" w:rsidR="003A4883" w:rsidRPr="00523653" w:rsidRDefault="003A4883" w:rsidP="001A5767">
            <w:pPr>
              <w:pStyle w:val="In-tableHeading"/>
              <w:jc w:val="center"/>
              <w:rPr>
                <w:lang w:val="en-AU"/>
              </w:rPr>
            </w:pPr>
            <w:r w:rsidRPr="00523653">
              <w:rPr>
                <w:lang w:val="en-AU"/>
              </w:rPr>
              <w:t>BSC</w:t>
            </w:r>
          </w:p>
        </w:tc>
        <w:tc>
          <w:tcPr>
            <w:tcW w:w="1047" w:type="pct"/>
            <w:vAlign w:val="center"/>
          </w:tcPr>
          <w:p w14:paraId="74E5C3CA" w14:textId="77777777" w:rsidR="003A4883" w:rsidRPr="00523653" w:rsidRDefault="003A4883" w:rsidP="001A5767">
            <w:pPr>
              <w:pStyle w:val="In-tableHeading"/>
              <w:jc w:val="center"/>
              <w:rPr>
                <w:lang w:val="en-AU"/>
              </w:rPr>
            </w:pPr>
            <w:r w:rsidRPr="00523653">
              <w:rPr>
                <w:lang w:val="en-AU"/>
              </w:rPr>
              <w:t>Increment</w:t>
            </w:r>
          </w:p>
        </w:tc>
      </w:tr>
      <w:tr w:rsidR="003A4883" w:rsidRPr="00523653" w14:paraId="47487117" w14:textId="77777777" w:rsidTr="007D4E6D">
        <w:trPr>
          <w:cantSplit/>
        </w:trPr>
        <w:tc>
          <w:tcPr>
            <w:tcW w:w="5000" w:type="pct"/>
            <w:gridSpan w:val="4"/>
            <w:vAlign w:val="center"/>
          </w:tcPr>
          <w:p w14:paraId="48ED00E7" w14:textId="77777777" w:rsidR="003A4883" w:rsidRPr="00523653" w:rsidRDefault="003A4883" w:rsidP="001A5767">
            <w:pPr>
              <w:pStyle w:val="In-tableHeading"/>
              <w:rPr>
                <w:lang w:val="en-AU"/>
              </w:rPr>
            </w:pPr>
            <w:r w:rsidRPr="00AA64DF">
              <w:t>Step 1: ACTIVE trial blinded period (16 weeks)</w:t>
            </w:r>
          </w:p>
        </w:tc>
      </w:tr>
      <w:tr w:rsidR="003A4883" w:rsidRPr="00523653" w14:paraId="0FB40916" w14:textId="77777777" w:rsidTr="003F0811">
        <w:trPr>
          <w:cantSplit/>
        </w:trPr>
        <w:tc>
          <w:tcPr>
            <w:tcW w:w="1459" w:type="pct"/>
            <w:vAlign w:val="center"/>
          </w:tcPr>
          <w:p w14:paraId="41274AA9" w14:textId="42572D3B" w:rsidR="003A4883" w:rsidRPr="00523653" w:rsidRDefault="003A4883" w:rsidP="001A5767">
            <w:pPr>
              <w:pStyle w:val="TableText0"/>
              <w:rPr>
                <w:rFonts w:ascii="Times" w:hAnsi="Times"/>
              </w:rPr>
            </w:pPr>
            <w:r w:rsidRPr="00AA64DF">
              <w:t>Costs</w:t>
            </w:r>
            <w:r w:rsidR="00097E81">
              <w:t xml:space="preserve"> ($)</w:t>
            </w:r>
          </w:p>
        </w:tc>
        <w:tc>
          <w:tcPr>
            <w:tcW w:w="1289" w:type="pct"/>
            <w:vAlign w:val="center"/>
          </w:tcPr>
          <w:p w14:paraId="1B67FDED" w14:textId="41797423"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205" w:type="pct"/>
            <w:vAlign w:val="center"/>
          </w:tcPr>
          <w:p w14:paraId="7F854057" w14:textId="77777777" w:rsidR="003A4883" w:rsidRPr="00523653" w:rsidRDefault="003A4883" w:rsidP="001A5767">
            <w:pPr>
              <w:pStyle w:val="TableText0"/>
              <w:jc w:val="center"/>
              <w:rPr>
                <w:rFonts w:ascii="Times" w:hAnsi="Times"/>
              </w:rPr>
            </w:pPr>
            <w:r w:rsidRPr="00AA64DF">
              <w:t>$295</w:t>
            </w:r>
          </w:p>
        </w:tc>
        <w:tc>
          <w:tcPr>
            <w:tcW w:w="1047" w:type="pct"/>
            <w:vAlign w:val="center"/>
          </w:tcPr>
          <w:p w14:paraId="3602423E" w14:textId="1B044336"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r>
      <w:tr w:rsidR="003A4883" w:rsidRPr="00523653" w14:paraId="1C2C23AD" w14:textId="77777777" w:rsidTr="003F0811">
        <w:trPr>
          <w:cantSplit/>
        </w:trPr>
        <w:tc>
          <w:tcPr>
            <w:tcW w:w="1459" w:type="pct"/>
            <w:vAlign w:val="center"/>
          </w:tcPr>
          <w:p w14:paraId="08CD4C30" w14:textId="77777777" w:rsidR="003A4883" w:rsidRPr="00523653" w:rsidRDefault="003A4883" w:rsidP="001A5767">
            <w:pPr>
              <w:pStyle w:val="TableText0"/>
              <w:rPr>
                <w:rFonts w:ascii="Times" w:hAnsi="Times"/>
              </w:rPr>
            </w:pPr>
            <w:r w:rsidRPr="00AA64DF">
              <w:rPr>
                <w:bCs w:val="0"/>
              </w:rPr>
              <w:t>QALY</w:t>
            </w:r>
          </w:p>
        </w:tc>
        <w:tc>
          <w:tcPr>
            <w:tcW w:w="1289" w:type="pct"/>
            <w:vAlign w:val="center"/>
          </w:tcPr>
          <w:p w14:paraId="46F093F2" w14:textId="77777777" w:rsidR="003A4883" w:rsidRPr="00523653" w:rsidRDefault="003A4883" w:rsidP="001A5767">
            <w:pPr>
              <w:pStyle w:val="TableText0"/>
              <w:jc w:val="center"/>
              <w:rPr>
                <w:rFonts w:ascii="Times" w:hAnsi="Times"/>
              </w:rPr>
            </w:pPr>
            <w:r w:rsidRPr="00AA64DF">
              <w:t>0.151</w:t>
            </w:r>
          </w:p>
        </w:tc>
        <w:tc>
          <w:tcPr>
            <w:tcW w:w="1205" w:type="pct"/>
            <w:vAlign w:val="center"/>
          </w:tcPr>
          <w:p w14:paraId="166881D5" w14:textId="77777777" w:rsidR="003A4883" w:rsidRPr="00523653" w:rsidRDefault="003A4883" w:rsidP="001A5767">
            <w:pPr>
              <w:pStyle w:val="TableText0"/>
              <w:jc w:val="center"/>
              <w:rPr>
                <w:rFonts w:ascii="Times" w:hAnsi="Times"/>
              </w:rPr>
            </w:pPr>
            <w:r w:rsidRPr="00AA64DF">
              <w:t>0.151</w:t>
            </w:r>
          </w:p>
        </w:tc>
        <w:tc>
          <w:tcPr>
            <w:tcW w:w="1047" w:type="pct"/>
            <w:vAlign w:val="center"/>
          </w:tcPr>
          <w:p w14:paraId="424996D4" w14:textId="77777777" w:rsidR="003A4883" w:rsidRPr="00523653" w:rsidRDefault="003A4883" w:rsidP="001A5767">
            <w:pPr>
              <w:pStyle w:val="TableText0"/>
              <w:jc w:val="center"/>
            </w:pPr>
            <w:r w:rsidRPr="00AA64DF">
              <w:t>0</w:t>
            </w:r>
          </w:p>
        </w:tc>
      </w:tr>
      <w:tr w:rsidR="003A4883" w:rsidRPr="00523653" w14:paraId="12366655" w14:textId="77777777" w:rsidTr="003F0811">
        <w:trPr>
          <w:cantSplit/>
        </w:trPr>
        <w:tc>
          <w:tcPr>
            <w:tcW w:w="3953" w:type="pct"/>
            <w:gridSpan w:val="3"/>
            <w:vAlign w:val="center"/>
          </w:tcPr>
          <w:p w14:paraId="64616376" w14:textId="77777777" w:rsidR="003A4883" w:rsidRPr="00523653" w:rsidRDefault="003A4883" w:rsidP="001A5767">
            <w:pPr>
              <w:pStyle w:val="TableText0"/>
              <w:rPr>
                <w:rFonts w:ascii="Times" w:hAnsi="Times"/>
              </w:rPr>
            </w:pPr>
            <w:r w:rsidRPr="00AA64DF">
              <w:rPr>
                <w:bCs w:val="0"/>
              </w:rPr>
              <w:t>Incremental cost/extra QALY gained</w:t>
            </w:r>
          </w:p>
        </w:tc>
        <w:tc>
          <w:tcPr>
            <w:tcW w:w="1047" w:type="pct"/>
            <w:vAlign w:val="center"/>
          </w:tcPr>
          <w:p w14:paraId="073187E1" w14:textId="77777777" w:rsidR="003A4883" w:rsidRPr="00523653" w:rsidRDefault="003A4883" w:rsidP="001A5767">
            <w:pPr>
              <w:pStyle w:val="TableText0"/>
              <w:jc w:val="center"/>
              <w:rPr>
                <w:rFonts w:ascii="Times" w:hAnsi="Times"/>
              </w:rPr>
            </w:pPr>
            <w:r w:rsidRPr="00AA64DF">
              <w:t>Undefined</w:t>
            </w:r>
          </w:p>
        </w:tc>
      </w:tr>
      <w:tr w:rsidR="003A4883" w:rsidRPr="00523653" w14:paraId="4B97483D" w14:textId="77777777" w:rsidTr="007D4E6D">
        <w:trPr>
          <w:cantSplit/>
        </w:trPr>
        <w:tc>
          <w:tcPr>
            <w:tcW w:w="5000" w:type="pct"/>
            <w:gridSpan w:val="4"/>
            <w:vAlign w:val="center"/>
          </w:tcPr>
          <w:p w14:paraId="4C008912" w14:textId="77777777" w:rsidR="003A4883" w:rsidRPr="00523653" w:rsidRDefault="003A4883" w:rsidP="001A5767">
            <w:pPr>
              <w:pStyle w:val="In-tableHeading"/>
              <w:rPr>
                <w:lang w:val="en-AU"/>
              </w:rPr>
            </w:pPr>
            <w:r w:rsidRPr="00AA64DF">
              <w:rPr>
                <w:lang w:val="en-AU"/>
              </w:rPr>
              <w:t>Step 2: ACTIVE trial blinded period allowing for early escape (24 weeks)</w:t>
            </w:r>
          </w:p>
        </w:tc>
      </w:tr>
      <w:tr w:rsidR="003A4883" w:rsidRPr="00523653" w14:paraId="686D64F5" w14:textId="77777777" w:rsidTr="003F0811">
        <w:trPr>
          <w:cantSplit/>
        </w:trPr>
        <w:tc>
          <w:tcPr>
            <w:tcW w:w="1459" w:type="pct"/>
            <w:vAlign w:val="center"/>
          </w:tcPr>
          <w:p w14:paraId="05BB17B1" w14:textId="3D395886" w:rsidR="003A4883" w:rsidRPr="00523653" w:rsidRDefault="003A4883" w:rsidP="001A5767">
            <w:pPr>
              <w:pStyle w:val="TableText0"/>
              <w:rPr>
                <w:rFonts w:ascii="Times" w:hAnsi="Times"/>
              </w:rPr>
            </w:pPr>
            <w:r w:rsidRPr="00AA64DF">
              <w:t>Costs</w:t>
            </w:r>
            <w:r w:rsidR="00097E81">
              <w:t xml:space="preserve"> ($)</w:t>
            </w:r>
          </w:p>
        </w:tc>
        <w:tc>
          <w:tcPr>
            <w:tcW w:w="1289" w:type="pct"/>
            <w:vAlign w:val="center"/>
          </w:tcPr>
          <w:p w14:paraId="7588985F" w14:textId="0BB612BD"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205" w:type="pct"/>
            <w:vAlign w:val="center"/>
          </w:tcPr>
          <w:p w14:paraId="144A61C3" w14:textId="77777777" w:rsidR="003A4883" w:rsidRPr="00523653" w:rsidRDefault="003A4883" w:rsidP="001A5767">
            <w:pPr>
              <w:pStyle w:val="TableText0"/>
              <w:jc w:val="center"/>
              <w:rPr>
                <w:rFonts w:ascii="Times" w:hAnsi="Times"/>
              </w:rPr>
            </w:pPr>
            <w:r w:rsidRPr="00AA64DF">
              <w:t>$433</w:t>
            </w:r>
          </w:p>
        </w:tc>
        <w:tc>
          <w:tcPr>
            <w:tcW w:w="1047" w:type="pct"/>
            <w:vAlign w:val="center"/>
          </w:tcPr>
          <w:p w14:paraId="04952307" w14:textId="6D606A8D"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r>
      <w:tr w:rsidR="003A4883" w:rsidRPr="00523653" w14:paraId="703BD42E" w14:textId="77777777" w:rsidTr="003F0811">
        <w:trPr>
          <w:cantSplit/>
        </w:trPr>
        <w:tc>
          <w:tcPr>
            <w:tcW w:w="1459" w:type="pct"/>
            <w:vAlign w:val="center"/>
          </w:tcPr>
          <w:p w14:paraId="47C70BA8" w14:textId="77777777" w:rsidR="003A4883" w:rsidRPr="00523653" w:rsidRDefault="003A4883" w:rsidP="001A5767">
            <w:pPr>
              <w:pStyle w:val="TableText0"/>
              <w:rPr>
                <w:rFonts w:ascii="Times" w:hAnsi="Times"/>
              </w:rPr>
            </w:pPr>
            <w:r w:rsidRPr="00AA64DF">
              <w:rPr>
                <w:bCs w:val="0"/>
              </w:rPr>
              <w:t>QALY</w:t>
            </w:r>
          </w:p>
        </w:tc>
        <w:tc>
          <w:tcPr>
            <w:tcW w:w="1289" w:type="pct"/>
            <w:vAlign w:val="center"/>
          </w:tcPr>
          <w:p w14:paraId="3A170127" w14:textId="77777777" w:rsidR="003A4883" w:rsidRPr="00523653" w:rsidRDefault="003A4883" w:rsidP="001A5767">
            <w:pPr>
              <w:pStyle w:val="TableText0"/>
              <w:jc w:val="center"/>
              <w:rPr>
                <w:rFonts w:ascii="Times" w:hAnsi="Times"/>
              </w:rPr>
            </w:pPr>
            <w:r w:rsidRPr="00AA64DF">
              <w:t>0.236</w:t>
            </w:r>
          </w:p>
        </w:tc>
        <w:tc>
          <w:tcPr>
            <w:tcW w:w="1205" w:type="pct"/>
            <w:vAlign w:val="center"/>
          </w:tcPr>
          <w:p w14:paraId="1F93F5D5" w14:textId="77777777" w:rsidR="003A4883" w:rsidRPr="00523653" w:rsidRDefault="003A4883" w:rsidP="001A5767">
            <w:pPr>
              <w:pStyle w:val="TableText0"/>
              <w:jc w:val="center"/>
              <w:rPr>
                <w:rFonts w:ascii="Times" w:hAnsi="Times"/>
              </w:rPr>
            </w:pPr>
            <w:r w:rsidRPr="00AA64DF">
              <w:t>0.229</w:t>
            </w:r>
          </w:p>
        </w:tc>
        <w:tc>
          <w:tcPr>
            <w:tcW w:w="1047" w:type="pct"/>
            <w:vAlign w:val="center"/>
          </w:tcPr>
          <w:p w14:paraId="0A4ABCDB" w14:textId="77777777" w:rsidR="003A4883" w:rsidRPr="00523653" w:rsidRDefault="003A4883" w:rsidP="001A5767">
            <w:pPr>
              <w:pStyle w:val="TableText0"/>
              <w:jc w:val="center"/>
            </w:pPr>
            <w:r w:rsidRPr="00AA64DF">
              <w:t>0.007</w:t>
            </w:r>
          </w:p>
        </w:tc>
      </w:tr>
      <w:tr w:rsidR="003A4883" w:rsidRPr="00523653" w14:paraId="0397814C" w14:textId="77777777" w:rsidTr="003F0811">
        <w:trPr>
          <w:cantSplit/>
        </w:trPr>
        <w:tc>
          <w:tcPr>
            <w:tcW w:w="3953" w:type="pct"/>
            <w:gridSpan w:val="3"/>
            <w:vAlign w:val="center"/>
          </w:tcPr>
          <w:p w14:paraId="4247D283" w14:textId="77777777" w:rsidR="003A4883" w:rsidRPr="00523653" w:rsidRDefault="003A4883" w:rsidP="001A5767">
            <w:pPr>
              <w:pStyle w:val="TableText0"/>
              <w:rPr>
                <w:rFonts w:ascii="Times" w:hAnsi="Times"/>
              </w:rPr>
            </w:pPr>
            <w:r w:rsidRPr="00AA64DF">
              <w:rPr>
                <w:bCs w:val="0"/>
              </w:rPr>
              <w:t>Incremental cost/extra QALY gained</w:t>
            </w:r>
          </w:p>
        </w:tc>
        <w:tc>
          <w:tcPr>
            <w:tcW w:w="1047" w:type="pct"/>
            <w:vAlign w:val="center"/>
          </w:tcPr>
          <w:p w14:paraId="5863B159" w14:textId="7F99C1BA"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r w:rsidR="00097E81">
              <w:rPr>
                <w:vertAlign w:val="superscript"/>
              </w:rPr>
              <w:t>1</w:t>
            </w:r>
          </w:p>
        </w:tc>
      </w:tr>
      <w:tr w:rsidR="003A4883" w:rsidRPr="00523653" w14:paraId="70241068" w14:textId="77777777" w:rsidTr="007D4E6D">
        <w:trPr>
          <w:cantSplit/>
        </w:trPr>
        <w:tc>
          <w:tcPr>
            <w:tcW w:w="5000" w:type="pct"/>
            <w:gridSpan w:val="4"/>
            <w:vAlign w:val="center"/>
          </w:tcPr>
          <w:p w14:paraId="6647EB8B" w14:textId="77777777" w:rsidR="003A4883" w:rsidRPr="00523653" w:rsidRDefault="003A4883" w:rsidP="001A5767">
            <w:pPr>
              <w:pStyle w:val="In-tableHeading"/>
              <w:rPr>
                <w:lang w:val="en-AU"/>
              </w:rPr>
            </w:pPr>
            <w:r w:rsidRPr="00AA64DF">
              <w:rPr>
                <w:lang w:val="en-AU"/>
              </w:rPr>
              <w:t>Step 3: ACTIVE trial active treatment phase (1 year)</w:t>
            </w:r>
          </w:p>
        </w:tc>
      </w:tr>
      <w:tr w:rsidR="003A4883" w:rsidRPr="00523653" w14:paraId="2AA87CFE" w14:textId="77777777" w:rsidTr="003F0811">
        <w:trPr>
          <w:cantSplit/>
        </w:trPr>
        <w:tc>
          <w:tcPr>
            <w:tcW w:w="1459" w:type="pct"/>
            <w:vAlign w:val="center"/>
          </w:tcPr>
          <w:p w14:paraId="3296489D" w14:textId="071FF049" w:rsidR="003A4883" w:rsidRPr="00523653" w:rsidRDefault="003A4883" w:rsidP="001A5767">
            <w:pPr>
              <w:pStyle w:val="TableText0"/>
              <w:rPr>
                <w:rFonts w:ascii="Times" w:hAnsi="Times"/>
              </w:rPr>
            </w:pPr>
            <w:r w:rsidRPr="00AA64DF">
              <w:t>Costs</w:t>
            </w:r>
            <w:r w:rsidR="00097E81">
              <w:t xml:space="preserve"> ($)</w:t>
            </w:r>
          </w:p>
        </w:tc>
        <w:tc>
          <w:tcPr>
            <w:tcW w:w="1289" w:type="pct"/>
            <w:vAlign w:val="center"/>
          </w:tcPr>
          <w:p w14:paraId="4A6C78FD" w14:textId="3B56FA69"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205" w:type="pct"/>
            <w:vAlign w:val="center"/>
          </w:tcPr>
          <w:p w14:paraId="3E6A6677" w14:textId="77777777" w:rsidR="003A4883" w:rsidRPr="00523653" w:rsidRDefault="003A4883" w:rsidP="001A5767">
            <w:pPr>
              <w:pStyle w:val="TableText0"/>
              <w:jc w:val="center"/>
              <w:rPr>
                <w:rFonts w:ascii="Times" w:hAnsi="Times"/>
              </w:rPr>
            </w:pPr>
            <w:r w:rsidRPr="00AA64DF">
              <w:t>$959</w:t>
            </w:r>
          </w:p>
        </w:tc>
        <w:tc>
          <w:tcPr>
            <w:tcW w:w="1047" w:type="pct"/>
            <w:vAlign w:val="center"/>
          </w:tcPr>
          <w:p w14:paraId="12E9B3EE" w14:textId="4F3AD7A8"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r>
      <w:tr w:rsidR="003A4883" w:rsidRPr="00523653" w14:paraId="58BE6C07" w14:textId="77777777" w:rsidTr="003F0811">
        <w:trPr>
          <w:cantSplit/>
        </w:trPr>
        <w:tc>
          <w:tcPr>
            <w:tcW w:w="1459" w:type="pct"/>
            <w:vAlign w:val="center"/>
          </w:tcPr>
          <w:p w14:paraId="1CCFD359" w14:textId="77777777" w:rsidR="003A4883" w:rsidRPr="00523653" w:rsidRDefault="003A4883" w:rsidP="001A5767">
            <w:pPr>
              <w:pStyle w:val="TableText0"/>
              <w:rPr>
                <w:rFonts w:ascii="Times" w:hAnsi="Times"/>
              </w:rPr>
            </w:pPr>
            <w:r w:rsidRPr="00AA64DF">
              <w:rPr>
                <w:bCs w:val="0"/>
              </w:rPr>
              <w:t>QALY</w:t>
            </w:r>
          </w:p>
        </w:tc>
        <w:tc>
          <w:tcPr>
            <w:tcW w:w="1289" w:type="pct"/>
            <w:vAlign w:val="center"/>
          </w:tcPr>
          <w:p w14:paraId="6BEBC436" w14:textId="77777777" w:rsidR="003A4883" w:rsidRPr="00523653" w:rsidRDefault="003A4883" w:rsidP="001A5767">
            <w:pPr>
              <w:pStyle w:val="TableText0"/>
              <w:jc w:val="center"/>
              <w:rPr>
                <w:rFonts w:ascii="Times" w:hAnsi="Times"/>
              </w:rPr>
            </w:pPr>
            <w:r w:rsidRPr="00AA64DF">
              <w:t>0.540</w:t>
            </w:r>
          </w:p>
        </w:tc>
        <w:tc>
          <w:tcPr>
            <w:tcW w:w="1205" w:type="pct"/>
            <w:vAlign w:val="center"/>
          </w:tcPr>
          <w:p w14:paraId="4ED34560" w14:textId="77777777" w:rsidR="003A4883" w:rsidRPr="00523653" w:rsidRDefault="003A4883" w:rsidP="001A5767">
            <w:pPr>
              <w:pStyle w:val="TableText0"/>
              <w:jc w:val="center"/>
              <w:rPr>
                <w:rFonts w:ascii="Times" w:hAnsi="Times"/>
              </w:rPr>
            </w:pPr>
            <w:r w:rsidRPr="00AA64DF">
              <w:t>0.498</w:t>
            </w:r>
          </w:p>
        </w:tc>
        <w:tc>
          <w:tcPr>
            <w:tcW w:w="1047" w:type="pct"/>
            <w:vAlign w:val="center"/>
          </w:tcPr>
          <w:p w14:paraId="1A195429" w14:textId="77777777" w:rsidR="003A4883" w:rsidRPr="00523653" w:rsidRDefault="003A4883" w:rsidP="001A5767">
            <w:pPr>
              <w:pStyle w:val="TableText0"/>
              <w:jc w:val="center"/>
            </w:pPr>
            <w:r w:rsidRPr="00AA64DF">
              <w:t>0.042</w:t>
            </w:r>
          </w:p>
        </w:tc>
      </w:tr>
      <w:tr w:rsidR="003A4883" w:rsidRPr="00523653" w14:paraId="11A9BBD6" w14:textId="77777777" w:rsidTr="003F0811">
        <w:trPr>
          <w:cantSplit/>
        </w:trPr>
        <w:tc>
          <w:tcPr>
            <w:tcW w:w="3953" w:type="pct"/>
            <w:gridSpan w:val="3"/>
            <w:vAlign w:val="center"/>
          </w:tcPr>
          <w:p w14:paraId="1C433F28" w14:textId="77777777" w:rsidR="003A4883" w:rsidRPr="00523653" w:rsidRDefault="003A4883" w:rsidP="001A5767">
            <w:pPr>
              <w:pStyle w:val="TableText0"/>
              <w:rPr>
                <w:rFonts w:ascii="Times" w:hAnsi="Times"/>
              </w:rPr>
            </w:pPr>
            <w:r w:rsidRPr="00AA64DF">
              <w:rPr>
                <w:bCs w:val="0"/>
              </w:rPr>
              <w:t>Incremental cost/extra QALY gained</w:t>
            </w:r>
          </w:p>
        </w:tc>
        <w:tc>
          <w:tcPr>
            <w:tcW w:w="1047" w:type="pct"/>
            <w:vAlign w:val="center"/>
          </w:tcPr>
          <w:p w14:paraId="5ADAA99C" w14:textId="22A21C4D"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r w:rsidR="00097E81">
              <w:rPr>
                <w:vertAlign w:val="superscript"/>
              </w:rPr>
              <w:t>2</w:t>
            </w:r>
          </w:p>
        </w:tc>
      </w:tr>
      <w:tr w:rsidR="003A4883" w:rsidRPr="00523653" w14:paraId="547BDC66" w14:textId="77777777" w:rsidTr="007D4E6D">
        <w:trPr>
          <w:cantSplit/>
        </w:trPr>
        <w:tc>
          <w:tcPr>
            <w:tcW w:w="5000" w:type="pct"/>
            <w:gridSpan w:val="4"/>
            <w:vAlign w:val="center"/>
          </w:tcPr>
          <w:p w14:paraId="3797C561" w14:textId="77777777" w:rsidR="003A4883" w:rsidRPr="00523653" w:rsidRDefault="003A4883" w:rsidP="001A5767">
            <w:pPr>
              <w:pStyle w:val="In-tableHeading"/>
              <w:rPr>
                <w:lang w:val="en-AU"/>
              </w:rPr>
            </w:pPr>
            <w:r w:rsidRPr="00AA64DF">
              <w:rPr>
                <w:lang w:val="en-AU"/>
              </w:rPr>
              <w:t>Step 4: ACTIVE trial open-label extension phase (2 years)</w:t>
            </w:r>
          </w:p>
        </w:tc>
      </w:tr>
      <w:tr w:rsidR="003A4883" w:rsidRPr="00523653" w14:paraId="36B90516" w14:textId="77777777" w:rsidTr="003F0811">
        <w:trPr>
          <w:cantSplit/>
        </w:trPr>
        <w:tc>
          <w:tcPr>
            <w:tcW w:w="1459" w:type="pct"/>
            <w:vAlign w:val="center"/>
          </w:tcPr>
          <w:p w14:paraId="2EC31DCE" w14:textId="4897C23C" w:rsidR="003A4883" w:rsidRPr="00523653" w:rsidRDefault="003A4883" w:rsidP="001A5767">
            <w:pPr>
              <w:pStyle w:val="TableText0"/>
              <w:rPr>
                <w:rFonts w:ascii="Times" w:hAnsi="Times"/>
              </w:rPr>
            </w:pPr>
            <w:r w:rsidRPr="00AA64DF">
              <w:t>Costs</w:t>
            </w:r>
            <w:r w:rsidR="00097E81">
              <w:t xml:space="preserve"> ($)</w:t>
            </w:r>
          </w:p>
        </w:tc>
        <w:tc>
          <w:tcPr>
            <w:tcW w:w="1289" w:type="pct"/>
            <w:vAlign w:val="center"/>
          </w:tcPr>
          <w:p w14:paraId="0E5B3F21" w14:textId="0E595C3C"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205" w:type="pct"/>
            <w:vAlign w:val="center"/>
          </w:tcPr>
          <w:p w14:paraId="5D919FEA" w14:textId="77777777" w:rsidR="003A4883" w:rsidRPr="00523653" w:rsidRDefault="003A4883" w:rsidP="001A5767">
            <w:pPr>
              <w:pStyle w:val="TableText0"/>
              <w:jc w:val="center"/>
              <w:rPr>
                <w:rFonts w:ascii="Times" w:hAnsi="Times"/>
              </w:rPr>
            </w:pPr>
            <w:r w:rsidRPr="00AA64DF">
              <w:t>$1,915</w:t>
            </w:r>
          </w:p>
        </w:tc>
        <w:tc>
          <w:tcPr>
            <w:tcW w:w="1047" w:type="pct"/>
            <w:vAlign w:val="center"/>
          </w:tcPr>
          <w:p w14:paraId="36B0C66D" w14:textId="2E6844FE"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r>
      <w:tr w:rsidR="003A4883" w:rsidRPr="00523653" w14:paraId="00A7851A" w14:textId="77777777" w:rsidTr="003F0811">
        <w:trPr>
          <w:cantSplit/>
        </w:trPr>
        <w:tc>
          <w:tcPr>
            <w:tcW w:w="1459" w:type="pct"/>
            <w:vAlign w:val="center"/>
          </w:tcPr>
          <w:p w14:paraId="7304ED63" w14:textId="77777777" w:rsidR="003A4883" w:rsidRPr="00523653" w:rsidRDefault="003A4883" w:rsidP="001A5767">
            <w:pPr>
              <w:pStyle w:val="TableText0"/>
              <w:rPr>
                <w:rFonts w:ascii="Times" w:hAnsi="Times"/>
              </w:rPr>
            </w:pPr>
            <w:r w:rsidRPr="00AA64DF">
              <w:rPr>
                <w:bCs w:val="0"/>
              </w:rPr>
              <w:t>QALY</w:t>
            </w:r>
          </w:p>
        </w:tc>
        <w:tc>
          <w:tcPr>
            <w:tcW w:w="1289" w:type="pct"/>
            <w:vAlign w:val="center"/>
          </w:tcPr>
          <w:p w14:paraId="1F13EB59" w14:textId="77777777" w:rsidR="003A4883" w:rsidRPr="00523653" w:rsidRDefault="003A4883" w:rsidP="001A5767">
            <w:pPr>
              <w:pStyle w:val="TableText0"/>
              <w:jc w:val="center"/>
              <w:rPr>
                <w:rFonts w:ascii="Times" w:hAnsi="Times"/>
              </w:rPr>
            </w:pPr>
            <w:r w:rsidRPr="00AA64DF">
              <w:t>1.093</w:t>
            </w:r>
          </w:p>
        </w:tc>
        <w:tc>
          <w:tcPr>
            <w:tcW w:w="1205" w:type="pct"/>
            <w:vAlign w:val="center"/>
          </w:tcPr>
          <w:p w14:paraId="5A387CE3" w14:textId="77777777" w:rsidR="003A4883" w:rsidRPr="00523653" w:rsidRDefault="003A4883" w:rsidP="001A5767">
            <w:pPr>
              <w:pStyle w:val="TableText0"/>
              <w:jc w:val="center"/>
              <w:rPr>
                <w:rFonts w:ascii="Times" w:hAnsi="Times"/>
              </w:rPr>
            </w:pPr>
            <w:r w:rsidRPr="00AA64DF">
              <w:t>0.980</w:t>
            </w:r>
          </w:p>
        </w:tc>
        <w:tc>
          <w:tcPr>
            <w:tcW w:w="1047" w:type="pct"/>
            <w:vAlign w:val="center"/>
          </w:tcPr>
          <w:p w14:paraId="441BFC36" w14:textId="77777777" w:rsidR="003A4883" w:rsidRPr="00523653" w:rsidRDefault="003A4883" w:rsidP="001A5767">
            <w:pPr>
              <w:pStyle w:val="TableText0"/>
              <w:jc w:val="center"/>
            </w:pPr>
            <w:r w:rsidRPr="00AA64DF">
              <w:t>0.113</w:t>
            </w:r>
          </w:p>
        </w:tc>
      </w:tr>
      <w:tr w:rsidR="003A4883" w:rsidRPr="00523653" w14:paraId="674D1708" w14:textId="77777777" w:rsidTr="003F0811">
        <w:trPr>
          <w:cantSplit/>
        </w:trPr>
        <w:tc>
          <w:tcPr>
            <w:tcW w:w="3953" w:type="pct"/>
            <w:gridSpan w:val="3"/>
            <w:vAlign w:val="center"/>
          </w:tcPr>
          <w:p w14:paraId="35A9F5FC" w14:textId="77777777" w:rsidR="003A4883" w:rsidRPr="00523653" w:rsidRDefault="003A4883" w:rsidP="001A5767">
            <w:pPr>
              <w:pStyle w:val="TableText0"/>
              <w:rPr>
                <w:rFonts w:ascii="Times" w:hAnsi="Times"/>
              </w:rPr>
            </w:pPr>
            <w:r w:rsidRPr="00AA64DF">
              <w:rPr>
                <w:bCs w:val="0"/>
              </w:rPr>
              <w:t>Incremental cost/extra QALY gained</w:t>
            </w:r>
          </w:p>
        </w:tc>
        <w:tc>
          <w:tcPr>
            <w:tcW w:w="1047" w:type="pct"/>
            <w:vAlign w:val="center"/>
          </w:tcPr>
          <w:p w14:paraId="544E9F96" w14:textId="20E5F537"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r w:rsidR="00097E81">
              <w:rPr>
                <w:vertAlign w:val="superscript"/>
              </w:rPr>
              <w:t>3</w:t>
            </w:r>
          </w:p>
        </w:tc>
      </w:tr>
      <w:tr w:rsidR="003A4883" w:rsidRPr="00523653" w14:paraId="33E6F80D" w14:textId="77777777" w:rsidTr="007D4E6D">
        <w:trPr>
          <w:cantSplit/>
        </w:trPr>
        <w:tc>
          <w:tcPr>
            <w:tcW w:w="5000" w:type="pct"/>
            <w:gridSpan w:val="4"/>
            <w:vAlign w:val="center"/>
          </w:tcPr>
          <w:p w14:paraId="13796A12" w14:textId="77777777" w:rsidR="003A4883" w:rsidRPr="00523653" w:rsidRDefault="003A4883" w:rsidP="001A5767">
            <w:pPr>
              <w:pStyle w:val="In-tableHeading"/>
              <w:rPr>
                <w:lang w:val="en-AU"/>
              </w:rPr>
            </w:pPr>
            <w:r w:rsidRPr="00523653">
              <w:rPr>
                <w:lang w:val="en-AU"/>
              </w:rPr>
              <w:t>Step 5: model time horizon (5 years)</w:t>
            </w:r>
          </w:p>
        </w:tc>
      </w:tr>
      <w:tr w:rsidR="003A4883" w:rsidRPr="00523653" w14:paraId="38BD5E81" w14:textId="77777777" w:rsidTr="003F0811">
        <w:trPr>
          <w:cantSplit/>
        </w:trPr>
        <w:tc>
          <w:tcPr>
            <w:tcW w:w="1459" w:type="pct"/>
            <w:vAlign w:val="center"/>
          </w:tcPr>
          <w:p w14:paraId="3EC6D773" w14:textId="59CFFEC1" w:rsidR="003A4883" w:rsidRPr="00523653" w:rsidRDefault="003A4883" w:rsidP="001A5767">
            <w:pPr>
              <w:pStyle w:val="TableText0"/>
              <w:rPr>
                <w:rFonts w:ascii="Times" w:hAnsi="Times"/>
              </w:rPr>
            </w:pPr>
            <w:r w:rsidRPr="00523653">
              <w:t>Costs</w:t>
            </w:r>
            <w:r w:rsidR="00097E81">
              <w:t xml:space="preserve"> ($)</w:t>
            </w:r>
          </w:p>
        </w:tc>
        <w:tc>
          <w:tcPr>
            <w:tcW w:w="1289" w:type="pct"/>
            <w:vAlign w:val="center"/>
          </w:tcPr>
          <w:p w14:paraId="6D44309D" w14:textId="667BAB8C"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205" w:type="pct"/>
            <w:vAlign w:val="center"/>
          </w:tcPr>
          <w:p w14:paraId="6C09EF11" w14:textId="77777777" w:rsidR="003A4883" w:rsidRPr="00523653" w:rsidRDefault="003A4883" w:rsidP="001A5767">
            <w:pPr>
              <w:pStyle w:val="TableText0"/>
              <w:jc w:val="center"/>
              <w:rPr>
                <w:rFonts w:ascii="Times" w:hAnsi="Times"/>
              </w:rPr>
            </w:pPr>
            <w:r w:rsidRPr="00523653">
              <w:t>$4,761</w:t>
            </w:r>
          </w:p>
        </w:tc>
        <w:tc>
          <w:tcPr>
            <w:tcW w:w="1047" w:type="pct"/>
            <w:vAlign w:val="center"/>
          </w:tcPr>
          <w:p w14:paraId="54255F14" w14:textId="3E621050"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r>
      <w:tr w:rsidR="003A4883" w:rsidRPr="00523653" w14:paraId="76706B14" w14:textId="77777777" w:rsidTr="003F0811">
        <w:trPr>
          <w:cantSplit/>
        </w:trPr>
        <w:tc>
          <w:tcPr>
            <w:tcW w:w="1459" w:type="pct"/>
            <w:vAlign w:val="center"/>
          </w:tcPr>
          <w:p w14:paraId="53DF4557" w14:textId="77777777" w:rsidR="003A4883" w:rsidRPr="00523653" w:rsidRDefault="003A4883" w:rsidP="001A5767">
            <w:pPr>
              <w:pStyle w:val="TableText0"/>
              <w:rPr>
                <w:rFonts w:ascii="Times" w:hAnsi="Times"/>
              </w:rPr>
            </w:pPr>
            <w:r w:rsidRPr="00523653">
              <w:t>QALYs</w:t>
            </w:r>
          </w:p>
        </w:tc>
        <w:tc>
          <w:tcPr>
            <w:tcW w:w="1289" w:type="pct"/>
            <w:vAlign w:val="center"/>
          </w:tcPr>
          <w:p w14:paraId="37740993" w14:textId="77777777" w:rsidR="003A4883" w:rsidRPr="00523653" w:rsidRDefault="003A4883" w:rsidP="001A5767">
            <w:pPr>
              <w:pStyle w:val="TableText0"/>
              <w:jc w:val="center"/>
              <w:rPr>
                <w:rFonts w:ascii="Times" w:hAnsi="Times"/>
              </w:rPr>
            </w:pPr>
            <w:r w:rsidRPr="00523653">
              <w:t>2.628</w:t>
            </w:r>
          </w:p>
        </w:tc>
        <w:tc>
          <w:tcPr>
            <w:tcW w:w="1205" w:type="pct"/>
            <w:vAlign w:val="center"/>
          </w:tcPr>
          <w:p w14:paraId="79A0269D" w14:textId="77777777" w:rsidR="003A4883" w:rsidRPr="00523653" w:rsidRDefault="003A4883" w:rsidP="001A5767">
            <w:pPr>
              <w:pStyle w:val="TableText0"/>
              <w:jc w:val="center"/>
              <w:rPr>
                <w:rFonts w:ascii="Times" w:hAnsi="Times"/>
              </w:rPr>
            </w:pPr>
            <w:r w:rsidRPr="00523653">
              <w:t>2.288</w:t>
            </w:r>
          </w:p>
        </w:tc>
        <w:tc>
          <w:tcPr>
            <w:tcW w:w="1047" w:type="pct"/>
            <w:vAlign w:val="center"/>
          </w:tcPr>
          <w:p w14:paraId="0FF6498D" w14:textId="77777777" w:rsidR="003A4883" w:rsidRPr="00523653" w:rsidRDefault="003A4883" w:rsidP="001A5767">
            <w:pPr>
              <w:pStyle w:val="TableText0"/>
              <w:jc w:val="center"/>
            </w:pPr>
            <w:r w:rsidRPr="00523653">
              <w:t>0.340</w:t>
            </w:r>
          </w:p>
        </w:tc>
      </w:tr>
      <w:tr w:rsidR="003A4883" w:rsidRPr="00523653" w14:paraId="3C2A42E1" w14:textId="77777777" w:rsidTr="003F0811">
        <w:trPr>
          <w:cantSplit/>
        </w:trPr>
        <w:tc>
          <w:tcPr>
            <w:tcW w:w="3953" w:type="pct"/>
            <w:gridSpan w:val="3"/>
            <w:vAlign w:val="center"/>
          </w:tcPr>
          <w:p w14:paraId="51C8DBB2" w14:textId="77777777" w:rsidR="003A4883" w:rsidRPr="00523653" w:rsidRDefault="003A4883" w:rsidP="001A5767">
            <w:pPr>
              <w:pStyle w:val="TableText0"/>
              <w:rPr>
                <w:rFonts w:ascii="Times" w:hAnsi="Times"/>
              </w:rPr>
            </w:pPr>
            <w:r w:rsidRPr="00523653">
              <w:rPr>
                <w:bCs w:val="0"/>
              </w:rPr>
              <w:t>Incremental cost/extra QALY gained</w:t>
            </w:r>
          </w:p>
        </w:tc>
        <w:tc>
          <w:tcPr>
            <w:tcW w:w="1047" w:type="pct"/>
            <w:vAlign w:val="center"/>
          </w:tcPr>
          <w:p w14:paraId="21A11834" w14:textId="1C0E127F" w:rsidR="003A4883" w:rsidRPr="00523653" w:rsidRDefault="00A50FC3" w:rsidP="001A5767">
            <w:pPr>
              <w:pStyle w:val="TableText0"/>
              <w:jc w:val="center"/>
              <w:rPr>
                <w:rFonts w:ascii="Times" w:hAnsi="Times"/>
              </w:rPr>
            </w:pPr>
            <w:r w:rsidRPr="00A50FC3">
              <w:rPr>
                <w:bCs w:val="0"/>
                <w:color w:val="000000"/>
                <w:shd w:val="solid" w:color="000000" w:fill="000000"/>
                <w14:textFill>
                  <w14:solidFill>
                    <w14:srgbClr w14:val="000000">
                      <w14:alpha w14:val="100000"/>
                    </w14:srgbClr>
                  </w14:solidFill>
                </w14:textFill>
              </w:rPr>
              <w:t>|</w:t>
            </w:r>
            <w:r w:rsidR="00295039" w:rsidRPr="00295039">
              <w:rPr>
                <w:bCs w:val="0"/>
              </w:rPr>
              <w:t xml:space="preserve"> </w:t>
            </w:r>
            <w:r w:rsidR="00097E81">
              <w:rPr>
                <w:vertAlign w:val="superscript"/>
              </w:rPr>
              <w:t>4</w:t>
            </w:r>
          </w:p>
        </w:tc>
      </w:tr>
      <w:tr w:rsidR="003A4883" w:rsidRPr="00523653" w14:paraId="132DB66C" w14:textId="77777777" w:rsidTr="007D4E6D">
        <w:trPr>
          <w:cantSplit/>
        </w:trPr>
        <w:tc>
          <w:tcPr>
            <w:tcW w:w="5000" w:type="pct"/>
            <w:gridSpan w:val="4"/>
            <w:vAlign w:val="center"/>
          </w:tcPr>
          <w:p w14:paraId="3C549039" w14:textId="77777777" w:rsidR="003A4883" w:rsidRPr="00523653" w:rsidRDefault="003A4883" w:rsidP="001A5767">
            <w:pPr>
              <w:pStyle w:val="In-tableHeading"/>
              <w:rPr>
                <w:lang w:val="en-AU"/>
              </w:rPr>
            </w:pPr>
            <w:r w:rsidRPr="00523653">
              <w:t>Step 6: discounting (5%) included</w:t>
            </w:r>
          </w:p>
        </w:tc>
      </w:tr>
      <w:tr w:rsidR="003A4883" w:rsidRPr="00523653" w14:paraId="04677347" w14:textId="77777777" w:rsidTr="003F0811">
        <w:trPr>
          <w:cantSplit/>
        </w:trPr>
        <w:tc>
          <w:tcPr>
            <w:tcW w:w="1459" w:type="pct"/>
            <w:vAlign w:val="center"/>
          </w:tcPr>
          <w:p w14:paraId="5BBC0D4C" w14:textId="710BD836" w:rsidR="003A4883" w:rsidRPr="00523653" w:rsidRDefault="003A4883" w:rsidP="001A5767">
            <w:pPr>
              <w:pStyle w:val="TableText0"/>
              <w:rPr>
                <w:rFonts w:ascii="Times" w:hAnsi="Times"/>
              </w:rPr>
            </w:pPr>
            <w:r w:rsidRPr="00523653">
              <w:t>Costs</w:t>
            </w:r>
            <w:r w:rsidR="00097E81">
              <w:t xml:space="preserve"> ($)</w:t>
            </w:r>
          </w:p>
        </w:tc>
        <w:tc>
          <w:tcPr>
            <w:tcW w:w="1289" w:type="pct"/>
            <w:vAlign w:val="center"/>
          </w:tcPr>
          <w:p w14:paraId="58570210" w14:textId="785EB8B6"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205" w:type="pct"/>
            <w:vAlign w:val="center"/>
          </w:tcPr>
          <w:p w14:paraId="1CF6F768" w14:textId="77777777" w:rsidR="003A4883" w:rsidRPr="00523653" w:rsidRDefault="003A4883" w:rsidP="001A5767">
            <w:pPr>
              <w:pStyle w:val="TableText0"/>
              <w:jc w:val="center"/>
              <w:rPr>
                <w:rFonts w:ascii="Times" w:hAnsi="Times"/>
              </w:rPr>
            </w:pPr>
            <w:r w:rsidRPr="00523653">
              <w:t>$4,330</w:t>
            </w:r>
          </w:p>
        </w:tc>
        <w:tc>
          <w:tcPr>
            <w:tcW w:w="1047" w:type="pct"/>
            <w:vAlign w:val="center"/>
          </w:tcPr>
          <w:p w14:paraId="497E1138" w14:textId="692D1082" w:rsidR="003A4883" w:rsidRPr="00523653" w:rsidRDefault="00A50FC3" w:rsidP="001A5767">
            <w:pPr>
              <w:pStyle w:val="TableText0"/>
              <w:jc w:val="center"/>
              <w:rPr>
                <w:rFonts w:ascii="Times" w:hAnsi="Times"/>
              </w:rPr>
            </w:pPr>
            <w:r w:rsidRPr="00A50FC3">
              <w:rPr>
                <w:color w:val="000000"/>
                <w:shd w:val="solid" w:color="000000" w:fill="000000"/>
                <w14:textFill>
                  <w14:solidFill>
                    <w14:srgbClr w14:val="000000">
                      <w14:alpha w14:val="100000"/>
                    </w14:srgbClr>
                  </w14:solidFill>
                </w14:textFill>
              </w:rPr>
              <w:t>|</w:t>
            </w:r>
            <w:r w:rsidR="00295039" w:rsidRPr="00295039">
              <w:t xml:space="preserve"> </w:t>
            </w:r>
          </w:p>
        </w:tc>
      </w:tr>
      <w:tr w:rsidR="003A4883" w:rsidRPr="00523653" w14:paraId="37E6ED6A" w14:textId="77777777" w:rsidTr="003F0811">
        <w:trPr>
          <w:cantSplit/>
        </w:trPr>
        <w:tc>
          <w:tcPr>
            <w:tcW w:w="1459" w:type="pct"/>
            <w:vAlign w:val="center"/>
          </w:tcPr>
          <w:p w14:paraId="0FBE2DC8" w14:textId="77777777" w:rsidR="003A4883" w:rsidRPr="00523653" w:rsidRDefault="003A4883" w:rsidP="001A5767">
            <w:pPr>
              <w:pStyle w:val="TableText0"/>
              <w:rPr>
                <w:rFonts w:ascii="Times" w:hAnsi="Times"/>
              </w:rPr>
            </w:pPr>
            <w:r w:rsidRPr="00523653">
              <w:t>QALYs</w:t>
            </w:r>
          </w:p>
        </w:tc>
        <w:tc>
          <w:tcPr>
            <w:tcW w:w="1289" w:type="pct"/>
            <w:vAlign w:val="center"/>
          </w:tcPr>
          <w:p w14:paraId="0DEF13F9" w14:textId="77777777" w:rsidR="003A4883" w:rsidRPr="00523653" w:rsidRDefault="003A4883" w:rsidP="001A5767">
            <w:pPr>
              <w:pStyle w:val="TableText0"/>
              <w:jc w:val="center"/>
              <w:rPr>
                <w:rFonts w:ascii="Times" w:hAnsi="Times"/>
              </w:rPr>
            </w:pPr>
            <w:r w:rsidRPr="00523653">
              <w:t>2.396</w:t>
            </w:r>
          </w:p>
        </w:tc>
        <w:tc>
          <w:tcPr>
            <w:tcW w:w="1205" w:type="pct"/>
            <w:vAlign w:val="center"/>
          </w:tcPr>
          <w:p w14:paraId="27DDE16B" w14:textId="77777777" w:rsidR="003A4883" w:rsidRPr="00523653" w:rsidRDefault="003A4883" w:rsidP="001A5767">
            <w:pPr>
              <w:pStyle w:val="TableText0"/>
              <w:jc w:val="center"/>
              <w:rPr>
                <w:rFonts w:ascii="Times" w:hAnsi="Times"/>
              </w:rPr>
            </w:pPr>
            <w:r w:rsidRPr="00523653">
              <w:t>2.089</w:t>
            </w:r>
          </w:p>
        </w:tc>
        <w:tc>
          <w:tcPr>
            <w:tcW w:w="1047" w:type="pct"/>
            <w:vAlign w:val="center"/>
          </w:tcPr>
          <w:p w14:paraId="061D94ED" w14:textId="77777777" w:rsidR="003A4883" w:rsidRPr="00523653" w:rsidRDefault="003A4883" w:rsidP="001A5767">
            <w:pPr>
              <w:pStyle w:val="TableText0"/>
              <w:jc w:val="center"/>
            </w:pPr>
            <w:r w:rsidRPr="00523653">
              <w:t>0.306</w:t>
            </w:r>
          </w:p>
        </w:tc>
      </w:tr>
      <w:tr w:rsidR="003A4883" w:rsidRPr="00523653" w14:paraId="310CC726" w14:textId="77777777" w:rsidTr="003F0811">
        <w:trPr>
          <w:cantSplit/>
        </w:trPr>
        <w:tc>
          <w:tcPr>
            <w:tcW w:w="3953" w:type="pct"/>
            <w:gridSpan w:val="3"/>
            <w:vAlign w:val="center"/>
          </w:tcPr>
          <w:p w14:paraId="312EC085" w14:textId="77777777" w:rsidR="003A4883" w:rsidRPr="00523653" w:rsidRDefault="003A4883" w:rsidP="001A5767">
            <w:pPr>
              <w:pStyle w:val="TableText0"/>
              <w:rPr>
                <w:rFonts w:ascii="Times" w:hAnsi="Times"/>
              </w:rPr>
            </w:pPr>
            <w:r w:rsidRPr="00523653">
              <w:rPr>
                <w:b/>
              </w:rPr>
              <w:t>Incremental cost/extra QALY gained (base case)</w:t>
            </w:r>
          </w:p>
        </w:tc>
        <w:tc>
          <w:tcPr>
            <w:tcW w:w="1047" w:type="pct"/>
            <w:vAlign w:val="center"/>
          </w:tcPr>
          <w:p w14:paraId="699C6CF4" w14:textId="71525A18" w:rsidR="003A4883" w:rsidRPr="00523653" w:rsidRDefault="00A50FC3" w:rsidP="001A5767">
            <w:pPr>
              <w:pStyle w:val="TableText0"/>
              <w:jc w:val="center"/>
              <w:rPr>
                <w:rFonts w:ascii="Times" w:hAnsi="Times"/>
              </w:rPr>
            </w:pPr>
            <w:r w:rsidRPr="00A50FC3">
              <w:rPr>
                <w:b/>
                <w:color w:val="000000"/>
                <w:shd w:val="solid" w:color="000000" w:fill="000000"/>
                <w14:textFill>
                  <w14:solidFill>
                    <w14:srgbClr w14:val="000000">
                      <w14:alpha w14:val="100000"/>
                    </w14:srgbClr>
                  </w14:solidFill>
                </w14:textFill>
              </w:rPr>
              <w:t>|</w:t>
            </w:r>
            <w:r w:rsidR="00295039" w:rsidRPr="00295039">
              <w:rPr>
                <w:b/>
              </w:rPr>
              <w:t xml:space="preserve"> </w:t>
            </w:r>
            <w:r w:rsidR="00097E81">
              <w:rPr>
                <w:vertAlign w:val="superscript"/>
              </w:rPr>
              <w:t>4</w:t>
            </w:r>
          </w:p>
        </w:tc>
      </w:tr>
    </w:tbl>
    <w:p w14:paraId="3CE2E139" w14:textId="718B5D8F" w:rsidR="003A4883" w:rsidRPr="00DD3528" w:rsidRDefault="003A4883" w:rsidP="003A4883">
      <w:pPr>
        <w:pStyle w:val="FooterTableFigure"/>
        <w:rPr>
          <w:i/>
          <w:iCs/>
        </w:rPr>
      </w:pPr>
      <w:r w:rsidRPr="00B174D7">
        <w:t>Source: Table 3-9</w:t>
      </w:r>
      <w:r>
        <w:t>, p109</w:t>
      </w:r>
      <w:r w:rsidRPr="00B174D7">
        <w:t xml:space="preserve"> of the submission. </w:t>
      </w:r>
      <w:r>
        <w:t>Table D5.5, p63 of the Commentary on the March 2015 PBAC submission; Table D5.5, p58 of the Commentary on the November 2015 PBAC submission</w:t>
      </w:r>
      <w:r w:rsidRPr="00B14B63">
        <w:t>.</w:t>
      </w:r>
      <w:r>
        <w:rPr>
          <w:i/>
          <w:iCs/>
        </w:rPr>
        <w:t xml:space="preserve"> </w:t>
      </w:r>
    </w:p>
    <w:p w14:paraId="66E72C09" w14:textId="6E7286AD" w:rsidR="003A4883" w:rsidRDefault="003A4883" w:rsidP="003A4883">
      <w:pPr>
        <w:pStyle w:val="FooterTableFigure"/>
      </w:pPr>
      <w:r w:rsidRPr="00B174D7">
        <w:t>BSC = best supportive care; QALY = quality-adjusted life year</w:t>
      </w:r>
      <w:r>
        <w:t>.</w:t>
      </w:r>
    </w:p>
    <w:p w14:paraId="3AA58CD0" w14:textId="0611AE65" w:rsidR="00097E81" w:rsidRPr="008E150E" w:rsidRDefault="00097E81" w:rsidP="003A4883">
      <w:pPr>
        <w:pStyle w:val="FooterTableFigure"/>
        <w:rPr>
          <w:i/>
          <w:iCs/>
        </w:rPr>
      </w:pPr>
      <w:r w:rsidRPr="008E150E">
        <w:rPr>
          <w:i/>
          <w:iCs/>
        </w:rPr>
        <w:t>The redacted values correspond to the following ranges:</w:t>
      </w:r>
    </w:p>
    <w:p w14:paraId="6F5C09C4" w14:textId="378BF576" w:rsidR="00097E81" w:rsidRPr="008E150E" w:rsidRDefault="00097E81" w:rsidP="003A4883">
      <w:pPr>
        <w:pStyle w:val="FooterTableFigure"/>
        <w:rPr>
          <w:i/>
          <w:iCs/>
        </w:rPr>
      </w:pPr>
      <w:r w:rsidRPr="008E150E">
        <w:rPr>
          <w:i/>
          <w:iCs/>
          <w:vertAlign w:val="superscript"/>
        </w:rPr>
        <w:t>1</w:t>
      </w:r>
      <w:r w:rsidRPr="008E150E">
        <w:rPr>
          <w:i/>
          <w:iCs/>
        </w:rPr>
        <w:t xml:space="preserve"> $255,000 to &lt; $355,000</w:t>
      </w:r>
    </w:p>
    <w:p w14:paraId="0F5471E2" w14:textId="0ECCF11E" w:rsidR="00097E81" w:rsidRPr="008E150E" w:rsidRDefault="00097E81" w:rsidP="003A4883">
      <w:pPr>
        <w:pStyle w:val="FooterTableFigure"/>
        <w:rPr>
          <w:i/>
          <w:iCs/>
        </w:rPr>
      </w:pPr>
      <w:r w:rsidRPr="008E150E">
        <w:rPr>
          <w:i/>
          <w:iCs/>
          <w:vertAlign w:val="superscript"/>
        </w:rPr>
        <w:t>2</w:t>
      </w:r>
      <w:r w:rsidRPr="008E150E">
        <w:rPr>
          <w:i/>
          <w:iCs/>
        </w:rPr>
        <w:t xml:space="preserve"> $55,000 to &lt; $75,000</w:t>
      </w:r>
    </w:p>
    <w:p w14:paraId="674AC8AA" w14:textId="0387DA7C" w:rsidR="00097E81" w:rsidRPr="008E150E" w:rsidRDefault="00097E81" w:rsidP="003A4883">
      <w:pPr>
        <w:pStyle w:val="FooterTableFigure"/>
        <w:rPr>
          <w:i/>
          <w:iCs/>
        </w:rPr>
      </w:pPr>
      <w:r w:rsidRPr="008E150E">
        <w:rPr>
          <w:i/>
          <w:iCs/>
          <w:vertAlign w:val="superscript"/>
        </w:rPr>
        <w:t>3</w:t>
      </w:r>
      <w:r w:rsidRPr="008E150E">
        <w:rPr>
          <w:i/>
          <w:iCs/>
        </w:rPr>
        <w:t xml:space="preserve"> $35,000 to &lt; $45,000</w:t>
      </w:r>
    </w:p>
    <w:p w14:paraId="0DD586D0" w14:textId="36EAA1FC" w:rsidR="00097E81" w:rsidRPr="008E150E" w:rsidRDefault="00097E81" w:rsidP="003A4883">
      <w:pPr>
        <w:pStyle w:val="FooterTableFigure"/>
        <w:rPr>
          <w:i/>
          <w:iCs/>
        </w:rPr>
      </w:pPr>
      <w:r w:rsidRPr="008E150E">
        <w:rPr>
          <w:i/>
          <w:iCs/>
          <w:vertAlign w:val="superscript"/>
        </w:rPr>
        <w:t>4</w:t>
      </w:r>
      <w:r w:rsidRPr="008E150E">
        <w:rPr>
          <w:i/>
          <w:iCs/>
        </w:rPr>
        <w:t xml:space="preserve"> $25,000 to &lt; $35,000</w:t>
      </w:r>
    </w:p>
    <w:p w14:paraId="6F061FB8" w14:textId="541B6142" w:rsidR="003A4883" w:rsidRPr="007A2376" w:rsidRDefault="006A488C" w:rsidP="00955377">
      <w:pPr>
        <w:pStyle w:val="3-BodyText"/>
      </w:pPr>
      <w:r w:rsidRPr="00955377">
        <w:fldChar w:fldCharType="begin"/>
      </w:r>
      <w:r w:rsidRPr="00955377">
        <w:instrText xml:space="preserve"> REF _Ref124339776 \h </w:instrText>
      </w:r>
      <w:r w:rsidR="0033470C" w:rsidRPr="00955377">
        <w:instrText xml:space="preserve"> \* MERGEFORMAT </w:instrText>
      </w:r>
      <w:r w:rsidRPr="00955377">
        <w:fldChar w:fldCharType="separate"/>
      </w:r>
      <w:r w:rsidR="00A05E81">
        <w:t>Figure 4</w:t>
      </w:r>
      <w:r w:rsidRPr="00955377">
        <w:fldChar w:fldCharType="end"/>
      </w:r>
      <w:r w:rsidR="003A4883" w:rsidRPr="00955377">
        <w:t xml:space="preserve"> </w:t>
      </w:r>
      <w:r w:rsidRPr="00955377">
        <w:t xml:space="preserve">presents the Markov traces produced by the model. </w:t>
      </w:r>
    </w:p>
    <w:p w14:paraId="0D02A8BC" w14:textId="52DF8EC4" w:rsidR="006A488C" w:rsidRPr="00B174D7" w:rsidRDefault="006A488C" w:rsidP="000B64E1">
      <w:pPr>
        <w:pStyle w:val="TableFigureHeading"/>
      </w:pPr>
      <w:bookmarkStart w:id="81" w:name="_Ref124339776"/>
      <w:r>
        <w:lastRenderedPageBreak/>
        <w:t xml:space="preserve">Figure </w:t>
      </w:r>
      <w:r w:rsidR="00A05E81">
        <w:fldChar w:fldCharType="begin"/>
      </w:r>
      <w:r w:rsidR="00A05E81">
        <w:instrText xml:space="preserve"> SEQ Figure \* ARABIC </w:instrText>
      </w:r>
      <w:r w:rsidR="00A05E81">
        <w:fldChar w:fldCharType="separate"/>
      </w:r>
      <w:r w:rsidR="00A05E81">
        <w:rPr>
          <w:noProof/>
        </w:rPr>
        <w:t>4</w:t>
      </w:r>
      <w:r w:rsidR="00A05E81">
        <w:rPr>
          <w:noProof/>
        </w:rPr>
        <w:fldChar w:fldCharType="end"/>
      </w:r>
      <w:bookmarkEnd w:id="81"/>
      <w:r>
        <w:t xml:space="preserve">: </w:t>
      </w:r>
      <w:r w:rsidRPr="00B174D7">
        <w:t>Markov traces presented by the submission</w:t>
      </w:r>
    </w:p>
    <w:p w14:paraId="3A0FE633" w14:textId="77777777" w:rsidR="006A488C" w:rsidRPr="00B174D7" w:rsidRDefault="006A488C" w:rsidP="008E7123">
      <w:pPr>
        <w:keepNext/>
        <w:jc w:val="center"/>
      </w:pPr>
      <w:r w:rsidRPr="00B174D7">
        <w:rPr>
          <w:noProof/>
        </w:rPr>
        <w:drawing>
          <wp:inline distT="0" distB="0" distL="0" distR="0" wp14:anchorId="4E1F8699" wp14:editId="1EC4FFC8">
            <wp:extent cx="4572000" cy="2799080"/>
            <wp:effectExtent l="0" t="0" r="0" b="1270"/>
            <wp:docPr id="25" name="Picture 25" descr="Figure 4: Markov traces presented by th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Figure 4: Markov traces presented by the submis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99080"/>
                    </a:xfrm>
                    <a:prstGeom prst="rect">
                      <a:avLst/>
                    </a:prstGeom>
                    <a:noFill/>
                    <a:ln>
                      <a:noFill/>
                    </a:ln>
                  </pic:spPr>
                </pic:pic>
              </a:graphicData>
            </a:graphic>
          </wp:inline>
        </w:drawing>
      </w:r>
    </w:p>
    <w:p w14:paraId="0EFF0B52" w14:textId="77777777" w:rsidR="006A488C" w:rsidRPr="00B174D7" w:rsidRDefault="006A488C" w:rsidP="008E7123">
      <w:pPr>
        <w:pStyle w:val="TableFigureFooter"/>
        <w:keepNext/>
      </w:pPr>
      <w:r w:rsidRPr="00B174D7">
        <w:t>Source: Figure 3-3</w:t>
      </w:r>
      <w:r>
        <w:t>, p108</w:t>
      </w:r>
      <w:r w:rsidRPr="00B174D7">
        <w:t xml:space="preserve"> of the submission</w:t>
      </w:r>
      <w:r>
        <w:t>.</w:t>
      </w:r>
    </w:p>
    <w:p w14:paraId="696205A1" w14:textId="77777777" w:rsidR="006A488C" w:rsidRPr="00B174D7" w:rsidRDefault="006A488C" w:rsidP="008E7123">
      <w:pPr>
        <w:pStyle w:val="TableFigureFooter"/>
        <w:keepNext/>
      </w:pPr>
      <w:r w:rsidRPr="00B174D7">
        <w:t>Apr = apremilast; BSC = best supportive care</w:t>
      </w:r>
      <w:r>
        <w:t>.</w:t>
      </w:r>
    </w:p>
    <w:p w14:paraId="58FBCDA7" w14:textId="6CADB6DF" w:rsidR="003A4883" w:rsidRPr="00B14B63" w:rsidRDefault="003A4883" w:rsidP="003A4883">
      <w:pPr>
        <w:pStyle w:val="3-BodyText"/>
        <w:ind w:left="720" w:hanging="720"/>
      </w:pPr>
      <w:r w:rsidRPr="00B14B63">
        <w:t xml:space="preserve">The results of key univariate sensitivity analyses are summarised in </w:t>
      </w:r>
      <w:r w:rsidRPr="00B14B63">
        <w:fldChar w:fldCharType="begin"/>
      </w:r>
      <w:r w:rsidRPr="00B14B63">
        <w:instrText xml:space="preserve"> REF _Ref104804865 \h </w:instrText>
      </w:r>
      <w:r w:rsidRPr="00B14B63">
        <w:fldChar w:fldCharType="separate"/>
      </w:r>
      <w:r w:rsidR="00A05E81" w:rsidRPr="00B14B63">
        <w:t xml:space="preserve">Table </w:t>
      </w:r>
      <w:r w:rsidR="00A05E81">
        <w:rPr>
          <w:noProof/>
        </w:rPr>
        <w:t>17</w:t>
      </w:r>
      <w:r w:rsidRPr="00B14B63">
        <w:fldChar w:fldCharType="end"/>
      </w:r>
      <w:r w:rsidRPr="00B14B63">
        <w:t>.</w:t>
      </w:r>
    </w:p>
    <w:p w14:paraId="4F0D6A97" w14:textId="09B01650" w:rsidR="003A4883" w:rsidRPr="00B14B63" w:rsidRDefault="003A4883" w:rsidP="00FE498C">
      <w:pPr>
        <w:pStyle w:val="Caption"/>
        <w:rPr>
          <w:rStyle w:val="CommentReference"/>
          <w:b/>
          <w:szCs w:val="24"/>
        </w:rPr>
      </w:pPr>
      <w:bookmarkStart w:id="82" w:name="_Ref104804865"/>
      <w:r w:rsidRPr="00B14B63">
        <w:lastRenderedPageBreak/>
        <w:t xml:space="preserve">Table </w:t>
      </w:r>
      <w:r w:rsidR="00A05E81">
        <w:fldChar w:fldCharType="begin"/>
      </w:r>
      <w:r w:rsidR="00A05E81">
        <w:instrText xml:space="preserve"> SEQ Table \* ARABIC </w:instrText>
      </w:r>
      <w:r w:rsidR="00A05E81">
        <w:fldChar w:fldCharType="separate"/>
      </w:r>
      <w:r w:rsidR="00A05E81">
        <w:rPr>
          <w:noProof/>
        </w:rPr>
        <w:t>17</w:t>
      </w:r>
      <w:r w:rsidR="00A05E81">
        <w:rPr>
          <w:noProof/>
        </w:rPr>
        <w:fldChar w:fldCharType="end"/>
      </w:r>
      <w:bookmarkEnd w:id="82"/>
      <w:r w:rsidRPr="00B14B63">
        <w:t>:</w:t>
      </w:r>
      <w:r w:rsidRPr="00B14B63">
        <w:rPr>
          <w:rStyle w:val="CommentReference"/>
          <w:b/>
          <w:szCs w:val="24"/>
        </w:rPr>
        <w:t xml:space="preserve"> </w:t>
      </w:r>
      <w:r>
        <w:rPr>
          <w:rStyle w:val="CommentReference"/>
          <w:b/>
          <w:szCs w:val="24"/>
        </w:rPr>
        <w:t>Results of key s</w:t>
      </w:r>
      <w:r w:rsidRPr="00B14B63">
        <w:rPr>
          <w:rStyle w:val="CommentReference"/>
          <w:b/>
          <w:szCs w:val="24"/>
        </w:rPr>
        <w:t>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1396"/>
        <w:gridCol w:w="1396"/>
        <w:gridCol w:w="1715"/>
        <w:gridCol w:w="1102"/>
      </w:tblGrid>
      <w:tr w:rsidR="003A4883" w:rsidRPr="004C0D9B" w14:paraId="73DF8927" w14:textId="77777777" w:rsidTr="000C7C80">
        <w:trPr>
          <w:cantSplit/>
          <w:tblHeader/>
        </w:trPr>
        <w:tc>
          <w:tcPr>
            <w:tcW w:w="1890" w:type="pct"/>
          </w:tcPr>
          <w:p w14:paraId="50BF0469" w14:textId="77777777" w:rsidR="003A4883" w:rsidRPr="004C0D9B" w:rsidRDefault="003A4883" w:rsidP="00FE498C">
            <w:pPr>
              <w:pStyle w:val="In-tableHeading"/>
              <w:keepLines/>
              <w:jc w:val="center"/>
              <w:rPr>
                <w:lang w:val="en-AU"/>
              </w:rPr>
            </w:pPr>
            <w:r w:rsidRPr="004C0D9B">
              <w:rPr>
                <w:lang w:val="en-AU"/>
              </w:rPr>
              <w:t>Analyses</w:t>
            </w:r>
          </w:p>
        </w:tc>
        <w:tc>
          <w:tcPr>
            <w:tcW w:w="774" w:type="pct"/>
          </w:tcPr>
          <w:p w14:paraId="4B191D04" w14:textId="281469A3" w:rsidR="003A4883" w:rsidRPr="004C0D9B" w:rsidRDefault="003A4883" w:rsidP="00FE498C">
            <w:pPr>
              <w:pStyle w:val="In-tableHeading"/>
              <w:keepLines/>
              <w:jc w:val="center"/>
              <w:rPr>
                <w:lang w:val="en-AU"/>
              </w:rPr>
            </w:pPr>
            <w:r w:rsidRPr="004C0D9B">
              <w:rPr>
                <w:lang w:val="en-AU"/>
              </w:rPr>
              <w:t>Incremental cost</w:t>
            </w:r>
            <w:r w:rsidR="00097E81">
              <w:rPr>
                <w:lang w:val="en-AU"/>
              </w:rPr>
              <w:t xml:space="preserve"> ($)</w:t>
            </w:r>
          </w:p>
        </w:tc>
        <w:tc>
          <w:tcPr>
            <w:tcW w:w="774" w:type="pct"/>
          </w:tcPr>
          <w:p w14:paraId="1D7AF95F" w14:textId="77777777" w:rsidR="003A4883" w:rsidRPr="004C0D9B" w:rsidRDefault="003A4883" w:rsidP="00FE498C">
            <w:pPr>
              <w:pStyle w:val="In-tableHeading"/>
              <w:keepLines/>
              <w:jc w:val="center"/>
              <w:rPr>
                <w:lang w:val="en-AU"/>
              </w:rPr>
            </w:pPr>
            <w:r w:rsidRPr="004C0D9B">
              <w:rPr>
                <w:lang w:val="en-AU"/>
              </w:rPr>
              <w:t>Incremental QALY</w:t>
            </w:r>
          </w:p>
        </w:tc>
        <w:tc>
          <w:tcPr>
            <w:tcW w:w="951" w:type="pct"/>
          </w:tcPr>
          <w:p w14:paraId="11BD7FF7" w14:textId="77777777" w:rsidR="003A4883" w:rsidRPr="004C0D9B" w:rsidRDefault="003A4883" w:rsidP="00FE498C">
            <w:pPr>
              <w:pStyle w:val="In-tableHeading"/>
              <w:keepLines/>
              <w:jc w:val="center"/>
              <w:rPr>
                <w:lang w:val="en-AU"/>
              </w:rPr>
            </w:pPr>
            <w:r w:rsidRPr="004C0D9B">
              <w:rPr>
                <w:lang w:val="en-AU"/>
              </w:rPr>
              <w:t>ICER</w:t>
            </w:r>
          </w:p>
        </w:tc>
        <w:tc>
          <w:tcPr>
            <w:tcW w:w="611" w:type="pct"/>
          </w:tcPr>
          <w:p w14:paraId="2DE2E107" w14:textId="77777777" w:rsidR="003A4883" w:rsidRPr="004C0D9B" w:rsidRDefault="003A4883" w:rsidP="00FE498C">
            <w:pPr>
              <w:pStyle w:val="In-tableHeading"/>
              <w:keepLines/>
              <w:jc w:val="center"/>
              <w:rPr>
                <w:lang w:val="en-AU"/>
              </w:rPr>
            </w:pPr>
            <w:r w:rsidRPr="004C0D9B">
              <w:rPr>
                <w:lang w:val="en-AU"/>
              </w:rPr>
              <w:t>% change to ICER</w:t>
            </w:r>
          </w:p>
        </w:tc>
      </w:tr>
      <w:tr w:rsidR="003A4883" w:rsidRPr="004C0D9B" w14:paraId="4181BAB0" w14:textId="77777777" w:rsidTr="000C7C80">
        <w:trPr>
          <w:cantSplit/>
        </w:trPr>
        <w:tc>
          <w:tcPr>
            <w:tcW w:w="1890" w:type="pct"/>
          </w:tcPr>
          <w:p w14:paraId="619DA589" w14:textId="77777777" w:rsidR="003A4883" w:rsidRPr="004C0D9B" w:rsidRDefault="003A4883" w:rsidP="00FE498C">
            <w:pPr>
              <w:pStyle w:val="TableText0"/>
              <w:keepLines/>
              <w:rPr>
                <w:b/>
              </w:rPr>
            </w:pPr>
            <w:r w:rsidRPr="004C0D9B">
              <w:rPr>
                <w:b/>
              </w:rPr>
              <w:t>Base case</w:t>
            </w:r>
          </w:p>
        </w:tc>
        <w:tc>
          <w:tcPr>
            <w:tcW w:w="774" w:type="pct"/>
          </w:tcPr>
          <w:p w14:paraId="77E46915" w14:textId="719D23A0" w:rsidR="003A4883" w:rsidRPr="004C0D9B" w:rsidRDefault="00A50FC3" w:rsidP="00FE498C">
            <w:pPr>
              <w:pStyle w:val="TableText0"/>
              <w:keepLines/>
              <w:jc w:val="center"/>
              <w:rPr>
                <w:b/>
                <w:highlight w:val="black"/>
              </w:rPr>
            </w:pPr>
            <w:r w:rsidRPr="00A50FC3">
              <w:rPr>
                <w:b/>
                <w:color w:val="000000"/>
                <w:spacing w:val="98"/>
                <w:shd w:val="solid" w:color="000000" w:fill="000000"/>
                <w:fitText w:val="190" w:id="-1233454582"/>
                <w14:textFill>
                  <w14:solidFill>
                    <w14:srgbClr w14:val="000000">
                      <w14:alpha w14:val="100000"/>
                    </w14:srgbClr>
                  </w14:solidFill>
                </w14:textFill>
              </w:rPr>
              <w:t>|</w:t>
            </w:r>
            <w:r w:rsidRPr="00A50FC3">
              <w:rPr>
                <w:b/>
                <w:color w:val="000000"/>
                <w:spacing w:val="1"/>
                <w:shd w:val="solid" w:color="000000" w:fill="000000"/>
                <w:fitText w:val="190" w:id="-1233454582"/>
                <w14:textFill>
                  <w14:solidFill>
                    <w14:srgbClr w14:val="000000">
                      <w14:alpha w14:val="100000"/>
                    </w14:srgbClr>
                  </w14:solidFill>
                </w14:textFill>
              </w:rPr>
              <w:t>|</w:t>
            </w:r>
            <w:r w:rsidR="00295039" w:rsidRPr="00295039">
              <w:rPr>
                <w:b/>
              </w:rPr>
              <w:t xml:space="preserve"> </w:t>
            </w:r>
          </w:p>
        </w:tc>
        <w:tc>
          <w:tcPr>
            <w:tcW w:w="774" w:type="pct"/>
          </w:tcPr>
          <w:p w14:paraId="10A0558D" w14:textId="77777777" w:rsidR="003A4883" w:rsidRPr="004C0D9B" w:rsidRDefault="003A4883" w:rsidP="00FE498C">
            <w:pPr>
              <w:pStyle w:val="TableText0"/>
              <w:keepLines/>
              <w:jc w:val="center"/>
              <w:rPr>
                <w:b/>
              </w:rPr>
            </w:pPr>
            <w:r w:rsidRPr="004C0D9B">
              <w:rPr>
                <w:b/>
              </w:rPr>
              <w:t>0.306</w:t>
            </w:r>
          </w:p>
        </w:tc>
        <w:tc>
          <w:tcPr>
            <w:tcW w:w="951" w:type="pct"/>
          </w:tcPr>
          <w:p w14:paraId="71FEACB4" w14:textId="106755BA" w:rsidR="003A4883" w:rsidRPr="004C0D9B" w:rsidRDefault="00A50FC3" w:rsidP="00FE498C">
            <w:pPr>
              <w:pStyle w:val="TableText0"/>
              <w:keepLines/>
              <w:jc w:val="center"/>
              <w:rPr>
                <w:b/>
                <w:highlight w:val="black"/>
              </w:rPr>
            </w:pPr>
            <w:r w:rsidRPr="00B165BE">
              <w:rPr>
                <w:rFonts w:hint="eastAsia"/>
                <w:b/>
                <w:color w:val="000000"/>
                <w:w w:val="15"/>
                <w:shd w:val="solid" w:color="000000" w:fill="000000"/>
                <w:fitText w:val="70" w:id="-1233454581"/>
                <w14:textFill>
                  <w14:solidFill>
                    <w14:srgbClr w14:val="000000">
                      <w14:alpha w14:val="100000"/>
                    </w14:srgbClr>
                  </w14:solidFill>
                </w14:textFill>
              </w:rPr>
              <w:t xml:space="preserve">　</w:t>
            </w:r>
            <w:r w:rsidRPr="00B165BE">
              <w:rPr>
                <w:b/>
                <w:color w:val="000000"/>
                <w:w w:val="15"/>
                <w:shd w:val="solid" w:color="000000" w:fill="000000"/>
                <w:fitText w:val="70" w:id="-1233454581"/>
                <w14:textFill>
                  <w14:solidFill>
                    <w14:srgbClr w14:val="000000">
                      <w14:alpha w14:val="100000"/>
                    </w14:srgbClr>
                  </w14:solidFill>
                </w14:textFill>
              </w:rPr>
              <w:t>|</w:t>
            </w:r>
            <w:r w:rsidRPr="00B165BE">
              <w:rPr>
                <w:rFonts w:hint="eastAsia"/>
                <w:b/>
                <w:color w:val="000000"/>
                <w:spacing w:val="3"/>
                <w:w w:val="15"/>
                <w:shd w:val="solid" w:color="000000" w:fill="000000"/>
                <w:fitText w:val="70" w:id="-1233454581"/>
                <w14:textFill>
                  <w14:solidFill>
                    <w14:srgbClr w14:val="000000">
                      <w14:alpha w14:val="100000"/>
                    </w14:srgbClr>
                  </w14:solidFill>
                </w14:textFill>
              </w:rPr>
              <w:t xml:space="preserve">　</w:t>
            </w:r>
            <w:r w:rsidR="00295039" w:rsidRPr="00295039">
              <w:rPr>
                <w:b/>
              </w:rPr>
              <w:t xml:space="preserve"> </w:t>
            </w:r>
            <w:r w:rsidR="00097E81">
              <w:rPr>
                <w:rFonts w:eastAsia="Calibri"/>
                <w:iCs/>
                <w:szCs w:val="20"/>
                <w:vertAlign w:val="superscript"/>
              </w:rPr>
              <w:t>1</w:t>
            </w:r>
          </w:p>
        </w:tc>
        <w:tc>
          <w:tcPr>
            <w:tcW w:w="611" w:type="pct"/>
          </w:tcPr>
          <w:p w14:paraId="52347538" w14:textId="77777777" w:rsidR="003A4883" w:rsidRPr="004C0D9B" w:rsidRDefault="003A4883" w:rsidP="00FE498C">
            <w:pPr>
              <w:pStyle w:val="TableText0"/>
              <w:keepLines/>
              <w:rPr>
                <w:rFonts w:eastAsia="Calibri"/>
                <w:b/>
                <w:szCs w:val="20"/>
              </w:rPr>
            </w:pPr>
          </w:p>
        </w:tc>
      </w:tr>
      <w:tr w:rsidR="003A4883" w:rsidRPr="004C0D9B" w14:paraId="45698A56" w14:textId="77777777" w:rsidTr="007D4E6D">
        <w:trPr>
          <w:cantSplit/>
        </w:trPr>
        <w:tc>
          <w:tcPr>
            <w:tcW w:w="5000" w:type="pct"/>
            <w:gridSpan w:val="5"/>
          </w:tcPr>
          <w:p w14:paraId="28E3C782" w14:textId="77777777" w:rsidR="003A4883" w:rsidRPr="004C0D9B" w:rsidRDefault="003A4883" w:rsidP="00FE498C">
            <w:pPr>
              <w:pStyle w:val="TableText0"/>
              <w:keepLines/>
              <w:rPr>
                <w:rFonts w:eastAsia="Calibri"/>
                <w:b/>
                <w:bCs w:val="0"/>
                <w:szCs w:val="20"/>
              </w:rPr>
            </w:pPr>
            <w:r w:rsidRPr="004C0D9B">
              <w:rPr>
                <w:b/>
                <w:bCs w:val="0"/>
              </w:rPr>
              <w:t>Discount rate (base case: 5%)</w:t>
            </w:r>
          </w:p>
        </w:tc>
      </w:tr>
      <w:tr w:rsidR="003A4883" w:rsidRPr="004C0D9B" w14:paraId="0FD11D65" w14:textId="77777777" w:rsidTr="000C7C80">
        <w:trPr>
          <w:cantSplit/>
        </w:trPr>
        <w:tc>
          <w:tcPr>
            <w:tcW w:w="1890" w:type="pct"/>
          </w:tcPr>
          <w:p w14:paraId="7CECE359" w14:textId="77777777" w:rsidR="003A4883" w:rsidRPr="004C0D9B" w:rsidRDefault="003A4883" w:rsidP="00FE498C">
            <w:pPr>
              <w:pStyle w:val="TableText0"/>
              <w:keepLines/>
              <w:rPr>
                <w:b/>
              </w:rPr>
            </w:pPr>
            <w:r w:rsidRPr="004C0D9B">
              <w:t>0%</w:t>
            </w:r>
          </w:p>
        </w:tc>
        <w:tc>
          <w:tcPr>
            <w:tcW w:w="774" w:type="pct"/>
          </w:tcPr>
          <w:p w14:paraId="26DAD2EE" w14:textId="0988AACC" w:rsidR="003A4883" w:rsidRPr="004C0D9B" w:rsidRDefault="00A50FC3" w:rsidP="00FE498C">
            <w:pPr>
              <w:pStyle w:val="TableText0"/>
              <w:keepLines/>
              <w:jc w:val="center"/>
              <w:rPr>
                <w:bCs w:val="0"/>
              </w:rPr>
            </w:pPr>
            <w:r w:rsidRPr="00A50FC3">
              <w:rPr>
                <w:rFonts w:hint="eastAsia"/>
                <w:bCs w:val="0"/>
                <w:color w:val="000000"/>
                <w:w w:val="24"/>
                <w:shd w:val="solid" w:color="000000" w:fill="000000"/>
                <w:fitText w:val="110" w:id="-1233454580"/>
                <w14:textFill>
                  <w14:solidFill>
                    <w14:srgbClr w14:val="000000">
                      <w14:alpha w14:val="100000"/>
                    </w14:srgbClr>
                  </w14:solidFill>
                </w14:textFill>
              </w:rPr>
              <w:t xml:space="preserve">　</w:t>
            </w:r>
            <w:r w:rsidRPr="00A50FC3">
              <w:rPr>
                <w:bCs w:val="0"/>
                <w:color w:val="000000"/>
                <w:w w:val="24"/>
                <w:shd w:val="solid" w:color="000000" w:fill="000000"/>
                <w:fitText w:val="110" w:id="-1233454580"/>
                <w14:textFill>
                  <w14:solidFill>
                    <w14:srgbClr w14:val="000000">
                      <w14:alpha w14:val="100000"/>
                    </w14:srgbClr>
                  </w14:solidFill>
                </w14:textFill>
              </w:rPr>
              <w:t>|</w:t>
            </w:r>
            <w:r w:rsidRPr="00A50FC3">
              <w:rPr>
                <w:rFonts w:hint="eastAsia"/>
                <w:bCs w:val="0"/>
                <w:color w:val="000000"/>
                <w:spacing w:val="6"/>
                <w:w w:val="24"/>
                <w:shd w:val="solid" w:color="000000" w:fill="000000"/>
                <w:fitText w:val="110" w:id="-1233454580"/>
                <w14:textFill>
                  <w14:solidFill>
                    <w14:srgbClr w14:val="000000">
                      <w14:alpha w14:val="100000"/>
                    </w14:srgbClr>
                  </w14:solidFill>
                </w14:textFill>
              </w:rPr>
              <w:t xml:space="preserve">　</w:t>
            </w:r>
            <w:r w:rsidR="00295039" w:rsidRPr="00295039">
              <w:rPr>
                <w:bCs w:val="0"/>
              </w:rPr>
              <w:t xml:space="preserve"> </w:t>
            </w:r>
          </w:p>
        </w:tc>
        <w:tc>
          <w:tcPr>
            <w:tcW w:w="774" w:type="pct"/>
          </w:tcPr>
          <w:p w14:paraId="33DAC935" w14:textId="77777777" w:rsidR="003A4883" w:rsidRPr="004C0D9B" w:rsidRDefault="003A4883" w:rsidP="00FE498C">
            <w:pPr>
              <w:pStyle w:val="TableText0"/>
              <w:keepLines/>
              <w:jc w:val="center"/>
              <w:rPr>
                <w:bCs w:val="0"/>
              </w:rPr>
            </w:pPr>
            <w:r w:rsidRPr="004C0D9B">
              <w:rPr>
                <w:bCs w:val="0"/>
              </w:rPr>
              <w:t>0.340</w:t>
            </w:r>
          </w:p>
        </w:tc>
        <w:tc>
          <w:tcPr>
            <w:tcW w:w="951" w:type="pct"/>
          </w:tcPr>
          <w:p w14:paraId="6B65BA70" w14:textId="57162D63" w:rsidR="003A4883" w:rsidRPr="004C0D9B" w:rsidRDefault="00A50FC3" w:rsidP="00FE498C">
            <w:pPr>
              <w:pStyle w:val="TableText0"/>
              <w:keepLines/>
              <w:jc w:val="center"/>
              <w:rPr>
                <w:bCs w:val="0"/>
              </w:rPr>
            </w:pPr>
            <w:r w:rsidRPr="00A05E81">
              <w:rPr>
                <w:rFonts w:eastAsia="Calibri" w:hint="eastAsia"/>
                <w:bCs w:val="0"/>
                <w:color w:val="000000"/>
                <w:w w:val="15"/>
                <w:szCs w:val="20"/>
                <w:shd w:val="solid" w:color="000000" w:fill="000000"/>
                <w:fitText w:val="20" w:id="-1233454579"/>
                <w14:textFill>
                  <w14:solidFill>
                    <w14:srgbClr w14:val="000000">
                      <w14:alpha w14:val="100000"/>
                    </w14:srgbClr>
                  </w14:solidFill>
                </w14:textFill>
              </w:rPr>
              <w:t xml:space="preserve">　</w:t>
            </w:r>
            <w:r w:rsidRPr="00A05E81">
              <w:rPr>
                <w:rFonts w:eastAsia="Calibri"/>
                <w:bCs w:val="0"/>
                <w:color w:val="000000"/>
                <w:w w:val="15"/>
                <w:szCs w:val="20"/>
                <w:shd w:val="solid" w:color="000000" w:fill="000000"/>
                <w:fitText w:val="20" w:id="-1233454579"/>
                <w14:textFill>
                  <w14:solidFill>
                    <w14:srgbClr w14:val="000000">
                      <w14:alpha w14:val="100000"/>
                    </w14:srgbClr>
                  </w14:solidFill>
                </w14:textFill>
              </w:rPr>
              <w:t>|</w:t>
            </w:r>
            <w:r w:rsidRPr="00A05E81">
              <w:rPr>
                <w:rFonts w:eastAsia="Calibri" w:hint="eastAsia"/>
                <w:bCs w:val="0"/>
                <w:color w:val="000000"/>
                <w:spacing w:val="-45"/>
                <w:w w:val="15"/>
                <w:szCs w:val="20"/>
                <w:shd w:val="solid" w:color="000000" w:fill="000000"/>
                <w:fitText w:val="20" w:id="-1233454579"/>
                <w14:textFill>
                  <w14:solidFill>
                    <w14:srgbClr w14:val="000000">
                      <w14:alpha w14:val="100000"/>
                    </w14:srgbClr>
                  </w14:solidFill>
                </w14:textFill>
              </w:rPr>
              <w:t xml:space="preserve">　</w:t>
            </w:r>
            <w:r w:rsidR="00295039" w:rsidRPr="00295039">
              <w:rPr>
                <w:rFonts w:eastAsia="Calibri"/>
                <w:bCs w:val="0"/>
                <w:szCs w:val="20"/>
              </w:rPr>
              <w:t xml:space="preserve"> </w:t>
            </w:r>
            <w:r w:rsidR="00097E81">
              <w:rPr>
                <w:rFonts w:eastAsia="Calibri"/>
                <w:iCs/>
                <w:szCs w:val="20"/>
                <w:vertAlign w:val="superscript"/>
              </w:rPr>
              <w:t>1</w:t>
            </w:r>
          </w:p>
        </w:tc>
        <w:tc>
          <w:tcPr>
            <w:tcW w:w="611" w:type="pct"/>
          </w:tcPr>
          <w:p w14:paraId="38AE3FC4" w14:textId="0B96F07E" w:rsidR="003A4883" w:rsidRPr="004C0D9B" w:rsidRDefault="003A4883" w:rsidP="00FE498C">
            <w:pPr>
              <w:pStyle w:val="TableText0"/>
              <w:keepLines/>
              <w:jc w:val="center"/>
              <w:rPr>
                <w:rFonts w:eastAsia="Calibri"/>
                <w:b/>
                <w:szCs w:val="20"/>
              </w:rPr>
            </w:pPr>
            <w:r w:rsidRPr="004C0D9B">
              <w:t>-3%</w:t>
            </w:r>
          </w:p>
        </w:tc>
      </w:tr>
      <w:tr w:rsidR="003A4883" w:rsidRPr="004C0D9B" w14:paraId="1B34381A" w14:textId="77777777" w:rsidTr="000C7C80">
        <w:trPr>
          <w:cantSplit/>
        </w:trPr>
        <w:tc>
          <w:tcPr>
            <w:tcW w:w="1890" w:type="pct"/>
          </w:tcPr>
          <w:p w14:paraId="64616157" w14:textId="77777777" w:rsidR="003A4883" w:rsidRPr="004C0D9B" w:rsidRDefault="003A4883" w:rsidP="00FE498C">
            <w:pPr>
              <w:pStyle w:val="TableText0"/>
              <w:keepLines/>
              <w:rPr>
                <w:b/>
              </w:rPr>
            </w:pPr>
            <w:r w:rsidRPr="004C0D9B">
              <w:t>3.5%</w:t>
            </w:r>
          </w:p>
        </w:tc>
        <w:tc>
          <w:tcPr>
            <w:tcW w:w="774" w:type="pct"/>
          </w:tcPr>
          <w:p w14:paraId="06E0228C" w14:textId="023BBAC5" w:rsidR="003A4883" w:rsidRPr="004C0D9B" w:rsidRDefault="00A50FC3" w:rsidP="00FE498C">
            <w:pPr>
              <w:pStyle w:val="TableText0"/>
              <w:keepLines/>
              <w:jc w:val="center"/>
              <w:rPr>
                <w:bCs w:val="0"/>
              </w:rPr>
            </w:pPr>
            <w:r w:rsidRPr="00A50FC3">
              <w:rPr>
                <w:rFonts w:hint="eastAsia"/>
                <w:bCs w:val="0"/>
                <w:color w:val="000000"/>
                <w:w w:val="24"/>
                <w:shd w:val="solid" w:color="000000" w:fill="000000"/>
                <w:fitText w:val="110" w:id="-1233454578"/>
                <w14:textFill>
                  <w14:solidFill>
                    <w14:srgbClr w14:val="000000">
                      <w14:alpha w14:val="100000"/>
                    </w14:srgbClr>
                  </w14:solidFill>
                </w14:textFill>
              </w:rPr>
              <w:t xml:space="preserve">　</w:t>
            </w:r>
            <w:r w:rsidRPr="00A50FC3">
              <w:rPr>
                <w:bCs w:val="0"/>
                <w:color w:val="000000"/>
                <w:w w:val="24"/>
                <w:shd w:val="solid" w:color="000000" w:fill="000000"/>
                <w:fitText w:val="110" w:id="-1233454578"/>
                <w14:textFill>
                  <w14:solidFill>
                    <w14:srgbClr w14:val="000000">
                      <w14:alpha w14:val="100000"/>
                    </w14:srgbClr>
                  </w14:solidFill>
                </w14:textFill>
              </w:rPr>
              <w:t>|</w:t>
            </w:r>
            <w:r w:rsidRPr="00A50FC3">
              <w:rPr>
                <w:rFonts w:hint="eastAsia"/>
                <w:bCs w:val="0"/>
                <w:color w:val="000000"/>
                <w:spacing w:val="6"/>
                <w:w w:val="24"/>
                <w:shd w:val="solid" w:color="000000" w:fill="000000"/>
                <w:fitText w:val="110" w:id="-1233454578"/>
                <w14:textFill>
                  <w14:solidFill>
                    <w14:srgbClr w14:val="000000">
                      <w14:alpha w14:val="100000"/>
                    </w14:srgbClr>
                  </w14:solidFill>
                </w14:textFill>
              </w:rPr>
              <w:t xml:space="preserve">　</w:t>
            </w:r>
            <w:r w:rsidR="00295039" w:rsidRPr="00295039">
              <w:rPr>
                <w:bCs w:val="0"/>
              </w:rPr>
              <w:t xml:space="preserve"> </w:t>
            </w:r>
          </w:p>
        </w:tc>
        <w:tc>
          <w:tcPr>
            <w:tcW w:w="774" w:type="pct"/>
          </w:tcPr>
          <w:p w14:paraId="5F9A0377" w14:textId="77777777" w:rsidR="003A4883" w:rsidRPr="004C0D9B" w:rsidRDefault="003A4883" w:rsidP="00FE498C">
            <w:pPr>
              <w:pStyle w:val="TableText0"/>
              <w:keepLines/>
              <w:jc w:val="center"/>
              <w:rPr>
                <w:bCs w:val="0"/>
              </w:rPr>
            </w:pPr>
            <w:r w:rsidRPr="004C0D9B">
              <w:rPr>
                <w:bCs w:val="0"/>
              </w:rPr>
              <w:t>0.316</w:t>
            </w:r>
          </w:p>
        </w:tc>
        <w:tc>
          <w:tcPr>
            <w:tcW w:w="951" w:type="pct"/>
          </w:tcPr>
          <w:p w14:paraId="3283C552" w14:textId="193A6F32" w:rsidR="003A4883" w:rsidRPr="004C0D9B" w:rsidRDefault="00A50FC3" w:rsidP="00FE498C">
            <w:pPr>
              <w:pStyle w:val="TableText0"/>
              <w:keepLines/>
              <w:jc w:val="center"/>
              <w:rPr>
                <w:bCs w:val="0"/>
              </w:rPr>
            </w:pPr>
            <w:r w:rsidRPr="00A05E81">
              <w:rPr>
                <w:rFonts w:hint="eastAsia"/>
                <w:bCs w:val="0"/>
                <w:color w:val="000000"/>
                <w:w w:val="15"/>
                <w:shd w:val="solid" w:color="000000" w:fill="000000"/>
                <w:fitText w:val="20" w:id="-1233454577"/>
                <w14:textFill>
                  <w14:solidFill>
                    <w14:srgbClr w14:val="000000">
                      <w14:alpha w14:val="100000"/>
                    </w14:srgbClr>
                  </w14:solidFill>
                </w14:textFill>
              </w:rPr>
              <w:t xml:space="preserve">　</w:t>
            </w:r>
            <w:r w:rsidRPr="00A05E81">
              <w:rPr>
                <w:bCs w:val="0"/>
                <w:color w:val="000000"/>
                <w:w w:val="15"/>
                <w:shd w:val="solid" w:color="000000" w:fill="000000"/>
                <w:fitText w:val="20" w:id="-1233454577"/>
                <w14:textFill>
                  <w14:solidFill>
                    <w14:srgbClr w14:val="000000">
                      <w14:alpha w14:val="100000"/>
                    </w14:srgbClr>
                  </w14:solidFill>
                </w14:textFill>
              </w:rPr>
              <w:t>|</w:t>
            </w:r>
            <w:r w:rsidRPr="00A05E81">
              <w:rPr>
                <w:rFonts w:hint="eastAsia"/>
                <w:bCs w:val="0"/>
                <w:color w:val="000000"/>
                <w:spacing w:val="-45"/>
                <w:w w:val="15"/>
                <w:shd w:val="solid" w:color="000000" w:fill="000000"/>
                <w:fitText w:val="20" w:id="-1233454577"/>
                <w14:textFill>
                  <w14:solidFill>
                    <w14:srgbClr w14:val="000000">
                      <w14:alpha w14:val="100000"/>
                    </w14:srgbClr>
                  </w14:solidFill>
                </w14:textFill>
              </w:rPr>
              <w:t xml:space="preserve">　</w:t>
            </w:r>
            <w:r w:rsidR="00295039" w:rsidRPr="00295039">
              <w:rPr>
                <w:bCs w:val="0"/>
              </w:rPr>
              <w:t xml:space="preserve"> </w:t>
            </w:r>
            <w:r w:rsidR="00097E81">
              <w:rPr>
                <w:rFonts w:eastAsia="Calibri"/>
                <w:iCs/>
                <w:szCs w:val="20"/>
                <w:vertAlign w:val="superscript"/>
              </w:rPr>
              <w:t>1</w:t>
            </w:r>
          </w:p>
        </w:tc>
        <w:tc>
          <w:tcPr>
            <w:tcW w:w="611" w:type="pct"/>
          </w:tcPr>
          <w:p w14:paraId="0435B382" w14:textId="49B5AC56" w:rsidR="003A4883" w:rsidRPr="004C0D9B" w:rsidRDefault="003A4883" w:rsidP="00FE498C">
            <w:pPr>
              <w:pStyle w:val="TableText0"/>
              <w:keepLines/>
              <w:jc w:val="center"/>
              <w:rPr>
                <w:rFonts w:eastAsia="Calibri"/>
                <w:b/>
                <w:szCs w:val="20"/>
              </w:rPr>
            </w:pPr>
            <w:r w:rsidRPr="004C0D9B">
              <w:t>-</w:t>
            </w:r>
            <w:r w:rsidR="00945FF7" w:rsidRPr="004C0D9B">
              <w:t>1</w:t>
            </w:r>
            <w:r w:rsidRPr="004C0D9B">
              <w:t>%</w:t>
            </w:r>
          </w:p>
        </w:tc>
      </w:tr>
      <w:tr w:rsidR="000C7C80" w:rsidRPr="004C0D9B" w14:paraId="1C3A35FB" w14:textId="77777777" w:rsidTr="000C7C80">
        <w:trPr>
          <w:cantSplit/>
        </w:trPr>
        <w:tc>
          <w:tcPr>
            <w:tcW w:w="1890" w:type="pct"/>
          </w:tcPr>
          <w:p w14:paraId="134FE530" w14:textId="781E9FD7" w:rsidR="000C7C80" w:rsidRPr="00AA64DF" w:rsidRDefault="000C7C80" w:rsidP="00FE498C">
            <w:pPr>
              <w:pStyle w:val="TableText0"/>
              <w:keepLines/>
              <w:rPr>
                <w:b/>
                <w:bCs w:val="0"/>
              </w:rPr>
            </w:pPr>
            <w:r w:rsidRPr="00AA64DF">
              <w:rPr>
                <w:b/>
                <w:bCs w:val="0"/>
              </w:rPr>
              <w:t>Time horizon (base case</w:t>
            </w:r>
            <w:r w:rsidR="00C4107C" w:rsidRPr="00AA64DF">
              <w:rPr>
                <w:b/>
                <w:bCs w:val="0"/>
              </w:rPr>
              <w:t xml:space="preserve">: </w:t>
            </w:r>
            <w:r w:rsidRPr="00AA64DF">
              <w:rPr>
                <w:b/>
                <w:bCs w:val="0"/>
              </w:rPr>
              <w:t>5 years)</w:t>
            </w:r>
          </w:p>
        </w:tc>
        <w:tc>
          <w:tcPr>
            <w:tcW w:w="774" w:type="pct"/>
          </w:tcPr>
          <w:p w14:paraId="7B182F63" w14:textId="77777777" w:rsidR="000C7C80" w:rsidRPr="004C0D9B" w:rsidRDefault="000C7C80" w:rsidP="00FE498C">
            <w:pPr>
              <w:pStyle w:val="TableText0"/>
              <w:keepLines/>
              <w:jc w:val="center"/>
              <w:rPr>
                <w:bCs w:val="0"/>
              </w:rPr>
            </w:pPr>
          </w:p>
        </w:tc>
        <w:tc>
          <w:tcPr>
            <w:tcW w:w="774" w:type="pct"/>
          </w:tcPr>
          <w:p w14:paraId="69DED7B5" w14:textId="77777777" w:rsidR="000C7C80" w:rsidRPr="004C0D9B" w:rsidRDefault="000C7C80" w:rsidP="00FE498C">
            <w:pPr>
              <w:pStyle w:val="TableText0"/>
              <w:keepLines/>
              <w:jc w:val="center"/>
              <w:rPr>
                <w:bCs w:val="0"/>
              </w:rPr>
            </w:pPr>
          </w:p>
        </w:tc>
        <w:tc>
          <w:tcPr>
            <w:tcW w:w="951" w:type="pct"/>
          </w:tcPr>
          <w:p w14:paraId="25062694" w14:textId="77777777" w:rsidR="000C7C80" w:rsidRPr="004C0D9B" w:rsidRDefault="000C7C80" w:rsidP="00FE498C">
            <w:pPr>
              <w:pStyle w:val="TableText0"/>
              <w:keepLines/>
              <w:jc w:val="center"/>
              <w:rPr>
                <w:bCs w:val="0"/>
              </w:rPr>
            </w:pPr>
          </w:p>
        </w:tc>
        <w:tc>
          <w:tcPr>
            <w:tcW w:w="611" w:type="pct"/>
          </w:tcPr>
          <w:p w14:paraId="7802BDD9" w14:textId="77777777" w:rsidR="000C7C80" w:rsidRPr="004C0D9B" w:rsidRDefault="000C7C80" w:rsidP="00FE498C">
            <w:pPr>
              <w:pStyle w:val="TableText0"/>
              <w:keepLines/>
              <w:jc w:val="center"/>
            </w:pPr>
          </w:p>
        </w:tc>
      </w:tr>
      <w:tr w:rsidR="000C7C80" w:rsidRPr="004C0D9B" w14:paraId="174D4E06" w14:textId="77777777" w:rsidTr="000C7C80">
        <w:trPr>
          <w:cantSplit/>
        </w:trPr>
        <w:tc>
          <w:tcPr>
            <w:tcW w:w="1890" w:type="pct"/>
          </w:tcPr>
          <w:p w14:paraId="3D632106" w14:textId="22523ECF" w:rsidR="000C7C80" w:rsidRPr="004C0D9B" w:rsidRDefault="000C7C80" w:rsidP="00FE498C">
            <w:pPr>
              <w:pStyle w:val="TableText0"/>
              <w:keepLines/>
            </w:pPr>
            <w:r w:rsidRPr="004C0D9B">
              <w:t>3 years</w:t>
            </w:r>
          </w:p>
        </w:tc>
        <w:tc>
          <w:tcPr>
            <w:tcW w:w="774" w:type="pct"/>
          </w:tcPr>
          <w:p w14:paraId="1EF6C809" w14:textId="1EC8C098" w:rsidR="000C7C80" w:rsidRPr="004C0D9B" w:rsidRDefault="00A50FC3" w:rsidP="00FE498C">
            <w:pPr>
              <w:pStyle w:val="TableText0"/>
              <w:keepLines/>
              <w:jc w:val="center"/>
            </w:pPr>
            <w:r w:rsidRPr="00A50FC3">
              <w:rPr>
                <w:rFonts w:hint="eastAsia"/>
                <w:color w:val="000000"/>
                <w:w w:val="24"/>
                <w:shd w:val="solid" w:color="000000" w:fill="000000"/>
                <w:fitText w:val="110" w:id="-1233454576"/>
                <w14:textFill>
                  <w14:solidFill>
                    <w14:srgbClr w14:val="000000">
                      <w14:alpha w14:val="100000"/>
                    </w14:srgbClr>
                  </w14:solidFill>
                </w14:textFill>
              </w:rPr>
              <w:t xml:space="preserve">　</w:t>
            </w:r>
            <w:r w:rsidRPr="00A50FC3">
              <w:rPr>
                <w:color w:val="000000"/>
                <w:w w:val="24"/>
                <w:shd w:val="solid" w:color="000000" w:fill="000000"/>
                <w:fitText w:val="110" w:id="-1233454576"/>
                <w14:textFill>
                  <w14:solidFill>
                    <w14:srgbClr w14:val="000000">
                      <w14:alpha w14:val="100000"/>
                    </w14:srgbClr>
                  </w14:solidFill>
                </w14:textFill>
              </w:rPr>
              <w:t>|</w:t>
            </w:r>
            <w:r w:rsidRPr="00A50FC3">
              <w:rPr>
                <w:rFonts w:hint="eastAsia"/>
                <w:color w:val="000000"/>
                <w:spacing w:val="6"/>
                <w:w w:val="24"/>
                <w:shd w:val="solid" w:color="000000" w:fill="000000"/>
                <w:fitText w:val="110" w:id="-1233454576"/>
                <w14:textFill>
                  <w14:solidFill>
                    <w14:srgbClr w14:val="000000">
                      <w14:alpha w14:val="100000"/>
                    </w14:srgbClr>
                  </w14:solidFill>
                </w14:textFill>
              </w:rPr>
              <w:t xml:space="preserve">　</w:t>
            </w:r>
            <w:r w:rsidR="00295039" w:rsidRPr="00295039">
              <w:t xml:space="preserve"> </w:t>
            </w:r>
          </w:p>
        </w:tc>
        <w:tc>
          <w:tcPr>
            <w:tcW w:w="774" w:type="pct"/>
          </w:tcPr>
          <w:p w14:paraId="7C64C779" w14:textId="69D97BC8" w:rsidR="000C7C80" w:rsidRPr="004C0D9B" w:rsidRDefault="000C7C80" w:rsidP="00FE498C">
            <w:pPr>
              <w:pStyle w:val="TableText0"/>
              <w:keepLines/>
              <w:jc w:val="center"/>
            </w:pPr>
            <w:r w:rsidRPr="004C0D9B">
              <w:t>0.177</w:t>
            </w:r>
          </w:p>
        </w:tc>
        <w:tc>
          <w:tcPr>
            <w:tcW w:w="951" w:type="pct"/>
          </w:tcPr>
          <w:p w14:paraId="414574BA" w14:textId="5E40998D" w:rsidR="000C7C80" w:rsidRPr="004C0D9B" w:rsidRDefault="00A50FC3" w:rsidP="00FE498C">
            <w:pPr>
              <w:pStyle w:val="TableText0"/>
              <w:keepLines/>
              <w:jc w:val="center"/>
            </w:pPr>
            <w:r w:rsidRPr="00A05E81">
              <w:rPr>
                <w:rFonts w:hint="eastAsia"/>
                <w:color w:val="000000"/>
                <w:w w:val="15"/>
                <w:shd w:val="solid" w:color="000000" w:fill="000000"/>
                <w:fitText w:val="20" w:id="-1233454592"/>
                <w14:textFill>
                  <w14:solidFill>
                    <w14:srgbClr w14:val="000000">
                      <w14:alpha w14:val="100000"/>
                    </w14:srgbClr>
                  </w14:solidFill>
                </w14:textFill>
              </w:rPr>
              <w:t xml:space="preserve">　</w:t>
            </w:r>
            <w:r w:rsidRPr="00A05E81">
              <w:rPr>
                <w:color w:val="000000"/>
                <w:w w:val="15"/>
                <w:shd w:val="solid" w:color="000000" w:fill="000000"/>
                <w:fitText w:val="20" w:id="-1233454592"/>
                <w14:textFill>
                  <w14:solidFill>
                    <w14:srgbClr w14:val="000000">
                      <w14:alpha w14:val="100000"/>
                    </w14:srgbClr>
                  </w14:solidFill>
                </w14:textFill>
              </w:rPr>
              <w:t>|</w:t>
            </w:r>
            <w:r w:rsidRPr="00A05E81">
              <w:rPr>
                <w:rFonts w:hint="eastAsia"/>
                <w:color w:val="000000"/>
                <w:spacing w:val="-45"/>
                <w:w w:val="15"/>
                <w:shd w:val="solid" w:color="000000" w:fill="000000"/>
                <w:fitText w:val="20" w:id="-1233454592"/>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1</w:t>
            </w:r>
          </w:p>
        </w:tc>
        <w:tc>
          <w:tcPr>
            <w:tcW w:w="611" w:type="pct"/>
          </w:tcPr>
          <w:p w14:paraId="209BE282" w14:textId="467D34B9" w:rsidR="000C7C80" w:rsidRPr="00AA64DF" w:rsidRDefault="000C7C80" w:rsidP="00FE498C">
            <w:pPr>
              <w:pStyle w:val="TableText0"/>
              <w:keepLines/>
              <w:jc w:val="center"/>
            </w:pPr>
            <w:r w:rsidRPr="00AA64DF">
              <w:t>27%</w:t>
            </w:r>
          </w:p>
        </w:tc>
      </w:tr>
      <w:tr w:rsidR="000C7C80" w:rsidRPr="004C0D9B" w14:paraId="7CEC7C91" w14:textId="77777777" w:rsidTr="007D4E6D">
        <w:trPr>
          <w:cantSplit/>
          <w:trHeight w:val="283"/>
        </w:trPr>
        <w:tc>
          <w:tcPr>
            <w:tcW w:w="5000" w:type="pct"/>
            <w:gridSpan w:val="5"/>
          </w:tcPr>
          <w:p w14:paraId="5221FCCF" w14:textId="49E6F58A" w:rsidR="000C7C80" w:rsidRPr="00AA64DF" w:rsidRDefault="000C7C80" w:rsidP="00FE498C">
            <w:pPr>
              <w:pStyle w:val="TableText0"/>
              <w:keepLines/>
              <w:rPr>
                <w:b/>
                <w:bCs w:val="0"/>
              </w:rPr>
            </w:pPr>
            <w:r w:rsidRPr="00AA64DF">
              <w:rPr>
                <w:b/>
                <w:bCs w:val="0"/>
              </w:rPr>
              <w:t>Response rate (base case</w:t>
            </w:r>
            <w:r w:rsidR="00C4107C" w:rsidRPr="00AA64DF">
              <w:rPr>
                <w:b/>
                <w:bCs w:val="0"/>
              </w:rPr>
              <w:t xml:space="preserve">: </w:t>
            </w:r>
            <w:r w:rsidRPr="00AA64DF">
              <w:rPr>
                <w:b/>
                <w:bCs w:val="0"/>
              </w:rPr>
              <w:t>45.45%, absolute ACR20 response at 24 weeks)</w:t>
            </w:r>
          </w:p>
        </w:tc>
      </w:tr>
      <w:tr w:rsidR="000C7C80" w:rsidRPr="004C0D9B" w14:paraId="5A5630A0" w14:textId="77777777" w:rsidTr="000C7C80">
        <w:trPr>
          <w:cantSplit/>
          <w:trHeight w:val="283"/>
        </w:trPr>
        <w:tc>
          <w:tcPr>
            <w:tcW w:w="1890" w:type="pct"/>
          </w:tcPr>
          <w:p w14:paraId="40B43228" w14:textId="3E1CC2AE" w:rsidR="000C7C80" w:rsidRPr="00AA64DF" w:rsidRDefault="000C7C80" w:rsidP="00FE498C">
            <w:pPr>
              <w:pStyle w:val="TableText0"/>
              <w:keepLines/>
            </w:pPr>
            <w:r w:rsidRPr="00AA64DF">
              <w:t>Placebo-adjusted difference at 24 weeks (18.5%)</w:t>
            </w:r>
          </w:p>
        </w:tc>
        <w:tc>
          <w:tcPr>
            <w:tcW w:w="774" w:type="pct"/>
          </w:tcPr>
          <w:p w14:paraId="5BF50DAF" w14:textId="77B303A5" w:rsidR="000C7C80" w:rsidRPr="00AA64DF" w:rsidRDefault="00A50FC3" w:rsidP="00FE498C">
            <w:pPr>
              <w:pStyle w:val="TableText0"/>
              <w:keepLines/>
              <w:jc w:val="center"/>
            </w:pPr>
            <w:r w:rsidRPr="00A50FC3">
              <w:rPr>
                <w:rFonts w:hint="eastAsia"/>
                <w:color w:val="000000"/>
                <w:w w:val="24"/>
                <w:shd w:val="solid" w:color="000000" w:fill="000000"/>
                <w:fitText w:val="110" w:id="-1233454591"/>
                <w14:textFill>
                  <w14:solidFill>
                    <w14:srgbClr w14:val="000000">
                      <w14:alpha w14:val="100000"/>
                    </w14:srgbClr>
                  </w14:solidFill>
                </w14:textFill>
              </w:rPr>
              <w:t xml:space="preserve">　</w:t>
            </w:r>
            <w:r w:rsidRPr="00A50FC3">
              <w:rPr>
                <w:color w:val="000000"/>
                <w:w w:val="24"/>
                <w:shd w:val="solid" w:color="000000" w:fill="000000"/>
                <w:fitText w:val="110" w:id="-1233454591"/>
                <w14:textFill>
                  <w14:solidFill>
                    <w14:srgbClr w14:val="000000">
                      <w14:alpha w14:val="100000"/>
                    </w14:srgbClr>
                  </w14:solidFill>
                </w14:textFill>
              </w:rPr>
              <w:t>|</w:t>
            </w:r>
            <w:r w:rsidRPr="00A50FC3">
              <w:rPr>
                <w:rFonts w:hint="eastAsia"/>
                <w:color w:val="000000"/>
                <w:spacing w:val="6"/>
                <w:w w:val="24"/>
                <w:shd w:val="solid" w:color="000000" w:fill="000000"/>
                <w:fitText w:val="110" w:id="-1233454591"/>
                <w14:textFill>
                  <w14:solidFill>
                    <w14:srgbClr w14:val="000000">
                      <w14:alpha w14:val="100000"/>
                    </w14:srgbClr>
                  </w14:solidFill>
                </w14:textFill>
              </w:rPr>
              <w:t xml:space="preserve">　</w:t>
            </w:r>
            <w:r w:rsidR="00295039" w:rsidRPr="00295039">
              <w:t xml:space="preserve"> </w:t>
            </w:r>
          </w:p>
        </w:tc>
        <w:tc>
          <w:tcPr>
            <w:tcW w:w="774" w:type="pct"/>
          </w:tcPr>
          <w:p w14:paraId="631AD4A7" w14:textId="68204E58" w:rsidR="000C7C80" w:rsidRPr="00AA64DF" w:rsidRDefault="000C7C80" w:rsidP="00FE498C">
            <w:pPr>
              <w:pStyle w:val="TableText0"/>
              <w:keepLines/>
              <w:jc w:val="center"/>
              <w:rPr>
                <w:b/>
                <w:bCs w:val="0"/>
              </w:rPr>
            </w:pPr>
            <w:r w:rsidRPr="00AA64DF">
              <w:t>0.149</w:t>
            </w:r>
          </w:p>
        </w:tc>
        <w:tc>
          <w:tcPr>
            <w:tcW w:w="951" w:type="pct"/>
          </w:tcPr>
          <w:p w14:paraId="175D01F5" w14:textId="330F60CD" w:rsidR="000C7C80" w:rsidRPr="00AA64DF" w:rsidRDefault="00A50FC3" w:rsidP="00FE498C">
            <w:pPr>
              <w:pStyle w:val="TableText0"/>
              <w:keepLines/>
              <w:jc w:val="center"/>
            </w:pPr>
            <w:r w:rsidRPr="00A05E81">
              <w:rPr>
                <w:rFonts w:hint="eastAsia"/>
                <w:color w:val="000000"/>
                <w:w w:val="15"/>
                <w:shd w:val="solid" w:color="000000" w:fill="000000"/>
                <w:fitText w:val="20" w:id="-1233454590"/>
                <w14:textFill>
                  <w14:solidFill>
                    <w14:srgbClr w14:val="000000">
                      <w14:alpha w14:val="100000"/>
                    </w14:srgbClr>
                  </w14:solidFill>
                </w14:textFill>
              </w:rPr>
              <w:t xml:space="preserve">　</w:t>
            </w:r>
            <w:r w:rsidRPr="00A05E81">
              <w:rPr>
                <w:color w:val="000000"/>
                <w:w w:val="15"/>
                <w:shd w:val="solid" w:color="000000" w:fill="000000"/>
                <w:fitText w:val="20" w:id="-1233454590"/>
                <w14:textFill>
                  <w14:solidFill>
                    <w14:srgbClr w14:val="000000">
                      <w14:alpha w14:val="100000"/>
                    </w14:srgbClr>
                  </w14:solidFill>
                </w14:textFill>
              </w:rPr>
              <w:t>|</w:t>
            </w:r>
            <w:r w:rsidRPr="00A05E81">
              <w:rPr>
                <w:rFonts w:hint="eastAsia"/>
                <w:color w:val="000000"/>
                <w:spacing w:val="-45"/>
                <w:w w:val="15"/>
                <w:shd w:val="solid" w:color="000000" w:fill="000000"/>
                <w:fitText w:val="20" w:id="-1233454590"/>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1</w:t>
            </w:r>
          </w:p>
        </w:tc>
        <w:tc>
          <w:tcPr>
            <w:tcW w:w="611" w:type="pct"/>
          </w:tcPr>
          <w:p w14:paraId="57EA80A5" w14:textId="226B0603" w:rsidR="000C7C80" w:rsidRPr="00AA64DF" w:rsidRDefault="000C7C80" w:rsidP="00FE498C">
            <w:pPr>
              <w:pStyle w:val="TableText0"/>
              <w:keepLines/>
              <w:jc w:val="center"/>
            </w:pPr>
            <w:r w:rsidRPr="00AA64DF">
              <w:t>14%</w:t>
            </w:r>
          </w:p>
        </w:tc>
      </w:tr>
      <w:tr w:rsidR="00945FF7" w:rsidRPr="004C0D9B" w14:paraId="6C1779AE" w14:textId="77777777" w:rsidTr="000C7C80">
        <w:trPr>
          <w:cantSplit/>
          <w:trHeight w:val="283"/>
        </w:trPr>
        <w:tc>
          <w:tcPr>
            <w:tcW w:w="1890" w:type="pct"/>
          </w:tcPr>
          <w:p w14:paraId="0C4947D7" w14:textId="6FD376C1" w:rsidR="00945FF7" w:rsidRPr="00AA64DF" w:rsidRDefault="00945FF7" w:rsidP="00FE498C">
            <w:pPr>
              <w:pStyle w:val="TableText0"/>
              <w:keepLines/>
            </w:pPr>
            <w:r w:rsidRPr="00AA64DF">
              <w:t>0% at 24 weeks</w:t>
            </w:r>
            <w:r w:rsidR="00373575" w:rsidRPr="00AA64DF">
              <w:t xml:space="preserve"> </w:t>
            </w:r>
          </w:p>
        </w:tc>
        <w:tc>
          <w:tcPr>
            <w:tcW w:w="774" w:type="pct"/>
          </w:tcPr>
          <w:p w14:paraId="7255AC50" w14:textId="311FEA27" w:rsidR="00945FF7" w:rsidRPr="00AA64DF" w:rsidRDefault="00A50FC3" w:rsidP="00FE498C">
            <w:pPr>
              <w:pStyle w:val="TableText0"/>
              <w:keepLines/>
              <w:jc w:val="center"/>
            </w:pPr>
            <w:r w:rsidRPr="00A50FC3">
              <w:rPr>
                <w:rFonts w:hint="eastAsia"/>
                <w:color w:val="000000"/>
                <w:w w:val="24"/>
                <w:shd w:val="solid" w:color="000000" w:fill="000000"/>
                <w:fitText w:val="110" w:id="-1233454589"/>
                <w14:textFill>
                  <w14:solidFill>
                    <w14:srgbClr w14:val="000000">
                      <w14:alpha w14:val="100000"/>
                    </w14:srgbClr>
                  </w14:solidFill>
                </w14:textFill>
              </w:rPr>
              <w:t xml:space="preserve">　</w:t>
            </w:r>
            <w:r w:rsidRPr="00A50FC3">
              <w:rPr>
                <w:color w:val="000000"/>
                <w:w w:val="24"/>
                <w:shd w:val="solid" w:color="000000" w:fill="000000"/>
                <w:fitText w:val="110" w:id="-1233454589"/>
                <w14:textFill>
                  <w14:solidFill>
                    <w14:srgbClr w14:val="000000">
                      <w14:alpha w14:val="100000"/>
                    </w14:srgbClr>
                  </w14:solidFill>
                </w14:textFill>
              </w:rPr>
              <w:t>|</w:t>
            </w:r>
            <w:r w:rsidRPr="00A50FC3">
              <w:rPr>
                <w:rFonts w:hint="eastAsia"/>
                <w:color w:val="000000"/>
                <w:spacing w:val="6"/>
                <w:w w:val="24"/>
                <w:shd w:val="solid" w:color="000000" w:fill="000000"/>
                <w:fitText w:val="110" w:id="-1233454589"/>
                <w14:textFill>
                  <w14:solidFill>
                    <w14:srgbClr w14:val="000000">
                      <w14:alpha w14:val="100000"/>
                    </w14:srgbClr>
                  </w14:solidFill>
                </w14:textFill>
              </w:rPr>
              <w:t xml:space="preserve">　</w:t>
            </w:r>
            <w:r w:rsidR="00295039" w:rsidRPr="00295039">
              <w:t xml:space="preserve"> </w:t>
            </w:r>
          </w:p>
        </w:tc>
        <w:tc>
          <w:tcPr>
            <w:tcW w:w="774" w:type="pct"/>
          </w:tcPr>
          <w:p w14:paraId="5BC07584" w14:textId="0645180D" w:rsidR="00945FF7" w:rsidRPr="00AA64DF" w:rsidRDefault="00945FF7" w:rsidP="00FE498C">
            <w:pPr>
              <w:pStyle w:val="TableText0"/>
              <w:keepLines/>
              <w:jc w:val="center"/>
            </w:pPr>
            <w:r w:rsidRPr="00AA64DF">
              <w:t>0.041</w:t>
            </w:r>
          </w:p>
        </w:tc>
        <w:tc>
          <w:tcPr>
            <w:tcW w:w="951" w:type="pct"/>
          </w:tcPr>
          <w:p w14:paraId="01693DEC" w14:textId="1FBF6046" w:rsidR="00945FF7" w:rsidRPr="00AA64DF" w:rsidRDefault="00A50FC3" w:rsidP="00FE498C">
            <w:pPr>
              <w:pStyle w:val="TableText0"/>
              <w:keepLines/>
              <w:jc w:val="center"/>
            </w:pPr>
            <w:r w:rsidRPr="00A05E81">
              <w:rPr>
                <w:rFonts w:hint="eastAsia"/>
                <w:color w:val="000000"/>
                <w:w w:val="15"/>
                <w:shd w:val="solid" w:color="000000" w:fill="000000"/>
                <w:fitText w:val="20" w:id="-1233454588"/>
                <w14:textFill>
                  <w14:solidFill>
                    <w14:srgbClr w14:val="000000">
                      <w14:alpha w14:val="100000"/>
                    </w14:srgbClr>
                  </w14:solidFill>
                </w14:textFill>
              </w:rPr>
              <w:t xml:space="preserve">　</w:t>
            </w:r>
            <w:r w:rsidRPr="00A05E81">
              <w:rPr>
                <w:color w:val="000000"/>
                <w:w w:val="15"/>
                <w:shd w:val="solid" w:color="000000" w:fill="000000"/>
                <w:fitText w:val="20" w:id="-1233454588"/>
                <w14:textFill>
                  <w14:solidFill>
                    <w14:srgbClr w14:val="000000">
                      <w14:alpha w14:val="100000"/>
                    </w14:srgbClr>
                  </w14:solidFill>
                </w14:textFill>
              </w:rPr>
              <w:t>|</w:t>
            </w:r>
            <w:r w:rsidRPr="00A05E81">
              <w:rPr>
                <w:rFonts w:hint="eastAsia"/>
                <w:color w:val="000000"/>
                <w:spacing w:val="-45"/>
                <w:w w:val="15"/>
                <w:shd w:val="solid" w:color="000000" w:fill="000000"/>
                <w:fitText w:val="20" w:id="-1233454588"/>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2</w:t>
            </w:r>
          </w:p>
        </w:tc>
        <w:tc>
          <w:tcPr>
            <w:tcW w:w="611" w:type="pct"/>
          </w:tcPr>
          <w:p w14:paraId="3D79289A" w14:textId="00DA5999" w:rsidR="00945FF7" w:rsidRPr="00AA64DF" w:rsidRDefault="00945FF7" w:rsidP="00FE498C">
            <w:pPr>
              <w:pStyle w:val="TableText0"/>
              <w:keepLines/>
              <w:jc w:val="center"/>
            </w:pPr>
            <w:r w:rsidRPr="004C0D9B">
              <w:t>83%</w:t>
            </w:r>
          </w:p>
        </w:tc>
      </w:tr>
      <w:tr w:rsidR="00945FF7" w:rsidRPr="004C0D9B" w14:paraId="331EAE86" w14:textId="77777777" w:rsidTr="00DA3378">
        <w:trPr>
          <w:cantSplit/>
          <w:trHeight w:val="283"/>
        </w:trPr>
        <w:tc>
          <w:tcPr>
            <w:tcW w:w="5000" w:type="pct"/>
            <w:gridSpan w:val="5"/>
            <w:vAlign w:val="center"/>
          </w:tcPr>
          <w:p w14:paraId="50FA731B" w14:textId="579AE448" w:rsidR="00945FF7" w:rsidRPr="004C0D9B" w:rsidRDefault="00945FF7" w:rsidP="00FE498C">
            <w:pPr>
              <w:pStyle w:val="TableText0"/>
              <w:keepLines/>
              <w:rPr>
                <w:b/>
                <w:bCs w:val="0"/>
                <w:vertAlign w:val="superscript"/>
              </w:rPr>
            </w:pPr>
            <w:r w:rsidRPr="00AA64DF">
              <w:rPr>
                <w:b/>
                <w:bCs w:val="0"/>
              </w:rPr>
              <w:t>Utility decrement from BSC applied to apremilast from week 24 (base case did not apply a decrement)</w:t>
            </w:r>
            <w:r w:rsidR="00C4107C" w:rsidRPr="00AA64DF">
              <w:rPr>
                <w:b/>
                <w:bCs w:val="0"/>
                <w:vertAlign w:val="superscript"/>
              </w:rPr>
              <w:t>a</w:t>
            </w:r>
          </w:p>
        </w:tc>
      </w:tr>
      <w:tr w:rsidR="00945FF7" w:rsidRPr="004C0D9B" w14:paraId="0AE3B251" w14:textId="77777777" w:rsidTr="000C7C80">
        <w:trPr>
          <w:cantSplit/>
          <w:trHeight w:val="283"/>
        </w:trPr>
        <w:tc>
          <w:tcPr>
            <w:tcW w:w="1890" w:type="pct"/>
          </w:tcPr>
          <w:p w14:paraId="6E9CD479" w14:textId="6F9D0944" w:rsidR="00945FF7" w:rsidRPr="004C0D9B" w:rsidRDefault="00945FF7" w:rsidP="00FE498C">
            <w:pPr>
              <w:pStyle w:val="TableText0"/>
              <w:keepLines/>
            </w:pPr>
            <w:r w:rsidRPr="00AA64DF">
              <w:t>0.0016505</w:t>
            </w:r>
          </w:p>
        </w:tc>
        <w:tc>
          <w:tcPr>
            <w:tcW w:w="774" w:type="pct"/>
          </w:tcPr>
          <w:p w14:paraId="11901754" w14:textId="1F35FAE9" w:rsidR="00945FF7" w:rsidRPr="004C0D9B" w:rsidRDefault="00A50FC3" w:rsidP="00FE498C">
            <w:pPr>
              <w:pStyle w:val="TableText0"/>
              <w:keepLines/>
              <w:jc w:val="center"/>
              <w:rPr>
                <w:rFonts w:eastAsia="Calibri"/>
                <w:szCs w:val="20"/>
              </w:rPr>
            </w:pPr>
            <w:r w:rsidRPr="00A50FC3">
              <w:rPr>
                <w:rFonts w:hint="eastAsia"/>
                <w:color w:val="000000"/>
                <w:w w:val="24"/>
                <w:shd w:val="solid" w:color="000000" w:fill="000000"/>
                <w:fitText w:val="110" w:id="-1233454587"/>
                <w14:textFill>
                  <w14:solidFill>
                    <w14:srgbClr w14:val="000000">
                      <w14:alpha w14:val="100000"/>
                    </w14:srgbClr>
                  </w14:solidFill>
                </w14:textFill>
              </w:rPr>
              <w:t xml:space="preserve">　</w:t>
            </w:r>
            <w:r w:rsidRPr="00A50FC3">
              <w:rPr>
                <w:color w:val="000000"/>
                <w:w w:val="24"/>
                <w:shd w:val="solid" w:color="000000" w:fill="000000"/>
                <w:fitText w:val="110" w:id="-1233454587"/>
                <w14:textFill>
                  <w14:solidFill>
                    <w14:srgbClr w14:val="000000">
                      <w14:alpha w14:val="100000"/>
                    </w14:srgbClr>
                  </w14:solidFill>
                </w14:textFill>
              </w:rPr>
              <w:t>|</w:t>
            </w:r>
            <w:r w:rsidRPr="00A50FC3">
              <w:rPr>
                <w:rFonts w:hint="eastAsia"/>
                <w:color w:val="000000"/>
                <w:spacing w:val="6"/>
                <w:w w:val="24"/>
                <w:shd w:val="solid" w:color="000000" w:fill="000000"/>
                <w:fitText w:val="110" w:id="-1233454587"/>
                <w14:textFill>
                  <w14:solidFill>
                    <w14:srgbClr w14:val="000000">
                      <w14:alpha w14:val="100000"/>
                    </w14:srgbClr>
                  </w14:solidFill>
                </w14:textFill>
              </w:rPr>
              <w:t xml:space="preserve">　</w:t>
            </w:r>
            <w:r w:rsidR="00295039" w:rsidRPr="00295039">
              <w:t xml:space="preserve"> </w:t>
            </w:r>
          </w:p>
        </w:tc>
        <w:tc>
          <w:tcPr>
            <w:tcW w:w="774" w:type="pct"/>
          </w:tcPr>
          <w:p w14:paraId="5FDB9E3F" w14:textId="2B4B86DD" w:rsidR="00945FF7" w:rsidRPr="004C0D9B" w:rsidRDefault="00945FF7" w:rsidP="00FE498C">
            <w:pPr>
              <w:pStyle w:val="TableText0"/>
              <w:keepLines/>
              <w:jc w:val="center"/>
              <w:rPr>
                <w:rFonts w:eastAsia="Calibri"/>
                <w:szCs w:val="20"/>
              </w:rPr>
            </w:pPr>
            <w:r w:rsidRPr="00AA64DF">
              <w:t>0.248</w:t>
            </w:r>
          </w:p>
        </w:tc>
        <w:tc>
          <w:tcPr>
            <w:tcW w:w="951" w:type="pct"/>
          </w:tcPr>
          <w:p w14:paraId="0752C197" w14:textId="32398C04" w:rsidR="00945FF7" w:rsidRPr="004C0D9B" w:rsidRDefault="00A50FC3" w:rsidP="00FE498C">
            <w:pPr>
              <w:pStyle w:val="TableText0"/>
              <w:keepLines/>
              <w:jc w:val="center"/>
              <w:rPr>
                <w:rFonts w:eastAsia="Calibri"/>
                <w:szCs w:val="20"/>
              </w:rPr>
            </w:pPr>
            <w:r w:rsidRPr="00A05E81">
              <w:rPr>
                <w:rFonts w:hint="eastAsia"/>
                <w:color w:val="000000"/>
                <w:w w:val="15"/>
                <w:shd w:val="solid" w:color="000000" w:fill="000000"/>
                <w:fitText w:val="20" w:id="-1233454586"/>
                <w14:textFill>
                  <w14:solidFill>
                    <w14:srgbClr w14:val="000000">
                      <w14:alpha w14:val="100000"/>
                    </w14:srgbClr>
                  </w14:solidFill>
                </w14:textFill>
              </w:rPr>
              <w:t xml:space="preserve">　</w:t>
            </w:r>
            <w:r w:rsidRPr="00A05E81">
              <w:rPr>
                <w:color w:val="000000"/>
                <w:w w:val="15"/>
                <w:shd w:val="solid" w:color="000000" w:fill="000000"/>
                <w:fitText w:val="20" w:id="-1233454586"/>
                <w14:textFill>
                  <w14:solidFill>
                    <w14:srgbClr w14:val="000000">
                      <w14:alpha w14:val="100000"/>
                    </w14:srgbClr>
                  </w14:solidFill>
                </w14:textFill>
              </w:rPr>
              <w:t>|</w:t>
            </w:r>
            <w:r w:rsidRPr="00A05E81">
              <w:rPr>
                <w:rFonts w:hint="eastAsia"/>
                <w:color w:val="000000"/>
                <w:spacing w:val="-45"/>
                <w:w w:val="15"/>
                <w:shd w:val="solid" w:color="000000" w:fill="000000"/>
                <w:fitText w:val="20" w:id="-1233454586"/>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1</w:t>
            </w:r>
          </w:p>
        </w:tc>
        <w:tc>
          <w:tcPr>
            <w:tcW w:w="611" w:type="pct"/>
          </w:tcPr>
          <w:p w14:paraId="0CD96426" w14:textId="033A2011" w:rsidR="00945FF7" w:rsidRPr="004C0D9B" w:rsidRDefault="00945FF7" w:rsidP="00FE498C">
            <w:pPr>
              <w:pStyle w:val="TableText0"/>
              <w:keepLines/>
              <w:jc w:val="center"/>
              <w:rPr>
                <w:rFonts w:eastAsia="Calibri"/>
                <w:szCs w:val="20"/>
              </w:rPr>
            </w:pPr>
            <w:r w:rsidRPr="00AA64DF">
              <w:t>24%</w:t>
            </w:r>
          </w:p>
        </w:tc>
      </w:tr>
      <w:tr w:rsidR="00000758" w:rsidRPr="004C0D9B" w14:paraId="5369FFB8" w14:textId="77777777" w:rsidTr="00D77BF7">
        <w:trPr>
          <w:cantSplit/>
        </w:trPr>
        <w:tc>
          <w:tcPr>
            <w:tcW w:w="5000" w:type="pct"/>
            <w:gridSpan w:val="5"/>
          </w:tcPr>
          <w:p w14:paraId="7F03E4B5" w14:textId="6C348495" w:rsidR="00000758" w:rsidRPr="004C0D9B" w:rsidRDefault="00000758" w:rsidP="00FE498C">
            <w:pPr>
              <w:pStyle w:val="TableText0"/>
              <w:keepLines/>
              <w:rPr>
                <w:b/>
                <w:bCs w:val="0"/>
              </w:rPr>
            </w:pPr>
            <w:r w:rsidRPr="004C0D9B">
              <w:rPr>
                <w:b/>
                <w:bCs w:val="0"/>
              </w:rPr>
              <w:t>Change in HAQ-DI for ACR20 responders after 24 weeks (base case</w:t>
            </w:r>
            <w:r w:rsidR="00C4107C" w:rsidRPr="004C0D9B">
              <w:rPr>
                <w:b/>
                <w:bCs w:val="0"/>
              </w:rPr>
              <w:t>: -0.548</w:t>
            </w:r>
            <w:r w:rsidRPr="004C0D9B">
              <w:rPr>
                <w:b/>
                <w:bCs w:val="0"/>
              </w:rPr>
              <w:t>)</w:t>
            </w:r>
            <w:r w:rsidRPr="004C0D9B">
              <w:rPr>
                <w:b/>
                <w:bCs w:val="0"/>
                <w:vertAlign w:val="superscript"/>
              </w:rPr>
              <w:t>b</w:t>
            </w:r>
          </w:p>
        </w:tc>
      </w:tr>
      <w:tr w:rsidR="00000758" w:rsidRPr="004C0D9B" w14:paraId="4BAC2D50" w14:textId="77777777" w:rsidTr="00D77BF7">
        <w:trPr>
          <w:cantSplit/>
        </w:trPr>
        <w:tc>
          <w:tcPr>
            <w:tcW w:w="1890" w:type="pct"/>
          </w:tcPr>
          <w:p w14:paraId="24841B60" w14:textId="77777777" w:rsidR="00000758" w:rsidRPr="004C0D9B" w:rsidRDefault="00000758" w:rsidP="00FE498C">
            <w:pPr>
              <w:pStyle w:val="TableText0"/>
              <w:keepLines/>
              <w:rPr>
                <w:vertAlign w:val="superscript"/>
              </w:rPr>
            </w:pPr>
            <w:r w:rsidRPr="00AA64DF">
              <w:t xml:space="preserve">50% of change in HAQ-DI </w:t>
            </w:r>
          </w:p>
        </w:tc>
        <w:tc>
          <w:tcPr>
            <w:tcW w:w="774" w:type="pct"/>
          </w:tcPr>
          <w:p w14:paraId="7B1AEA11" w14:textId="3BCC0326" w:rsidR="00000758" w:rsidRPr="00AA64DF" w:rsidRDefault="00A50FC3" w:rsidP="00FE498C">
            <w:pPr>
              <w:pStyle w:val="TableText0"/>
              <w:keepLines/>
              <w:jc w:val="center"/>
            </w:pPr>
            <w:r w:rsidRPr="00A50FC3">
              <w:rPr>
                <w:rFonts w:hint="eastAsia"/>
                <w:color w:val="000000"/>
                <w:w w:val="24"/>
                <w:shd w:val="solid" w:color="000000" w:fill="000000"/>
                <w:fitText w:val="110" w:id="-1233454585"/>
                <w14:textFill>
                  <w14:solidFill>
                    <w14:srgbClr w14:val="000000">
                      <w14:alpha w14:val="100000"/>
                    </w14:srgbClr>
                  </w14:solidFill>
                </w14:textFill>
              </w:rPr>
              <w:t xml:space="preserve">　</w:t>
            </w:r>
            <w:r w:rsidRPr="00A50FC3">
              <w:rPr>
                <w:color w:val="000000"/>
                <w:w w:val="24"/>
                <w:shd w:val="solid" w:color="000000" w:fill="000000"/>
                <w:fitText w:val="110" w:id="-1233454585"/>
                <w14:textFill>
                  <w14:solidFill>
                    <w14:srgbClr w14:val="000000">
                      <w14:alpha w14:val="100000"/>
                    </w14:srgbClr>
                  </w14:solidFill>
                </w14:textFill>
              </w:rPr>
              <w:t>|</w:t>
            </w:r>
            <w:r w:rsidRPr="00A50FC3">
              <w:rPr>
                <w:rFonts w:hint="eastAsia"/>
                <w:color w:val="000000"/>
                <w:spacing w:val="6"/>
                <w:w w:val="24"/>
                <w:shd w:val="solid" w:color="000000" w:fill="000000"/>
                <w:fitText w:val="110" w:id="-1233454585"/>
                <w14:textFill>
                  <w14:solidFill>
                    <w14:srgbClr w14:val="000000">
                      <w14:alpha w14:val="100000"/>
                    </w14:srgbClr>
                  </w14:solidFill>
                </w14:textFill>
              </w:rPr>
              <w:t xml:space="preserve">　</w:t>
            </w:r>
            <w:r w:rsidR="00295039" w:rsidRPr="00295039">
              <w:t xml:space="preserve"> </w:t>
            </w:r>
          </w:p>
        </w:tc>
        <w:tc>
          <w:tcPr>
            <w:tcW w:w="774" w:type="pct"/>
          </w:tcPr>
          <w:p w14:paraId="52929738" w14:textId="77777777" w:rsidR="00000758" w:rsidRPr="00AA64DF" w:rsidRDefault="00000758" w:rsidP="00FE498C">
            <w:pPr>
              <w:pStyle w:val="TableText0"/>
              <w:keepLines/>
              <w:jc w:val="center"/>
            </w:pPr>
            <w:r w:rsidRPr="00AA64DF">
              <w:t>0.193</w:t>
            </w:r>
          </w:p>
        </w:tc>
        <w:tc>
          <w:tcPr>
            <w:tcW w:w="951" w:type="pct"/>
          </w:tcPr>
          <w:p w14:paraId="5CC021B9" w14:textId="4C4FF614" w:rsidR="00000758" w:rsidRPr="00AA64DF" w:rsidRDefault="00A50FC3" w:rsidP="00FE498C">
            <w:pPr>
              <w:pStyle w:val="TableText0"/>
              <w:keepLines/>
              <w:jc w:val="center"/>
            </w:pPr>
            <w:r w:rsidRPr="00A05E81">
              <w:rPr>
                <w:rFonts w:hint="eastAsia"/>
                <w:color w:val="000000"/>
                <w:w w:val="15"/>
                <w:shd w:val="solid" w:color="000000" w:fill="000000"/>
                <w:fitText w:val="20" w:id="-1233454584"/>
                <w14:textFill>
                  <w14:solidFill>
                    <w14:srgbClr w14:val="000000">
                      <w14:alpha w14:val="100000"/>
                    </w14:srgbClr>
                  </w14:solidFill>
                </w14:textFill>
              </w:rPr>
              <w:t xml:space="preserve">　</w:t>
            </w:r>
            <w:r w:rsidRPr="00A05E81">
              <w:rPr>
                <w:color w:val="000000"/>
                <w:w w:val="15"/>
                <w:shd w:val="solid" w:color="000000" w:fill="000000"/>
                <w:fitText w:val="20" w:id="-1233454584"/>
                <w14:textFill>
                  <w14:solidFill>
                    <w14:srgbClr w14:val="000000">
                      <w14:alpha w14:val="100000"/>
                    </w14:srgbClr>
                  </w14:solidFill>
                </w14:textFill>
              </w:rPr>
              <w:t>|</w:t>
            </w:r>
            <w:r w:rsidRPr="00A05E81">
              <w:rPr>
                <w:rFonts w:hint="eastAsia"/>
                <w:color w:val="000000"/>
                <w:spacing w:val="-45"/>
                <w:w w:val="15"/>
                <w:shd w:val="solid" w:color="000000" w:fill="000000"/>
                <w:fitText w:val="20" w:id="-1233454584"/>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4</w:t>
            </w:r>
          </w:p>
        </w:tc>
        <w:tc>
          <w:tcPr>
            <w:tcW w:w="611" w:type="pct"/>
          </w:tcPr>
          <w:p w14:paraId="51DAA301" w14:textId="77777777" w:rsidR="00000758" w:rsidRPr="004C0D9B" w:rsidRDefault="00000758" w:rsidP="00FE498C">
            <w:pPr>
              <w:pStyle w:val="TableText0"/>
              <w:keepLines/>
              <w:jc w:val="center"/>
              <w:rPr>
                <w:rFonts w:eastAsia="Calibri"/>
                <w:szCs w:val="20"/>
              </w:rPr>
            </w:pPr>
            <w:r w:rsidRPr="004C0D9B">
              <w:t>59%</w:t>
            </w:r>
          </w:p>
        </w:tc>
      </w:tr>
      <w:tr w:rsidR="00000758" w:rsidRPr="004C0D9B" w14:paraId="23CF97F0" w14:textId="77777777" w:rsidTr="009A5C5D">
        <w:trPr>
          <w:cantSplit/>
          <w:trHeight w:val="247"/>
        </w:trPr>
        <w:tc>
          <w:tcPr>
            <w:tcW w:w="1890" w:type="pct"/>
          </w:tcPr>
          <w:p w14:paraId="275328A3" w14:textId="77777777" w:rsidR="00000758" w:rsidRPr="004C0D9B" w:rsidRDefault="00000758" w:rsidP="00FE498C">
            <w:pPr>
              <w:pStyle w:val="TableText0"/>
              <w:keepLines/>
            </w:pPr>
            <w:r w:rsidRPr="004C0D9B">
              <w:t>75% of change in HAQ-DI</w:t>
            </w:r>
          </w:p>
        </w:tc>
        <w:tc>
          <w:tcPr>
            <w:tcW w:w="774" w:type="pct"/>
          </w:tcPr>
          <w:p w14:paraId="3C4AAF23" w14:textId="19B0303D" w:rsidR="00000758" w:rsidRPr="004C0D9B" w:rsidRDefault="00A50FC3" w:rsidP="00FE498C">
            <w:pPr>
              <w:pStyle w:val="TableText0"/>
              <w:keepLines/>
              <w:jc w:val="center"/>
            </w:pPr>
            <w:r w:rsidRPr="00A50FC3">
              <w:rPr>
                <w:rFonts w:hint="eastAsia"/>
                <w:color w:val="000000"/>
                <w:w w:val="24"/>
                <w:shd w:val="solid" w:color="000000" w:fill="000000"/>
                <w:fitText w:val="110" w:id="-1233454583"/>
                <w14:textFill>
                  <w14:solidFill>
                    <w14:srgbClr w14:val="000000">
                      <w14:alpha w14:val="100000"/>
                    </w14:srgbClr>
                  </w14:solidFill>
                </w14:textFill>
              </w:rPr>
              <w:t xml:space="preserve">　</w:t>
            </w:r>
            <w:r w:rsidRPr="00A50FC3">
              <w:rPr>
                <w:color w:val="000000"/>
                <w:w w:val="24"/>
                <w:shd w:val="solid" w:color="000000" w:fill="000000"/>
                <w:fitText w:val="110" w:id="-1233454583"/>
                <w14:textFill>
                  <w14:solidFill>
                    <w14:srgbClr w14:val="000000">
                      <w14:alpha w14:val="100000"/>
                    </w14:srgbClr>
                  </w14:solidFill>
                </w14:textFill>
              </w:rPr>
              <w:t>|</w:t>
            </w:r>
            <w:r w:rsidRPr="00A50FC3">
              <w:rPr>
                <w:rFonts w:hint="eastAsia"/>
                <w:color w:val="000000"/>
                <w:spacing w:val="6"/>
                <w:w w:val="24"/>
                <w:shd w:val="solid" w:color="000000" w:fill="000000"/>
                <w:fitText w:val="110" w:id="-1233454583"/>
                <w14:textFill>
                  <w14:solidFill>
                    <w14:srgbClr w14:val="000000">
                      <w14:alpha w14:val="100000"/>
                    </w14:srgbClr>
                  </w14:solidFill>
                </w14:textFill>
              </w:rPr>
              <w:t xml:space="preserve">　</w:t>
            </w:r>
            <w:r w:rsidR="00295039" w:rsidRPr="00295039">
              <w:t xml:space="preserve"> </w:t>
            </w:r>
          </w:p>
        </w:tc>
        <w:tc>
          <w:tcPr>
            <w:tcW w:w="774" w:type="pct"/>
          </w:tcPr>
          <w:p w14:paraId="182D94DA" w14:textId="77777777" w:rsidR="00000758" w:rsidRPr="004C0D9B" w:rsidRDefault="00000758" w:rsidP="00FE498C">
            <w:pPr>
              <w:pStyle w:val="TableText0"/>
              <w:keepLines/>
              <w:jc w:val="center"/>
            </w:pPr>
            <w:r w:rsidRPr="004C0D9B">
              <w:t>0.249</w:t>
            </w:r>
          </w:p>
        </w:tc>
        <w:tc>
          <w:tcPr>
            <w:tcW w:w="951" w:type="pct"/>
          </w:tcPr>
          <w:p w14:paraId="27B43F72" w14:textId="72F1777F" w:rsidR="00000758" w:rsidRPr="004C0D9B" w:rsidRDefault="00A50FC3" w:rsidP="00FE498C">
            <w:pPr>
              <w:pStyle w:val="TableText0"/>
              <w:keepLines/>
              <w:jc w:val="center"/>
            </w:pPr>
            <w:r w:rsidRPr="00A05E81">
              <w:rPr>
                <w:rFonts w:hint="eastAsia"/>
                <w:color w:val="000000"/>
                <w:w w:val="15"/>
                <w:shd w:val="solid" w:color="000000" w:fill="000000"/>
                <w:fitText w:val="20" w:id="-1233454582"/>
                <w14:textFill>
                  <w14:solidFill>
                    <w14:srgbClr w14:val="000000">
                      <w14:alpha w14:val="100000"/>
                    </w14:srgbClr>
                  </w14:solidFill>
                </w14:textFill>
              </w:rPr>
              <w:t xml:space="preserve">　</w:t>
            </w:r>
            <w:r w:rsidRPr="00A05E81">
              <w:rPr>
                <w:color w:val="000000"/>
                <w:w w:val="15"/>
                <w:shd w:val="solid" w:color="000000" w:fill="000000"/>
                <w:fitText w:val="20" w:id="-1233454582"/>
                <w14:textFill>
                  <w14:solidFill>
                    <w14:srgbClr w14:val="000000">
                      <w14:alpha w14:val="100000"/>
                    </w14:srgbClr>
                  </w14:solidFill>
                </w14:textFill>
              </w:rPr>
              <w:t>|</w:t>
            </w:r>
            <w:r w:rsidRPr="00A05E81">
              <w:rPr>
                <w:rFonts w:hint="eastAsia"/>
                <w:color w:val="000000"/>
                <w:spacing w:val="-45"/>
                <w:w w:val="15"/>
                <w:shd w:val="solid" w:color="000000" w:fill="000000"/>
                <w:fitText w:val="20" w:id="-1233454582"/>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1</w:t>
            </w:r>
          </w:p>
        </w:tc>
        <w:tc>
          <w:tcPr>
            <w:tcW w:w="611" w:type="pct"/>
          </w:tcPr>
          <w:p w14:paraId="48F2C07F" w14:textId="77777777" w:rsidR="00000758" w:rsidRPr="004C0D9B" w:rsidRDefault="00000758" w:rsidP="00FE498C">
            <w:pPr>
              <w:pStyle w:val="TableText0"/>
              <w:keepLines/>
              <w:jc w:val="center"/>
              <w:rPr>
                <w:rFonts w:eastAsia="Calibri"/>
                <w:szCs w:val="20"/>
              </w:rPr>
            </w:pPr>
            <w:r w:rsidRPr="004C0D9B">
              <w:t>23%</w:t>
            </w:r>
          </w:p>
        </w:tc>
      </w:tr>
      <w:tr w:rsidR="00000758" w:rsidRPr="004C0D9B" w14:paraId="5406B52A" w14:textId="77777777" w:rsidTr="00D77BF7">
        <w:trPr>
          <w:cantSplit/>
          <w:trHeight w:val="283"/>
        </w:trPr>
        <w:tc>
          <w:tcPr>
            <w:tcW w:w="1890" w:type="pct"/>
          </w:tcPr>
          <w:p w14:paraId="6E0496D2" w14:textId="77777777" w:rsidR="00000758" w:rsidRPr="004C0D9B" w:rsidRDefault="00000758" w:rsidP="00FE498C">
            <w:pPr>
              <w:pStyle w:val="TableText0"/>
              <w:keepLines/>
            </w:pPr>
            <w:r w:rsidRPr="004C0D9B">
              <w:t>125% of change in HAQ-DI</w:t>
            </w:r>
          </w:p>
        </w:tc>
        <w:tc>
          <w:tcPr>
            <w:tcW w:w="774" w:type="pct"/>
          </w:tcPr>
          <w:p w14:paraId="411ADED0" w14:textId="03E93FEE" w:rsidR="00000758" w:rsidRPr="004C0D9B" w:rsidRDefault="00A50FC3" w:rsidP="00FE498C">
            <w:pPr>
              <w:pStyle w:val="TableText0"/>
              <w:keepLines/>
              <w:jc w:val="center"/>
            </w:pPr>
            <w:r w:rsidRPr="00A50FC3">
              <w:rPr>
                <w:rFonts w:hint="eastAsia"/>
                <w:color w:val="000000"/>
                <w:w w:val="24"/>
                <w:shd w:val="solid" w:color="000000" w:fill="000000"/>
                <w:fitText w:val="110" w:id="-1233454581"/>
                <w14:textFill>
                  <w14:solidFill>
                    <w14:srgbClr w14:val="000000">
                      <w14:alpha w14:val="100000"/>
                    </w14:srgbClr>
                  </w14:solidFill>
                </w14:textFill>
              </w:rPr>
              <w:t xml:space="preserve">　</w:t>
            </w:r>
            <w:r w:rsidRPr="00A50FC3">
              <w:rPr>
                <w:color w:val="000000"/>
                <w:w w:val="24"/>
                <w:shd w:val="solid" w:color="000000" w:fill="000000"/>
                <w:fitText w:val="110" w:id="-1233454581"/>
                <w14:textFill>
                  <w14:solidFill>
                    <w14:srgbClr w14:val="000000">
                      <w14:alpha w14:val="100000"/>
                    </w14:srgbClr>
                  </w14:solidFill>
                </w14:textFill>
              </w:rPr>
              <w:t>|</w:t>
            </w:r>
            <w:r w:rsidRPr="00A50FC3">
              <w:rPr>
                <w:rFonts w:hint="eastAsia"/>
                <w:color w:val="000000"/>
                <w:spacing w:val="6"/>
                <w:w w:val="24"/>
                <w:shd w:val="solid" w:color="000000" w:fill="000000"/>
                <w:fitText w:val="110" w:id="-1233454581"/>
                <w14:textFill>
                  <w14:solidFill>
                    <w14:srgbClr w14:val="000000">
                      <w14:alpha w14:val="100000"/>
                    </w14:srgbClr>
                  </w14:solidFill>
                </w14:textFill>
              </w:rPr>
              <w:t xml:space="preserve">　</w:t>
            </w:r>
            <w:r w:rsidR="00295039" w:rsidRPr="00295039">
              <w:t xml:space="preserve"> </w:t>
            </w:r>
          </w:p>
        </w:tc>
        <w:tc>
          <w:tcPr>
            <w:tcW w:w="774" w:type="pct"/>
          </w:tcPr>
          <w:p w14:paraId="3EE2BA63" w14:textId="77777777" w:rsidR="00000758" w:rsidRPr="004C0D9B" w:rsidRDefault="00000758" w:rsidP="00FE498C">
            <w:pPr>
              <w:pStyle w:val="TableText0"/>
              <w:keepLines/>
              <w:jc w:val="center"/>
              <w:rPr>
                <w:rFonts w:eastAsia="Calibri"/>
                <w:szCs w:val="20"/>
              </w:rPr>
            </w:pPr>
            <w:r w:rsidRPr="004C0D9B">
              <w:rPr>
                <w:rFonts w:eastAsia="Calibri"/>
                <w:szCs w:val="20"/>
              </w:rPr>
              <w:t>0.363</w:t>
            </w:r>
          </w:p>
        </w:tc>
        <w:tc>
          <w:tcPr>
            <w:tcW w:w="951" w:type="pct"/>
          </w:tcPr>
          <w:p w14:paraId="1B15463A" w14:textId="042A7C2A" w:rsidR="00000758" w:rsidRPr="004C0D9B" w:rsidRDefault="00A50FC3" w:rsidP="00FE498C">
            <w:pPr>
              <w:pStyle w:val="TableText0"/>
              <w:keepLines/>
              <w:jc w:val="center"/>
              <w:rPr>
                <w:rFonts w:eastAsia="Calibri"/>
                <w:szCs w:val="20"/>
              </w:rPr>
            </w:pPr>
            <w:r w:rsidRPr="00A05E81">
              <w:rPr>
                <w:rFonts w:eastAsia="Calibri" w:hint="eastAsia"/>
                <w:color w:val="000000"/>
                <w:w w:val="15"/>
                <w:szCs w:val="20"/>
                <w:shd w:val="solid" w:color="000000" w:fill="000000"/>
                <w:fitText w:val="20" w:id="-1233454580"/>
                <w14:textFill>
                  <w14:solidFill>
                    <w14:srgbClr w14:val="000000">
                      <w14:alpha w14:val="100000"/>
                    </w14:srgbClr>
                  </w14:solidFill>
                </w14:textFill>
              </w:rPr>
              <w:t xml:space="preserve">　</w:t>
            </w:r>
            <w:r w:rsidRPr="00A05E81">
              <w:rPr>
                <w:rFonts w:eastAsia="Calibri"/>
                <w:color w:val="000000"/>
                <w:w w:val="15"/>
                <w:szCs w:val="20"/>
                <w:shd w:val="solid" w:color="000000" w:fill="000000"/>
                <w:fitText w:val="20" w:id="-1233454580"/>
                <w14:textFill>
                  <w14:solidFill>
                    <w14:srgbClr w14:val="000000">
                      <w14:alpha w14:val="100000"/>
                    </w14:srgbClr>
                  </w14:solidFill>
                </w14:textFill>
              </w:rPr>
              <w:t>|</w:t>
            </w:r>
            <w:r w:rsidRPr="00A05E81">
              <w:rPr>
                <w:rFonts w:eastAsia="Calibri" w:hint="eastAsia"/>
                <w:color w:val="000000"/>
                <w:spacing w:val="-45"/>
                <w:w w:val="15"/>
                <w:szCs w:val="20"/>
                <w:shd w:val="solid" w:color="000000" w:fill="000000"/>
                <w:fitText w:val="20" w:id="-1233454580"/>
                <w14:textFill>
                  <w14:solidFill>
                    <w14:srgbClr w14:val="000000">
                      <w14:alpha w14:val="100000"/>
                    </w14:srgbClr>
                  </w14:solidFill>
                </w14:textFill>
              </w:rPr>
              <w:t xml:space="preserve">　</w:t>
            </w:r>
            <w:r w:rsidR="00295039" w:rsidRPr="00295039">
              <w:rPr>
                <w:rFonts w:eastAsia="Calibri"/>
                <w:szCs w:val="20"/>
              </w:rPr>
              <w:t xml:space="preserve"> </w:t>
            </w:r>
            <w:r w:rsidR="00097E81">
              <w:rPr>
                <w:rFonts w:eastAsia="Calibri"/>
                <w:iCs/>
                <w:szCs w:val="20"/>
                <w:vertAlign w:val="superscript"/>
              </w:rPr>
              <w:t>3</w:t>
            </w:r>
          </w:p>
        </w:tc>
        <w:tc>
          <w:tcPr>
            <w:tcW w:w="611" w:type="pct"/>
          </w:tcPr>
          <w:p w14:paraId="1A33E5E1" w14:textId="77777777" w:rsidR="00000758" w:rsidRPr="004C0D9B" w:rsidRDefault="00000758" w:rsidP="00FE498C">
            <w:pPr>
              <w:pStyle w:val="TableText0"/>
              <w:keepLines/>
              <w:jc w:val="center"/>
              <w:rPr>
                <w:rFonts w:eastAsia="Calibri"/>
                <w:szCs w:val="20"/>
              </w:rPr>
            </w:pPr>
            <w:r w:rsidRPr="004C0D9B">
              <w:t>-16%</w:t>
            </w:r>
          </w:p>
        </w:tc>
      </w:tr>
      <w:tr w:rsidR="00383E32" w:rsidRPr="004C0D9B" w14:paraId="546342BB" w14:textId="77777777" w:rsidTr="00383E32">
        <w:trPr>
          <w:cantSplit/>
          <w:trHeight w:val="283"/>
        </w:trPr>
        <w:tc>
          <w:tcPr>
            <w:tcW w:w="5000" w:type="pct"/>
            <w:gridSpan w:val="5"/>
          </w:tcPr>
          <w:p w14:paraId="78404350" w14:textId="3C66817B" w:rsidR="00383E32" w:rsidRPr="00AA64DF" w:rsidRDefault="00383E32" w:rsidP="00FE498C">
            <w:pPr>
              <w:pStyle w:val="TableText0"/>
              <w:keepLines/>
              <w:rPr>
                <w:b/>
                <w:bCs w:val="0"/>
              </w:rPr>
            </w:pPr>
            <w:r w:rsidRPr="00AA64DF">
              <w:rPr>
                <w:b/>
                <w:bCs w:val="0"/>
              </w:rPr>
              <w:t>Change in HAQ-DI for BSC at 16 weeks (base case</w:t>
            </w:r>
            <w:r w:rsidR="00C4107C" w:rsidRPr="00AA64DF">
              <w:rPr>
                <w:b/>
                <w:bCs w:val="0"/>
              </w:rPr>
              <w:t>:</w:t>
            </w:r>
            <w:r w:rsidRPr="00AA64DF">
              <w:rPr>
                <w:b/>
                <w:bCs w:val="0"/>
              </w:rPr>
              <w:t xml:space="preserve"> -0.055)</w:t>
            </w:r>
          </w:p>
        </w:tc>
      </w:tr>
      <w:tr w:rsidR="00383E32" w:rsidRPr="004C0D9B" w14:paraId="158F36B7" w14:textId="77777777" w:rsidTr="000C7C80">
        <w:trPr>
          <w:cantSplit/>
          <w:trHeight w:val="283"/>
        </w:trPr>
        <w:tc>
          <w:tcPr>
            <w:tcW w:w="1890" w:type="pct"/>
          </w:tcPr>
          <w:p w14:paraId="598E091C" w14:textId="6209D684" w:rsidR="00383E32" w:rsidRPr="00AA64DF" w:rsidRDefault="00383E32" w:rsidP="00FE498C">
            <w:pPr>
              <w:pStyle w:val="TableText0"/>
              <w:keepLines/>
            </w:pPr>
            <w:r w:rsidRPr="00AA64DF">
              <w:t>Upper CI (0.0456)</w:t>
            </w:r>
          </w:p>
        </w:tc>
        <w:tc>
          <w:tcPr>
            <w:tcW w:w="774" w:type="pct"/>
          </w:tcPr>
          <w:p w14:paraId="39006AB6" w14:textId="2160D3E3" w:rsidR="00383E32" w:rsidRPr="00AA64DF" w:rsidRDefault="00A50FC3" w:rsidP="00FE498C">
            <w:pPr>
              <w:pStyle w:val="TableText0"/>
              <w:keepLines/>
              <w:jc w:val="center"/>
            </w:pPr>
            <w:r w:rsidRPr="00A50FC3">
              <w:rPr>
                <w:rFonts w:hint="eastAsia"/>
                <w:color w:val="000000"/>
                <w:w w:val="24"/>
                <w:shd w:val="solid" w:color="000000" w:fill="000000"/>
                <w:fitText w:val="110" w:id="-1233454579"/>
                <w14:textFill>
                  <w14:solidFill>
                    <w14:srgbClr w14:val="000000">
                      <w14:alpha w14:val="100000"/>
                    </w14:srgbClr>
                  </w14:solidFill>
                </w14:textFill>
              </w:rPr>
              <w:t xml:space="preserve">　</w:t>
            </w:r>
            <w:r w:rsidRPr="00A50FC3">
              <w:rPr>
                <w:color w:val="000000"/>
                <w:w w:val="24"/>
                <w:shd w:val="solid" w:color="000000" w:fill="000000"/>
                <w:fitText w:val="110" w:id="-1233454579"/>
                <w14:textFill>
                  <w14:solidFill>
                    <w14:srgbClr w14:val="000000">
                      <w14:alpha w14:val="100000"/>
                    </w14:srgbClr>
                  </w14:solidFill>
                </w14:textFill>
              </w:rPr>
              <w:t>|</w:t>
            </w:r>
            <w:r w:rsidRPr="00A50FC3">
              <w:rPr>
                <w:rFonts w:hint="eastAsia"/>
                <w:color w:val="000000"/>
                <w:spacing w:val="6"/>
                <w:w w:val="24"/>
                <w:shd w:val="solid" w:color="000000" w:fill="000000"/>
                <w:fitText w:val="110" w:id="-1233454579"/>
                <w14:textFill>
                  <w14:solidFill>
                    <w14:srgbClr w14:val="000000">
                      <w14:alpha w14:val="100000"/>
                    </w14:srgbClr>
                  </w14:solidFill>
                </w14:textFill>
              </w:rPr>
              <w:t xml:space="preserve">　</w:t>
            </w:r>
            <w:r w:rsidR="00295039" w:rsidRPr="00295039">
              <w:t xml:space="preserve"> </w:t>
            </w:r>
          </w:p>
        </w:tc>
        <w:tc>
          <w:tcPr>
            <w:tcW w:w="774" w:type="pct"/>
          </w:tcPr>
          <w:p w14:paraId="600AA567" w14:textId="276BD0BE" w:rsidR="00383E32" w:rsidRPr="00AA64DF" w:rsidRDefault="00383E32" w:rsidP="00FE498C">
            <w:pPr>
              <w:pStyle w:val="TableText0"/>
              <w:keepLines/>
              <w:jc w:val="center"/>
            </w:pPr>
            <w:r w:rsidRPr="00AA64DF">
              <w:t>0.359</w:t>
            </w:r>
          </w:p>
        </w:tc>
        <w:tc>
          <w:tcPr>
            <w:tcW w:w="951" w:type="pct"/>
          </w:tcPr>
          <w:p w14:paraId="13783FBB" w14:textId="417FD774" w:rsidR="00383E32" w:rsidRPr="00AA64DF" w:rsidRDefault="00A50FC3" w:rsidP="00FE498C">
            <w:pPr>
              <w:pStyle w:val="TableText0"/>
              <w:keepLines/>
              <w:jc w:val="center"/>
            </w:pPr>
            <w:r w:rsidRPr="00A05E81">
              <w:rPr>
                <w:rFonts w:hint="eastAsia"/>
                <w:color w:val="000000"/>
                <w:w w:val="15"/>
                <w:shd w:val="solid" w:color="000000" w:fill="000000"/>
                <w:fitText w:val="20" w:id="-1233454578"/>
                <w14:textFill>
                  <w14:solidFill>
                    <w14:srgbClr w14:val="000000">
                      <w14:alpha w14:val="100000"/>
                    </w14:srgbClr>
                  </w14:solidFill>
                </w14:textFill>
              </w:rPr>
              <w:t xml:space="preserve">　</w:t>
            </w:r>
            <w:r w:rsidRPr="00A05E81">
              <w:rPr>
                <w:color w:val="000000"/>
                <w:w w:val="15"/>
                <w:shd w:val="solid" w:color="000000" w:fill="000000"/>
                <w:fitText w:val="20" w:id="-1233454578"/>
                <w14:textFill>
                  <w14:solidFill>
                    <w14:srgbClr w14:val="000000">
                      <w14:alpha w14:val="100000"/>
                    </w14:srgbClr>
                  </w14:solidFill>
                </w14:textFill>
              </w:rPr>
              <w:t>|</w:t>
            </w:r>
            <w:r w:rsidRPr="00A05E81">
              <w:rPr>
                <w:rFonts w:hint="eastAsia"/>
                <w:color w:val="000000"/>
                <w:spacing w:val="-45"/>
                <w:w w:val="15"/>
                <w:shd w:val="solid" w:color="000000" w:fill="000000"/>
                <w:fitText w:val="20" w:id="-1233454578"/>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3</w:t>
            </w:r>
          </w:p>
        </w:tc>
        <w:tc>
          <w:tcPr>
            <w:tcW w:w="611" w:type="pct"/>
          </w:tcPr>
          <w:p w14:paraId="07319E36" w14:textId="622DB96A" w:rsidR="00383E32" w:rsidRPr="00AA64DF" w:rsidRDefault="00383E32" w:rsidP="00FE498C">
            <w:pPr>
              <w:pStyle w:val="TableText0"/>
              <w:keepLines/>
              <w:jc w:val="center"/>
            </w:pPr>
            <w:r w:rsidRPr="00AA64DF">
              <w:t>-15%</w:t>
            </w:r>
          </w:p>
        </w:tc>
      </w:tr>
      <w:tr w:rsidR="00383E32" w:rsidRPr="004C0D9B" w14:paraId="46A81ABF" w14:textId="77777777" w:rsidTr="000C7C80">
        <w:trPr>
          <w:cantSplit/>
          <w:trHeight w:val="283"/>
        </w:trPr>
        <w:tc>
          <w:tcPr>
            <w:tcW w:w="1890" w:type="pct"/>
          </w:tcPr>
          <w:p w14:paraId="78A42902" w14:textId="1888AF6C" w:rsidR="00383E32" w:rsidRPr="00AA64DF" w:rsidRDefault="00383E32" w:rsidP="00FE498C">
            <w:pPr>
              <w:pStyle w:val="TableText0"/>
              <w:keepLines/>
            </w:pPr>
            <w:r w:rsidRPr="00AA64DF">
              <w:t>Lower CI (-0.156)</w:t>
            </w:r>
          </w:p>
        </w:tc>
        <w:tc>
          <w:tcPr>
            <w:tcW w:w="774" w:type="pct"/>
          </w:tcPr>
          <w:p w14:paraId="4CC61874" w14:textId="68C17E80" w:rsidR="00383E32" w:rsidRPr="00AA64DF" w:rsidRDefault="00A50FC3" w:rsidP="00FE498C">
            <w:pPr>
              <w:pStyle w:val="TableText0"/>
              <w:keepLines/>
              <w:jc w:val="center"/>
            </w:pPr>
            <w:r w:rsidRPr="00A50FC3">
              <w:rPr>
                <w:rFonts w:hint="eastAsia"/>
                <w:color w:val="000000"/>
                <w:w w:val="24"/>
                <w:shd w:val="solid" w:color="000000" w:fill="000000"/>
                <w:fitText w:val="110" w:id="-1233454577"/>
                <w14:textFill>
                  <w14:solidFill>
                    <w14:srgbClr w14:val="000000">
                      <w14:alpha w14:val="100000"/>
                    </w14:srgbClr>
                  </w14:solidFill>
                </w14:textFill>
              </w:rPr>
              <w:t xml:space="preserve">　</w:t>
            </w:r>
            <w:r w:rsidRPr="00A50FC3">
              <w:rPr>
                <w:color w:val="000000"/>
                <w:w w:val="24"/>
                <w:shd w:val="solid" w:color="000000" w:fill="000000"/>
                <w:fitText w:val="110" w:id="-1233454577"/>
                <w14:textFill>
                  <w14:solidFill>
                    <w14:srgbClr w14:val="000000">
                      <w14:alpha w14:val="100000"/>
                    </w14:srgbClr>
                  </w14:solidFill>
                </w14:textFill>
              </w:rPr>
              <w:t>|</w:t>
            </w:r>
            <w:r w:rsidRPr="00A50FC3">
              <w:rPr>
                <w:rFonts w:hint="eastAsia"/>
                <w:color w:val="000000"/>
                <w:spacing w:val="6"/>
                <w:w w:val="24"/>
                <w:shd w:val="solid" w:color="000000" w:fill="000000"/>
                <w:fitText w:val="110" w:id="-1233454577"/>
                <w14:textFill>
                  <w14:solidFill>
                    <w14:srgbClr w14:val="000000">
                      <w14:alpha w14:val="100000"/>
                    </w14:srgbClr>
                  </w14:solidFill>
                </w14:textFill>
              </w:rPr>
              <w:t xml:space="preserve">　</w:t>
            </w:r>
            <w:r w:rsidR="00295039" w:rsidRPr="00295039">
              <w:t xml:space="preserve"> </w:t>
            </w:r>
          </w:p>
        </w:tc>
        <w:tc>
          <w:tcPr>
            <w:tcW w:w="774" w:type="pct"/>
          </w:tcPr>
          <w:p w14:paraId="66A4F52D" w14:textId="0034EF09" w:rsidR="00383E32" w:rsidRPr="00AA64DF" w:rsidRDefault="00383E32" w:rsidP="00FE498C">
            <w:pPr>
              <w:pStyle w:val="TableText0"/>
              <w:keepLines/>
              <w:jc w:val="center"/>
            </w:pPr>
            <w:r w:rsidRPr="00AA64DF">
              <w:t>0.253</w:t>
            </w:r>
          </w:p>
        </w:tc>
        <w:tc>
          <w:tcPr>
            <w:tcW w:w="951" w:type="pct"/>
          </w:tcPr>
          <w:p w14:paraId="615EB3C9" w14:textId="50A4D6A1" w:rsidR="00383E32" w:rsidRPr="00AA64DF" w:rsidRDefault="00A50FC3" w:rsidP="00FE498C">
            <w:pPr>
              <w:pStyle w:val="TableText0"/>
              <w:keepLines/>
              <w:jc w:val="center"/>
            </w:pPr>
            <w:r w:rsidRPr="00A05E81">
              <w:rPr>
                <w:rFonts w:hint="eastAsia"/>
                <w:color w:val="000000"/>
                <w:w w:val="15"/>
                <w:shd w:val="solid" w:color="000000" w:fill="000000"/>
                <w:fitText w:val="20" w:id="-1233454576"/>
                <w14:textFill>
                  <w14:solidFill>
                    <w14:srgbClr w14:val="000000">
                      <w14:alpha w14:val="100000"/>
                    </w14:srgbClr>
                  </w14:solidFill>
                </w14:textFill>
              </w:rPr>
              <w:t xml:space="preserve">　</w:t>
            </w:r>
            <w:r w:rsidRPr="00A05E81">
              <w:rPr>
                <w:color w:val="000000"/>
                <w:w w:val="15"/>
                <w:shd w:val="solid" w:color="000000" w:fill="000000"/>
                <w:fitText w:val="20" w:id="-1233454576"/>
                <w14:textFill>
                  <w14:solidFill>
                    <w14:srgbClr w14:val="000000">
                      <w14:alpha w14:val="100000"/>
                    </w14:srgbClr>
                  </w14:solidFill>
                </w14:textFill>
              </w:rPr>
              <w:t>|</w:t>
            </w:r>
            <w:r w:rsidRPr="00A05E81">
              <w:rPr>
                <w:rFonts w:hint="eastAsia"/>
                <w:color w:val="000000"/>
                <w:spacing w:val="-45"/>
                <w:w w:val="15"/>
                <w:shd w:val="solid" w:color="000000" w:fill="000000"/>
                <w:fitText w:val="20" w:id="-1233454576"/>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1</w:t>
            </w:r>
          </w:p>
        </w:tc>
        <w:tc>
          <w:tcPr>
            <w:tcW w:w="611" w:type="pct"/>
          </w:tcPr>
          <w:p w14:paraId="09240A34" w14:textId="132B5E48" w:rsidR="00383E32" w:rsidRPr="00AA64DF" w:rsidRDefault="00383E32" w:rsidP="00FE498C">
            <w:pPr>
              <w:pStyle w:val="TableText0"/>
              <w:keepLines/>
              <w:jc w:val="center"/>
            </w:pPr>
            <w:r w:rsidRPr="00AA64DF">
              <w:t>21%</w:t>
            </w:r>
          </w:p>
        </w:tc>
      </w:tr>
      <w:tr w:rsidR="00383E32" w:rsidRPr="004C0D9B" w14:paraId="49086A23" w14:textId="77777777" w:rsidTr="00383E32">
        <w:trPr>
          <w:cantSplit/>
          <w:trHeight w:val="283"/>
        </w:trPr>
        <w:tc>
          <w:tcPr>
            <w:tcW w:w="5000" w:type="pct"/>
            <w:gridSpan w:val="5"/>
          </w:tcPr>
          <w:p w14:paraId="2F6B78DC" w14:textId="43821710" w:rsidR="00383E32" w:rsidRPr="00AA64DF" w:rsidRDefault="00383E32" w:rsidP="00FE498C">
            <w:pPr>
              <w:pStyle w:val="TableText0"/>
              <w:keepLines/>
              <w:rPr>
                <w:b/>
                <w:bCs w:val="0"/>
              </w:rPr>
            </w:pPr>
            <w:r w:rsidRPr="00AA64DF">
              <w:rPr>
                <w:b/>
                <w:bCs w:val="0"/>
              </w:rPr>
              <w:t>Utility change per variation of HAQ-DI (base case</w:t>
            </w:r>
            <w:r w:rsidR="00C4107C" w:rsidRPr="00AA64DF">
              <w:rPr>
                <w:b/>
                <w:bCs w:val="0"/>
              </w:rPr>
              <w:t>:</w:t>
            </w:r>
            <w:r w:rsidRPr="00AA64DF">
              <w:rPr>
                <w:b/>
                <w:bCs w:val="0"/>
              </w:rPr>
              <w:t xml:space="preserve"> -0.298)</w:t>
            </w:r>
          </w:p>
        </w:tc>
      </w:tr>
      <w:tr w:rsidR="00383E32" w:rsidRPr="004C0D9B" w14:paraId="28DE7DD3" w14:textId="77777777" w:rsidTr="000C7C80">
        <w:trPr>
          <w:cantSplit/>
          <w:trHeight w:val="283"/>
        </w:trPr>
        <w:tc>
          <w:tcPr>
            <w:tcW w:w="1890" w:type="pct"/>
          </w:tcPr>
          <w:p w14:paraId="1913A718" w14:textId="3A45129D" w:rsidR="00383E32" w:rsidRPr="00AA64DF" w:rsidRDefault="00383E32" w:rsidP="00FE498C">
            <w:pPr>
              <w:pStyle w:val="TableText0"/>
              <w:keepLines/>
            </w:pPr>
            <w:r w:rsidRPr="00AA64DF">
              <w:t>83.3% of utility per change in HAQ-DI</w:t>
            </w:r>
          </w:p>
        </w:tc>
        <w:tc>
          <w:tcPr>
            <w:tcW w:w="774" w:type="pct"/>
          </w:tcPr>
          <w:p w14:paraId="21FDFCBE" w14:textId="0A256F14" w:rsidR="00383E32" w:rsidRPr="00AA64DF" w:rsidRDefault="00A50FC3" w:rsidP="00FE498C">
            <w:pPr>
              <w:pStyle w:val="TableText0"/>
              <w:keepLines/>
              <w:jc w:val="center"/>
            </w:pPr>
            <w:r w:rsidRPr="00A50FC3">
              <w:rPr>
                <w:rFonts w:hint="eastAsia"/>
                <w:color w:val="000000"/>
                <w:w w:val="24"/>
                <w:shd w:val="solid" w:color="000000" w:fill="000000"/>
                <w:fitText w:val="110" w:id="-1233454592"/>
                <w14:textFill>
                  <w14:solidFill>
                    <w14:srgbClr w14:val="000000">
                      <w14:alpha w14:val="100000"/>
                    </w14:srgbClr>
                  </w14:solidFill>
                </w14:textFill>
              </w:rPr>
              <w:t xml:space="preserve">　</w:t>
            </w:r>
            <w:r w:rsidRPr="00A50FC3">
              <w:rPr>
                <w:color w:val="000000"/>
                <w:w w:val="24"/>
                <w:shd w:val="solid" w:color="000000" w:fill="000000"/>
                <w:fitText w:val="110" w:id="-1233454592"/>
                <w14:textFill>
                  <w14:solidFill>
                    <w14:srgbClr w14:val="000000">
                      <w14:alpha w14:val="100000"/>
                    </w14:srgbClr>
                  </w14:solidFill>
                </w14:textFill>
              </w:rPr>
              <w:t>|</w:t>
            </w:r>
            <w:r w:rsidRPr="00A50FC3">
              <w:rPr>
                <w:rFonts w:hint="eastAsia"/>
                <w:color w:val="000000"/>
                <w:spacing w:val="6"/>
                <w:w w:val="24"/>
                <w:shd w:val="solid" w:color="000000" w:fill="000000"/>
                <w:fitText w:val="110" w:id="-1233454592"/>
                <w14:textFill>
                  <w14:solidFill>
                    <w14:srgbClr w14:val="000000">
                      <w14:alpha w14:val="100000"/>
                    </w14:srgbClr>
                  </w14:solidFill>
                </w14:textFill>
              </w:rPr>
              <w:t xml:space="preserve">　</w:t>
            </w:r>
            <w:r w:rsidR="00295039" w:rsidRPr="00295039">
              <w:t xml:space="preserve"> </w:t>
            </w:r>
          </w:p>
        </w:tc>
        <w:tc>
          <w:tcPr>
            <w:tcW w:w="774" w:type="pct"/>
          </w:tcPr>
          <w:p w14:paraId="27D5C145" w14:textId="15D93D5B" w:rsidR="00383E32" w:rsidRPr="00AA64DF" w:rsidRDefault="00383E32" w:rsidP="00FE498C">
            <w:pPr>
              <w:pStyle w:val="TableText0"/>
              <w:keepLines/>
              <w:jc w:val="center"/>
            </w:pPr>
            <w:r w:rsidRPr="00AA64DF">
              <w:t>0.255</w:t>
            </w:r>
          </w:p>
        </w:tc>
        <w:tc>
          <w:tcPr>
            <w:tcW w:w="951" w:type="pct"/>
          </w:tcPr>
          <w:p w14:paraId="4E64290A" w14:textId="614BE624" w:rsidR="00383E32" w:rsidRPr="00AA64DF" w:rsidRDefault="00A50FC3" w:rsidP="00FE498C">
            <w:pPr>
              <w:pStyle w:val="TableText0"/>
              <w:keepLines/>
              <w:jc w:val="center"/>
            </w:pPr>
            <w:r w:rsidRPr="00A05E81">
              <w:rPr>
                <w:rFonts w:hint="eastAsia"/>
                <w:color w:val="000000"/>
                <w:w w:val="15"/>
                <w:shd w:val="solid" w:color="000000" w:fill="000000"/>
                <w:fitText w:val="20" w:id="-1233454591"/>
                <w14:textFill>
                  <w14:solidFill>
                    <w14:srgbClr w14:val="000000">
                      <w14:alpha w14:val="100000"/>
                    </w14:srgbClr>
                  </w14:solidFill>
                </w14:textFill>
              </w:rPr>
              <w:t xml:space="preserve">　</w:t>
            </w:r>
            <w:r w:rsidRPr="00A05E81">
              <w:rPr>
                <w:color w:val="000000"/>
                <w:w w:val="15"/>
                <w:shd w:val="solid" w:color="000000" w:fill="000000"/>
                <w:fitText w:val="20" w:id="-1233454591"/>
                <w14:textFill>
                  <w14:solidFill>
                    <w14:srgbClr w14:val="000000">
                      <w14:alpha w14:val="100000"/>
                    </w14:srgbClr>
                  </w14:solidFill>
                </w14:textFill>
              </w:rPr>
              <w:t>|</w:t>
            </w:r>
            <w:r w:rsidRPr="00A05E81">
              <w:rPr>
                <w:rFonts w:hint="eastAsia"/>
                <w:color w:val="000000"/>
                <w:spacing w:val="-45"/>
                <w:w w:val="15"/>
                <w:shd w:val="solid" w:color="000000" w:fill="000000"/>
                <w:fitText w:val="20" w:id="-1233454591"/>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1</w:t>
            </w:r>
          </w:p>
        </w:tc>
        <w:tc>
          <w:tcPr>
            <w:tcW w:w="611" w:type="pct"/>
          </w:tcPr>
          <w:p w14:paraId="73874E94" w14:textId="6BE4DBD9" w:rsidR="00383E32" w:rsidRPr="00AA64DF" w:rsidRDefault="00383E32" w:rsidP="00FE498C">
            <w:pPr>
              <w:pStyle w:val="TableText0"/>
              <w:keepLines/>
              <w:jc w:val="center"/>
            </w:pPr>
            <w:r w:rsidRPr="00AA64DF">
              <w:t>20%</w:t>
            </w:r>
          </w:p>
        </w:tc>
      </w:tr>
      <w:tr w:rsidR="00383E32" w:rsidRPr="004C0D9B" w14:paraId="216DACB6" w14:textId="77777777" w:rsidTr="000C7C80">
        <w:trPr>
          <w:cantSplit/>
          <w:trHeight w:val="283"/>
        </w:trPr>
        <w:tc>
          <w:tcPr>
            <w:tcW w:w="1890" w:type="pct"/>
          </w:tcPr>
          <w:p w14:paraId="006021B6" w14:textId="765BC943" w:rsidR="00383E32" w:rsidRPr="00AA64DF" w:rsidRDefault="00383E32" w:rsidP="00FE498C">
            <w:pPr>
              <w:pStyle w:val="TableText0"/>
              <w:keepLines/>
            </w:pPr>
            <w:r w:rsidRPr="00AA64DF">
              <w:t>120% of utility per change in HAQ-DI</w:t>
            </w:r>
          </w:p>
        </w:tc>
        <w:tc>
          <w:tcPr>
            <w:tcW w:w="774" w:type="pct"/>
          </w:tcPr>
          <w:p w14:paraId="02F9E537" w14:textId="40C9BB92" w:rsidR="00383E32" w:rsidRPr="00AA64DF" w:rsidRDefault="00A50FC3" w:rsidP="00FE498C">
            <w:pPr>
              <w:pStyle w:val="TableText0"/>
              <w:keepLines/>
              <w:jc w:val="center"/>
            </w:pPr>
            <w:r w:rsidRPr="00A50FC3">
              <w:rPr>
                <w:rFonts w:hint="eastAsia"/>
                <w:color w:val="000000"/>
                <w:w w:val="24"/>
                <w:shd w:val="solid" w:color="000000" w:fill="000000"/>
                <w:fitText w:val="110" w:id="-1233454590"/>
                <w14:textFill>
                  <w14:solidFill>
                    <w14:srgbClr w14:val="000000">
                      <w14:alpha w14:val="100000"/>
                    </w14:srgbClr>
                  </w14:solidFill>
                </w14:textFill>
              </w:rPr>
              <w:t xml:space="preserve">　</w:t>
            </w:r>
            <w:r w:rsidRPr="00A50FC3">
              <w:rPr>
                <w:color w:val="000000"/>
                <w:w w:val="24"/>
                <w:shd w:val="solid" w:color="000000" w:fill="000000"/>
                <w:fitText w:val="110" w:id="-1233454590"/>
                <w14:textFill>
                  <w14:solidFill>
                    <w14:srgbClr w14:val="000000">
                      <w14:alpha w14:val="100000"/>
                    </w14:srgbClr>
                  </w14:solidFill>
                </w14:textFill>
              </w:rPr>
              <w:t>|</w:t>
            </w:r>
            <w:r w:rsidRPr="00A50FC3">
              <w:rPr>
                <w:rFonts w:hint="eastAsia"/>
                <w:color w:val="000000"/>
                <w:spacing w:val="6"/>
                <w:w w:val="24"/>
                <w:shd w:val="solid" w:color="000000" w:fill="000000"/>
                <w:fitText w:val="110" w:id="-1233454590"/>
                <w14:textFill>
                  <w14:solidFill>
                    <w14:srgbClr w14:val="000000">
                      <w14:alpha w14:val="100000"/>
                    </w14:srgbClr>
                  </w14:solidFill>
                </w14:textFill>
              </w:rPr>
              <w:t xml:space="preserve">　</w:t>
            </w:r>
            <w:r w:rsidR="00295039" w:rsidRPr="00295039">
              <w:t xml:space="preserve"> </w:t>
            </w:r>
          </w:p>
        </w:tc>
        <w:tc>
          <w:tcPr>
            <w:tcW w:w="774" w:type="pct"/>
          </w:tcPr>
          <w:p w14:paraId="47DB14E5" w14:textId="25967783" w:rsidR="00383E32" w:rsidRPr="00AA64DF" w:rsidRDefault="00383E32" w:rsidP="00FE498C">
            <w:pPr>
              <w:pStyle w:val="TableText0"/>
              <w:keepLines/>
              <w:jc w:val="center"/>
            </w:pPr>
            <w:r w:rsidRPr="00AA64DF">
              <w:t>0.367</w:t>
            </w:r>
          </w:p>
        </w:tc>
        <w:tc>
          <w:tcPr>
            <w:tcW w:w="951" w:type="pct"/>
          </w:tcPr>
          <w:p w14:paraId="3ABD79F5" w14:textId="13E35476" w:rsidR="00383E32" w:rsidRPr="00AA64DF" w:rsidRDefault="00A50FC3" w:rsidP="00FE498C">
            <w:pPr>
              <w:pStyle w:val="TableText0"/>
              <w:keepLines/>
              <w:jc w:val="center"/>
            </w:pPr>
            <w:r w:rsidRPr="00A05E81">
              <w:rPr>
                <w:rFonts w:hint="eastAsia"/>
                <w:color w:val="000000"/>
                <w:w w:val="15"/>
                <w:shd w:val="solid" w:color="000000" w:fill="000000"/>
                <w:fitText w:val="20" w:id="-1233454589"/>
                <w14:textFill>
                  <w14:solidFill>
                    <w14:srgbClr w14:val="000000">
                      <w14:alpha w14:val="100000"/>
                    </w14:srgbClr>
                  </w14:solidFill>
                </w14:textFill>
              </w:rPr>
              <w:t xml:space="preserve">　</w:t>
            </w:r>
            <w:r w:rsidRPr="00A05E81">
              <w:rPr>
                <w:color w:val="000000"/>
                <w:w w:val="15"/>
                <w:shd w:val="solid" w:color="000000" w:fill="000000"/>
                <w:fitText w:val="20" w:id="-1233454589"/>
                <w14:textFill>
                  <w14:solidFill>
                    <w14:srgbClr w14:val="000000">
                      <w14:alpha w14:val="100000"/>
                    </w14:srgbClr>
                  </w14:solidFill>
                </w14:textFill>
              </w:rPr>
              <w:t>|</w:t>
            </w:r>
            <w:r w:rsidRPr="00A05E81">
              <w:rPr>
                <w:rFonts w:hint="eastAsia"/>
                <w:color w:val="000000"/>
                <w:spacing w:val="-45"/>
                <w:w w:val="15"/>
                <w:shd w:val="solid" w:color="000000" w:fill="000000"/>
                <w:fitText w:val="20" w:id="-1233454589"/>
                <w14:textFill>
                  <w14:solidFill>
                    <w14:srgbClr w14:val="000000">
                      <w14:alpha w14:val="100000"/>
                    </w14:srgbClr>
                  </w14:solidFill>
                </w14:textFill>
              </w:rPr>
              <w:t xml:space="preserve">　</w:t>
            </w:r>
            <w:r w:rsidR="00295039" w:rsidRPr="00295039">
              <w:t xml:space="preserve"> </w:t>
            </w:r>
            <w:r w:rsidR="00097E81">
              <w:rPr>
                <w:rFonts w:eastAsia="Calibri"/>
                <w:iCs/>
                <w:szCs w:val="20"/>
                <w:vertAlign w:val="superscript"/>
              </w:rPr>
              <w:t>3</w:t>
            </w:r>
          </w:p>
        </w:tc>
        <w:tc>
          <w:tcPr>
            <w:tcW w:w="611" w:type="pct"/>
          </w:tcPr>
          <w:p w14:paraId="11FC91AF" w14:textId="0E6E3AD3" w:rsidR="00383E32" w:rsidRPr="00AA64DF" w:rsidRDefault="00383E32" w:rsidP="00FE498C">
            <w:pPr>
              <w:pStyle w:val="TableText0"/>
              <w:keepLines/>
              <w:jc w:val="center"/>
            </w:pPr>
            <w:r w:rsidRPr="00AA64DF">
              <w:t>-17%</w:t>
            </w:r>
          </w:p>
        </w:tc>
      </w:tr>
    </w:tbl>
    <w:p w14:paraId="5C3C7CDB" w14:textId="74606B3E" w:rsidR="003A4883" w:rsidRPr="00782378" w:rsidRDefault="003A4883" w:rsidP="00FE498C">
      <w:pPr>
        <w:pStyle w:val="FooterTableFigure"/>
        <w:keepNext/>
        <w:keepLines/>
        <w:rPr>
          <w:rStyle w:val="CommentReference"/>
          <w:b w:val="0"/>
          <w:sz w:val="18"/>
          <w:szCs w:val="22"/>
        </w:rPr>
      </w:pPr>
      <w:r w:rsidRPr="00B14B63">
        <w:t xml:space="preserve">Source: </w:t>
      </w:r>
      <w:r w:rsidRPr="00B174D7">
        <w:t xml:space="preserve">Table 3-11, p114 </w:t>
      </w:r>
      <w:r>
        <w:t>of the submission;</w:t>
      </w:r>
      <w:r w:rsidR="000D27E7" w:rsidRPr="000D27E7">
        <w:t xml:space="preserve"> Tables 24 &amp; 41 of the ACTIVE CSR</w:t>
      </w:r>
      <w:r w:rsidR="000D27E7">
        <w:t>;</w:t>
      </w:r>
      <w:r>
        <w:t xml:space="preserve"> </w:t>
      </w:r>
      <w:r w:rsidRPr="00B174D7">
        <w:t>'Appendix 3.2_Apremilast_PsA_Economic_Model'</w:t>
      </w:r>
      <w:r>
        <w:t xml:space="preserve"> </w:t>
      </w:r>
      <w:r w:rsidRPr="00B174D7">
        <w:t xml:space="preserve">of the submission. </w:t>
      </w:r>
    </w:p>
    <w:p w14:paraId="178EB694" w14:textId="77777777" w:rsidR="003A4883" w:rsidRDefault="003A4883" w:rsidP="00FE498C">
      <w:pPr>
        <w:pStyle w:val="FooterTableFigure"/>
        <w:keepNext/>
        <w:keepLines/>
        <w:rPr>
          <w:rFonts w:eastAsia="Calibri"/>
          <w:szCs w:val="20"/>
        </w:rPr>
      </w:pPr>
      <w:r>
        <w:t xml:space="preserve">ACR50 = </w:t>
      </w:r>
      <w:r w:rsidRPr="00B174D7">
        <w:t>50% improvement in American College of Rheumatology criteria</w:t>
      </w:r>
      <w:r>
        <w:t xml:space="preserve">; CI = confidence interval; HAQ-DI = </w:t>
      </w:r>
      <w:r w:rsidRPr="00B174D7">
        <w:t>health assessment questionnaire disability index</w:t>
      </w:r>
      <w:r>
        <w:t xml:space="preserve">; </w:t>
      </w:r>
      <w:r w:rsidRPr="00B14B63">
        <w:rPr>
          <w:rFonts w:eastAsia="Calibri"/>
          <w:szCs w:val="20"/>
        </w:rPr>
        <w:t>QALY = quality</w:t>
      </w:r>
      <w:r>
        <w:rPr>
          <w:rFonts w:eastAsia="Calibri"/>
          <w:szCs w:val="20"/>
        </w:rPr>
        <w:t>-</w:t>
      </w:r>
      <w:r w:rsidRPr="00B14B63">
        <w:rPr>
          <w:rFonts w:eastAsia="Calibri"/>
          <w:szCs w:val="20"/>
        </w:rPr>
        <w:t>adjusted life year.</w:t>
      </w:r>
    </w:p>
    <w:p w14:paraId="0E212D1D" w14:textId="77777777" w:rsidR="00C4107C" w:rsidRPr="00E20D01" w:rsidRDefault="00C4107C" w:rsidP="00FE498C">
      <w:pPr>
        <w:pStyle w:val="FooterTableFigure"/>
        <w:keepNext/>
        <w:keepLines/>
        <w:rPr>
          <w:rFonts w:eastAsia="Calibri"/>
          <w:iCs/>
          <w:szCs w:val="20"/>
        </w:rPr>
      </w:pPr>
      <w:r>
        <w:rPr>
          <w:rFonts w:eastAsia="Calibri"/>
          <w:iCs/>
          <w:szCs w:val="20"/>
          <w:vertAlign w:val="superscript"/>
        </w:rPr>
        <w:t xml:space="preserve">a </w:t>
      </w:r>
      <w:r w:rsidRPr="00DA3378">
        <w:rPr>
          <w:rFonts w:eastAsia="Calibri"/>
          <w:iCs/>
          <w:szCs w:val="20"/>
        </w:rPr>
        <w:t xml:space="preserve">Changes </w:t>
      </w:r>
      <w:r w:rsidRPr="00E20D01">
        <w:rPr>
          <w:rFonts w:eastAsia="Calibri"/>
          <w:iCs/>
          <w:szCs w:val="20"/>
        </w:rPr>
        <w:t xml:space="preserve">made to cells </w:t>
      </w:r>
      <w:r w:rsidRPr="00DA3378">
        <w:rPr>
          <w:rFonts w:eastAsia="Calibri"/>
          <w:iCs/>
          <w:szCs w:val="20"/>
        </w:rPr>
        <w:t>X101:230</w:t>
      </w:r>
      <w:r w:rsidRPr="00E20D01">
        <w:rPr>
          <w:rFonts w:eastAsia="Calibri"/>
          <w:iCs/>
          <w:szCs w:val="20"/>
        </w:rPr>
        <w:t xml:space="preserve"> </w:t>
      </w:r>
      <w:r w:rsidRPr="00DA3378">
        <w:rPr>
          <w:rFonts w:eastAsia="Calibri"/>
          <w:iCs/>
          <w:szCs w:val="20"/>
        </w:rPr>
        <w:t>'Model'</w:t>
      </w:r>
      <w:r w:rsidRPr="00E20D01">
        <w:rPr>
          <w:rFonts w:eastAsia="Calibri"/>
          <w:iCs/>
          <w:szCs w:val="20"/>
        </w:rPr>
        <w:t xml:space="preserve"> sheet.</w:t>
      </w:r>
    </w:p>
    <w:p w14:paraId="485C4D2A" w14:textId="32255D85" w:rsidR="003A4883" w:rsidRDefault="003A4883" w:rsidP="00FE498C">
      <w:pPr>
        <w:pStyle w:val="FooterTableFigure"/>
        <w:keepNext/>
        <w:keepLines/>
        <w:rPr>
          <w:rFonts w:eastAsia="Calibri"/>
          <w:iCs/>
          <w:szCs w:val="20"/>
        </w:rPr>
      </w:pPr>
      <w:r>
        <w:rPr>
          <w:rFonts w:eastAsia="Calibri"/>
          <w:i/>
          <w:szCs w:val="20"/>
          <w:vertAlign w:val="superscript"/>
        </w:rPr>
        <w:t>b</w:t>
      </w:r>
      <w:r>
        <w:rPr>
          <w:rFonts w:eastAsia="Calibri"/>
          <w:i/>
          <w:szCs w:val="20"/>
        </w:rPr>
        <w:t xml:space="preserve"> </w:t>
      </w:r>
      <w:r>
        <w:rPr>
          <w:rFonts w:eastAsia="Calibri"/>
          <w:iCs/>
          <w:szCs w:val="20"/>
        </w:rPr>
        <w:t>Changes made to cell E27 'Model' sheet.</w:t>
      </w:r>
    </w:p>
    <w:p w14:paraId="5E817FD8" w14:textId="0C0615BD" w:rsidR="00097E81" w:rsidRPr="008E150E" w:rsidRDefault="00097E81" w:rsidP="00FE498C">
      <w:pPr>
        <w:pStyle w:val="FooterTableFigure"/>
        <w:keepNext/>
        <w:keepLines/>
        <w:rPr>
          <w:rFonts w:eastAsia="Calibri"/>
          <w:i/>
          <w:szCs w:val="20"/>
        </w:rPr>
      </w:pPr>
      <w:r w:rsidRPr="008E150E">
        <w:rPr>
          <w:rFonts w:eastAsia="Calibri"/>
          <w:i/>
          <w:szCs w:val="20"/>
        </w:rPr>
        <w:t>The redacted values correspond to the following ranges:</w:t>
      </w:r>
    </w:p>
    <w:p w14:paraId="607C98D3" w14:textId="49BF72B4" w:rsidR="00097E81" w:rsidRPr="008E150E" w:rsidRDefault="00097E81" w:rsidP="00FE498C">
      <w:pPr>
        <w:pStyle w:val="FooterTableFigure"/>
        <w:keepNext/>
        <w:keepLines/>
        <w:rPr>
          <w:rFonts w:eastAsia="Calibri"/>
          <w:i/>
          <w:szCs w:val="20"/>
        </w:rPr>
      </w:pPr>
      <w:r w:rsidRPr="008E150E">
        <w:rPr>
          <w:rFonts w:eastAsia="Calibri"/>
          <w:i/>
          <w:szCs w:val="20"/>
          <w:vertAlign w:val="superscript"/>
        </w:rPr>
        <w:t>1</w:t>
      </w:r>
      <w:r w:rsidRPr="008E150E">
        <w:rPr>
          <w:rFonts w:eastAsia="Calibri"/>
          <w:i/>
          <w:szCs w:val="20"/>
        </w:rPr>
        <w:t xml:space="preserve"> $25,000 to &lt; $35,000</w:t>
      </w:r>
    </w:p>
    <w:p w14:paraId="50A05189" w14:textId="3D57B26A" w:rsidR="00097E81" w:rsidRPr="008E150E" w:rsidRDefault="00097E81" w:rsidP="00FE498C">
      <w:pPr>
        <w:pStyle w:val="FooterTableFigure"/>
        <w:keepNext/>
        <w:keepLines/>
        <w:rPr>
          <w:rFonts w:eastAsia="Calibri"/>
          <w:i/>
          <w:szCs w:val="20"/>
        </w:rPr>
      </w:pPr>
      <w:r w:rsidRPr="008E150E">
        <w:rPr>
          <w:rFonts w:eastAsia="Calibri"/>
          <w:i/>
          <w:szCs w:val="20"/>
          <w:vertAlign w:val="superscript"/>
        </w:rPr>
        <w:t>2</w:t>
      </w:r>
      <w:r w:rsidRPr="008E150E">
        <w:rPr>
          <w:rFonts w:eastAsia="Calibri"/>
          <w:i/>
          <w:szCs w:val="20"/>
        </w:rPr>
        <w:t xml:space="preserve"> $45,000 to &lt; $55,000</w:t>
      </w:r>
    </w:p>
    <w:p w14:paraId="68644EAB" w14:textId="10FF11F1" w:rsidR="00097E81" w:rsidRPr="008E150E" w:rsidRDefault="00097E81" w:rsidP="00FE498C">
      <w:pPr>
        <w:pStyle w:val="FooterTableFigure"/>
        <w:keepNext/>
        <w:keepLines/>
        <w:rPr>
          <w:rFonts w:eastAsia="Calibri"/>
          <w:i/>
          <w:szCs w:val="20"/>
        </w:rPr>
      </w:pPr>
      <w:r w:rsidRPr="008E150E">
        <w:rPr>
          <w:rFonts w:eastAsia="Calibri"/>
          <w:i/>
          <w:szCs w:val="20"/>
          <w:vertAlign w:val="superscript"/>
        </w:rPr>
        <w:t>3</w:t>
      </w:r>
      <w:r w:rsidRPr="008E150E">
        <w:rPr>
          <w:rFonts w:eastAsia="Calibri"/>
          <w:i/>
          <w:szCs w:val="20"/>
        </w:rPr>
        <w:t xml:space="preserve"> $15,000 to &lt; $25,000</w:t>
      </w:r>
    </w:p>
    <w:p w14:paraId="246015B5" w14:textId="232885D1" w:rsidR="00097E81" w:rsidRPr="008E150E" w:rsidRDefault="00097E81" w:rsidP="00FE498C">
      <w:pPr>
        <w:pStyle w:val="FooterTableFigure"/>
        <w:keepNext/>
        <w:keepLines/>
        <w:rPr>
          <w:rFonts w:eastAsia="Calibri"/>
          <w:i/>
          <w:szCs w:val="20"/>
        </w:rPr>
      </w:pPr>
      <w:r w:rsidRPr="008E150E">
        <w:rPr>
          <w:rFonts w:eastAsia="Calibri"/>
          <w:i/>
          <w:szCs w:val="20"/>
          <w:vertAlign w:val="superscript"/>
        </w:rPr>
        <w:t>4</w:t>
      </w:r>
      <w:r w:rsidRPr="008E150E">
        <w:rPr>
          <w:rFonts w:eastAsia="Calibri"/>
          <w:i/>
          <w:szCs w:val="20"/>
        </w:rPr>
        <w:t xml:space="preserve"> $35,000 to &lt; $45,000</w:t>
      </w:r>
    </w:p>
    <w:p w14:paraId="776D338F" w14:textId="153FB5B9" w:rsidR="00263B3E" w:rsidRPr="00AA64DF" w:rsidRDefault="00011CA2" w:rsidP="00011CA2">
      <w:pPr>
        <w:pStyle w:val="3-BodyText"/>
        <w:ind w:left="720" w:hanging="720"/>
      </w:pPr>
      <w:bookmarkStart w:id="83" w:name="_Hlk121850157"/>
      <w:bookmarkStart w:id="84" w:name="_Hlk124340111"/>
      <w:bookmarkStart w:id="85" w:name="_Hlk122361811"/>
      <w:r w:rsidRPr="00AA64DF">
        <w:t>The evaluation noted that a</w:t>
      </w:r>
      <w:r w:rsidR="00BA5F39" w:rsidRPr="00AA64DF">
        <w:t>ssuming</w:t>
      </w:r>
      <w:r w:rsidR="00BA5F39" w:rsidRPr="004C0D9B">
        <w:t xml:space="preserve"> a 0% response rate at 24 weeks for </w:t>
      </w:r>
      <w:r w:rsidR="003A4883" w:rsidRPr="004C0D9B">
        <w:t xml:space="preserve">apremilast </w:t>
      </w:r>
      <w:r w:rsidR="00BA5F39" w:rsidRPr="004C0D9B">
        <w:t>resulted in</w:t>
      </w:r>
      <w:r w:rsidR="003A4883" w:rsidRPr="004C0D9B">
        <w:t xml:space="preserve"> an ICER of $</w:t>
      </w:r>
      <w:r w:rsidR="00097E81">
        <w:t>45,000 to &lt; $55,000</w:t>
      </w:r>
      <w:r w:rsidR="003A4883" w:rsidRPr="004C0D9B">
        <w:t xml:space="preserve">. </w:t>
      </w:r>
      <w:bookmarkEnd w:id="83"/>
      <w:bookmarkEnd w:id="84"/>
      <w:r w:rsidR="00263B3E" w:rsidRPr="00AA64DF">
        <w:t>The PSCR clarified the change</w:t>
      </w:r>
      <w:r w:rsidR="009616A2" w:rsidRPr="00AA64DF">
        <w:t xml:space="preserve"> described in the evaluation</w:t>
      </w:r>
      <w:r w:rsidR="00263B3E" w:rsidRPr="00AA64DF">
        <w:t xml:space="preserve"> does not represent a 0% response rate </w:t>
      </w:r>
      <w:r w:rsidR="009616A2" w:rsidRPr="00AA64DF">
        <w:t>for</w:t>
      </w:r>
      <w:r w:rsidR="00263B3E" w:rsidRPr="00AA64DF">
        <w:t xml:space="preserve"> apremilast, as implied; rather, </w:t>
      </w:r>
      <w:r w:rsidR="009616A2" w:rsidRPr="00AA64DF">
        <w:t>the</w:t>
      </w:r>
      <w:r w:rsidR="00263B3E" w:rsidRPr="00AA64DF">
        <w:t xml:space="preserve"> scenario</w:t>
      </w:r>
      <w:r w:rsidR="009616A2" w:rsidRPr="00AA64DF">
        <w:t xml:space="preserve"> described</w:t>
      </w:r>
      <w:r w:rsidR="00263B3E" w:rsidRPr="00AA64DF">
        <w:t xml:space="preserve"> would examine how the ICER changes if all patients on apremilast have the benefits modelled from the ACTIVE trial for 24 weeks, followed by discontinuation of apremilast, with accompanying utility immediately reverting to baseline. </w:t>
      </w:r>
    </w:p>
    <w:p w14:paraId="74DF7E79" w14:textId="3FBF4D8D" w:rsidR="00B1361D" w:rsidRPr="00AA64DF" w:rsidRDefault="00B1361D" w:rsidP="00B1361D">
      <w:pPr>
        <w:pStyle w:val="3-BodyText"/>
        <w:ind w:left="720" w:hanging="720"/>
      </w:pPr>
      <w:bookmarkStart w:id="86" w:name="_Ref127510058"/>
      <w:r w:rsidRPr="00AA64DF">
        <w:t>The ESC considered there were a number of key issues with the economic model, including:</w:t>
      </w:r>
      <w:bookmarkEnd w:id="86"/>
    </w:p>
    <w:p w14:paraId="290EEC45" w14:textId="242B7FEE" w:rsidR="004F3EF3" w:rsidRPr="00AA64DF" w:rsidRDefault="004F3EF3" w:rsidP="0097685D">
      <w:pPr>
        <w:pStyle w:val="3-BodyText"/>
        <w:numPr>
          <w:ilvl w:val="0"/>
          <w:numId w:val="22"/>
        </w:numPr>
      </w:pPr>
      <w:r w:rsidRPr="00AA64DF">
        <w:t>The use of treatments as health states (rather than health outcomes) does not capture the health benefits of BSC and therefore overestimates the health benefits of apremilast.</w:t>
      </w:r>
    </w:p>
    <w:p w14:paraId="3D03DB92" w14:textId="73F539BA" w:rsidR="00B1361D" w:rsidRPr="00AA64DF" w:rsidRDefault="00B1361D" w:rsidP="0097685D">
      <w:pPr>
        <w:pStyle w:val="3-BodyText"/>
        <w:numPr>
          <w:ilvl w:val="0"/>
          <w:numId w:val="21"/>
        </w:numPr>
      </w:pPr>
      <w:r w:rsidRPr="00AA64DF">
        <w:lastRenderedPageBreak/>
        <w:t>SF-36 data was collected in the trials but not presented or used in the model</w:t>
      </w:r>
      <w:r w:rsidR="003D019D" w:rsidRPr="00AA64DF">
        <w:t xml:space="preserve">. The ESC </w:t>
      </w:r>
      <w:r w:rsidRPr="00AA64DF">
        <w:t>considered that using trial-based utilities was likely to be more reliable than utilities modelled by applying an equation combining HAQ-DI from the ACTIVE trial and PASI outcomes from the PALACE trials.</w:t>
      </w:r>
    </w:p>
    <w:p w14:paraId="580B545E" w14:textId="07A03B3A" w:rsidR="00B1361D" w:rsidRPr="00AA64DF" w:rsidRDefault="00B1361D" w:rsidP="0097685D">
      <w:pPr>
        <w:pStyle w:val="3-BodyText"/>
        <w:numPr>
          <w:ilvl w:val="0"/>
          <w:numId w:val="21"/>
        </w:numPr>
      </w:pPr>
      <w:r w:rsidRPr="00AA64DF">
        <w:t>The ESC considered the validity of the approach of combining HAQ-DI scores, which are a mea</w:t>
      </w:r>
      <w:r w:rsidR="00623C16" w:rsidRPr="00AA64DF">
        <w:t>s</w:t>
      </w:r>
      <w:r w:rsidRPr="00AA64DF">
        <w:t>ure of phy</w:t>
      </w:r>
      <w:r w:rsidR="00623C16" w:rsidRPr="00AA64DF">
        <w:t>si</w:t>
      </w:r>
      <w:r w:rsidRPr="00AA64DF">
        <w:t>cal function, and PASI score, which is a measure of dermatological symptoms, into a single utility weight</w:t>
      </w:r>
      <w:r w:rsidR="007A2376" w:rsidRPr="00AA64DF">
        <w:t>, was uncertain</w:t>
      </w:r>
      <w:r w:rsidRPr="00AA64DF">
        <w:t xml:space="preserve">. </w:t>
      </w:r>
    </w:p>
    <w:p w14:paraId="45B07C4E" w14:textId="77777777" w:rsidR="00B1361D" w:rsidRPr="00AA64DF" w:rsidRDefault="00B1361D" w:rsidP="0097685D">
      <w:pPr>
        <w:pStyle w:val="3-BodyText"/>
        <w:numPr>
          <w:ilvl w:val="0"/>
          <w:numId w:val="21"/>
        </w:numPr>
      </w:pPr>
      <w:r w:rsidRPr="00AA64DF">
        <w:t xml:space="preserve">There were differences in the populations in the PALACE and ACTIVE trials, which further undermined the validity of the approach of pooling these to generate a single treatment utility weight. </w:t>
      </w:r>
    </w:p>
    <w:p w14:paraId="1E9D943B" w14:textId="2E07217A" w:rsidR="00B1361D" w:rsidRPr="00AA64DF" w:rsidRDefault="00B1361D" w:rsidP="0097685D">
      <w:pPr>
        <w:pStyle w:val="3-BodyText"/>
        <w:numPr>
          <w:ilvl w:val="0"/>
          <w:numId w:val="21"/>
        </w:numPr>
      </w:pPr>
      <w:r w:rsidRPr="00AA64DF">
        <w:t xml:space="preserve">The assumption of constant utilities in the apremilast state, but linear decline in the BSC state </w:t>
      </w:r>
      <w:r w:rsidR="003D019D" w:rsidRPr="00AA64DF">
        <w:t xml:space="preserve">was </w:t>
      </w:r>
      <w:r w:rsidRPr="00AA64DF">
        <w:t xml:space="preserve">poorly justified. </w:t>
      </w:r>
    </w:p>
    <w:p w14:paraId="614EFABF" w14:textId="44919CA9" w:rsidR="009616A2" w:rsidRPr="00AA64DF" w:rsidRDefault="009616A2" w:rsidP="0097685D">
      <w:pPr>
        <w:pStyle w:val="3-BodyText"/>
        <w:numPr>
          <w:ilvl w:val="0"/>
          <w:numId w:val="21"/>
        </w:numPr>
      </w:pPr>
      <w:r w:rsidRPr="00AA64DF">
        <w:t xml:space="preserve">The model made no assumptions about patients subsequently becoming eligible for bDMARDs at some point in the future, which the ESC considered was unrealistic for at least a subset of patients. </w:t>
      </w:r>
    </w:p>
    <w:p w14:paraId="1E4C5162" w14:textId="77777777" w:rsidR="00B1361D" w:rsidRPr="00AA64DF" w:rsidRDefault="00B1361D" w:rsidP="0097685D">
      <w:pPr>
        <w:pStyle w:val="3-BodyText"/>
        <w:numPr>
          <w:ilvl w:val="0"/>
          <w:numId w:val="21"/>
        </w:numPr>
      </w:pPr>
      <w:r w:rsidRPr="00AA64DF">
        <w:t>Costs were estimated from an advisory board and broader rheumatologist survey, and the methods for the survey were not presented.</w:t>
      </w:r>
    </w:p>
    <w:p w14:paraId="70DAEE0C" w14:textId="34041FA3" w:rsidR="00B1361D" w:rsidRDefault="00D10922" w:rsidP="00B1361D">
      <w:pPr>
        <w:pStyle w:val="3-BodyText"/>
        <w:ind w:left="720" w:hanging="720"/>
      </w:pPr>
      <w:r>
        <w:t>Overall, t</w:t>
      </w:r>
      <w:r w:rsidR="00B1361D" w:rsidRPr="00AA64DF">
        <w:t xml:space="preserve">he ESC considered the economic model </w:t>
      </w:r>
      <w:r w:rsidR="00205D5A" w:rsidRPr="00AA64DF">
        <w:t>was unlikely to be reliable for decision-making.</w:t>
      </w:r>
    </w:p>
    <w:p w14:paraId="66A27AC8" w14:textId="383DBEB3" w:rsidR="00E50799" w:rsidRPr="00E50799" w:rsidRDefault="00E50799" w:rsidP="00B1361D">
      <w:pPr>
        <w:pStyle w:val="3-BodyText"/>
        <w:ind w:left="720" w:hanging="720"/>
      </w:pPr>
      <w:r>
        <w:t>The Pre-PBAC Response stated the model structure used in the submission was based on the model used in the UK application to NICE, and argued the model is a simplified version of a model that allows comparison with several sequences of treatments followed by BSC</w:t>
      </w:r>
      <w:r w:rsidR="00D10922">
        <w:t>,</w:t>
      </w:r>
      <w:r>
        <w:t xml:space="preserve"> and an important aspect of it is the expected decline in utility over time for patients on BSC</w:t>
      </w:r>
      <w:r w:rsidR="009A5C5D">
        <w:t>.</w:t>
      </w:r>
      <w:r w:rsidR="00D10922">
        <w:t xml:space="preserve"> The PBAC noted the economic model in the resubmission did not allow for patients subsequently becoming eligible for bDMARDs and modelling this would impact the utility decline over time in the BSC health state. The PBAC noted that while the model structure in the resubmission may have been similar to the model considered by NICE, it is not clear if the assumptions underpinning the models were similar.</w:t>
      </w:r>
    </w:p>
    <w:p w14:paraId="33DF8F82" w14:textId="77777777" w:rsidR="003A4883" w:rsidRDefault="003A4883" w:rsidP="003A4883">
      <w:pPr>
        <w:pStyle w:val="4-SubsectionHeading"/>
      </w:pPr>
      <w:bookmarkStart w:id="87" w:name="_Toc124945479"/>
      <w:bookmarkEnd w:id="85"/>
      <w:r>
        <w:t xml:space="preserve">Apremilast </w:t>
      </w:r>
      <w:r w:rsidRPr="002C2775">
        <w:t>cost/patient/</w:t>
      </w:r>
      <w:r>
        <w:t>y</w:t>
      </w:r>
      <w:r w:rsidRPr="002C2775">
        <w:t>ear</w:t>
      </w:r>
      <w:bookmarkEnd w:id="70"/>
      <w:bookmarkEnd w:id="87"/>
    </w:p>
    <w:p w14:paraId="229144C5" w14:textId="54BD3CFC" w:rsidR="003A4883" w:rsidRPr="0033470C" w:rsidRDefault="003A4883" w:rsidP="003A4883">
      <w:pPr>
        <w:pStyle w:val="3-BodyText"/>
        <w:ind w:left="720" w:hanging="720"/>
      </w:pPr>
      <w:bookmarkStart w:id="88" w:name="_Ref104805102"/>
      <w:bookmarkStart w:id="89" w:name="_Toc22897647"/>
      <w:r w:rsidRPr="0033470C">
        <w:t xml:space="preserve">Apremilast cost per patient per year is presented in </w:t>
      </w:r>
      <w:r w:rsidRPr="0033470C">
        <w:fldChar w:fldCharType="begin"/>
      </w:r>
      <w:r w:rsidRPr="0033470C">
        <w:instrText xml:space="preserve"> REF _Ref121843447 \h </w:instrText>
      </w:r>
      <w:r w:rsidR="0033470C" w:rsidRPr="0033470C">
        <w:instrText xml:space="preserve"> \* MERGEFORMAT </w:instrText>
      </w:r>
      <w:r w:rsidRPr="0033470C">
        <w:fldChar w:fldCharType="separate"/>
      </w:r>
      <w:r w:rsidR="00A05E81" w:rsidRPr="00B14B63">
        <w:t xml:space="preserve">Table </w:t>
      </w:r>
      <w:r w:rsidR="00A05E81">
        <w:rPr>
          <w:noProof/>
        </w:rPr>
        <w:t>18</w:t>
      </w:r>
      <w:r w:rsidRPr="0033470C">
        <w:fldChar w:fldCharType="end"/>
      </w:r>
      <w:r w:rsidRPr="0033470C">
        <w:t xml:space="preserve">. Costs are presented for the initiating year and year 2 to represent differences in inputs from the trial, model, and financial estimates. </w:t>
      </w:r>
    </w:p>
    <w:p w14:paraId="3A080B8A" w14:textId="7DADC869" w:rsidR="003A4883" w:rsidRPr="00B14B63" w:rsidRDefault="003A4883" w:rsidP="003A4883">
      <w:pPr>
        <w:pStyle w:val="Caption"/>
        <w:rPr>
          <w:rStyle w:val="CommentReference"/>
          <w:b/>
          <w:szCs w:val="24"/>
        </w:rPr>
      </w:pPr>
      <w:bookmarkStart w:id="90" w:name="_Ref121843447"/>
      <w:r w:rsidRPr="00B14B63">
        <w:lastRenderedPageBreak/>
        <w:t xml:space="preserve">Table </w:t>
      </w:r>
      <w:r w:rsidR="00A05E81">
        <w:fldChar w:fldCharType="begin"/>
      </w:r>
      <w:r w:rsidR="00A05E81">
        <w:instrText xml:space="preserve"> SEQ Table \* ARABIC </w:instrText>
      </w:r>
      <w:r w:rsidR="00A05E81">
        <w:fldChar w:fldCharType="separate"/>
      </w:r>
      <w:r w:rsidR="00A05E81">
        <w:rPr>
          <w:noProof/>
        </w:rPr>
        <w:t>18</w:t>
      </w:r>
      <w:r w:rsidR="00A05E81">
        <w:rPr>
          <w:noProof/>
        </w:rPr>
        <w:fldChar w:fldCharType="end"/>
      </w:r>
      <w:bookmarkEnd w:id="88"/>
      <w:bookmarkEnd w:id="90"/>
      <w:r w:rsidRPr="00B14B63">
        <w:t>:</w:t>
      </w:r>
      <w:r w:rsidRPr="00B14B63">
        <w:rPr>
          <w:rStyle w:val="CommentReference"/>
          <w:b/>
          <w:szCs w:val="24"/>
        </w:rPr>
        <w:t xml:space="preserve"> Drug cost per patient for </w:t>
      </w:r>
      <w:r>
        <w:rPr>
          <w:rStyle w:val="CommentReference"/>
          <w:b/>
          <w:szCs w:val="24"/>
        </w:rPr>
        <w:t>apremilast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30"/>
        <w:gridCol w:w="2162"/>
        <w:gridCol w:w="2159"/>
        <w:gridCol w:w="2166"/>
      </w:tblGrid>
      <w:tr w:rsidR="003A4883" w:rsidRPr="004C0D9B" w14:paraId="168C7810" w14:textId="77777777" w:rsidTr="007D4E6D">
        <w:trPr>
          <w:cantSplit/>
          <w:tblHeader/>
        </w:trPr>
        <w:tc>
          <w:tcPr>
            <w:tcW w:w="1403" w:type="pct"/>
            <w:shd w:val="clear" w:color="auto" w:fill="auto"/>
            <w:vAlign w:val="center"/>
          </w:tcPr>
          <w:p w14:paraId="61AF7C08" w14:textId="77777777" w:rsidR="003A4883" w:rsidRPr="004C0D9B" w:rsidRDefault="003A4883" w:rsidP="001A5767">
            <w:pPr>
              <w:pStyle w:val="In-tableHeading"/>
              <w:jc w:val="center"/>
              <w:rPr>
                <w:lang w:val="en-AU"/>
              </w:rPr>
            </w:pPr>
          </w:p>
        </w:tc>
        <w:tc>
          <w:tcPr>
            <w:tcW w:w="1199" w:type="pct"/>
            <w:shd w:val="clear" w:color="auto" w:fill="auto"/>
            <w:vAlign w:val="center"/>
          </w:tcPr>
          <w:p w14:paraId="24362303" w14:textId="77777777" w:rsidR="003A4883" w:rsidRPr="004C0D9B" w:rsidRDefault="003A4883" w:rsidP="001A5767">
            <w:pPr>
              <w:pStyle w:val="In-tableHeading"/>
              <w:jc w:val="center"/>
              <w:rPr>
                <w:lang w:val="en-AU"/>
              </w:rPr>
            </w:pPr>
            <w:r w:rsidRPr="004C0D9B">
              <w:rPr>
                <w:lang w:val="en-AU"/>
              </w:rPr>
              <w:t>Apremilast</w:t>
            </w:r>
          </w:p>
          <w:p w14:paraId="4BE9F757" w14:textId="77777777" w:rsidR="003A4883" w:rsidRPr="004C0D9B" w:rsidRDefault="003A4883" w:rsidP="001A5767">
            <w:pPr>
              <w:pStyle w:val="In-tableHeading"/>
              <w:jc w:val="center"/>
              <w:rPr>
                <w:lang w:val="en-AU"/>
              </w:rPr>
            </w:pPr>
            <w:r w:rsidRPr="004C0D9B">
              <w:rPr>
                <w:lang w:val="en-AU"/>
              </w:rPr>
              <w:t>Trial dose and duration</w:t>
            </w:r>
          </w:p>
        </w:tc>
        <w:tc>
          <w:tcPr>
            <w:tcW w:w="1197" w:type="pct"/>
            <w:shd w:val="clear" w:color="auto" w:fill="auto"/>
            <w:vAlign w:val="center"/>
          </w:tcPr>
          <w:p w14:paraId="69C2A8DB" w14:textId="77777777" w:rsidR="003A4883" w:rsidRPr="004C0D9B" w:rsidRDefault="003A4883" w:rsidP="001A5767">
            <w:pPr>
              <w:pStyle w:val="In-tableHeading"/>
              <w:jc w:val="center"/>
              <w:rPr>
                <w:lang w:val="en-AU"/>
              </w:rPr>
            </w:pPr>
            <w:r w:rsidRPr="004C0D9B">
              <w:rPr>
                <w:lang w:val="en-AU"/>
              </w:rPr>
              <w:t>A</w:t>
            </w:r>
            <w:r w:rsidRPr="004C0D9B">
              <w:t>premilast</w:t>
            </w:r>
          </w:p>
          <w:p w14:paraId="6BD4DB1B" w14:textId="77777777" w:rsidR="003A4883" w:rsidRPr="004C0D9B" w:rsidRDefault="003A4883" w:rsidP="001A5767">
            <w:pPr>
              <w:pStyle w:val="In-tableHeading"/>
              <w:jc w:val="center"/>
              <w:rPr>
                <w:lang w:val="en-AU"/>
              </w:rPr>
            </w:pPr>
            <w:r w:rsidRPr="004C0D9B">
              <w:rPr>
                <w:lang w:val="en-AU"/>
              </w:rPr>
              <w:t>Model</w:t>
            </w:r>
          </w:p>
        </w:tc>
        <w:tc>
          <w:tcPr>
            <w:tcW w:w="1201" w:type="pct"/>
            <w:shd w:val="clear" w:color="auto" w:fill="auto"/>
            <w:vAlign w:val="center"/>
          </w:tcPr>
          <w:p w14:paraId="5FE69D2F" w14:textId="77777777" w:rsidR="003A4883" w:rsidRPr="004C0D9B" w:rsidRDefault="003A4883" w:rsidP="001A5767">
            <w:pPr>
              <w:pStyle w:val="In-tableHeading"/>
              <w:jc w:val="center"/>
              <w:rPr>
                <w:lang w:val="en-AU"/>
              </w:rPr>
            </w:pPr>
            <w:r w:rsidRPr="004C0D9B">
              <w:rPr>
                <w:lang w:val="en-AU"/>
              </w:rPr>
              <w:t>A</w:t>
            </w:r>
            <w:r w:rsidRPr="004C0D9B">
              <w:t>premilast</w:t>
            </w:r>
          </w:p>
          <w:p w14:paraId="2D28F003" w14:textId="77777777" w:rsidR="003A4883" w:rsidRPr="004C0D9B" w:rsidRDefault="003A4883" w:rsidP="001A5767">
            <w:pPr>
              <w:pStyle w:val="In-tableHeading"/>
              <w:jc w:val="center"/>
              <w:rPr>
                <w:lang w:val="en-AU"/>
              </w:rPr>
            </w:pPr>
            <w:r w:rsidRPr="004C0D9B">
              <w:rPr>
                <w:lang w:val="en-AU"/>
              </w:rPr>
              <w:t>Financial estimates</w:t>
            </w:r>
          </w:p>
        </w:tc>
      </w:tr>
      <w:tr w:rsidR="003A4883" w:rsidRPr="004C0D9B" w14:paraId="5EF7686C" w14:textId="77777777" w:rsidTr="007D4E6D">
        <w:trPr>
          <w:cantSplit/>
        </w:trPr>
        <w:tc>
          <w:tcPr>
            <w:tcW w:w="1403" w:type="pct"/>
            <w:shd w:val="clear" w:color="auto" w:fill="auto"/>
            <w:vAlign w:val="center"/>
          </w:tcPr>
          <w:p w14:paraId="25E6B08A" w14:textId="77777777" w:rsidR="003A4883" w:rsidRPr="004C0D9B" w:rsidRDefault="003A4883" w:rsidP="001A5767">
            <w:pPr>
              <w:pStyle w:val="TableText0"/>
            </w:pPr>
            <w:r w:rsidRPr="004C0D9B">
              <w:t>Mean dose [A]</w:t>
            </w:r>
          </w:p>
        </w:tc>
        <w:tc>
          <w:tcPr>
            <w:tcW w:w="1199" w:type="pct"/>
            <w:shd w:val="clear" w:color="auto" w:fill="auto"/>
            <w:vAlign w:val="center"/>
          </w:tcPr>
          <w:p w14:paraId="1E0F76DA" w14:textId="6957442D" w:rsidR="003A4883" w:rsidRPr="004C0D9B" w:rsidRDefault="003A4883" w:rsidP="00B165BE">
            <w:pPr>
              <w:pStyle w:val="TableText0"/>
              <w:jc w:val="center"/>
              <w:rPr>
                <w:bCs w:val="0"/>
              </w:rPr>
            </w:pPr>
            <w:r w:rsidRPr="004C0D9B">
              <w:rPr>
                <w:bCs w:val="0"/>
              </w:rPr>
              <w:t>1 titration pack, then 60</w:t>
            </w:r>
            <w:r w:rsidR="00B165BE">
              <w:rPr>
                <w:bCs w:val="0"/>
              </w:rPr>
              <w:t> </w:t>
            </w:r>
            <w:r w:rsidRPr="004C0D9B">
              <w:rPr>
                <w:bCs w:val="0"/>
              </w:rPr>
              <w:t>mg/day</w:t>
            </w:r>
          </w:p>
        </w:tc>
        <w:tc>
          <w:tcPr>
            <w:tcW w:w="1197" w:type="pct"/>
            <w:shd w:val="clear" w:color="auto" w:fill="auto"/>
            <w:vAlign w:val="center"/>
          </w:tcPr>
          <w:p w14:paraId="524F3F11" w14:textId="63C7D61E" w:rsidR="003A4883" w:rsidRPr="004C0D9B" w:rsidRDefault="003A4883" w:rsidP="001A5767">
            <w:pPr>
              <w:pStyle w:val="TableText0"/>
              <w:jc w:val="center"/>
              <w:rPr>
                <w:bCs w:val="0"/>
              </w:rPr>
            </w:pPr>
            <w:r w:rsidRPr="004C0D9B">
              <w:rPr>
                <w:bCs w:val="0"/>
              </w:rPr>
              <w:t>60</w:t>
            </w:r>
            <w:r w:rsidR="00516730" w:rsidRPr="004C0D9B">
              <w:rPr>
                <w:bCs w:val="0"/>
              </w:rPr>
              <w:t xml:space="preserve"> </w:t>
            </w:r>
            <w:r w:rsidRPr="004C0D9B">
              <w:rPr>
                <w:bCs w:val="0"/>
              </w:rPr>
              <w:t>mg/day</w:t>
            </w:r>
          </w:p>
        </w:tc>
        <w:tc>
          <w:tcPr>
            <w:tcW w:w="1201" w:type="pct"/>
            <w:shd w:val="clear" w:color="auto" w:fill="auto"/>
            <w:vAlign w:val="center"/>
          </w:tcPr>
          <w:p w14:paraId="45336005" w14:textId="4CAEAAFA" w:rsidR="003A4883" w:rsidRPr="004C0D9B" w:rsidRDefault="003A4883" w:rsidP="00B165BE">
            <w:pPr>
              <w:pStyle w:val="TableText0"/>
              <w:jc w:val="center"/>
              <w:rPr>
                <w:bCs w:val="0"/>
              </w:rPr>
            </w:pPr>
            <w:r w:rsidRPr="004C0D9B">
              <w:rPr>
                <w:bCs w:val="0"/>
              </w:rPr>
              <w:t>1 titration pack, then 60</w:t>
            </w:r>
            <w:r w:rsidR="00B165BE">
              <w:rPr>
                <w:bCs w:val="0"/>
              </w:rPr>
              <w:t> </w:t>
            </w:r>
            <w:r w:rsidRPr="004C0D9B">
              <w:rPr>
                <w:bCs w:val="0"/>
              </w:rPr>
              <w:t>mg/day</w:t>
            </w:r>
          </w:p>
        </w:tc>
      </w:tr>
      <w:tr w:rsidR="003A4883" w:rsidRPr="004C0D9B" w14:paraId="25EEC65D" w14:textId="77777777" w:rsidTr="007D4E6D">
        <w:trPr>
          <w:cantSplit/>
        </w:trPr>
        <w:tc>
          <w:tcPr>
            <w:tcW w:w="1403" w:type="pct"/>
            <w:shd w:val="clear" w:color="auto" w:fill="auto"/>
            <w:vAlign w:val="center"/>
          </w:tcPr>
          <w:p w14:paraId="546DD172" w14:textId="77777777" w:rsidR="003A4883" w:rsidRPr="004C0D9B" w:rsidRDefault="003A4883" w:rsidP="001A5767">
            <w:pPr>
              <w:pStyle w:val="TableText0"/>
            </w:pPr>
            <w:r w:rsidRPr="004C0D9B">
              <w:t>Compliance year 1 [B]</w:t>
            </w:r>
          </w:p>
        </w:tc>
        <w:tc>
          <w:tcPr>
            <w:tcW w:w="1199" w:type="pct"/>
            <w:shd w:val="clear" w:color="auto" w:fill="auto"/>
            <w:vAlign w:val="center"/>
          </w:tcPr>
          <w:p w14:paraId="1408F6EE" w14:textId="77777777" w:rsidR="003A4883" w:rsidRPr="004C0D9B" w:rsidRDefault="003A4883" w:rsidP="001A5767">
            <w:pPr>
              <w:pStyle w:val="TableText0"/>
              <w:jc w:val="center"/>
              <w:rPr>
                <w:bCs w:val="0"/>
              </w:rPr>
            </w:pPr>
            <w:r w:rsidRPr="004C0D9B">
              <w:rPr>
                <w:bCs w:val="0"/>
              </w:rPr>
              <w:t>97.5%</w:t>
            </w:r>
            <w:r w:rsidRPr="004C0D9B">
              <w:rPr>
                <w:bCs w:val="0"/>
                <w:vertAlign w:val="superscript"/>
              </w:rPr>
              <w:t>a</w:t>
            </w:r>
          </w:p>
        </w:tc>
        <w:tc>
          <w:tcPr>
            <w:tcW w:w="1197" w:type="pct"/>
            <w:shd w:val="clear" w:color="auto" w:fill="auto"/>
            <w:vAlign w:val="center"/>
          </w:tcPr>
          <w:p w14:paraId="36F5CD3F" w14:textId="77777777" w:rsidR="003A4883" w:rsidRPr="00AA64DF" w:rsidRDefault="003A4883" w:rsidP="001A5767">
            <w:pPr>
              <w:pStyle w:val="TableText0"/>
              <w:jc w:val="center"/>
              <w:rPr>
                <w:bCs w:val="0"/>
                <w:vertAlign w:val="superscript"/>
              </w:rPr>
            </w:pPr>
            <w:r w:rsidRPr="00AA64DF">
              <w:rPr>
                <w:bCs w:val="0"/>
              </w:rPr>
              <w:t>94.10%</w:t>
            </w:r>
            <w:r w:rsidRPr="00AA64DF">
              <w:rPr>
                <w:bCs w:val="0"/>
                <w:vertAlign w:val="superscript"/>
              </w:rPr>
              <w:t>b</w:t>
            </w:r>
          </w:p>
        </w:tc>
        <w:tc>
          <w:tcPr>
            <w:tcW w:w="1201" w:type="pct"/>
            <w:shd w:val="clear" w:color="auto" w:fill="auto"/>
            <w:vAlign w:val="center"/>
          </w:tcPr>
          <w:p w14:paraId="0ECFB9FD" w14:textId="77777777" w:rsidR="003A4883" w:rsidRPr="004C0D9B" w:rsidRDefault="003A4883" w:rsidP="00B165BE">
            <w:pPr>
              <w:pStyle w:val="TableText0"/>
              <w:jc w:val="center"/>
              <w:rPr>
                <w:bCs w:val="0"/>
              </w:rPr>
            </w:pPr>
            <w:r w:rsidRPr="004C0D9B">
              <w:rPr>
                <w:bCs w:val="0"/>
              </w:rPr>
              <w:t>Titration pack</w:t>
            </w:r>
          </w:p>
          <w:p w14:paraId="521ED90E" w14:textId="77777777" w:rsidR="003A4883" w:rsidRPr="004C0D9B" w:rsidRDefault="003A4883" w:rsidP="00B165BE">
            <w:pPr>
              <w:pStyle w:val="TableText0"/>
              <w:jc w:val="center"/>
              <w:rPr>
                <w:bCs w:val="0"/>
              </w:rPr>
            </w:pPr>
            <w:r w:rsidRPr="004C0D9B">
              <w:rPr>
                <w:bCs w:val="0"/>
              </w:rPr>
              <w:t>100%</w:t>
            </w:r>
          </w:p>
          <w:p w14:paraId="0479C621" w14:textId="77777777" w:rsidR="003A4883" w:rsidRPr="004C0D9B" w:rsidRDefault="003A4883" w:rsidP="00B165BE">
            <w:pPr>
              <w:pStyle w:val="TableText0"/>
              <w:jc w:val="center"/>
              <w:rPr>
                <w:bCs w:val="0"/>
              </w:rPr>
            </w:pPr>
          </w:p>
          <w:p w14:paraId="4EB2A3DF" w14:textId="77777777" w:rsidR="003A4883" w:rsidRPr="004C0D9B" w:rsidRDefault="003A4883" w:rsidP="00B165BE">
            <w:pPr>
              <w:pStyle w:val="TableText0"/>
              <w:jc w:val="center"/>
              <w:rPr>
                <w:bCs w:val="0"/>
              </w:rPr>
            </w:pPr>
            <w:r w:rsidRPr="004C0D9B">
              <w:rPr>
                <w:bCs w:val="0"/>
              </w:rPr>
              <w:t>Maintenance pack</w:t>
            </w:r>
          </w:p>
          <w:p w14:paraId="36459195" w14:textId="5B37C747" w:rsidR="003A4883" w:rsidRPr="00AA64DF" w:rsidRDefault="003A4883" w:rsidP="00B165BE">
            <w:pPr>
              <w:pStyle w:val="TableText0"/>
              <w:jc w:val="center"/>
              <w:rPr>
                <w:bCs w:val="0"/>
              </w:rPr>
            </w:pPr>
            <w:r w:rsidRPr="004C0D9B">
              <w:rPr>
                <w:bCs w:val="0"/>
              </w:rPr>
              <w:t>90%</w:t>
            </w:r>
            <w:r w:rsidRPr="004C0D9B">
              <w:rPr>
                <w:bCs w:val="0"/>
                <w:vertAlign w:val="superscript"/>
              </w:rPr>
              <w:t>c</w:t>
            </w:r>
          </w:p>
        </w:tc>
      </w:tr>
      <w:tr w:rsidR="003A4883" w:rsidRPr="004C0D9B" w14:paraId="6B00ED53" w14:textId="77777777" w:rsidTr="007D4E6D">
        <w:trPr>
          <w:cantSplit/>
        </w:trPr>
        <w:tc>
          <w:tcPr>
            <w:tcW w:w="1403" w:type="pct"/>
            <w:shd w:val="clear" w:color="auto" w:fill="auto"/>
            <w:vAlign w:val="center"/>
          </w:tcPr>
          <w:p w14:paraId="543CB154" w14:textId="77777777" w:rsidR="003A4883" w:rsidRPr="004C0D9B" w:rsidRDefault="003A4883" w:rsidP="001A5767">
            <w:pPr>
              <w:pStyle w:val="TableText0"/>
            </w:pPr>
            <w:r w:rsidRPr="004C0D9B">
              <w:t>Compliance year 2 [C]</w:t>
            </w:r>
          </w:p>
        </w:tc>
        <w:tc>
          <w:tcPr>
            <w:tcW w:w="1199" w:type="pct"/>
            <w:shd w:val="clear" w:color="auto" w:fill="auto"/>
            <w:vAlign w:val="center"/>
          </w:tcPr>
          <w:p w14:paraId="376BD1A9" w14:textId="77777777" w:rsidR="003A4883" w:rsidRPr="004C0D9B" w:rsidRDefault="003A4883" w:rsidP="001A5767">
            <w:pPr>
              <w:pStyle w:val="TableText0"/>
              <w:jc w:val="center"/>
              <w:rPr>
                <w:bCs w:val="0"/>
              </w:rPr>
            </w:pPr>
            <w:r w:rsidRPr="004C0D9B">
              <w:rPr>
                <w:bCs w:val="0"/>
              </w:rPr>
              <w:t>97.5%</w:t>
            </w:r>
            <w:r w:rsidRPr="004C0D9B">
              <w:rPr>
                <w:bCs w:val="0"/>
                <w:vertAlign w:val="superscript"/>
              </w:rPr>
              <w:t>a</w:t>
            </w:r>
            <w:r w:rsidRPr="004C0D9B">
              <w:rPr>
                <w:bCs w:val="0"/>
              </w:rPr>
              <w:t xml:space="preserve"> </w:t>
            </w:r>
          </w:p>
        </w:tc>
        <w:tc>
          <w:tcPr>
            <w:tcW w:w="1197" w:type="pct"/>
            <w:shd w:val="clear" w:color="auto" w:fill="auto"/>
            <w:vAlign w:val="center"/>
          </w:tcPr>
          <w:p w14:paraId="3E571AAF" w14:textId="77777777" w:rsidR="003A4883" w:rsidRPr="004C0D9B" w:rsidRDefault="003A4883" w:rsidP="001A5767">
            <w:pPr>
              <w:pStyle w:val="TableText0"/>
              <w:jc w:val="center"/>
              <w:rPr>
                <w:bCs w:val="0"/>
              </w:rPr>
            </w:pPr>
            <w:r w:rsidRPr="004C0D9B">
              <w:rPr>
                <w:bCs w:val="0"/>
              </w:rPr>
              <w:t>100%</w:t>
            </w:r>
          </w:p>
        </w:tc>
        <w:tc>
          <w:tcPr>
            <w:tcW w:w="1201" w:type="pct"/>
            <w:shd w:val="clear" w:color="auto" w:fill="auto"/>
            <w:vAlign w:val="center"/>
          </w:tcPr>
          <w:p w14:paraId="2EA780B2" w14:textId="77777777" w:rsidR="003A4883" w:rsidRPr="004C0D9B" w:rsidRDefault="003A4883" w:rsidP="001A5767">
            <w:pPr>
              <w:pStyle w:val="TableText0"/>
              <w:jc w:val="center"/>
              <w:rPr>
                <w:bCs w:val="0"/>
                <w:vertAlign w:val="superscript"/>
              </w:rPr>
            </w:pPr>
            <w:r w:rsidRPr="004C0D9B">
              <w:rPr>
                <w:bCs w:val="0"/>
              </w:rPr>
              <w:t>90%</w:t>
            </w:r>
            <w:r w:rsidRPr="004C0D9B">
              <w:rPr>
                <w:bCs w:val="0"/>
                <w:vertAlign w:val="superscript"/>
              </w:rPr>
              <w:t>c</w:t>
            </w:r>
          </w:p>
        </w:tc>
      </w:tr>
      <w:tr w:rsidR="003A4883" w:rsidRPr="004C0D9B" w14:paraId="5B248645" w14:textId="77777777" w:rsidTr="007D4E6D">
        <w:trPr>
          <w:cantSplit/>
        </w:trPr>
        <w:tc>
          <w:tcPr>
            <w:tcW w:w="1403" w:type="pct"/>
            <w:shd w:val="clear" w:color="auto" w:fill="auto"/>
            <w:vAlign w:val="center"/>
          </w:tcPr>
          <w:p w14:paraId="1D9D7FFE" w14:textId="77777777" w:rsidR="003A4883" w:rsidRPr="004C0D9B" w:rsidRDefault="003A4883" w:rsidP="001A5767">
            <w:pPr>
              <w:pStyle w:val="TableText0"/>
            </w:pPr>
            <w:r w:rsidRPr="004C0D9B">
              <w:t>Continuers year 1 [D]</w:t>
            </w:r>
          </w:p>
        </w:tc>
        <w:tc>
          <w:tcPr>
            <w:tcW w:w="1199" w:type="pct"/>
            <w:shd w:val="clear" w:color="auto" w:fill="auto"/>
            <w:vAlign w:val="center"/>
          </w:tcPr>
          <w:p w14:paraId="3E43EA0C" w14:textId="77777777" w:rsidR="003A4883" w:rsidRPr="00AA64DF" w:rsidRDefault="003A4883" w:rsidP="001A5767">
            <w:pPr>
              <w:pStyle w:val="TableText0"/>
              <w:jc w:val="center"/>
              <w:rPr>
                <w:bCs w:val="0"/>
                <w:vertAlign w:val="superscript"/>
              </w:rPr>
            </w:pPr>
            <w:r w:rsidRPr="00AA64DF">
              <w:rPr>
                <w:lang w:val="en-US"/>
              </w:rPr>
              <w:t>100%</w:t>
            </w:r>
            <w:r w:rsidRPr="00AA64DF">
              <w:rPr>
                <w:vertAlign w:val="superscript"/>
                <w:lang w:val="en-US"/>
              </w:rPr>
              <w:t>d</w:t>
            </w:r>
          </w:p>
        </w:tc>
        <w:tc>
          <w:tcPr>
            <w:tcW w:w="1197" w:type="pct"/>
            <w:shd w:val="clear" w:color="auto" w:fill="auto"/>
            <w:vAlign w:val="center"/>
          </w:tcPr>
          <w:p w14:paraId="4E769FBB" w14:textId="77777777" w:rsidR="003A4883" w:rsidRPr="00AA64DF" w:rsidRDefault="003A4883" w:rsidP="001A5767">
            <w:pPr>
              <w:pStyle w:val="TableText0"/>
              <w:jc w:val="center"/>
              <w:rPr>
                <w:bCs w:val="0"/>
                <w:vertAlign w:val="superscript"/>
              </w:rPr>
            </w:pPr>
            <w:r w:rsidRPr="00AA64DF">
              <w:rPr>
                <w:bCs w:val="0"/>
              </w:rPr>
              <w:t>69.01%</w:t>
            </w:r>
            <w:r w:rsidRPr="00AA64DF">
              <w:rPr>
                <w:bCs w:val="0"/>
                <w:vertAlign w:val="superscript"/>
              </w:rPr>
              <w:t>e</w:t>
            </w:r>
          </w:p>
        </w:tc>
        <w:tc>
          <w:tcPr>
            <w:tcW w:w="1201" w:type="pct"/>
            <w:shd w:val="clear" w:color="auto" w:fill="auto"/>
            <w:vAlign w:val="center"/>
          </w:tcPr>
          <w:p w14:paraId="37DAACD0" w14:textId="77777777" w:rsidR="003A4883" w:rsidRPr="00AA64DF" w:rsidRDefault="003A4883" w:rsidP="001A5767">
            <w:pPr>
              <w:pStyle w:val="TableText0"/>
              <w:jc w:val="center"/>
              <w:rPr>
                <w:bCs w:val="0"/>
                <w:vertAlign w:val="superscript"/>
              </w:rPr>
            </w:pPr>
            <w:r w:rsidRPr="00AA64DF">
              <w:rPr>
                <w:bCs w:val="0"/>
              </w:rPr>
              <w:t>72.50%</w:t>
            </w:r>
            <w:r w:rsidRPr="00AA64DF">
              <w:rPr>
                <w:bCs w:val="0"/>
                <w:vertAlign w:val="superscript"/>
              </w:rPr>
              <w:t>f</w:t>
            </w:r>
          </w:p>
        </w:tc>
      </w:tr>
      <w:tr w:rsidR="003A4883" w:rsidRPr="004C0D9B" w14:paraId="4A4F256B" w14:textId="77777777" w:rsidTr="007D4E6D">
        <w:trPr>
          <w:cantSplit/>
        </w:trPr>
        <w:tc>
          <w:tcPr>
            <w:tcW w:w="1403" w:type="pct"/>
            <w:shd w:val="clear" w:color="auto" w:fill="auto"/>
            <w:vAlign w:val="center"/>
          </w:tcPr>
          <w:p w14:paraId="233FF5B0" w14:textId="77777777" w:rsidR="003A4883" w:rsidRPr="004C0D9B" w:rsidRDefault="003A4883" w:rsidP="001A5767">
            <w:pPr>
              <w:pStyle w:val="TableText0"/>
            </w:pPr>
            <w:r w:rsidRPr="004C0D9B">
              <w:t>Continuers year 2 [E]</w:t>
            </w:r>
          </w:p>
          <w:p w14:paraId="67C114A3" w14:textId="77777777" w:rsidR="003A4883" w:rsidRPr="004C0D9B" w:rsidRDefault="003A4883" w:rsidP="001A5767">
            <w:pPr>
              <w:pStyle w:val="TableText0"/>
            </w:pPr>
            <w:r w:rsidRPr="004C0D9B">
              <w:rPr>
                <w:bCs w:val="0"/>
              </w:rPr>
              <w:t>(C-52)</w:t>
            </w:r>
          </w:p>
        </w:tc>
        <w:tc>
          <w:tcPr>
            <w:tcW w:w="1199" w:type="pct"/>
            <w:shd w:val="clear" w:color="auto" w:fill="auto"/>
            <w:vAlign w:val="center"/>
          </w:tcPr>
          <w:p w14:paraId="754197CA" w14:textId="77777777" w:rsidR="003A4883" w:rsidRPr="00AA64DF" w:rsidRDefault="003A4883" w:rsidP="001A5767">
            <w:pPr>
              <w:pStyle w:val="TableText0"/>
              <w:jc w:val="center"/>
              <w:rPr>
                <w:bCs w:val="0"/>
                <w:vertAlign w:val="superscript"/>
              </w:rPr>
            </w:pPr>
            <w:r w:rsidRPr="00AA64DF">
              <w:rPr>
                <w:bCs w:val="0"/>
              </w:rPr>
              <w:t>43.75%</w:t>
            </w:r>
            <w:r w:rsidRPr="00AA64DF">
              <w:rPr>
                <w:bCs w:val="0"/>
                <w:vertAlign w:val="superscript"/>
              </w:rPr>
              <w:t>g</w:t>
            </w:r>
          </w:p>
        </w:tc>
        <w:tc>
          <w:tcPr>
            <w:tcW w:w="1197" w:type="pct"/>
            <w:shd w:val="clear" w:color="auto" w:fill="auto"/>
            <w:vAlign w:val="center"/>
          </w:tcPr>
          <w:p w14:paraId="706913C5" w14:textId="77777777" w:rsidR="003A4883" w:rsidRPr="00AA64DF" w:rsidRDefault="003A4883" w:rsidP="001A5767">
            <w:pPr>
              <w:pStyle w:val="TableText0"/>
              <w:jc w:val="center"/>
              <w:rPr>
                <w:bCs w:val="0"/>
                <w:vertAlign w:val="superscript"/>
              </w:rPr>
            </w:pPr>
            <w:r w:rsidRPr="00AA64DF">
              <w:rPr>
                <w:bCs w:val="0"/>
              </w:rPr>
              <w:t>34.88%</w:t>
            </w:r>
            <w:r w:rsidRPr="00AA64DF">
              <w:rPr>
                <w:bCs w:val="0"/>
                <w:vertAlign w:val="superscript"/>
              </w:rPr>
              <w:t>h</w:t>
            </w:r>
          </w:p>
        </w:tc>
        <w:tc>
          <w:tcPr>
            <w:tcW w:w="1201" w:type="pct"/>
            <w:shd w:val="clear" w:color="auto" w:fill="auto"/>
            <w:vAlign w:val="center"/>
          </w:tcPr>
          <w:p w14:paraId="0A286248" w14:textId="77777777" w:rsidR="003A4883" w:rsidRPr="00AA64DF" w:rsidRDefault="003A4883" w:rsidP="001A5767">
            <w:pPr>
              <w:pStyle w:val="TableText0"/>
              <w:jc w:val="center"/>
              <w:rPr>
                <w:bCs w:val="0"/>
                <w:vertAlign w:val="superscript"/>
              </w:rPr>
            </w:pPr>
            <w:r w:rsidRPr="00AA64DF">
              <w:rPr>
                <w:lang w:val="en-US"/>
              </w:rPr>
              <w:t>68.88%</w:t>
            </w:r>
            <w:r w:rsidRPr="00AA64DF">
              <w:rPr>
                <w:vertAlign w:val="superscript"/>
                <w:lang w:val="en-US"/>
              </w:rPr>
              <w:t>i</w:t>
            </w:r>
          </w:p>
        </w:tc>
      </w:tr>
      <w:tr w:rsidR="003A4883" w:rsidRPr="004C0D9B" w14:paraId="798BE4C3" w14:textId="77777777" w:rsidTr="007D4E6D">
        <w:trPr>
          <w:cantSplit/>
        </w:trPr>
        <w:tc>
          <w:tcPr>
            <w:tcW w:w="1403" w:type="pct"/>
            <w:shd w:val="clear" w:color="auto" w:fill="auto"/>
            <w:vAlign w:val="center"/>
          </w:tcPr>
          <w:p w14:paraId="595B5BBA" w14:textId="77777777" w:rsidR="003A4883" w:rsidRPr="004C0D9B" w:rsidRDefault="003A4883" w:rsidP="001A5767">
            <w:pPr>
              <w:pStyle w:val="TableText0"/>
            </w:pPr>
            <w:r w:rsidRPr="004C0D9B">
              <w:t>Cost/patient/year 1 [F] (A x B x D x effective price)</w:t>
            </w:r>
          </w:p>
        </w:tc>
        <w:tc>
          <w:tcPr>
            <w:tcW w:w="1199" w:type="pct"/>
            <w:shd w:val="clear" w:color="auto" w:fill="auto"/>
            <w:vAlign w:val="center"/>
          </w:tcPr>
          <w:p w14:paraId="20DAD0F4" w14:textId="689C8DAF" w:rsidR="003A4883" w:rsidRPr="00AA64DF" w:rsidRDefault="003A4883" w:rsidP="001A5767">
            <w:pPr>
              <w:pStyle w:val="TableText0"/>
              <w:jc w:val="center"/>
              <w:rPr>
                <w:bCs w:val="0"/>
              </w:rPr>
            </w:pPr>
            <w:r w:rsidRPr="00AA64DF">
              <w:t>$</w:t>
            </w:r>
            <w:r w:rsidR="00A50FC3"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197" w:type="pct"/>
            <w:shd w:val="clear" w:color="auto" w:fill="auto"/>
            <w:vAlign w:val="center"/>
          </w:tcPr>
          <w:p w14:paraId="058EE714" w14:textId="4B22C491" w:rsidR="003A4883" w:rsidRPr="00AA64DF" w:rsidRDefault="003A4883" w:rsidP="001A5767">
            <w:pPr>
              <w:pStyle w:val="TableText0"/>
              <w:jc w:val="center"/>
              <w:rPr>
                <w:bCs w:val="0"/>
              </w:rPr>
            </w:pPr>
            <w:r w:rsidRPr="00AA64DF">
              <w:t>$</w:t>
            </w:r>
            <w:r w:rsidR="00A50FC3"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201" w:type="pct"/>
            <w:shd w:val="clear" w:color="auto" w:fill="auto"/>
            <w:vAlign w:val="center"/>
          </w:tcPr>
          <w:p w14:paraId="564393DA" w14:textId="09799C8A" w:rsidR="003A4883" w:rsidRPr="00AA64DF" w:rsidRDefault="003A4883" w:rsidP="001A5767">
            <w:pPr>
              <w:pStyle w:val="TableText0"/>
              <w:jc w:val="center"/>
              <w:rPr>
                <w:bCs w:val="0"/>
              </w:rPr>
            </w:pPr>
            <w:r w:rsidRPr="00AA64DF">
              <w:t>$</w:t>
            </w:r>
            <w:r w:rsidR="00A50FC3" w:rsidRPr="00A50FC3">
              <w:rPr>
                <w:color w:val="000000"/>
                <w:shd w:val="solid" w:color="000000" w:fill="000000"/>
                <w14:textFill>
                  <w14:solidFill>
                    <w14:srgbClr w14:val="000000">
                      <w14:alpha w14:val="100000"/>
                    </w14:srgbClr>
                  </w14:solidFill>
                </w14:textFill>
              </w:rPr>
              <w:t>|</w:t>
            </w:r>
            <w:r w:rsidR="00295039" w:rsidRPr="00295039">
              <w:t xml:space="preserve"> </w:t>
            </w:r>
          </w:p>
        </w:tc>
      </w:tr>
      <w:tr w:rsidR="003A4883" w:rsidRPr="004C0D9B" w14:paraId="6AE1D0AB" w14:textId="77777777" w:rsidTr="007D4E6D">
        <w:trPr>
          <w:cantSplit/>
        </w:trPr>
        <w:tc>
          <w:tcPr>
            <w:tcW w:w="1403" w:type="pct"/>
            <w:shd w:val="clear" w:color="auto" w:fill="auto"/>
            <w:vAlign w:val="center"/>
          </w:tcPr>
          <w:p w14:paraId="6AB56DA9" w14:textId="77777777" w:rsidR="003A4883" w:rsidRPr="004C0D9B" w:rsidRDefault="003A4883" w:rsidP="001A5767">
            <w:pPr>
              <w:pStyle w:val="TableText0"/>
            </w:pPr>
            <w:r w:rsidRPr="004C0D9B">
              <w:t>Cost/patient/year 2 [G] A x C x E x effective price)</w:t>
            </w:r>
          </w:p>
        </w:tc>
        <w:tc>
          <w:tcPr>
            <w:tcW w:w="1199" w:type="pct"/>
            <w:shd w:val="clear" w:color="auto" w:fill="auto"/>
            <w:vAlign w:val="center"/>
          </w:tcPr>
          <w:p w14:paraId="4D3CCE53" w14:textId="334DAF66" w:rsidR="003A4883" w:rsidRPr="00AA64DF" w:rsidRDefault="003A4883" w:rsidP="001A5767">
            <w:pPr>
              <w:pStyle w:val="TableText0"/>
              <w:jc w:val="center"/>
              <w:rPr>
                <w:bCs w:val="0"/>
              </w:rPr>
            </w:pPr>
            <w:r w:rsidRPr="00AA64DF">
              <w:t>$</w:t>
            </w:r>
            <w:r w:rsidR="00A50FC3"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197" w:type="pct"/>
            <w:shd w:val="clear" w:color="auto" w:fill="auto"/>
            <w:vAlign w:val="center"/>
          </w:tcPr>
          <w:p w14:paraId="30C42F81" w14:textId="36D5EEA4" w:rsidR="003A4883" w:rsidRPr="00AA64DF" w:rsidRDefault="003A4883" w:rsidP="001A5767">
            <w:pPr>
              <w:pStyle w:val="TableText0"/>
              <w:jc w:val="center"/>
              <w:rPr>
                <w:bCs w:val="0"/>
              </w:rPr>
            </w:pPr>
            <w:r w:rsidRPr="00AA64DF">
              <w:t>$</w:t>
            </w:r>
            <w:r w:rsidR="00A50FC3" w:rsidRPr="00A50FC3">
              <w:rPr>
                <w:color w:val="000000"/>
                <w:shd w:val="solid" w:color="000000" w:fill="000000"/>
                <w14:textFill>
                  <w14:solidFill>
                    <w14:srgbClr w14:val="000000">
                      <w14:alpha w14:val="100000"/>
                    </w14:srgbClr>
                  </w14:solidFill>
                </w14:textFill>
              </w:rPr>
              <w:t>|</w:t>
            </w:r>
            <w:r w:rsidR="00295039" w:rsidRPr="00295039">
              <w:t xml:space="preserve"> </w:t>
            </w:r>
          </w:p>
        </w:tc>
        <w:tc>
          <w:tcPr>
            <w:tcW w:w="1201" w:type="pct"/>
            <w:shd w:val="clear" w:color="auto" w:fill="auto"/>
            <w:vAlign w:val="center"/>
          </w:tcPr>
          <w:p w14:paraId="715F2A2C" w14:textId="5B64FB9D" w:rsidR="003A4883" w:rsidRPr="00AA64DF" w:rsidRDefault="003A4883" w:rsidP="001A5767">
            <w:pPr>
              <w:pStyle w:val="TableText0"/>
              <w:jc w:val="center"/>
              <w:rPr>
                <w:bCs w:val="0"/>
              </w:rPr>
            </w:pPr>
            <w:r w:rsidRPr="00AA64DF">
              <w:t>$</w:t>
            </w:r>
            <w:r w:rsidR="00A50FC3" w:rsidRPr="00A50FC3">
              <w:rPr>
                <w:color w:val="000000"/>
                <w:shd w:val="solid" w:color="000000" w:fill="000000"/>
                <w14:textFill>
                  <w14:solidFill>
                    <w14:srgbClr w14:val="000000">
                      <w14:alpha w14:val="100000"/>
                    </w14:srgbClr>
                  </w14:solidFill>
                </w14:textFill>
              </w:rPr>
              <w:t>|</w:t>
            </w:r>
            <w:r w:rsidR="00295039" w:rsidRPr="00295039">
              <w:t xml:space="preserve"> </w:t>
            </w:r>
          </w:p>
        </w:tc>
      </w:tr>
    </w:tbl>
    <w:p w14:paraId="32BA2AE4" w14:textId="26EB94DD" w:rsidR="003A4883" w:rsidRDefault="003A4883" w:rsidP="004C0D9B">
      <w:pPr>
        <w:pStyle w:val="FooterTableFigure"/>
        <w:keepNext/>
      </w:pPr>
      <w:r w:rsidRPr="00B14B63">
        <w:t xml:space="preserve">Source: </w:t>
      </w:r>
      <w:r>
        <w:t xml:space="preserve">Tables 4-10, and 4-12, pp99, 108, 128, and 129 of the submission. Tables 14.1.13.4 and 14.1.12.4 of the ACTIVE trial CSR. </w:t>
      </w:r>
    </w:p>
    <w:p w14:paraId="2B0C3463" w14:textId="1BE37FD8" w:rsidR="003A4883" w:rsidRPr="00DD3528" w:rsidRDefault="003A4883" w:rsidP="00AA64DF">
      <w:pPr>
        <w:pStyle w:val="FooterTableFigure"/>
        <w:keepNext/>
      </w:pPr>
      <w:r>
        <w:rPr>
          <w:vertAlign w:val="superscript"/>
        </w:rPr>
        <w:t>a</w:t>
      </w:r>
      <w:r w:rsidRPr="00DD3528">
        <w:t xml:space="preserve"> Table 14.1.13.4 of the ACTIVE CSR</w:t>
      </w:r>
      <w:r>
        <w:t>, treatment compliance through week 104, apremilast arm.</w:t>
      </w:r>
    </w:p>
    <w:p w14:paraId="0E427F5A" w14:textId="77777777" w:rsidR="003A4883" w:rsidRDefault="003A4883" w:rsidP="003A4883">
      <w:pPr>
        <w:pStyle w:val="FooterTableFigure"/>
        <w:rPr>
          <w:bCs/>
        </w:rPr>
      </w:pPr>
      <w:r w:rsidRPr="00DD3528">
        <w:rPr>
          <w:bCs/>
          <w:vertAlign w:val="superscript"/>
        </w:rPr>
        <w:t>b</w:t>
      </w:r>
      <w:r>
        <w:rPr>
          <w:bCs/>
        </w:rPr>
        <w:t xml:space="preserve"> 87.21% first 24 weeks, then 100% weighted average.</w:t>
      </w:r>
    </w:p>
    <w:p w14:paraId="281C5AD1" w14:textId="77777777" w:rsidR="003A4883" w:rsidRDefault="003A4883" w:rsidP="003A4883">
      <w:pPr>
        <w:pStyle w:val="FooterTableFigure"/>
        <w:rPr>
          <w:bCs/>
        </w:rPr>
      </w:pPr>
      <w:r w:rsidRPr="00DD3528">
        <w:rPr>
          <w:bCs/>
          <w:vertAlign w:val="superscript"/>
        </w:rPr>
        <w:t>c</w:t>
      </w:r>
      <w:r>
        <w:rPr>
          <w:bCs/>
        </w:rPr>
        <w:t xml:space="preserve"> Additional compliance factor. </w:t>
      </w:r>
    </w:p>
    <w:p w14:paraId="62D4C377" w14:textId="77777777" w:rsidR="003A4883" w:rsidRDefault="003A4883" w:rsidP="003A4883">
      <w:pPr>
        <w:pStyle w:val="FooterTableFigure"/>
        <w:rPr>
          <w:bCs/>
        </w:rPr>
      </w:pPr>
      <w:r w:rsidRPr="00DD3528">
        <w:rPr>
          <w:bCs/>
          <w:vertAlign w:val="superscript"/>
        </w:rPr>
        <w:t>d</w:t>
      </w:r>
      <w:r>
        <w:rPr>
          <w:bCs/>
        </w:rPr>
        <w:t xml:space="preserve"> Considers treatment duration through week 104, apremilast arm Table 14.1.12.4 of the ACTIVE CSR. Treatment duration was 74.72 weeks. </w:t>
      </w:r>
    </w:p>
    <w:p w14:paraId="175B8745" w14:textId="77777777" w:rsidR="003A4883" w:rsidRDefault="003A4883" w:rsidP="003A4883">
      <w:pPr>
        <w:pStyle w:val="FooterTableFigure"/>
        <w:rPr>
          <w:bCs/>
        </w:rPr>
      </w:pPr>
      <w:r>
        <w:rPr>
          <w:bCs/>
          <w:vertAlign w:val="superscript"/>
        </w:rPr>
        <w:t>e</w:t>
      </w:r>
      <w:r>
        <w:rPr>
          <w:bCs/>
        </w:rPr>
        <w:t xml:space="preserve"> 100% first 24 weeks, 45% at week 24, then 1.96% each cycle (1/13 of a year) weighted average.</w:t>
      </w:r>
    </w:p>
    <w:p w14:paraId="2D613025" w14:textId="77777777" w:rsidR="003A4883" w:rsidRPr="001813FC" w:rsidRDefault="003A4883" w:rsidP="003A4883">
      <w:pPr>
        <w:pStyle w:val="FooterTableFigure"/>
        <w:rPr>
          <w:bCs/>
        </w:rPr>
      </w:pPr>
      <w:r>
        <w:rPr>
          <w:bCs/>
          <w:vertAlign w:val="superscript"/>
        </w:rPr>
        <w:t xml:space="preserve">f </w:t>
      </w:r>
      <w:r>
        <w:rPr>
          <w:bCs/>
        </w:rPr>
        <w:t>100% first six months, then 45% for the next six months weighted average.</w:t>
      </w:r>
    </w:p>
    <w:p w14:paraId="0480B943" w14:textId="77777777" w:rsidR="003A4883" w:rsidRDefault="003A4883" w:rsidP="003A4883">
      <w:pPr>
        <w:pStyle w:val="FooterTableFigure"/>
        <w:rPr>
          <w:bCs/>
        </w:rPr>
      </w:pPr>
      <w:r>
        <w:rPr>
          <w:bCs/>
          <w:vertAlign w:val="superscript"/>
        </w:rPr>
        <w:t>g</w:t>
      </w:r>
      <w:r>
        <w:rPr>
          <w:bCs/>
        </w:rPr>
        <w:t xml:space="preserve"> Estimated by weeks in year 2: 74.72 weeks – 52 weeks in a year = 22.75. Then, the proportion was estimated as 22.75/52 =0.4375.</w:t>
      </w:r>
    </w:p>
    <w:p w14:paraId="594FED32" w14:textId="77777777" w:rsidR="003A4883" w:rsidRDefault="003A4883" w:rsidP="003A4883">
      <w:pPr>
        <w:pStyle w:val="FooterTableFigure"/>
        <w:rPr>
          <w:bCs/>
        </w:rPr>
      </w:pPr>
      <w:r>
        <w:rPr>
          <w:bCs/>
          <w:vertAlign w:val="superscript"/>
        </w:rPr>
        <w:t>h</w:t>
      </w:r>
      <w:r>
        <w:rPr>
          <w:bCs/>
        </w:rPr>
        <w:t xml:space="preserve"> 0.76% stopping each cycle (1/13 of a year) applied to continuers year 1 (69.01%) weighted average.</w:t>
      </w:r>
    </w:p>
    <w:p w14:paraId="6A4B774B" w14:textId="77777777" w:rsidR="003A4883" w:rsidRPr="005701D1" w:rsidRDefault="003A4883" w:rsidP="003A4883">
      <w:pPr>
        <w:pStyle w:val="FooterTableFigure"/>
      </w:pPr>
      <w:r>
        <w:rPr>
          <w:bCs/>
          <w:vertAlign w:val="superscript"/>
        </w:rPr>
        <w:t>I</w:t>
      </w:r>
      <w:r>
        <w:rPr>
          <w:bCs/>
        </w:rPr>
        <w:t xml:space="preserve"> 68.88% first six months as per year 1, then 90% the last six months weighted average</w:t>
      </w:r>
      <w:r w:rsidRPr="005701D1">
        <w:rPr>
          <w:bCs/>
        </w:rPr>
        <w:t>.</w:t>
      </w:r>
    </w:p>
    <w:p w14:paraId="0157C27B" w14:textId="43CC8D94" w:rsidR="003A4883" w:rsidRPr="0033470C" w:rsidRDefault="005C3467" w:rsidP="003A4883">
      <w:pPr>
        <w:pStyle w:val="3-BodyText"/>
        <w:ind w:left="720" w:hanging="720"/>
        <w:rPr>
          <w:snapToGrid/>
        </w:rPr>
      </w:pPr>
      <w:bookmarkStart w:id="91" w:name="_Hlk107307804"/>
      <w:r w:rsidRPr="0033470C">
        <w:rPr>
          <w:snapToGrid/>
        </w:rPr>
        <w:t>The</w:t>
      </w:r>
      <w:r w:rsidR="00786E51" w:rsidRPr="0033470C">
        <w:rPr>
          <w:snapToGrid/>
        </w:rPr>
        <w:t xml:space="preserve"> difference in</w:t>
      </w:r>
      <w:r w:rsidRPr="0033470C">
        <w:rPr>
          <w:snapToGrid/>
        </w:rPr>
        <w:t xml:space="preserve"> </w:t>
      </w:r>
      <w:r w:rsidR="00786E51" w:rsidRPr="0033470C">
        <w:rPr>
          <w:snapToGrid/>
        </w:rPr>
        <w:t>the cost per patient between the economic and financial model in Year 2 was largely driven by the difference in the percentage of continuers (35% vs 69%)</w:t>
      </w:r>
      <w:r w:rsidR="00DB746E" w:rsidRPr="0033470C">
        <w:rPr>
          <w:snapToGrid/>
        </w:rPr>
        <w:t xml:space="preserve">. </w:t>
      </w:r>
      <w:r w:rsidR="00897F0F">
        <w:rPr>
          <w:snapToGrid/>
        </w:rPr>
        <w:t xml:space="preserve">The PBAC considered the different assumptions for the economic model and financial estimates was not adequately justified in the submission. </w:t>
      </w:r>
    </w:p>
    <w:p w14:paraId="27CC8262" w14:textId="6ED9F329" w:rsidR="003A4883" w:rsidRPr="00C9624D" w:rsidRDefault="003A4883" w:rsidP="003A4883">
      <w:pPr>
        <w:pStyle w:val="4-SubsectionHeading"/>
      </w:pPr>
      <w:bookmarkStart w:id="92" w:name="_Toc124945480"/>
      <w:bookmarkEnd w:id="91"/>
      <w:r w:rsidRPr="00C9624D">
        <w:t>Estimated PBS usage &amp; financial implications</w:t>
      </w:r>
      <w:bookmarkEnd w:id="89"/>
      <w:bookmarkEnd w:id="92"/>
    </w:p>
    <w:p w14:paraId="6BB2B876" w14:textId="285613BD" w:rsidR="003A4883" w:rsidRPr="00B14B63" w:rsidRDefault="003A4883" w:rsidP="003A4883">
      <w:pPr>
        <w:pStyle w:val="3-BodyText"/>
        <w:ind w:left="720" w:hanging="720"/>
        <w:rPr>
          <w:color w:val="0066FF"/>
        </w:rPr>
      </w:pPr>
      <w:bookmarkStart w:id="93" w:name="_Toc22897648"/>
      <w:r w:rsidRPr="00314AC3">
        <w:rPr>
          <w:color w:val="000000" w:themeColor="text1"/>
        </w:rPr>
        <w:t>This submission w</w:t>
      </w:r>
      <w:r w:rsidR="00CA7260">
        <w:rPr>
          <w:color w:val="000000" w:themeColor="text1"/>
        </w:rPr>
        <w:t>as</w:t>
      </w:r>
      <w:r w:rsidRPr="00314AC3">
        <w:rPr>
          <w:color w:val="000000" w:themeColor="text1"/>
        </w:rPr>
        <w:t xml:space="preserve"> not considered by DUSC. </w:t>
      </w:r>
      <w:r w:rsidRPr="00B14B63">
        <w:t>The submission adopted an epidemiological approach to estimate the financial impact of listing apremilast on the PBS</w:t>
      </w:r>
      <w:r w:rsidR="009A5C5D">
        <w:t>/ RPBS</w:t>
      </w:r>
      <w:r w:rsidRPr="00B14B63">
        <w:t xml:space="preserve"> for treating severe active PsA.</w:t>
      </w:r>
      <w:r>
        <w:rPr>
          <w:i/>
          <w:iCs/>
        </w:rPr>
        <w:t xml:space="preserve"> </w:t>
      </w:r>
      <w:r w:rsidRPr="00B14B63">
        <w:fldChar w:fldCharType="begin"/>
      </w:r>
      <w:r w:rsidRPr="00B14B63">
        <w:instrText xml:space="preserve"> REF _Ref104805262 \h </w:instrText>
      </w:r>
      <w:r w:rsidRPr="00B14B63">
        <w:fldChar w:fldCharType="separate"/>
      </w:r>
      <w:r w:rsidR="00A05E81" w:rsidRPr="00B14B63">
        <w:t xml:space="preserve">Table </w:t>
      </w:r>
      <w:r w:rsidR="00A05E81">
        <w:rPr>
          <w:noProof/>
        </w:rPr>
        <w:t>19</w:t>
      </w:r>
      <w:r w:rsidRPr="00B14B63">
        <w:fldChar w:fldCharType="end"/>
      </w:r>
      <w:r w:rsidRPr="00B14B63">
        <w:t xml:space="preserve"> presents key inputs for the financial estimates.</w:t>
      </w:r>
      <w:r>
        <w:t xml:space="preserve"> </w:t>
      </w:r>
    </w:p>
    <w:p w14:paraId="425B7AAB" w14:textId="657E0F7C" w:rsidR="003A4883" w:rsidRPr="00B14B63" w:rsidRDefault="003A4883" w:rsidP="00EF48B5">
      <w:pPr>
        <w:pStyle w:val="Caption"/>
        <w:rPr>
          <w:rStyle w:val="CommentReference"/>
          <w:b/>
          <w:szCs w:val="24"/>
        </w:rPr>
      </w:pPr>
      <w:bookmarkStart w:id="94" w:name="_Ref104805262"/>
      <w:bookmarkStart w:id="95" w:name="_Hlk121483354"/>
      <w:r w:rsidRPr="00B14B63">
        <w:lastRenderedPageBreak/>
        <w:t xml:space="preserve">Table </w:t>
      </w:r>
      <w:r w:rsidR="00A05E81">
        <w:fldChar w:fldCharType="begin"/>
      </w:r>
      <w:r w:rsidR="00A05E81">
        <w:instrText xml:space="preserve"> SEQ Table \* ARABIC </w:instrText>
      </w:r>
      <w:r w:rsidR="00A05E81">
        <w:fldChar w:fldCharType="separate"/>
      </w:r>
      <w:r w:rsidR="00A05E81">
        <w:rPr>
          <w:noProof/>
        </w:rPr>
        <w:t>19</w:t>
      </w:r>
      <w:r w:rsidR="00A05E81">
        <w:rPr>
          <w:noProof/>
        </w:rPr>
        <w:fldChar w:fldCharType="end"/>
      </w:r>
      <w:bookmarkEnd w:id="94"/>
      <w:r w:rsidRPr="00B14B63">
        <w:t>:</w:t>
      </w:r>
      <w:r w:rsidRPr="00B14B63">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4"/>
        <w:gridCol w:w="3949"/>
        <w:gridCol w:w="2804"/>
      </w:tblGrid>
      <w:tr w:rsidR="003A4883" w:rsidRPr="0033470C" w14:paraId="3450BEED" w14:textId="77777777" w:rsidTr="00DA3378">
        <w:trPr>
          <w:cantSplit/>
          <w:tblHeader/>
        </w:trPr>
        <w:tc>
          <w:tcPr>
            <w:tcW w:w="1255" w:type="pct"/>
            <w:shd w:val="clear" w:color="auto" w:fill="auto"/>
            <w:vAlign w:val="center"/>
          </w:tcPr>
          <w:p w14:paraId="4A7DD4A7" w14:textId="77777777" w:rsidR="003A4883" w:rsidRPr="0033470C" w:rsidRDefault="003A4883" w:rsidP="00EF48B5">
            <w:pPr>
              <w:pStyle w:val="In-tableHeading"/>
              <w:jc w:val="center"/>
              <w:rPr>
                <w:lang w:val="en-AU"/>
              </w:rPr>
            </w:pPr>
            <w:r w:rsidRPr="0033470C">
              <w:rPr>
                <w:lang w:val="en-AU"/>
              </w:rPr>
              <w:t>Parameter</w:t>
            </w:r>
          </w:p>
        </w:tc>
        <w:tc>
          <w:tcPr>
            <w:tcW w:w="2190" w:type="pct"/>
            <w:shd w:val="clear" w:color="auto" w:fill="auto"/>
            <w:vAlign w:val="center"/>
          </w:tcPr>
          <w:p w14:paraId="5853DF09" w14:textId="77777777" w:rsidR="003A4883" w:rsidRPr="0033470C" w:rsidRDefault="003A4883" w:rsidP="00EF48B5">
            <w:pPr>
              <w:pStyle w:val="In-tableHeading"/>
              <w:jc w:val="center"/>
              <w:rPr>
                <w:lang w:val="en-AU"/>
              </w:rPr>
            </w:pPr>
            <w:r w:rsidRPr="0033470C">
              <w:rPr>
                <w:lang w:val="en-AU"/>
              </w:rPr>
              <w:t>Value applied and source</w:t>
            </w:r>
          </w:p>
        </w:tc>
        <w:tc>
          <w:tcPr>
            <w:tcW w:w="1555" w:type="pct"/>
            <w:shd w:val="clear" w:color="auto" w:fill="auto"/>
            <w:vAlign w:val="center"/>
          </w:tcPr>
          <w:p w14:paraId="24A04A57" w14:textId="77777777" w:rsidR="003A4883" w:rsidRPr="0033470C" w:rsidRDefault="003A4883" w:rsidP="00EF48B5">
            <w:pPr>
              <w:pStyle w:val="In-tableHeading"/>
              <w:jc w:val="center"/>
              <w:rPr>
                <w:lang w:val="en-AU"/>
              </w:rPr>
            </w:pPr>
            <w:r w:rsidRPr="0033470C">
              <w:rPr>
                <w:lang w:val="en-AU"/>
              </w:rPr>
              <w:t>Comment</w:t>
            </w:r>
          </w:p>
        </w:tc>
      </w:tr>
      <w:tr w:rsidR="003A4883" w:rsidRPr="0033470C" w14:paraId="004FA2F2" w14:textId="77777777" w:rsidTr="00DA3378">
        <w:trPr>
          <w:cantSplit/>
        </w:trPr>
        <w:tc>
          <w:tcPr>
            <w:tcW w:w="1255" w:type="pct"/>
            <w:shd w:val="clear" w:color="auto" w:fill="auto"/>
            <w:vAlign w:val="center"/>
          </w:tcPr>
          <w:p w14:paraId="18B96357" w14:textId="77777777" w:rsidR="003A4883" w:rsidRPr="0033470C" w:rsidRDefault="003A4883" w:rsidP="00EF48B5">
            <w:pPr>
              <w:pStyle w:val="TableText0"/>
            </w:pPr>
            <w:r w:rsidRPr="0033470C">
              <w:t>Incident/prevalent population</w:t>
            </w:r>
          </w:p>
        </w:tc>
        <w:tc>
          <w:tcPr>
            <w:tcW w:w="2190" w:type="pct"/>
            <w:shd w:val="clear" w:color="auto" w:fill="auto"/>
            <w:vAlign w:val="center"/>
          </w:tcPr>
          <w:p w14:paraId="1B24C0E6" w14:textId="68265F52" w:rsidR="003A4883" w:rsidRPr="0033470C" w:rsidRDefault="003A4883" w:rsidP="00EF48B5">
            <w:pPr>
              <w:pStyle w:val="TableText0"/>
            </w:pPr>
            <w:r w:rsidRPr="0033470C">
              <w:t xml:space="preserve">bDMARD discontinuers: incident population = </w:t>
            </w:r>
            <w:r w:rsidR="00A50FC3" w:rsidRPr="00A50FC3">
              <w:rPr>
                <w:color w:val="000000"/>
                <w:spacing w:val="36"/>
                <w:shd w:val="solid" w:color="000000" w:fill="000000"/>
                <w:fitText w:val="440" w:id="-1233454588"/>
                <w14:textFill>
                  <w14:solidFill>
                    <w14:srgbClr w14:val="000000">
                      <w14:alpha w14:val="100000"/>
                    </w14:srgbClr>
                  </w14:solidFill>
                </w14:textFill>
              </w:rPr>
              <w:t>|||||</w:t>
            </w:r>
            <w:r w:rsidR="00A50FC3" w:rsidRPr="00A50FC3">
              <w:rPr>
                <w:color w:val="000000"/>
                <w:spacing w:val="5"/>
                <w:shd w:val="solid" w:color="000000" w:fill="000000"/>
                <w:fitText w:val="440" w:id="-1233454588"/>
                <w14:textFill>
                  <w14:solidFill>
                    <w14:srgbClr w14:val="000000">
                      <w14:alpha w14:val="100000"/>
                    </w14:srgbClr>
                  </w14:solidFill>
                </w14:textFill>
              </w:rPr>
              <w:t>|</w:t>
            </w:r>
            <w:r w:rsidR="00295039" w:rsidRPr="00295039">
              <w:t xml:space="preserve"> </w:t>
            </w:r>
            <w:r w:rsidR="0033122F">
              <w:rPr>
                <w:vertAlign w:val="superscript"/>
              </w:rPr>
              <w:t>1</w:t>
            </w:r>
            <w:r w:rsidRPr="0033470C">
              <w:t xml:space="preserve"> in Year 1 increasing to </w:t>
            </w:r>
            <w:r w:rsidR="00A50FC3" w:rsidRPr="00A50FC3">
              <w:rPr>
                <w:color w:val="000000"/>
                <w:spacing w:val="36"/>
                <w:shd w:val="solid" w:color="000000" w:fill="000000"/>
                <w:fitText w:val="440" w:id="-1233454587"/>
                <w14:textFill>
                  <w14:solidFill>
                    <w14:srgbClr w14:val="000000">
                      <w14:alpha w14:val="100000"/>
                    </w14:srgbClr>
                  </w14:solidFill>
                </w14:textFill>
              </w:rPr>
              <w:t>|||||</w:t>
            </w:r>
            <w:r w:rsidR="00A50FC3" w:rsidRPr="00A50FC3">
              <w:rPr>
                <w:color w:val="000000"/>
                <w:spacing w:val="5"/>
                <w:shd w:val="solid" w:color="000000" w:fill="000000"/>
                <w:fitText w:val="440" w:id="-1233454587"/>
                <w14:textFill>
                  <w14:solidFill>
                    <w14:srgbClr w14:val="000000">
                      <w14:alpha w14:val="100000"/>
                    </w14:srgbClr>
                  </w14:solidFill>
                </w14:textFill>
              </w:rPr>
              <w:t>|</w:t>
            </w:r>
            <w:r w:rsidR="00295039" w:rsidRPr="00295039">
              <w:t xml:space="preserve"> </w:t>
            </w:r>
            <w:r w:rsidR="0033122F">
              <w:rPr>
                <w:vertAlign w:val="superscript"/>
              </w:rPr>
              <w:t>1</w:t>
            </w:r>
            <w:r w:rsidRPr="0033470C">
              <w:t xml:space="preserve"> in Year 6, prevalent population = </w:t>
            </w:r>
            <w:r w:rsidR="00A50FC3" w:rsidRPr="00A50FC3">
              <w:rPr>
                <w:color w:val="000000"/>
                <w:spacing w:val="36"/>
                <w:shd w:val="solid" w:color="000000" w:fill="000000"/>
                <w:fitText w:val="440" w:id="-1233454586"/>
                <w14:textFill>
                  <w14:solidFill>
                    <w14:srgbClr w14:val="000000">
                      <w14:alpha w14:val="100000"/>
                    </w14:srgbClr>
                  </w14:solidFill>
                </w14:textFill>
              </w:rPr>
              <w:t>|||||</w:t>
            </w:r>
            <w:r w:rsidR="00A50FC3" w:rsidRPr="00A50FC3">
              <w:rPr>
                <w:color w:val="000000"/>
                <w:spacing w:val="5"/>
                <w:shd w:val="solid" w:color="000000" w:fill="000000"/>
                <w:fitText w:val="440" w:id="-1233454586"/>
                <w14:textFill>
                  <w14:solidFill>
                    <w14:srgbClr w14:val="000000">
                      <w14:alpha w14:val="100000"/>
                    </w14:srgbClr>
                  </w14:solidFill>
                </w14:textFill>
              </w:rPr>
              <w:t>|</w:t>
            </w:r>
            <w:r w:rsidR="00295039" w:rsidRPr="00295039">
              <w:t xml:space="preserve"> </w:t>
            </w:r>
            <w:r w:rsidR="0033122F">
              <w:rPr>
                <w:vertAlign w:val="superscript"/>
              </w:rPr>
              <w:t>2</w:t>
            </w:r>
            <w:r w:rsidRPr="0033470C">
              <w:t xml:space="preserve">. Based on 10% PBS sample for bDMARDs in 2018 and </w:t>
            </w:r>
            <w:r w:rsidR="00A50FC3" w:rsidRPr="00A50FC3">
              <w:rPr>
                <w:color w:val="000000"/>
                <w:spacing w:val="36"/>
                <w:shd w:val="solid" w:color="000000" w:fill="000000"/>
                <w:fitText w:val="440" w:id="-1233454585"/>
                <w14:textFill>
                  <w14:solidFill>
                    <w14:srgbClr w14:val="000000">
                      <w14:alpha w14:val="100000"/>
                    </w14:srgbClr>
                  </w14:solidFill>
                </w14:textFill>
              </w:rPr>
              <w:t>|||||</w:t>
            </w:r>
            <w:r w:rsidR="00A50FC3" w:rsidRPr="00A50FC3">
              <w:rPr>
                <w:color w:val="000000"/>
                <w:spacing w:val="5"/>
                <w:shd w:val="solid" w:color="000000" w:fill="000000"/>
                <w:fitText w:val="440" w:id="-1233454585"/>
                <w14:textFill>
                  <w14:solidFill>
                    <w14:srgbClr w14:val="000000">
                      <w14:alpha w14:val="100000"/>
                    </w14:srgbClr>
                  </w14:solidFill>
                </w14:textFill>
              </w:rPr>
              <w:t>|</w:t>
            </w:r>
            <w:r w:rsidR="00295039" w:rsidRPr="00295039">
              <w:t xml:space="preserve"> </w:t>
            </w:r>
            <w:r w:rsidRPr="0033470C">
              <w:t>% growth.</w:t>
            </w:r>
          </w:p>
          <w:p w14:paraId="6C08E52F" w14:textId="710B413E" w:rsidR="003A4883" w:rsidRPr="0033470C" w:rsidRDefault="003A4883" w:rsidP="00EF48B5">
            <w:pPr>
              <w:pStyle w:val="TableText0"/>
            </w:pPr>
            <w:r w:rsidRPr="0033470C">
              <w:t xml:space="preserve">csDMARD discontinuers: incident population = </w:t>
            </w:r>
            <w:r w:rsidR="00A50FC3" w:rsidRPr="00A50FC3">
              <w:rPr>
                <w:color w:val="000000"/>
                <w:spacing w:val="36"/>
                <w:shd w:val="solid" w:color="000000" w:fill="000000"/>
                <w:fitText w:val="440" w:id="-1233454584"/>
                <w14:textFill>
                  <w14:solidFill>
                    <w14:srgbClr w14:val="000000">
                      <w14:alpha w14:val="100000"/>
                    </w14:srgbClr>
                  </w14:solidFill>
                </w14:textFill>
              </w:rPr>
              <w:t>|||||</w:t>
            </w:r>
            <w:r w:rsidR="00A50FC3" w:rsidRPr="00A50FC3">
              <w:rPr>
                <w:color w:val="000000"/>
                <w:spacing w:val="5"/>
                <w:shd w:val="solid" w:color="000000" w:fill="000000"/>
                <w:fitText w:val="440" w:id="-1233454584"/>
                <w14:textFill>
                  <w14:solidFill>
                    <w14:srgbClr w14:val="000000">
                      <w14:alpha w14:val="100000"/>
                    </w14:srgbClr>
                  </w14:solidFill>
                </w14:textFill>
              </w:rPr>
              <w:t>|</w:t>
            </w:r>
            <w:r w:rsidR="00295039" w:rsidRPr="00295039">
              <w:t xml:space="preserve"> </w:t>
            </w:r>
            <w:r w:rsidR="0033122F">
              <w:rPr>
                <w:vertAlign w:val="superscript"/>
              </w:rPr>
              <w:t>2</w:t>
            </w:r>
            <w:r w:rsidRPr="0033470C">
              <w:t xml:space="preserve"> in Year 1 increasing to </w:t>
            </w:r>
            <w:r w:rsidR="00A50FC3" w:rsidRPr="00A50FC3">
              <w:rPr>
                <w:color w:val="000000"/>
                <w:spacing w:val="36"/>
                <w:shd w:val="solid" w:color="000000" w:fill="000000"/>
                <w:fitText w:val="440" w:id="-1233454583"/>
                <w14:textFill>
                  <w14:solidFill>
                    <w14:srgbClr w14:val="000000">
                      <w14:alpha w14:val="100000"/>
                    </w14:srgbClr>
                  </w14:solidFill>
                </w14:textFill>
              </w:rPr>
              <w:t>|||||</w:t>
            </w:r>
            <w:r w:rsidR="00A50FC3" w:rsidRPr="00A50FC3">
              <w:rPr>
                <w:color w:val="000000"/>
                <w:spacing w:val="5"/>
                <w:shd w:val="solid" w:color="000000" w:fill="000000"/>
                <w:fitText w:val="440" w:id="-1233454583"/>
                <w14:textFill>
                  <w14:solidFill>
                    <w14:srgbClr w14:val="000000">
                      <w14:alpha w14:val="100000"/>
                    </w14:srgbClr>
                  </w14:solidFill>
                </w14:textFill>
              </w:rPr>
              <w:t>|</w:t>
            </w:r>
            <w:r w:rsidR="00295039" w:rsidRPr="00295039">
              <w:t xml:space="preserve"> </w:t>
            </w:r>
            <w:r w:rsidR="0033122F" w:rsidRPr="0033122F">
              <w:rPr>
                <w:vertAlign w:val="superscript"/>
              </w:rPr>
              <w:t>2</w:t>
            </w:r>
            <w:r w:rsidRPr="0033122F">
              <w:t xml:space="preserve"> </w:t>
            </w:r>
            <w:r w:rsidRPr="0033470C">
              <w:t xml:space="preserve">in Year 6, prevalent population = </w:t>
            </w:r>
            <w:r w:rsidR="00A50FC3" w:rsidRPr="00A50FC3">
              <w:rPr>
                <w:color w:val="000000"/>
                <w:spacing w:val="36"/>
                <w:shd w:val="solid" w:color="000000" w:fill="000000"/>
                <w:fitText w:val="440" w:id="-1233454582"/>
                <w14:textFill>
                  <w14:solidFill>
                    <w14:srgbClr w14:val="000000">
                      <w14:alpha w14:val="100000"/>
                    </w14:srgbClr>
                  </w14:solidFill>
                </w14:textFill>
              </w:rPr>
              <w:t>|||||</w:t>
            </w:r>
            <w:r w:rsidR="00A50FC3" w:rsidRPr="00A50FC3">
              <w:rPr>
                <w:color w:val="000000"/>
                <w:spacing w:val="5"/>
                <w:shd w:val="solid" w:color="000000" w:fill="000000"/>
                <w:fitText w:val="440" w:id="-1233454582"/>
                <w14:textFill>
                  <w14:solidFill>
                    <w14:srgbClr w14:val="000000">
                      <w14:alpha w14:val="100000"/>
                    </w14:srgbClr>
                  </w14:solidFill>
                </w14:textFill>
              </w:rPr>
              <w:t>|</w:t>
            </w:r>
            <w:r w:rsidR="00295039" w:rsidRPr="00295039">
              <w:t xml:space="preserve"> </w:t>
            </w:r>
            <w:r w:rsidR="0033122F">
              <w:rPr>
                <w:vertAlign w:val="superscript"/>
              </w:rPr>
              <w:t>2</w:t>
            </w:r>
            <w:r w:rsidRPr="0033470C">
              <w:t xml:space="preserve">. Based on 10% PBS sample for sulfasalazine, methotrexate and leflunomide in 2018 and </w:t>
            </w:r>
            <w:r w:rsidR="00A50FC3" w:rsidRPr="00A50FC3">
              <w:rPr>
                <w:color w:val="000000"/>
                <w:spacing w:val="36"/>
                <w:shd w:val="solid" w:color="000000" w:fill="000000"/>
                <w:fitText w:val="440" w:id="-1233454581"/>
                <w14:textFill>
                  <w14:solidFill>
                    <w14:srgbClr w14:val="000000">
                      <w14:alpha w14:val="100000"/>
                    </w14:srgbClr>
                  </w14:solidFill>
                </w14:textFill>
              </w:rPr>
              <w:t>|||||</w:t>
            </w:r>
            <w:r w:rsidR="00A50FC3" w:rsidRPr="00A50FC3">
              <w:rPr>
                <w:color w:val="000000"/>
                <w:spacing w:val="5"/>
                <w:shd w:val="solid" w:color="000000" w:fill="000000"/>
                <w:fitText w:val="440" w:id="-1233454581"/>
                <w14:textFill>
                  <w14:solidFill>
                    <w14:srgbClr w14:val="000000">
                      <w14:alpha w14:val="100000"/>
                    </w14:srgbClr>
                  </w14:solidFill>
                </w14:textFill>
              </w:rPr>
              <w:t>|</w:t>
            </w:r>
            <w:r w:rsidR="00295039" w:rsidRPr="00295039">
              <w:t xml:space="preserve"> </w:t>
            </w:r>
            <w:r w:rsidRPr="0033470C">
              <w:t>% growth.</w:t>
            </w:r>
          </w:p>
          <w:p w14:paraId="2C4D2DAB" w14:textId="77777777" w:rsidR="003A4883" w:rsidRPr="0033470C" w:rsidRDefault="003A4883" w:rsidP="00EF48B5">
            <w:pPr>
              <w:pStyle w:val="TableText0"/>
            </w:pPr>
            <w:r w:rsidRPr="0033470C">
              <w:t xml:space="preserve">Prevalent patients in 2023 were estimated </w:t>
            </w:r>
            <w:r w:rsidRPr="0033470C">
              <w:rPr>
                <w:rFonts w:eastAsia="Batang"/>
                <w:szCs w:val="20"/>
              </w:rPr>
              <w:t>by adding 2021 and 2022 estimates.</w:t>
            </w:r>
          </w:p>
        </w:tc>
        <w:tc>
          <w:tcPr>
            <w:tcW w:w="1555" w:type="pct"/>
            <w:shd w:val="clear" w:color="auto" w:fill="auto"/>
            <w:vAlign w:val="center"/>
          </w:tcPr>
          <w:p w14:paraId="27DDBAAF" w14:textId="2DCC24A6" w:rsidR="003A4883" w:rsidRPr="0033470C" w:rsidRDefault="003D2980" w:rsidP="00EF48B5">
            <w:pPr>
              <w:pStyle w:val="TableText0"/>
            </w:pPr>
            <w:r w:rsidRPr="0033470C">
              <w:t>10% PBS sample data was used.</w:t>
            </w:r>
            <w:r w:rsidR="00623C16">
              <w:t xml:space="preserve"> </w:t>
            </w:r>
            <w:r w:rsidR="003D019D">
              <w:t>I</w:t>
            </w:r>
            <w:r w:rsidR="00786E51" w:rsidRPr="0033470C">
              <w:t>nformat</w:t>
            </w:r>
            <w:r w:rsidR="00FE1CFB" w:rsidRPr="0033470C">
              <w:t>ion</w:t>
            </w:r>
            <w:r w:rsidR="00786E51" w:rsidRPr="0033470C">
              <w:t xml:space="preserve"> regard</w:t>
            </w:r>
            <w:r w:rsidR="00FE1CFB" w:rsidRPr="0033470C">
              <w:t>ing</w:t>
            </w:r>
            <w:r w:rsidR="00786E51" w:rsidRPr="0033470C">
              <w:t xml:space="preserve"> </w:t>
            </w:r>
            <w:r w:rsidRPr="0033470C">
              <w:t xml:space="preserve">the data supplier, PBS codes, or </w:t>
            </w:r>
            <w:r w:rsidR="00786E51" w:rsidRPr="0033470C">
              <w:t xml:space="preserve">whether the </w:t>
            </w:r>
            <w:r w:rsidRPr="0033470C">
              <w:t>date of supply or processing was used, wer</w:t>
            </w:r>
            <w:r w:rsidRPr="00CA7260">
              <w:t>e not provided</w:t>
            </w:r>
            <w:r w:rsidR="003D019D" w:rsidRPr="009A5C5D">
              <w:t xml:space="preserve"> in the resubmiss</w:t>
            </w:r>
            <w:r w:rsidR="00623C16" w:rsidRPr="009A5C5D">
              <w:t>i</w:t>
            </w:r>
            <w:r w:rsidR="003D019D" w:rsidRPr="009A5C5D">
              <w:t>on but were provided with the PSCR</w:t>
            </w:r>
            <w:r w:rsidRPr="00CA7260">
              <w:t xml:space="preserve">. </w:t>
            </w:r>
            <w:r w:rsidR="003A4883" w:rsidRPr="0033470C">
              <w:t>Using extrapolated values from 2018 PBS 10% sample data might underestimate incident and prevalent populations as 2018 values are lower than for 2021 PBS 10% sample data.</w:t>
            </w:r>
          </w:p>
        </w:tc>
      </w:tr>
      <w:tr w:rsidR="003A4883" w:rsidRPr="0033470C" w14:paraId="6693C841" w14:textId="77777777" w:rsidTr="00DA3378">
        <w:trPr>
          <w:cantSplit/>
        </w:trPr>
        <w:tc>
          <w:tcPr>
            <w:tcW w:w="1255" w:type="pct"/>
            <w:shd w:val="clear" w:color="auto" w:fill="auto"/>
            <w:vAlign w:val="center"/>
          </w:tcPr>
          <w:p w14:paraId="0A2AC973" w14:textId="77777777" w:rsidR="003A4883" w:rsidRPr="0033470C" w:rsidRDefault="003A4883" w:rsidP="00EF48B5">
            <w:pPr>
              <w:pStyle w:val="TableText0"/>
            </w:pPr>
            <w:r w:rsidRPr="0033470C">
              <w:t>Growth rate</w:t>
            </w:r>
          </w:p>
        </w:tc>
        <w:tc>
          <w:tcPr>
            <w:tcW w:w="2190" w:type="pct"/>
            <w:shd w:val="clear" w:color="auto" w:fill="auto"/>
            <w:vAlign w:val="center"/>
          </w:tcPr>
          <w:p w14:paraId="267F08B6" w14:textId="77777777" w:rsidR="003A4883" w:rsidRPr="0033470C" w:rsidRDefault="003A4883" w:rsidP="00EF48B5">
            <w:pPr>
              <w:pStyle w:val="TableText0"/>
            </w:pPr>
            <w:r w:rsidRPr="0033470C">
              <w:t>5% (assumption).</w:t>
            </w:r>
          </w:p>
        </w:tc>
        <w:tc>
          <w:tcPr>
            <w:tcW w:w="1555" w:type="pct"/>
            <w:shd w:val="clear" w:color="auto" w:fill="auto"/>
            <w:vAlign w:val="center"/>
          </w:tcPr>
          <w:p w14:paraId="727DFE5A" w14:textId="36B907FE" w:rsidR="003A4883" w:rsidRPr="0033470C" w:rsidRDefault="003A4883" w:rsidP="00EF48B5">
            <w:pPr>
              <w:pStyle w:val="TableText0"/>
            </w:pPr>
          </w:p>
        </w:tc>
      </w:tr>
      <w:tr w:rsidR="003A4883" w:rsidRPr="0033470C" w14:paraId="14FF001D" w14:textId="77777777" w:rsidTr="00DA3378">
        <w:trPr>
          <w:cantSplit/>
        </w:trPr>
        <w:tc>
          <w:tcPr>
            <w:tcW w:w="1255" w:type="pct"/>
            <w:shd w:val="clear" w:color="auto" w:fill="auto"/>
            <w:vAlign w:val="center"/>
          </w:tcPr>
          <w:p w14:paraId="4E764A17" w14:textId="77777777" w:rsidR="003A4883" w:rsidRPr="0033470C" w:rsidRDefault="003A4883" w:rsidP="00EF48B5">
            <w:pPr>
              <w:pStyle w:val="TableText0"/>
            </w:pPr>
            <w:r w:rsidRPr="0033470C">
              <w:t>Uptake rate</w:t>
            </w:r>
          </w:p>
        </w:tc>
        <w:tc>
          <w:tcPr>
            <w:tcW w:w="2190" w:type="pct"/>
            <w:shd w:val="clear" w:color="auto" w:fill="auto"/>
            <w:vAlign w:val="center"/>
          </w:tcPr>
          <w:p w14:paraId="2B054473" w14:textId="245B7C4F" w:rsidR="003A4883" w:rsidRPr="0033470C" w:rsidRDefault="003A4883" w:rsidP="00EF48B5">
            <w:pPr>
              <w:pStyle w:val="TableText0"/>
            </w:pPr>
            <w:r w:rsidRPr="0033470C">
              <w:t xml:space="preserve">bDMARD discontinuers: incident population = </w:t>
            </w:r>
            <w:r w:rsidR="00A50FC3" w:rsidRPr="00A50FC3">
              <w:rPr>
                <w:color w:val="000000"/>
                <w:spacing w:val="36"/>
                <w:shd w:val="solid" w:color="000000" w:fill="000000"/>
                <w:fitText w:val="440" w:id="-1233454580"/>
                <w14:textFill>
                  <w14:solidFill>
                    <w14:srgbClr w14:val="000000">
                      <w14:alpha w14:val="100000"/>
                    </w14:srgbClr>
                  </w14:solidFill>
                </w14:textFill>
              </w:rPr>
              <w:t>|||||</w:t>
            </w:r>
            <w:r w:rsidR="00A50FC3" w:rsidRPr="00A50FC3">
              <w:rPr>
                <w:color w:val="000000"/>
                <w:spacing w:val="5"/>
                <w:shd w:val="solid" w:color="000000" w:fill="000000"/>
                <w:fitText w:val="440" w:id="-1233454580"/>
                <w14:textFill>
                  <w14:solidFill>
                    <w14:srgbClr w14:val="000000">
                      <w14:alpha w14:val="100000"/>
                    </w14:srgbClr>
                  </w14:solidFill>
                </w14:textFill>
              </w:rPr>
              <w:t>|</w:t>
            </w:r>
            <w:r w:rsidR="00295039" w:rsidRPr="00295039">
              <w:t xml:space="preserve"> </w:t>
            </w:r>
            <w:r w:rsidRPr="0033470C">
              <w:t xml:space="preserve">% in Year 1 increasing to </w:t>
            </w:r>
            <w:r w:rsidR="00A50FC3" w:rsidRPr="00A50FC3">
              <w:rPr>
                <w:color w:val="000000"/>
                <w:spacing w:val="36"/>
                <w:shd w:val="solid" w:color="000000" w:fill="000000"/>
                <w:fitText w:val="440" w:id="-1233454579"/>
                <w14:textFill>
                  <w14:solidFill>
                    <w14:srgbClr w14:val="000000">
                      <w14:alpha w14:val="100000"/>
                    </w14:srgbClr>
                  </w14:solidFill>
                </w14:textFill>
              </w:rPr>
              <w:t>|||||</w:t>
            </w:r>
            <w:r w:rsidR="00A50FC3" w:rsidRPr="00A50FC3">
              <w:rPr>
                <w:color w:val="000000"/>
                <w:spacing w:val="5"/>
                <w:shd w:val="solid" w:color="000000" w:fill="000000"/>
                <w:fitText w:val="440" w:id="-1233454579"/>
                <w14:textFill>
                  <w14:solidFill>
                    <w14:srgbClr w14:val="000000">
                      <w14:alpha w14:val="100000"/>
                    </w14:srgbClr>
                  </w14:solidFill>
                </w14:textFill>
              </w:rPr>
              <w:t>|</w:t>
            </w:r>
            <w:r w:rsidR="00295039" w:rsidRPr="00295039">
              <w:t xml:space="preserve"> </w:t>
            </w:r>
            <w:r w:rsidRPr="0033470C">
              <w:t xml:space="preserve">% in Year 3 and beyond, prevalent population = </w:t>
            </w:r>
            <w:r w:rsidR="00A50FC3" w:rsidRPr="00A50FC3">
              <w:rPr>
                <w:color w:val="000000"/>
                <w:spacing w:val="36"/>
                <w:shd w:val="solid" w:color="000000" w:fill="000000"/>
                <w:fitText w:val="440" w:id="-1233454578"/>
                <w14:textFill>
                  <w14:solidFill>
                    <w14:srgbClr w14:val="000000">
                      <w14:alpha w14:val="100000"/>
                    </w14:srgbClr>
                  </w14:solidFill>
                </w14:textFill>
              </w:rPr>
              <w:t>|||||</w:t>
            </w:r>
            <w:r w:rsidR="00A50FC3" w:rsidRPr="00A50FC3">
              <w:rPr>
                <w:color w:val="000000"/>
                <w:spacing w:val="5"/>
                <w:shd w:val="solid" w:color="000000" w:fill="000000"/>
                <w:fitText w:val="440" w:id="-1233454578"/>
                <w14:textFill>
                  <w14:solidFill>
                    <w14:srgbClr w14:val="000000">
                      <w14:alpha w14:val="100000"/>
                    </w14:srgbClr>
                  </w14:solidFill>
                </w14:textFill>
              </w:rPr>
              <w:t>|</w:t>
            </w:r>
            <w:r w:rsidR="00295039" w:rsidRPr="00295039">
              <w:t xml:space="preserve"> </w:t>
            </w:r>
            <w:r w:rsidRPr="0033470C">
              <w:t>%</w:t>
            </w:r>
          </w:p>
          <w:p w14:paraId="041FBF6E" w14:textId="5C5F51D2" w:rsidR="003A4883" w:rsidRPr="0033470C" w:rsidRDefault="003A4883" w:rsidP="00EF48B5">
            <w:pPr>
              <w:pStyle w:val="TableText0"/>
            </w:pPr>
            <w:r w:rsidRPr="0033470C">
              <w:t xml:space="preserve">csDMARD continuers: incident population = </w:t>
            </w:r>
            <w:r w:rsidR="00A50FC3" w:rsidRPr="00A50FC3">
              <w:rPr>
                <w:color w:val="000000"/>
                <w:spacing w:val="36"/>
                <w:shd w:val="solid" w:color="000000" w:fill="000000"/>
                <w:fitText w:val="440" w:id="-1233454577"/>
                <w14:textFill>
                  <w14:solidFill>
                    <w14:srgbClr w14:val="000000">
                      <w14:alpha w14:val="100000"/>
                    </w14:srgbClr>
                  </w14:solidFill>
                </w14:textFill>
              </w:rPr>
              <w:t>|||||</w:t>
            </w:r>
            <w:r w:rsidR="00A50FC3" w:rsidRPr="00A50FC3">
              <w:rPr>
                <w:color w:val="000000"/>
                <w:spacing w:val="5"/>
                <w:shd w:val="solid" w:color="000000" w:fill="000000"/>
                <w:fitText w:val="440" w:id="-1233454577"/>
                <w14:textFill>
                  <w14:solidFill>
                    <w14:srgbClr w14:val="000000">
                      <w14:alpha w14:val="100000"/>
                    </w14:srgbClr>
                  </w14:solidFill>
                </w14:textFill>
              </w:rPr>
              <w:t>|</w:t>
            </w:r>
            <w:r w:rsidR="00295039" w:rsidRPr="00295039">
              <w:t xml:space="preserve"> </w:t>
            </w:r>
            <w:r w:rsidRPr="0033470C">
              <w:t xml:space="preserve">% in Year 1 increasing to </w:t>
            </w:r>
            <w:r w:rsidR="00A50FC3" w:rsidRPr="00A50FC3">
              <w:rPr>
                <w:color w:val="000000"/>
                <w:spacing w:val="34"/>
                <w:shd w:val="solid" w:color="000000" w:fill="000000"/>
                <w:fitText w:val="430" w:id="-1233454576"/>
                <w14:textFill>
                  <w14:solidFill>
                    <w14:srgbClr w14:val="000000">
                      <w14:alpha w14:val="100000"/>
                    </w14:srgbClr>
                  </w14:solidFill>
                </w14:textFill>
              </w:rPr>
              <w:t>|||||</w:t>
            </w:r>
            <w:r w:rsidR="00A50FC3" w:rsidRPr="00A50FC3">
              <w:rPr>
                <w:color w:val="000000"/>
                <w:spacing w:val="5"/>
                <w:shd w:val="solid" w:color="000000" w:fill="000000"/>
                <w:fitText w:val="430" w:id="-1233454576"/>
                <w14:textFill>
                  <w14:solidFill>
                    <w14:srgbClr w14:val="000000">
                      <w14:alpha w14:val="100000"/>
                    </w14:srgbClr>
                  </w14:solidFill>
                </w14:textFill>
              </w:rPr>
              <w:t>|</w:t>
            </w:r>
            <w:r w:rsidR="00295039" w:rsidRPr="00295039">
              <w:t xml:space="preserve"> </w:t>
            </w:r>
            <w:r w:rsidRPr="0033470C">
              <w:t xml:space="preserve">% in Year 4 and beyond, prevalent population = </w:t>
            </w:r>
            <w:r w:rsidR="00A50FC3" w:rsidRPr="00A50FC3">
              <w:rPr>
                <w:color w:val="000000"/>
                <w:spacing w:val="36"/>
                <w:shd w:val="solid" w:color="000000" w:fill="000000"/>
                <w:fitText w:val="440" w:id="-1233454592"/>
                <w14:textFill>
                  <w14:solidFill>
                    <w14:srgbClr w14:val="000000">
                      <w14:alpha w14:val="100000"/>
                    </w14:srgbClr>
                  </w14:solidFill>
                </w14:textFill>
              </w:rPr>
              <w:t>|||||</w:t>
            </w:r>
            <w:r w:rsidR="00A50FC3" w:rsidRPr="00A50FC3">
              <w:rPr>
                <w:color w:val="000000"/>
                <w:spacing w:val="5"/>
                <w:shd w:val="solid" w:color="000000" w:fill="000000"/>
                <w:fitText w:val="440" w:id="-1233454592"/>
                <w14:textFill>
                  <w14:solidFill>
                    <w14:srgbClr w14:val="000000">
                      <w14:alpha w14:val="100000"/>
                    </w14:srgbClr>
                  </w14:solidFill>
                </w14:textFill>
              </w:rPr>
              <w:t>|</w:t>
            </w:r>
            <w:r w:rsidR="00295039" w:rsidRPr="00295039">
              <w:t xml:space="preserve"> </w:t>
            </w:r>
            <w:r w:rsidRPr="0033470C">
              <w:t>%.</w:t>
            </w:r>
          </w:p>
          <w:p w14:paraId="50FF95A8" w14:textId="77777777" w:rsidR="003A4883" w:rsidRPr="0033470C" w:rsidRDefault="003A4883" w:rsidP="00EF48B5">
            <w:pPr>
              <w:pStyle w:val="TableText0"/>
            </w:pPr>
            <w:r w:rsidRPr="0033470C">
              <w:t>Based on a survey of an advisory board and Australian rheumatologists who specialise in managing PsA.</w:t>
            </w:r>
          </w:p>
        </w:tc>
        <w:tc>
          <w:tcPr>
            <w:tcW w:w="1555" w:type="pct"/>
            <w:shd w:val="clear" w:color="auto" w:fill="auto"/>
            <w:vAlign w:val="center"/>
          </w:tcPr>
          <w:p w14:paraId="781D3ECC" w14:textId="77777777" w:rsidR="003A4883" w:rsidRPr="0033470C" w:rsidRDefault="003A4883" w:rsidP="00EF48B5">
            <w:pPr>
              <w:pStyle w:val="TableText0"/>
            </w:pPr>
            <w:r w:rsidRPr="0033470C">
              <w:t>The accuracy of expert opinion is uncertain, and the method to elicit responses was not provided.</w:t>
            </w:r>
          </w:p>
        </w:tc>
      </w:tr>
      <w:tr w:rsidR="003A4883" w:rsidRPr="0033470C" w14:paraId="0EA8A7D3" w14:textId="77777777" w:rsidTr="00DA3378">
        <w:trPr>
          <w:cantSplit/>
        </w:trPr>
        <w:tc>
          <w:tcPr>
            <w:tcW w:w="1255" w:type="pct"/>
            <w:shd w:val="clear" w:color="auto" w:fill="auto"/>
            <w:vAlign w:val="center"/>
          </w:tcPr>
          <w:p w14:paraId="15B41082" w14:textId="77777777" w:rsidR="003A4883" w:rsidRPr="0033470C" w:rsidRDefault="003A4883" w:rsidP="00EF48B5">
            <w:pPr>
              <w:pStyle w:val="TableText0"/>
            </w:pPr>
            <w:r w:rsidRPr="0033470C">
              <w:t>Compliance rate</w:t>
            </w:r>
          </w:p>
        </w:tc>
        <w:tc>
          <w:tcPr>
            <w:tcW w:w="2190" w:type="pct"/>
            <w:shd w:val="clear" w:color="auto" w:fill="auto"/>
            <w:vAlign w:val="center"/>
          </w:tcPr>
          <w:p w14:paraId="37EA1901" w14:textId="77777777" w:rsidR="003A4883" w:rsidRPr="0033470C" w:rsidRDefault="003A4883" w:rsidP="00EF48B5">
            <w:pPr>
              <w:pStyle w:val="TableText0"/>
            </w:pPr>
            <w:r w:rsidRPr="0033470C">
              <w:t>Titration pack: 100% (assumption).</w:t>
            </w:r>
          </w:p>
          <w:p w14:paraId="2ACE03AC" w14:textId="77777777" w:rsidR="003A4883" w:rsidRPr="0033470C" w:rsidRDefault="003A4883" w:rsidP="00EF48B5">
            <w:pPr>
              <w:pStyle w:val="TableText0"/>
            </w:pPr>
          </w:p>
          <w:p w14:paraId="3C6F9BD3" w14:textId="77777777" w:rsidR="003A4883" w:rsidRPr="0033470C" w:rsidRDefault="003A4883" w:rsidP="00EF48B5">
            <w:pPr>
              <w:pStyle w:val="TableText0"/>
            </w:pPr>
            <w:r w:rsidRPr="0033470C">
              <w:t>Maintenance pack initiating year continuers: 45% (ACTIVE).</w:t>
            </w:r>
          </w:p>
          <w:p w14:paraId="20B9CC4A" w14:textId="77777777" w:rsidR="003A4883" w:rsidRPr="0033470C" w:rsidRDefault="003A4883" w:rsidP="00EF48B5">
            <w:pPr>
              <w:pStyle w:val="TableText0"/>
            </w:pPr>
          </w:p>
          <w:p w14:paraId="12DEF62C" w14:textId="77777777" w:rsidR="003A4883" w:rsidRPr="0033470C" w:rsidRDefault="003A4883" w:rsidP="00EF48B5">
            <w:pPr>
              <w:pStyle w:val="TableText0"/>
            </w:pPr>
            <w:r w:rsidRPr="0033470C">
              <w:t>Maintenance pack continuing year continuers: 90% (assumption).</w:t>
            </w:r>
          </w:p>
          <w:p w14:paraId="0E96ADCF" w14:textId="77777777" w:rsidR="003A4883" w:rsidRPr="0033470C" w:rsidRDefault="003A4883" w:rsidP="00EF48B5">
            <w:pPr>
              <w:pStyle w:val="TableText0"/>
            </w:pPr>
          </w:p>
          <w:p w14:paraId="45969E0A" w14:textId="77777777" w:rsidR="003A4883" w:rsidRPr="0033470C" w:rsidRDefault="003A4883" w:rsidP="00EF48B5">
            <w:pPr>
              <w:pStyle w:val="TableText0"/>
            </w:pPr>
            <w:r w:rsidRPr="0033470C">
              <w:t>Additional compliance factor: 90% (assumption).</w:t>
            </w:r>
          </w:p>
        </w:tc>
        <w:tc>
          <w:tcPr>
            <w:tcW w:w="1555" w:type="pct"/>
            <w:shd w:val="clear" w:color="auto" w:fill="auto"/>
            <w:vAlign w:val="center"/>
          </w:tcPr>
          <w:p w14:paraId="3E39B62E" w14:textId="77777777" w:rsidR="003A4883" w:rsidRPr="0033470C" w:rsidRDefault="003A4883" w:rsidP="00EF48B5">
            <w:pPr>
              <w:pStyle w:val="TableText0"/>
            </w:pPr>
            <w:r w:rsidRPr="0033470C">
              <w:t>Maintenance pack data is consistent with the ACTIVE trial.</w:t>
            </w:r>
          </w:p>
          <w:p w14:paraId="470EE6AA" w14:textId="77777777" w:rsidR="003A4883" w:rsidRPr="0033470C" w:rsidRDefault="003A4883" w:rsidP="00EF48B5">
            <w:pPr>
              <w:pStyle w:val="TableText0"/>
            </w:pPr>
          </w:p>
          <w:p w14:paraId="21B3ED70" w14:textId="77777777" w:rsidR="003A4883" w:rsidRPr="0033470C" w:rsidRDefault="003A4883" w:rsidP="00EF48B5">
            <w:pPr>
              <w:pStyle w:val="TableText0"/>
            </w:pPr>
            <w:r w:rsidRPr="0033470C">
              <w:t>Apremilast maintenance pack continuation was double counted in the Financial Workbook when estimating patients and scripts.</w:t>
            </w:r>
          </w:p>
        </w:tc>
      </w:tr>
      <w:tr w:rsidR="003A4883" w:rsidRPr="0033470C" w14:paraId="08B1369D" w14:textId="77777777" w:rsidTr="00DA3378">
        <w:trPr>
          <w:cantSplit/>
        </w:trPr>
        <w:tc>
          <w:tcPr>
            <w:tcW w:w="1255" w:type="pct"/>
            <w:shd w:val="clear" w:color="auto" w:fill="auto"/>
            <w:vAlign w:val="center"/>
          </w:tcPr>
          <w:p w14:paraId="773AFDB9" w14:textId="77777777" w:rsidR="003A4883" w:rsidRPr="0033470C" w:rsidRDefault="003A4883" w:rsidP="00EF48B5">
            <w:pPr>
              <w:pStyle w:val="TableText0"/>
            </w:pPr>
            <w:r w:rsidRPr="0033470C">
              <w:t>Grandfathered patients</w:t>
            </w:r>
          </w:p>
        </w:tc>
        <w:tc>
          <w:tcPr>
            <w:tcW w:w="2190" w:type="pct"/>
            <w:shd w:val="clear" w:color="auto" w:fill="auto"/>
            <w:vAlign w:val="center"/>
          </w:tcPr>
          <w:p w14:paraId="2D24ABA1" w14:textId="77777777" w:rsidR="003A4883" w:rsidRPr="0033470C" w:rsidRDefault="003A4883" w:rsidP="00EF48B5">
            <w:pPr>
              <w:pStyle w:val="TableText0"/>
            </w:pPr>
            <w:r w:rsidRPr="0033470C">
              <w:t>Considered in the prevalent population.</w:t>
            </w:r>
          </w:p>
        </w:tc>
        <w:tc>
          <w:tcPr>
            <w:tcW w:w="1555" w:type="pct"/>
            <w:shd w:val="clear" w:color="auto" w:fill="auto"/>
            <w:vAlign w:val="center"/>
          </w:tcPr>
          <w:p w14:paraId="72D8F80E" w14:textId="77777777" w:rsidR="003A4883" w:rsidRPr="0033470C" w:rsidRDefault="003A4883" w:rsidP="00EF48B5">
            <w:pPr>
              <w:pStyle w:val="TableText0"/>
            </w:pPr>
            <w:r w:rsidRPr="0033470C">
              <w:t>This is reasonable.</w:t>
            </w:r>
          </w:p>
        </w:tc>
      </w:tr>
      <w:tr w:rsidR="003A4883" w:rsidRPr="0033470C" w14:paraId="1F46ADB8" w14:textId="77777777" w:rsidTr="00DA3378">
        <w:trPr>
          <w:cantSplit/>
        </w:trPr>
        <w:tc>
          <w:tcPr>
            <w:tcW w:w="1255" w:type="pct"/>
            <w:shd w:val="clear" w:color="auto" w:fill="auto"/>
            <w:vAlign w:val="center"/>
          </w:tcPr>
          <w:p w14:paraId="1188CC87" w14:textId="77777777" w:rsidR="003A4883" w:rsidRPr="0033470C" w:rsidRDefault="003A4883" w:rsidP="00EF48B5">
            <w:pPr>
              <w:pStyle w:val="TableText0"/>
            </w:pPr>
            <w:r w:rsidRPr="0033470C">
              <w:t>Dose/duration</w:t>
            </w:r>
          </w:p>
        </w:tc>
        <w:tc>
          <w:tcPr>
            <w:tcW w:w="2190" w:type="pct"/>
            <w:shd w:val="clear" w:color="auto" w:fill="auto"/>
            <w:vAlign w:val="center"/>
          </w:tcPr>
          <w:p w14:paraId="481AFFF4" w14:textId="77777777" w:rsidR="003A4883" w:rsidRPr="0033470C" w:rsidRDefault="003A4883" w:rsidP="00EF48B5">
            <w:pPr>
              <w:pStyle w:val="TableText0"/>
            </w:pPr>
            <w:r w:rsidRPr="0033470C">
              <w:t>Every patient starts with a titration pack. Then continues with maintenance packs until discontinuation.</w:t>
            </w:r>
          </w:p>
        </w:tc>
        <w:tc>
          <w:tcPr>
            <w:tcW w:w="1555" w:type="pct"/>
            <w:shd w:val="clear" w:color="auto" w:fill="auto"/>
            <w:vAlign w:val="center"/>
          </w:tcPr>
          <w:p w14:paraId="4EDA1439" w14:textId="646BD0A6" w:rsidR="003A4883" w:rsidRPr="0033470C" w:rsidRDefault="003A4883" w:rsidP="00EF48B5">
            <w:pPr>
              <w:pStyle w:val="TableText0"/>
            </w:pPr>
          </w:p>
        </w:tc>
      </w:tr>
      <w:tr w:rsidR="003A4883" w:rsidRPr="0033470C" w14:paraId="57B40932" w14:textId="77777777" w:rsidTr="00DA3378">
        <w:trPr>
          <w:cantSplit/>
        </w:trPr>
        <w:tc>
          <w:tcPr>
            <w:tcW w:w="1255" w:type="pct"/>
            <w:shd w:val="clear" w:color="auto" w:fill="auto"/>
            <w:vAlign w:val="center"/>
          </w:tcPr>
          <w:p w14:paraId="75832B9B" w14:textId="1E6DD21E" w:rsidR="003A4883" w:rsidRPr="0033470C" w:rsidRDefault="003A4883" w:rsidP="00EF48B5">
            <w:pPr>
              <w:pStyle w:val="TableText0"/>
            </w:pPr>
            <w:r w:rsidRPr="0033470C">
              <w:t>Offsets for comparator/ subsequent therapies</w:t>
            </w:r>
          </w:p>
        </w:tc>
        <w:tc>
          <w:tcPr>
            <w:tcW w:w="2190" w:type="pct"/>
            <w:shd w:val="clear" w:color="auto" w:fill="auto"/>
            <w:vAlign w:val="center"/>
          </w:tcPr>
          <w:p w14:paraId="442CC940" w14:textId="2D30F384" w:rsidR="003A4883" w:rsidRPr="0033470C" w:rsidRDefault="003A4883" w:rsidP="00EF48B5">
            <w:pPr>
              <w:pStyle w:val="TableText0"/>
            </w:pPr>
            <w:r w:rsidRPr="0033470C">
              <w:t xml:space="preserve">Paracetamol, meloxicam and triamcinolone. </w:t>
            </w:r>
          </w:p>
        </w:tc>
        <w:tc>
          <w:tcPr>
            <w:tcW w:w="1555" w:type="pct"/>
            <w:shd w:val="clear" w:color="auto" w:fill="auto"/>
            <w:vAlign w:val="center"/>
          </w:tcPr>
          <w:p w14:paraId="0531847B" w14:textId="53CDD01A" w:rsidR="003A4883" w:rsidRPr="0033470C" w:rsidRDefault="009A5C5D" w:rsidP="00EF48B5">
            <w:pPr>
              <w:pStyle w:val="TableText0"/>
            </w:pPr>
            <w:r>
              <w:t>T</w:t>
            </w:r>
            <w:r w:rsidRPr="0033470C">
              <w:t>hese offsets were not applied in the model.</w:t>
            </w:r>
          </w:p>
        </w:tc>
      </w:tr>
      <w:tr w:rsidR="003A4883" w:rsidRPr="0033470C" w14:paraId="66335A68" w14:textId="77777777" w:rsidTr="00DA3378">
        <w:trPr>
          <w:cantSplit/>
        </w:trPr>
        <w:tc>
          <w:tcPr>
            <w:tcW w:w="1255" w:type="pct"/>
            <w:shd w:val="clear" w:color="auto" w:fill="auto"/>
            <w:vAlign w:val="center"/>
          </w:tcPr>
          <w:p w14:paraId="30D1AAF1" w14:textId="1C046A58" w:rsidR="003A4883" w:rsidRPr="0033470C" w:rsidRDefault="003A4883" w:rsidP="00EF48B5">
            <w:pPr>
              <w:pStyle w:val="TableText0"/>
            </w:pPr>
            <w:r w:rsidRPr="0033470C">
              <w:t>MBS item</w:t>
            </w:r>
          </w:p>
        </w:tc>
        <w:tc>
          <w:tcPr>
            <w:tcW w:w="2190" w:type="pct"/>
            <w:shd w:val="clear" w:color="auto" w:fill="auto"/>
            <w:vAlign w:val="center"/>
          </w:tcPr>
          <w:p w14:paraId="7697A8FA" w14:textId="28748C0B" w:rsidR="003A4883" w:rsidRPr="0033470C" w:rsidRDefault="003A4883" w:rsidP="00EF48B5">
            <w:pPr>
              <w:pStyle w:val="TableText0"/>
            </w:pPr>
            <w:r w:rsidRPr="0033470C">
              <w:t xml:space="preserve">Specialist, GP and physiotherapy visits, image-guided steroid injections. </w:t>
            </w:r>
          </w:p>
        </w:tc>
        <w:tc>
          <w:tcPr>
            <w:tcW w:w="1555" w:type="pct"/>
            <w:shd w:val="clear" w:color="auto" w:fill="auto"/>
            <w:vAlign w:val="center"/>
          </w:tcPr>
          <w:p w14:paraId="333A7F53" w14:textId="5CFFC60F" w:rsidR="003A4883" w:rsidRPr="0033470C" w:rsidRDefault="009A5C5D" w:rsidP="00EF48B5">
            <w:pPr>
              <w:pStyle w:val="TableText0"/>
            </w:pPr>
            <w:r>
              <w:t>T</w:t>
            </w:r>
            <w:r w:rsidRPr="0033470C">
              <w:t>hese offsets were not included in the estimates.</w:t>
            </w:r>
          </w:p>
        </w:tc>
      </w:tr>
    </w:tbl>
    <w:bookmarkEnd w:id="95"/>
    <w:p w14:paraId="5B203E04" w14:textId="77777777" w:rsidR="003A4883" w:rsidRDefault="003A4883" w:rsidP="00EF48B5">
      <w:pPr>
        <w:pStyle w:val="FooterTableFigure"/>
        <w:keepNext/>
      </w:pPr>
      <w:r w:rsidRPr="00B14B63">
        <w:t>Source: Table</w:t>
      </w:r>
      <w:r>
        <w:t>s 4-2, 4-3, 4-4</w:t>
      </w:r>
      <w:r w:rsidRPr="00B14B63">
        <w:t>,</w:t>
      </w:r>
      <w:r>
        <w:t xml:space="preserve"> 4-5, 4-9 &amp; 4-10,</w:t>
      </w:r>
      <w:r w:rsidRPr="00B14B63">
        <w:t xml:space="preserve"> pp</w:t>
      </w:r>
      <w:r>
        <w:t>119, 121, 123, 127 &amp; 129-132</w:t>
      </w:r>
      <w:r w:rsidRPr="00B14B63">
        <w:t xml:space="preserve"> of the submission.</w:t>
      </w:r>
    </w:p>
    <w:p w14:paraId="0DC11A47" w14:textId="0D542883" w:rsidR="003A4883" w:rsidRDefault="003A4883" w:rsidP="008E150E">
      <w:pPr>
        <w:pStyle w:val="FooterTableFigure"/>
        <w:keepNext/>
        <w:spacing w:after="0"/>
      </w:pPr>
      <w:r w:rsidRPr="00D20C20">
        <w:t xml:space="preserve">bDMARD = biologic disease-modifying antirheumatic drugs; csDMARD = conventional synthetic disease-modifying antirheumatic drugs; </w:t>
      </w:r>
      <w:r>
        <w:t>GP = general practitioner; MBS = Medicare Benefits Schedule; PBS = Pharmaceutical Benefits Scheme; PsA = psoriatic arthritis.</w:t>
      </w:r>
    </w:p>
    <w:p w14:paraId="3C6937D3" w14:textId="77777777" w:rsidR="0033122F" w:rsidRPr="009A6D58" w:rsidRDefault="0033122F" w:rsidP="0033122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B8F6183" w14:textId="41B99669" w:rsidR="0033122F" w:rsidRPr="009A6D58" w:rsidRDefault="0033122F" w:rsidP="0033122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70A2D785" w14:textId="027CC708" w:rsidR="0033122F" w:rsidRPr="008E150E" w:rsidRDefault="0033122F" w:rsidP="008E150E">
      <w:pPr>
        <w:spacing w:after="120"/>
        <w:rPr>
          <w:i/>
          <w:szCs w:val="18"/>
        </w:rPr>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4419D88E" w14:textId="02FE34F0" w:rsidR="003A4883" w:rsidRPr="00B14B63" w:rsidRDefault="003A4883" w:rsidP="003A4883">
      <w:pPr>
        <w:pStyle w:val="3-BodyText"/>
        <w:ind w:left="720" w:hanging="720"/>
        <w:rPr>
          <w:color w:val="0066FF"/>
        </w:rPr>
      </w:pPr>
      <w:r w:rsidRPr="00B14B63">
        <w:fldChar w:fldCharType="begin"/>
      </w:r>
      <w:r w:rsidRPr="00B14B63">
        <w:rPr>
          <w:color w:val="0066FF"/>
        </w:rPr>
        <w:instrText xml:space="preserve"> REF _Ref104805295 \h </w:instrText>
      </w:r>
      <w:r w:rsidRPr="00B14B63">
        <w:fldChar w:fldCharType="separate"/>
      </w:r>
      <w:r w:rsidR="00A05E81" w:rsidRPr="00B14B63">
        <w:t xml:space="preserve">Table </w:t>
      </w:r>
      <w:r w:rsidR="00A05E81">
        <w:rPr>
          <w:noProof/>
        </w:rPr>
        <w:t>20</w:t>
      </w:r>
      <w:r w:rsidRPr="00B14B63">
        <w:fldChar w:fldCharType="end"/>
      </w:r>
      <w:r w:rsidRPr="00B14B63">
        <w:t xml:space="preserve"> presents the estimated use and financial implications of listing apremilast for </w:t>
      </w:r>
      <w:r>
        <w:t>treating</w:t>
      </w:r>
      <w:r w:rsidRPr="00B14B63">
        <w:t xml:space="preserve"> severe active PsA.</w:t>
      </w:r>
      <w:r w:rsidR="004B6617">
        <w:t xml:space="preserve"> </w:t>
      </w:r>
      <w:r w:rsidR="004B6617" w:rsidRPr="004B6617">
        <w:t>Cost offsets for other medicines and MBS costs were not estimated in the financial model.</w:t>
      </w:r>
    </w:p>
    <w:p w14:paraId="2E95935B" w14:textId="01E22B06" w:rsidR="003A4883" w:rsidRPr="00B14B63" w:rsidRDefault="003A4883" w:rsidP="003A4883">
      <w:pPr>
        <w:pStyle w:val="Caption"/>
      </w:pPr>
      <w:bookmarkStart w:id="96" w:name="_Ref104805295"/>
      <w:bookmarkStart w:id="97" w:name="_Hlk127354281"/>
      <w:r w:rsidRPr="00B14B63">
        <w:lastRenderedPageBreak/>
        <w:t xml:space="preserve">Table </w:t>
      </w:r>
      <w:r w:rsidR="00A05E81">
        <w:fldChar w:fldCharType="begin"/>
      </w:r>
      <w:r w:rsidR="00A05E81">
        <w:instrText xml:space="preserve"> SEQ Table \* ARABIC </w:instrText>
      </w:r>
      <w:r w:rsidR="00A05E81">
        <w:fldChar w:fldCharType="separate"/>
      </w:r>
      <w:r w:rsidR="00A05E81">
        <w:rPr>
          <w:noProof/>
        </w:rPr>
        <w:t>20</w:t>
      </w:r>
      <w:r w:rsidR="00A05E81">
        <w:rPr>
          <w:noProof/>
        </w:rPr>
        <w:fldChar w:fldCharType="end"/>
      </w:r>
      <w:bookmarkEnd w:id="96"/>
      <w:r w:rsidRPr="00B14B63">
        <w:t>:</w:t>
      </w:r>
      <w:r w:rsidRPr="00B14B63">
        <w:rPr>
          <w:rStyle w:val="CommentReference"/>
          <w:b/>
          <w:szCs w:val="24"/>
        </w:rPr>
        <w:t xml:space="preserve"> Estimated use and financial implications</w:t>
      </w:r>
      <w:r>
        <w:rPr>
          <w:rStyle w:val="CommentReference"/>
          <w:b/>
          <w:szCs w:val="24"/>
        </w:rPr>
        <w:t xml:space="preserve"> (effective PBS price)</w:t>
      </w:r>
    </w:p>
    <w:bookmarkEnd w:id="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1152"/>
        <w:gridCol w:w="1288"/>
        <w:gridCol w:w="1288"/>
        <w:gridCol w:w="1288"/>
        <w:gridCol w:w="1288"/>
        <w:gridCol w:w="1300"/>
      </w:tblGrid>
      <w:tr w:rsidR="003A4883" w:rsidRPr="00B14B63" w14:paraId="4814845A" w14:textId="77777777" w:rsidTr="008E150E">
        <w:trPr>
          <w:tblHeader/>
        </w:trPr>
        <w:tc>
          <w:tcPr>
            <w:tcW w:w="784" w:type="pct"/>
            <w:shd w:val="clear" w:color="auto" w:fill="auto"/>
            <w:vAlign w:val="center"/>
          </w:tcPr>
          <w:p w14:paraId="3B42E6BF" w14:textId="77777777" w:rsidR="003A4883" w:rsidRPr="00B14B63" w:rsidRDefault="003A4883" w:rsidP="001A5767">
            <w:pPr>
              <w:pStyle w:val="In-tableHeading"/>
              <w:jc w:val="center"/>
              <w:rPr>
                <w:lang w:val="en-AU"/>
              </w:rPr>
            </w:pPr>
          </w:p>
        </w:tc>
        <w:tc>
          <w:tcPr>
            <w:tcW w:w="639" w:type="pct"/>
            <w:shd w:val="clear" w:color="auto" w:fill="auto"/>
            <w:vAlign w:val="center"/>
          </w:tcPr>
          <w:p w14:paraId="109AFB51" w14:textId="77777777" w:rsidR="003A4883" w:rsidRPr="00B14B63" w:rsidRDefault="003A4883" w:rsidP="001A5767">
            <w:pPr>
              <w:pStyle w:val="In-tableHeading"/>
              <w:jc w:val="center"/>
              <w:rPr>
                <w:lang w:val="en-AU"/>
              </w:rPr>
            </w:pPr>
            <w:r w:rsidRPr="00B14B63">
              <w:rPr>
                <w:lang w:val="en-AU"/>
              </w:rPr>
              <w:t>Year 1</w:t>
            </w:r>
          </w:p>
        </w:tc>
        <w:tc>
          <w:tcPr>
            <w:tcW w:w="714" w:type="pct"/>
            <w:shd w:val="clear" w:color="auto" w:fill="auto"/>
            <w:vAlign w:val="center"/>
          </w:tcPr>
          <w:p w14:paraId="24A8024F" w14:textId="77777777" w:rsidR="003A4883" w:rsidRPr="00B14B63" w:rsidRDefault="003A4883" w:rsidP="001A5767">
            <w:pPr>
              <w:pStyle w:val="In-tableHeading"/>
              <w:jc w:val="center"/>
              <w:rPr>
                <w:lang w:val="en-AU"/>
              </w:rPr>
            </w:pPr>
            <w:r w:rsidRPr="00B14B63">
              <w:rPr>
                <w:lang w:val="en-AU"/>
              </w:rPr>
              <w:t>Year 2</w:t>
            </w:r>
          </w:p>
        </w:tc>
        <w:tc>
          <w:tcPr>
            <w:tcW w:w="714" w:type="pct"/>
            <w:shd w:val="clear" w:color="auto" w:fill="auto"/>
            <w:vAlign w:val="center"/>
          </w:tcPr>
          <w:p w14:paraId="5C6D46CC" w14:textId="77777777" w:rsidR="003A4883" w:rsidRPr="00B14B63" w:rsidRDefault="003A4883" w:rsidP="001A5767">
            <w:pPr>
              <w:pStyle w:val="In-tableHeading"/>
              <w:jc w:val="center"/>
              <w:rPr>
                <w:lang w:val="en-AU"/>
              </w:rPr>
            </w:pPr>
            <w:r w:rsidRPr="00B14B63">
              <w:rPr>
                <w:lang w:val="en-AU"/>
              </w:rPr>
              <w:t>Year 3</w:t>
            </w:r>
          </w:p>
        </w:tc>
        <w:tc>
          <w:tcPr>
            <w:tcW w:w="714" w:type="pct"/>
            <w:shd w:val="clear" w:color="auto" w:fill="auto"/>
            <w:vAlign w:val="center"/>
          </w:tcPr>
          <w:p w14:paraId="6741DF7E" w14:textId="77777777" w:rsidR="003A4883" w:rsidRPr="00B14B63" w:rsidRDefault="003A4883" w:rsidP="001A5767">
            <w:pPr>
              <w:pStyle w:val="In-tableHeading"/>
              <w:jc w:val="center"/>
              <w:rPr>
                <w:lang w:val="en-AU"/>
              </w:rPr>
            </w:pPr>
            <w:r w:rsidRPr="00B14B63">
              <w:rPr>
                <w:lang w:val="en-AU"/>
              </w:rPr>
              <w:t>Year 4</w:t>
            </w:r>
          </w:p>
        </w:tc>
        <w:tc>
          <w:tcPr>
            <w:tcW w:w="714" w:type="pct"/>
            <w:shd w:val="clear" w:color="auto" w:fill="auto"/>
            <w:vAlign w:val="center"/>
          </w:tcPr>
          <w:p w14:paraId="6527C761" w14:textId="77777777" w:rsidR="003A4883" w:rsidRPr="00B14B63" w:rsidRDefault="003A4883" w:rsidP="001A5767">
            <w:pPr>
              <w:pStyle w:val="In-tableHeading"/>
              <w:jc w:val="center"/>
              <w:rPr>
                <w:lang w:val="en-AU"/>
              </w:rPr>
            </w:pPr>
            <w:r w:rsidRPr="00B14B63">
              <w:rPr>
                <w:lang w:val="en-AU"/>
              </w:rPr>
              <w:t>Year 5</w:t>
            </w:r>
          </w:p>
        </w:tc>
        <w:tc>
          <w:tcPr>
            <w:tcW w:w="721" w:type="pct"/>
          </w:tcPr>
          <w:p w14:paraId="4218AF93" w14:textId="77777777" w:rsidR="003A4883" w:rsidRPr="00B14B63" w:rsidRDefault="003A4883" w:rsidP="001A5767">
            <w:pPr>
              <w:pStyle w:val="In-tableHeading"/>
              <w:jc w:val="center"/>
              <w:rPr>
                <w:lang w:val="en-AU"/>
              </w:rPr>
            </w:pPr>
            <w:r w:rsidRPr="00B14B63">
              <w:rPr>
                <w:lang w:val="en-AU"/>
              </w:rPr>
              <w:t>Year 6</w:t>
            </w:r>
          </w:p>
        </w:tc>
      </w:tr>
      <w:tr w:rsidR="003A4883" w:rsidRPr="00B14B63" w14:paraId="151A860D" w14:textId="77777777" w:rsidTr="00DA3378">
        <w:tc>
          <w:tcPr>
            <w:tcW w:w="5000" w:type="pct"/>
            <w:gridSpan w:val="7"/>
            <w:shd w:val="clear" w:color="auto" w:fill="auto"/>
            <w:vAlign w:val="center"/>
          </w:tcPr>
          <w:p w14:paraId="56264464" w14:textId="77777777" w:rsidR="003A4883" w:rsidRPr="00B14B63" w:rsidRDefault="003A4883" w:rsidP="001A5767">
            <w:pPr>
              <w:pStyle w:val="In-tableHeading"/>
              <w:rPr>
                <w:bCs/>
                <w:color w:val="000000"/>
                <w:lang w:val="en-AU"/>
              </w:rPr>
            </w:pPr>
            <w:r w:rsidRPr="00B14B63">
              <w:rPr>
                <w:bCs/>
                <w:color w:val="000000"/>
                <w:lang w:val="en-AU"/>
              </w:rPr>
              <w:t>Estimated extent of use</w:t>
            </w:r>
          </w:p>
        </w:tc>
      </w:tr>
      <w:tr w:rsidR="00D10922" w:rsidRPr="00B14B63" w14:paraId="3BA12E8D" w14:textId="77777777" w:rsidTr="008E150E">
        <w:tc>
          <w:tcPr>
            <w:tcW w:w="784" w:type="pct"/>
            <w:shd w:val="clear" w:color="auto" w:fill="auto"/>
            <w:vAlign w:val="center"/>
          </w:tcPr>
          <w:p w14:paraId="73D2768A" w14:textId="176E4F4B" w:rsidR="00D10922" w:rsidRPr="00D10922" w:rsidRDefault="00D10922" w:rsidP="001A5767">
            <w:pPr>
              <w:pStyle w:val="TableText0"/>
            </w:pPr>
            <w:r w:rsidRPr="00D10922">
              <w:t>Initiating patients</w:t>
            </w:r>
          </w:p>
        </w:tc>
        <w:tc>
          <w:tcPr>
            <w:tcW w:w="639" w:type="pct"/>
            <w:shd w:val="clear" w:color="auto" w:fill="auto"/>
            <w:vAlign w:val="center"/>
          </w:tcPr>
          <w:p w14:paraId="6C1A86DD" w14:textId="77777777" w:rsidR="00D10922" w:rsidRPr="00D10922" w:rsidRDefault="00D10922" w:rsidP="001A5767">
            <w:pPr>
              <w:pStyle w:val="TableText0"/>
              <w:jc w:val="center"/>
            </w:pPr>
          </w:p>
        </w:tc>
        <w:tc>
          <w:tcPr>
            <w:tcW w:w="714" w:type="pct"/>
            <w:shd w:val="clear" w:color="auto" w:fill="auto"/>
            <w:vAlign w:val="center"/>
          </w:tcPr>
          <w:p w14:paraId="50B4BA81" w14:textId="77777777" w:rsidR="00D10922" w:rsidRPr="00D10922" w:rsidRDefault="00D10922" w:rsidP="001A5767">
            <w:pPr>
              <w:pStyle w:val="TableText0"/>
              <w:jc w:val="center"/>
            </w:pPr>
          </w:p>
        </w:tc>
        <w:tc>
          <w:tcPr>
            <w:tcW w:w="714" w:type="pct"/>
            <w:shd w:val="clear" w:color="auto" w:fill="auto"/>
            <w:vAlign w:val="center"/>
          </w:tcPr>
          <w:p w14:paraId="4063C832" w14:textId="77777777" w:rsidR="00D10922" w:rsidRPr="00D10922" w:rsidRDefault="00D10922" w:rsidP="001A5767">
            <w:pPr>
              <w:pStyle w:val="TableText0"/>
              <w:jc w:val="center"/>
            </w:pPr>
          </w:p>
        </w:tc>
        <w:tc>
          <w:tcPr>
            <w:tcW w:w="714" w:type="pct"/>
            <w:shd w:val="clear" w:color="auto" w:fill="auto"/>
            <w:vAlign w:val="center"/>
          </w:tcPr>
          <w:p w14:paraId="4F03FE21" w14:textId="77777777" w:rsidR="00D10922" w:rsidRPr="00D10922" w:rsidRDefault="00D10922" w:rsidP="001A5767">
            <w:pPr>
              <w:pStyle w:val="TableText0"/>
              <w:jc w:val="center"/>
            </w:pPr>
          </w:p>
        </w:tc>
        <w:tc>
          <w:tcPr>
            <w:tcW w:w="714" w:type="pct"/>
            <w:shd w:val="clear" w:color="auto" w:fill="auto"/>
            <w:vAlign w:val="center"/>
          </w:tcPr>
          <w:p w14:paraId="67391B44" w14:textId="77777777" w:rsidR="00D10922" w:rsidRPr="00D10922" w:rsidRDefault="00D10922" w:rsidP="001A5767">
            <w:pPr>
              <w:pStyle w:val="TableText0"/>
              <w:jc w:val="center"/>
            </w:pPr>
          </w:p>
        </w:tc>
        <w:tc>
          <w:tcPr>
            <w:tcW w:w="721" w:type="pct"/>
            <w:vAlign w:val="center"/>
          </w:tcPr>
          <w:p w14:paraId="14D7F365" w14:textId="77777777" w:rsidR="00D10922" w:rsidRPr="00D10922" w:rsidRDefault="00D10922" w:rsidP="001A5767">
            <w:pPr>
              <w:pStyle w:val="TableText0"/>
              <w:jc w:val="center"/>
            </w:pPr>
          </w:p>
        </w:tc>
      </w:tr>
      <w:tr w:rsidR="00D10922" w:rsidRPr="00B14B63" w14:paraId="182DACC0" w14:textId="77777777" w:rsidTr="008E150E">
        <w:tc>
          <w:tcPr>
            <w:tcW w:w="784" w:type="pct"/>
            <w:shd w:val="clear" w:color="auto" w:fill="auto"/>
            <w:vAlign w:val="center"/>
          </w:tcPr>
          <w:p w14:paraId="5998F021" w14:textId="128BB641" w:rsidR="00D10922" w:rsidRPr="00B14B63" w:rsidRDefault="00D10922" w:rsidP="00D10922">
            <w:pPr>
              <w:pStyle w:val="TableText0"/>
            </w:pPr>
            <w:r>
              <w:t>Subpopulation 1</w:t>
            </w:r>
          </w:p>
        </w:tc>
        <w:tc>
          <w:tcPr>
            <w:tcW w:w="639" w:type="pct"/>
            <w:shd w:val="clear" w:color="auto" w:fill="auto"/>
            <w:vAlign w:val="center"/>
          </w:tcPr>
          <w:p w14:paraId="5B411959" w14:textId="0B88676A" w:rsidR="00D10922" w:rsidRPr="008E150E" w:rsidRDefault="00A50FC3" w:rsidP="00D10922">
            <w:pPr>
              <w:pStyle w:val="TableText0"/>
              <w:jc w:val="center"/>
              <w:rPr>
                <w:highlight w:val="lightGray"/>
              </w:rPr>
            </w:pPr>
            <w:r w:rsidRPr="00A50FC3">
              <w:rPr>
                <w:rFonts w:cs="Arial"/>
                <w:color w:val="000000"/>
                <w:spacing w:val="46"/>
                <w:szCs w:val="20"/>
                <w:shd w:val="solid" w:color="000000" w:fill="000000"/>
                <w:fitText w:val="220" w:id="-1233454591"/>
                <w14:textFill>
                  <w14:solidFill>
                    <w14:srgbClr w14:val="000000">
                      <w14:alpha w14:val="100000"/>
                    </w14:srgbClr>
                  </w14:solidFill>
                </w14:textFill>
              </w:rPr>
              <w:t>||</w:t>
            </w:r>
            <w:r w:rsidRPr="00A50FC3">
              <w:rPr>
                <w:rFonts w:cs="Arial"/>
                <w:color w:val="000000"/>
                <w:spacing w:val="1"/>
                <w:szCs w:val="20"/>
                <w:shd w:val="solid" w:color="000000" w:fill="000000"/>
                <w:fitText w:val="220" w:id="-1233454591"/>
                <w14:textFill>
                  <w14:solidFill>
                    <w14:srgbClr w14:val="000000">
                      <w14:alpha w14:val="100000"/>
                    </w14:srgbClr>
                  </w14:solidFill>
                </w14:textFill>
              </w:rPr>
              <w:t>|</w:t>
            </w:r>
            <w:r w:rsidR="00295039" w:rsidRPr="00295039">
              <w:rPr>
                <w:rFonts w:cs="Arial"/>
                <w:color w:val="000000"/>
                <w:szCs w:val="20"/>
              </w:rPr>
              <w:t xml:space="preserve"> </w:t>
            </w:r>
            <w:r w:rsidR="00097E81">
              <w:rPr>
                <w:vertAlign w:val="superscript"/>
              </w:rPr>
              <w:t>1</w:t>
            </w:r>
          </w:p>
        </w:tc>
        <w:tc>
          <w:tcPr>
            <w:tcW w:w="714" w:type="pct"/>
            <w:shd w:val="clear" w:color="auto" w:fill="auto"/>
            <w:vAlign w:val="center"/>
          </w:tcPr>
          <w:p w14:paraId="6B7652BB" w14:textId="72E929C4" w:rsidR="00D10922" w:rsidRPr="008E150E" w:rsidRDefault="00A50FC3" w:rsidP="00D10922">
            <w:pPr>
              <w:pStyle w:val="TableText0"/>
              <w:jc w:val="center"/>
              <w:rPr>
                <w:highlight w:val="lightGray"/>
              </w:rPr>
            </w:pPr>
            <w:r w:rsidRPr="00A50FC3">
              <w:rPr>
                <w:rFonts w:cs="Arial" w:hint="eastAsia"/>
                <w:color w:val="000000"/>
                <w:w w:val="33"/>
                <w:szCs w:val="20"/>
                <w:shd w:val="solid" w:color="000000" w:fill="000000"/>
                <w:fitText w:val="150" w:id="-1233454590"/>
                <w14:textFill>
                  <w14:solidFill>
                    <w14:srgbClr w14:val="000000">
                      <w14:alpha w14:val="100000"/>
                    </w14:srgbClr>
                  </w14:solidFill>
                </w14:textFill>
              </w:rPr>
              <w:t xml:space="preserve">　</w:t>
            </w:r>
            <w:r w:rsidRPr="00A50FC3">
              <w:rPr>
                <w:rFonts w:cs="Arial"/>
                <w:color w:val="000000"/>
                <w:w w:val="33"/>
                <w:szCs w:val="20"/>
                <w:shd w:val="solid" w:color="000000" w:fill="000000"/>
                <w:fitText w:val="150" w:id="-1233454590"/>
                <w14:textFill>
                  <w14:solidFill>
                    <w14:srgbClr w14:val="000000">
                      <w14:alpha w14:val="100000"/>
                    </w14:srgbClr>
                  </w14:solidFill>
                </w14:textFill>
              </w:rPr>
              <w:t>|</w:t>
            </w:r>
            <w:r w:rsidRPr="00A50FC3">
              <w:rPr>
                <w:rFonts w:cs="Arial" w:hint="eastAsia"/>
                <w:color w:val="000000"/>
                <w:spacing w:val="4"/>
                <w:w w:val="33"/>
                <w:szCs w:val="20"/>
                <w:shd w:val="solid" w:color="000000" w:fill="000000"/>
                <w:fitText w:val="150" w:id="-1233454590"/>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1</w:t>
            </w:r>
            <w:r w:rsidR="00295039" w:rsidRPr="00295039">
              <w:rPr>
                <w:rFonts w:cs="Arial"/>
                <w:color w:val="000000"/>
                <w:szCs w:val="20"/>
              </w:rPr>
              <w:t xml:space="preserve"> </w:t>
            </w:r>
          </w:p>
        </w:tc>
        <w:tc>
          <w:tcPr>
            <w:tcW w:w="714" w:type="pct"/>
            <w:shd w:val="clear" w:color="auto" w:fill="auto"/>
            <w:vAlign w:val="center"/>
          </w:tcPr>
          <w:p w14:paraId="3550C340" w14:textId="5AFBDA1D" w:rsidR="00D10922" w:rsidRPr="008E150E" w:rsidRDefault="00A50FC3" w:rsidP="00D10922">
            <w:pPr>
              <w:pStyle w:val="TableText0"/>
              <w:jc w:val="center"/>
              <w:rPr>
                <w:highlight w:val="lightGray"/>
              </w:rPr>
            </w:pPr>
            <w:r w:rsidRPr="00B165BE">
              <w:rPr>
                <w:rFonts w:cs="Arial" w:hint="eastAsia"/>
                <w:color w:val="000000"/>
                <w:w w:val="33"/>
                <w:szCs w:val="20"/>
                <w:shd w:val="solid" w:color="000000" w:fill="000000"/>
                <w:fitText w:val="150" w:id="-1233454589"/>
                <w14:textFill>
                  <w14:solidFill>
                    <w14:srgbClr w14:val="000000">
                      <w14:alpha w14:val="100000"/>
                    </w14:srgbClr>
                  </w14:solidFill>
                </w14:textFill>
              </w:rPr>
              <w:t xml:space="preserve">　</w:t>
            </w:r>
            <w:r w:rsidRPr="00B165BE">
              <w:rPr>
                <w:rFonts w:cs="Arial"/>
                <w:color w:val="000000"/>
                <w:w w:val="33"/>
                <w:szCs w:val="20"/>
                <w:shd w:val="solid" w:color="000000" w:fill="000000"/>
                <w:fitText w:val="150" w:id="-1233454589"/>
                <w14:textFill>
                  <w14:solidFill>
                    <w14:srgbClr w14:val="000000">
                      <w14:alpha w14:val="100000"/>
                    </w14:srgbClr>
                  </w14:solidFill>
                </w14:textFill>
              </w:rPr>
              <w:t>|</w:t>
            </w:r>
            <w:r w:rsidRPr="00B165BE">
              <w:rPr>
                <w:rFonts w:cs="Arial" w:hint="eastAsia"/>
                <w:color w:val="000000"/>
                <w:spacing w:val="4"/>
                <w:w w:val="33"/>
                <w:szCs w:val="20"/>
                <w:shd w:val="solid" w:color="000000" w:fill="000000"/>
                <w:fitText w:val="150" w:id="-1233454589"/>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2</w:t>
            </w:r>
            <w:r w:rsidR="00295039" w:rsidRPr="00295039">
              <w:rPr>
                <w:rFonts w:cs="Arial"/>
                <w:color w:val="000000"/>
                <w:szCs w:val="20"/>
              </w:rPr>
              <w:t xml:space="preserve"> </w:t>
            </w:r>
          </w:p>
        </w:tc>
        <w:tc>
          <w:tcPr>
            <w:tcW w:w="714" w:type="pct"/>
            <w:shd w:val="clear" w:color="auto" w:fill="auto"/>
            <w:vAlign w:val="center"/>
          </w:tcPr>
          <w:p w14:paraId="765F36B4" w14:textId="31B02277" w:rsidR="00D10922" w:rsidRPr="008E150E" w:rsidRDefault="00A50FC3" w:rsidP="00D10922">
            <w:pPr>
              <w:pStyle w:val="TableText0"/>
              <w:jc w:val="center"/>
              <w:rPr>
                <w:highlight w:val="lightGray"/>
              </w:rPr>
            </w:pPr>
            <w:r w:rsidRPr="00A50FC3">
              <w:rPr>
                <w:rFonts w:cs="Arial" w:hint="eastAsia"/>
                <w:color w:val="000000"/>
                <w:w w:val="33"/>
                <w:szCs w:val="20"/>
                <w:shd w:val="solid" w:color="000000" w:fill="000000"/>
                <w:fitText w:val="150" w:id="-1233454588"/>
                <w14:textFill>
                  <w14:solidFill>
                    <w14:srgbClr w14:val="000000">
                      <w14:alpha w14:val="100000"/>
                    </w14:srgbClr>
                  </w14:solidFill>
                </w14:textFill>
              </w:rPr>
              <w:t xml:space="preserve">　</w:t>
            </w:r>
            <w:r w:rsidRPr="00A50FC3">
              <w:rPr>
                <w:rFonts w:cs="Arial"/>
                <w:color w:val="000000"/>
                <w:w w:val="33"/>
                <w:szCs w:val="20"/>
                <w:shd w:val="solid" w:color="000000" w:fill="000000"/>
                <w:fitText w:val="150" w:id="-1233454588"/>
                <w14:textFill>
                  <w14:solidFill>
                    <w14:srgbClr w14:val="000000">
                      <w14:alpha w14:val="100000"/>
                    </w14:srgbClr>
                  </w14:solidFill>
                </w14:textFill>
              </w:rPr>
              <w:t>|</w:t>
            </w:r>
            <w:r w:rsidRPr="00A50FC3">
              <w:rPr>
                <w:rFonts w:cs="Arial" w:hint="eastAsia"/>
                <w:color w:val="000000"/>
                <w:spacing w:val="4"/>
                <w:w w:val="33"/>
                <w:szCs w:val="20"/>
                <w:shd w:val="solid" w:color="000000" w:fill="000000"/>
                <w:fitText w:val="150" w:id="-1233454588"/>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2</w:t>
            </w:r>
          </w:p>
        </w:tc>
        <w:tc>
          <w:tcPr>
            <w:tcW w:w="714" w:type="pct"/>
            <w:shd w:val="clear" w:color="auto" w:fill="auto"/>
            <w:vAlign w:val="center"/>
          </w:tcPr>
          <w:p w14:paraId="3DC28A08" w14:textId="7291A27C" w:rsidR="00D10922" w:rsidRPr="008E150E" w:rsidRDefault="00A50FC3" w:rsidP="00D10922">
            <w:pPr>
              <w:pStyle w:val="TableText0"/>
              <w:jc w:val="center"/>
              <w:rPr>
                <w:highlight w:val="lightGray"/>
              </w:rPr>
            </w:pPr>
            <w:r w:rsidRPr="00B165BE">
              <w:rPr>
                <w:rFonts w:cs="Arial" w:hint="eastAsia"/>
                <w:color w:val="000000"/>
                <w:w w:val="33"/>
                <w:szCs w:val="20"/>
                <w:shd w:val="solid" w:color="000000" w:fill="000000"/>
                <w:fitText w:val="150" w:id="-1233454587"/>
                <w14:textFill>
                  <w14:solidFill>
                    <w14:srgbClr w14:val="000000">
                      <w14:alpha w14:val="100000"/>
                    </w14:srgbClr>
                  </w14:solidFill>
                </w14:textFill>
              </w:rPr>
              <w:t xml:space="preserve">　</w:t>
            </w:r>
            <w:r w:rsidRPr="00B165BE">
              <w:rPr>
                <w:rFonts w:cs="Arial"/>
                <w:color w:val="000000"/>
                <w:w w:val="33"/>
                <w:szCs w:val="20"/>
                <w:shd w:val="solid" w:color="000000" w:fill="000000"/>
                <w:fitText w:val="150" w:id="-1233454587"/>
                <w14:textFill>
                  <w14:solidFill>
                    <w14:srgbClr w14:val="000000">
                      <w14:alpha w14:val="100000"/>
                    </w14:srgbClr>
                  </w14:solidFill>
                </w14:textFill>
              </w:rPr>
              <w:t>|</w:t>
            </w:r>
            <w:r w:rsidRPr="00B165BE">
              <w:rPr>
                <w:rFonts w:cs="Arial" w:hint="eastAsia"/>
                <w:color w:val="000000"/>
                <w:spacing w:val="4"/>
                <w:w w:val="33"/>
                <w:szCs w:val="20"/>
                <w:shd w:val="solid" w:color="000000" w:fill="000000"/>
                <w:fitText w:val="150" w:id="-1233454587"/>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2</w:t>
            </w:r>
            <w:r w:rsidR="00295039" w:rsidRPr="00295039">
              <w:rPr>
                <w:rFonts w:cs="Arial"/>
                <w:color w:val="000000"/>
                <w:szCs w:val="20"/>
              </w:rPr>
              <w:t xml:space="preserve"> </w:t>
            </w:r>
          </w:p>
        </w:tc>
        <w:tc>
          <w:tcPr>
            <w:tcW w:w="721" w:type="pct"/>
            <w:vAlign w:val="center"/>
          </w:tcPr>
          <w:p w14:paraId="6B362B72" w14:textId="23C029FD" w:rsidR="00D10922" w:rsidRPr="008E150E" w:rsidRDefault="00A50FC3" w:rsidP="00D10922">
            <w:pPr>
              <w:pStyle w:val="TableText0"/>
              <w:jc w:val="center"/>
              <w:rPr>
                <w:highlight w:val="lightGray"/>
              </w:rPr>
            </w:pPr>
            <w:r w:rsidRPr="00B165BE">
              <w:rPr>
                <w:rFonts w:cs="Arial" w:hint="eastAsia"/>
                <w:color w:val="000000"/>
                <w:w w:val="29"/>
                <w:szCs w:val="20"/>
                <w:shd w:val="solid" w:color="000000" w:fill="000000"/>
                <w:fitText w:val="130" w:id="-1233454586"/>
                <w14:textFill>
                  <w14:solidFill>
                    <w14:srgbClr w14:val="000000">
                      <w14:alpha w14:val="100000"/>
                    </w14:srgbClr>
                  </w14:solidFill>
                </w14:textFill>
              </w:rPr>
              <w:t xml:space="preserve">　</w:t>
            </w:r>
            <w:r w:rsidRPr="00B165BE">
              <w:rPr>
                <w:rFonts w:cs="Arial"/>
                <w:color w:val="000000"/>
                <w:w w:val="29"/>
                <w:szCs w:val="20"/>
                <w:shd w:val="solid" w:color="000000" w:fill="000000"/>
                <w:fitText w:val="130" w:id="-1233454586"/>
                <w14:textFill>
                  <w14:solidFill>
                    <w14:srgbClr w14:val="000000">
                      <w14:alpha w14:val="100000"/>
                    </w14:srgbClr>
                  </w14:solidFill>
                </w14:textFill>
              </w:rPr>
              <w:t>|</w:t>
            </w:r>
            <w:r w:rsidRPr="00B165BE">
              <w:rPr>
                <w:rFonts w:cs="Arial" w:hint="eastAsia"/>
                <w:color w:val="000000"/>
                <w:spacing w:val="2"/>
                <w:w w:val="29"/>
                <w:szCs w:val="20"/>
                <w:shd w:val="solid" w:color="000000" w:fill="000000"/>
                <w:fitText w:val="130" w:id="-1233454586"/>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2</w:t>
            </w:r>
            <w:r w:rsidR="00295039" w:rsidRPr="00295039">
              <w:rPr>
                <w:rFonts w:cs="Arial"/>
                <w:color w:val="000000"/>
                <w:szCs w:val="20"/>
              </w:rPr>
              <w:t xml:space="preserve"> </w:t>
            </w:r>
          </w:p>
        </w:tc>
      </w:tr>
      <w:tr w:rsidR="00D10922" w:rsidRPr="00B14B63" w14:paraId="3BDC6648" w14:textId="77777777" w:rsidTr="008E150E">
        <w:tc>
          <w:tcPr>
            <w:tcW w:w="784" w:type="pct"/>
            <w:shd w:val="clear" w:color="auto" w:fill="auto"/>
            <w:vAlign w:val="center"/>
          </w:tcPr>
          <w:p w14:paraId="3228ADA2" w14:textId="17E1E6D6" w:rsidR="00D10922" w:rsidRPr="00B14B63" w:rsidRDefault="00D10922" w:rsidP="00D10922">
            <w:pPr>
              <w:pStyle w:val="TableText0"/>
            </w:pPr>
            <w:r>
              <w:t>Subpopulation 2</w:t>
            </w:r>
          </w:p>
        </w:tc>
        <w:tc>
          <w:tcPr>
            <w:tcW w:w="639" w:type="pct"/>
            <w:shd w:val="clear" w:color="auto" w:fill="auto"/>
            <w:vAlign w:val="center"/>
          </w:tcPr>
          <w:p w14:paraId="5D99E802" w14:textId="658375AC" w:rsidR="00D10922" w:rsidRPr="008E150E" w:rsidRDefault="00A50FC3" w:rsidP="00D10922">
            <w:pPr>
              <w:pStyle w:val="TableText0"/>
              <w:jc w:val="center"/>
              <w:rPr>
                <w:highlight w:val="lightGray"/>
              </w:rPr>
            </w:pPr>
            <w:r w:rsidRPr="00A50FC3">
              <w:rPr>
                <w:rFonts w:cs="Arial"/>
                <w:color w:val="000000"/>
                <w:spacing w:val="46"/>
                <w:szCs w:val="20"/>
                <w:shd w:val="solid" w:color="000000" w:fill="000000"/>
                <w:fitText w:val="220" w:id="-1233454585"/>
                <w14:textFill>
                  <w14:solidFill>
                    <w14:srgbClr w14:val="000000">
                      <w14:alpha w14:val="100000"/>
                    </w14:srgbClr>
                  </w14:solidFill>
                </w14:textFill>
              </w:rPr>
              <w:t>||</w:t>
            </w:r>
            <w:r w:rsidRPr="00A50FC3">
              <w:rPr>
                <w:rFonts w:cs="Arial"/>
                <w:color w:val="000000"/>
                <w:spacing w:val="1"/>
                <w:szCs w:val="20"/>
                <w:shd w:val="solid" w:color="000000" w:fill="000000"/>
                <w:fitText w:val="220" w:id="-1233454585"/>
                <w14:textFill>
                  <w14:solidFill>
                    <w14:srgbClr w14:val="000000">
                      <w14:alpha w14:val="100000"/>
                    </w14:srgbClr>
                  </w14:solidFill>
                </w14:textFill>
              </w:rPr>
              <w:t>|</w:t>
            </w:r>
            <w:r w:rsidR="00295039" w:rsidRPr="00295039">
              <w:rPr>
                <w:rFonts w:cs="Arial"/>
                <w:color w:val="000000"/>
                <w:szCs w:val="20"/>
              </w:rPr>
              <w:t xml:space="preserve"> </w:t>
            </w:r>
            <w:r w:rsidR="00097E81">
              <w:rPr>
                <w:vertAlign w:val="superscript"/>
              </w:rPr>
              <w:t>1</w:t>
            </w:r>
            <w:r w:rsidR="00295039" w:rsidRPr="00295039">
              <w:rPr>
                <w:rFonts w:cs="Arial"/>
                <w:color w:val="000000"/>
                <w:szCs w:val="20"/>
              </w:rPr>
              <w:t xml:space="preserve"> </w:t>
            </w:r>
          </w:p>
        </w:tc>
        <w:tc>
          <w:tcPr>
            <w:tcW w:w="714" w:type="pct"/>
            <w:shd w:val="clear" w:color="auto" w:fill="auto"/>
            <w:vAlign w:val="center"/>
          </w:tcPr>
          <w:p w14:paraId="74666B7E" w14:textId="28C8C9EC" w:rsidR="00D10922" w:rsidRPr="008E150E" w:rsidRDefault="00A50FC3" w:rsidP="00D10922">
            <w:pPr>
              <w:pStyle w:val="TableText0"/>
              <w:jc w:val="center"/>
              <w:rPr>
                <w:highlight w:val="lightGray"/>
              </w:rPr>
            </w:pPr>
            <w:r w:rsidRPr="00A50FC3">
              <w:rPr>
                <w:rFonts w:cs="Arial" w:hint="eastAsia"/>
                <w:color w:val="000000"/>
                <w:w w:val="33"/>
                <w:szCs w:val="20"/>
                <w:shd w:val="solid" w:color="000000" w:fill="000000"/>
                <w:fitText w:val="150" w:id="-1233454584"/>
                <w14:textFill>
                  <w14:solidFill>
                    <w14:srgbClr w14:val="000000">
                      <w14:alpha w14:val="100000"/>
                    </w14:srgbClr>
                  </w14:solidFill>
                </w14:textFill>
              </w:rPr>
              <w:t xml:space="preserve">　</w:t>
            </w:r>
            <w:r w:rsidRPr="00A50FC3">
              <w:rPr>
                <w:rFonts w:cs="Arial"/>
                <w:color w:val="000000"/>
                <w:w w:val="33"/>
                <w:szCs w:val="20"/>
                <w:shd w:val="solid" w:color="000000" w:fill="000000"/>
                <w:fitText w:val="150" w:id="-1233454584"/>
                <w14:textFill>
                  <w14:solidFill>
                    <w14:srgbClr w14:val="000000">
                      <w14:alpha w14:val="100000"/>
                    </w14:srgbClr>
                  </w14:solidFill>
                </w14:textFill>
              </w:rPr>
              <w:t>|</w:t>
            </w:r>
            <w:r w:rsidRPr="00A50FC3">
              <w:rPr>
                <w:rFonts w:cs="Arial" w:hint="eastAsia"/>
                <w:color w:val="000000"/>
                <w:spacing w:val="4"/>
                <w:w w:val="33"/>
                <w:szCs w:val="20"/>
                <w:shd w:val="solid" w:color="000000" w:fill="000000"/>
                <w:fitText w:val="150" w:id="-1233454584"/>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1</w:t>
            </w:r>
            <w:r w:rsidR="00295039" w:rsidRPr="00295039">
              <w:rPr>
                <w:rFonts w:cs="Arial"/>
                <w:color w:val="000000"/>
                <w:szCs w:val="20"/>
              </w:rPr>
              <w:t xml:space="preserve"> </w:t>
            </w:r>
          </w:p>
        </w:tc>
        <w:tc>
          <w:tcPr>
            <w:tcW w:w="714" w:type="pct"/>
            <w:shd w:val="clear" w:color="auto" w:fill="auto"/>
            <w:vAlign w:val="center"/>
          </w:tcPr>
          <w:p w14:paraId="1836A7A7" w14:textId="38784C4D" w:rsidR="00D10922" w:rsidRPr="008E150E" w:rsidRDefault="00A50FC3" w:rsidP="00D10922">
            <w:pPr>
              <w:pStyle w:val="TableText0"/>
              <w:jc w:val="center"/>
              <w:rPr>
                <w:highlight w:val="lightGray"/>
              </w:rPr>
            </w:pPr>
            <w:r w:rsidRPr="00B165BE">
              <w:rPr>
                <w:rFonts w:cs="Arial" w:hint="eastAsia"/>
                <w:color w:val="000000"/>
                <w:w w:val="33"/>
                <w:szCs w:val="20"/>
                <w:shd w:val="solid" w:color="000000" w:fill="000000"/>
                <w:fitText w:val="150" w:id="-1233454583"/>
                <w14:textFill>
                  <w14:solidFill>
                    <w14:srgbClr w14:val="000000">
                      <w14:alpha w14:val="100000"/>
                    </w14:srgbClr>
                  </w14:solidFill>
                </w14:textFill>
              </w:rPr>
              <w:t xml:space="preserve">　</w:t>
            </w:r>
            <w:r w:rsidRPr="00B165BE">
              <w:rPr>
                <w:rFonts w:cs="Arial"/>
                <w:color w:val="000000"/>
                <w:w w:val="33"/>
                <w:szCs w:val="20"/>
                <w:shd w:val="solid" w:color="000000" w:fill="000000"/>
                <w:fitText w:val="150" w:id="-1233454583"/>
                <w14:textFill>
                  <w14:solidFill>
                    <w14:srgbClr w14:val="000000">
                      <w14:alpha w14:val="100000"/>
                    </w14:srgbClr>
                  </w14:solidFill>
                </w14:textFill>
              </w:rPr>
              <w:t>|</w:t>
            </w:r>
            <w:r w:rsidRPr="00B165BE">
              <w:rPr>
                <w:rFonts w:cs="Arial" w:hint="eastAsia"/>
                <w:color w:val="000000"/>
                <w:spacing w:val="4"/>
                <w:w w:val="33"/>
                <w:szCs w:val="20"/>
                <w:shd w:val="solid" w:color="000000" w:fill="000000"/>
                <w:fitText w:val="150" w:id="-1233454583"/>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1</w:t>
            </w:r>
            <w:r w:rsidR="00295039" w:rsidRPr="00295039">
              <w:rPr>
                <w:rFonts w:cs="Arial"/>
                <w:color w:val="000000"/>
                <w:szCs w:val="20"/>
              </w:rPr>
              <w:t xml:space="preserve"> </w:t>
            </w:r>
          </w:p>
        </w:tc>
        <w:tc>
          <w:tcPr>
            <w:tcW w:w="714" w:type="pct"/>
            <w:shd w:val="clear" w:color="auto" w:fill="auto"/>
            <w:vAlign w:val="center"/>
          </w:tcPr>
          <w:p w14:paraId="03CA7449" w14:textId="7A386224" w:rsidR="00D10922" w:rsidRPr="008E150E" w:rsidRDefault="00A50FC3" w:rsidP="00D10922">
            <w:pPr>
              <w:pStyle w:val="TableText0"/>
              <w:jc w:val="center"/>
              <w:rPr>
                <w:highlight w:val="lightGray"/>
              </w:rPr>
            </w:pPr>
            <w:r w:rsidRPr="00A50FC3">
              <w:rPr>
                <w:rFonts w:cs="Arial" w:hint="eastAsia"/>
                <w:color w:val="000000"/>
                <w:w w:val="33"/>
                <w:szCs w:val="20"/>
                <w:shd w:val="solid" w:color="000000" w:fill="000000"/>
                <w:fitText w:val="150" w:id="-1233454582"/>
                <w14:textFill>
                  <w14:solidFill>
                    <w14:srgbClr w14:val="000000">
                      <w14:alpha w14:val="100000"/>
                    </w14:srgbClr>
                  </w14:solidFill>
                </w14:textFill>
              </w:rPr>
              <w:t xml:space="preserve">　</w:t>
            </w:r>
            <w:r w:rsidRPr="00A50FC3">
              <w:rPr>
                <w:rFonts w:cs="Arial"/>
                <w:color w:val="000000"/>
                <w:w w:val="33"/>
                <w:szCs w:val="20"/>
                <w:shd w:val="solid" w:color="000000" w:fill="000000"/>
                <w:fitText w:val="150" w:id="-1233454582"/>
                <w14:textFill>
                  <w14:solidFill>
                    <w14:srgbClr w14:val="000000">
                      <w14:alpha w14:val="100000"/>
                    </w14:srgbClr>
                  </w14:solidFill>
                </w14:textFill>
              </w:rPr>
              <w:t>|</w:t>
            </w:r>
            <w:r w:rsidRPr="00A50FC3">
              <w:rPr>
                <w:rFonts w:cs="Arial" w:hint="eastAsia"/>
                <w:color w:val="000000"/>
                <w:spacing w:val="4"/>
                <w:w w:val="33"/>
                <w:szCs w:val="20"/>
                <w:shd w:val="solid" w:color="000000" w:fill="000000"/>
                <w:fitText w:val="150" w:id="-1233454582"/>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1</w:t>
            </w:r>
            <w:r w:rsidR="00295039" w:rsidRPr="00295039">
              <w:rPr>
                <w:rFonts w:cs="Arial"/>
                <w:color w:val="000000"/>
                <w:szCs w:val="20"/>
              </w:rPr>
              <w:t xml:space="preserve"> </w:t>
            </w:r>
          </w:p>
        </w:tc>
        <w:tc>
          <w:tcPr>
            <w:tcW w:w="714" w:type="pct"/>
            <w:shd w:val="clear" w:color="auto" w:fill="auto"/>
            <w:vAlign w:val="center"/>
          </w:tcPr>
          <w:p w14:paraId="08DBB3FE" w14:textId="381C6C9D" w:rsidR="00D10922" w:rsidRPr="008E150E" w:rsidRDefault="00A50FC3" w:rsidP="00D10922">
            <w:pPr>
              <w:pStyle w:val="TableText0"/>
              <w:jc w:val="center"/>
              <w:rPr>
                <w:highlight w:val="lightGray"/>
              </w:rPr>
            </w:pPr>
            <w:r w:rsidRPr="00B165BE">
              <w:rPr>
                <w:rFonts w:cs="Arial" w:hint="eastAsia"/>
                <w:color w:val="000000"/>
                <w:w w:val="33"/>
                <w:szCs w:val="20"/>
                <w:shd w:val="solid" w:color="000000" w:fill="000000"/>
                <w:fitText w:val="150" w:id="-1233454581"/>
                <w14:textFill>
                  <w14:solidFill>
                    <w14:srgbClr w14:val="000000">
                      <w14:alpha w14:val="100000"/>
                    </w14:srgbClr>
                  </w14:solidFill>
                </w14:textFill>
              </w:rPr>
              <w:t xml:space="preserve">　</w:t>
            </w:r>
            <w:r w:rsidRPr="00B165BE">
              <w:rPr>
                <w:rFonts w:cs="Arial"/>
                <w:color w:val="000000"/>
                <w:w w:val="33"/>
                <w:szCs w:val="20"/>
                <w:shd w:val="solid" w:color="000000" w:fill="000000"/>
                <w:fitText w:val="150" w:id="-1233454581"/>
                <w14:textFill>
                  <w14:solidFill>
                    <w14:srgbClr w14:val="000000">
                      <w14:alpha w14:val="100000"/>
                    </w14:srgbClr>
                  </w14:solidFill>
                </w14:textFill>
              </w:rPr>
              <w:t>|</w:t>
            </w:r>
            <w:r w:rsidRPr="00B165BE">
              <w:rPr>
                <w:rFonts w:cs="Arial" w:hint="eastAsia"/>
                <w:color w:val="000000"/>
                <w:spacing w:val="4"/>
                <w:w w:val="33"/>
                <w:szCs w:val="20"/>
                <w:shd w:val="solid" w:color="000000" w:fill="000000"/>
                <w:fitText w:val="150" w:id="-1233454581"/>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1</w:t>
            </w:r>
          </w:p>
        </w:tc>
        <w:tc>
          <w:tcPr>
            <w:tcW w:w="721" w:type="pct"/>
            <w:vAlign w:val="center"/>
          </w:tcPr>
          <w:p w14:paraId="6F94D5D6" w14:textId="3C77216A" w:rsidR="00D10922" w:rsidRPr="008E150E" w:rsidRDefault="00A50FC3" w:rsidP="00D10922">
            <w:pPr>
              <w:pStyle w:val="TableText0"/>
              <w:jc w:val="center"/>
              <w:rPr>
                <w:highlight w:val="lightGray"/>
              </w:rPr>
            </w:pPr>
            <w:r w:rsidRPr="00A50FC3">
              <w:rPr>
                <w:rFonts w:cs="Arial" w:hint="eastAsia"/>
                <w:color w:val="000000"/>
                <w:w w:val="29"/>
                <w:szCs w:val="20"/>
                <w:shd w:val="solid" w:color="000000" w:fill="000000"/>
                <w:fitText w:val="130" w:id="-1233454580"/>
                <w14:textFill>
                  <w14:solidFill>
                    <w14:srgbClr w14:val="000000">
                      <w14:alpha w14:val="100000"/>
                    </w14:srgbClr>
                  </w14:solidFill>
                </w14:textFill>
              </w:rPr>
              <w:t xml:space="preserve">　</w:t>
            </w:r>
            <w:r w:rsidRPr="00A50FC3">
              <w:rPr>
                <w:rFonts w:cs="Arial"/>
                <w:color w:val="000000"/>
                <w:w w:val="29"/>
                <w:szCs w:val="20"/>
                <w:shd w:val="solid" w:color="000000" w:fill="000000"/>
                <w:fitText w:val="130" w:id="-1233454580"/>
                <w14:textFill>
                  <w14:solidFill>
                    <w14:srgbClr w14:val="000000">
                      <w14:alpha w14:val="100000"/>
                    </w14:srgbClr>
                  </w14:solidFill>
                </w14:textFill>
              </w:rPr>
              <w:t>|</w:t>
            </w:r>
            <w:r w:rsidRPr="00A50FC3">
              <w:rPr>
                <w:rFonts w:cs="Arial" w:hint="eastAsia"/>
                <w:color w:val="000000"/>
                <w:spacing w:val="2"/>
                <w:w w:val="29"/>
                <w:szCs w:val="20"/>
                <w:shd w:val="solid" w:color="000000" w:fill="000000"/>
                <w:fitText w:val="130" w:id="-1233454580"/>
                <w14:textFill>
                  <w14:solidFill>
                    <w14:srgbClr w14:val="000000">
                      <w14:alpha w14:val="100000"/>
                    </w14:srgbClr>
                  </w14:solidFill>
                </w14:textFill>
              </w:rPr>
              <w:t xml:space="preserve">　</w:t>
            </w:r>
            <w:r w:rsidR="00295039" w:rsidRPr="00295039">
              <w:rPr>
                <w:rFonts w:cs="Arial"/>
                <w:color w:val="000000"/>
                <w:szCs w:val="20"/>
              </w:rPr>
              <w:t xml:space="preserve"> </w:t>
            </w:r>
            <w:r w:rsidR="00097E81">
              <w:rPr>
                <w:vertAlign w:val="superscript"/>
              </w:rPr>
              <w:t>1</w:t>
            </w:r>
            <w:r w:rsidR="00295039" w:rsidRPr="00295039">
              <w:rPr>
                <w:rFonts w:cs="Arial"/>
                <w:color w:val="000000"/>
                <w:szCs w:val="20"/>
              </w:rPr>
              <w:t xml:space="preserve"> </w:t>
            </w:r>
          </w:p>
        </w:tc>
      </w:tr>
      <w:tr w:rsidR="00D10922" w:rsidRPr="00B14B63" w14:paraId="331E76C0" w14:textId="77777777" w:rsidTr="008E150E">
        <w:tc>
          <w:tcPr>
            <w:tcW w:w="784" w:type="pct"/>
            <w:shd w:val="clear" w:color="auto" w:fill="auto"/>
            <w:vAlign w:val="center"/>
          </w:tcPr>
          <w:p w14:paraId="08EC53E0" w14:textId="3B15D2BA" w:rsidR="00D10922" w:rsidRPr="00B14B63" w:rsidRDefault="00D10922" w:rsidP="00D10922">
            <w:pPr>
              <w:pStyle w:val="TableText0"/>
            </w:pPr>
            <w:r>
              <w:t>Subpopulation 3</w:t>
            </w:r>
          </w:p>
        </w:tc>
        <w:tc>
          <w:tcPr>
            <w:tcW w:w="639" w:type="pct"/>
            <w:shd w:val="clear" w:color="auto" w:fill="auto"/>
            <w:vAlign w:val="center"/>
          </w:tcPr>
          <w:p w14:paraId="6D5A773D" w14:textId="4B824306" w:rsidR="00D10922" w:rsidRPr="00B112EB" w:rsidRDefault="00A50FC3" w:rsidP="00D10922">
            <w:pPr>
              <w:pStyle w:val="TableText0"/>
              <w:jc w:val="center"/>
            </w:pPr>
            <w:r w:rsidRPr="00A50FC3">
              <w:rPr>
                <w:color w:val="000000"/>
                <w:spacing w:val="46"/>
                <w:shd w:val="solid" w:color="000000" w:fill="000000"/>
                <w:fitText w:val="220" w:id="-1233454579"/>
                <w14:textFill>
                  <w14:solidFill>
                    <w14:srgbClr w14:val="000000">
                      <w14:alpha w14:val="100000"/>
                    </w14:srgbClr>
                  </w14:solidFill>
                </w14:textFill>
              </w:rPr>
              <w:t>||</w:t>
            </w:r>
            <w:r w:rsidRPr="00A50FC3">
              <w:rPr>
                <w:color w:val="000000"/>
                <w:spacing w:val="1"/>
                <w:shd w:val="solid" w:color="000000" w:fill="000000"/>
                <w:fitText w:val="220" w:id="-1233454579"/>
                <w14:textFill>
                  <w14:solidFill>
                    <w14:srgbClr w14:val="000000">
                      <w14:alpha w14:val="100000"/>
                    </w14:srgbClr>
                  </w14:solidFill>
                </w14:textFill>
              </w:rPr>
              <w:t>|</w:t>
            </w:r>
            <w:r w:rsidR="00295039" w:rsidRPr="00295039">
              <w:t xml:space="preserve"> </w:t>
            </w:r>
            <w:r w:rsidR="00097E81">
              <w:rPr>
                <w:vertAlign w:val="superscript"/>
              </w:rPr>
              <w:t>1</w:t>
            </w:r>
          </w:p>
        </w:tc>
        <w:tc>
          <w:tcPr>
            <w:tcW w:w="714" w:type="pct"/>
            <w:shd w:val="clear" w:color="auto" w:fill="auto"/>
            <w:vAlign w:val="center"/>
          </w:tcPr>
          <w:p w14:paraId="429D4836" w14:textId="32A66386" w:rsidR="00D10922" w:rsidRPr="00B112EB" w:rsidRDefault="00D10922" w:rsidP="00D10922">
            <w:pPr>
              <w:pStyle w:val="TableText0"/>
              <w:jc w:val="center"/>
            </w:pPr>
            <w:r>
              <w:t>-</w:t>
            </w:r>
          </w:p>
        </w:tc>
        <w:tc>
          <w:tcPr>
            <w:tcW w:w="714" w:type="pct"/>
            <w:shd w:val="clear" w:color="auto" w:fill="auto"/>
            <w:vAlign w:val="center"/>
          </w:tcPr>
          <w:p w14:paraId="26E80C92" w14:textId="3444E239" w:rsidR="00D10922" w:rsidRPr="00B112EB" w:rsidRDefault="00D10922" w:rsidP="00D10922">
            <w:pPr>
              <w:pStyle w:val="TableText0"/>
              <w:jc w:val="center"/>
            </w:pPr>
            <w:r>
              <w:t>-</w:t>
            </w:r>
          </w:p>
        </w:tc>
        <w:tc>
          <w:tcPr>
            <w:tcW w:w="714" w:type="pct"/>
            <w:shd w:val="clear" w:color="auto" w:fill="auto"/>
            <w:vAlign w:val="center"/>
          </w:tcPr>
          <w:p w14:paraId="2F37056C" w14:textId="51A776AE" w:rsidR="00D10922" w:rsidRPr="00B112EB" w:rsidRDefault="00D10922" w:rsidP="00D10922">
            <w:pPr>
              <w:pStyle w:val="TableText0"/>
              <w:jc w:val="center"/>
            </w:pPr>
            <w:r>
              <w:t>-</w:t>
            </w:r>
          </w:p>
        </w:tc>
        <w:tc>
          <w:tcPr>
            <w:tcW w:w="714" w:type="pct"/>
            <w:shd w:val="clear" w:color="auto" w:fill="auto"/>
            <w:vAlign w:val="center"/>
          </w:tcPr>
          <w:p w14:paraId="6CD7C58A" w14:textId="2080C01D" w:rsidR="00D10922" w:rsidRPr="00B112EB" w:rsidRDefault="00D10922" w:rsidP="00D10922">
            <w:pPr>
              <w:pStyle w:val="TableText0"/>
              <w:jc w:val="center"/>
            </w:pPr>
            <w:r>
              <w:t>-</w:t>
            </w:r>
          </w:p>
        </w:tc>
        <w:tc>
          <w:tcPr>
            <w:tcW w:w="721" w:type="pct"/>
            <w:vAlign w:val="center"/>
          </w:tcPr>
          <w:p w14:paraId="2CC24003" w14:textId="0656D648" w:rsidR="00D10922" w:rsidRPr="00B112EB" w:rsidRDefault="00D10922" w:rsidP="00D10922">
            <w:pPr>
              <w:pStyle w:val="TableText0"/>
              <w:jc w:val="center"/>
            </w:pPr>
            <w:r>
              <w:t>-</w:t>
            </w:r>
          </w:p>
        </w:tc>
      </w:tr>
      <w:tr w:rsidR="00D10922" w:rsidRPr="00B14B63" w14:paraId="79E1C2F3" w14:textId="77777777" w:rsidTr="008E150E">
        <w:tc>
          <w:tcPr>
            <w:tcW w:w="784" w:type="pct"/>
            <w:shd w:val="clear" w:color="auto" w:fill="auto"/>
            <w:vAlign w:val="center"/>
          </w:tcPr>
          <w:p w14:paraId="41F01CF9" w14:textId="367895AE" w:rsidR="00D10922" w:rsidRDefault="00D10922" w:rsidP="00D10922">
            <w:pPr>
              <w:pStyle w:val="TableText0"/>
            </w:pPr>
            <w:r>
              <w:t xml:space="preserve">Total </w:t>
            </w:r>
            <w:r w:rsidR="00B165BE">
              <w:t>initiating</w:t>
            </w:r>
            <w:r>
              <w:t xml:space="preserve"> patients</w:t>
            </w:r>
          </w:p>
        </w:tc>
        <w:tc>
          <w:tcPr>
            <w:tcW w:w="639" w:type="pct"/>
            <w:shd w:val="clear" w:color="auto" w:fill="auto"/>
            <w:vAlign w:val="center"/>
          </w:tcPr>
          <w:p w14:paraId="33945CBE" w14:textId="445668E6" w:rsidR="00D10922" w:rsidRPr="008E150E" w:rsidRDefault="00A50FC3" w:rsidP="00D10922">
            <w:pPr>
              <w:pStyle w:val="TableText0"/>
              <w:jc w:val="center"/>
              <w:rPr>
                <w:highlight w:val="lightGray"/>
              </w:rPr>
            </w:pPr>
            <w:r w:rsidRPr="00A50FC3">
              <w:rPr>
                <w:color w:val="000000"/>
                <w:spacing w:val="46"/>
                <w:shd w:val="solid" w:color="000000" w:fill="000000"/>
                <w:fitText w:val="220" w:id="-1233454578"/>
                <w14:textFill>
                  <w14:solidFill>
                    <w14:srgbClr w14:val="000000">
                      <w14:alpha w14:val="100000"/>
                    </w14:srgbClr>
                  </w14:solidFill>
                </w14:textFill>
              </w:rPr>
              <w:t>||</w:t>
            </w:r>
            <w:r w:rsidRPr="00A50FC3">
              <w:rPr>
                <w:color w:val="000000"/>
                <w:spacing w:val="1"/>
                <w:shd w:val="solid" w:color="000000" w:fill="000000"/>
                <w:fitText w:val="220" w:id="-1233454578"/>
                <w14:textFill>
                  <w14:solidFill>
                    <w14:srgbClr w14:val="000000">
                      <w14:alpha w14:val="100000"/>
                    </w14:srgbClr>
                  </w14:solidFill>
                </w14:textFill>
              </w:rPr>
              <w:t>|</w:t>
            </w:r>
            <w:r w:rsidR="00295039" w:rsidRPr="00295039">
              <w:t xml:space="preserve"> </w:t>
            </w:r>
            <w:r w:rsidR="00097E81">
              <w:rPr>
                <w:vertAlign w:val="superscript"/>
              </w:rPr>
              <w:t>2</w:t>
            </w:r>
          </w:p>
        </w:tc>
        <w:tc>
          <w:tcPr>
            <w:tcW w:w="714" w:type="pct"/>
            <w:shd w:val="clear" w:color="auto" w:fill="auto"/>
            <w:vAlign w:val="center"/>
          </w:tcPr>
          <w:p w14:paraId="5DB6A828" w14:textId="285D7EFF" w:rsidR="00D10922" w:rsidRPr="008E150E" w:rsidRDefault="00A50FC3" w:rsidP="00D10922">
            <w:pPr>
              <w:pStyle w:val="TableText0"/>
              <w:jc w:val="center"/>
              <w:rPr>
                <w:highlight w:val="lightGray"/>
              </w:rPr>
            </w:pPr>
            <w:r w:rsidRPr="00B165BE">
              <w:rPr>
                <w:rFonts w:hint="eastAsia"/>
                <w:color w:val="000000"/>
                <w:w w:val="33"/>
                <w:shd w:val="solid" w:color="000000" w:fill="000000"/>
                <w:fitText w:val="150" w:id="-1233454577"/>
                <w14:textFill>
                  <w14:solidFill>
                    <w14:srgbClr w14:val="000000">
                      <w14:alpha w14:val="100000"/>
                    </w14:srgbClr>
                  </w14:solidFill>
                </w14:textFill>
              </w:rPr>
              <w:t xml:space="preserve">　</w:t>
            </w:r>
            <w:r w:rsidRPr="00B165BE">
              <w:rPr>
                <w:color w:val="000000"/>
                <w:w w:val="33"/>
                <w:shd w:val="solid" w:color="000000" w:fill="000000"/>
                <w:fitText w:val="150" w:id="-1233454577"/>
                <w14:textFill>
                  <w14:solidFill>
                    <w14:srgbClr w14:val="000000">
                      <w14:alpha w14:val="100000"/>
                    </w14:srgbClr>
                  </w14:solidFill>
                </w14:textFill>
              </w:rPr>
              <w:t>|</w:t>
            </w:r>
            <w:r w:rsidRPr="00B165BE">
              <w:rPr>
                <w:rFonts w:hint="eastAsia"/>
                <w:color w:val="000000"/>
                <w:spacing w:val="4"/>
                <w:w w:val="33"/>
                <w:shd w:val="solid" w:color="000000" w:fill="000000"/>
                <w:fitText w:val="150" w:id="-1233454577"/>
                <w14:textFill>
                  <w14:solidFill>
                    <w14:srgbClr w14:val="000000">
                      <w14:alpha w14:val="100000"/>
                    </w14:srgbClr>
                  </w14:solidFill>
                </w14:textFill>
              </w:rPr>
              <w:t xml:space="preserve">　</w:t>
            </w:r>
            <w:r w:rsidR="00295039" w:rsidRPr="00295039">
              <w:t xml:space="preserve"> </w:t>
            </w:r>
            <w:r w:rsidR="00097E81">
              <w:rPr>
                <w:vertAlign w:val="superscript"/>
              </w:rPr>
              <w:t>2</w:t>
            </w:r>
          </w:p>
        </w:tc>
        <w:tc>
          <w:tcPr>
            <w:tcW w:w="714" w:type="pct"/>
            <w:shd w:val="clear" w:color="auto" w:fill="auto"/>
            <w:vAlign w:val="center"/>
          </w:tcPr>
          <w:p w14:paraId="435DFD25" w14:textId="129604A5" w:rsidR="00D10922" w:rsidRPr="008E150E" w:rsidRDefault="00A50FC3" w:rsidP="00D10922">
            <w:pPr>
              <w:pStyle w:val="TableText0"/>
              <w:jc w:val="center"/>
              <w:rPr>
                <w:highlight w:val="lightGray"/>
              </w:rPr>
            </w:pPr>
            <w:r w:rsidRPr="00A50FC3">
              <w:rPr>
                <w:rFonts w:hint="eastAsia"/>
                <w:color w:val="000000"/>
                <w:w w:val="33"/>
                <w:shd w:val="solid" w:color="000000" w:fill="000000"/>
                <w:fitText w:val="150" w:id="-1233454576"/>
                <w14:textFill>
                  <w14:solidFill>
                    <w14:srgbClr w14:val="000000">
                      <w14:alpha w14:val="100000"/>
                    </w14:srgbClr>
                  </w14:solidFill>
                </w14:textFill>
              </w:rPr>
              <w:t xml:space="preserve">　</w:t>
            </w:r>
            <w:r w:rsidRPr="00A50FC3">
              <w:rPr>
                <w:color w:val="000000"/>
                <w:w w:val="33"/>
                <w:shd w:val="solid" w:color="000000" w:fill="000000"/>
                <w:fitText w:val="150" w:id="-1233454576"/>
                <w14:textFill>
                  <w14:solidFill>
                    <w14:srgbClr w14:val="000000">
                      <w14:alpha w14:val="100000"/>
                    </w14:srgbClr>
                  </w14:solidFill>
                </w14:textFill>
              </w:rPr>
              <w:t>|</w:t>
            </w:r>
            <w:r w:rsidRPr="00A50FC3">
              <w:rPr>
                <w:rFonts w:hint="eastAsia"/>
                <w:color w:val="000000"/>
                <w:spacing w:val="4"/>
                <w:w w:val="33"/>
                <w:shd w:val="solid" w:color="000000" w:fill="000000"/>
                <w:fitText w:val="150" w:id="-1233454576"/>
                <w14:textFill>
                  <w14:solidFill>
                    <w14:srgbClr w14:val="000000">
                      <w14:alpha w14:val="100000"/>
                    </w14:srgbClr>
                  </w14:solidFill>
                </w14:textFill>
              </w:rPr>
              <w:t xml:space="preserve">　</w:t>
            </w:r>
            <w:r w:rsidR="00295039" w:rsidRPr="00295039">
              <w:t xml:space="preserve"> </w:t>
            </w:r>
            <w:r w:rsidR="00097E81">
              <w:rPr>
                <w:vertAlign w:val="superscript"/>
              </w:rPr>
              <w:t>2</w:t>
            </w:r>
          </w:p>
        </w:tc>
        <w:tc>
          <w:tcPr>
            <w:tcW w:w="714" w:type="pct"/>
            <w:shd w:val="clear" w:color="auto" w:fill="auto"/>
            <w:vAlign w:val="center"/>
          </w:tcPr>
          <w:p w14:paraId="07C53C87" w14:textId="00A3694A" w:rsidR="00D10922" w:rsidRPr="008E150E" w:rsidRDefault="00A50FC3" w:rsidP="00D10922">
            <w:pPr>
              <w:pStyle w:val="TableText0"/>
              <w:jc w:val="center"/>
              <w:rPr>
                <w:highlight w:val="lightGray"/>
              </w:rPr>
            </w:pPr>
            <w:r w:rsidRPr="00A50FC3">
              <w:rPr>
                <w:rFonts w:hint="eastAsia"/>
                <w:color w:val="000000"/>
                <w:w w:val="33"/>
                <w:shd w:val="solid" w:color="000000" w:fill="000000"/>
                <w:fitText w:val="150" w:id="-1233454592"/>
                <w14:textFill>
                  <w14:solidFill>
                    <w14:srgbClr w14:val="000000">
                      <w14:alpha w14:val="100000"/>
                    </w14:srgbClr>
                  </w14:solidFill>
                </w14:textFill>
              </w:rPr>
              <w:t xml:space="preserve">　</w:t>
            </w:r>
            <w:r w:rsidRPr="00A50FC3">
              <w:rPr>
                <w:color w:val="000000"/>
                <w:w w:val="33"/>
                <w:shd w:val="solid" w:color="000000" w:fill="000000"/>
                <w:fitText w:val="150" w:id="-1233454592"/>
                <w14:textFill>
                  <w14:solidFill>
                    <w14:srgbClr w14:val="000000">
                      <w14:alpha w14:val="100000"/>
                    </w14:srgbClr>
                  </w14:solidFill>
                </w14:textFill>
              </w:rPr>
              <w:t>|</w:t>
            </w:r>
            <w:r w:rsidRPr="00A50FC3">
              <w:rPr>
                <w:rFonts w:hint="eastAsia"/>
                <w:color w:val="000000"/>
                <w:spacing w:val="4"/>
                <w:w w:val="33"/>
                <w:shd w:val="solid" w:color="000000" w:fill="000000"/>
                <w:fitText w:val="150" w:id="-1233454592"/>
                <w14:textFill>
                  <w14:solidFill>
                    <w14:srgbClr w14:val="000000">
                      <w14:alpha w14:val="100000"/>
                    </w14:srgbClr>
                  </w14:solidFill>
                </w14:textFill>
              </w:rPr>
              <w:t xml:space="preserve">　</w:t>
            </w:r>
            <w:r w:rsidR="00295039" w:rsidRPr="00295039">
              <w:t xml:space="preserve"> </w:t>
            </w:r>
            <w:r w:rsidR="00097E81">
              <w:rPr>
                <w:vertAlign w:val="superscript"/>
              </w:rPr>
              <w:t>2</w:t>
            </w:r>
          </w:p>
        </w:tc>
        <w:tc>
          <w:tcPr>
            <w:tcW w:w="714" w:type="pct"/>
            <w:shd w:val="clear" w:color="auto" w:fill="auto"/>
            <w:vAlign w:val="center"/>
          </w:tcPr>
          <w:p w14:paraId="34AFB07B" w14:textId="3DEA9B4B" w:rsidR="00D10922" w:rsidRPr="008E150E" w:rsidRDefault="00A50FC3" w:rsidP="00D10922">
            <w:pPr>
              <w:pStyle w:val="TableText0"/>
              <w:jc w:val="center"/>
              <w:rPr>
                <w:highlight w:val="lightGray"/>
              </w:rPr>
            </w:pPr>
            <w:r w:rsidRPr="00B165BE">
              <w:rPr>
                <w:rFonts w:hint="eastAsia"/>
                <w:color w:val="000000"/>
                <w:w w:val="33"/>
                <w:shd w:val="solid" w:color="000000" w:fill="000000"/>
                <w:fitText w:val="150" w:id="-1233454591"/>
                <w14:textFill>
                  <w14:solidFill>
                    <w14:srgbClr w14:val="000000">
                      <w14:alpha w14:val="100000"/>
                    </w14:srgbClr>
                  </w14:solidFill>
                </w14:textFill>
              </w:rPr>
              <w:t xml:space="preserve">　</w:t>
            </w:r>
            <w:r w:rsidRPr="00B165BE">
              <w:rPr>
                <w:color w:val="000000"/>
                <w:w w:val="33"/>
                <w:shd w:val="solid" w:color="000000" w:fill="000000"/>
                <w:fitText w:val="150" w:id="-1233454591"/>
                <w14:textFill>
                  <w14:solidFill>
                    <w14:srgbClr w14:val="000000">
                      <w14:alpha w14:val="100000"/>
                    </w14:srgbClr>
                  </w14:solidFill>
                </w14:textFill>
              </w:rPr>
              <w:t>|</w:t>
            </w:r>
            <w:r w:rsidRPr="00B165BE">
              <w:rPr>
                <w:rFonts w:hint="eastAsia"/>
                <w:color w:val="000000"/>
                <w:spacing w:val="4"/>
                <w:w w:val="33"/>
                <w:shd w:val="solid" w:color="000000" w:fill="000000"/>
                <w:fitText w:val="150" w:id="-1233454591"/>
                <w14:textFill>
                  <w14:solidFill>
                    <w14:srgbClr w14:val="000000">
                      <w14:alpha w14:val="100000"/>
                    </w14:srgbClr>
                  </w14:solidFill>
                </w14:textFill>
              </w:rPr>
              <w:t xml:space="preserve">　</w:t>
            </w:r>
            <w:r w:rsidR="00295039" w:rsidRPr="00295039">
              <w:t xml:space="preserve"> </w:t>
            </w:r>
            <w:r w:rsidR="00097E81">
              <w:rPr>
                <w:vertAlign w:val="superscript"/>
              </w:rPr>
              <w:t>2</w:t>
            </w:r>
          </w:p>
        </w:tc>
        <w:tc>
          <w:tcPr>
            <w:tcW w:w="721" w:type="pct"/>
            <w:vAlign w:val="center"/>
          </w:tcPr>
          <w:p w14:paraId="53122351" w14:textId="1FC76490" w:rsidR="00D10922" w:rsidRPr="008E150E" w:rsidRDefault="00A50FC3" w:rsidP="00D10922">
            <w:pPr>
              <w:pStyle w:val="TableText0"/>
              <w:jc w:val="center"/>
              <w:rPr>
                <w:highlight w:val="lightGray"/>
              </w:rPr>
            </w:pPr>
            <w:r w:rsidRPr="00A50FC3">
              <w:rPr>
                <w:rFonts w:hint="eastAsia"/>
                <w:color w:val="000000"/>
                <w:w w:val="29"/>
                <w:shd w:val="solid" w:color="000000" w:fill="000000"/>
                <w:fitText w:val="130" w:id="-1233454590"/>
                <w14:textFill>
                  <w14:solidFill>
                    <w14:srgbClr w14:val="000000">
                      <w14:alpha w14:val="100000"/>
                    </w14:srgbClr>
                  </w14:solidFill>
                </w14:textFill>
              </w:rPr>
              <w:t xml:space="preserve">　</w:t>
            </w:r>
            <w:r w:rsidRPr="00A50FC3">
              <w:rPr>
                <w:color w:val="000000"/>
                <w:w w:val="29"/>
                <w:shd w:val="solid" w:color="000000" w:fill="000000"/>
                <w:fitText w:val="130" w:id="-1233454590"/>
                <w14:textFill>
                  <w14:solidFill>
                    <w14:srgbClr w14:val="000000">
                      <w14:alpha w14:val="100000"/>
                    </w14:srgbClr>
                  </w14:solidFill>
                </w14:textFill>
              </w:rPr>
              <w:t>|</w:t>
            </w:r>
            <w:r w:rsidRPr="00A50FC3">
              <w:rPr>
                <w:rFonts w:hint="eastAsia"/>
                <w:color w:val="000000"/>
                <w:spacing w:val="2"/>
                <w:w w:val="29"/>
                <w:shd w:val="solid" w:color="000000" w:fill="000000"/>
                <w:fitText w:val="130" w:id="-1233454590"/>
                <w14:textFill>
                  <w14:solidFill>
                    <w14:srgbClr w14:val="000000">
                      <w14:alpha w14:val="100000"/>
                    </w14:srgbClr>
                  </w14:solidFill>
                </w14:textFill>
              </w:rPr>
              <w:t xml:space="preserve">　</w:t>
            </w:r>
            <w:r w:rsidR="00295039" w:rsidRPr="00295039">
              <w:t xml:space="preserve"> </w:t>
            </w:r>
            <w:r w:rsidR="00097E81">
              <w:rPr>
                <w:vertAlign w:val="superscript"/>
              </w:rPr>
              <w:t>2</w:t>
            </w:r>
          </w:p>
        </w:tc>
      </w:tr>
      <w:tr w:rsidR="00D10922" w:rsidRPr="00B14B63" w14:paraId="0893FC7B" w14:textId="77777777" w:rsidTr="008E150E">
        <w:tc>
          <w:tcPr>
            <w:tcW w:w="784" w:type="pct"/>
            <w:shd w:val="clear" w:color="auto" w:fill="auto"/>
            <w:vAlign w:val="center"/>
          </w:tcPr>
          <w:p w14:paraId="35954C68" w14:textId="504BBF6C" w:rsidR="00D10922" w:rsidRPr="00B14B63" w:rsidRDefault="00D10922" w:rsidP="00D10922">
            <w:pPr>
              <w:pStyle w:val="TableText0"/>
              <w:rPr>
                <w:rFonts w:ascii="Times" w:hAnsi="Times"/>
                <w:vertAlign w:val="superscript"/>
              </w:rPr>
            </w:pPr>
            <w:r>
              <w:t>Total n</w:t>
            </w:r>
            <w:r w:rsidRPr="00B14B63">
              <w:t xml:space="preserve">umber of patients treated </w:t>
            </w:r>
          </w:p>
        </w:tc>
        <w:tc>
          <w:tcPr>
            <w:tcW w:w="639" w:type="pct"/>
            <w:shd w:val="clear" w:color="auto" w:fill="auto"/>
            <w:vAlign w:val="center"/>
          </w:tcPr>
          <w:p w14:paraId="3BA107A6" w14:textId="65063B54" w:rsidR="00D10922" w:rsidRPr="008E150E" w:rsidRDefault="00A50FC3" w:rsidP="00D10922">
            <w:pPr>
              <w:pStyle w:val="TableText0"/>
              <w:jc w:val="center"/>
              <w:rPr>
                <w:color w:val="000000"/>
                <w:highlight w:val="lightGray"/>
              </w:rPr>
            </w:pPr>
            <w:r w:rsidRPr="00A50FC3">
              <w:rPr>
                <w:color w:val="000000"/>
                <w:spacing w:val="46"/>
                <w:shd w:val="solid" w:color="000000" w:fill="000000"/>
                <w:fitText w:val="220" w:id="-1233454589"/>
                <w14:textFill>
                  <w14:solidFill>
                    <w14:srgbClr w14:val="000000">
                      <w14:alpha w14:val="100000"/>
                    </w14:srgbClr>
                  </w14:solidFill>
                </w14:textFill>
              </w:rPr>
              <w:t>||</w:t>
            </w:r>
            <w:r w:rsidRPr="00A50FC3">
              <w:rPr>
                <w:color w:val="000000"/>
                <w:spacing w:val="1"/>
                <w:shd w:val="solid" w:color="000000" w:fill="000000"/>
                <w:fitText w:val="220" w:id="-1233454589"/>
                <w14:textFill>
                  <w14:solidFill>
                    <w14:srgbClr w14:val="000000">
                      <w14:alpha w14:val="100000"/>
                    </w14:srgbClr>
                  </w14:solidFill>
                </w14:textFill>
              </w:rPr>
              <w:t>|</w:t>
            </w:r>
            <w:r w:rsidR="00295039" w:rsidRPr="00295039">
              <w:t xml:space="preserve"> </w:t>
            </w:r>
            <w:r w:rsidR="00097E81">
              <w:rPr>
                <w:vertAlign w:val="superscript"/>
              </w:rPr>
              <w:t>2</w:t>
            </w:r>
          </w:p>
        </w:tc>
        <w:tc>
          <w:tcPr>
            <w:tcW w:w="714" w:type="pct"/>
            <w:shd w:val="clear" w:color="auto" w:fill="auto"/>
            <w:vAlign w:val="center"/>
          </w:tcPr>
          <w:p w14:paraId="2BAF4B4A" w14:textId="5CDB3269" w:rsidR="00D10922" w:rsidRPr="008E150E" w:rsidRDefault="00A50FC3" w:rsidP="00D10922">
            <w:pPr>
              <w:pStyle w:val="TableText0"/>
              <w:jc w:val="center"/>
              <w:rPr>
                <w:color w:val="000000"/>
                <w:highlight w:val="lightGray"/>
              </w:rPr>
            </w:pPr>
            <w:r w:rsidRPr="00B165BE">
              <w:rPr>
                <w:rFonts w:hint="eastAsia"/>
                <w:color w:val="000000"/>
                <w:w w:val="33"/>
                <w:shd w:val="solid" w:color="000000" w:fill="000000"/>
                <w:fitText w:val="150" w:id="-1233454588"/>
                <w14:textFill>
                  <w14:solidFill>
                    <w14:srgbClr w14:val="000000">
                      <w14:alpha w14:val="100000"/>
                    </w14:srgbClr>
                  </w14:solidFill>
                </w14:textFill>
              </w:rPr>
              <w:t xml:space="preserve">　</w:t>
            </w:r>
            <w:r w:rsidRPr="00B165BE">
              <w:rPr>
                <w:color w:val="000000"/>
                <w:w w:val="33"/>
                <w:shd w:val="solid" w:color="000000" w:fill="000000"/>
                <w:fitText w:val="150" w:id="-1233454588"/>
                <w14:textFill>
                  <w14:solidFill>
                    <w14:srgbClr w14:val="000000">
                      <w14:alpha w14:val="100000"/>
                    </w14:srgbClr>
                  </w14:solidFill>
                </w14:textFill>
              </w:rPr>
              <w:t>|</w:t>
            </w:r>
            <w:r w:rsidRPr="00B165BE">
              <w:rPr>
                <w:rFonts w:hint="eastAsia"/>
                <w:color w:val="000000"/>
                <w:spacing w:val="4"/>
                <w:w w:val="33"/>
                <w:shd w:val="solid" w:color="000000" w:fill="000000"/>
                <w:fitText w:val="150" w:id="-1233454588"/>
                <w14:textFill>
                  <w14:solidFill>
                    <w14:srgbClr w14:val="000000">
                      <w14:alpha w14:val="100000"/>
                    </w14:srgbClr>
                  </w14:solidFill>
                </w14:textFill>
              </w:rPr>
              <w:t xml:space="preserve">　</w:t>
            </w:r>
            <w:r w:rsidR="00295039" w:rsidRPr="00295039">
              <w:t xml:space="preserve"> </w:t>
            </w:r>
            <w:r w:rsidR="00097E81">
              <w:rPr>
                <w:vertAlign w:val="superscript"/>
              </w:rPr>
              <w:t>2</w:t>
            </w:r>
          </w:p>
        </w:tc>
        <w:tc>
          <w:tcPr>
            <w:tcW w:w="714" w:type="pct"/>
            <w:shd w:val="clear" w:color="auto" w:fill="auto"/>
            <w:vAlign w:val="center"/>
          </w:tcPr>
          <w:p w14:paraId="7EE82381" w14:textId="70293AA9" w:rsidR="00D10922" w:rsidRPr="008E150E" w:rsidRDefault="00A50FC3" w:rsidP="00D10922">
            <w:pPr>
              <w:pStyle w:val="TableText0"/>
              <w:jc w:val="center"/>
              <w:rPr>
                <w:color w:val="000000"/>
                <w:highlight w:val="lightGray"/>
              </w:rPr>
            </w:pPr>
            <w:r w:rsidRPr="00A50FC3">
              <w:rPr>
                <w:rFonts w:hint="eastAsia"/>
                <w:color w:val="000000"/>
                <w:w w:val="33"/>
                <w:shd w:val="solid" w:color="000000" w:fill="000000"/>
                <w:fitText w:val="150" w:id="-1233454587"/>
                <w14:textFill>
                  <w14:solidFill>
                    <w14:srgbClr w14:val="000000">
                      <w14:alpha w14:val="100000"/>
                    </w14:srgbClr>
                  </w14:solidFill>
                </w14:textFill>
              </w:rPr>
              <w:t xml:space="preserve">　</w:t>
            </w:r>
            <w:r w:rsidRPr="00A50FC3">
              <w:rPr>
                <w:color w:val="000000"/>
                <w:w w:val="33"/>
                <w:shd w:val="solid" w:color="000000" w:fill="000000"/>
                <w:fitText w:val="150" w:id="-1233454587"/>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7"/>
                <w14:textFill>
                  <w14:solidFill>
                    <w14:srgbClr w14:val="000000">
                      <w14:alpha w14:val="100000"/>
                    </w14:srgbClr>
                  </w14:solidFill>
                </w14:textFill>
              </w:rPr>
              <w:t xml:space="preserve">　</w:t>
            </w:r>
            <w:r w:rsidR="00295039" w:rsidRPr="00295039">
              <w:t xml:space="preserve"> </w:t>
            </w:r>
            <w:r w:rsidR="00097E81">
              <w:rPr>
                <w:vertAlign w:val="superscript"/>
              </w:rPr>
              <w:t>2</w:t>
            </w:r>
          </w:p>
        </w:tc>
        <w:tc>
          <w:tcPr>
            <w:tcW w:w="714" w:type="pct"/>
            <w:shd w:val="clear" w:color="auto" w:fill="auto"/>
            <w:vAlign w:val="center"/>
          </w:tcPr>
          <w:p w14:paraId="2AA712F6" w14:textId="6C848328" w:rsidR="00D10922" w:rsidRPr="008E150E" w:rsidRDefault="00A50FC3" w:rsidP="00D10922">
            <w:pPr>
              <w:pStyle w:val="TableText0"/>
              <w:jc w:val="center"/>
              <w:rPr>
                <w:color w:val="000000"/>
                <w:highlight w:val="lightGray"/>
              </w:rPr>
            </w:pPr>
            <w:r w:rsidRPr="00A50FC3">
              <w:rPr>
                <w:rFonts w:hint="eastAsia"/>
                <w:color w:val="000000"/>
                <w:w w:val="33"/>
                <w:shd w:val="solid" w:color="000000" w:fill="000000"/>
                <w:fitText w:val="150" w:id="-1233454586"/>
                <w14:textFill>
                  <w14:solidFill>
                    <w14:srgbClr w14:val="000000">
                      <w14:alpha w14:val="100000"/>
                    </w14:srgbClr>
                  </w14:solidFill>
                </w14:textFill>
              </w:rPr>
              <w:t xml:space="preserve">　</w:t>
            </w:r>
            <w:r w:rsidRPr="00A50FC3">
              <w:rPr>
                <w:color w:val="000000"/>
                <w:w w:val="33"/>
                <w:shd w:val="solid" w:color="000000" w:fill="000000"/>
                <w:fitText w:val="150" w:id="-1233454586"/>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6"/>
                <w14:textFill>
                  <w14:solidFill>
                    <w14:srgbClr w14:val="000000">
                      <w14:alpha w14:val="100000"/>
                    </w14:srgbClr>
                  </w14:solidFill>
                </w14:textFill>
              </w:rPr>
              <w:t xml:space="preserve">　</w:t>
            </w:r>
            <w:r w:rsidR="00295039" w:rsidRPr="00295039">
              <w:t xml:space="preserve"> </w:t>
            </w:r>
            <w:r w:rsidR="00097E81">
              <w:rPr>
                <w:vertAlign w:val="superscript"/>
              </w:rPr>
              <w:t>2</w:t>
            </w:r>
          </w:p>
        </w:tc>
        <w:tc>
          <w:tcPr>
            <w:tcW w:w="714" w:type="pct"/>
            <w:shd w:val="clear" w:color="auto" w:fill="auto"/>
            <w:vAlign w:val="center"/>
          </w:tcPr>
          <w:p w14:paraId="668F2E06" w14:textId="5002EFAA" w:rsidR="00D10922" w:rsidRPr="008E150E" w:rsidRDefault="00A50FC3" w:rsidP="00D10922">
            <w:pPr>
              <w:pStyle w:val="TableText0"/>
              <w:jc w:val="center"/>
              <w:rPr>
                <w:color w:val="000000"/>
                <w:highlight w:val="lightGray"/>
              </w:rPr>
            </w:pPr>
            <w:r w:rsidRPr="00A50FC3">
              <w:rPr>
                <w:rFonts w:hint="eastAsia"/>
                <w:color w:val="000000"/>
                <w:w w:val="33"/>
                <w:shd w:val="solid" w:color="000000" w:fill="000000"/>
                <w:fitText w:val="150" w:id="-1233454585"/>
                <w14:textFill>
                  <w14:solidFill>
                    <w14:srgbClr w14:val="000000">
                      <w14:alpha w14:val="100000"/>
                    </w14:srgbClr>
                  </w14:solidFill>
                </w14:textFill>
              </w:rPr>
              <w:t xml:space="preserve">　</w:t>
            </w:r>
            <w:r w:rsidRPr="00A50FC3">
              <w:rPr>
                <w:color w:val="000000"/>
                <w:w w:val="33"/>
                <w:shd w:val="solid" w:color="000000" w:fill="000000"/>
                <w:fitText w:val="150" w:id="-1233454585"/>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5"/>
                <w14:textFill>
                  <w14:solidFill>
                    <w14:srgbClr w14:val="000000">
                      <w14:alpha w14:val="100000"/>
                    </w14:srgbClr>
                  </w14:solidFill>
                </w14:textFill>
              </w:rPr>
              <w:t xml:space="preserve">　</w:t>
            </w:r>
            <w:r w:rsidR="00295039" w:rsidRPr="00295039">
              <w:t xml:space="preserve"> </w:t>
            </w:r>
            <w:r w:rsidR="00097E81">
              <w:rPr>
                <w:vertAlign w:val="superscript"/>
              </w:rPr>
              <w:t>2</w:t>
            </w:r>
          </w:p>
        </w:tc>
        <w:tc>
          <w:tcPr>
            <w:tcW w:w="721" w:type="pct"/>
            <w:vAlign w:val="center"/>
          </w:tcPr>
          <w:p w14:paraId="1DE58109" w14:textId="03F22347" w:rsidR="00D10922" w:rsidRPr="008E150E" w:rsidRDefault="00A50FC3" w:rsidP="00D10922">
            <w:pPr>
              <w:pStyle w:val="TableText0"/>
              <w:jc w:val="center"/>
              <w:rPr>
                <w:color w:val="000000"/>
                <w:highlight w:val="lightGray"/>
              </w:rPr>
            </w:pPr>
            <w:r w:rsidRPr="00A50FC3">
              <w:rPr>
                <w:rFonts w:hint="eastAsia"/>
                <w:color w:val="000000"/>
                <w:w w:val="29"/>
                <w:shd w:val="solid" w:color="000000" w:fill="000000"/>
                <w:fitText w:val="130" w:id="-1233454584"/>
                <w14:textFill>
                  <w14:solidFill>
                    <w14:srgbClr w14:val="000000">
                      <w14:alpha w14:val="100000"/>
                    </w14:srgbClr>
                  </w14:solidFill>
                </w14:textFill>
              </w:rPr>
              <w:t xml:space="preserve">　</w:t>
            </w:r>
            <w:r w:rsidRPr="00A50FC3">
              <w:rPr>
                <w:color w:val="000000"/>
                <w:w w:val="29"/>
                <w:shd w:val="solid" w:color="000000" w:fill="000000"/>
                <w:fitText w:val="130" w:id="-1233454584"/>
                <w14:textFill>
                  <w14:solidFill>
                    <w14:srgbClr w14:val="000000">
                      <w14:alpha w14:val="100000"/>
                    </w14:srgbClr>
                  </w14:solidFill>
                </w14:textFill>
              </w:rPr>
              <w:t>|</w:t>
            </w:r>
            <w:r w:rsidRPr="00A50FC3">
              <w:rPr>
                <w:rFonts w:hint="eastAsia"/>
                <w:color w:val="000000"/>
                <w:spacing w:val="2"/>
                <w:w w:val="29"/>
                <w:shd w:val="solid" w:color="000000" w:fill="000000"/>
                <w:fitText w:val="130" w:id="-1233454584"/>
                <w14:textFill>
                  <w14:solidFill>
                    <w14:srgbClr w14:val="000000">
                      <w14:alpha w14:val="100000"/>
                    </w14:srgbClr>
                  </w14:solidFill>
                </w14:textFill>
              </w:rPr>
              <w:t xml:space="preserve">　</w:t>
            </w:r>
            <w:r w:rsidR="00295039" w:rsidRPr="00295039">
              <w:t xml:space="preserve"> </w:t>
            </w:r>
            <w:r w:rsidR="00097E81">
              <w:rPr>
                <w:vertAlign w:val="superscript"/>
              </w:rPr>
              <w:t>2</w:t>
            </w:r>
          </w:p>
        </w:tc>
      </w:tr>
      <w:tr w:rsidR="00D10922" w:rsidRPr="00B14B63" w14:paraId="01F830BD" w14:textId="77777777" w:rsidTr="008E150E">
        <w:tc>
          <w:tcPr>
            <w:tcW w:w="784" w:type="pct"/>
            <w:shd w:val="clear" w:color="auto" w:fill="auto"/>
            <w:vAlign w:val="center"/>
          </w:tcPr>
          <w:p w14:paraId="3049B5BA" w14:textId="53CA8BA4" w:rsidR="00D10922" w:rsidRPr="00B14B63" w:rsidRDefault="00D10922" w:rsidP="00D10922">
            <w:pPr>
              <w:pStyle w:val="TableText0"/>
              <w:rPr>
                <w:rFonts w:ascii="Times" w:hAnsi="Times"/>
                <w:vertAlign w:val="superscript"/>
              </w:rPr>
            </w:pPr>
            <w:r w:rsidRPr="00B14B63">
              <w:t>Number of scripts dispensed</w:t>
            </w:r>
            <w:r>
              <w:t xml:space="preserve"> </w:t>
            </w:r>
          </w:p>
        </w:tc>
        <w:tc>
          <w:tcPr>
            <w:tcW w:w="639" w:type="pct"/>
            <w:shd w:val="clear" w:color="auto" w:fill="auto"/>
            <w:vAlign w:val="center"/>
          </w:tcPr>
          <w:p w14:paraId="576F496D" w14:textId="00141E14" w:rsidR="00295039" w:rsidRPr="00295039" w:rsidRDefault="00A50FC3" w:rsidP="00D10922">
            <w:pPr>
              <w:pStyle w:val="TableText0"/>
              <w:jc w:val="center"/>
            </w:pPr>
            <w:r w:rsidRPr="00A50FC3">
              <w:rPr>
                <w:color w:val="000000"/>
                <w:spacing w:val="46"/>
                <w:shd w:val="solid" w:color="000000" w:fill="000000"/>
                <w:fitText w:val="220" w:id="-1233454583"/>
                <w14:textFill>
                  <w14:solidFill>
                    <w14:srgbClr w14:val="000000">
                      <w14:alpha w14:val="100000"/>
                    </w14:srgbClr>
                  </w14:solidFill>
                </w14:textFill>
              </w:rPr>
              <w:t>||</w:t>
            </w:r>
            <w:r w:rsidRPr="00A50FC3">
              <w:rPr>
                <w:color w:val="000000"/>
                <w:spacing w:val="1"/>
                <w:shd w:val="solid" w:color="000000" w:fill="000000"/>
                <w:fitText w:val="220" w:id="-1233454583"/>
                <w14:textFill>
                  <w14:solidFill>
                    <w14:srgbClr w14:val="000000">
                      <w14:alpha w14:val="100000"/>
                    </w14:srgbClr>
                  </w14:solidFill>
                </w14:textFill>
              </w:rPr>
              <w:t>|</w:t>
            </w:r>
            <w:r w:rsidR="00295039" w:rsidRPr="00295039">
              <w:t xml:space="preserve"> </w:t>
            </w:r>
            <w:r w:rsidR="00097E81">
              <w:rPr>
                <w:vertAlign w:val="superscript"/>
              </w:rPr>
              <w:t>3</w:t>
            </w:r>
            <w:r w:rsidR="00097E81">
              <w:t xml:space="preserve"> </w:t>
            </w:r>
            <w:r w:rsidR="00295039" w:rsidRPr="00295039">
              <w:t xml:space="preserve"> </w:t>
            </w:r>
          </w:p>
          <w:p w14:paraId="64A15705" w14:textId="3B16094B" w:rsidR="00D10922" w:rsidRPr="008E150E" w:rsidRDefault="00D10922" w:rsidP="00D10922">
            <w:pPr>
              <w:pStyle w:val="TableText0"/>
              <w:jc w:val="center"/>
              <w:rPr>
                <w:color w:val="000000"/>
                <w:highlight w:val="lightGray"/>
              </w:rPr>
            </w:pPr>
          </w:p>
        </w:tc>
        <w:tc>
          <w:tcPr>
            <w:tcW w:w="714" w:type="pct"/>
            <w:shd w:val="clear" w:color="auto" w:fill="auto"/>
            <w:vAlign w:val="center"/>
          </w:tcPr>
          <w:p w14:paraId="132D1960" w14:textId="23F85582" w:rsidR="00295039" w:rsidRPr="00295039" w:rsidRDefault="00A50FC3" w:rsidP="00D10922">
            <w:pPr>
              <w:pStyle w:val="TableText0"/>
              <w:jc w:val="center"/>
            </w:pPr>
            <w:r w:rsidRPr="00A50FC3">
              <w:rPr>
                <w:rFonts w:hint="eastAsia"/>
                <w:color w:val="000000"/>
                <w:w w:val="33"/>
                <w:shd w:val="solid" w:color="000000" w:fill="000000"/>
                <w:fitText w:val="150" w:id="-1233454582"/>
                <w14:textFill>
                  <w14:solidFill>
                    <w14:srgbClr w14:val="000000">
                      <w14:alpha w14:val="100000"/>
                    </w14:srgbClr>
                  </w14:solidFill>
                </w14:textFill>
              </w:rPr>
              <w:t xml:space="preserve">　</w:t>
            </w:r>
            <w:r w:rsidRPr="00A50FC3">
              <w:rPr>
                <w:color w:val="000000"/>
                <w:w w:val="33"/>
                <w:shd w:val="solid" w:color="000000" w:fill="000000"/>
                <w:fitText w:val="150" w:id="-1233454582"/>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2"/>
                <w14:textFill>
                  <w14:solidFill>
                    <w14:srgbClr w14:val="000000">
                      <w14:alpha w14:val="100000"/>
                    </w14:srgbClr>
                  </w14:solidFill>
                </w14:textFill>
              </w:rPr>
              <w:t xml:space="preserve">　</w:t>
            </w:r>
            <w:r w:rsidR="00295039" w:rsidRPr="00295039">
              <w:t xml:space="preserve"> </w:t>
            </w:r>
            <w:r w:rsidR="00097E81">
              <w:rPr>
                <w:vertAlign w:val="superscript"/>
              </w:rPr>
              <w:t>3</w:t>
            </w:r>
          </w:p>
          <w:p w14:paraId="00A2F571" w14:textId="6360C9DD" w:rsidR="00D10922" w:rsidRPr="008E150E" w:rsidRDefault="00D10922" w:rsidP="00D10922">
            <w:pPr>
              <w:pStyle w:val="TableText0"/>
              <w:jc w:val="center"/>
              <w:rPr>
                <w:color w:val="000000"/>
                <w:highlight w:val="lightGray"/>
              </w:rPr>
            </w:pPr>
          </w:p>
        </w:tc>
        <w:tc>
          <w:tcPr>
            <w:tcW w:w="714" w:type="pct"/>
            <w:shd w:val="clear" w:color="auto" w:fill="auto"/>
            <w:vAlign w:val="center"/>
          </w:tcPr>
          <w:p w14:paraId="7B99DBC7" w14:textId="4A6B96E0" w:rsidR="00295039" w:rsidRPr="00295039" w:rsidRDefault="00A50FC3" w:rsidP="00D10922">
            <w:pPr>
              <w:pStyle w:val="TableText0"/>
              <w:jc w:val="center"/>
            </w:pPr>
            <w:r w:rsidRPr="00A50FC3">
              <w:rPr>
                <w:rFonts w:hint="eastAsia"/>
                <w:color w:val="000000"/>
                <w:w w:val="33"/>
                <w:shd w:val="solid" w:color="000000" w:fill="000000"/>
                <w:fitText w:val="150" w:id="-1233454581"/>
                <w14:textFill>
                  <w14:solidFill>
                    <w14:srgbClr w14:val="000000">
                      <w14:alpha w14:val="100000"/>
                    </w14:srgbClr>
                  </w14:solidFill>
                </w14:textFill>
              </w:rPr>
              <w:t xml:space="preserve">　</w:t>
            </w:r>
            <w:r w:rsidRPr="00A50FC3">
              <w:rPr>
                <w:color w:val="000000"/>
                <w:w w:val="33"/>
                <w:shd w:val="solid" w:color="000000" w:fill="000000"/>
                <w:fitText w:val="150" w:id="-1233454581"/>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1"/>
                <w14:textFill>
                  <w14:solidFill>
                    <w14:srgbClr w14:val="000000">
                      <w14:alpha w14:val="100000"/>
                    </w14:srgbClr>
                  </w14:solidFill>
                </w14:textFill>
              </w:rPr>
              <w:t xml:space="preserve">　</w:t>
            </w:r>
            <w:r w:rsidR="00295039" w:rsidRPr="00295039">
              <w:t xml:space="preserve"> </w:t>
            </w:r>
            <w:r w:rsidR="00097E81">
              <w:rPr>
                <w:vertAlign w:val="superscript"/>
              </w:rPr>
              <w:t>4</w:t>
            </w:r>
            <w:r w:rsidR="00097E81">
              <w:t xml:space="preserve"> </w:t>
            </w:r>
            <w:r w:rsidR="00295039" w:rsidRPr="00295039">
              <w:t xml:space="preserve"> </w:t>
            </w:r>
          </w:p>
          <w:p w14:paraId="06AEB284" w14:textId="4433358B" w:rsidR="00D10922" w:rsidRPr="008E150E" w:rsidRDefault="00D10922" w:rsidP="00D10922">
            <w:pPr>
              <w:pStyle w:val="TableText0"/>
              <w:jc w:val="center"/>
              <w:rPr>
                <w:color w:val="000000"/>
                <w:highlight w:val="lightGray"/>
              </w:rPr>
            </w:pPr>
          </w:p>
        </w:tc>
        <w:tc>
          <w:tcPr>
            <w:tcW w:w="714" w:type="pct"/>
            <w:shd w:val="clear" w:color="auto" w:fill="auto"/>
            <w:vAlign w:val="center"/>
          </w:tcPr>
          <w:p w14:paraId="58C40002" w14:textId="684F2F4C" w:rsidR="00295039" w:rsidRPr="00295039" w:rsidRDefault="00A50FC3" w:rsidP="00D10922">
            <w:pPr>
              <w:pStyle w:val="TableText0"/>
              <w:jc w:val="center"/>
            </w:pPr>
            <w:r w:rsidRPr="00A50FC3">
              <w:rPr>
                <w:rFonts w:hint="eastAsia"/>
                <w:color w:val="000000"/>
                <w:w w:val="33"/>
                <w:shd w:val="solid" w:color="000000" w:fill="000000"/>
                <w:fitText w:val="150" w:id="-1233454580"/>
                <w14:textFill>
                  <w14:solidFill>
                    <w14:srgbClr w14:val="000000">
                      <w14:alpha w14:val="100000"/>
                    </w14:srgbClr>
                  </w14:solidFill>
                </w14:textFill>
              </w:rPr>
              <w:t xml:space="preserve">　</w:t>
            </w:r>
            <w:r w:rsidRPr="00A50FC3">
              <w:rPr>
                <w:color w:val="000000"/>
                <w:w w:val="33"/>
                <w:shd w:val="solid" w:color="000000" w:fill="000000"/>
                <w:fitText w:val="150" w:id="-1233454580"/>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0"/>
                <w14:textFill>
                  <w14:solidFill>
                    <w14:srgbClr w14:val="000000">
                      <w14:alpha w14:val="100000"/>
                    </w14:srgbClr>
                  </w14:solidFill>
                </w14:textFill>
              </w:rPr>
              <w:t xml:space="preserve">　</w:t>
            </w:r>
            <w:r w:rsidR="00295039" w:rsidRPr="00295039">
              <w:t xml:space="preserve"> </w:t>
            </w:r>
            <w:r w:rsidR="00097E81">
              <w:rPr>
                <w:vertAlign w:val="superscript"/>
              </w:rPr>
              <w:t>4</w:t>
            </w:r>
            <w:r w:rsidR="00097E81">
              <w:t xml:space="preserve"> </w:t>
            </w:r>
            <w:r w:rsidR="00295039" w:rsidRPr="00295039">
              <w:t xml:space="preserve"> </w:t>
            </w:r>
          </w:p>
          <w:p w14:paraId="770329D9" w14:textId="589149AB" w:rsidR="00D10922" w:rsidRPr="008A6816" w:rsidRDefault="00D10922" w:rsidP="00D10922">
            <w:pPr>
              <w:pStyle w:val="TableText0"/>
              <w:jc w:val="center"/>
              <w:rPr>
                <w:color w:val="000000"/>
                <w:highlight w:val="lightGray"/>
              </w:rPr>
            </w:pPr>
          </w:p>
        </w:tc>
        <w:tc>
          <w:tcPr>
            <w:tcW w:w="714" w:type="pct"/>
            <w:shd w:val="clear" w:color="auto" w:fill="auto"/>
            <w:vAlign w:val="center"/>
          </w:tcPr>
          <w:p w14:paraId="4A57247E" w14:textId="5C784BD0" w:rsidR="00295039" w:rsidRPr="00295039" w:rsidRDefault="00A50FC3" w:rsidP="00D10922">
            <w:pPr>
              <w:pStyle w:val="TableText0"/>
              <w:jc w:val="center"/>
            </w:pPr>
            <w:r w:rsidRPr="00A50FC3">
              <w:rPr>
                <w:rFonts w:hint="eastAsia"/>
                <w:color w:val="000000"/>
                <w:w w:val="33"/>
                <w:shd w:val="solid" w:color="000000" w:fill="000000"/>
                <w:fitText w:val="150" w:id="-1233454579"/>
                <w14:textFill>
                  <w14:solidFill>
                    <w14:srgbClr w14:val="000000">
                      <w14:alpha w14:val="100000"/>
                    </w14:srgbClr>
                  </w14:solidFill>
                </w14:textFill>
              </w:rPr>
              <w:t xml:space="preserve">　</w:t>
            </w:r>
            <w:r w:rsidRPr="00A50FC3">
              <w:rPr>
                <w:color w:val="000000"/>
                <w:w w:val="33"/>
                <w:shd w:val="solid" w:color="000000" w:fill="000000"/>
                <w:fitText w:val="150" w:id="-1233454579"/>
                <w14:textFill>
                  <w14:solidFill>
                    <w14:srgbClr w14:val="000000">
                      <w14:alpha w14:val="100000"/>
                    </w14:srgbClr>
                  </w14:solidFill>
                </w14:textFill>
              </w:rPr>
              <w:t>|</w:t>
            </w:r>
            <w:r w:rsidRPr="00A50FC3">
              <w:rPr>
                <w:rFonts w:hint="eastAsia"/>
                <w:color w:val="000000"/>
                <w:spacing w:val="4"/>
                <w:w w:val="33"/>
                <w:shd w:val="solid" w:color="000000" w:fill="000000"/>
                <w:fitText w:val="150" w:id="-1233454579"/>
                <w14:textFill>
                  <w14:solidFill>
                    <w14:srgbClr w14:val="000000">
                      <w14:alpha w14:val="100000"/>
                    </w14:srgbClr>
                  </w14:solidFill>
                </w14:textFill>
              </w:rPr>
              <w:t xml:space="preserve">　</w:t>
            </w:r>
            <w:r w:rsidR="00295039" w:rsidRPr="00295039">
              <w:t xml:space="preserve"> </w:t>
            </w:r>
            <w:r w:rsidR="00097E81">
              <w:rPr>
                <w:vertAlign w:val="superscript"/>
              </w:rPr>
              <w:t>5</w:t>
            </w:r>
            <w:r w:rsidR="00295039" w:rsidRPr="00295039">
              <w:t xml:space="preserve"> </w:t>
            </w:r>
          </w:p>
          <w:p w14:paraId="4F696281" w14:textId="7241333A" w:rsidR="00D10922" w:rsidRPr="008A6816" w:rsidRDefault="00D10922" w:rsidP="00D10922">
            <w:pPr>
              <w:pStyle w:val="TableText0"/>
              <w:jc w:val="center"/>
              <w:rPr>
                <w:color w:val="000000"/>
                <w:highlight w:val="lightGray"/>
              </w:rPr>
            </w:pPr>
          </w:p>
        </w:tc>
        <w:tc>
          <w:tcPr>
            <w:tcW w:w="721" w:type="pct"/>
            <w:vAlign w:val="center"/>
          </w:tcPr>
          <w:p w14:paraId="3A7B1692" w14:textId="3D6294B3" w:rsidR="00295039" w:rsidRPr="00295039" w:rsidRDefault="00A50FC3" w:rsidP="00D10922">
            <w:pPr>
              <w:pStyle w:val="TableText0"/>
              <w:jc w:val="center"/>
            </w:pPr>
            <w:r w:rsidRPr="00A50FC3">
              <w:rPr>
                <w:rFonts w:hint="eastAsia"/>
                <w:color w:val="000000"/>
                <w:w w:val="29"/>
                <w:shd w:val="solid" w:color="000000" w:fill="000000"/>
                <w:fitText w:val="130" w:id="-1233454578"/>
                <w14:textFill>
                  <w14:solidFill>
                    <w14:srgbClr w14:val="000000">
                      <w14:alpha w14:val="100000"/>
                    </w14:srgbClr>
                  </w14:solidFill>
                </w14:textFill>
              </w:rPr>
              <w:t xml:space="preserve">　</w:t>
            </w:r>
            <w:r w:rsidRPr="00A50FC3">
              <w:rPr>
                <w:color w:val="000000"/>
                <w:w w:val="29"/>
                <w:shd w:val="solid" w:color="000000" w:fill="000000"/>
                <w:fitText w:val="130" w:id="-1233454578"/>
                <w14:textFill>
                  <w14:solidFill>
                    <w14:srgbClr w14:val="000000">
                      <w14:alpha w14:val="100000"/>
                    </w14:srgbClr>
                  </w14:solidFill>
                </w14:textFill>
              </w:rPr>
              <w:t>|</w:t>
            </w:r>
            <w:r w:rsidRPr="00A50FC3">
              <w:rPr>
                <w:rFonts w:hint="eastAsia"/>
                <w:color w:val="000000"/>
                <w:spacing w:val="2"/>
                <w:w w:val="29"/>
                <w:shd w:val="solid" w:color="000000" w:fill="000000"/>
                <w:fitText w:val="130" w:id="-1233454578"/>
                <w14:textFill>
                  <w14:solidFill>
                    <w14:srgbClr w14:val="000000">
                      <w14:alpha w14:val="100000"/>
                    </w14:srgbClr>
                  </w14:solidFill>
                </w14:textFill>
              </w:rPr>
              <w:t xml:space="preserve">　</w:t>
            </w:r>
            <w:r w:rsidR="00295039" w:rsidRPr="00295039">
              <w:t xml:space="preserve"> </w:t>
            </w:r>
            <w:r w:rsidR="00097E81">
              <w:rPr>
                <w:vertAlign w:val="superscript"/>
              </w:rPr>
              <w:t>5</w:t>
            </w:r>
            <w:r w:rsidR="00295039" w:rsidRPr="00295039">
              <w:t xml:space="preserve"> </w:t>
            </w:r>
          </w:p>
          <w:p w14:paraId="18F4CA0E" w14:textId="0C1FC952" w:rsidR="00D10922" w:rsidRPr="008A6816" w:rsidRDefault="00D10922" w:rsidP="00D10922">
            <w:pPr>
              <w:pStyle w:val="TableText0"/>
              <w:jc w:val="center"/>
              <w:rPr>
                <w:color w:val="000000"/>
                <w:highlight w:val="lightGray"/>
              </w:rPr>
            </w:pPr>
          </w:p>
        </w:tc>
      </w:tr>
      <w:tr w:rsidR="00D10922" w:rsidRPr="00B14B63" w14:paraId="21F5EFEE" w14:textId="77777777" w:rsidTr="00DA3378">
        <w:tc>
          <w:tcPr>
            <w:tcW w:w="5000" w:type="pct"/>
            <w:gridSpan w:val="7"/>
            <w:shd w:val="clear" w:color="auto" w:fill="auto"/>
            <w:vAlign w:val="center"/>
          </w:tcPr>
          <w:p w14:paraId="7F05F0DB" w14:textId="77777777" w:rsidR="00D10922" w:rsidRPr="00B14B63" w:rsidRDefault="00D10922" w:rsidP="00D10922">
            <w:pPr>
              <w:pStyle w:val="In-tableHeading"/>
              <w:rPr>
                <w:lang w:val="en-AU"/>
              </w:rPr>
            </w:pPr>
            <w:r w:rsidRPr="00B14B63">
              <w:rPr>
                <w:lang w:val="en-AU"/>
              </w:rPr>
              <w:t>Net financial implications</w:t>
            </w:r>
          </w:p>
        </w:tc>
      </w:tr>
      <w:tr w:rsidR="00D10922" w:rsidRPr="00B14B63" w14:paraId="66EEC58A" w14:textId="2B3A434E" w:rsidTr="008A6816">
        <w:tc>
          <w:tcPr>
            <w:tcW w:w="784" w:type="pct"/>
            <w:shd w:val="clear" w:color="auto" w:fill="auto"/>
            <w:vAlign w:val="center"/>
          </w:tcPr>
          <w:p w14:paraId="7302465D" w14:textId="384406AA" w:rsidR="00D10922" w:rsidRPr="00B14B63" w:rsidRDefault="00D10922" w:rsidP="00D10922">
            <w:pPr>
              <w:pStyle w:val="TableText0"/>
              <w:rPr>
                <w:sz w:val="19"/>
                <w:szCs w:val="19"/>
                <w:vertAlign w:val="superscript"/>
              </w:rPr>
            </w:pPr>
            <w:r w:rsidRPr="00B14B63">
              <w:rPr>
                <w:sz w:val="19"/>
                <w:szCs w:val="19"/>
              </w:rPr>
              <w:t>Net cost to PBS/RPBS</w:t>
            </w:r>
            <w:r>
              <w:rPr>
                <w:sz w:val="19"/>
                <w:szCs w:val="19"/>
              </w:rPr>
              <w:t xml:space="preserve"> </w:t>
            </w:r>
          </w:p>
        </w:tc>
        <w:tc>
          <w:tcPr>
            <w:tcW w:w="639" w:type="pct"/>
            <w:shd w:val="clear" w:color="auto" w:fill="auto"/>
            <w:vAlign w:val="center"/>
          </w:tcPr>
          <w:p w14:paraId="395253DF" w14:textId="0822B747" w:rsidR="00D10922" w:rsidRPr="008A6816" w:rsidRDefault="00A50FC3" w:rsidP="00D10922">
            <w:pPr>
              <w:pStyle w:val="TableText0"/>
              <w:jc w:val="center"/>
              <w:rPr>
                <w:highlight w:val="lightGray"/>
              </w:rPr>
            </w:pPr>
            <w:r w:rsidRPr="00A50FC3">
              <w:rPr>
                <w:color w:val="000000"/>
                <w:spacing w:val="46"/>
                <w:shd w:val="solid" w:color="000000" w:fill="000000"/>
                <w:fitText w:val="220" w:id="-1233454577"/>
                <w14:textFill>
                  <w14:solidFill>
                    <w14:srgbClr w14:val="000000">
                      <w14:alpha w14:val="100000"/>
                    </w14:srgbClr>
                  </w14:solidFill>
                </w14:textFill>
              </w:rPr>
              <w:t>||</w:t>
            </w:r>
            <w:r w:rsidRPr="00A50FC3">
              <w:rPr>
                <w:color w:val="000000"/>
                <w:spacing w:val="1"/>
                <w:shd w:val="solid" w:color="000000" w:fill="000000"/>
                <w:fitText w:val="220" w:id="-1233454577"/>
                <w14:textFill>
                  <w14:solidFill>
                    <w14:srgbClr w14:val="000000">
                      <w14:alpha w14:val="100000"/>
                    </w14:srgbClr>
                  </w14:solidFill>
                </w14:textFill>
              </w:rPr>
              <w:t>|</w:t>
            </w:r>
            <w:r w:rsidR="00295039" w:rsidRPr="00295039">
              <w:t xml:space="preserve"> </w:t>
            </w:r>
            <w:r w:rsidR="00097E81">
              <w:rPr>
                <w:vertAlign w:val="superscript"/>
              </w:rPr>
              <w:t>6</w:t>
            </w:r>
          </w:p>
        </w:tc>
        <w:tc>
          <w:tcPr>
            <w:tcW w:w="714" w:type="pct"/>
            <w:shd w:val="clear" w:color="auto" w:fill="auto"/>
            <w:vAlign w:val="center"/>
          </w:tcPr>
          <w:p w14:paraId="2668760B" w14:textId="5D2CDFFD"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76"/>
                <w14:textFill>
                  <w14:solidFill>
                    <w14:srgbClr w14:val="000000">
                      <w14:alpha w14:val="100000"/>
                    </w14:srgbClr>
                  </w14:solidFill>
                </w14:textFill>
              </w:rPr>
              <w:t xml:space="preserve">　</w:t>
            </w:r>
            <w:r w:rsidRPr="00A50FC3">
              <w:rPr>
                <w:color w:val="000000"/>
                <w:w w:val="33"/>
                <w:shd w:val="solid" w:color="000000" w:fill="000000"/>
                <w:fitText w:val="150" w:id="-1233454576"/>
                <w14:textFill>
                  <w14:solidFill>
                    <w14:srgbClr w14:val="000000">
                      <w14:alpha w14:val="100000"/>
                    </w14:srgbClr>
                  </w14:solidFill>
                </w14:textFill>
              </w:rPr>
              <w:t>|</w:t>
            </w:r>
            <w:r w:rsidRPr="00A50FC3">
              <w:rPr>
                <w:rFonts w:hint="eastAsia"/>
                <w:color w:val="000000"/>
                <w:spacing w:val="4"/>
                <w:w w:val="33"/>
                <w:shd w:val="solid" w:color="000000" w:fill="000000"/>
                <w:fitText w:val="150" w:id="-1233454576"/>
                <w14:textFill>
                  <w14:solidFill>
                    <w14:srgbClr w14:val="000000">
                      <w14:alpha w14:val="100000"/>
                    </w14:srgbClr>
                  </w14:solidFill>
                </w14:textFill>
              </w:rPr>
              <w:t xml:space="preserve">　</w:t>
            </w:r>
            <w:r w:rsidR="00295039" w:rsidRPr="00295039">
              <w:t xml:space="preserve"> </w:t>
            </w:r>
            <w:r w:rsidR="00097E81">
              <w:rPr>
                <w:vertAlign w:val="superscript"/>
              </w:rPr>
              <w:t>6</w:t>
            </w:r>
            <w:r w:rsidR="00295039" w:rsidRPr="00295039">
              <w:t xml:space="preserve"> </w:t>
            </w:r>
          </w:p>
        </w:tc>
        <w:tc>
          <w:tcPr>
            <w:tcW w:w="714" w:type="pct"/>
            <w:shd w:val="clear" w:color="auto" w:fill="auto"/>
            <w:vAlign w:val="center"/>
          </w:tcPr>
          <w:p w14:paraId="647F6E2B" w14:textId="09AE9C64"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92"/>
                <w14:textFill>
                  <w14:solidFill>
                    <w14:srgbClr w14:val="000000">
                      <w14:alpha w14:val="100000"/>
                    </w14:srgbClr>
                  </w14:solidFill>
                </w14:textFill>
              </w:rPr>
              <w:t xml:space="preserve">　</w:t>
            </w:r>
            <w:r w:rsidRPr="00A50FC3">
              <w:rPr>
                <w:color w:val="000000"/>
                <w:w w:val="33"/>
                <w:shd w:val="solid" w:color="000000" w:fill="000000"/>
                <w:fitText w:val="150" w:id="-1233454592"/>
                <w14:textFill>
                  <w14:solidFill>
                    <w14:srgbClr w14:val="000000">
                      <w14:alpha w14:val="100000"/>
                    </w14:srgbClr>
                  </w14:solidFill>
                </w14:textFill>
              </w:rPr>
              <w:t>|</w:t>
            </w:r>
            <w:r w:rsidRPr="00A50FC3">
              <w:rPr>
                <w:rFonts w:hint="eastAsia"/>
                <w:color w:val="000000"/>
                <w:spacing w:val="4"/>
                <w:w w:val="33"/>
                <w:shd w:val="solid" w:color="000000" w:fill="000000"/>
                <w:fitText w:val="150" w:id="-1233454592"/>
                <w14:textFill>
                  <w14:solidFill>
                    <w14:srgbClr w14:val="000000">
                      <w14:alpha w14:val="100000"/>
                    </w14:srgbClr>
                  </w14:solidFill>
                </w14:textFill>
              </w:rPr>
              <w:t xml:space="preserve">　</w:t>
            </w:r>
            <w:r w:rsidR="00295039" w:rsidRPr="00295039">
              <w:t xml:space="preserve"> </w:t>
            </w:r>
            <w:r w:rsidR="00097E81">
              <w:rPr>
                <w:vertAlign w:val="superscript"/>
              </w:rPr>
              <w:t>6</w:t>
            </w:r>
          </w:p>
        </w:tc>
        <w:tc>
          <w:tcPr>
            <w:tcW w:w="714" w:type="pct"/>
            <w:shd w:val="clear" w:color="auto" w:fill="auto"/>
            <w:vAlign w:val="center"/>
          </w:tcPr>
          <w:p w14:paraId="07B24270" w14:textId="3EA9BD52"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91"/>
                <w14:textFill>
                  <w14:solidFill>
                    <w14:srgbClr w14:val="000000">
                      <w14:alpha w14:val="100000"/>
                    </w14:srgbClr>
                  </w14:solidFill>
                </w14:textFill>
              </w:rPr>
              <w:t xml:space="preserve">　</w:t>
            </w:r>
            <w:r w:rsidRPr="00A50FC3">
              <w:rPr>
                <w:color w:val="000000"/>
                <w:w w:val="33"/>
                <w:shd w:val="solid" w:color="000000" w:fill="000000"/>
                <w:fitText w:val="150" w:id="-1233454591"/>
                <w14:textFill>
                  <w14:solidFill>
                    <w14:srgbClr w14:val="000000">
                      <w14:alpha w14:val="100000"/>
                    </w14:srgbClr>
                  </w14:solidFill>
                </w14:textFill>
              </w:rPr>
              <w:t>|</w:t>
            </w:r>
            <w:r w:rsidRPr="00A50FC3">
              <w:rPr>
                <w:rFonts w:hint="eastAsia"/>
                <w:color w:val="000000"/>
                <w:spacing w:val="4"/>
                <w:w w:val="33"/>
                <w:shd w:val="solid" w:color="000000" w:fill="000000"/>
                <w:fitText w:val="150" w:id="-1233454591"/>
                <w14:textFill>
                  <w14:solidFill>
                    <w14:srgbClr w14:val="000000">
                      <w14:alpha w14:val="100000"/>
                    </w14:srgbClr>
                  </w14:solidFill>
                </w14:textFill>
              </w:rPr>
              <w:t xml:space="preserve">　</w:t>
            </w:r>
            <w:r w:rsidR="00295039" w:rsidRPr="00295039">
              <w:t xml:space="preserve"> </w:t>
            </w:r>
            <w:r w:rsidR="00097E81">
              <w:rPr>
                <w:vertAlign w:val="superscript"/>
              </w:rPr>
              <w:t>6</w:t>
            </w:r>
          </w:p>
        </w:tc>
        <w:tc>
          <w:tcPr>
            <w:tcW w:w="714" w:type="pct"/>
            <w:shd w:val="clear" w:color="auto" w:fill="auto"/>
            <w:vAlign w:val="center"/>
          </w:tcPr>
          <w:p w14:paraId="5CAB7BDB" w14:textId="60486D10"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90"/>
                <w14:textFill>
                  <w14:solidFill>
                    <w14:srgbClr w14:val="000000">
                      <w14:alpha w14:val="100000"/>
                    </w14:srgbClr>
                  </w14:solidFill>
                </w14:textFill>
              </w:rPr>
              <w:t xml:space="preserve">　</w:t>
            </w:r>
            <w:r w:rsidRPr="00A50FC3">
              <w:rPr>
                <w:color w:val="000000"/>
                <w:w w:val="33"/>
                <w:shd w:val="solid" w:color="000000" w:fill="000000"/>
                <w:fitText w:val="150" w:id="-1233454590"/>
                <w14:textFill>
                  <w14:solidFill>
                    <w14:srgbClr w14:val="000000">
                      <w14:alpha w14:val="100000"/>
                    </w14:srgbClr>
                  </w14:solidFill>
                </w14:textFill>
              </w:rPr>
              <w:t>|</w:t>
            </w:r>
            <w:r w:rsidRPr="00A50FC3">
              <w:rPr>
                <w:rFonts w:hint="eastAsia"/>
                <w:color w:val="000000"/>
                <w:spacing w:val="4"/>
                <w:w w:val="33"/>
                <w:shd w:val="solid" w:color="000000" w:fill="000000"/>
                <w:fitText w:val="150" w:id="-1233454590"/>
                <w14:textFill>
                  <w14:solidFill>
                    <w14:srgbClr w14:val="000000">
                      <w14:alpha w14:val="100000"/>
                    </w14:srgbClr>
                  </w14:solidFill>
                </w14:textFill>
              </w:rPr>
              <w:t xml:space="preserve">　</w:t>
            </w:r>
            <w:r w:rsidR="00295039" w:rsidRPr="00295039">
              <w:t xml:space="preserve"> </w:t>
            </w:r>
            <w:r w:rsidR="00097E81">
              <w:rPr>
                <w:vertAlign w:val="superscript"/>
              </w:rPr>
              <w:t>7</w:t>
            </w:r>
          </w:p>
        </w:tc>
        <w:tc>
          <w:tcPr>
            <w:tcW w:w="721" w:type="pct"/>
            <w:vAlign w:val="center"/>
          </w:tcPr>
          <w:p w14:paraId="39BB711A" w14:textId="082BE0A1" w:rsidR="00D10922" w:rsidRPr="008A6816" w:rsidRDefault="00A50FC3" w:rsidP="00D10922">
            <w:pPr>
              <w:pStyle w:val="TableText0"/>
              <w:jc w:val="center"/>
              <w:rPr>
                <w:highlight w:val="lightGray"/>
              </w:rPr>
            </w:pPr>
            <w:r w:rsidRPr="00A50FC3">
              <w:rPr>
                <w:rFonts w:hint="eastAsia"/>
                <w:color w:val="000000"/>
                <w:w w:val="29"/>
                <w:shd w:val="solid" w:color="000000" w:fill="000000"/>
                <w:fitText w:val="130" w:id="-1233454589"/>
                <w14:textFill>
                  <w14:solidFill>
                    <w14:srgbClr w14:val="000000">
                      <w14:alpha w14:val="100000"/>
                    </w14:srgbClr>
                  </w14:solidFill>
                </w14:textFill>
              </w:rPr>
              <w:t xml:space="preserve">　</w:t>
            </w:r>
            <w:r w:rsidRPr="00A50FC3">
              <w:rPr>
                <w:color w:val="000000"/>
                <w:w w:val="29"/>
                <w:shd w:val="solid" w:color="000000" w:fill="000000"/>
                <w:fitText w:val="130" w:id="-1233454589"/>
                <w14:textFill>
                  <w14:solidFill>
                    <w14:srgbClr w14:val="000000">
                      <w14:alpha w14:val="100000"/>
                    </w14:srgbClr>
                  </w14:solidFill>
                </w14:textFill>
              </w:rPr>
              <w:t>|</w:t>
            </w:r>
            <w:r w:rsidRPr="00A50FC3">
              <w:rPr>
                <w:rFonts w:hint="eastAsia"/>
                <w:color w:val="000000"/>
                <w:spacing w:val="2"/>
                <w:w w:val="29"/>
                <w:shd w:val="solid" w:color="000000" w:fill="000000"/>
                <w:fitText w:val="130" w:id="-1233454589"/>
                <w14:textFill>
                  <w14:solidFill>
                    <w14:srgbClr w14:val="000000">
                      <w14:alpha w14:val="100000"/>
                    </w14:srgbClr>
                  </w14:solidFill>
                </w14:textFill>
              </w:rPr>
              <w:t xml:space="preserve">　</w:t>
            </w:r>
            <w:r w:rsidR="00295039" w:rsidRPr="00295039">
              <w:t xml:space="preserve"> </w:t>
            </w:r>
            <w:r w:rsidR="00097E81">
              <w:rPr>
                <w:vertAlign w:val="superscript"/>
              </w:rPr>
              <w:t>7</w:t>
            </w:r>
            <w:r w:rsidR="00295039" w:rsidRPr="00295039">
              <w:t xml:space="preserve"> </w:t>
            </w:r>
          </w:p>
        </w:tc>
      </w:tr>
      <w:tr w:rsidR="00D10922" w:rsidRPr="00B14B63" w14:paraId="42732479" w14:textId="77777777" w:rsidTr="00DA3378">
        <w:tc>
          <w:tcPr>
            <w:tcW w:w="5000" w:type="pct"/>
            <w:gridSpan w:val="7"/>
            <w:shd w:val="clear" w:color="auto" w:fill="B8CCE4" w:themeFill="accent1" w:themeFillTint="66"/>
            <w:vAlign w:val="center"/>
          </w:tcPr>
          <w:p w14:paraId="58940AE7" w14:textId="77777777" w:rsidR="00D10922" w:rsidRPr="00B14B63" w:rsidRDefault="00D10922" w:rsidP="00D10922">
            <w:pPr>
              <w:pStyle w:val="In-tableHeading"/>
              <w:rPr>
                <w:lang w:val="en-AU"/>
              </w:rPr>
            </w:pPr>
            <w:r w:rsidRPr="00B14B63">
              <w:rPr>
                <w:lang w:val="en-AU"/>
              </w:rPr>
              <w:t xml:space="preserve">Previous submission </w:t>
            </w:r>
            <w:r>
              <w:rPr>
                <w:lang w:val="en-AU"/>
              </w:rPr>
              <w:t>March</w:t>
            </w:r>
            <w:r w:rsidRPr="00B14B63">
              <w:rPr>
                <w:lang w:val="en-AU"/>
              </w:rPr>
              <w:t xml:space="preserve"> 2015</w:t>
            </w:r>
          </w:p>
        </w:tc>
      </w:tr>
      <w:tr w:rsidR="00D10922" w:rsidRPr="00B14B63" w14:paraId="64800485" w14:textId="77777777" w:rsidTr="008A6816">
        <w:tc>
          <w:tcPr>
            <w:tcW w:w="784" w:type="pct"/>
            <w:shd w:val="clear" w:color="auto" w:fill="B8CCE4" w:themeFill="accent1" w:themeFillTint="66"/>
            <w:vAlign w:val="center"/>
          </w:tcPr>
          <w:p w14:paraId="564B06A7" w14:textId="77777777" w:rsidR="00D10922" w:rsidRPr="00B14B63" w:rsidRDefault="00D10922" w:rsidP="00D10922">
            <w:pPr>
              <w:pStyle w:val="TableText0"/>
              <w:rPr>
                <w:sz w:val="19"/>
                <w:szCs w:val="19"/>
              </w:rPr>
            </w:pPr>
            <w:r w:rsidRPr="00B14B63">
              <w:rPr>
                <w:sz w:val="19"/>
                <w:szCs w:val="19"/>
              </w:rPr>
              <w:t>Net cost to PBS/RPBS</w:t>
            </w:r>
          </w:p>
        </w:tc>
        <w:tc>
          <w:tcPr>
            <w:tcW w:w="639" w:type="pct"/>
            <w:shd w:val="clear" w:color="auto" w:fill="B8CCE4" w:themeFill="accent1" w:themeFillTint="66"/>
            <w:vAlign w:val="center"/>
          </w:tcPr>
          <w:p w14:paraId="174B2690" w14:textId="0F8F8588" w:rsidR="00D10922" w:rsidRPr="008A6816" w:rsidRDefault="00A50FC3" w:rsidP="00D10922">
            <w:pPr>
              <w:pStyle w:val="TableText0"/>
              <w:jc w:val="center"/>
              <w:rPr>
                <w:highlight w:val="lightGray"/>
              </w:rPr>
            </w:pPr>
            <w:r w:rsidRPr="00A50FC3">
              <w:rPr>
                <w:color w:val="000000"/>
                <w:spacing w:val="46"/>
                <w:shd w:val="solid" w:color="000000" w:fill="000000"/>
                <w:fitText w:val="220" w:id="-1233454588"/>
                <w14:textFill>
                  <w14:solidFill>
                    <w14:srgbClr w14:val="000000">
                      <w14:alpha w14:val="100000"/>
                    </w14:srgbClr>
                  </w14:solidFill>
                </w14:textFill>
              </w:rPr>
              <w:t>||</w:t>
            </w:r>
            <w:r w:rsidRPr="00A50FC3">
              <w:rPr>
                <w:color w:val="000000"/>
                <w:spacing w:val="1"/>
                <w:shd w:val="solid" w:color="000000" w:fill="000000"/>
                <w:fitText w:val="220" w:id="-1233454588"/>
                <w14:textFill>
                  <w14:solidFill>
                    <w14:srgbClr w14:val="000000">
                      <w14:alpha w14:val="100000"/>
                    </w14:srgbClr>
                  </w14:solidFill>
                </w14:textFill>
              </w:rPr>
              <w:t>|</w:t>
            </w:r>
            <w:r w:rsidR="00295039" w:rsidRPr="00295039">
              <w:t xml:space="preserve"> </w:t>
            </w:r>
            <w:r w:rsidR="00097E81">
              <w:rPr>
                <w:vertAlign w:val="superscript"/>
              </w:rPr>
              <w:t>6</w:t>
            </w:r>
          </w:p>
        </w:tc>
        <w:tc>
          <w:tcPr>
            <w:tcW w:w="714" w:type="pct"/>
            <w:shd w:val="clear" w:color="auto" w:fill="B8CCE4" w:themeFill="accent1" w:themeFillTint="66"/>
            <w:vAlign w:val="center"/>
          </w:tcPr>
          <w:p w14:paraId="39131963" w14:textId="6174AE12"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87"/>
                <w14:textFill>
                  <w14:solidFill>
                    <w14:srgbClr w14:val="000000">
                      <w14:alpha w14:val="100000"/>
                    </w14:srgbClr>
                  </w14:solidFill>
                </w14:textFill>
              </w:rPr>
              <w:t xml:space="preserve">　</w:t>
            </w:r>
            <w:r w:rsidRPr="00A50FC3">
              <w:rPr>
                <w:color w:val="000000"/>
                <w:w w:val="33"/>
                <w:shd w:val="solid" w:color="000000" w:fill="000000"/>
                <w:fitText w:val="150" w:id="-1233454587"/>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7"/>
                <w14:textFill>
                  <w14:solidFill>
                    <w14:srgbClr w14:val="000000">
                      <w14:alpha w14:val="100000"/>
                    </w14:srgbClr>
                  </w14:solidFill>
                </w14:textFill>
              </w:rPr>
              <w:t xml:space="preserve">　</w:t>
            </w:r>
            <w:r w:rsidR="00295039" w:rsidRPr="00295039">
              <w:t xml:space="preserve"> </w:t>
            </w:r>
            <w:r w:rsidR="00097E81">
              <w:rPr>
                <w:vertAlign w:val="superscript"/>
              </w:rPr>
              <w:t>6</w:t>
            </w:r>
          </w:p>
        </w:tc>
        <w:tc>
          <w:tcPr>
            <w:tcW w:w="714" w:type="pct"/>
            <w:shd w:val="clear" w:color="auto" w:fill="B8CCE4" w:themeFill="accent1" w:themeFillTint="66"/>
            <w:vAlign w:val="center"/>
          </w:tcPr>
          <w:p w14:paraId="2CC1B1D9" w14:textId="12247772"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86"/>
                <w14:textFill>
                  <w14:solidFill>
                    <w14:srgbClr w14:val="000000">
                      <w14:alpha w14:val="100000"/>
                    </w14:srgbClr>
                  </w14:solidFill>
                </w14:textFill>
              </w:rPr>
              <w:t xml:space="preserve">　</w:t>
            </w:r>
            <w:r w:rsidRPr="00A50FC3">
              <w:rPr>
                <w:color w:val="000000"/>
                <w:w w:val="33"/>
                <w:shd w:val="solid" w:color="000000" w:fill="000000"/>
                <w:fitText w:val="150" w:id="-1233454586"/>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6"/>
                <w14:textFill>
                  <w14:solidFill>
                    <w14:srgbClr w14:val="000000">
                      <w14:alpha w14:val="100000"/>
                    </w14:srgbClr>
                  </w14:solidFill>
                </w14:textFill>
              </w:rPr>
              <w:t xml:space="preserve">　</w:t>
            </w:r>
            <w:r w:rsidR="00295039" w:rsidRPr="00295039">
              <w:t xml:space="preserve"> </w:t>
            </w:r>
            <w:r w:rsidR="00097E81">
              <w:rPr>
                <w:vertAlign w:val="superscript"/>
              </w:rPr>
              <w:t>7</w:t>
            </w:r>
          </w:p>
        </w:tc>
        <w:tc>
          <w:tcPr>
            <w:tcW w:w="714" w:type="pct"/>
            <w:shd w:val="clear" w:color="auto" w:fill="B8CCE4" w:themeFill="accent1" w:themeFillTint="66"/>
            <w:vAlign w:val="center"/>
          </w:tcPr>
          <w:p w14:paraId="1DD0A53B" w14:textId="3172AA7E"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85"/>
                <w14:textFill>
                  <w14:solidFill>
                    <w14:srgbClr w14:val="000000">
                      <w14:alpha w14:val="100000"/>
                    </w14:srgbClr>
                  </w14:solidFill>
                </w14:textFill>
              </w:rPr>
              <w:t xml:space="preserve">　</w:t>
            </w:r>
            <w:r w:rsidRPr="00A50FC3">
              <w:rPr>
                <w:color w:val="000000"/>
                <w:w w:val="33"/>
                <w:shd w:val="solid" w:color="000000" w:fill="000000"/>
                <w:fitText w:val="150" w:id="-1233454585"/>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5"/>
                <w14:textFill>
                  <w14:solidFill>
                    <w14:srgbClr w14:val="000000">
                      <w14:alpha w14:val="100000"/>
                    </w14:srgbClr>
                  </w14:solidFill>
                </w14:textFill>
              </w:rPr>
              <w:t xml:space="preserve">　</w:t>
            </w:r>
            <w:r w:rsidR="00295039" w:rsidRPr="00295039">
              <w:t xml:space="preserve"> </w:t>
            </w:r>
            <w:r w:rsidR="00097E81">
              <w:rPr>
                <w:vertAlign w:val="superscript"/>
              </w:rPr>
              <w:t>7</w:t>
            </w:r>
          </w:p>
        </w:tc>
        <w:tc>
          <w:tcPr>
            <w:tcW w:w="714" w:type="pct"/>
            <w:shd w:val="clear" w:color="auto" w:fill="B8CCE4" w:themeFill="accent1" w:themeFillTint="66"/>
            <w:vAlign w:val="center"/>
          </w:tcPr>
          <w:p w14:paraId="685F8247" w14:textId="2B2BC018"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84"/>
                <w14:textFill>
                  <w14:solidFill>
                    <w14:srgbClr w14:val="000000">
                      <w14:alpha w14:val="100000"/>
                    </w14:srgbClr>
                  </w14:solidFill>
                </w14:textFill>
              </w:rPr>
              <w:t xml:space="preserve">　</w:t>
            </w:r>
            <w:r w:rsidRPr="00A50FC3">
              <w:rPr>
                <w:color w:val="000000"/>
                <w:w w:val="33"/>
                <w:shd w:val="solid" w:color="000000" w:fill="000000"/>
                <w:fitText w:val="150" w:id="-1233454584"/>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4"/>
                <w14:textFill>
                  <w14:solidFill>
                    <w14:srgbClr w14:val="000000">
                      <w14:alpha w14:val="100000"/>
                    </w14:srgbClr>
                  </w14:solidFill>
                </w14:textFill>
              </w:rPr>
              <w:t xml:space="preserve">　</w:t>
            </w:r>
            <w:r w:rsidR="00295039" w:rsidRPr="00295039">
              <w:t xml:space="preserve"> </w:t>
            </w:r>
            <w:r w:rsidR="00097E81">
              <w:rPr>
                <w:vertAlign w:val="superscript"/>
              </w:rPr>
              <w:t>8</w:t>
            </w:r>
          </w:p>
        </w:tc>
        <w:tc>
          <w:tcPr>
            <w:tcW w:w="721" w:type="pct"/>
            <w:shd w:val="clear" w:color="auto" w:fill="B8CCE4" w:themeFill="accent1" w:themeFillTint="66"/>
            <w:vAlign w:val="center"/>
          </w:tcPr>
          <w:p w14:paraId="3315C053" w14:textId="77777777" w:rsidR="00D10922" w:rsidRPr="00B14B63" w:rsidRDefault="00D10922" w:rsidP="00D10922">
            <w:pPr>
              <w:pStyle w:val="TableText0"/>
            </w:pPr>
            <w:r>
              <w:t>Not reported</w:t>
            </w:r>
          </w:p>
        </w:tc>
      </w:tr>
      <w:tr w:rsidR="00D10922" w:rsidRPr="00B14B63" w14:paraId="3E2AB949" w14:textId="77777777" w:rsidTr="00DA3378">
        <w:tc>
          <w:tcPr>
            <w:tcW w:w="5000" w:type="pct"/>
            <w:gridSpan w:val="7"/>
            <w:shd w:val="clear" w:color="auto" w:fill="B8CCE4" w:themeFill="accent1" w:themeFillTint="66"/>
            <w:vAlign w:val="center"/>
          </w:tcPr>
          <w:p w14:paraId="1E3A5063" w14:textId="77777777" w:rsidR="00D10922" w:rsidRPr="002816F3" w:rsidRDefault="00D10922" w:rsidP="00D10922">
            <w:pPr>
              <w:pStyle w:val="TableText0"/>
              <w:rPr>
                <w:b/>
                <w:bCs w:val="0"/>
              </w:rPr>
            </w:pPr>
            <w:r w:rsidRPr="002816F3">
              <w:rPr>
                <w:b/>
                <w:bCs w:val="0"/>
              </w:rPr>
              <w:t>Previous submission November 2015</w:t>
            </w:r>
          </w:p>
        </w:tc>
      </w:tr>
      <w:tr w:rsidR="00D10922" w:rsidRPr="00B14B63" w14:paraId="71CF1CA4" w14:textId="77777777" w:rsidTr="008A6816">
        <w:tc>
          <w:tcPr>
            <w:tcW w:w="784" w:type="pct"/>
            <w:shd w:val="clear" w:color="auto" w:fill="B8CCE4" w:themeFill="accent1" w:themeFillTint="66"/>
            <w:vAlign w:val="center"/>
          </w:tcPr>
          <w:p w14:paraId="0812FEC3" w14:textId="77777777" w:rsidR="00D10922" w:rsidRPr="00B14B63" w:rsidRDefault="00D10922" w:rsidP="00D10922">
            <w:pPr>
              <w:pStyle w:val="TableText0"/>
              <w:rPr>
                <w:sz w:val="19"/>
                <w:szCs w:val="19"/>
              </w:rPr>
            </w:pPr>
            <w:r w:rsidRPr="00B14B63">
              <w:rPr>
                <w:sz w:val="19"/>
                <w:szCs w:val="19"/>
              </w:rPr>
              <w:t>Net cost to PBS/RPBS</w:t>
            </w:r>
          </w:p>
        </w:tc>
        <w:tc>
          <w:tcPr>
            <w:tcW w:w="639" w:type="pct"/>
            <w:shd w:val="clear" w:color="auto" w:fill="B8CCE4" w:themeFill="accent1" w:themeFillTint="66"/>
            <w:vAlign w:val="center"/>
          </w:tcPr>
          <w:p w14:paraId="5BC43F20" w14:textId="2EE70512" w:rsidR="00D10922" w:rsidRPr="008A6816" w:rsidRDefault="00A50FC3" w:rsidP="00D10922">
            <w:pPr>
              <w:pStyle w:val="TableText0"/>
              <w:jc w:val="center"/>
              <w:rPr>
                <w:highlight w:val="lightGray"/>
              </w:rPr>
            </w:pPr>
            <w:r w:rsidRPr="00A50FC3">
              <w:rPr>
                <w:color w:val="000000"/>
                <w:spacing w:val="46"/>
                <w:shd w:val="solid" w:color="000000" w:fill="000000"/>
                <w:fitText w:val="220" w:id="-1233454583"/>
                <w14:textFill>
                  <w14:solidFill>
                    <w14:srgbClr w14:val="000000">
                      <w14:alpha w14:val="100000"/>
                    </w14:srgbClr>
                  </w14:solidFill>
                </w14:textFill>
              </w:rPr>
              <w:t>||</w:t>
            </w:r>
            <w:r w:rsidRPr="00A50FC3">
              <w:rPr>
                <w:color w:val="000000"/>
                <w:spacing w:val="1"/>
                <w:shd w:val="solid" w:color="000000" w:fill="000000"/>
                <w:fitText w:val="220" w:id="-1233454583"/>
                <w14:textFill>
                  <w14:solidFill>
                    <w14:srgbClr w14:val="000000">
                      <w14:alpha w14:val="100000"/>
                    </w14:srgbClr>
                  </w14:solidFill>
                </w14:textFill>
              </w:rPr>
              <w:t>|</w:t>
            </w:r>
            <w:r w:rsidR="00295039" w:rsidRPr="00295039">
              <w:t xml:space="preserve"> </w:t>
            </w:r>
            <w:r w:rsidR="00097E81">
              <w:rPr>
                <w:vertAlign w:val="superscript"/>
              </w:rPr>
              <w:t>6</w:t>
            </w:r>
          </w:p>
        </w:tc>
        <w:tc>
          <w:tcPr>
            <w:tcW w:w="714" w:type="pct"/>
            <w:shd w:val="clear" w:color="auto" w:fill="B8CCE4" w:themeFill="accent1" w:themeFillTint="66"/>
            <w:vAlign w:val="center"/>
          </w:tcPr>
          <w:p w14:paraId="12B6A8FC" w14:textId="58E5F52F"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82"/>
                <w14:textFill>
                  <w14:solidFill>
                    <w14:srgbClr w14:val="000000">
                      <w14:alpha w14:val="100000"/>
                    </w14:srgbClr>
                  </w14:solidFill>
                </w14:textFill>
              </w:rPr>
              <w:t xml:space="preserve">　</w:t>
            </w:r>
            <w:r w:rsidRPr="00A50FC3">
              <w:rPr>
                <w:color w:val="000000"/>
                <w:w w:val="33"/>
                <w:shd w:val="solid" w:color="000000" w:fill="000000"/>
                <w:fitText w:val="150" w:id="-1233454582"/>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2"/>
                <w14:textFill>
                  <w14:solidFill>
                    <w14:srgbClr w14:val="000000">
                      <w14:alpha w14:val="100000"/>
                    </w14:srgbClr>
                  </w14:solidFill>
                </w14:textFill>
              </w:rPr>
              <w:t xml:space="preserve">　</w:t>
            </w:r>
            <w:r w:rsidR="00295039" w:rsidRPr="00295039">
              <w:t xml:space="preserve"> </w:t>
            </w:r>
            <w:r w:rsidR="00097E81">
              <w:rPr>
                <w:vertAlign w:val="superscript"/>
              </w:rPr>
              <w:t>6</w:t>
            </w:r>
          </w:p>
        </w:tc>
        <w:tc>
          <w:tcPr>
            <w:tcW w:w="714" w:type="pct"/>
            <w:shd w:val="clear" w:color="auto" w:fill="B8CCE4" w:themeFill="accent1" w:themeFillTint="66"/>
            <w:vAlign w:val="center"/>
          </w:tcPr>
          <w:p w14:paraId="047D96C7" w14:textId="74153BE8"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81"/>
                <w14:textFill>
                  <w14:solidFill>
                    <w14:srgbClr w14:val="000000">
                      <w14:alpha w14:val="100000"/>
                    </w14:srgbClr>
                  </w14:solidFill>
                </w14:textFill>
              </w:rPr>
              <w:t xml:space="preserve">　</w:t>
            </w:r>
            <w:r w:rsidRPr="00A50FC3">
              <w:rPr>
                <w:color w:val="000000"/>
                <w:w w:val="33"/>
                <w:shd w:val="solid" w:color="000000" w:fill="000000"/>
                <w:fitText w:val="150" w:id="-1233454581"/>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1"/>
                <w14:textFill>
                  <w14:solidFill>
                    <w14:srgbClr w14:val="000000">
                      <w14:alpha w14:val="100000"/>
                    </w14:srgbClr>
                  </w14:solidFill>
                </w14:textFill>
              </w:rPr>
              <w:t xml:space="preserve">　</w:t>
            </w:r>
            <w:r w:rsidR="00295039" w:rsidRPr="00295039">
              <w:t xml:space="preserve"> </w:t>
            </w:r>
            <w:r w:rsidR="00097E81">
              <w:rPr>
                <w:vertAlign w:val="superscript"/>
              </w:rPr>
              <w:t>6</w:t>
            </w:r>
          </w:p>
        </w:tc>
        <w:tc>
          <w:tcPr>
            <w:tcW w:w="714" w:type="pct"/>
            <w:shd w:val="clear" w:color="auto" w:fill="B8CCE4" w:themeFill="accent1" w:themeFillTint="66"/>
            <w:vAlign w:val="center"/>
          </w:tcPr>
          <w:p w14:paraId="610E11DB" w14:textId="29201156"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80"/>
                <w14:textFill>
                  <w14:solidFill>
                    <w14:srgbClr w14:val="000000">
                      <w14:alpha w14:val="100000"/>
                    </w14:srgbClr>
                  </w14:solidFill>
                </w14:textFill>
              </w:rPr>
              <w:t xml:space="preserve">　</w:t>
            </w:r>
            <w:r w:rsidRPr="00A50FC3">
              <w:rPr>
                <w:color w:val="000000"/>
                <w:w w:val="33"/>
                <w:shd w:val="solid" w:color="000000" w:fill="000000"/>
                <w:fitText w:val="150" w:id="-1233454580"/>
                <w14:textFill>
                  <w14:solidFill>
                    <w14:srgbClr w14:val="000000">
                      <w14:alpha w14:val="100000"/>
                    </w14:srgbClr>
                  </w14:solidFill>
                </w14:textFill>
              </w:rPr>
              <w:t>|</w:t>
            </w:r>
            <w:r w:rsidRPr="00A50FC3">
              <w:rPr>
                <w:rFonts w:hint="eastAsia"/>
                <w:color w:val="000000"/>
                <w:spacing w:val="4"/>
                <w:w w:val="33"/>
                <w:shd w:val="solid" w:color="000000" w:fill="000000"/>
                <w:fitText w:val="150" w:id="-1233454580"/>
                <w14:textFill>
                  <w14:solidFill>
                    <w14:srgbClr w14:val="000000">
                      <w14:alpha w14:val="100000"/>
                    </w14:srgbClr>
                  </w14:solidFill>
                </w14:textFill>
              </w:rPr>
              <w:t xml:space="preserve">　</w:t>
            </w:r>
            <w:r w:rsidR="00295039" w:rsidRPr="00295039">
              <w:t xml:space="preserve"> </w:t>
            </w:r>
            <w:r w:rsidR="00097E81">
              <w:rPr>
                <w:vertAlign w:val="superscript"/>
              </w:rPr>
              <w:t>6</w:t>
            </w:r>
          </w:p>
        </w:tc>
        <w:tc>
          <w:tcPr>
            <w:tcW w:w="714" w:type="pct"/>
            <w:shd w:val="clear" w:color="auto" w:fill="B8CCE4" w:themeFill="accent1" w:themeFillTint="66"/>
            <w:vAlign w:val="center"/>
          </w:tcPr>
          <w:p w14:paraId="73CFD5EC" w14:textId="0162E10C" w:rsidR="00D10922" w:rsidRPr="008A6816" w:rsidRDefault="00A50FC3" w:rsidP="00D10922">
            <w:pPr>
              <w:pStyle w:val="TableText0"/>
              <w:jc w:val="center"/>
              <w:rPr>
                <w:highlight w:val="lightGray"/>
              </w:rPr>
            </w:pPr>
            <w:r w:rsidRPr="00A50FC3">
              <w:rPr>
                <w:rFonts w:hint="eastAsia"/>
                <w:color w:val="000000"/>
                <w:w w:val="33"/>
                <w:shd w:val="solid" w:color="000000" w:fill="000000"/>
                <w:fitText w:val="150" w:id="-1233454579"/>
                <w14:textFill>
                  <w14:solidFill>
                    <w14:srgbClr w14:val="000000">
                      <w14:alpha w14:val="100000"/>
                    </w14:srgbClr>
                  </w14:solidFill>
                </w14:textFill>
              </w:rPr>
              <w:t xml:space="preserve">　</w:t>
            </w:r>
            <w:r w:rsidRPr="00A50FC3">
              <w:rPr>
                <w:color w:val="000000"/>
                <w:w w:val="33"/>
                <w:shd w:val="solid" w:color="000000" w:fill="000000"/>
                <w:fitText w:val="150" w:id="-1233454579"/>
                <w14:textFill>
                  <w14:solidFill>
                    <w14:srgbClr w14:val="000000">
                      <w14:alpha w14:val="100000"/>
                    </w14:srgbClr>
                  </w14:solidFill>
                </w14:textFill>
              </w:rPr>
              <w:t>|</w:t>
            </w:r>
            <w:r w:rsidRPr="00A50FC3">
              <w:rPr>
                <w:rFonts w:hint="eastAsia"/>
                <w:color w:val="000000"/>
                <w:spacing w:val="4"/>
                <w:w w:val="33"/>
                <w:shd w:val="solid" w:color="000000" w:fill="000000"/>
                <w:fitText w:val="150" w:id="-1233454579"/>
                <w14:textFill>
                  <w14:solidFill>
                    <w14:srgbClr w14:val="000000">
                      <w14:alpha w14:val="100000"/>
                    </w14:srgbClr>
                  </w14:solidFill>
                </w14:textFill>
              </w:rPr>
              <w:t xml:space="preserve">　</w:t>
            </w:r>
            <w:r w:rsidR="00295039" w:rsidRPr="00295039">
              <w:t xml:space="preserve"> </w:t>
            </w:r>
            <w:r w:rsidR="00097E81">
              <w:rPr>
                <w:vertAlign w:val="superscript"/>
              </w:rPr>
              <w:t>6</w:t>
            </w:r>
          </w:p>
        </w:tc>
        <w:tc>
          <w:tcPr>
            <w:tcW w:w="721" w:type="pct"/>
            <w:shd w:val="clear" w:color="auto" w:fill="B8CCE4" w:themeFill="accent1" w:themeFillTint="66"/>
            <w:vAlign w:val="center"/>
          </w:tcPr>
          <w:p w14:paraId="074EB700" w14:textId="77777777" w:rsidR="00D10922" w:rsidRDefault="00D10922" w:rsidP="00D10922">
            <w:pPr>
              <w:pStyle w:val="TableText0"/>
            </w:pPr>
            <w:r>
              <w:t>Not reported</w:t>
            </w:r>
          </w:p>
        </w:tc>
      </w:tr>
    </w:tbl>
    <w:p w14:paraId="318AAEC6" w14:textId="77777777" w:rsidR="003A4883" w:rsidRPr="006A6873" w:rsidRDefault="003A4883" w:rsidP="003A4883">
      <w:pPr>
        <w:pStyle w:val="FooterTableFigure"/>
        <w:rPr>
          <w:i/>
          <w:iCs/>
        </w:rPr>
      </w:pPr>
      <w:r w:rsidRPr="00B14B63">
        <w:t xml:space="preserve">Source: Tables 4-11 </w:t>
      </w:r>
      <w:r>
        <w:t>&amp;</w:t>
      </w:r>
      <w:r w:rsidRPr="00B14B63">
        <w:t xml:space="preserve"> 4-14, p</w:t>
      </w:r>
      <w:r>
        <w:t>p128 &amp; 129</w:t>
      </w:r>
      <w:r w:rsidRPr="00B14B63">
        <w:t>, and Section 4 workbook, Appendix 4 of the submission</w:t>
      </w:r>
      <w:r>
        <w:t>; Table E.4.1, p73 of the Commentary on the March 2015 PBAC submission; Table E.4.1, p68 of the Commentary on the November 2015 PBAC submission.</w:t>
      </w:r>
    </w:p>
    <w:p w14:paraId="305FAAB0" w14:textId="77777777" w:rsidR="003A4883" w:rsidRPr="00B14B63" w:rsidRDefault="003A4883" w:rsidP="003A4883">
      <w:pPr>
        <w:pStyle w:val="FooterTableFigure"/>
        <w:rPr>
          <w:rStyle w:val="CommentReference"/>
        </w:rPr>
      </w:pPr>
      <w:r w:rsidRPr="00B14B63">
        <w:t>MBS = Medicare Benefits Schedule; PBS = Pharmaceutical Benefits Schedule; RPBS = Repatriation Pharmaceutical Benefits Schedule.</w:t>
      </w:r>
    </w:p>
    <w:p w14:paraId="4D20466B" w14:textId="5D80F215" w:rsidR="006A0F8B" w:rsidRDefault="006A0F8B" w:rsidP="003A4883">
      <w:pPr>
        <w:pStyle w:val="FooterTableFigure"/>
      </w:pPr>
      <w:r>
        <w:rPr>
          <w:vertAlign w:val="superscript"/>
        </w:rPr>
        <w:t>d</w:t>
      </w:r>
      <w:r>
        <w:t xml:space="preserve"> The Financial Workbook assumed $30 general copayment.</w:t>
      </w:r>
    </w:p>
    <w:p w14:paraId="36D3FF59" w14:textId="68C152F1" w:rsidR="00097E81" w:rsidRPr="008A6816" w:rsidRDefault="00097E81" w:rsidP="003A4883">
      <w:pPr>
        <w:pStyle w:val="FooterTableFigure"/>
        <w:rPr>
          <w:i/>
          <w:iCs/>
        </w:rPr>
      </w:pPr>
      <w:r w:rsidRPr="008A6816">
        <w:rPr>
          <w:i/>
          <w:iCs/>
        </w:rPr>
        <w:t>The redacted values correspond to the following ranges:</w:t>
      </w:r>
    </w:p>
    <w:p w14:paraId="5B97CC54" w14:textId="28877ACC" w:rsidR="00097E81" w:rsidRPr="008A6816" w:rsidRDefault="00097E81" w:rsidP="003A4883">
      <w:pPr>
        <w:pStyle w:val="FooterTableFigure"/>
        <w:rPr>
          <w:i/>
          <w:iCs/>
        </w:rPr>
      </w:pPr>
      <w:r w:rsidRPr="008A6816">
        <w:rPr>
          <w:i/>
          <w:iCs/>
          <w:vertAlign w:val="superscript"/>
        </w:rPr>
        <w:t>1</w:t>
      </w:r>
      <w:r w:rsidRPr="008A6816">
        <w:rPr>
          <w:i/>
          <w:iCs/>
        </w:rPr>
        <w:t xml:space="preserve"> &lt; 500</w:t>
      </w:r>
    </w:p>
    <w:p w14:paraId="707EB2C8" w14:textId="1795CB4C" w:rsidR="00097E81" w:rsidRPr="008A6816" w:rsidRDefault="00097E81" w:rsidP="003A4883">
      <w:pPr>
        <w:pStyle w:val="FooterTableFigure"/>
        <w:rPr>
          <w:i/>
          <w:iCs/>
        </w:rPr>
      </w:pPr>
      <w:r w:rsidRPr="008A6816">
        <w:rPr>
          <w:i/>
          <w:iCs/>
          <w:vertAlign w:val="superscript"/>
        </w:rPr>
        <w:t>2</w:t>
      </w:r>
      <w:r w:rsidRPr="008A6816">
        <w:rPr>
          <w:i/>
          <w:iCs/>
        </w:rPr>
        <w:t xml:space="preserve"> 500 to &lt; 5,000</w:t>
      </w:r>
    </w:p>
    <w:p w14:paraId="68A4D782" w14:textId="627DFA90" w:rsidR="00097E81" w:rsidRPr="008A6816" w:rsidRDefault="00097E81" w:rsidP="003A4883">
      <w:pPr>
        <w:pStyle w:val="FooterTableFigure"/>
        <w:rPr>
          <w:i/>
          <w:iCs/>
        </w:rPr>
      </w:pPr>
      <w:r w:rsidRPr="008A6816">
        <w:rPr>
          <w:i/>
          <w:iCs/>
          <w:vertAlign w:val="superscript"/>
        </w:rPr>
        <w:t>3</w:t>
      </w:r>
      <w:r w:rsidRPr="008A6816">
        <w:rPr>
          <w:i/>
          <w:iCs/>
        </w:rPr>
        <w:t xml:space="preserve"> 5,000 to &lt; 10,000</w:t>
      </w:r>
    </w:p>
    <w:p w14:paraId="16025E33" w14:textId="3CA92F71" w:rsidR="00097E81" w:rsidRPr="008A6816" w:rsidRDefault="00097E81" w:rsidP="003A4883">
      <w:pPr>
        <w:pStyle w:val="FooterTableFigure"/>
        <w:rPr>
          <w:i/>
          <w:iCs/>
        </w:rPr>
      </w:pPr>
      <w:r w:rsidRPr="008A6816">
        <w:rPr>
          <w:i/>
          <w:iCs/>
          <w:vertAlign w:val="superscript"/>
        </w:rPr>
        <w:t>4</w:t>
      </w:r>
      <w:r w:rsidRPr="008A6816">
        <w:rPr>
          <w:i/>
          <w:iCs/>
        </w:rPr>
        <w:t xml:space="preserve"> 10,000 to &lt; 20,000</w:t>
      </w:r>
    </w:p>
    <w:p w14:paraId="418DC93C" w14:textId="37EF3787" w:rsidR="00097E81" w:rsidRPr="008A6816" w:rsidRDefault="00097E81" w:rsidP="003A4883">
      <w:pPr>
        <w:pStyle w:val="FooterTableFigure"/>
        <w:rPr>
          <w:i/>
          <w:iCs/>
        </w:rPr>
      </w:pPr>
      <w:r w:rsidRPr="008A6816">
        <w:rPr>
          <w:i/>
          <w:iCs/>
          <w:vertAlign w:val="superscript"/>
        </w:rPr>
        <w:t>5</w:t>
      </w:r>
      <w:r w:rsidRPr="008A6816">
        <w:rPr>
          <w:i/>
          <w:iCs/>
        </w:rPr>
        <w:t xml:space="preserve"> 20,000 to &lt; 30,000</w:t>
      </w:r>
    </w:p>
    <w:p w14:paraId="6F320DEE" w14:textId="5250378B" w:rsidR="00097E81" w:rsidRPr="008A6816" w:rsidRDefault="00097E81" w:rsidP="003A4883">
      <w:pPr>
        <w:pStyle w:val="FooterTableFigure"/>
        <w:rPr>
          <w:i/>
          <w:iCs/>
        </w:rPr>
      </w:pPr>
      <w:r w:rsidRPr="008A6816">
        <w:rPr>
          <w:i/>
          <w:iCs/>
          <w:vertAlign w:val="superscript"/>
        </w:rPr>
        <w:t>6</w:t>
      </w:r>
      <w:r w:rsidRPr="008A6816">
        <w:rPr>
          <w:i/>
          <w:iCs/>
        </w:rPr>
        <w:t xml:space="preserve"> $0 to &lt; $10 million</w:t>
      </w:r>
    </w:p>
    <w:p w14:paraId="6A6FBD90" w14:textId="2FAC28E7" w:rsidR="00097E81" w:rsidRPr="008A6816" w:rsidRDefault="00097E81" w:rsidP="003A4883">
      <w:pPr>
        <w:pStyle w:val="FooterTableFigure"/>
        <w:rPr>
          <w:i/>
          <w:iCs/>
        </w:rPr>
      </w:pPr>
      <w:r w:rsidRPr="008A6816">
        <w:rPr>
          <w:i/>
          <w:iCs/>
          <w:vertAlign w:val="superscript"/>
        </w:rPr>
        <w:t>7</w:t>
      </w:r>
      <w:r w:rsidRPr="008A6816">
        <w:rPr>
          <w:i/>
          <w:iCs/>
        </w:rPr>
        <w:t xml:space="preserve"> $10 million to &lt; $20 million</w:t>
      </w:r>
    </w:p>
    <w:p w14:paraId="7AAA024D" w14:textId="418812DF" w:rsidR="00097E81" w:rsidRPr="008A6816" w:rsidRDefault="00097E81" w:rsidP="003A4883">
      <w:pPr>
        <w:pStyle w:val="FooterTableFigure"/>
        <w:rPr>
          <w:i/>
          <w:iCs/>
        </w:rPr>
      </w:pPr>
      <w:r w:rsidRPr="008A6816">
        <w:rPr>
          <w:i/>
          <w:iCs/>
          <w:vertAlign w:val="superscript"/>
        </w:rPr>
        <w:t>8</w:t>
      </w:r>
      <w:r w:rsidRPr="008A6816">
        <w:rPr>
          <w:i/>
          <w:iCs/>
        </w:rPr>
        <w:t xml:space="preserve"> $20 million to &lt; $30 million</w:t>
      </w:r>
    </w:p>
    <w:p w14:paraId="0EE90D67" w14:textId="41DD2D77" w:rsidR="003A4883" w:rsidRPr="0033470C" w:rsidRDefault="003A4883" w:rsidP="003A4883">
      <w:pPr>
        <w:pStyle w:val="3-BodyText"/>
        <w:ind w:left="720" w:hanging="720"/>
        <w:rPr>
          <w:iCs/>
        </w:rPr>
      </w:pPr>
      <w:r w:rsidRPr="0033470C">
        <w:rPr>
          <w:iCs/>
        </w:rPr>
        <w:t xml:space="preserve">The </w:t>
      </w:r>
      <w:r w:rsidR="00C4107C" w:rsidRPr="004C0D9B">
        <w:rPr>
          <w:iCs/>
        </w:rPr>
        <w:t>re</w:t>
      </w:r>
      <w:r w:rsidR="00380774" w:rsidRPr="00AA64DF">
        <w:rPr>
          <w:iCs/>
        </w:rPr>
        <w:t>submi</w:t>
      </w:r>
      <w:r w:rsidR="00C4107C" w:rsidRPr="00AA64DF">
        <w:rPr>
          <w:iCs/>
        </w:rPr>
        <w:t xml:space="preserve">ssion </w:t>
      </w:r>
      <w:r w:rsidR="00380774" w:rsidRPr="00AA64DF">
        <w:rPr>
          <w:iCs/>
        </w:rPr>
        <w:t>stated the</w:t>
      </w:r>
      <w:r w:rsidR="00380774">
        <w:rPr>
          <w:iCs/>
        </w:rPr>
        <w:t xml:space="preserve"> </w:t>
      </w:r>
      <w:r w:rsidRPr="0033470C">
        <w:rPr>
          <w:iCs/>
        </w:rPr>
        <w:t>net cost to the PBS/RPBS, net of patient copayments over six years was estimated to be $</w:t>
      </w:r>
      <w:r w:rsidR="00851AD9">
        <w:rPr>
          <w:iCs/>
        </w:rPr>
        <w:t>40 million to &lt; $50</w:t>
      </w:r>
      <w:r w:rsidRPr="0033470C">
        <w:rPr>
          <w:iCs/>
        </w:rPr>
        <w:t xml:space="preserve"> million based on effective prices. </w:t>
      </w:r>
    </w:p>
    <w:p w14:paraId="1DB3DFB8" w14:textId="421ACE52" w:rsidR="003A4883" w:rsidRPr="0033470C" w:rsidRDefault="003A4883" w:rsidP="003A4883">
      <w:pPr>
        <w:pStyle w:val="3-BodyText"/>
        <w:ind w:left="720" w:hanging="720"/>
        <w:rPr>
          <w:iCs/>
        </w:rPr>
      </w:pPr>
      <w:r w:rsidRPr="0033470C">
        <w:rPr>
          <w:iCs/>
        </w:rPr>
        <w:t xml:space="preserve">The </w:t>
      </w:r>
      <w:r w:rsidR="00416522">
        <w:rPr>
          <w:iCs/>
        </w:rPr>
        <w:t>re</w:t>
      </w:r>
      <w:r w:rsidRPr="0033470C">
        <w:rPr>
          <w:iCs/>
        </w:rPr>
        <w:t>submission considered two severe active PsA cohorts using 10% PBS sample data of alive patients that did not receive another DMARD:</w:t>
      </w:r>
    </w:p>
    <w:p w14:paraId="189A4B45" w14:textId="078449F6" w:rsidR="003A4883" w:rsidRPr="00A14354" w:rsidRDefault="003A4883" w:rsidP="008A6816">
      <w:pPr>
        <w:pStyle w:val="3-BodyText"/>
        <w:numPr>
          <w:ilvl w:val="0"/>
          <w:numId w:val="16"/>
        </w:numPr>
        <w:ind w:left="1134"/>
        <w:rPr>
          <w:iCs/>
          <w:color w:val="0066FF"/>
        </w:rPr>
      </w:pPr>
      <w:r w:rsidRPr="0033470C">
        <w:rPr>
          <w:iCs/>
        </w:rPr>
        <w:t xml:space="preserve">Cohort 1: </w:t>
      </w:r>
      <w:r w:rsidRPr="00A14354">
        <w:rPr>
          <w:iCs/>
        </w:rPr>
        <w:t>bDMARD discontinuers. This cohort represented patients who are bDMARD intolerant (</w:t>
      </w:r>
      <w:r w:rsidR="003D019D">
        <w:rPr>
          <w:iCs/>
        </w:rPr>
        <w:t>s</w:t>
      </w:r>
      <w:r w:rsidRPr="00A14354">
        <w:rPr>
          <w:iCs/>
        </w:rPr>
        <w:t xml:space="preserve">ubpopulation 3). </w:t>
      </w:r>
    </w:p>
    <w:p w14:paraId="72465D18" w14:textId="097976EA" w:rsidR="003A4883" w:rsidRPr="00A14354" w:rsidRDefault="003A4883" w:rsidP="008A6816">
      <w:pPr>
        <w:pStyle w:val="ListParagraph"/>
        <w:numPr>
          <w:ilvl w:val="0"/>
          <w:numId w:val="16"/>
        </w:numPr>
        <w:ind w:left="1134"/>
        <w:rPr>
          <w:iCs/>
        </w:rPr>
      </w:pPr>
      <w:r w:rsidRPr="00A14354">
        <w:rPr>
          <w:iCs/>
        </w:rPr>
        <w:t>Cohort 2: csDMARD discontinuers. This cohort represented patients who are bDMARD ineligible according to current PBS criteria (</w:t>
      </w:r>
      <w:r w:rsidR="003D019D">
        <w:rPr>
          <w:iCs/>
        </w:rPr>
        <w:t>s</w:t>
      </w:r>
      <w:r w:rsidRPr="00A14354">
        <w:rPr>
          <w:iCs/>
        </w:rPr>
        <w:t>ubpopulation</w:t>
      </w:r>
      <w:r w:rsidR="003D019D">
        <w:rPr>
          <w:iCs/>
        </w:rPr>
        <w:t xml:space="preserve"> 1</w:t>
      </w:r>
      <w:r w:rsidRPr="00A14354">
        <w:rPr>
          <w:iCs/>
        </w:rPr>
        <w:t>) and those who are contraindicated to bDMARDs (</w:t>
      </w:r>
      <w:r w:rsidR="003D019D">
        <w:rPr>
          <w:iCs/>
        </w:rPr>
        <w:t>s</w:t>
      </w:r>
      <w:r w:rsidRPr="00A14354">
        <w:rPr>
          <w:iCs/>
        </w:rPr>
        <w:t xml:space="preserve">ubpopulation 2). </w:t>
      </w:r>
    </w:p>
    <w:p w14:paraId="76CEDF8C" w14:textId="23024297" w:rsidR="003A4883" w:rsidRPr="004C0D9B" w:rsidRDefault="003A4883" w:rsidP="003A4883">
      <w:pPr>
        <w:pStyle w:val="3-BodyText"/>
        <w:ind w:left="720" w:hanging="720"/>
        <w:rPr>
          <w:iCs/>
        </w:rPr>
      </w:pPr>
      <w:r w:rsidRPr="004C0D9B">
        <w:rPr>
          <w:iCs/>
        </w:rPr>
        <w:t xml:space="preserve">The </w:t>
      </w:r>
      <w:r w:rsidR="006467B9" w:rsidRPr="004C0D9B">
        <w:rPr>
          <w:iCs/>
        </w:rPr>
        <w:t>re</w:t>
      </w:r>
      <w:r w:rsidRPr="004C0D9B">
        <w:rPr>
          <w:iCs/>
        </w:rPr>
        <w:t xml:space="preserve">submission defined the incident populations as those who discontinued DMARDs in the last 12 months and prevalent populations as those who discontinued DMARDs between 12 and 24 months. The submission used 2023 to start counting the incident population and added 2021 and 2022 to yield the prevalent population. It is uncertain whether the estimates accurately represent the incident and prevalent </w:t>
      </w:r>
      <w:r w:rsidRPr="004C0D9B">
        <w:rPr>
          <w:iCs/>
        </w:rPr>
        <w:lastRenderedPageBreak/>
        <w:t>populations. Patients could trial other bDMARDs in the future (11 bDMARDs available in Australia for PsA) to identify one with an acceptable side-effect profile (</w:t>
      </w:r>
      <w:r w:rsidR="003D019D" w:rsidRPr="004C0D9B">
        <w:rPr>
          <w:iCs/>
        </w:rPr>
        <w:t>s</w:t>
      </w:r>
      <w:r w:rsidRPr="004C0D9B">
        <w:rPr>
          <w:iCs/>
        </w:rPr>
        <w:t>ubpopulation 3) or not contraindicated (</w:t>
      </w:r>
      <w:r w:rsidR="003D019D" w:rsidRPr="004C0D9B">
        <w:rPr>
          <w:iCs/>
        </w:rPr>
        <w:t>s</w:t>
      </w:r>
      <w:r w:rsidRPr="004C0D9B">
        <w:rPr>
          <w:iCs/>
        </w:rPr>
        <w:t>ubpopulation 2). This could overestimate prevalence and incidence. On the other hand, patients potentially eligible for apremilast before 24 months were excluded from the prevalent population due to the 24 month arbitrary cut-off used to define the prevalent population. Th</w:t>
      </w:r>
      <w:r w:rsidR="00D10922">
        <w:rPr>
          <w:iCs/>
        </w:rPr>
        <w:t>e evaluation considered th</w:t>
      </w:r>
      <w:r w:rsidRPr="004C0D9B">
        <w:rPr>
          <w:iCs/>
        </w:rPr>
        <w:t xml:space="preserve">is could underestimate the prevalent population. </w:t>
      </w:r>
    </w:p>
    <w:p w14:paraId="7962E81B" w14:textId="79257DF1" w:rsidR="003A4883" w:rsidRPr="004C0D9B" w:rsidRDefault="003A4883" w:rsidP="003A4883">
      <w:pPr>
        <w:pStyle w:val="3-BodyText"/>
        <w:ind w:left="720" w:hanging="720"/>
        <w:rPr>
          <w:iCs/>
          <w:color w:val="0066FF"/>
        </w:rPr>
      </w:pPr>
      <w:r w:rsidRPr="004C0D9B">
        <w:rPr>
          <w:iCs/>
        </w:rPr>
        <w:t xml:space="preserve">The </w:t>
      </w:r>
      <w:r w:rsidR="006467B9" w:rsidRPr="004C0D9B">
        <w:rPr>
          <w:iCs/>
        </w:rPr>
        <w:t>re</w:t>
      </w:r>
      <w:r w:rsidRPr="004C0D9B">
        <w:rPr>
          <w:iCs/>
        </w:rPr>
        <w:t xml:space="preserve">submission claimed that patients who discontinue bDMARD treatment and do not receive any further treatment in the PBS dataset were most likely to have stopped bDMARDs due to safety reasons (i.e., Cohort 1) as opposed to the larger pool of patients who eventually transition to another DMARD. </w:t>
      </w:r>
    </w:p>
    <w:p w14:paraId="626F4386" w14:textId="4862AA53" w:rsidR="003A4883" w:rsidRPr="004C0D9B" w:rsidRDefault="003A4883" w:rsidP="003A4883">
      <w:pPr>
        <w:pStyle w:val="3-BodyText"/>
        <w:ind w:left="720" w:hanging="720"/>
        <w:rPr>
          <w:iCs/>
          <w:color w:val="0066FF"/>
        </w:rPr>
      </w:pPr>
      <w:r w:rsidRPr="004C0D9B">
        <w:rPr>
          <w:iCs/>
        </w:rPr>
        <w:t xml:space="preserve">The analysis of bDMARD discontinuers (Cohort 1) presented in the submission showed </w:t>
      </w:r>
      <w:r w:rsidR="00471F95" w:rsidRPr="00471F95">
        <w:rPr>
          <w:iCs/>
        </w:rPr>
        <w:t>10,000 to &lt; 20,000</w:t>
      </w:r>
      <w:r w:rsidRPr="004C0D9B">
        <w:rPr>
          <w:iCs/>
        </w:rPr>
        <w:t xml:space="preserve"> prevalent patients in 2021 compared with 19,719 in the 2020/21 financial year in the DUSC analysis (Review of PBS Authority Required listings – Tranche 6, Ratified DUSC, February 2022). The submission argued that differences in methodology to ascribe indications or counting unique patients caused this discordance. DUSC reported estimates </w:t>
      </w:r>
      <w:r w:rsidR="00A50FC3" w:rsidRPr="00A05E81">
        <w:rPr>
          <w:iCs/>
          <w:color w:val="000000"/>
          <w:w w:val="15"/>
          <w:shd w:val="solid" w:color="000000" w:fill="000000"/>
          <w:fitText w:val="-20" w:id="-1233454578"/>
          <w14:textFill>
            <w14:solidFill>
              <w14:srgbClr w14:val="000000">
                <w14:alpha w14:val="100000"/>
              </w14:srgbClr>
            </w14:solidFill>
          </w14:textFill>
        </w:rPr>
        <w:t xml:space="preserve">|  </w:t>
      </w:r>
      <w:r w:rsidR="00A50FC3" w:rsidRPr="00A05E81">
        <w:rPr>
          <w:iCs/>
          <w:color w:val="000000"/>
          <w:spacing w:val="-69"/>
          <w:w w:val="15"/>
          <w:shd w:val="solid" w:color="000000" w:fill="000000"/>
          <w:fitText w:val="-20" w:id="-1233454578"/>
          <w14:textFill>
            <w14:solidFill>
              <w14:srgbClr w14:val="000000">
                <w14:alpha w14:val="100000"/>
              </w14:srgbClr>
            </w14:solidFill>
          </w14:textFill>
        </w:rPr>
        <w:t>|</w:t>
      </w:r>
      <w:r w:rsidRPr="004C0D9B">
        <w:rPr>
          <w:iCs/>
        </w:rPr>
        <w:t xml:space="preserve">% higher than those presented in the submission. </w:t>
      </w:r>
    </w:p>
    <w:p w14:paraId="617E6549" w14:textId="0EA6D382" w:rsidR="003A4883" w:rsidRPr="004C0D9B" w:rsidRDefault="003A4883" w:rsidP="003A4883">
      <w:pPr>
        <w:pStyle w:val="3-BodyText"/>
        <w:ind w:left="720" w:hanging="720"/>
        <w:rPr>
          <w:iCs/>
          <w:color w:val="0066FF"/>
        </w:rPr>
      </w:pPr>
      <w:r w:rsidRPr="004C0D9B">
        <w:rPr>
          <w:iCs/>
        </w:rPr>
        <w:t xml:space="preserve">The submission considered leflunomide, methotrexate and sulfasalazine in the analysis of csDMARD discontinuers (Cohort 1). Patients receiving leflunomide were identified by indication-specific PBS item code. Sulfasalazine patients were assumed to be patients with rheumatoid arthritis or PsA. The submission used </w:t>
      </w:r>
      <w:r w:rsidR="00A50FC3" w:rsidRPr="00A05E81">
        <w:rPr>
          <w:iCs/>
          <w:color w:val="000000"/>
          <w:w w:val="15"/>
          <w:shd w:val="solid" w:color="000000" w:fill="000000"/>
          <w:fitText w:val="-20" w:id="-1233454577"/>
          <w14:textFill>
            <w14:solidFill>
              <w14:srgbClr w14:val="000000">
                <w14:alpha w14:val="100000"/>
              </w14:srgbClr>
            </w14:solidFill>
          </w14:textFill>
        </w:rPr>
        <w:t xml:space="preserve">|  </w:t>
      </w:r>
      <w:r w:rsidR="00A50FC3" w:rsidRPr="00A05E81">
        <w:rPr>
          <w:iCs/>
          <w:color w:val="000000"/>
          <w:spacing w:val="-69"/>
          <w:w w:val="15"/>
          <w:shd w:val="solid" w:color="000000" w:fill="000000"/>
          <w:fitText w:val="-20" w:id="-1233454577"/>
          <w14:textFill>
            <w14:solidFill>
              <w14:srgbClr w14:val="000000">
                <w14:alpha w14:val="100000"/>
              </w14:srgbClr>
            </w14:solidFill>
          </w14:textFill>
        </w:rPr>
        <w:t>|</w:t>
      </w:r>
      <w:r w:rsidR="00295039" w:rsidRPr="00295039">
        <w:rPr>
          <w:iCs/>
        </w:rPr>
        <w:t xml:space="preserve"> </w:t>
      </w:r>
      <w:r w:rsidRPr="004C0D9B">
        <w:rPr>
          <w:iCs/>
        </w:rPr>
        <w:t>% of this patient number to represent patients with PsA. The source of this ratio was not presented. The submission excluded methotrexate alone as it is prescribed for various indications. Th</w:t>
      </w:r>
      <w:r w:rsidR="00D10922">
        <w:rPr>
          <w:iCs/>
        </w:rPr>
        <w:t>e evaluation considered th</w:t>
      </w:r>
      <w:r w:rsidRPr="004C0D9B">
        <w:rPr>
          <w:iCs/>
        </w:rPr>
        <w:t>is could potentially underestimate the number of patients in Cohort 2.</w:t>
      </w:r>
    </w:p>
    <w:p w14:paraId="49009A27" w14:textId="0C2D13CA" w:rsidR="003A4883" w:rsidRPr="004C0D9B" w:rsidRDefault="003A4883" w:rsidP="003A4883">
      <w:pPr>
        <w:pStyle w:val="3-BodyText"/>
        <w:ind w:left="720" w:hanging="720"/>
        <w:rPr>
          <w:iCs/>
          <w:color w:val="0066FF"/>
        </w:rPr>
      </w:pPr>
      <w:r w:rsidRPr="004C0D9B">
        <w:rPr>
          <w:iCs/>
        </w:rPr>
        <w:t xml:space="preserve">The submission assumed a </w:t>
      </w:r>
      <w:r w:rsidR="00A50FC3" w:rsidRPr="00A50FC3">
        <w:rPr>
          <w:iCs/>
          <w:color w:val="000000"/>
          <w:spacing w:val="20"/>
          <w:w w:val="72"/>
          <w:shd w:val="solid" w:color="000000" w:fill="000000"/>
          <w:fitText w:val="640" w:id="-1233454576"/>
          <w14:textFill>
            <w14:solidFill>
              <w14:srgbClr w14:val="000000">
                <w14:alpha w14:val="100000"/>
              </w14:srgbClr>
            </w14:solidFill>
          </w14:textFill>
        </w:rPr>
        <w:t xml:space="preserve">||||| </w:t>
      </w:r>
      <w:r w:rsidR="00A50FC3" w:rsidRPr="00A50FC3">
        <w:rPr>
          <w:iCs/>
          <w:color w:val="000000"/>
          <w:spacing w:val="4"/>
          <w:w w:val="72"/>
          <w:shd w:val="solid" w:color="000000" w:fill="000000"/>
          <w:fitText w:val="640" w:id="-1233454576"/>
          <w14:textFill>
            <w14:solidFill>
              <w14:srgbClr w14:val="000000">
                <w14:alpha w14:val="100000"/>
              </w14:srgbClr>
            </w14:solidFill>
          </w14:textFill>
        </w:rPr>
        <w:t>|</w:t>
      </w:r>
      <w:r w:rsidRPr="004C0D9B">
        <w:rPr>
          <w:iCs/>
        </w:rPr>
        <w:t xml:space="preserve">% growth rate based on leflunomide PsA prescriptions growth from 2019 to 2021. The submission noted that there were </w:t>
      </w:r>
      <w:r w:rsidR="00A50FC3" w:rsidRPr="00A05E81">
        <w:rPr>
          <w:iCs/>
          <w:color w:val="000000"/>
          <w:w w:val="15"/>
          <w:shd w:val="solid" w:color="000000" w:fill="000000"/>
          <w:fitText w:val="-20" w:id="-1233454592"/>
          <w14:textFill>
            <w14:solidFill>
              <w14:srgbClr w14:val="000000">
                <w14:alpha w14:val="100000"/>
              </w14:srgbClr>
            </w14:solidFill>
          </w14:textFill>
        </w:rPr>
        <w:t xml:space="preserve">|  </w:t>
      </w:r>
      <w:r w:rsidR="00A50FC3" w:rsidRPr="00A05E81">
        <w:rPr>
          <w:iCs/>
          <w:color w:val="000000"/>
          <w:spacing w:val="-69"/>
          <w:w w:val="15"/>
          <w:shd w:val="solid" w:color="000000" w:fill="000000"/>
          <w:fitText w:val="-20" w:id="-1233454592"/>
          <w14:textFill>
            <w14:solidFill>
              <w14:srgbClr w14:val="000000">
                <w14:alpha w14:val="100000"/>
              </w14:srgbClr>
            </w14:solidFill>
          </w14:textFill>
        </w:rPr>
        <w:t>|</w:t>
      </w:r>
      <w:r w:rsidRPr="004C0D9B">
        <w:rPr>
          <w:iCs/>
        </w:rPr>
        <w:t>% more bDMARD users in 2021 than in 2020</w:t>
      </w:r>
      <w:r w:rsidR="00D10922">
        <w:rPr>
          <w:iCs/>
        </w:rPr>
        <w:t>. The evaluation noted as</w:t>
      </w:r>
      <w:r w:rsidRPr="004C0D9B">
        <w:rPr>
          <w:iCs/>
        </w:rPr>
        <w:t xml:space="preserve">suming </w:t>
      </w:r>
      <w:r w:rsidR="00A50FC3" w:rsidRPr="00A05E81">
        <w:rPr>
          <w:iCs/>
          <w:color w:val="000000"/>
          <w:w w:val="15"/>
          <w:shd w:val="solid" w:color="000000" w:fill="000000"/>
          <w:fitText w:val="-20" w:id="-1233454591"/>
          <w14:textFill>
            <w14:solidFill>
              <w14:srgbClr w14:val="000000">
                <w14:alpha w14:val="100000"/>
              </w14:srgbClr>
            </w14:solidFill>
          </w14:textFill>
        </w:rPr>
        <w:t xml:space="preserve">|  </w:t>
      </w:r>
      <w:r w:rsidR="00A50FC3" w:rsidRPr="00A05E81">
        <w:rPr>
          <w:iCs/>
          <w:color w:val="000000"/>
          <w:spacing w:val="-69"/>
          <w:w w:val="15"/>
          <w:shd w:val="solid" w:color="000000" w:fill="000000"/>
          <w:fitText w:val="-20" w:id="-1233454591"/>
          <w14:textFill>
            <w14:solidFill>
              <w14:srgbClr w14:val="000000">
                <w14:alpha w14:val="100000"/>
              </w14:srgbClr>
            </w14:solidFill>
          </w14:textFill>
        </w:rPr>
        <w:t>|</w:t>
      </w:r>
      <w:r w:rsidR="00295039" w:rsidRPr="00295039">
        <w:rPr>
          <w:iCs/>
        </w:rPr>
        <w:t xml:space="preserve"> </w:t>
      </w:r>
      <w:r w:rsidRPr="004C0D9B">
        <w:rPr>
          <w:iCs/>
        </w:rPr>
        <w:t xml:space="preserve">% growth could potentially underestimate patient numbers. </w:t>
      </w:r>
    </w:p>
    <w:p w14:paraId="3726B4F1" w14:textId="7A013859" w:rsidR="003A4883" w:rsidRPr="004C0D9B" w:rsidRDefault="003A4883" w:rsidP="003A4883">
      <w:pPr>
        <w:pStyle w:val="3-BodyText"/>
        <w:ind w:left="720" w:hanging="720"/>
        <w:rPr>
          <w:iCs/>
          <w:color w:val="0066FF"/>
        </w:rPr>
      </w:pPr>
      <w:r w:rsidRPr="004C0D9B">
        <w:rPr>
          <w:iCs/>
        </w:rPr>
        <w:t>The submission estimated apremilast uptake by surveying an advisory board of eight members and six Australian rheumatologists. The accuracy of using expert opinion is uncertain. Further, Years 1 and 2 for Cohort 1 and Years 1 to 3 for Cohort 2 incident population uptake rates were not justified</w:t>
      </w:r>
      <w:r w:rsidR="00EA14E2" w:rsidRPr="004C0D9B">
        <w:rPr>
          <w:iCs/>
        </w:rPr>
        <w:t xml:space="preserve"> using expert advice</w:t>
      </w:r>
      <w:r w:rsidRPr="004C0D9B">
        <w:rPr>
          <w:iCs/>
        </w:rPr>
        <w:t xml:space="preserve">. </w:t>
      </w:r>
    </w:p>
    <w:p w14:paraId="62F8552B" w14:textId="77777777" w:rsidR="003A4883" w:rsidRPr="004C0D9B" w:rsidRDefault="003A4883" w:rsidP="003A4883">
      <w:pPr>
        <w:pStyle w:val="3-BodyText"/>
        <w:ind w:left="720" w:hanging="720"/>
        <w:rPr>
          <w:iCs/>
        </w:rPr>
      </w:pPr>
      <w:r w:rsidRPr="004C0D9B">
        <w:rPr>
          <w:iCs/>
        </w:rPr>
        <w:t xml:space="preserve">The submission made the following assumptions to determine scripts: </w:t>
      </w:r>
    </w:p>
    <w:p w14:paraId="6BE847BB" w14:textId="2E5D8E9F" w:rsidR="003A4883" w:rsidRPr="004C0D9B" w:rsidRDefault="003A4883" w:rsidP="008A6816">
      <w:pPr>
        <w:pStyle w:val="3-BodyText"/>
        <w:numPr>
          <w:ilvl w:val="0"/>
          <w:numId w:val="17"/>
        </w:numPr>
        <w:ind w:left="1134"/>
        <w:rPr>
          <w:iCs/>
        </w:rPr>
      </w:pPr>
      <w:r w:rsidRPr="004C0D9B">
        <w:rPr>
          <w:iCs/>
        </w:rPr>
        <w:t xml:space="preserve">All patients received a titration pack in the initiating year. </w:t>
      </w:r>
    </w:p>
    <w:p w14:paraId="4914CD77" w14:textId="1216DC84" w:rsidR="003A4883" w:rsidRPr="004C0D9B" w:rsidRDefault="003A4883" w:rsidP="008A6816">
      <w:pPr>
        <w:pStyle w:val="3-BodyText"/>
        <w:numPr>
          <w:ilvl w:val="0"/>
          <w:numId w:val="17"/>
        </w:numPr>
        <w:ind w:left="1134"/>
        <w:rPr>
          <w:iCs/>
        </w:rPr>
      </w:pPr>
      <w:r w:rsidRPr="004C0D9B">
        <w:rPr>
          <w:iCs/>
        </w:rPr>
        <w:t xml:space="preserve">Discontinuers received supply for six months in the discontinuation year. </w:t>
      </w:r>
    </w:p>
    <w:p w14:paraId="3E1B23E0" w14:textId="53A045EE" w:rsidR="003A4883" w:rsidRPr="004C0D9B" w:rsidRDefault="003A4883" w:rsidP="008A6816">
      <w:pPr>
        <w:pStyle w:val="ListParagraph"/>
        <w:numPr>
          <w:ilvl w:val="0"/>
          <w:numId w:val="17"/>
        </w:numPr>
        <w:ind w:left="1134"/>
        <w:rPr>
          <w:iCs/>
        </w:rPr>
      </w:pPr>
      <w:r w:rsidRPr="004C0D9B">
        <w:rPr>
          <w:iCs/>
        </w:rPr>
        <w:t xml:space="preserve">The ACTIVE trial response rate (45%) determined discontinuers in the initiating year. </w:t>
      </w:r>
    </w:p>
    <w:p w14:paraId="323C1374" w14:textId="46A78AA9" w:rsidR="003A4883" w:rsidRPr="004C0D9B" w:rsidRDefault="003A4883" w:rsidP="008A6816">
      <w:pPr>
        <w:pStyle w:val="3-BodyText"/>
        <w:numPr>
          <w:ilvl w:val="0"/>
          <w:numId w:val="17"/>
        </w:numPr>
        <w:ind w:left="1134"/>
        <w:rPr>
          <w:iCs/>
        </w:rPr>
      </w:pPr>
      <w:r w:rsidRPr="004C0D9B">
        <w:rPr>
          <w:iCs/>
        </w:rPr>
        <w:lastRenderedPageBreak/>
        <w:t xml:space="preserve">Discontinuers in continuing years were assumed to be 10% per year. </w:t>
      </w:r>
    </w:p>
    <w:p w14:paraId="45C32321" w14:textId="4306E2DB" w:rsidR="003A4883" w:rsidRPr="004C0D9B" w:rsidRDefault="003A4883" w:rsidP="008A6816">
      <w:pPr>
        <w:pStyle w:val="3-BodyText"/>
        <w:numPr>
          <w:ilvl w:val="0"/>
          <w:numId w:val="17"/>
        </w:numPr>
        <w:ind w:left="1134"/>
        <w:rPr>
          <w:iCs/>
        </w:rPr>
      </w:pPr>
      <w:r w:rsidRPr="004C0D9B">
        <w:rPr>
          <w:iCs/>
        </w:rPr>
        <w:t xml:space="preserve">An additional 90% compliance factor was applied every year. </w:t>
      </w:r>
    </w:p>
    <w:p w14:paraId="6A278898" w14:textId="65BC2D3B" w:rsidR="003A4883" w:rsidRPr="00AA64DF" w:rsidRDefault="003A4883" w:rsidP="003A4883">
      <w:pPr>
        <w:pStyle w:val="3-BodyText"/>
        <w:ind w:left="720" w:hanging="720"/>
        <w:rPr>
          <w:iCs/>
        </w:rPr>
      </w:pPr>
      <w:bookmarkStart w:id="98" w:name="_Ref123907697"/>
      <w:bookmarkStart w:id="99" w:name="_Ref131674361"/>
      <w:r w:rsidRPr="004C0D9B">
        <w:rPr>
          <w:iCs/>
        </w:rPr>
        <w:t xml:space="preserve">Discontinuation (55% for initiating year and 10% for continuing years) was applied to estimate total patients. Then the submission applied 63.3% for initiating years and 85.5% for continuing years to estimate scripts. These percentages (63.3% and 85.5%) also considered discontinuation (55% and 10%). </w:t>
      </w:r>
      <w:r w:rsidR="00E74EA2" w:rsidRPr="00AA64DF">
        <w:rPr>
          <w:iCs/>
        </w:rPr>
        <w:t>The evaluation considered</w:t>
      </w:r>
      <w:r w:rsidR="00E74EA2" w:rsidRPr="004C0D9B">
        <w:rPr>
          <w:iCs/>
        </w:rPr>
        <w:t xml:space="preserve"> d</w:t>
      </w:r>
      <w:r w:rsidRPr="004C0D9B">
        <w:rPr>
          <w:iCs/>
        </w:rPr>
        <w:t>iscontinuation was double counted as it was used to estimate patient numbers and again for scripts.</w:t>
      </w:r>
      <w:bookmarkEnd w:id="98"/>
      <w:r w:rsidR="003D019D" w:rsidRPr="004C0D9B">
        <w:rPr>
          <w:iCs/>
        </w:rPr>
        <w:t xml:space="preserve"> </w:t>
      </w:r>
      <w:r w:rsidR="00416522" w:rsidRPr="00416522">
        <w:rPr>
          <w:iCs/>
        </w:rPr>
        <w:t>The net cost excluding double counted discontinuations was estimated to be $</w:t>
      </w:r>
      <w:r w:rsidR="00851AD9">
        <w:rPr>
          <w:iCs/>
        </w:rPr>
        <w:t>50 million to &lt; $60</w:t>
      </w:r>
      <w:r w:rsidR="00416522" w:rsidRPr="00416522">
        <w:rPr>
          <w:iCs/>
        </w:rPr>
        <w:t xml:space="preserve"> million over six years. </w:t>
      </w:r>
      <w:r w:rsidR="003D019D" w:rsidRPr="00AA64DF">
        <w:rPr>
          <w:iCs/>
        </w:rPr>
        <w:t>The ESC noted the PSCR did not comment on the double counting of discontinuations identified by the evaluation.</w:t>
      </w:r>
      <w:bookmarkEnd w:id="99"/>
    </w:p>
    <w:p w14:paraId="436FDBEF" w14:textId="48470D8F" w:rsidR="00380774" w:rsidRPr="00E50799" w:rsidRDefault="00380774" w:rsidP="003A4883">
      <w:pPr>
        <w:pStyle w:val="3-BodyText"/>
        <w:ind w:left="720" w:hanging="720"/>
      </w:pPr>
      <w:r w:rsidRPr="00E50799">
        <w:t>The ESC considered the estimated number of patients that would be eli</w:t>
      </w:r>
      <w:r w:rsidR="00E74EA2" w:rsidRPr="00E50799">
        <w:t xml:space="preserve">gible </w:t>
      </w:r>
      <w:r w:rsidRPr="00E50799">
        <w:t xml:space="preserve">for treatment with apremilast to be highly uncertain. </w:t>
      </w:r>
    </w:p>
    <w:p w14:paraId="115CDAD8" w14:textId="77777777" w:rsidR="003A4883" w:rsidRPr="00C9624D" w:rsidRDefault="003A4883" w:rsidP="003A4883">
      <w:pPr>
        <w:pStyle w:val="4-SubsectionHeading"/>
      </w:pPr>
      <w:bookmarkStart w:id="100" w:name="_Toc124945481"/>
      <w:r w:rsidRPr="00C9624D">
        <w:t>Quality Use of Medicines</w:t>
      </w:r>
      <w:bookmarkEnd w:id="93"/>
      <w:bookmarkEnd w:id="100"/>
    </w:p>
    <w:p w14:paraId="324457E0" w14:textId="376E9277" w:rsidR="003A4883" w:rsidRPr="00ED2038" w:rsidRDefault="003A4883" w:rsidP="003A4883">
      <w:pPr>
        <w:pStyle w:val="3-BodyText"/>
        <w:ind w:left="720" w:hanging="720"/>
      </w:pPr>
      <w:bookmarkStart w:id="101" w:name="_Toc22897649"/>
      <w:r w:rsidRPr="00ED2038">
        <w:t xml:space="preserve">The submission claimed that extensive education and patient support programs would be implemented. </w:t>
      </w:r>
    </w:p>
    <w:p w14:paraId="344F96CD" w14:textId="77777777" w:rsidR="003A4883" w:rsidRPr="00C9624D" w:rsidRDefault="003A4883" w:rsidP="003A4883">
      <w:pPr>
        <w:pStyle w:val="4-SubsectionHeading"/>
      </w:pPr>
      <w:bookmarkStart w:id="102" w:name="_Toc124945482"/>
      <w:r w:rsidRPr="00C9624D">
        <w:t>Financial Management – Risk Sharing Arrangements</w:t>
      </w:r>
      <w:bookmarkEnd w:id="101"/>
      <w:bookmarkEnd w:id="102"/>
    </w:p>
    <w:p w14:paraId="6BC8F4FB" w14:textId="54F6D0EE" w:rsidR="00A14744" w:rsidRDefault="003A4883" w:rsidP="003A4883">
      <w:pPr>
        <w:pStyle w:val="3-BodyText"/>
        <w:ind w:left="720" w:hanging="720"/>
      </w:pPr>
      <w:bookmarkStart w:id="103" w:name="_Toc22897650"/>
      <w:r w:rsidRPr="00ED2038">
        <w:t xml:space="preserve">The submission declared willingness to agree to a financial cap arrangement based on costs estimated using the effective price presented in </w:t>
      </w:r>
      <w:r w:rsidRPr="00ED2038">
        <w:fldChar w:fldCharType="begin"/>
      </w:r>
      <w:r w:rsidRPr="00ED2038">
        <w:instrText xml:space="preserve"> REF _Ref104805295 \h </w:instrText>
      </w:r>
      <w:r w:rsidR="00ED2038" w:rsidRPr="00ED2038">
        <w:instrText xml:space="preserve"> \* MERGEFORMAT </w:instrText>
      </w:r>
      <w:r w:rsidRPr="00ED2038">
        <w:fldChar w:fldCharType="separate"/>
      </w:r>
      <w:r w:rsidR="00A05E81" w:rsidRPr="00B14B63">
        <w:t xml:space="preserve">Table </w:t>
      </w:r>
      <w:r w:rsidR="00A05E81">
        <w:rPr>
          <w:noProof/>
        </w:rPr>
        <w:t>20</w:t>
      </w:r>
      <w:r w:rsidRPr="00ED2038">
        <w:fldChar w:fldCharType="end"/>
      </w:r>
      <w:r w:rsidRPr="00ED2038">
        <w:t xml:space="preserve">. The submission </w:t>
      </w:r>
      <w:r w:rsidR="00380774">
        <w:t xml:space="preserve">stated </w:t>
      </w:r>
      <w:r w:rsidRPr="00ED2038">
        <w:t xml:space="preserve">that apremilast for PsO has a two-tier financial cap where for utilisation exceeding Tier 1 cap, an additional rebate of </w:t>
      </w:r>
      <w:r w:rsidR="00A50FC3" w:rsidRPr="00A05E81">
        <w:rPr>
          <w:color w:val="000000"/>
          <w:w w:val="15"/>
          <w:shd w:val="solid" w:color="000000" w:fill="000000"/>
          <w:fitText w:val="-20" w:id="-1233454590"/>
          <w14:textFill>
            <w14:solidFill>
              <w14:srgbClr w14:val="000000">
                <w14:alpha w14:val="100000"/>
              </w14:srgbClr>
            </w14:solidFill>
          </w14:textFill>
        </w:rPr>
        <w:t xml:space="preserve">|  </w:t>
      </w:r>
      <w:r w:rsidR="00A50FC3" w:rsidRPr="00A05E81">
        <w:rPr>
          <w:color w:val="000000"/>
          <w:spacing w:val="-69"/>
          <w:w w:val="15"/>
          <w:shd w:val="solid" w:color="000000" w:fill="000000"/>
          <w:fitText w:val="-20" w:id="-1233454590"/>
          <w14:textFill>
            <w14:solidFill>
              <w14:srgbClr w14:val="000000">
                <w14:alpha w14:val="100000"/>
              </w14:srgbClr>
            </w14:solidFill>
          </w14:textFill>
        </w:rPr>
        <w:t>|</w:t>
      </w:r>
      <w:r w:rsidR="00295039" w:rsidRPr="00295039">
        <w:t xml:space="preserve"> </w:t>
      </w:r>
      <w:r w:rsidRPr="00ED2038">
        <w:t xml:space="preserve">% applies, then above Tier 2 a </w:t>
      </w:r>
      <w:r w:rsidR="00A50FC3" w:rsidRPr="00A05E81">
        <w:rPr>
          <w:color w:val="000000"/>
          <w:w w:val="15"/>
          <w:shd w:val="solid" w:color="000000" w:fill="000000"/>
          <w:fitText w:val="-20" w:id="-1233454589"/>
          <w14:textFill>
            <w14:solidFill>
              <w14:srgbClr w14:val="000000">
                <w14:alpha w14:val="100000"/>
              </w14:srgbClr>
            </w14:solidFill>
          </w14:textFill>
        </w:rPr>
        <w:t xml:space="preserve">|  </w:t>
      </w:r>
      <w:r w:rsidR="00A50FC3" w:rsidRPr="00A05E81">
        <w:rPr>
          <w:color w:val="000000"/>
          <w:spacing w:val="-69"/>
          <w:w w:val="15"/>
          <w:shd w:val="solid" w:color="000000" w:fill="000000"/>
          <w:fitText w:val="-20" w:id="-1233454589"/>
          <w14:textFill>
            <w14:solidFill>
              <w14:srgbClr w14:val="000000">
                <w14:alpha w14:val="100000"/>
              </w14:srgbClr>
            </w14:solidFill>
          </w14:textFill>
        </w:rPr>
        <w:t>|</w:t>
      </w:r>
      <w:r w:rsidR="00295039" w:rsidRPr="00295039">
        <w:t xml:space="preserve"> </w:t>
      </w:r>
      <w:r w:rsidRPr="00ED2038">
        <w:t xml:space="preserve">% rebate applies. The </w:t>
      </w:r>
      <w:r w:rsidR="00CA7260">
        <w:t xml:space="preserve">evaluation considered the </w:t>
      </w:r>
      <w:r w:rsidRPr="00ED2038">
        <w:t xml:space="preserve">existing risk sharing arrangement for apremilast in PsO may need to be adjusted to account for additional patients treated for the PsA indication. </w:t>
      </w:r>
    </w:p>
    <w:p w14:paraId="01158EC6" w14:textId="3899E995" w:rsidR="0006067A" w:rsidRPr="00AA64DF" w:rsidRDefault="0006067A" w:rsidP="00E74EA2">
      <w:pPr>
        <w:pStyle w:val="3-BodyText"/>
        <w:ind w:left="720" w:hanging="720"/>
      </w:pPr>
      <w:bookmarkStart w:id="104" w:name="_Ref132265755"/>
      <w:r w:rsidRPr="00AA64DF">
        <w:t xml:space="preserve">The PSCR acknowledged the exact number of eligible patients was uncertain and may be underestimated, however stated the financial risk </w:t>
      </w:r>
      <w:r w:rsidR="00A61A76" w:rsidRPr="00AA64DF">
        <w:t>c</w:t>
      </w:r>
      <w:r w:rsidRPr="00AA64DF">
        <w:t>ould be addressed through an RSA, and noted the suggestion in the evaluation that an adjustment to the current subsidisation caps for psoriasis could be affected to achieve this outcome</w:t>
      </w:r>
      <w:r w:rsidR="00380774" w:rsidRPr="00AA64DF">
        <w:t xml:space="preserve">. </w:t>
      </w:r>
      <w:r w:rsidRPr="004C0D9B">
        <w:t xml:space="preserve">The sponsor proposed </w:t>
      </w:r>
      <w:r w:rsidR="00380774" w:rsidRPr="00AA64DF">
        <w:t xml:space="preserve">adding the cost of listing apremilast estimated in the resubmission </w:t>
      </w:r>
      <w:r w:rsidR="00A61A76" w:rsidRPr="00AA64DF">
        <w:t>(i.e., $</w:t>
      </w:r>
      <w:r w:rsidR="00851AD9">
        <w:t>0 to &lt; $10</w:t>
      </w:r>
      <w:r w:rsidR="00CC53D1" w:rsidRPr="00AA64DF">
        <w:t xml:space="preserve"> </w:t>
      </w:r>
      <w:r w:rsidR="008128EA">
        <w:t>M</w:t>
      </w:r>
      <w:r w:rsidR="008128EA" w:rsidRPr="00AA64DF">
        <w:t xml:space="preserve"> </w:t>
      </w:r>
      <w:r w:rsidR="00A61A76" w:rsidRPr="00AA64DF">
        <w:t>in Year 1 and $</w:t>
      </w:r>
      <w:r w:rsidR="00851AD9">
        <w:t xml:space="preserve">10 </w:t>
      </w:r>
      <w:r w:rsidR="008128EA">
        <w:t>M</w:t>
      </w:r>
      <w:r w:rsidR="00851AD9">
        <w:t xml:space="preserve"> to &lt; $20</w:t>
      </w:r>
      <w:r w:rsidR="00CC53D1" w:rsidRPr="00AA64DF">
        <w:t xml:space="preserve"> </w:t>
      </w:r>
      <w:r w:rsidR="008128EA">
        <w:t>M</w:t>
      </w:r>
      <w:r w:rsidR="008128EA" w:rsidRPr="00AA64DF">
        <w:t xml:space="preserve"> </w:t>
      </w:r>
      <w:r w:rsidR="00A61A76" w:rsidRPr="00AA64DF">
        <w:t xml:space="preserve">in Year 6) </w:t>
      </w:r>
      <w:r w:rsidR="00380774" w:rsidRPr="00AA64DF">
        <w:t>to the Tier 1 and Tier 2 cap</w:t>
      </w:r>
      <w:r w:rsidR="00E74EA2" w:rsidRPr="00AA64DF">
        <w:t>s</w:t>
      </w:r>
      <w:r w:rsidR="00380774" w:rsidRPr="00AA64DF">
        <w:t xml:space="preserve"> currently in place for psoriasis.</w:t>
      </w:r>
      <w:bookmarkEnd w:id="104"/>
      <w:r w:rsidR="00380774" w:rsidRPr="00AA64DF">
        <w:t xml:space="preserve"> </w:t>
      </w:r>
    </w:p>
    <w:p w14:paraId="202845DC" w14:textId="3915A586" w:rsidR="0048379A" w:rsidRPr="00EF48B5" w:rsidRDefault="00A61A76" w:rsidP="00EF48B5">
      <w:pPr>
        <w:pStyle w:val="3-BodyText"/>
        <w:ind w:left="720" w:hanging="720"/>
      </w:pPr>
      <w:r w:rsidRPr="00AA64DF">
        <w:t xml:space="preserve">The ESC noted expenditure on apremilast for PsO in Year 1 and Year 2 of listing was </w:t>
      </w:r>
      <w:r w:rsidR="00E74EA2" w:rsidRPr="00AA64DF">
        <w:t xml:space="preserve">approximately </w:t>
      </w:r>
      <w:r w:rsidR="00A50FC3" w:rsidRPr="00A05E81">
        <w:rPr>
          <w:color w:val="000000"/>
          <w:w w:val="15"/>
          <w:shd w:val="solid" w:color="000000" w:fill="000000"/>
          <w:fitText w:val="-20" w:id="-1233454588"/>
          <w14:textFill>
            <w14:solidFill>
              <w14:srgbClr w14:val="000000">
                <w14:alpha w14:val="100000"/>
              </w14:srgbClr>
            </w14:solidFill>
          </w14:textFill>
        </w:rPr>
        <w:t xml:space="preserve">|  </w:t>
      </w:r>
      <w:r w:rsidR="00A50FC3" w:rsidRPr="00A05E81">
        <w:rPr>
          <w:color w:val="000000"/>
          <w:spacing w:val="-69"/>
          <w:w w:val="15"/>
          <w:shd w:val="solid" w:color="000000" w:fill="000000"/>
          <w:fitText w:val="-20" w:id="-1233454588"/>
          <w14:textFill>
            <w14:solidFill>
              <w14:srgbClr w14:val="000000">
                <w14:alpha w14:val="100000"/>
              </w14:srgbClr>
            </w14:solidFill>
          </w14:textFill>
        </w:rPr>
        <w:t>|</w:t>
      </w:r>
      <w:r w:rsidR="00295039" w:rsidRPr="00295039">
        <w:t xml:space="preserve"> </w:t>
      </w:r>
      <w:r w:rsidRPr="00AA64DF">
        <w:t>% of the Tier 1 cap</w:t>
      </w:r>
      <w:r w:rsidRPr="004C0D9B">
        <w:t xml:space="preserve">. </w:t>
      </w:r>
      <w:r w:rsidR="008C28E4" w:rsidRPr="00AA64DF">
        <w:t xml:space="preserve">The ESC considered adding expenditure for PsA to the PsO expenditure caps </w:t>
      </w:r>
      <w:r w:rsidR="005555FD" w:rsidRPr="00AA64DF">
        <w:t>would allow for cross-subsidisation across the indications and would not</w:t>
      </w:r>
      <w:r w:rsidR="008C28E4" w:rsidRPr="00AA64DF">
        <w:t xml:space="preserve"> manage the specific risk for PsA, given PsO expenditure</w:t>
      </w:r>
      <w:r w:rsidR="005D3F98" w:rsidRPr="00AA64DF">
        <w:t xml:space="preserve"> in Year 2</w:t>
      </w:r>
      <w:r w:rsidR="008C28E4" w:rsidRPr="00AA64DF">
        <w:t xml:space="preserve"> </w:t>
      </w:r>
      <w:r w:rsidR="005D3F98" w:rsidRPr="00AA64DF">
        <w:t xml:space="preserve">was </w:t>
      </w:r>
      <w:r w:rsidR="00A50FC3" w:rsidRPr="00A05E81">
        <w:rPr>
          <w:color w:val="000000"/>
          <w:w w:val="15"/>
          <w:shd w:val="solid" w:color="000000" w:fill="000000"/>
          <w:fitText w:val="-20" w:id="-1233454587"/>
          <w14:textFill>
            <w14:solidFill>
              <w14:srgbClr w14:val="000000">
                <w14:alpha w14:val="100000"/>
              </w14:srgbClr>
            </w14:solidFill>
          </w14:textFill>
        </w:rPr>
        <w:t xml:space="preserve">|  </w:t>
      </w:r>
      <w:r w:rsidR="00A50FC3" w:rsidRPr="00A05E81">
        <w:rPr>
          <w:color w:val="000000"/>
          <w:spacing w:val="-69"/>
          <w:w w:val="15"/>
          <w:shd w:val="solid" w:color="000000" w:fill="000000"/>
          <w:fitText w:val="-20" w:id="-1233454587"/>
          <w14:textFill>
            <w14:solidFill>
              <w14:srgbClr w14:val="000000">
                <w14:alpha w14:val="100000"/>
              </w14:srgbClr>
            </w14:solidFill>
          </w14:textFill>
        </w:rPr>
        <w:t>|</w:t>
      </w:r>
      <w:r w:rsidR="008C28E4" w:rsidRPr="00AA64DF">
        <w:t>% of the Tier 1 cap.</w:t>
      </w:r>
      <w:bookmarkStart w:id="105" w:name="_Toc124945484"/>
      <w:bookmarkEnd w:id="103"/>
    </w:p>
    <w:p w14:paraId="2C82312B" w14:textId="17FE4C4A" w:rsidR="00D30547" w:rsidRPr="00402E93" w:rsidRDefault="0048379A" w:rsidP="00402E93">
      <w:pPr>
        <w:ind w:firstLine="709"/>
        <w:rPr>
          <w:rFonts w:asciiTheme="minorHAnsi" w:hAnsiTheme="minorHAnsi"/>
          <w:i/>
        </w:rPr>
      </w:pPr>
      <w:r w:rsidRPr="00C33D30">
        <w:rPr>
          <w:rFonts w:asciiTheme="minorHAnsi" w:hAnsiTheme="minorHAnsi"/>
          <w:i/>
        </w:rPr>
        <w:t>For more detail on PBAC’s view, see section 7 PBAC outcome.</w:t>
      </w:r>
    </w:p>
    <w:p w14:paraId="0C0C3D01" w14:textId="77777777" w:rsidR="00D30547" w:rsidRPr="00EF48B5" w:rsidRDefault="00D30547" w:rsidP="00D46192">
      <w:pPr>
        <w:pStyle w:val="2-SectionHeading"/>
      </w:pPr>
      <w:bookmarkStart w:id="106" w:name="_Hlk76381249"/>
      <w:bookmarkStart w:id="107" w:name="_Hlk76377955"/>
      <w:r w:rsidRPr="00EF48B5">
        <w:lastRenderedPageBreak/>
        <w:t>PBAC Outcome</w:t>
      </w:r>
    </w:p>
    <w:p w14:paraId="48360943" w14:textId="559A5944" w:rsidR="006D11D4" w:rsidRPr="00EF48B5" w:rsidRDefault="00AD76E8" w:rsidP="007D25C9">
      <w:pPr>
        <w:pStyle w:val="ListParagraph"/>
        <w:numPr>
          <w:ilvl w:val="1"/>
          <w:numId w:val="4"/>
        </w:numPr>
        <w:ind w:left="720" w:hanging="720"/>
        <w:contextualSpacing/>
        <w:rPr>
          <w:lang w:val="en-GB" w:eastAsia="en-US"/>
        </w:rPr>
      </w:pPr>
      <w:r w:rsidRPr="00EF48B5">
        <w:rPr>
          <w:lang w:val="en-GB"/>
        </w:rPr>
        <w:t>The PBAC did not recommend the listing of apremilast for the treatment of severe psoriatic arthritis (PsA), in patients who have previously</w:t>
      </w:r>
      <w:r w:rsidR="00E2705E" w:rsidRPr="00EF48B5">
        <w:rPr>
          <w:lang w:val="en-GB"/>
        </w:rPr>
        <w:t xml:space="preserve"> failed to achieve an adequate response to,</w:t>
      </w:r>
      <w:r w:rsidRPr="00EF48B5">
        <w:rPr>
          <w:lang w:val="en-GB"/>
        </w:rPr>
        <w:t xml:space="preserve"> or</w:t>
      </w:r>
      <w:r w:rsidR="00E2705E" w:rsidRPr="00EF48B5">
        <w:rPr>
          <w:lang w:val="en-GB"/>
        </w:rPr>
        <w:t xml:space="preserve"> </w:t>
      </w:r>
      <w:r w:rsidRPr="00EF48B5">
        <w:rPr>
          <w:lang w:val="en-GB"/>
        </w:rPr>
        <w:t xml:space="preserve">are </w:t>
      </w:r>
      <w:r w:rsidR="00E2705E" w:rsidRPr="00EF48B5">
        <w:rPr>
          <w:lang w:val="en-GB"/>
        </w:rPr>
        <w:t>clinically inappropriate for,</w:t>
      </w:r>
      <w:r w:rsidRPr="00EF48B5">
        <w:rPr>
          <w:lang w:val="en-GB"/>
        </w:rPr>
        <w:t xml:space="preserve"> </w:t>
      </w:r>
      <w:r w:rsidR="00897F0F" w:rsidRPr="00EF48B5">
        <w:rPr>
          <w:lang w:val="en-GB"/>
        </w:rPr>
        <w:t>conventional synthetic disease modifying anti</w:t>
      </w:r>
      <w:r w:rsidR="00D10922" w:rsidRPr="00EF48B5">
        <w:rPr>
          <w:lang w:val="en-GB"/>
        </w:rPr>
        <w:t>-</w:t>
      </w:r>
      <w:r w:rsidR="00897F0F" w:rsidRPr="00EF48B5">
        <w:rPr>
          <w:lang w:val="en-GB"/>
        </w:rPr>
        <w:t xml:space="preserve">rheumatic drugs (csDMARDs) (i.e., </w:t>
      </w:r>
      <w:r w:rsidRPr="00EF48B5">
        <w:rPr>
          <w:lang w:val="en-GB"/>
        </w:rPr>
        <w:t>methotrexate, sulfasalazine and</w:t>
      </w:r>
      <w:r w:rsidR="00E411F2" w:rsidRPr="00EF48B5">
        <w:rPr>
          <w:lang w:val="en-GB"/>
        </w:rPr>
        <w:t>/or</w:t>
      </w:r>
      <w:r w:rsidRPr="00EF48B5">
        <w:rPr>
          <w:lang w:val="en-GB"/>
        </w:rPr>
        <w:t xml:space="preserve"> leflunomide</w:t>
      </w:r>
      <w:r w:rsidR="00897F0F" w:rsidRPr="00EF48B5">
        <w:rPr>
          <w:lang w:val="en-GB"/>
        </w:rPr>
        <w:t>)</w:t>
      </w:r>
      <w:r w:rsidRPr="00EF48B5">
        <w:rPr>
          <w:lang w:val="en-GB"/>
        </w:rPr>
        <w:t>, and who are ineligible</w:t>
      </w:r>
      <w:r w:rsidR="00E2705E" w:rsidRPr="00EF48B5">
        <w:rPr>
          <w:lang w:val="en-GB"/>
        </w:rPr>
        <w:t xml:space="preserve"> or clinically inappropriate for treatment with </w:t>
      </w:r>
      <w:r w:rsidRPr="00EF48B5">
        <w:rPr>
          <w:lang w:val="en-GB"/>
        </w:rPr>
        <w:t xml:space="preserve">a biologic or targeted synthetic disease modifying anti-rheumatic drug (bDMARD/tsDMARD). The PBAC </w:t>
      </w:r>
      <w:r w:rsidR="00385702" w:rsidRPr="00EF48B5">
        <w:rPr>
          <w:lang w:val="en-GB"/>
        </w:rPr>
        <w:t xml:space="preserve">acknowledged </w:t>
      </w:r>
      <w:r w:rsidRPr="00EF48B5">
        <w:rPr>
          <w:lang w:val="en-GB"/>
        </w:rPr>
        <w:t>there was</w:t>
      </w:r>
      <w:r w:rsidR="00385702" w:rsidRPr="00EF48B5">
        <w:rPr>
          <w:lang w:val="en-GB"/>
        </w:rPr>
        <w:t xml:space="preserve"> likely to be</w:t>
      </w:r>
      <w:r w:rsidRPr="00EF48B5">
        <w:rPr>
          <w:lang w:val="en-GB"/>
        </w:rPr>
        <w:t xml:space="preserve"> a cohort of patients </w:t>
      </w:r>
      <w:r w:rsidR="009C613B" w:rsidRPr="00EF48B5">
        <w:rPr>
          <w:lang w:val="en-GB"/>
        </w:rPr>
        <w:t xml:space="preserve">with severe PsA </w:t>
      </w:r>
      <w:r w:rsidRPr="00EF48B5">
        <w:rPr>
          <w:lang w:val="en-GB"/>
        </w:rPr>
        <w:t xml:space="preserve">who </w:t>
      </w:r>
      <w:r w:rsidR="00FF23D6" w:rsidRPr="00EF48B5">
        <w:rPr>
          <w:lang w:val="en-GB"/>
        </w:rPr>
        <w:t>are unable to be treated with the available treatment options</w:t>
      </w:r>
      <w:r w:rsidR="00B9632E" w:rsidRPr="00EF48B5">
        <w:rPr>
          <w:lang w:val="en-GB"/>
        </w:rPr>
        <w:t xml:space="preserve"> </w:t>
      </w:r>
      <w:r w:rsidR="007F68EF" w:rsidRPr="00EF48B5">
        <w:rPr>
          <w:lang w:val="en-GB"/>
        </w:rPr>
        <w:t xml:space="preserve">who would benefit from </w:t>
      </w:r>
      <w:r w:rsidR="00385702" w:rsidRPr="00EF48B5">
        <w:rPr>
          <w:lang w:val="en-GB"/>
        </w:rPr>
        <w:t xml:space="preserve">the availability of an </w:t>
      </w:r>
      <w:r w:rsidR="007F68EF" w:rsidRPr="00EF48B5">
        <w:rPr>
          <w:lang w:val="en-GB"/>
        </w:rPr>
        <w:t>additional treatment option</w:t>
      </w:r>
      <w:r w:rsidR="00385702" w:rsidRPr="00EF48B5">
        <w:rPr>
          <w:lang w:val="en-GB"/>
        </w:rPr>
        <w:t xml:space="preserve">. </w:t>
      </w:r>
      <w:r w:rsidR="001F3798" w:rsidRPr="00EF48B5">
        <w:rPr>
          <w:lang w:val="en-GB"/>
        </w:rPr>
        <w:t>However, t</w:t>
      </w:r>
      <w:r w:rsidR="009C613B" w:rsidRPr="00EF48B5">
        <w:rPr>
          <w:lang w:val="en-GB"/>
        </w:rPr>
        <w:t xml:space="preserve">he PBAC </w:t>
      </w:r>
      <w:r w:rsidR="00385702" w:rsidRPr="00EF48B5">
        <w:rPr>
          <w:lang w:val="en-GB"/>
        </w:rPr>
        <w:t>considered the proposed restriction criteria</w:t>
      </w:r>
      <w:r w:rsidR="009C613B" w:rsidRPr="00EF48B5">
        <w:rPr>
          <w:lang w:val="en-GB"/>
        </w:rPr>
        <w:t xml:space="preserve"> did not adequately identify the appropriate cohort of patients. </w:t>
      </w:r>
      <w:r w:rsidR="00897F0F" w:rsidRPr="00EF48B5">
        <w:rPr>
          <w:lang w:val="en-GB"/>
        </w:rPr>
        <w:t>The PBAC considered the cost-effectiveness of apremilast for the treatment of severe PsA was unable to be determined.</w:t>
      </w:r>
    </w:p>
    <w:p w14:paraId="35514729" w14:textId="6AE40DB2" w:rsidR="008B4BDC" w:rsidRPr="002C502C" w:rsidRDefault="00FA6459" w:rsidP="008B4BDC">
      <w:pPr>
        <w:widowControl w:val="0"/>
        <w:numPr>
          <w:ilvl w:val="1"/>
          <w:numId w:val="4"/>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the consumer comments highlighted that the available csDMARDs are often not effective for PsA and that apremilast is a safe and effective treatment that improves joint and skin manifestations of PsA. </w:t>
      </w:r>
      <w:r w:rsidR="00E07899">
        <w:rPr>
          <w:rFonts w:asciiTheme="minorHAnsi" w:hAnsiTheme="minorHAnsi"/>
          <w:snapToGrid w:val="0"/>
          <w:lang w:val="en-GB"/>
        </w:rPr>
        <w:t>The PBAC</w:t>
      </w:r>
      <w:r w:rsidR="00935476">
        <w:rPr>
          <w:rFonts w:asciiTheme="minorHAnsi" w:hAnsiTheme="minorHAnsi"/>
          <w:snapToGrid w:val="0"/>
          <w:lang w:val="en-GB"/>
        </w:rPr>
        <w:t xml:space="preserve"> also</w:t>
      </w:r>
      <w:r w:rsidR="00E07899">
        <w:rPr>
          <w:rFonts w:asciiTheme="minorHAnsi" w:hAnsiTheme="minorHAnsi"/>
          <w:snapToGrid w:val="0"/>
          <w:lang w:val="en-GB"/>
        </w:rPr>
        <w:t xml:space="preserve"> noted the comments in the sponsor hearing that the use of bDMARDs/ tsDMARDs</w:t>
      </w:r>
      <w:r w:rsidR="00935476">
        <w:rPr>
          <w:rFonts w:asciiTheme="minorHAnsi" w:hAnsiTheme="minorHAnsi"/>
          <w:snapToGrid w:val="0"/>
          <w:lang w:val="en-GB"/>
        </w:rPr>
        <w:t xml:space="preserve"> in patients unsuitable for csDMARDs</w:t>
      </w:r>
      <w:r w:rsidR="00E07899">
        <w:rPr>
          <w:rFonts w:asciiTheme="minorHAnsi" w:hAnsiTheme="minorHAnsi"/>
          <w:snapToGrid w:val="0"/>
          <w:lang w:val="en-GB"/>
        </w:rPr>
        <w:t xml:space="preserve"> may not </w:t>
      </w:r>
      <w:r w:rsidR="00935476">
        <w:rPr>
          <w:rFonts w:asciiTheme="minorHAnsi" w:hAnsiTheme="minorHAnsi"/>
          <w:snapToGrid w:val="0"/>
          <w:lang w:val="en-GB"/>
        </w:rPr>
        <w:t xml:space="preserve">always </w:t>
      </w:r>
      <w:r w:rsidR="00E07899">
        <w:rPr>
          <w:rFonts w:asciiTheme="minorHAnsi" w:hAnsiTheme="minorHAnsi"/>
          <w:snapToGrid w:val="0"/>
          <w:lang w:val="en-GB"/>
        </w:rPr>
        <w:t xml:space="preserve">be clinically appropriate. </w:t>
      </w:r>
      <w:r w:rsidR="008B4BDC" w:rsidRPr="00E07899">
        <w:rPr>
          <w:rFonts w:asciiTheme="minorHAnsi" w:hAnsiTheme="minorHAnsi"/>
          <w:snapToGrid w:val="0"/>
          <w:lang w:val="en-GB"/>
        </w:rPr>
        <w:t xml:space="preserve">The PBAC considered there was a </w:t>
      </w:r>
      <w:r w:rsidR="00E07899">
        <w:rPr>
          <w:rFonts w:asciiTheme="minorHAnsi" w:hAnsiTheme="minorHAnsi"/>
          <w:snapToGrid w:val="0"/>
          <w:lang w:val="en-GB"/>
        </w:rPr>
        <w:t xml:space="preserve">moderate </w:t>
      </w:r>
      <w:r w:rsidR="008B4BDC" w:rsidRPr="00E07899">
        <w:rPr>
          <w:rFonts w:asciiTheme="minorHAnsi" w:hAnsiTheme="minorHAnsi"/>
          <w:snapToGrid w:val="0"/>
          <w:lang w:val="en-GB"/>
        </w:rPr>
        <w:t xml:space="preserve">clinical </w:t>
      </w:r>
      <w:r w:rsidR="008B4BDC" w:rsidRPr="002C502C">
        <w:rPr>
          <w:rFonts w:asciiTheme="minorHAnsi" w:hAnsiTheme="minorHAnsi"/>
          <w:snapToGrid w:val="0"/>
          <w:lang w:val="en-GB"/>
        </w:rPr>
        <w:t>need for additional treatment options for patients with severe PsA</w:t>
      </w:r>
      <w:r w:rsidR="00307F7D" w:rsidRPr="002C502C">
        <w:rPr>
          <w:rFonts w:asciiTheme="minorHAnsi" w:hAnsiTheme="minorHAnsi"/>
          <w:snapToGrid w:val="0"/>
          <w:lang w:val="en-GB"/>
        </w:rPr>
        <w:t>.</w:t>
      </w:r>
    </w:p>
    <w:p w14:paraId="61747653" w14:textId="5C2206C4" w:rsidR="000E138B" w:rsidRPr="00CE42B4" w:rsidRDefault="002C502C" w:rsidP="000E138B">
      <w:pPr>
        <w:widowControl w:val="0"/>
        <w:numPr>
          <w:ilvl w:val="1"/>
          <w:numId w:val="4"/>
        </w:numPr>
        <w:spacing w:after="120"/>
        <w:ind w:left="720" w:hanging="720"/>
        <w:rPr>
          <w:rFonts w:asciiTheme="minorHAnsi" w:hAnsiTheme="minorHAnsi"/>
          <w:snapToGrid w:val="0"/>
          <w:lang w:val="en-GB"/>
        </w:rPr>
      </w:pPr>
      <w:r w:rsidRPr="002C502C">
        <w:rPr>
          <w:rFonts w:asciiTheme="minorHAnsi" w:hAnsiTheme="minorHAnsi"/>
          <w:snapToGrid w:val="0"/>
          <w:lang w:val="en-GB"/>
        </w:rPr>
        <w:t xml:space="preserve">The PBAC noted the requested restriction criteria </w:t>
      </w:r>
      <w:r w:rsidR="00935476">
        <w:rPr>
          <w:rFonts w:asciiTheme="minorHAnsi" w:hAnsiTheme="minorHAnsi"/>
          <w:snapToGrid w:val="0"/>
          <w:lang w:val="en-GB"/>
        </w:rPr>
        <w:t>were</w:t>
      </w:r>
      <w:r w:rsidR="00935476" w:rsidRPr="002C502C">
        <w:rPr>
          <w:rFonts w:asciiTheme="minorHAnsi" w:hAnsiTheme="minorHAnsi"/>
          <w:snapToGrid w:val="0"/>
          <w:lang w:val="en-GB"/>
        </w:rPr>
        <w:t xml:space="preserve"> </w:t>
      </w:r>
      <w:r w:rsidRPr="002C502C">
        <w:rPr>
          <w:rFonts w:asciiTheme="minorHAnsi" w:hAnsiTheme="minorHAnsi"/>
          <w:snapToGrid w:val="0"/>
          <w:lang w:val="en-GB"/>
        </w:rPr>
        <w:t xml:space="preserve">not consistent with the clinical evidence presented (paragraph </w:t>
      </w:r>
      <w:r w:rsidRPr="002C502C">
        <w:rPr>
          <w:rFonts w:asciiTheme="minorHAnsi" w:hAnsiTheme="minorHAnsi"/>
          <w:snapToGrid w:val="0"/>
          <w:lang w:val="en-GB"/>
        </w:rPr>
        <w:fldChar w:fldCharType="begin"/>
      </w:r>
      <w:r w:rsidRPr="002C502C">
        <w:rPr>
          <w:rFonts w:asciiTheme="minorHAnsi" w:hAnsiTheme="minorHAnsi"/>
          <w:snapToGrid w:val="0"/>
          <w:lang w:val="en-GB"/>
        </w:rPr>
        <w:instrText xml:space="preserve"> REF _Ref131670465 \r \h </w:instrText>
      </w:r>
      <w:r>
        <w:rPr>
          <w:rFonts w:asciiTheme="minorHAnsi" w:hAnsiTheme="minorHAnsi"/>
          <w:snapToGrid w:val="0"/>
          <w:lang w:val="en-GB"/>
        </w:rPr>
        <w:instrText xml:space="preserve"> \* MERGEFORMAT </w:instrText>
      </w:r>
      <w:r w:rsidRPr="002C502C">
        <w:rPr>
          <w:rFonts w:asciiTheme="minorHAnsi" w:hAnsiTheme="minorHAnsi"/>
          <w:snapToGrid w:val="0"/>
          <w:lang w:val="en-GB"/>
        </w:rPr>
      </w:r>
      <w:r w:rsidRPr="002C502C">
        <w:rPr>
          <w:rFonts w:asciiTheme="minorHAnsi" w:hAnsiTheme="minorHAnsi"/>
          <w:snapToGrid w:val="0"/>
          <w:lang w:val="en-GB"/>
        </w:rPr>
        <w:fldChar w:fldCharType="separate"/>
      </w:r>
      <w:r w:rsidR="00A05E81">
        <w:rPr>
          <w:rFonts w:asciiTheme="minorHAnsi" w:hAnsiTheme="minorHAnsi"/>
          <w:snapToGrid w:val="0"/>
          <w:lang w:val="en-GB"/>
        </w:rPr>
        <w:t>3.3</w:t>
      </w:r>
      <w:r w:rsidRPr="002C502C">
        <w:rPr>
          <w:rFonts w:asciiTheme="minorHAnsi" w:hAnsiTheme="minorHAnsi"/>
          <w:snapToGrid w:val="0"/>
          <w:lang w:val="en-GB"/>
        </w:rPr>
        <w:fldChar w:fldCharType="end"/>
      </w:r>
      <w:r w:rsidRPr="002C502C">
        <w:rPr>
          <w:rFonts w:asciiTheme="minorHAnsi" w:hAnsiTheme="minorHAnsi"/>
          <w:snapToGrid w:val="0"/>
          <w:lang w:val="en-GB"/>
        </w:rPr>
        <w:t xml:space="preserve">) and may be difficult to interpret in clinical practise (paragraphs </w:t>
      </w:r>
      <w:r w:rsidRPr="002C502C">
        <w:rPr>
          <w:rFonts w:asciiTheme="minorHAnsi" w:hAnsiTheme="minorHAnsi"/>
          <w:snapToGrid w:val="0"/>
          <w:lang w:val="en-GB"/>
        </w:rPr>
        <w:fldChar w:fldCharType="begin"/>
      </w:r>
      <w:r w:rsidRPr="002C502C">
        <w:rPr>
          <w:rFonts w:asciiTheme="minorHAnsi" w:hAnsiTheme="minorHAnsi"/>
          <w:snapToGrid w:val="0"/>
          <w:lang w:val="en-GB"/>
        </w:rPr>
        <w:instrText xml:space="preserve"> REF _Ref131671231 \r \h </w:instrText>
      </w:r>
      <w:r>
        <w:rPr>
          <w:rFonts w:asciiTheme="minorHAnsi" w:hAnsiTheme="minorHAnsi"/>
          <w:snapToGrid w:val="0"/>
          <w:lang w:val="en-GB"/>
        </w:rPr>
        <w:instrText xml:space="preserve"> \* MERGEFORMAT </w:instrText>
      </w:r>
      <w:r w:rsidRPr="002C502C">
        <w:rPr>
          <w:rFonts w:asciiTheme="minorHAnsi" w:hAnsiTheme="minorHAnsi"/>
          <w:snapToGrid w:val="0"/>
          <w:lang w:val="en-GB"/>
        </w:rPr>
      </w:r>
      <w:r w:rsidRPr="002C502C">
        <w:rPr>
          <w:rFonts w:asciiTheme="minorHAnsi" w:hAnsiTheme="minorHAnsi"/>
          <w:snapToGrid w:val="0"/>
          <w:lang w:val="en-GB"/>
        </w:rPr>
        <w:fldChar w:fldCharType="separate"/>
      </w:r>
      <w:r w:rsidR="00A05E81">
        <w:rPr>
          <w:rFonts w:asciiTheme="minorHAnsi" w:hAnsiTheme="minorHAnsi"/>
          <w:snapToGrid w:val="0"/>
          <w:lang w:val="en-GB"/>
        </w:rPr>
        <w:t>3.4</w:t>
      </w:r>
      <w:r w:rsidRPr="002C502C">
        <w:rPr>
          <w:rFonts w:asciiTheme="minorHAnsi" w:hAnsiTheme="minorHAnsi"/>
          <w:snapToGrid w:val="0"/>
          <w:lang w:val="en-GB"/>
        </w:rPr>
        <w:fldChar w:fldCharType="end"/>
      </w:r>
      <w:r w:rsidRPr="002C502C">
        <w:rPr>
          <w:rFonts w:asciiTheme="minorHAnsi" w:hAnsiTheme="minorHAnsi"/>
          <w:snapToGrid w:val="0"/>
          <w:lang w:val="en-GB"/>
        </w:rPr>
        <w:t xml:space="preserve"> and </w:t>
      </w:r>
      <w:r w:rsidRPr="002C502C">
        <w:rPr>
          <w:rFonts w:asciiTheme="minorHAnsi" w:hAnsiTheme="minorHAnsi"/>
          <w:snapToGrid w:val="0"/>
          <w:lang w:val="en-GB"/>
        </w:rPr>
        <w:fldChar w:fldCharType="begin"/>
      </w:r>
      <w:r w:rsidRPr="002C502C">
        <w:rPr>
          <w:rFonts w:asciiTheme="minorHAnsi" w:hAnsiTheme="minorHAnsi"/>
          <w:snapToGrid w:val="0"/>
          <w:lang w:val="en-GB"/>
        </w:rPr>
        <w:instrText xml:space="preserve"> REF _Ref131671215 \r \h </w:instrText>
      </w:r>
      <w:r>
        <w:rPr>
          <w:rFonts w:asciiTheme="minorHAnsi" w:hAnsiTheme="minorHAnsi"/>
          <w:snapToGrid w:val="0"/>
          <w:lang w:val="en-GB"/>
        </w:rPr>
        <w:instrText xml:space="preserve"> \* MERGEFORMAT </w:instrText>
      </w:r>
      <w:r w:rsidRPr="002C502C">
        <w:rPr>
          <w:rFonts w:asciiTheme="minorHAnsi" w:hAnsiTheme="minorHAnsi"/>
          <w:snapToGrid w:val="0"/>
          <w:lang w:val="en-GB"/>
        </w:rPr>
      </w:r>
      <w:r w:rsidRPr="002C502C">
        <w:rPr>
          <w:rFonts w:asciiTheme="minorHAnsi" w:hAnsiTheme="minorHAnsi"/>
          <w:snapToGrid w:val="0"/>
          <w:lang w:val="en-GB"/>
        </w:rPr>
        <w:fldChar w:fldCharType="separate"/>
      </w:r>
      <w:r w:rsidR="00A05E81">
        <w:rPr>
          <w:rFonts w:asciiTheme="minorHAnsi" w:hAnsiTheme="minorHAnsi"/>
          <w:snapToGrid w:val="0"/>
          <w:lang w:val="en-GB"/>
        </w:rPr>
        <w:t>4.8</w:t>
      </w:r>
      <w:r w:rsidRPr="002C502C">
        <w:rPr>
          <w:rFonts w:asciiTheme="minorHAnsi" w:hAnsiTheme="minorHAnsi"/>
          <w:snapToGrid w:val="0"/>
          <w:lang w:val="en-GB"/>
        </w:rPr>
        <w:fldChar w:fldCharType="end"/>
      </w:r>
      <w:r w:rsidRPr="002C502C">
        <w:rPr>
          <w:rFonts w:asciiTheme="minorHAnsi" w:hAnsiTheme="minorHAnsi"/>
          <w:snapToGrid w:val="0"/>
          <w:lang w:val="en-GB"/>
        </w:rPr>
        <w:t xml:space="preserve">). </w:t>
      </w:r>
      <w:r w:rsidR="000E138B">
        <w:rPr>
          <w:rFonts w:asciiTheme="minorHAnsi" w:hAnsiTheme="minorHAnsi"/>
          <w:snapToGrid w:val="0"/>
          <w:lang w:val="en-GB"/>
        </w:rPr>
        <w:t>Additionally, t</w:t>
      </w:r>
      <w:r w:rsidR="000E138B" w:rsidRPr="002C502C">
        <w:rPr>
          <w:rFonts w:asciiTheme="minorHAnsi" w:hAnsiTheme="minorHAnsi"/>
          <w:snapToGrid w:val="0"/>
          <w:lang w:val="en-GB"/>
        </w:rPr>
        <w:t>he PBAC noted</w:t>
      </w:r>
      <w:r w:rsidR="000E138B">
        <w:rPr>
          <w:rFonts w:asciiTheme="minorHAnsi" w:hAnsiTheme="minorHAnsi"/>
          <w:snapToGrid w:val="0"/>
          <w:lang w:val="en-GB"/>
        </w:rPr>
        <w:t xml:space="preserve"> some clinical trials allowed use of apremilast in combination with other DMARDs but the </w:t>
      </w:r>
      <w:r w:rsidR="00935476">
        <w:rPr>
          <w:rFonts w:asciiTheme="minorHAnsi" w:hAnsiTheme="minorHAnsi"/>
          <w:snapToGrid w:val="0"/>
          <w:lang w:val="en-GB"/>
        </w:rPr>
        <w:t xml:space="preserve">proposed </w:t>
      </w:r>
      <w:r w:rsidR="000E138B">
        <w:rPr>
          <w:rFonts w:asciiTheme="minorHAnsi" w:hAnsiTheme="minorHAnsi"/>
          <w:snapToGrid w:val="0"/>
          <w:lang w:val="en-GB"/>
        </w:rPr>
        <w:t>restriction criteria required apremilast to be the sole PBS-subsidised DMARD agent.</w:t>
      </w:r>
    </w:p>
    <w:p w14:paraId="55282465" w14:textId="6FB240EC" w:rsidR="00D30547" w:rsidRPr="00CE42B4" w:rsidRDefault="0016605F" w:rsidP="0016605F">
      <w:pPr>
        <w:widowControl w:val="0"/>
        <w:numPr>
          <w:ilvl w:val="1"/>
          <w:numId w:val="4"/>
        </w:numPr>
        <w:spacing w:after="120"/>
        <w:ind w:left="720" w:hanging="720"/>
        <w:rPr>
          <w:rFonts w:asciiTheme="minorHAnsi" w:hAnsiTheme="minorHAnsi"/>
          <w:snapToGrid w:val="0"/>
          <w:lang w:val="en-GB"/>
        </w:rPr>
      </w:pPr>
      <w:r w:rsidRPr="002C502C">
        <w:rPr>
          <w:rFonts w:asciiTheme="minorHAnsi" w:hAnsiTheme="minorHAnsi"/>
          <w:snapToGrid w:val="0"/>
          <w:lang w:val="en-GB"/>
        </w:rPr>
        <w:t>The</w:t>
      </w:r>
      <w:r w:rsidR="000E138B">
        <w:rPr>
          <w:rFonts w:asciiTheme="minorHAnsi" w:hAnsiTheme="minorHAnsi"/>
          <w:snapToGrid w:val="0"/>
          <w:lang w:val="en-GB"/>
        </w:rPr>
        <w:t xml:space="preserve"> PBAC</w:t>
      </w:r>
      <w:r w:rsidRPr="002C502C">
        <w:rPr>
          <w:rFonts w:asciiTheme="minorHAnsi" w:hAnsiTheme="minorHAnsi"/>
          <w:snapToGrid w:val="0"/>
          <w:lang w:val="en-GB"/>
        </w:rPr>
        <w:t xml:space="preserve"> considered it was reasonable for initial prescribing to be limited to a rheumatologist</w:t>
      </w:r>
      <w:r>
        <w:rPr>
          <w:rFonts w:asciiTheme="minorHAnsi" w:hAnsiTheme="minorHAnsi"/>
          <w:snapToGrid w:val="0"/>
          <w:lang w:val="en-GB"/>
        </w:rPr>
        <w:t xml:space="preserve">, </w:t>
      </w:r>
      <w:r w:rsidRPr="0016605F">
        <w:rPr>
          <w:rFonts w:asciiTheme="minorHAnsi" w:hAnsiTheme="minorHAnsi"/>
          <w:snapToGrid w:val="0"/>
          <w:lang w:val="en-GB"/>
        </w:rPr>
        <w:t>an accredited rheumatology registrar in consultation with a rheumatologist</w:t>
      </w:r>
      <w:r>
        <w:rPr>
          <w:rFonts w:asciiTheme="minorHAnsi" w:hAnsiTheme="minorHAnsi"/>
          <w:snapToGrid w:val="0"/>
          <w:lang w:val="en-GB"/>
        </w:rPr>
        <w:t>, or</w:t>
      </w:r>
      <w:r w:rsidRPr="0016605F">
        <w:rPr>
          <w:rFonts w:asciiTheme="minorHAnsi" w:hAnsiTheme="minorHAnsi"/>
          <w:snapToGrid w:val="0"/>
          <w:lang w:val="en-GB"/>
        </w:rPr>
        <w:t xml:space="preserve"> clinical immunologist with expertise in the management of psoriatic arthritis</w:t>
      </w:r>
      <w:r>
        <w:rPr>
          <w:rFonts w:asciiTheme="minorHAnsi" w:hAnsiTheme="minorHAnsi"/>
          <w:snapToGrid w:val="0"/>
          <w:lang w:val="en-GB"/>
        </w:rPr>
        <w:t>, with continuing prescribing able to be managed by general practitioners under the direction of these specialist physicians.</w:t>
      </w:r>
    </w:p>
    <w:p w14:paraId="1C417D98" w14:textId="6AC914D0" w:rsidR="00D30547" w:rsidRPr="00CE42B4" w:rsidRDefault="002D2012" w:rsidP="00D30547">
      <w:pPr>
        <w:widowControl w:val="0"/>
        <w:numPr>
          <w:ilvl w:val="1"/>
          <w:numId w:val="4"/>
        </w:numPr>
        <w:spacing w:after="120"/>
        <w:ind w:left="720" w:hanging="720"/>
        <w:rPr>
          <w:rFonts w:asciiTheme="minorHAnsi" w:hAnsiTheme="minorHAnsi"/>
          <w:snapToGrid w:val="0"/>
          <w:lang w:val="en-GB"/>
        </w:rPr>
      </w:pPr>
      <w:r>
        <w:rPr>
          <w:rFonts w:asciiTheme="minorHAnsi" w:hAnsiTheme="minorHAnsi"/>
          <w:snapToGrid w:val="0"/>
          <w:lang w:val="en-GB"/>
        </w:rPr>
        <w:t>The PBAC considered the proposed comparator of</w:t>
      </w:r>
      <w:r w:rsidR="00723B58">
        <w:rPr>
          <w:rFonts w:asciiTheme="minorHAnsi" w:hAnsiTheme="minorHAnsi"/>
          <w:snapToGrid w:val="0"/>
          <w:lang w:val="en-GB"/>
        </w:rPr>
        <w:t xml:space="preserve"> placebo +</w:t>
      </w:r>
      <w:r>
        <w:rPr>
          <w:rFonts w:asciiTheme="minorHAnsi" w:hAnsiTheme="minorHAnsi"/>
          <w:snapToGrid w:val="0"/>
          <w:lang w:val="en-GB"/>
        </w:rPr>
        <w:t xml:space="preserve"> best supportive care (BSC) was reasonable for the requested population, as this cohort of patients had either failed or were not eligible for alternative treatment options.</w:t>
      </w:r>
    </w:p>
    <w:p w14:paraId="177BFCCC" w14:textId="41ED8107" w:rsidR="00D30547" w:rsidRPr="00CE42B4" w:rsidRDefault="009E57BC" w:rsidP="00D30547">
      <w:pPr>
        <w:widowControl w:val="0"/>
        <w:numPr>
          <w:ilvl w:val="1"/>
          <w:numId w:val="4"/>
        </w:numPr>
        <w:spacing w:after="120"/>
        <w:ind w:left="720" w:hanging="720"/>
        <w:rPr>
          <w:rFonts w:asciiTheme="minorHAnsi" w:hAnsiTheme="minorHAnsi"/>
          <w:snapToGrid w:val="0"/>
          <w:lang w:val="en-GB"/>
        </w:rPr>
      </w:pPr>
      <w:r>
        <w:rPr>
          <w:rFonts w:asciiTheme="minorHAnsi" w:hAnsiTheme="minorHAnsi"/>
          <w:snapToGrid w:val="0"/>
          <w:lang w:val="en-GB"/>
        </w:rPr>
        <w:t xml:space="preserve">The resubmission presented five randomised controlled trials of apremilast compared to placebo. </w:t>
      </w:r>
      <w:r w:rsidR="00321249">
        <w:rPr>
          <w:rFonts w:asciiTheme="minorHAnsi" w:hAnsiTheme="minorHAnsi"/>
          <w:snapToGrid w:val="0"/>
          <w:lang w:val="en-GB"/>
        </w:rPr>
        <w:t xml:space="preserve">The PBAC noted it had previously considered the </w:t>
      </w:r>
      <w:r>
        <w:rPr>
          <w:rFonts w:asciiTheme="minorHAnsi" w:hAnsiTheme="minorHAnsi"/>
          <w:snapToGrid w:val="0"/>
          <w:lang w:val="en-GB"/>
        </w:rPr>
        <w:t xml:space="preserve">four </w:t>
      </w:r>
      <w:r w:rsidR="00321249">
        <w:rPr>
          <w:rFonts w:asciiTheme="minorHAnsi" w:hAnsiTheme="minorHAnsi"/>
          <w:snapToGrid w:val="0"/>
          <w:lang w:val="en-GB"/>
        </w:rPr>
        <w:t xml:space="preserve">PALACE trials </w:t>
      </w:r>
      <w:r w:rsidR="00AD028A">
        <w:rPr>
          <w:rFonts w:asciiTheme="minorHAnsi" w:hAnsiTheme="minorHAnsi"/>
          <w:snapToGrid w:val="0"/>
          <w:lang w:val="en-GB"/>
        </w:rPr>
        <w:t>included in the submissions for</w:t>
      </w:r>
      <w:r w:rsidR="00321249">
        <w:rPr>
          <w:rFonts w:asciiTheme="minorHAnsi" w:hAnsiTheme="minorHAnsi"/>
          <w:snapToGrid w:val="0"/>
          <w:lang w:val="en-GB"/>
        </w:rPr>
        <w:t xml:space="preserve"> apremilast for PsA in 2015</w:t>
      </w:r>
      <w:r w:rsidR="009A71DA">
        <w:rPr>
          <w:rFonts w:asciiTheme="minorHAnsi" w:hAnsiTheme="minorHAnsi"/>
          <w:snapToGrid w:val="0"/>
          <w:lang w:val="en-GB"/>
        </w:rPr>
        <w:t xml:space="preserve">, </w:t>
      </w:r>
      <w:r w:rsidR="00AD028A">
        <w:rPr>
          <w:rFonts w:asciiTheme="minorHAnsi" w:hAnsiTheme="minorHAnsi"/>
          <w:snapToGrid w:val="0"/>
          <w:lang w:val="en-GB"/>
        </w:rPr>
        <w:t>but not</w:t>
      </w:r>
      <w:r w:rsidR="009A71DA">
        <w:rPr>
          <w:rFonts w:asciiTheme="minorHAnsi" w:hAnsiTheme="minorHAnsi"/>
          <w:snapToGrid w:val="0"/>
          <w:lang w:val="en-GB"/>
        </w:rPr>
        <w:t xml:space="preserve"> the ACTIVE trial</w:t>
      </w:r>
      <w:r w:rsidR="00147EF7">
        <w:rPr>
          <w:rFonts w:asciiTheme="minorHAnsi" w:hAnsiTheme="minorHAnsi"/>
          <w:snapToGrid w:val="0"/>
          <w:lang w:val="en-GB"/>
        </w:rPr>
        <w:t>,</w:t>
      </w:r>
      <w:r w:rsidR="00147EF7" w:rsidRPr="00147EF7">
        <w:t xml:space="preserve"> </w:t>
      </w:r>
      <w:r w:rsidR="00147EF7">
        <w:t>completed in November 2016</w:t>
      </w:r>
      <w:r w:rsidR="00321249">
        <w:rPr>
          <w:rFonts w:asciiTheme="minorHAnsi" w:hAnsiTheme="minorHAnsi"/>
          <w:snapToGrid w:val="0"/>
          <w:lang w:val="en-GB"/>
        </w:rPr>
        <w:t xml:space="preserve">. </w:t>
      </w:r>
      <w:r w:rsidR="00897F0F">
        <w:rPr>
          <w:rFonts w:asciiTheme="minorHAnsi" w:hAnsiTheme="minorHAnsi"/>
          <w:snapToGrid w:val="0"/>
          <w:lang w:val="en-GB"/>
        </w:rPr>
        <w:t xml:space="preserve">The PBAC noted additional follow up data was provided for the PALACE trials (as outlined in paragraph </w:t>
      </w:r>
      <w:r w:rsidR="00897F0F">
        <w:rPr>
          <w:rFonts w:asciiTheme="minorHAnsi" w:hAnsiTheme="minorHAnsi"/>
          <w:snapToGrid w:val="0"/>
          <w:lang w:val="en-GB"/>
        </w:rPr>
        <w:fldChar w:fldCharType="begin"/>
      </w:r>
      <w:r w:rsidR="00897F0F">
        <w:rPr>
          <w:rFonts w:asciiTheme="minorHAnsi" w:hAnsiTheme="minorHAnsi"/>
          <w:snapToGrid w:val="0"/>
          <w:lang w:val="en-GB"/>
        </w:rPr>
        <w:instrText xml:space="preserve"> REF _Ref132226091 \r \h </w:instrText>
      </w:r>
      <w:r w:rsidR="00897F0F">
        <w:rPr>
          <w:rFonts w:asciiTheme="minorHAnsi" w:hAnsiTheme="minorHAnsi"/>
          <w:snapToGrid w:val="0"/>
          <w:lang w:val="en-GB"/>
        </w:rPr>
      </w:r>
      <w:r w:rsidR="00897F0F">
        <w:rPr>
          <w:rFonts w:asciiTheme="minorHAnsi" w:hAnsiTheme="minorHAnsi"/>
          <w:snapToGrid w:val="0"/>
          <w:lang w:val="en-GB"/>
        </w:rPr>
        <w:fldChar w:fldCharType="separate"/>
      </w:r>
      <w:r w:rsidR="00A05E81">
        <w:rPr>
          <w:rFonts w:asciiTheme="minorHAnsi" w:hAnsiTheme="minorHAnsi"/>
          <w:snapToGrid w:val="0"/>
          <w:lang w:val="en-GB"/>
        </w:rPr>
        <w:t>6.7</w:t>
      </w:r>
      <w:r w:rsidR="00897F0F">
        <w:rPr>
          <w:rFonts w:asciiTheme="minorHAnsi" w:hAnsiTheme="minorHAnsi"/>
          <w:snapToGrid w:val="0"/>
          <w:lang w:val="en-GB"/>
        </w:rPr>
        <w:fldChar w:fldCharType="end"/>
      </w:r>
      <w:r w:rsidR="00897F0F">
        <w:rPr>
          <w:rFonts w:asciiTheme="minorHAnsi" w:hAnsiTheme="minorHAnsi"/>
          <w:snapToGrid w:val="0"/>
          <w:lang w:val="en-GB"/>
        </w:rPr>
        <w:t xml:space="preserve">). </w:t>
      </w:r>
      <w:r>
        <w:rPr>
          <w:rFonts w:asciiTheme="minorHAnsi" w:hAnsiTheme="minorHAnsi"/>
          <w:snapToGrid w:val="0"/>
          <w:lang w:val="en-GB"/>
        </w:rPr>
        <w:t xml:space="preserve">The PBAC noted </w:t>
      </w:r>
      <w:r w:rsidR="00321249">
        <w:rPr>
          <w:rFonts w:asciiTheme="minorHAnsi" w:hAnsiTheme="minorHAnsi"/>
          <w:snapToGrid w:val="0"/>
          <w:lang w:val="en-GB"/>
        </w:rPr>
        <w:t>none of the clinical trials presented were directly applicable to the requested population</w:t>
      </w:r>
      <w:r w:rsidR="002C502C">
        <w:rPr>
          <w:rFonts w:asciiTheme="minorHAnsi" w:hAnsiTheme="minorHAnsi"/>
          <w:snapToGrid w:val="0"/>
          <w:lang w:val="en-GB"/>
        </w:rPr>
        <w:t xml:space="preserve"> (as </w:t>
      </w:r>
      <w:r w:rsidR="002C502C">
        <w:rPr>
          <w:rFonts w:asciiTheme="minorHAnsi" w:hAnsiTheme="minorHAnsi"/>
          <w:snapToGrid w:val="0"/>
          <w:lang w:val="en-GB"/>
        </w:rPr>
        <w:lastRenderedPageBreak/>
        <w:t xml:space="preserve">discussed in paragraph </w:t>
      </w:r>
      <w:r w:rsidR="002C502C">
        <w:rPr>
          <w:rFonts w:asciiTheme="minorHAnsi" w:hAnsiTheme="minorHAnsi"/>
          <w:snapToGrid w:val="0"/>
          <w:lang w:val="en-GB"/>
        </w:rPr>
        <w:fldChar w:fldCharType="begin"/>
      </w:r>
      <w:r w:rsidR="002C502C">
        <w:rPr>
          <w:rFonts w:asciiTheme="minorHAnsi" w:hAnsiTheme="minorHAnsi"/>
          <w:snapToGrid w:val="0"/>
          <w:lang w:val="en-GB"/>
        </w:rPr>
        <w:instrText xml:space="preserve"> REF _Ref131670108 \r \h </w:instrText>
      </w:r>
      <w:r w:rsidR="002C502C">
        <w:rPr>
          <w:rFonts w:asciiTheme="minorHAnsi" w:hAnsiTheme="minorHAnsi"/>
          <w:snapToGrid w:val="0"/>
          <w:lang w:val="en-GB"/>
        </w:rPr>
      </w:r>
      <w:r w:rsidR="002C502C">
        <w:rPr>
          <w:rFonts w:asciiTheme="minorHAnsi" w:hAnsiTheme="minorHAnsi"/>
          <w:snapToGrid w:val="0"/>
          <w:lang w:val="en-GB"/>
        </w:rPr>
        <w:fldChar w:fldCharType="separate"/>
      </w:r>
      <w:r w:rsidR="00A05E81">
        <w:rPr>
          <w:rFonts w:asciiTheme="minorHAnsi" w:hAnsiTheme="minorHAnsi"/>
          <w:snapToGrid w:val="0"/>
          <w:lang w:val="en-GB"/>
        </w:rPr>
        <w:t>6.37</w:t>
      </w:r>
      <w:r w:rsidR="002C502C">
        <w:rPr>
          <w:rFonts w:asciiTheme="minorHAnsi" w:hAnsiTheme="minorHAnsi"/>
          <w:snapToGrid w:val="0"/>
          <w:lang w:val="en-GB"/>
        </w:rPr>
        <w:fldChar w:fldCharType="end"/>
      </w:r>
      <w:r w:rsidR="002C502C">
        <w:rPr>
          <w:rFonts w:asciiTheme="minorHAnsi" w:hAnsiTheme="minorHAnsi"/>
          <w:snapToGrid w:val="0"/>
          <w:lang w:val="en-GB"/>
        </w:rPr>
        <w:t>)</w:t>
      </w:r>
      <w:r>
        <w:rPr>
          <w:rFonts w:asciiTheme="minorHAnsi" w:hAnsiTheme="minorHAnsi"/>
          <w:snapToGrid w:val="0"/>
          <w:lang w:val="en-GB"/>
        </w:rPr>
        <w:t>.</w:t>
      </w:r>
      <w:r w:rsidR="002C502C">
        <w:rPr>
          <w:rFonts w:asciiTheme="minorHAnsi" w:hAnsiTheme="minorHAnsi"/>
          <w:snapToGrid w:val="0"/>
          <w:lang w:val="en-GB"/>
        </w:rPr>
        <w:t xml:space="preserve"> </w:t>
      </w:r>
    </w:p>
    <w:p w14:paraId="0A9DEA04" w14:textId="0692B807" w:rsidR="00D30547" w:rsidRPr="00CE42B4" w:rsidRDefault="00826332" w:rsidP="00D30547">
      <w:pPr>
        <w:widowControl w:val="0"/>
        <w:numPr>
          <w:ilvl w:val="1"/>
          <w:numId w:val="4"/>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the available evidence supported a conclusion that apremilast is effective for the treatment of PsA and noted the results for ACR20 </w:t>
      </w:r>
      <w:r w:rsidR="00B9632E">
        <w:rPr>
          <w:rFonts w:asciiTheme="minorHAnsi" w:hAnsiTheme="minorHAnsi"/>
          <w:snapToGrid w:val="0"/>
          <w:lang w:val="en-GB"/>
        </w:rPr>
        <w:t xml:space="preserve">(Table 5) </w:t>
      </w:r>
      <w:r>
        <w:rPr>
          <w:rFonts w:asciiTheme="minorHAnsi" w:hAnsiTheme="minorHAnsi"/>
          <w:snapToGrid w:val="0"/>
          <w:lang w:val="en-GB"/>
        </w:rPr>
        <w:t xml:space="preserve">were statistically significant versus placebo for all available trials. </w:t>
      </w:r>
      <w:r w:rsidR="00DA6261">
        <w:rPr>
          <w:rFonts w:asciiTheme="minorHAnsi" w:hAnsiTheme="minorHAnsi"/>
          <w:snapToGrid w:val="0"/>
          <w:lang w:val="en-GB"/>
        </w:rPr>
        <w:t xml:space="preserve">The PBAC noted the ACR20 results </w:t>
      </w:r>
      <w:r w:rsidR="0065696E">
        <w:rPr>
          <w:rFonts w:asciiTheme="minorHAnsi" w:hAnsiTheme="minorHAnsi"/>
          <w:snapToGrid w:val="0"/>
          <w:lang w:val="en-GB"/>
        </w:rPr>
        <w:t>for</w:t>
      </w:r>
      <w:r w:rsidR="00DA6261">
        <w:rPr>
          <w:rFonts w:asciiTheme="minorHAnsi" w:hAnsiTheme="minorHAnsi"/>
          <w:snapToGrid w:val="0"/>
          <w:lang w:val="en-GB"/>
        </w:rPr>
        <w:t xml:space="preserve"> subgroup</w:t>
      </w:r>
      <w:r w:rsidR="0065696E">
        <w:rPr>
          <w:rFonts w:asciiTheme="minorHAnsi" w:hAnsiTheme="minorHAnsi"/>
          <w:snapToGrid w:val="0"/>
          <w:lang w:val="en-GB"/>
        </w:rPr>
        <w:t>s</w:t>
      </w:r>
      <w:r w:rsidR="00DA6261">
        <w:rPr>
          <w:rFonts w:asciiTheme="minorHAnsi" w:hAnsiTheme="minorHAnsi"/>
          <w:snapToGrid w:val="0"/>
          <w:lang w:val="en-GB"/>
        </w:rPr>
        <w:t xml:space="preserve"> </w:t>
      </w:r>
      <w:r w:rsidR="0065696E">
        <w:rPr>
          <w:rFonts w:asciiTheme="minorHAnsi" w:hAnsiTheme="minorHAnsi"/>
          <w:snapToGrid w:val="0"/>
          <w:lang w:val="en-GB"/>
        </w:rPr>
        <w:t>based on</w:t>
      </w:r>
      <w:r w:rsidR="00DA6261">
        <w:rPr>
          <w:rFonts w:asciiTheme="minorHAnsi" w:hAnsiTheme="minorHAnsi"/>
          <w:snapToGrid w:val="0"/>
          <w:lang w:val="en-GB"/>
        </w:rPr>
        <w:t xml:space="preserve"> prior treatments (Table 9, Figure 2) were consistent with </w:t>
      </w:r>
      <w:r w:rsidR="0065696E">
        <w:rPr>
          <w:rFonts w:asciiTheme="minorHAnsi" w:hAnsiTheme="minorHAnsi"/>
          <w:snapToGrid w:val="0"/>
          <w:lang w:val="en-GB"/>
        </w:rPr>
        <w:t xml:space="preserve">those for </w:t>
      </w:r>
      <w:r w:rsidR="00DA6261">
        <w:rPr>
          <w:rFonts w:asciiTheme="minorHAnsi" w:hAnsiTheme="minorHAnsi"/>
          <w:snapToGrid w:val="0"/>
          <w:lang w:val="en-GB"/>
        </w:rPr>
        <w:t xml:space="preserve">the whole-trial </w:t>
      </w:r>
      <w:r w:rsidR="0065696E">
        <w:rPr>
          <w:rFonts w:asciiTheme="minorHAnsi" w:hAnsiTheme="minorHAnsi"/>
          <w:snapToGrid w:val="0"/>
          <w:lang w:val="en-GB"/>
        </w:rPr>
        <w:t>population</w:t>
      </w:r>
      <w:r w:rsidR="00DA6261">
        <w:rPr>
          <w:rFonts w:asciiTheme="minorHAnsi" w:hAnsiTheme="minorHAnsi"/>
          <w:snapToGrid w:val="0"/>
          <w:lang w:val="en-GB"/>
        </w:rPr>
        <w:t>.</w:t>
      </w:r>
      <w:r w:rsidR="00897F0F">
        <w:rPr>
          <w:rFonts w:asciiTheme="minorHAnsi" w:hAnsiTheme="minorHAnsi"/>
          <w:snapToGrid w:val="0"/>
          <w:lang w:val="en-GB"/>
        </w:rPr>
        <w:t xml:space="preserve"> </w:t>
      </w:r>
      <w:r w:rsidR="00897F0F">
        <w:t>The PBAC noted the results for ACR50 (Table 5) and HAQ-DI scores (Table 6) also demonstrated improvements with apremilast over placebo.</w:t>
      </w:r>
      <w:r w:rsidR="00897F0F">
        <w:rPr>
          <w:rFonts w:asciiTheme="minorHAnsi" w:hAnsiTheme="minorHAnsi"/>
          <w:snapToGrid w:val="0"/>
          <w:lang w:val="en-GB"/>
        </w:rPr>
        <w:t xml:space="preserve"> </w:t>
      </w:r>
      <w:r w:rsidR="00723B58">
        <w:rPr>
          <w:rFonts w:asciiTheme="minorHAnsi" w:hAnsiTheme="minorHAnsi"/>
          <w:snapToGrid w:val="0"/>
          <w:lang w:val="en-GB"/>
        </w:rPr>
        <w:t>Overall, the PBAC considered the claim that apremilast is of superior comparative effectiveness to placebo + BSC was adequately supported.</w:t>
      </w:r>
    </w:p>
    <w:p w14:paraId="67274F00" w14:textId="74223B04" w:rsidR="00D30547" w:rsidRPr="00D10922" w:rsidRDefault="00723B58" w:rsidP="00D30547">
      <w:pPr>
        <w:widowControl w:val="0"/>
        <w:numPr>
          <w:ilvl w:val="1"/>
          <w:numId w:val="4"/>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the available evidence supported the claim of inferior comparative safety to </w:t>
      </w:r>
      <w:r w:rsidR="003F7630">
        <w:rPr>
          <w:rFonts w:asciiTheme="minorHAnsi" w:hAnsiTheme="minorHAnsi"/>
          <w:snapToGrid w:val="0"/>
          <w:lang w:val="en-GB"/>
        </w:rPr>
        <w:t xml:space="preserve">placebo + BSC </w:t>
      </w:r>
      <w:r w:rsidR="00C746E1">
        <w:rPr>
          <w:rFonts w:asciiTheme="minorHAnsi" w:hAnsiTheme="minorHAnsi"/>
          <w:snapToGrid w:val="0"/>
          <w:lang w:val="en-GB"/>
        </w:rPr>
        <w:t xml:space="preserve">but </w:t>
      </w:r>
      <w:r w:rsidR="003F7630">
        <w:rPr>
          <w:rFonts w:asciiTheme="minorHAnsi" w:hAnsiTheme="minorHAnsi"/>
          <w:snapToGrid w:val="0"/>
          <w:lang w:val="en-GB"/>
        </w:rPr>
        <w:t xml:space="preserve">the long-term safety of apremilast was likely </w:t>
      </w:r>
      <w:r w:rsidR="00C746E1" w:rsidRPr="00D10922">
        <w:rPr>
          <w:rFonts w:asciiTheme="minorHAnsi" w:hAnsiTheme="minorHAnsi"/>
          <w:snapToGrid w:val="0"/>
          <w:lang w:val="en-GB"/>
        </w:rPr>
        <w:t xml:space="preserve">to </w:t>
      </w:r>
      <w:r w:rsidR="003F7630" w:rsidRPr="00D10922">
        <w:rPr>
          <w:rFonts w:asciiTheme="minorHAnsi" w:hAnsiTheme="minorHAnsi"/>
          <w:snapToGrid w:val="0"/>
          <w:lang w:val="en-GB"/>
        </w:rPr>
        <w:t>be acceptable, noting there was no requirement for routine monitoring whilst patients were on treatment.</w:t>
      </w:r>
    </w:p>
    <w:p w14:paraId="5E760DFA" w14:textId="1021DDB3" w:rsidR="00A23370" w:rsidRPr="00D10922" w:rsidRDefault="00523653" w:rsidP="00D30547">
      <w:pPr>
        <w:widowControl w:val="0"/>
        <w:numPr>
          <w:ilvl w:val="1"/>
          <w:numId w:val="4"/>
        </w:numPr>
        <w:spacing w:after="120"/>
        <w:ind w:left="720" w:hanging="720"/>
        <w:rPr>
          <w:rFonts w:asciiTheme="minorHAnsi" w:hAnsiTheme="minorHAnsi"/>
          <w:snapToGrid w:val="0"/>
          <w:lang w:val="en-GB"/>
        </w:rPr>
      </w:pPr>
      <w:bookmarkStart w:id="108" w:name="_Ref131675074"/>
      <w:r w:rsidRPr="00D10922">
        <w:rPr>
          <w:rFonts w:asciiTheme="minorHAnsi" w:hAnsiTheme="minorHAnsi"/>
          <w:snapToGrid w:val="0"/>
          <w:lang w:val="en-GB"/>
        </w:rPr>
        <w:t xml:space="preserve">The PBAC agreed with the ESC and considered </w:t>
      </w:r>
      <w:r w:rsidR="007C3EE9" w:rsidRPr="00D10922">
        <w:rPr>
          <w:rFonts w:asciiTheme="minorHAnsi" w:hAnsiTheme="minorHAnsi"/>
          <w:snapToGrid w:val="0"/>
          <w:lang w:val="en-GB"/>
        </w:rPr>
        <w:t xml:space="preserve">that </w:t>
      </w:r>
      <w:r w:rsidRPr="00D10922">
        <w:rPr>
          <w:rFonts w:asciiTheme="minorHAnsi" w:hAnsiTheme="minorHAnsi"/>
          <w:snapToGrid w:val="0"/>
          <w:lang w:val="en-GB"/>
        </w:rPr>
        <w:t xml:space="preserve">the economic model was uninformative for assessing the cost-effectiveness of apremilast. The PBAC noted the </w:t>
      </w:r>
      <w:r w:rsidR="001D7380" w:rsidRPr="00D10922">
        <w:rPr>
          <w:rFonts w:asciiTheme="minorHAnsi" w:hAnsiTheme="minorHAnsi"/>
          <w:snapToGrid w:val="0"/>
          <w:lang w:val="en-GB"/>
        </w:rPr>
        <w:t xml:space="preserve">range of </w:t>
      </w:r>
      <w:r w:rsidRPr="00D10922">
        <w:rPr>
          <w:rFonts w:asciiTheme="minorHAnsi" w:hAnsiTheme="minorHAnsi"/>
          <w:snapToGrid w:val="0"/>
          <w:lang w:val="en-GB"/>
        </w:rPr>
        <w:t>issues raised by the ESC (paragraph 6.61)</w:t>
      </w:r>
      <w:r w:rsidR="001D7380" w:rsidRPr="00D10922">
        <w:rPr>
          <w:rFonts w:asciiTheme="minorHAnsi" w:hAnsiTheme="minorHAnsi"/>
          <w:snapToGrid w:val="0"/>
          <w:lang w:val="en-GB"/>
        </w:rPr>
        <w:t xml:space="preserve"> that </w:t>
      </w:r>
      <w:r w:rsidR="00A23370" w:rsidRPr="00D10922">
        <w:rPr>
          <w:rFonts w:asciiTheme="minorHAnsi" w:hAnsiTheme="minorHAnsi"/>
          <w:snapToGrid w:val="0"/>
          <w:lang w:val="en-GB"/>
        </w:rPr>
        <w:t xml:space="preserve">related to the model structure and approach for determining </w:t>
      </w:r>
      <w:r w:rsidR="00B337AB" w:rsidRPr="00D10922">
        <w:rPr>
          <w:rFonts w:asciiTheme="minorHAnsi" w:hAnsiTheme="minorHAnsi"/>
          <w:snapToGrid w:val="0"/>
          <w:lang w:val="en-GB"/>
        </w:rPr>
        <w:t xml:space="preserve">the model </w:t>
      </w:r>
      <w:r w:rsidR="00A23370" w:rsidRPr="00D10922">
        <w:rPr>
          <w:rFonts w:asciiTheme="minorHAnsi" w:hAnsiTheme="minorHAnsi"/>
          <w:snapToGrid w:val="0"/>
          <w:lang w:val="en-GB"/>
        </w:rPr>
        <w:t xml:space="preserve">inputs </w:t>
      </w:r>
      <w:r w:rsidR="00B337AB" w:rsidRPr="00D10922">
        <w:rPr>
          <w:rFonts w:asciiTheme="minorHAnsi" w:hAnsiTheme="minorHAnsi"/>
          <w:snapToGrid w:val="0"/>
          <w:lang w:val="en-GB"/>
        </w:rPr>
        <w:t>which</w:t>
      </w:r>
      <w:r w:rsidR="00A23370" w:rsidRPr="00D10922">
        <w:rPr>
          <w:rFonts w:asciiTheme="minorHAnsi" w:hAnsiTheme="minorHAnsi"/>
          <w:snapToGrid w:val="0"/>
          <w:lang w:val="en-GB"/>
        </w:rPr>
        <w:t xml:space="preserve"> were</w:t>
      </w:r>
      <w:r w:rsidR="001D7380" w:rsidRPr="00D10922">
        <w:rPr>
          <w:rFonts w:asciiTheme="minorHAnsi" w:hAnsiTheme="minorHAnsi"/>
          <w:snapToGrid w:val="0"/>
          <w:lang w:val="en-GB"/>
        </w:rPr>
        <w:t xml:space="preserve"> not </w:t>
      </w:r>
      <w:r w:rsidR="00A23370" w:rsidRPr="00D10922">
        <w:rPr>
          <w:rFonts w:asciiTheme="minorHAnsi" w:hAnsiTheme="minorHAnsi"/>
          <w:snapToGrid w:val="0"/>
          <w:lang w:val="en-GB"/>
        </w:rPr>
        <w:t xml:space="preserve">able to be </w:t>
      </w:r>
      <w:r w:rsidR="00780BA6" w:rsidRPr="00D10922">
        <w:rPr>
          <w:rFonts w:asciiTheme="minorHAnsi" w:hAnsiTheme="minorHAnsi"/>
          <w:snapToGrid w:val="0"/>
          <w:lang w:val="en-GB"/>
        </w:rPr>
        <w:t xml:space="preserve">adequately </w:t>
      </w:r>
      <w:r w:rsidR="001D7380" w:rsidRPr="00D10922">
        <w:rPr>
          <w:rFonts w:asciiTheme="minorHAnsi" w:hAnsiTheme="minorHAnsi"/>
          <w:snapToGrid w:val="0"/>
          <w:lang w:val="en-GB"/>
        </w:rPr>
        <w:t>addressed through sensitivity analyses</w:t>
      </w:r>
      <w:r w:rsidR="00A23370" w:rsidRPr="00D10922">
        <w:rPr>
          <w:rFonts w:asciiTheme="minorHAnsi" w:hAnsiTheme="minorHAnsi"/>
          <w:snapToGrid w:val="0"/>
          <w:lang w:val="en-GB"/>
        </w:rPr>
        <w:t>.</w:t>
      </w:r>
      <w:r w:rsidRPr="00D10922">
        <w:rPr>
          <w:rFonts w:asciiTheme="minorHAnsi" w:hAnsiTheme="minorHAnsi"/>
          <w:snapToGrid w:val="0"/>
          <w:lang w:val="en-GB"/>
        </w:rPr>
        <w:t xml:space="preserve"> </w:t>
      </w:r>
      <w:r w:rsidR="00A23370" w:rsidRPr="00D10922">
        <w:rPr>
          <w:rFonts w:asciiTheme="minorHAnsi" w:hAnsiTheme="minorHAnsi"/>
          <w:snapToGrid w:val="0"/>
          <w:lang w:val="en-GB"/>
        </w:rPr>
        <w:t>Overall, the PBAC considered the cost-effectiveness of apremilast for the treatment of severe PsA was unable to be determined.</w:t>
      </w:r>
    </w:p>
    <w:bookmarkEnd w:id="108"/>
    <w:p w14:paraId="63B0C2B3" w14:textId="5A3715F2" w:rsidR="00A67892" w:rsidRPr="00D10922" w:rsidRDefault="002C502C" w:rsidP="00897F0F">
      <w:pPr>
        <w:pStyle w:val="ListParagraph"/>
        <w:numPr>
          <w:ilvl w:val="1"/>
          <w:numId w:val="4"/>
        </w:numPr>
        <w:spacing w:after="240"/>
        <w:ind w:left="720" w:hanging="720"/>
        <w:rPr>
          <w:lang w:val="en-GB"/>
        </w:rPr>
      </w:pPr>
      <w:r w:rsidRPr="00A67892">
        <w:rPr>
          <w:lang w:val="en-GB"/>
        </w:rPr>
        <w:t xml:space="preserve">The PBAC </w:t>
      </w:r>
      <w:r w:rsidR="00A23370" w:rsidRPr="00A67892">
        <w:rPr>
          <w:lang w:val="en-GB"/>
        </w:rPr>
        <w:t>considered</w:t>
      </w:r>
      <w:r w:rsidRPr="00A67892">
        <w:rPr>
          <w:lang w:val="en-GB"/>
        </w:rPr>
        <w:t xml:space="preserve"> that the estimated number of patients</w:t>
      </w:r>
      <w:r w:rsidRPr="002C502C">
        <w:t xml:space="preserve"> that would be eligible for treatment with apremilast to be highly uncertain</w:t>
      </w:r>
      <w:r w:rsidR="00A67892">
        <w:t xml:space="preserve"> and hence it was unclear if </w:t>
      </w:r>
      <w:r w:rsidR="00780BA6">
        <w:t>an</w:t>
      </w:r>
      <w:r w:rsidR="00A67892">
        <w:t xml:space="preserve"> RSA</w:t>
      </w:r>
      <w:r w:rsidR="00780BA6">
        <w:t xml:space="preserve"> based on these estimates</w:t>
      </w:r>
      <w:r w:rsidR="00A67892">
        <w:t xml:space="preserve"> would adequately manage the risk of use in patients outside of the proposed restriction</w:t>
      </w:r>
      <w:r w:rsidR="00E31091">
        <w:t xml:space="preserve"> where cost-effectiveness has not been demonstrated</w:t>
      </w:r>
      <w:r w:rsidR="00A67892">
        <w:t>, for example</w:t>
      </w:r>
      <w:r w:rsidR="00780BA6">
        <w:t xml:space="preserve"> use in patients suitable for csDMARDs </w:t>
      </w:r>
      <w:r w:rsidR="00780BA6" w:rsidRPr="00D10922">
        <w:t>and</w:t>
      </w:r>
      <w:r w:rsidR="00A67892" w:rsidRPr="00D10922">
        <w:t xml:space="preserve"> continued use in patients not achieving the </w:t>
      </w:r>
      <w:r w:rsidR="00D10922">
        <w:t>modelled</w:t>
      </w:r>
      <w:r w:rsidR="00D10922" w:rsidRPr="00D10922">
        <w:t xml:space="preserve"> </w:t>
      </w:r>
      <w:r w:rsidR="00A67892" w:rsidRPr="00D10922">
        <w:t>response criteria</w:t>
      </w:r>
      <w:r w:rsidR="00D10922">
        <w:t xml:space="preserve"> (i.e., ACR20)</w:t>
      </w:r>
      <w:r w:rsidR="00A23370" w:rsidRPr="00D10922">
        <w:t>.</w:t>
      </w:r>
      <w:r w:rsidR="00A23370">
        <w:t xml:space="preserve"> </w:t>
      </w:r>
      <w:r w:rsidR="00A67892">
        <w:t xml:space="preserve">The PBAC </w:t>
      </w:r>
      <w:r w:rsidR="007A6003">
        <w:t>considered</w:t>
      </w:r>
      <w:r w:rsidR="00A67892">
        <w:t xml:space="preserve"> it would be inappropriate to </w:t>
      </w:r>
      <w:r w:rsidR="00780BA6" w:rsidRPr="00AA64DF">
        <w:t xml:space="preserve">add the cost of listing apremilast </w:t>
      </w:r>
      <w:r w:rsidR="00780BA6">
        <w:t xml:space="preserve">as </w:t>
      </w:r>
      <w:r w:rsidR="00780BA6" w:rsidRPr="00AA64DF">
        <w:t>estimated in the resubmission to the Tier 1 and Tier 2 caps currently in place for psoriasis</w:t>
      </w:r>
      <w:r w:rsidR="00780BA6">
        <w:t xml:space="preserve"> </w:t>
      </w:r>
      <w:r w:rsidR="00D10922">
        <w:t xml:space="preserve">(as proposed by the sponsor, see paragraph </w:t>
      </w:r>
      <w:r w:rsidR="00D10922">
        <w:fldChar w:fldCharType="begin"/>
      </w:r>
      <w:r w:rsidR="00D10922">
        <w:instrText xml:space="preserve"> REF _Ref132265755 \r \h </w:instrText>
      </w:r>
      <w:r w:rsidR="00D10922">
        <w:fldChar w:fldCharType="separate"/>
      </w:r>
      <w:r w:rsidR="00A05E81">
        <w:t>6.81</w:t>
      </w:r>
      <w:r w:rsidR="00D10922">
        <w:fldChar w:fldCharType="end"/>
      </w:r>
      <w:r w:rsidR="00D10922">
        <w:t xml:space="preserve">) </w:t>
      </w:r>
      <w:r w:rsidR="007A6003">
        <w:t>noting</w:t>
      </w:r>
      <w:r w:rsidR="00A67892">
        <w:t xml:space="preserve"> the </w:t>
      </w:r>
      <w:r w:rsidR="00A67892" w:rsidRPr="00A67892">
        <w:rPr>
          <w:lang w:val="en-GB"/>
        </w:rPr>
        <w:t xml:space="preserve">lower than expected use in </w:t>
      </w:r>
      <w:r w:rsidR="007A6003">
        <w:rPr>
          <w:lang w:val="en-GB"/>
        </w:rPr>
        <w:t>psoriasis</w:t>
      </w:r>
      <w:r w:rsidR="00A67892">
        <w:rPr>
          <w:lang w:val="en-GB"/>
        </w:rPr>
        <w:t xml:space="preserve"> </w:t>
      </w:r>
      <w:r w:rsidR="00480FED">
        <w:rPr>
          <w:lang w:val="en-GB"/>
        </w:rPr>
        <w:t xml:space="preserve">would </w:t>
      </w:r>
      <w:r w:rsidR="007A6003">
        <w:rPr>
          <w:lang w:val="en-GB"/>
        </w:rPr>
        <w:t>result in</w:t>
      </w:r>
      <w:r w:rsidR="00A67892" w:rsidRPr="00AA64DF">
        <w:t xml:space="preserve"> cross-subsidisation across the indications and</w:t>
      </w:r>
      <w:r w:rsidR="007A6003">
        <w:t xml:space="preserve"> hence</w:t>
      </w:r>
      <w:r w:rsidR="00A67892" w:rsidRPr="00AA64DF">
        <w:t xml:space="preserve"> the </w:t>
      </w:r>
      <w:r w:rsidR="007A6003">
        <w:t>high</w:t>
      </w:r>
      <w:r w:rsidR="00A67892" w:rsidRPr="00AA64DF">
        <w:t xml:space="preserve"> risk </w:t>
      </w:r>
      <w:r w:rsidR="007A6003">
        <w:t xml:space="preserve">of use in a broader </w:t>
      </w:r>
      <w:r w:rsidR="00A67892" w:rsidRPr="00AA64DF">
        <w:t>PsA</w:t>
      </w:r>
      <w:r w:rsidR="007A6003">
        <w:t xml:space="preserve"> population </w:t>
      </w:r>
      <w:r w:rsidR="00480FED">
        <w:t>would not be managed</w:t>
      </w:r>
      <w:r w:rsidR="00A67892" w:rsidRPr="00AA64DF">
        <w:t>.</w:t>
      </w:r>
    </w:p>
    <w:p w14:paraId="3FB822D7" w14:textId="2BFE00BB" w:rsidR="00480FED" w:rsidRPr="00D10922" w:rsidRDefault="00D30547" w:rsidP="00F04A92">
      <w:pPr>
        <w:widowControl w:val="0"/>
        <w:numPr>
          <w:ilvl w:val="1"/>
          <w:numId w:val="4"/>
        </w:numPr>
        <w:spacing w:after="120"/>
        <w:ind w:left="720" w:hanging="720"/>
        <w:rPr>
          <w:rFonts w:asciiTheme="minorHAnsi" w:hAnsiTheme="minorHAnsi"/>
          <w:snapToGrid w:val="0"/>
          <w:u w:val="single"/>
          <w:lang w:val="en-GB"/>
        </w:rPr>
      </w:pPr>
      <w:r w:rsidRPr="002C502C">
        <w:rPr>
          <w:rFonts w:asciiTheme="minorHAnsi" w:hAnsiTheme="minorHAnsi"/>
          <w:bCs/>
          <w:snapToGrid w:val="0"/>
          <w:lang w:val="en-GB"/>
        </w:rPr>
        <w:t>The PBAC</w:t>
      </w:r>
      <w:r w:rsidRPr="00F04A92">
        <w:rPr>
          <w:rFonts w:asciiTheme="minorHAnsi" w:hAnsiTheme="minorHAnsi"/>
          <w:bCs/>
          <w:snapToGrid w:val="0"/>
          <w:lang w:val="en-GB"/>
        </w:rPr>
        <w:t xml:space="preserve"> considered a resubmission for </w:t>
      </w:r>
      <w:r w:rsidR="00F04A92">
        <w:rPr>
          <w:rFonts w:asciiTheme="minorHAnsi" w:hAnsiTheme="minorHAnsi"/>
          <w:bCs/>
          <w:snapToGrid w:val="0"/>
          <w:lang w:val="en-GB"/>
        </w:rPr>
        <w:t>apremilast for PsA</w:t>
      </w:r>
      <w:r w:rsidRPr="00F04A92">
        <w:rPr>
          <w:rFonts w:asciiTheme="minorHAnsi" w:hAnsiTheme="minorHAnsi"/>
          <w:bCs/>
          <w:snapToGrid w:val="0"/>
          <w:lang w:val="en-GB"/>
        </w:rPr>
        <w:t xml:space="preserve"> should</w:t>
      </w:r>
      <w:r w:rsidR="00A474EC">
        <w:rPr>
          <w:rFonts w:asciiTheme="minorHAnsi" w:hAnsiTheme="minorHAnsi"/>
          <w:bCs/>
          <w:snapToGrid w:val="0"/>
          <w:lang w:val="en-GB"/>
        </w:rPr>
        <w:t xml:space="preserve"> </w:t>
      </w:r>
      <w:r w:rsidR="00480FED">
        <w:rPr>
          <w:rFonts w:asciiTheme="minorHAnsi" w:hAnsiTheme="minorHAnsi"/>
          <w:bCs/>
          <w:snapToGrid w:val="0"/>
          <w:lang w:val="en-GB"/>
        </w:rPr>
        <w:t xml:space="preserve">better define the </w:t>
      </w:r>
      <w:r w:rsidR="00480FED" w:rsidRPr="00E2705E">
        <w:rPr>
          <w:rFonts w:asciiTheme="minorHAnsi" w:hAnsiTheme="minorHAnsi"/>
          <w:snapToGrid w:val="0"/>
          <w:lang w:val="en-GB"/>
        </w:rPr>
        <w:t xml:space="preserve">cohort of patients with severe PsA </w:t>
      </w:r>
      <w:r w:rsidR="00480FED" w:rsidRPr="00FF23D6">
        <w:rPr>
          <w:rFonts w:asciiTheme="minorHAnsi" w:hAnsiTheme="minorHAnsi"/>
          <w:snapToGrid w:val="0"/>
          <w:lang w:val="en-GB"/>
        </w:rPr>
        <w:t xml:space="preserve">who </w:t>
      </w:r>
      <w:r w:rsidR="00480FED">
        <w:rPr>
          <w:rFonts w:asciiTheme="minorHAnsi" w:hAnsiTheme="minorHAnsi"/>
          <w:snapToGrid w:val="0"/>
          <w:lang w:val="en-GB"/>
        </w:rPr>
        <w:t>are unable to be treated with the available treatment options in terms of restriction criteria, present an economic model addressing the issues noted during the evaluation and by ESC, address the identified uncertainties</w:t>
      </w:r>
      <w:r w:rsidR="00D10922">
        <w:rPr>
          <w:rFonts w:asciiTheme="minorHAnsi" w:hAnsiTheme="minorHAnsi"/>
          <w:snapToGrid w:val="0"/>
          <w:lang w:val="en-GB"/>
        </w:rPr>
        <w:t xml:space="preserve"> in the financial estimates</w:t>
      </w:r>
      <w:r w:rsidR="00480FED">
        <w:rPr>
          <w:rFonts w:asciiTheme="minorHAnsi" w:hAnsiTheme="minorHAnsi"/>
          <w:snapToGrid w:val="0"/>
          <w:lang w:val="en-GB"/>
        </w:rPr>
        <w:t>, and propose an RSA that manages the risk of use of apremilast outside of the</w:t>
      </w:r>
      <w:r w:rsidR="009B6E77">
        <w:rPr>
          <w:rFonts w:asciiTheme="minorHAnsi" w:hAnsiTheme="minorHAnsi"/>
          <w:snapToGrid w:val="0"/>
          <w:lang w:val="en-GB"/>
        </w:rPr>
        <w:t xml:space="preserve"> proposed restriction.</w:t>
      </w:r>
      <w:r w:rsidR="00480FED">
        <w:rPr>
          <w:rFonts w:asciiTheme="minorHAnsi" w:hAnsiTheme="minorHAnsi"/>
          <w:snapToGrid w:val="0"/>
          <w:lang w:val="en-GB"/>
        </w:rPr>
        <w:t xml:space="preserve"> </w:t>
      </w:r>
    </w:p>
    <w:p w14:paraId="04B2B5DE" w14:textId="3F57FA42" w:rsidR="00A65FD7" w:rsidRPr="00A65FD7" w:rsidRDefault="00D30547" w:rsidP="00D10922">
      <w:pPr>
        <w:widowControl w:val="0"/>
        <w:spacing w:after="160"/>
        <w:ind w:left="709"/>
        <w:rPr>
          <w:bCs/>
          <w:snapToGrid w:val="0"/>
          <w:lang w:val="en-GB"/>
        </w:rPr>
      </w:pPr>
      <w:r w:rsidRPr="00A65FD7">
        <w:rPr>
          <w:bCs/>
          <w:snapToGrid w:val="0"/>
          <w:lang w:val="en-GB"/>
        </w:rPr>
        <w:t>The resubmission may be lodged at any future standard due date for PBAC submissions using the standard re-entry pathway.</w:t>
      </w:r>
    </w:p>
    <w:p w14:paraId="71240855" w14:textId="77777777" w:rsidR="00402E93" w:rsidRDefault="00D30547" w:rsidP="00402E93">
      <w:pPr>
        <w:widowControl w:val="0"/>
        <w:numPr>
          <w:ilvl w:val="1"/>
          <w:numId w:val="4"/>
        </w:numPr>
        <w:spacing w:after="120"/>
        <w:ind w:left="720" w:hanging="720"/>
        <w:rPr>
          <w:rFonts w:asciiTheme="minorHAnsi" w:hAnsiTheme="minorHAnsi"/>
          <w:snapToGrid w:val="0"/>
          <w:lang w:val="en-GB"/>
        </w:rPr>
      </w:pPr>
      <w:r w:rsidRPr="00A65FD7">
        <w:rPr>
          <w:rFonts w:asciiTheme="minorHAnsi" w:hAnsiTheme="minorHAnsi"/>
          <w:snapToGrid w:val="0"/>
          <w:lang w:val="en-GB"/>
        </w:rPr>
        <w:t xml:space="preserve">The PBAC noted that this submission is eligible for an Independent Review. </w:t>
      </w:r>
    </w:p>
    <w:p w14:paraId="54F9FE40" w14:textId="49162205" w:rsidR="00D30547" w:rsidRPr="00402E93" w:rsidRDefault="00D30547" w:rsidP="00402E93">
      <w:pPr>
        <w:widowControl w:val="0"/>
        <w:rPr>
          <w:rFonts w:asciiTheme="minorHAnsi" w:hAnsiTheme="minorHAnsi"/>
          <w:snapToGrid w:val="0"/>
          <w:lang w:val="en-GB"/>
        </w:rPr>
      </w:pPr>
      <w:r w:rsidRPr="00402E93">
        <w:rPr>
          <w:rFonts w:asciiTheme="minorHAnsi" w:hAnsiTheme="minorHAnsi"/>
          <w:b/>
          <w:bCs/>
          <w:snapToGrid w:val="0"/>
          <w:lang w:val="en-GB"/>
        </w:rPr>
        <w:lastRenderedPageBreak/>
        <w:t>Outcome:</w:t>
      </w:r>
    </w:p>
    <w:p w14:paraId="7D53D098" w14:textId="4118DF40" w:rsidR="002C31CD" w:rsidRDefault="00D30547" w:rsidP="00D46192">
      <w:pPr>
        <w:rPr>
          <w:rFonts w:asciiTheme="minorHAnsi" w:hAnsiTheme="minorHAnsi"/>
          <w:bCs/>
          <w:snapToGrid w:val="0"/>
          <w:lang w:val="en-GB"/>
        </w:rPr>
      </w:pPr>
      <w:r>
        <w:rPr>
          <w:rFonts w:asciiTheme="minorHAnsi" w:hAnsiTheme="minorHAnsi"/>
          <w:bCs/>
          <w:snapToGrid w:val="0"/>
          <w:lang w:val="en-GB"/>
        </w:rPr>
        <w:t>Not recommend</w:t>
      </w:r>
      <w:bookmarkEnd w:id="1"/>
      <w:bookmarkEnd w:id="2"/>
      <w:bookmarkEnd w:id="3"/>
      <w:bookmarkEnd w:id="4"/>
      <w:bookmarkEnd w:id="5"/>
      <w:bookmarkEnd w:id="105"/>
      <w:bookmarkEnd w:id="106"/>
      <w:bookmarkEnd w:id="107"/>
    </w:p>
    <w:p w14:paraId="72397DC1" w14:textId="229A3759" w:rsidR="00D60132" w:rsidRDefault="00D60132" w:rsidP="00D46192">
      <w:pPr>
        <w:rPr>
          <w:rFonts w:asciiTheme="minorHAnsi" w:hAnsiTheme="minorHAnsi"/>
          <w:bCs/>
          <w:snapToGrid w:val="0"/>
          <w:lang w:val="en-GB"/>
        </w:rPr>
      </w:pPr>
    </w:p>
    <w:p w14:paraId="606AC213" w14:textId="7F086A1D" w:rsidR="00D60132" w:rsidRPr="00D60132" w:rsidRDefault="00D60132" w:rsidP="00D60132">
      <w:pPr>
        <w:pStyle w:val="2-SectionHeading"/>
      </w:pPr>
      <w:r w:rsidRPr="00C07617">
        <w:t>Context for Decision</w:t>
      </w:r>
    </w:p>
    <w:p w14:paraId="7AA446F7" w14:textId="77777777" w:rsidR="00D60132" w:rsidRPr="007129F2" w:rsidRDefault="00D60132" w:rsidP="00D6013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1CAB9C9" w14:textId="51A4051D" w:rsidR="00D60132" w:rsidRPr="00471F95" w:rsidRDefault="00D60132" w:rsidP="008A6816">
      <w:pPr>
        <w:pStyle w:val="2-SectionHeading"/>
        <w:rPr>
          <w:bCs/>
        </w:rPr>
      </w:pPr>
      <w:r>
        <w:t>Sponsor’s Comment</w:t>
      </w:r>
      <w:r w:rsidR="00295039" w:rsidRPr="00295039">
        <w:rPr>
          <w:bCs/>
          <w:lang w:val="en-GB"/>
        </w:rPr>
        <w:t xml:space="preserve"> </w:t>
      </w:r>
    </w:p>
    <w:p w14:paraId="114A09E8" w14:textId="1001070E" w:rsidR="00D60132" w:rsidRPr="00ED2038" w:rsidRDefault="00B557F0" w:rsidP="008A6816">
      <w:pPr>
        <w:ind w:left="720"/>
        <w:rPr>
          <w:rFonts w:asciiTheme="minorHAnsi" w:hAnsiTheme="minorHAnsi"/>
          <w:b/>
          <w:snapToGrid w:val="0"/>
          <w:sz w:val="32"/>
          <w:szCs w:val="32"/>
        </w:rPr>
      </w:pPr>
      <w:r w:rsidRPr="008A6816">
        <w:rPr>
          <w:rFonts w:asciiTheme="minorHAnsi" w:hAnsiTheme="minorHAnsi"/>
          <w:bCs/>
          <w:lang w:val="en-GB"/>
        </w:rPr>
        <w:t>Amgen is disappointed with this outcome and will continue to work with the PBAC to provide improved access to apremilast. Amgen would like to thank all of the healthcare professionals, professional societies, patient organisations and consumers for their support of the apremilast submission.</w:t>
      </w:r>
    </w:p>
    <w:sectPr w:rsidR="00D60132" w:rsidRPr="00ED2038" w:rsidSect="00D46192">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A24A" w14:textId="77777777" w:rsidR="005848E9" w:rsidRDefault="005848E9" w:rsidP="00124A51">
      <w:r>
        <w:separator/>
      </w:r>
    </w:p>
    <w:p w14:paraId="6010E47F" w14:textId="77777777" w:rsidR="005848E9" w:rsidRDefault="005848E9"/>
  </w:endnote>
  <w:endnote w:type="continuationSeparator" w:id="0">
    <w:p w14:paraId="34567763" w14:textId="77777777" w:rsidR="005848E9" w:rsidRDefault="005848E9" w:rsidP="00124A51">
      <w:r>
        <w:continuationSeparator/>
      </w:r>
    </w:p>
    <w:p w14:paraId="742EE8DB" w14:textId="77777777" w:rsidR="005848E9" w:rsidRDefault="005848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0A77" w14:textId="77777777" w:rsidR="00A50FC3" w:rsidRDefault="00A50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83AC" w14:textId="77777777" w:rsidR="00D94DFE" w:rsidRDefault="00D94DFE">
    <w:pPr>
      <w:pStyle w:val="Footer"/>
      <w:jc w:val="center"/>
    </w:pPr>
  </w:p>
  <w:sdt>
    <w:sdtPr>
      <w:id w:val="919536090"/>
      <w:docPartObj>
        <w:docPartGallery w:val="Page Numbers (Bottom of Page)"/>
        <w:docPartUnique/>
      </w:docPartObj>
    </w:sdtPr>
    <w:sdtEndPr>
      <w:rPr>
        <w:b/>
        <w:bCs/>
        <w:noProof/>
      </w:rPr>
    </w:sdtEndPr>
    <w:sdtContent>
      <w:p w14:paraId="122FEB25" w14:textId="0711502D" w:rsidR="0048379A" w:rsidRPr="008A6816" w:rsidRDefault="00D94DFE" w:rsidP="008A6816">
        <w:pPr>
          <w:pStyle w:val="Footer"/>
          <w:jc w:val="center"/>
          <w:rPr>
            <w:b/>
            <w:bCs/>
          </w:rPr>
        </w:pPr>
        <w:r w:rsidRPr="008A6816">
          <w:rPr>
            <w:b/>
            <w:bCs/>
          </w:rPr>
          <w:fldChar w:fldCharType="begin"/>
        </w:r>
        <w:r w:rsidRPr="008A6816">
          <w:rPr>
            <w:b/>
            <w:bCs/>
          </w:rPr>
          <w:instrText xml:space="preserve"> PAGE   \* MERGEFORMAT </w:instrText>
        </w:r>
        <w:r w:rsidRPr="008A6816">
          <w:rPr>
            <w:b/>
            <w:bCs/>
          </w:rPr>
          <w:fldChar w:fldCharType="separate"/>
        </w:r>
        <w:r w:rsidRPr="008A6816">
          <w:rPr>
            <w:b/>
            <w:bCs/>
            <w:noProof/>
          </w:rPr>
          <w:t>2</w:t>
        </w:r>
        <w:r w:rsidRPr="008A681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75E4" w14:textId="77777777" w:rsidR="00A50FC3" w:rsidRDefault="00A50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9472" w14:textId="77777777" w:rsidR="005848E9" w:rsidRDefault="005848E9" w:rsidP="00124A51">
      <w:r>
        <w:separator/>
      </w:r>
    </w:p>
    <w:p w14:paraId="6BA7A1DE" w14:textId="77777777" w:rsidR="005848E9" w:rsidRDefault="005848E9"/>
  </w:footnote>
  <w:footnote w:type="continuationSeparator" w:id="0">
    <w:p w14:paraId="3E86516D" w14:textId="77777777" w:rsidR="005848E9" w:rsidRDefault="005848E9" w:rsidP="00124A51">
      <w:r>
        <w:continuationSeparator/>
      </w:r>
    </w:p>
    <w:p w14:paraId="41EE9492" w14:textId="77777777" w:rsidR="005848E9" w:rsidRDefault="005848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7318" w14:textId="77777777" w:rsidR="00A50FC3" w:rsidRDefault="00A50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3D8A" w14:textId="2A06A1A6" w:rsidR="0048379A" w:rsidRPr="00056684" w:rsidRDefault="00D60132" w:rsidP="0048379A">
    <w:pPr>
      <w:pStyle w:val="Header"/>
      <w:ind w:left="360"/>
      <w:rPr>
        <w:rFonts w:asciiTheme="minorHAnsi" w:hAnsiTheme="minorHAnsi"/>
        <w:i/>
        <w:color w:val="808080"/>
      </w:rPr>
    </w:pPr>
    <w:bookmarkStart w:id="109" w:name="_Hlk76375146"/>
    <w:r>
      <w:rPr>
        <w:rFonts w:asciiTheme="minorHAnsi" w:hAnsiTheme="minorHAnsi"/>
        <w:i/>
        <w:color w:val="808080"/>
      </w:rPr>
      <w:t>Public Summary Document</w:t>
    </w:r>
    <w:r w:rsidR="0048379A" w:rsidRPr="00056684">
      <w:rPr>
        <w:rFonts w:asciiTheme="minorHAnsi" w:hAnsiTheme="minorHAnsi"/>
        <w:i/>
        <w:color w:val="808080"/>
      </w:rPr>
      <w:t xml:space="preserve"> – </w:t>
    </w:r>
    <w:r w:rsidR="0048379A">
      <w:rPr>
        <w:rFonts w:asciiTheme="minorHAnsi" w:hAnsiTheme="minorHAnsi"/>
        <w:i/>
        <w:color w:val="808080"/>
      </w:rPr>
      <w:t>March 2023</w:t>
    </w:r>
    <w:r w:rsidR="0048379A" w:rsidRPr="00056684">
      <w:rPr>
        <w:rFonts w:asciiTheme="minorHAnsi" w:hAnsiTheme="minorHAnsi"/>
        <w:i/>
        <w:color w:val="808080"/>
      </w:rPr>
      <w:t xml:space="preserve"> PBAC Meeting</w:t>
    </w:r>
  </w:p>
  <w:bookmarkEnd w:id="109"/>
  <w:p w14:paraId="2824E3EC" w14:textId="77777777" w:rsidR="0033470C" w:rsidRDefault="003347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357E" w14:textId="77777777" w:rsidR="00A50FC3" w:rsidRDefault="00A50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EC88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058BB"/>
    <w:multiLevelType w:val="hybridMultilevel"/>
    <w:tmpl w:val="AB4E5530"/>
    <w:lvl w:ilvl="0" w:tplc="79923F62">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43C7E"/>
    <w:multiLevelType w:val="hybridMultilevel"/>
    <w:tmpl w:val="F6189C8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6A0A5DDA"/>
    <w:lvl w:ilvl="0" w:tplc="FCE68640">
      <w:start w:val="1"/>
      <w:numFmt w:val="decimal"/>
      <w:lvlText w:val="%1."/>
      <w:lvlJc w:val="left"/>
      <w:pPr>
        <w:ind w:left="1778" w:hanging="360"/>
      </w:pPr>
      <w:rPr>
        <w:rFonts w:hint="default"/>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8F5A2A"/>
    <w:multiLevelType w:val="hybridMultilevel"/>
    <w:tmpl w:val="8E8C2B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4B233F"/>
    <w:multiLevelType w:val="hybridMultilevel"/>
    <w:tmpl w:val="7C3EB418"/>
    <w:lvl w:ilvl="0" w:tplc="79923F6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292C62"/>
    <w:multiLevelType w:val="hybridMultilevel"/>
    <w:tmpl w:val="AB464F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166453"/>
    <w:multiLevelType w:val="hybridMultilevel"/>
    <w:tmpl w:val="04C8C9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C391743"/>
    <w:multiLevelType w:val="hybridMultilevel"/>
    <w:tmpl w:val="742C50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0272B"/>
    <w:multiLevelType w:val="hybridMultilevel"/>
    <w:tmpl w:val="CC601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503B32"/>
    <w:multiLevelType w:val="hybridMultilevel"/>
    <w:tmpl w:val="6796694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2B82608"/>
    <w:multiLevelType w:val="hybridMultilevel"/>
    <w:tmpl w:val="4F2009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885478"/>
    <w:multiLevelType w:val="hybridMultilevel"/>
    <w:tmpl w:val="7C8EE4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9D86B58"/>
    <w:multiLevelType w:val="hybridMultilevel"/>
    <w:tmpl w:val="A164E9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D387B1A"/>
    <w:multiLevelType w:val="hybridMultilevel"/>
    <w:tmpl w:val="E7B6DB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425F1"/>
    <w:multiLevelType w:val="hybridMultilevel"/>
    <w:tmpl w:val="DC9E3344"/>
    <w:lvl w:ilvl="0" w:tplc="571AE6F2">
      <w:start w:val="1"/>
      <w:numFmt w:val="bullet"/>
      <w:pStyle w:val="TableNotesLa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FB91903"/>
    <w:multiLevelType w:val="hybridMultilevel"/>
    <w:tmpl w:val="706418F6"/>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84D033C"/>
    <w:multiLevelType w:val="multilevel"/>
    <w:tmpl w:val="FDA8CDA2"/>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0" w:firstLine="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5"/>
  </w:num>
  <w:num w:numId="2">
    <w:abstractNumId w:val="16"/>
  </w:num>
  <w:num w:numId="3">
    <w:abstractNumId w:val="0"/>
  </w:num>
  <w:num w:numId="4">
    <w:abstractNumId w:val="31"/>
  </w:num>
  <w:num w:numId="5">
    <w:abstractNumId w:val="28"/>
  </w:num>
  <w:num w:numId="6">
    <w:abstractNumId w:val="25"/>
  </w:num>
  <w:num w:numId="7">
    <w:abstractNumId w:val="11"/>
  </w:num>
  <w:num w:numId="8">
    <w:abstractNumId w:val="14"/>
  </w:num>
  <w:num w:numId="9">
    <w:abstractNumId w:val="24"/>
  </w:num>
  <w:num w:numId="10">
    <w:abstractNumId w:val="19"/>
  </w:num>
  <w:num w:numId="11">
    <w:abstractNumId w:val="8"/>
  </w:num>
  <w:num w:numId="12">
    <w:abstractNumId w:val="22"/>
  </w:num>
  <w:num w:numId="13">
    <w:abstractNumId w:val="17"/>
  </w:num>
  <w:num w:numId="14">
    <w:abstractNumId w:val="26"/>
  </w:num>
  <w:num w:numId="15">
    <w:abstractNumId w:val="13"/>
  </w:num>
  <w:num w:numId="16">
    <w:abstractNumId w:val="10"/>
  </w:num>
  <w:num w:numId="17">
    <w:abstractNumId w:val="2"/>
  </w:num>
  <w:num w:numId="18">
    <w:abstractNumId w:val="6"/>
  </w:num>
  <w:num w:numId="19">
    <w:abstractNumId w:val="32"/>
  </w:num>
  <w:num w:numId="20">
    <w:abstractNumId w:val="29"/>
  </w:num>
  <w:num w:numId="21">
    <w:abstractNumId w:val="18"/>
  </w:num>
  <w:num w:numId="22">
    <w:abstractNumId w:val="12"/>
  </w:num>
  <w:num w:numId="23">
    <w:abstractNumId w:val="3"/>
  </w:num>
  <w:num w:numId="24">
    <w:abstractNumId w:val="20"/>
  </w:num>
  <w:num w:numId="25">
    <w:abstractNumId w:val="21"/>
  </w:num>
  <w:num w:numId="26">
    <w:abstractNumId w:val="4"/>
  </w:num>
  <w:num w:numId="27">
    <w:abstractNumId w:val="1"/>
  </w:num>
  <w:num w:numId="28">
    <w:abstractNumId w:val="7"/>
  </w:num>
  <w:num w:numId="29">
    <w:abstractNumId w:val="9"/>
  </w:num>
  <w:num w:numId="30">
    <w:abstractNumId w:val="5"/>
  </w:num>
  <w:num w:numId="3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3"/>
  </w:num>
  <w:num w:numId="34">
    <w:abstractNumId w:val="16"/>
  </w:num>
  <w:num w:numId="35">
    <w:abstractNumId w:val="31"/>
  </w:num>
  <w:num w:numId="36">
    <w:abstractNumId w:val="31"/>
  </w:num>
  <w:num w:numId="37">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DEwMzM0Mzc3NTBU0lEKTi0uzszPAykwrwUA+IO2ACwAAAA="/>
  </w:docVars>
  <w:rsids>
    <w:rsidRoot w:val="00E65E79"/>
    <w:rsid w:val="00000758"/>
    <w:rsid w:val="00000790"/>
    <w:rsid w:val="0000110B"/>
    <w:rsid w:val="00001DA1"/>
    <w:rsid w:val="00003499"/>
    <w:rsid w:val="000039B7"/>
    <w:rsid w:val="0000509A"/>
    <w:rsid w:val="000055A4"/>
    <w:rsid w:val="000056B9"/>
    <w:rsid w:val="0000639A"/>
    <w:rsid w:val="000067F8"/>
    <w:rsid w:val="000068CD"/>
    <w:rsid w:val="0001023F"/>
    <w:rsid w:val="00010B66"/>
    <w:rsid w:val="0001136D"/>
    <w:rsid w:val="00011CA2"/>
    <w:rsid w:val="00013247"/>
    <w:rsid w:val="00015886"/>
    <w:rsid w:val="000162EF"/>
    <w:rsid w:val="000203FD"/>
    <w:rsid w:val="000207C9"/>
    <w:rsid w:val="000219A8"/>
    <w:rsid w:val="0002225F"/>
    <w:rsid w:val="00022903"/>
    <w:rsid w:val="00023763"/>
    <w:rsid w:val="000238EC"/>
    <w:rsid w:val="00023C90"/>
    <w:rsid w:val="00024EB5"/>
    <w:rsid w:val="000274B8"/>
    <w:rsid w:val="000300F9"/>
    <w:rsid w:val="00033863"/>
    <w:rsid w:val="00035DC0"/>
    <w:rsid w:val="00036829"/>
    <w:rsid w:val="00040895"/>
    <w:rsid w:val="000410A0"/>
    <w:rsid w:val="000435EE"/>
    <w:rsid w:val="00043C37"/>
    <w:rsid w:val="00045017"/>
    <w:rsid w:val="000459A8"/>
    <w:rsid w:val="00045A2B"/>
    <w:rsid w:val="00045FA7"/>
    <w:rsid w:val="00045FF1"/>
    <w:rsid w:val="0004698F"/>
    <w:rsid w:val="00046B67"/>
    <w:rsid w:val="00046D64"/>
    <w:rsid w:val="000508C2"/>
    <w:rsid w:val="000539D0"/>
    <w:rsid w:val="00054621"/>
    <w:rsid w:val="000546D7"/>
    <w:rsid w:val="00054A8D"/>
    <w:rsid w:val="00056ECF"/>
    <w:rsid w:val="000604DF"/>
    <w:rsid w:val="0006067A"/>
    <w:rsid w:val="0006211C"/>
    <w:rsid w:val="00062324"/>
    <w:rsid w:val="000650EC"/>
    <w:rsid w:val="000653B5"/>
    <w:rsid w:val="00066360"/>
    <w:rsid w:val="000669BE"/>
    <w:rsid w:val="00066AF8"/>
    <w:rsid w:val="00070865"/>
    <w:rsid w:val="00071248"/>
    <w:rsid w:val="000720B9"/>
    <w:rsid w:val="00072242"/>
    <w:rsid w:val="00072876"/>
    <w:rsid w:val="000737F7"/>
    <w:rsid w:val="00075016"/>
    <w:rsid w:val="0007541F"/>
    <w:rsid w:val="0007672F"/>
    <w:rsid w:val="00076B54"/>
    <w:rsid w:val="000771E5"/>
    <w:rsid w:val="000774F0"/>
    <w:rsid w:val="00080909"/>
    <w:rsid w:val="000812CA"/>
    <w:rsid w:val="00081E63"/>
    <w:rsid w:val="0008258D"/>
    <w:rsid w:val="00082D78"/>
    <w:rsid w:val="00083E99"/>
    <w:rsid w:val="00084FA8"/>
    <w:rsid w:val="000856C5"/>
    <w:rsid w:val="00085C31"/>
    <w:rsid w:val="000902D9"/>
    <w:rsid w:val="00090561"/>
    <w:rsid w:val="00090C7E"/>
    <w:rsid w:val="00091197"/>
    <w:rsid w:val="000911AC"/>
    <w:rsid w:val="000913E5"/>
    <w:rsid w:val="00092600"/>
    <w:rsid w:val="0009262B"/>
    <w:rsid w:val="00093310"/>
    <w:rsid w:val="0009445C"/>
    <w:rsid w:val="00095200"/>
    <w:rsid w:val="00095FE5"/>
    <w:rsid w:val="00096284"/>
    <w:rsid w:val="00096975"/>
    <w:rsid w:val="00096BC1"/>
    <w:rsid w:val="00097E81"/>
    <w:rsid w:val="000A16CE"/>
    <w:rsid w:val="000A1BC0"/>
    <w:rsid w:val="000A2013"/>
    <w:rsid w:val="000A2F9E"/>
    <w:rsid w:val="000A3E47"/>
    <w:rsid w:val="000A4FD8"/>
    <w:rsid w:val="000A522B"/>
    <w:rsid w:val="000A545C"/>
    <w:rsid w:val="000A6039"/>
    <w:rsid w:val="000A7453"/>
    <w:rsid w:val="000A7D08"/>
    <w:rsid w:val="000B0121"/>
    <w:rsid w:val="000B0670"/>
    <w:rsid w:val="000B0E75"/>
    <w:rsid w:val="000B2DCB"/>
    <w:rsid w:val="000B5CE0"/>
    <w:rsid w:val="000B64E1"/>
    <w:rsid w:val="000B6CAC"/>
    <w:rsid w:val="000B7612"/>
    <w:rsid w:val="000B78AE"/>
    <w:rsid w:val="000C1BD5"/>
    <w:rsid w:val="000C3DF9"/>
    <w:rsid w:val="000C4CF2"/>
    <w:rsid w:val="000C6713"/>
    <w:rsid w:val="000C7C80"/>
    <w:rsid w:val="000D1BFC"/>
    <w:rsid w:val="000D1D5D"/>
    <w:rsid w:val="000D27E7"/>
    <w:rsid w:val="000D281A"/>
    <w:rsid w:val="000D2848"/>
    <w:rsid w:val="000D326A"/>
    <w:rsid w:val="000D4702"/>
    <w:rsid w:val="000D51FB"/>
    <w:rsid w:val="000D5E91"/>
    <w:rsid w:val="000D5FFF"/>
    <w:rsid w:val="000E0640"/>
    <w:rsid w:val="000E135D"/>
    <w:rsid w:val="000E138B"/>
    <w:rsid w:val="000E3ED3"/>
    <w:rsid w:val="000E67B0"/>
    <w:rsid w:val="000E705B"/>
    <w:rsid w:val="000E774F"/>
    <w:rsid w:val="000F00BA"/>
    <w:rsid w:val="000F2637"/>
    <w:rsid w:val="000F316A"/>
    <w:rsid w:val="000F3C74"/>
    <w:rsid w:val="000F4BB8"/>
    <w:rsid w:val="000F4FA9"/>
    <w:rsid w:val="000F4FB7"/>
    <w:rsid w:val="000F53FB"/>
    <w:rsid w:val="000F7127"/>
    <w:rsid w:val="000F718D"/>
    <w:rsid w:val="000F7517"/>
    <w:rsid w:val="000F7AD8"/>
    <w:rsid w:val="000F7B54"/>
    <w:rsid w:val="001000B3"/>
    <w:rsid w:val="00100F8A"/>
    <w:rsid w:val="00101EC8"/>
    <w:rsid w:val="0010452E"/>
    <w:rsid w:val="00104773"/>
    <w:rsid w:val="00105AE2"/>
    <w:rsid w:val="001060C6"/>
    <w:rsid w:val="00106B80"/>
    <w:rsid w:val="0011032E"/>
    <w:rsid w:val="0011348B"/>
    <w:rsid w:val="001146AA"/>
    <w:rsid w:val="0011575E"/>
    <w:rsid w:val="00115982"/>
    <w:rsid w:val="00116C53"/>
    <w:rsid w:val="00117687"/>
    <w:rsid w:val="00121799"/>
    <w:rsid w:val="001222FC"/>
    <w:rsid w:val="00123902"/>
    <w:rsid w:val="00124A51"/>
    <w:rsid w:val="0012512F"/>
    <w:rsid w:val="00126621"/>
    <w:rsid w:val="00126B1D"/>
    <w:rsid w:val="00126B31"/>
    <w:rsid w:val="001301E9"/>
    <w:rsid w:val="00131D82"/>
    <w:rsid w:val="00132A9F"/>
    <w:rsid w:val="00132B22"/>
    <w:rsid w:val="00133D36"/>
    <w:rsid w:val="00134725"/>
    <w:rsid w:val="00137645"/>
    <w:rsid w:val="00137860"/>
    <w:rsid w:val="0014015A"/>
    <w:rsid w:val="00140E99"/>
    <w:rsid w:val="00143F67"/>
    <w:rsid w:val="00145234"/>
    <w:rsid w:val="0014538E"/>
    <w:rsid w:val="00145540"/>
    <w:rsid w:val="001456B0"/>
    <w:rsid w:val="00145BA8"/>
    <w:rsid w:val="0014684F"/>
    <w:rsid w:val="00146FF1"/>
    <w:rsid w:val="0014749F"/>
    <w:rsid w:val="00147EF7"/>
    <w:rsid w:val="0015142F"/>
    <w:rsid w:val="00152BED"/>
    <w:rsid w:val="001547AB"/>
    <w:rsid w:val="00156F8F"/>
    <w:rsid w:val="00157130"/>
    <w:rsid w:val="001576B1"/>
    <w:rsid w:val="0016047B"/>
    <w:rsid w:val="00160A4C"/>
    <w:rsid w:val="001614FC"/>
    <w:rsid w:val="00162913"/>
    <w:rsid w:val="00163EFF"/>
    <w:rsid w:val="00163F66"/>
    <w:rsid w:val="0016441D"/>
    <w:rsid w:val="0016478E"/>
    <w:rsid w:val="00165074"/>
    <w:rsid w:val="00165EC4"/>
    <w:rsid w:val="0016605F"/>
    <w:rsid w:val="001661FB"/>
    <w:rsid w:val="0016681C"/>
    <w:rsid w:val="00166ADC"/>
    <w:rsid w:val="001671A0"/>
    <w:rsid w:val="0016767F"/>
    <w:rsid w:val="00167EA2"/>
    <w:rsid w:val="0017172B"/>
    <w:rsid w:val="001720A9"/>
    <w:rsid w:val="00173565"/>
    <w:rsid w:val="00173B07"/>
    <w:rsid w:val="001751FA"/>
    <w:rsid w:val="001753DA"/>
    <w:rsid w:val="001772BC"/>
    <w:rsid w:val="001800AD"/>
    <w:rsid w:val="001812DC"/>
    <w:rsid w:val="0018191E"/>
    <w:rsid w:val="00181C10"/>
    <w:rsid w:val="00181D9C"/>
    <w:rsid w:val="001837FF"/>
    <w:rsid w:val="00183EE4"/>
    <w:rsid w:val="00184B0E"/>
    <w:rsid w:val="00185960"/>
    <w:rsid w:val="0018752F"/>
    <w:rsid w:val="00192513"/>
    <w:rsid w:val="00193838"/>
    <w:rsid w:val="00194AD8"/>
    <w:rsid w:val="00195222"/>
    <w:rsid w:val="00195452"/>
    <w:rsid w:val="001975D8"/>
    <w:rsid w:val="00197D4D"/>
    <w:rsid w:val="001A01E6"/>
    <w:rsid w:val="001A0976"/>
    <w:rsid w:val="001A0ECC"/>
    <w:rsid w:val="001A178E"/>
    <w:rsid w:val="001A263A"/>
    <w:rsid w:val="001A43FA"/>
    <w:rsid w:val="001A47C5"/>
    <w:rsid w:val="001A5767"/>
    <w:rsid w:val="001A59FB"/>
    <w:rsid w:val="001A5E9E"/>
    <w:rsid w:val="001A6354"/>
    <w:rsid w:val="001A6366"/>
    <w:rsid w:val="001A7A70"/>
    <w:rsid w:val="001A7AE8"/>
    <w:rsid w:val="001B0286"/>
    <w:rsid w:val="001B0E17"/>
    <w:rsid w:val="001B204E"/>
    <w:rsid w:val="001B2198"/>
    <w:rsid w:val="001B2372"/>
    <w:rsid w:val="001B2FBD"/>
    <w:rsid w:val="001B336A"/>
    <w:rsid w:val="001B3443"/>
    <w:rsid w:val="001B397B"/>
    <w:rsid w:val="001B4D20"/>
    <w:rsid w:val="001B6A72"/>
    <w:rsid w:val="001B7F84"/>
    <w:rsid w:val="001C0FBD"/>
    <w:rsid w:val="001C2A9B"/>
    <w:rsid w:val="001C36CF"/>
    <w:rsid w:val="001C3AEA"/>
    <w:rsid w:val="001C3DD6"/>
    <w:rsid w:val="001C4065"/>
    <w:rsid w:val="001C4299"/>
    <w:rsid w:val="001C4874"/>
    <w:rsid w:val="001C49E3"/>
    <w:rsid w:val="001C5F94"/>
    <w:rsid w:val="001C69DF"/>
    <w:rsid w:val="001C6E66"/>
    <w:rsid w:val="001D0998"/>
    <w:rsid w:val="001D1100"/>
    <w:rsid w:val="001D1391"/>
    <w:rsid w:val="001D25D7"/>
    <w:rsid w:val="001D384A"/>
    <w:rsid w:val="001D50B2"/>
    <w:rsid w:val="001D63D6"/>
    <w:rsid w:val="001D699A"/>
    <w:rsid w:val="001D71F4"/>
    <w:rsid w:val="001D7380"/>
    <w:rsid w:val="001D7645"/>
    <w:rsid w:val="001E14D3"/>
    <w:rsid w:val="001E1E86"/>
    <w:rsid w:val="001E238E"/>
    <w:rsid w:val="001E2483"/>
    <w:rsid w:val="001E28FB"/>
    <w:rsid w:val="001E2B1E"/>
    <w:rsid w:val="001E2CFF"/>
    <w:rsid w:val="001E2F24"/>
    <w:rsid w:val="001E30D4"/>
    <w:rsid w:val="001E34DF"/>
    <w:rsid w:val="001E5249"/>
    <w:rsid w:val="001E52EB"/>
    <w:rsid w:val="001E61D2"/>
    <w:rsid w:val="001E6385"/>
    <w:rsid w:val="001E672A"/>
    <w:rsid w:val="001E71DE"/>
    <w:rsid w:val="001E740C"/>
    <w:rsid w:val="001F1235"/>
    <w:rsid w:val="001F1CB3"/>
    <w:rsid w:val="001F3798"/>
    <w:rsid w:val="001F38B5"/>
    <w:rsid w:val="001F3D38"/>
    <w:rsid w:val="001F4081"/>
    <w:rsid w:val="001F63E3"/>
    <w:rsid w:val="001F7361"/>
    <w:rsid w:val="002011B0"/>
    <w:rsid w:val="00201267"/>
    <w:rsid w:val="00203181"/>
    <w:rsid w:val="00203783"/>
    <w:rsid w:val="0020385F"/>
    <w:rsid w:val="00205D5A"/>
    <w:rsid w:val="002068A0"/>
    <w:rsid w:val="00207021"/>
    <w:rsid w:val="0020732F"/>
    <w:rsid w:val="00207D00"/>
    <w:rsid w:val="002105C1"/>
    <w:rsid w:val="00210FF6"/>
    <w:rsid w:val="00210FF7"/>
    <w:rsid w:val="002115A8"/>
    <w:rsid w:val="002116FD"/>
    <w:rsid w:val="00213EF5"/>
    <w:rsid w:val="00216BF5"/>
    <w:rsid w:val="00221A83"/>
    <w:rsid w:val="002224CB"/>
    <w:rsid w:val="00223B49"/>
    <w:rsid w:val="00223D5A"/>
    <w:rsid w:val="00224DD4"/>
    <w:rsid w:val="002278A0"/>
    <w:rsid w:val="002309CC"/>
    <w:rsid w:val="00231BA9"/>
    <w:rsid w:val="0023209F"/>
    <w:rsid w:val="00232BC1"/>
    <w:rsid w:val="00233C01"/>
    <w:rsid w:val="0023413C"/>
    <w:rsid w:val="002346F0"/>
    <w:rsid w:val="0023629D"/>
    <w:rsid w:val="00237255"/>
    <w:rsid w:val="002424AF"/>
    <w:rsid w:val="002439DC"/>
    <w:rsid w:val="002441D2"/>
    <w:rsid w:val="00244DC8"/>
    <w:rsid w:val="002458BA"/>
    <w:rsid w:val="00245CE9"/>
    <w:rsid w:val="0024636C"/>
    <w:rsid w:val="00247925"/>
    <w:rsid w:val="00251006"/>
    <w:rsid w:val="00251884"/>
    <w:rsid w:val="00251F05"/>
    <w:rsid w:val="002524D5"/>
    <w:rsid w:val="00253B1D"/>
    <w:rsid w:val="00253C8C"/>
    <w:rsid w:val="00254DB3"/>
    <w:rsid w:val="00254DCF"/>
    <w:rsid w:val="002551F2"/>
    <w:rsid w:val="0025534B"/>
    <w:rsid w:val="00255BB7"/>
    <w:rsid w:val="00256A7D"/>
    <w:rsid w:val="00257541"/>
    <w:rsid w:val="00257A39"/>
    <w:rsid w:val="00257AC4"/>
    <w:rsid w:val="00257BBE"/>
    <w:rsid w:val="00261EEF"/>
    <w:rsid w:val="00262A1A"/>
    <w:rsid w:val="00262A87"/>
    <w:rsid w:val="00262CF8"/>
    <w:rsid w:val="00263B3E"/>
    <w:rsid w:val="00264D26"/>
    <w:rsid w:val="00267642"/>
    <w:rsid w:val="00267AEA"/>
    <w:rsid w:val="002700E6"/>
    <w:rsid w:val="00270DCE"/>
    <w:rsid w:val="002715E8"/>
    <w:rsid w:val="00272033"/>
    <w:rsid w:val="0027294B"/>
    <w:rsid w:val="00272953"/>
    <w:rsid w:val="00273EB4"/>
    <w:rsid w:val="00274682"/>
    <w:rsid w:val="00275158"/>
    <w:rsid w:val="00275C5A"/>
    <w:rsid w:val="00280F13"/>
    <w:rsid w:val="00281014"/>
    <w:rsid w:val="00285BCE"/>
    <w:rsid w:val="0028665D"/>
    <w:rsid w:val="00291672"/>
    <w:rsid w:val="00292137"/>
    <w:rsid w:val="00295039"/>
    <w:rsid w:val="002954BC"/>
    <w:rsid w:val="002A14AB"/>
    <w:rsid w:val="002A2ADE"/>
    <w:rsid w:val="002A2F50"/>
    <w:rsid w:val="002A403E"/>
    <w:rsid w:val="002A4A2B"/>
    <w:rsid w:val="002A6699"/>
    <w:rsid w:val="002A726F"/>
    <w:rsid w:val="002A7334"/>
    <w:rsid w:val="002A7943"/>
    <w:rsid w:val="002B0171"/>
    <w:rsid w:val="002B05A1"/>
    <w:rsid w:val="002B09A4"/>
    <w:rsid w:val="002B0C68"/>
    <w:rsid w:val="002B128C"/>
    <w:rsid w:val="002B1C1F"/>
    <w:rsid w:val="002B1D56"/>
    <w:rsid w:val="002B432F"/>
    <w:rsid w:val="002B57D5"/>
    <w:rsid w:val="002B61D0"/>
    <w:rsid w:val="002B62B3"/>
    <w:rsid w:val="002B6754"/>
    <w:rsid w:val="002B6CCE"/>
    <w:rsid w:val="002B7023"/>
    <w:rsid w:val="002C0B38"/>
    <w:rsid w:val="002C0F8C"/>
    <w:rsid w:val="002C2510"/>
    <w:rsid w:val="002C2775"/>
    <w:rsid w:val="002C27C1"/>
    <w:rsid w:val="002C31CD"/>
    <w:rsid w:val="002C36E3"/>
    <w:rsid w:val="002C502C"/>
    <w:rsid w:val="002C5099"/>
    <w:rsid w:val="002C5616"/>
    <w:rsid w:val="002C5889"/>
    <w:rsid w:val="002C6914"/>
    <w:rsid w:val="002C6CF7"/>
    <w:rsid w:val="002C71CE"/>
    <w:rsid w:val="002D08F8"/>
    <w:rsid w:val="002D1272"/>
    <w:rsid w:val="002D2012"/>
    <w:rsid w:val="002D42C6"/>
    <w:rsid w:val="002D459F"/>
    <w:rsid w:val="002D4F80"/>
    <w:rsid w:val="002D5648"/>
    <w:rsid w:val="002D577C"/>
    <w:rsid w:val="002D7832"/>
    <w:rsid w:val="002D7C08"/>
    <w:rsid w:val="002E01BC"/>
    <w:rsid w:val="002E0C30"/>
    <w:rsid w:val="002E0D8F"/>
    <w:rsid w:val="002E1071"/>
    <w:rsid w:val="002E15B9"/>
    <w:rsid w:val="002E1DF2"/>
    <w:rsid w:val="002E2158"/>
    <w:rsid w:val="002E27A9"/>
    <w:rsid w:val="002E36B7"/>
    <w:rsid w:val="002E3CBB"/>
    <w:rsid w:val="002E4F02"/>
    <w:rsid w:val="002E7722"/>
    <w:rsid w:val="002F07BA"/>
    <w:rsid w:val="002F0DA9"/>
    <w:rsid w:val="002F1014"/>
    <w:rsid w:val="002F1E3B"/>
    <w:rsid w:val="002F57F8"/>
    <w:rsid w:val="002F643C"/>
    <w:rsid w:val="002F67A5"/>
    <w:rsid w:val="002F71C0"/>
    <w:rsid w:val="002F74F1"/>
    <w:rsid w:val="00301017"/>
    <w:rsid w:val="0030155F"/>
    <w:rsid w:val="003046BE"/>
    <w:rsid w:val="0030587B"/>
    <w:rsid w:val="00306D98"/>
    <w:rsid w:val="003073A4"/>
    <w:rsid w:val="0030786C"/>
    <w:rsid w:val="00307F7D"/>
    <w:rsid w:val="0031031A"/>
    <w:rsid w:val="00310981"/>
    <w:rsid w:val="00311D9B"/>
    <w:rsid w:val="003124D9"/>
    <w:rsid w:val="00312594"/>
    <w:rsid w:val="00315498"/>
    <w:rsid w:val="00316474"/>
    <w:rsid w:val="00320E9C"/>
    <w:rsid w:val="00321249"/>
    <w:rsid w:val="00322107"/>
    <w:rsid w:val="00322355"/>
    <w:rsid w:val="00322846"/>
    <w:rsid w:val="00323409"/>
    <w:rsid w:val="00326DA7"/>
    <w:rsid w:val="003270E4"/>
    <w:rsid w:val="00330DAA"/>
    <w:rsid w:val="00330F5C"/>
    <w:rsid w:val="0033122F"/>
    <w:rsid w:val="00333762"/>
    <w:rsid w:val="0033470C"/>
    <w:rsid w:val="00334FF4"/>
    <w:rsid w:val="003366C9"/>
    <w:rsid w:val="003371B0"/>
    <w:rsid w:val="00340DF1"/>
    <w:rsid w:val="003438E2"/>
    <w:rsid w:val="00345EEC"/>
    <w:rsid w:val="0034644E"/>
    <w:rsid w:val="0034784D"/>
    <w:rsid w:val="0035082C"/>
    <w:rsid w:val="0035131B"/>
    <w:rsid w:val="003517F9"/>
    <w:rsid w:val="00351BA9"/>
    <w:rsid w:val="00354F64"/>
    <w:rsid w:val="00355EA6"/>
    <w:rsid w:val="0035620E"/>
    <w:rsid w:val="003575BE"/>
    <w:rsid w:val="0036012A"/>
    <w:rsid w:val="00360345"/>
    <w:rsid w:val="00361A05"/>
    <w:rsid w:val="003624C4"/>
    <w:rsid w:val="00362AFD"/>
    <w:rsid w:val="00363B00"/>
    <w:rsid w:val="0036400B"/>
    <w:rsid w:val="003654AC"/>
    <w:rsid w:val="003710CF"/>
    <w:rsid w:val="00372968"/>
    <w:rsid w:val="00373575"/>
    <w:rsid w:val="0037358A"/>
    <w:rsid w:val="00374B77"/>
    <w:rsid w:val="003750F6"/>
    <w:rsid w:val="003755C4"/>
    <w:rsid w:val="003760FC"/>
    <w:rsid w:val="00377318"/>
    <w:rsid w:val="00380774"/>
    <w:rsid w:val="00381661"/>
    <w:rsid w:val="00383025"/>
    <w:rsid w:val="0038365C"/>
    <w:rsid w:val="0038369B"/>
    <w:rsid w:val="00383B78"/>
    <w:rsid w:val="00383E32"/>
    <w:rsid w:val="00384EA0"/>
    <w:rsid w:val="00385702"/>
    <w:rsid w:val="00385A9D"/>
    <w:rsid w:val="00385FA7"/>
    <w:rsid w:val="003870EB"/>
    <w:rsid w:val="00387121"/>
    <w:rsid w:val="003902B1"/>
    <w:rsid w:val="00390667"/>
    <w:rsid w:val="0039179C"/>
    <w:rsid w:val="00391F1B"/>
    <w:rsid w:val="00394E7C"/>
    <w:rsid w:val="00395561"/>
    <w:rsid w:val="00396896"/>
    <w:rsid w:val="00396FB0"/>
    <w:rsid w:val="00396FD0"/>
    <w:rsid w:val="003A1A7A"/>
    <w:rsid w:val="003A2392"/>
    <w:rsid w:val="003A2831"/>
    <w:rsid w:val="003A3779"/>
    <w:rsid w:val="003A3CB6"/>
    <w:rsid w:val="003A3ED1"/>
    <w:rsid w:val="003A44DB"/>
    <w:rsid w:val="003A4883"/>
    <w:rsid w:val="003A4C14"/>
    <w:rsid w:val="003B2400"/>
    <w:rsid w:val="003B3971"/>
    <w:rsid w:val="003B4284"/>
    <w:rsid w:val="003B55D1"/>
    <w:rsid w:val="003B5B61"/>
    <w:rsid w:val="003B5F31"/>
    <w:rsid w:val="003B748D"/>
    <w:rsid w:val="003C1654"/>
    <w:rsid w:val="003C266A"/>
    <w:rsid w:val="003C3628"/>
    <w:rsid w:val="003C3FAF"/>
    <w:rsid w:val="003C5542"/>
    <w:rsid w:val="003C68A2"/>
    <w:rsid w:val="003C7C15"/>
    <w:rsid w:val="003C7D19"/>
    <w:rsid w:val="003C7D2F"/>
    <w:rsid w:val="003D019D"/>
    <w:rsid w:val="003D0234"/>
    <w:rsid w:val="003D0C5A"/>
    <w:rsid w:val="003D0F1B"/>
    <w:rsid w:val="003D1828"/>
    <w:rsid w:val="003D19B4"/>
    <w:rsid w:val="003D1DE4"/>
    <w:rsid w:val="003D1E9A"/>
    <w:rsid w:val="003D2422"/>
    <w:rsid w:val="003D27F5"/>
    <w:rsid w:val="003D2980"/>
    <w:rsid w:val="003D2EEC"/>
    <w:rsid w:val="003D39A1"/>
    <w:rsid w:val="003D3DA3"/>
    <w:rsid w:val="003D3FBF"/>
    <w:rsid w:val="003D4A30"/>
    <w:rsid w:val="003D4F04"/>
    <w:rsid w:val="003D639C"/>
    <w:rsid w:val="003D7452"/>
    <w:rsid w:val="003D79BB"/>
    <w:rsid w:val="003D7C98"/>
    <w:rsid w:val="003D7D9D"/>
    <w:rsid w:val="003E0543"/>
    <w:rsid w:val="003E2E4B"/>
    <w:rsid w:val="003E43E0"/>
    <w:rsid w:val="003E53AE"/>
    <w:rsid w:val="003E5603"/>
    <w:rsid w:val="003E749E"/>
    <w:rsid w:val="003F0811"/>
    <w:rsid w:val="003F4156"/>
    <w:rsid w:val="003F5ADF"/>
    <w:rsid w:val="003F5FFB"/>
    <w:rsid w:val="003F62EC"/>
    <w:rsid w:val="003F7279"/>
    <w:rsid w:val="003F7630"/>
    <w:rsid w:val="00400834"/>
    <w:rsid w:val="00400B29"/>
    <w:rsid w:val="00402812"/>
    <w:rsid w:val="00402E93"/>
    <w:rsid w:val="00404E2C"/>
    <w:rsid w:val="0040504B"/>
    <w:rsid w:val="004059F4"/>
    <w:rsid w:val="0040604A"/>
    <w:rsid w:val="00407D28"/>
    <w:rsid w:val="00407FE5"/>
    <w:rsid w:val="004101B0"/>
    <w:rsid w:val="00410326"/>
    <w:rsid w:val="004106A0"/>
    <w:rsid w:val="00410708"/>
    <w:rsid w:val="004109E6"/>
    <w:rsid w:val="00410EC7"/>
    <w:rsid w:val="00411B39"/>
    <w:rsid w:val="00412517"/>
    <w:rsid w:val="004127A7"/>
    <w:rsid w:val="00412F69"/>
    <w:rsid w:val="00413A1E"/>
    <w:rsid w:val="00414476"/>
    <w:rsid w:val="00414C2E"/>
    <w:rsid w:val="00414E27"/>
    <w:rsid w:val="004151CF"/>
    <w:rsid w:val="00416364"/>
    <w:rsid w:val="00416522"/>
    <w:rsid w:val="0042047F"/>
    <w:rsid w:val="00420AA6"/>
    <w:rsid w:val="00420B9F"/>
    <w:rsid w:val="00421751"/>
    <w:rsid w:val="0042192C"/>
    <w:rsid w:val="00422260"/>
    <w:rsid w:val="0042413F"/>
    <w:rsid w:val="004319F8"/>
    <w:rsid w:val="00431E55"/>
    <w:rsid w:val="004321F6"/>
    <w:rsid w:val="00433044"/>
    <w:rsid w:val="00433316"/>
    <w:rsid w:val="00433747"/>
    <w:rsid w:val="00434088"/>
    <w:rsid w:val="00437077"/>
    <w:rsid w:val="004375B9"/>
    <w:rsid w:val="0044141C"/>
    <w:rsid w:val="0044146C"/>
    <w:rsid w:val="004415E4"/>
    <w:rsid w:val="00441850"/>
    <w:rsid w:val="004428D0"/>
    <w:rsid w:val="00444185"/>
    <w:rsid w:val="004443A7"/>
    <w:rsid w:val="0044442C"/>
    <w:rsid w:val="00445941"/>
    <w:rsid w:val="004464EB"/>
    <w:rsid w:val="00447D26"/>
    <w:rsid w:val="00447DFC"/>
    <w:rsid w:val="00451DBA"/>
    <w:rsid w:val="00453253"/>
    <w:rsid w:val="004535F6"/>
    <w:rsid w:val="00453B4A"/>
    <w:rsid w:val="00455D45"/>
    <w:rsid w:val="00461070"/>
    <w:rsid w:val="004615E9"/>
    <w:rsid w:val="00461AD5"/>
    <w:rsid w:val="00464436"/>
    <w:rsid w:val="00464595"/>
    <w:rsid w:val="00464A36"/>
    <w:rsid w:val="004656AE"/>
    <w:rsid w:val="004658B5"/>
    <w:rsid w:val="004708B0"/>
    <w:rsid w:val="00471EA5"/>
    <w:rsid w:val="00471F95"/>
    <w:rsid w:val="00472A79"/>
    <w:rsid w:val="00473F19"/>
    <w:rsid w:val="00475B29"/>
    <w:rsid w:val="00475E22"/>
    <w:rsid w:val="00476B49"/>
    <w:rsid w:val="00477566"/>
    <w:rsid w:val="00477B68"/>
    <w:rsid w:val="004806D7"/>
    <w:rsid w:val="0048088E"/>
    <w:rsid w:val="00480F2B"/>
    <w:rsid w:val="00480FED"/>
    <w:rsid w:val="00481977"/>
    <w:rsid w:val="00482720"/>
    <w:rsid w:val="004835E7"/>
    <w:rsid w:val="0048379A"/>
    <w:rsid w:val="004859E1"/>
    <w:rsid w:val="00485EE8"/>
    <w:rsid w:val="004867E2"/>
    <w:rsid w:val="00486AEC"/>
    <w:rsid w:val="00490B17"/>
    <w:rsid w:val="00491B3A"/>
    <w:rsid w:val="00492AB2"/>
    <w:rsid w:val="00492CFD"/>
    <w:rsid w:val="00493D57"/>
    <w:rsid w:val="00494207"/>
    <w:rsid w:val="00494DD5"/>
    <w:rsid w:val="00494F0C"/>
    <w:rsid w:val="004962D2"/>
    <w:rsid w:val="004A0DA1"/>
    <w:rsid w:val="004A13D6"/>
    <w:rsid w:val="004A30FC"/>
    <w:rsid w:val="004A4A37"/>
    <w:rsid w:val="004A52E9"/>
    <w:rsid w:val="004A6040"/>
    <w:rsid w:val="004A6597"/>
    <w:rsid w:val="004A7848"/>
    <w:rsid w:val="004A793B"/>
    <w:rsid w:val="004B1CB4"/>
    <w:rsid w:val="004B2F18"/>
    <w:rsid w:val="004B3205"/>
    <w:rsid w:val="004B3DDB"/>
    <w:rsid w:val="004B44FD"/>
    <w:rsid w:val="004B5CFC"/>
    <w:rsid w:val="004B6617"/>
    <w:rsid w:val="004B6F79"/>
    <w:rsid w:val="004B774D"/>
    <w:rsid w:val="004C04CA"/>
    <w:rsid w:val="004C0D9B"/>
    <w:rsid w:val="004C192C"/>
    <w:rsid w:val="004C2AC2"/>
    <w:rsid w:val="004C4AED"/>
    <w:rsid w:val="004C7FC0"/>
    <w:rsid w:val="004D045F"/>
    <w:rsid w:val="004D1CDD"/>
    <w:rsid w:val="004D2C2D"/>
    <w:rsid w:val="004D69B5"/>
    <w:rsid w:val="004D6A0C"/>
    <w:rsid w:val="004D7227"/>
    <w:rsid w:val="004D7B5E"/>
    <w:rsid w:val="004E0E7F"/>
    <w:rsid w:val="004E0EB8"/>
    <w:rsid w:val="004E18E9"/>
    <w:rsid w:val="004E2ADC"/>
    <w:rsid w:val="004E2EB1"/>
    <w:rsid w:val="004E41DE"/>
    <w:rsid w:val="004E43B2"/>
    <w:rsid w:val="004E71C0"/>
    <w:rsid w:val="004F1D02"/>
    <w:rsid w:val="004F1EF8"/>
    <w:rsid w:val="004F2679"/>
    <w:rsid w:val="004F2908"/>
    <w:rsid w:val="004F2F21"/>
    <w:rsid w:val="004F373F"/>
    <w:rsid w:val="004F3DE5"/>
    <w:rsid w:val="004F3EF3"/>
    <w:rsid w:val="004F6913"/>
    <w:rsid w:val="004F7865"/>
    <w:rsid w:val="00501183"/>
    <w:rsid w:val="0050174E"/>
    <w:rsid w:val="00501854"/>
    <w:rsid w:val="0050219B"/>
    <w:rsid w:val="00502A8F"/>
    <w:rsid w:val="00503D01"/>
    <w:rsid w:val="00503F17"/>
    <w:rsid w:val="00503F3A"/>
    <w:rsid w:val="00505CBA"/>
    <w:rsid w:val="00506928"/>
    <w:rsid w:val="00507364"/>
    <w:rsid w:val="005077EF"/>
    <w:rsid w:val="00507E02"/>
    <w:rsid w:val="00510DC6"/>
    <w:rsid w:val="00511224"/>
    <w:rsid w:val="00511AD5"/>
    <w:rsid w:val="00511DC7"/>
    <w:rsid w:val="00511F93"/>
    <w:rsid w:val="00512200"/>
    <w:rsid w:val="005130A8"/>
    <w:rsid w:val="005142C5"/>
    <w:rsid w:val="00514796"/>
    <w:rsid w:val="0051501B"/>
    <w:rsid w:val="005152B5"/>
    <w:rsid w:val="00515886"/>
    <w:rsid w:val="00516730"/>
    <w:rsid w:val="00517416"/>
    <w:rsid w:val="0052123C"/>
    <w:rsid w:val="00521319"/>
    <w:rsid w:val="00522BC8"/>
    <w:rsid w:val="005234C7"/>
    <w:rsid w:val="00523653"/>
    <w:rsid w:val="00523C28"/>
    <w:rsid w:val="00523D8A"/>
    <w:rsid w:val="005243F0"/>
    <w:rsid w:val="0052557C"/>
    <w:rsid w:val="005256DD"/>
    <w:rsid w:val="00530EE9"/>
    <w:rsid w:val="005312D1"/>
    <w:rsid w:val="0053176B"/>
    <w:rsid w:val="00531D75"/>
    <w:rsid w:val="0053384E"/>
    <w:rsid w:val="005341B3"/>
    <w:rsid w:val="0053621E"/>
    <w:rsid w:val="00536F42"/>
    <w:rsid w:val="00537182"/>
    <w:rsid w:val="00541EDD"/>
    <w:rsid w:val="00542743"/>
    <w:rsid w:val="00542877"/>
    <w:rsid w:val="00542C2D"/>
    <w:rsid w:val="005478BD"/>
    <w:rsid w:val="005479E3"/>
    <w:rsid w:val="00551371"/>
    <w:rsid w:val="00551985"/>
    <w:rsid w:val="00552BD3"/>
    <w:rsid w:val="005532A0"/>
    <w:rsid w:val="00555109"/>
    <w:rsid w:val="00555439"/>
    <w:rsid w:val="005555FD"/>
    <w:rsid w:val="00556B35"/>
    <w:rsid w:val="00556D82"/>
    <w:rsid w:val="0055741A"/>
    <w:rsid w:val="00561060"/>
    <w:rsid w:val="005611B7"/>
    <w:rsid w:val="005618D4"/>
    <w:rsid w:val="00562EB5"/>
    <w:rsid w:val="005647A9"/>
    <w:rsid w:val="00564867"/>
    <w:rsid w:val="00565C79"/>
    <w:rsid w:val="00565DF0"/>
    <w:rsid w:val="0056696F"/>
    <w:rsid w:val="00566FDB"/>
    <w:rsid w:val="00567CA5"/>
    <w:rsid w:val="00572269"/>
    <w:rsid w:val="0057244A"/>
    <w:rsid w:val="00572F26"/>
    <w:rsid w:val="00574EC5"/>
    <w:rsid w:val="005750C5"/>
    <w:rsid w:val="005752DE"/>
    <w:rsid w:val="00575D60"/>
    <w:rsid w:val="00575D8D"/>
    <w:rsid w:val="005761A2"/>
    <w:rsid w:val="00576972"/>
    <w:rsid w:val="00576C37"/>
    <w:rsid w:val="00577248"/>
    <w:rsid w:val="00583699"/>
    <w:rsid w:val="005848E9"/>
    <w:rsid w:val="00585CDD"/>
    <w:rsid w:val="00586AB5"/>
    <w:rsid w:val="00587058"/>
    <w:rsid w:val="00591957"/>
    <w:rsid w:val="00593309"/>
    <w:rsid w:val="00597BF9"/>
    <w:rsid w:val="00597E84"/>
    <w:rsid w:val="00597EBD"/>
    <w:rsid w:val="005A086E"/>
    <w:rsid w:val="005A0C11"/>
    <w:rsid w:val="005A309A"/>
    <w:rsid w:val="005A373D"/>
    <w:rsid w:val="005A47C0"/>
    <w:rsid w:val="005A4A56"/>
    <w:rsid w:val="005A4AE3"/>
    <w:rsid w:val="005A7919"/>
    <w:rsid w:val="005B0B58"/>
    <w:rsid w:val="005B2FBD"/>
    <w:rsid w:val="005B4E53"/>
    <w:rsid w:val="005B57AF"/>
    <w:rsid w:val="005B5857"/>
    <w:rsid w:val="005B5A58"/>
    <w:rsid w:val="005B5B8F"/>
    <w:rsid w:val="005C1556"/>
    <w:rsid w:val="005C19C4"/>
    <w:rsid w:val="005C1B83"/>
    <w:rsid w:val="005C25FF"/>
    <w:rsid w:val="005C2B43"/>
    <w:rsid w:val="005C2D55"/>
    <w:rsid w:val="005C3467"/>
    <w:rsid w:val="005C346B"/>
    <w:rsid w:val="005C5ABC"/>
    <w:rsid w:val="005D044D"/>
    <w:rsid w:val="005D0537"/>
    <w:rsid w:val="005D0ABD"/>
    <w:rsid w:val="005D18AD"/>
    <w:rsid w:val="005D26B4"/>
    <w:rsid w:val="005D3F98"/>
    <w:rsid w:val="005E1995"/>
    <w:rsid w:val="005E3C00"/>
    <w:rsid w:val="005E5D01"/>
    <w:rsid w:val="005E6CBC"/>
    <w:rsid w:val="005E72FF"/>
    <w:rsid w:val="005E73C0"/>
    <w:rsid w:val="005F07ED"/>
    <w:rsid w:val="005F2706"/>
    <w:rsid w:val="005F2F4C"/>
    <w:rsid w:val="005F4008"/>
    <w:rsid w:val="005F4E2C"/>
    <w:rsid w:val="005F514F"/>
    <w:rsid w:val="005F6A8F"/>
    <w:rsid w:val="005F6BB7"/>
    <w:rsid w:val="005F71DB"/>
    <w:rsid w:val="005F7588"/>
    <w:rsid w:val="00602C52"/>
    <w:rsid w:val="00603DB9"/>
    <w:rsid w:val="006056E6"/>
    <w:rsid w:val="00606FBA"/>
    <w:rsid w:val="00607669"/>
    <w:rsid w:val="006076F4"/>
    <w:rsid w:val="00607AFD"/>
    <w:rsid w:val="006113F9"/>
    <w:rsid w:val="00611B12"/>
    <w:rsid w:val="00612F97"/>
    <w:rsid w:val="0061345D"/>
    <w:rsid w:val="0061549B"/>
    <w:rsid w:val="00616802"/>
    <w:rsid w:val="006177E9"/>
    <w:rsid w:val="00617E12"/>
    <w:rsid w:val="00620465"/>
    <w:rsid w:val="00620C25"/>
    <w:rsid w:val="00621477"/>
    <w:rsid w:val="00621ADA"/>
    <w:rsid w:val="006235C4"/>
    <w:rsid w:val="00623C16"/>
    <w:rsid w:val="00623F7B"/>
    <w:rsid w:val="006242A6"/>
    <w:rsid w:val="00624BD4"/>
    <w:rsid w:val="00626528"/>
    <w:rsid w:val="006269E6"/>
    <w:rsid w:val="00630E75"/>
    <w:rsid w:val="0063158F"/>
    <w:rsid w:val="00631D6B"/>
    <w:rsid w:val="00632183"/>
    <w:rsid w:val="00632321"/>
    <w:rsid w:val="006330A1"/>
    <w:rsid w:val="0063479F"/>
    <w:rsid w:val="006353F0"/>
    <w:rsid w:val="006357B5"/>
    <w:rsid w:val="006364A1"/>
    <w:rsid w:val="0063678E"/>
    <w:rsid w:val="00637BFD"/>
    <w:rsid w:val="00637C5C"/>
    <w:rsid w:val="00641C4E"/>
    <w:rsid w:val="00641FB3"/>
    <w:rsid w:val="006436D8"/>
    <w:rsid w:val="0064434C"/>
    <w:rsid w:val="006467B9"/>
    <w:rsid w:val="006471CC"/>
    <w:rsid w:val="006472FE"/>
    <w:rsid w:val="00647639"/>
    <w:rsid w:val="00647A29"/>
    <w:rsid w:val="00647ED3"/>
    <w:rsid w:val="0065079F"/>
    <w:rsid w:val="00652A28"/>
    <w:rsid w:val="0065379F"/>
    <w:rsid w:val="00656188"/>
    <w:rsid w:val="0065696E"/>
    <w:rsid w:val="0065715A"/>
    <w:rsid w:val="006610F1"/>
    <w:rsid w:val="00661C6B"/>
    <w:rsid w:val="00662D3E"/>
    <w:rsid w:val="00667BE3"/>
    <w:rsid w:val="006708CF"/>
    <w:rsid w:val="00671004"/>
    <w:rsid w:val="00672646"/>
    <w:rsid w:val="00674E42"/>
    <w:rsid w:val="00676563"/>
    <w:rsid w:val="00676A14"/>
    <w:rsid w:val="006800E6"/>
    <w:rsid w:val="00680A5B"/>
    <w:rsid w:val="006813F8"/>
    <w:rsid w:val="00681796"/>
    <w:rsid w:val="00681D78"/>
    <w:rsid w:val="00682112"/>
    <w:rsid w:val="00682BA6"/>
    <w:rsid w:val="00682D6F"/>
    <w:rsid w:val="00683797"/>
    <w:rsid w:val="00686957"/>
    <w:rsid w:val="006872BA"/>
    <w:rsid w:val="00690795"/>
    <w:rsid w:val="00690E93"/>
    <w:rsid w:val="00691648"/>
    <w:rsid w:val="006917D7"/>
    <w:rsid w:val="0069368A"/>
    <w:rsid w:val="0069434C"/>
    <w:rsid w:val="00694F44"/>
    <w:rsid w:val="00695D16"/>
    <w:rsid w:val="00696EF9"/>
    <w:rsid w:val="00696F51"/>
    <w:rsid w:val="006979A5"/>
    <w:rsid w:val="006A016F"/>
    <w:rsid w:val="006A0DF7"/>
    <w:rsid w:val="006A0F8B"/>
    <w:rsid w:val="006A3030"/>
    <w:rsid w:val="006A4321"/>
    <w:rsid w:val="006A43D9"/>
    <w:rsid w:val="006A448E"/>
    <w:rsid w:val="006A4731"/>
    <w:rsid w:val="006A488C"/>
    <w:rsid w:val="006A6B99"/>
    <w:rsid w:val="006A7E5F"/>
    <w:rsid w:val="006B261B"/>
    <w:rsid w:val="006B2C90"/>
    <w:rsid w:val="006B35E6"/>
    <w:rsid w:val="006B444C"/>
    <w:rsid w:val="006B465A"/>
    <w:rsid w:val="006B6DD0"/>
    <w:rsid w:val="006B6EA5"/>
    <w:rsid w:val="006C0399"/>
    <w:rsid w:val="006C2774"/>
    <w:rsid w:val="006C2A8E"/>
    <w:rsid w:val="006C3255"/>
    <w:rsid w:val="006C3F26"/>
    <w:rsid w:val="006C5402"/>
    <w:rsid w:val="006C6E3D"/>
    <w:rsid w:val="006C7AA7"/>
    <w:rsid w:val="006D0D17"/>
    <w:rsid w:val="006D11D4"/>
    <w:rsid w:val="006D3C7D"/>
    <w:rsid w:val="006D4659"/>
    <w:rsid w:val="006D5D5F"/>
    <w:rsid w:val="006D68FB"/>
    <w:rsid w:val="006E0EA8"/>
    <w:rsid w:val="006E2868"/>
    <w:rsid w:val="006E2EEB"/>
    <w:rsid w:val="006E4490"/>
    <w:rsid w:val="006E6573"/>
    <w:rsid w:val="006E67B3"/>
    <w:rsid w:val="006F306C"/>
    <w:rsid w:val="006F60A5"/>
    <w:rsid w:val="006F61BA"/>
    <w:rsid w:val="006F63A5"/>
    <w:rsid w:val="0070142B"/>
    <w:rsid w:val="00701FC2"/>
    <w:rsid w:val="0070276E"/>
    <w:rsid w:val="0070292C"/>
    <w:rsid w:val="00702F8F"/>
    <w:rsid w:val="007079FC"/>
    <w:rsid w:val="00710594"/>
    <w:rsid w:val="00711A36"/>
    <w:rsid w:val="007125D3"/>
    <w:rsid w:val="00713701"/>
    <w:rsid w:val="00714C26"/>
    <w:rsid w:val="0071529C"/>
    <w:rsid w:val="00716C94"/>
    <w:rsid w:val="007170DA"/>
    <w:rsid w:val="007172AD"/>
    <w:rsid w:val="00717546"/>
    <w:rsid w:val="00720245"/>
    <w:rsid w:val="00720801"/>
    <w:rsid w:val="0072130F"/>
    <w:rsid w:val="0072229E"/>
    <w:rsid w:val="00722B1B"/>
    <w:rsid w:val="00723B58"/>
    <w:rsid w:val="0072416F"/>
    <w:rsid w:val="00724977"/>
    <w:rsid w:val="00727C94"/>
    <w:rsid w:val="00731A73"/>
    <w:rsid w:val="00731B0A"/>
    <w:rsid w:val="00731EAE"/>
    <w:rsid w:val="00732984"/>
    <w:rsid w:val="00733073"/>
    <w:rsid w:val="00733A27"/>
    <w:rsid w:val="00735033"/>
    <w:rsid w:val="00735328"/>
    <w:rsid w:val="0073537F"/>
    <w:rsid w:val="0073685B"/>
    <w:rsid w:val="007378E2"/>
    <w:rsid w:val="00741354"/>
    <w:rsid w:val="0074176C"/>
    <w:rsid w:val="007419FE"/>
    <w:rsid w:val="00743102"/>
    <w:rsid w:val="00743EDD"/>
    <w:rsid w:val="0074442E"/>
    <w:rsid w:val="007449BF"/>
    <w:rsid w:val="00744A57"/>
    <w:rsid w:val="007463FE"/>
    <w:rsid w:val="00746BC0"/>
    <w:rsid w:val="007510B4"/>
    <w:rsid w:val="00752142"/>
    <w:rsid w:val="0075229F"/>
    <w:rsid w:val="007523F9"/>
    <w:rsid w:val="0075357E"/>
    <w:rsid w:val="00753B29"/>
    <w:rsid w:val="00756001"/>
    <w:rsid w:val="007573E8"/>
    <w:rsid w:val="00760052"/>
    <w:rsid w:val="00760C4E"/>
    <w:rsid w:val="00760F9E"/>
    <w:rsid w:val="007616E6"/>
    <w:rsid w:val="007627BE"/>
    <w:rsid w:val="00762BEA"/>
    <w:rsid w:val="0076384B"/>
    <w:rsid w:val="00764A1F"/>
    <w:rsid w:val="00764F03"/>
    <w:rsid w:val="00765B1A"/>
    <w:rsid w:val="00765DC1"/>
    <w:rsid w:val="00767875"/>
    <w:rsid w:val="00771818"/>
    <w:rsid w:val="00772C3E"/>
    <w:rsid w:val="00772DE6"/>
    <w:rsid w:val="00776687"/>
    <w:rsid w:val="00777335"/>
    <w:rsid w:val="00777550"/>
    <w:rsid w:val="00777CB6"/>
    <w:rsid w:val="007801C2"/>
    <w:rsid w:val="00780BA6"/>
    <w:rsid w:val="007843F2"/>
    <w:rsid w:val="007846FA"/>
    <w:rsid w:val="00785A9F"/>
    <w:rsid w:val="00786E51"/>
    <w:rsid w:val="007925DF"/>
    <w:rsid w:val="0079260E"/>
    <w:rsid w:val="007A08AA"/>
    <w:rsid w:val="007A0A12"/>
    <w:rsid w:val="007A0D65"/>
    <w:rsid w:val="007A12C4"/>
    <w:rsid w:val="007A132D"/>
    <w:rsid w:val="007A1345"/>
    <w:rsid w:val="007A2119"/>
    <w:rsid w:val="007A2376"/>
    <w:rsid w:val="007A2DDB"/>
    <w:rsid w:val="007A472F"/>
    <w:rsid w:val="007A4D8D"/>
    <w:rsid w:val="007A6003"/>
    <w:rsid w:val="007A70BA"/>
    <w:rsid w:val="007B0D68"/>
    <w:rsid w:val="007B0FED"/>
    <w:rsid w:val="007B251D"/>
    <w:rsid w:val="007B3533"/>
    <w:rsid w:val="007B49C9"/>
    <w:rsid w:val="007B4F58"/>
    <w:rsid w:val="007B528D"/>
    <w:rsid w:val="007B5E7D"/>
    <w:rsid w:val="007B63CA"/>
    <w:rsid w:val="007B6534"/>
    <w:rsid w:val="007B77D1"/>
    <w:rsid w:val="007C07C7"/>
    <w:rsid w:val="007C1B54"/>
    <w:rsid w:val="007C1CD9"/>
    <w:rsid w:val="007C3152"/>
    <w:rsid w:val="007C32EF"/>
    <w:rsid w:val="007C361D"/>
    <w:rsid w:val="007C3EE9"/>
    <w:rsid w:val="007C4A2A"/>
    <w:rsid w:val="007C4B84"/>
    <w:rsid w:val="007C676B"/>
    <w:rsid w:val="007C70FF"/>
    <w:rsid w:val="007C7C25"/>
    <w:rsid w:val="007D004F"/>
    <w:rsid w:val="007D035F"/>
    <w:rsid w:val="007D06B2"/>
    <w:rsid w:val="007D0B38"/>
    <w:rsid w:val="007D25C9"/>
    <w:rsid w:val="007D4E6D"/>
    <w:rsid w:val="007D5440"/>
    <w:rsid w:val="007D6471"/>
    <w:rsid w:val="007D69EB"/>
    <w:rsid w:val="007D7FFE"/>
    <w:rsid w:val="007E0CA1"/>
    <w:rsid w:val="007E128F"/>
    <w:rsid w:val="007E5BBB"/>
    <w:rsid w:val="007E68FA"/>
    <w:rsid w:val="007E7DEC"/>
    <w:rsid w:val="007F1017"/>
    <w:rsid w:val="007F391F"/>
    <w:rsid w:val="007F4A3F"/>
    <w:rsid w:val="007F4A61"/>
    <w:rsid w:val="007F4B20"/>
    <w:rsid w:val="007F5255"/>
    <w:rsid w:val="007F56CC"/>
    <w:rsid w:val="007F61C2"/>
    <w:rsid w:val="007F68EF"/>
    <w:rsid w:val="00801702"/>
    <w:rsid w:val="00802967"/>
    <w:rsid w:val="0080318D"/>
    <w:rsid w:val="008045FB"/>
    <w:rsid w:val="008050A1"/>
    <w:rsid w:val="00805142"/>
    <w:rsid w:val="00805FCE"/>
    <w:rsid w:val="00807A8B"/>
    <w:rsid w:val="00810D38"/>
    <w:rsid w:val="00811383"/>
    <w:rsid w:val="00812149"/>
    <w:rsid w:val="008128EA"/>
    <w:rsid w:val="00812CAC"/>
    <w:rsid w:val="00813B15"/>
    <w:rsid w:val="0081446E"/>
    <w:rsid w:val="00816361"/>
    <w:rsid w:val="008166EF"/>
    <w:rsid w:val="00816FEF"/>
    <w:rsid w:val="00817C86"/>
    <w:rsid w:val="00820A8C"/>
    <w:rsid w:val="00820EAC"/>
    <w:rsid w:val="00821530"/>
    <w:rsid w:val="008215FB"/>
    <w:rsid w:val="00821B92"/>
    <w:rsid w:val="008220CC"/>
    <w:rsid w:val="00822AA6"/>
    <w:rsid w:val="00823174"/>
    <w:rsid w:val="00825751"/>
    <w:rsid w:val="00826332"/>
    <w:rsid w:val="008264EB"/>
    <w:rsid w:val="008268CE"/>
    <w:rsid w:val="00827C23"/>
    <w:rsid w:val="00831F9C"/>
    <w:rsid w:val="00833B05"/>
    <w:rsid w:val="008362B4"/>
    <w:rsid w:val="00840CA2"/>
    <w:rsid w:val="0084299E"/>
    <w:rsid w:val="008433BD"/>
    <w:rsid w:val="0084374F"/>
    <w:rsid w:val="00844A22"/>
    <w:rsid w:val="00845C6A"/>
    <w:rsid w:val="0084646B"/>
    <w:rsid w:val="00846CB5"/>
    <w:rsid w:val="008471BC"/>
    <w:rsid w:val="00847703"/>
    <w:rsid w:val="00847DF5"/>
    <w:rsid w:val="008505FE"/>
    <w:rsid w:val="00850D0A"/>
    <w:rsid w:val="00851AD9"/>
    <w:rsid w:val="0085309D"/>
    <w:rsid w:val="0085313F"/>
    <w:rsid w:val="0085608A"/>
    <w:rsid w:val="00856897"/>
    <w:rsid w:val="00856E9A"/>
    <w:rsid w:val="0086075D"/>
    <w:rsid w:val="00862502"/>
    <w:rsid w:val="00862CC1"/>
    <w:rsid w:val="0086309B"/>
    <w:rsid w:val="008642A7"/>
    <w:rsid w:val="0086478E"/>
    <w:rsid w:val="0086523D"/>
    <w:rsid w:val="008660D4"/>
    <w:rsid w:val="00867000"/>
    <w:rsid w:val="00870BEE"/>
    <w:rsid w:val="00871FA9"/>
    <w:rsid w:val="008728E9"/>
    <w:rsid w:val="00880973"/>
    <w:rsid w:val="00882874"/>
    <w:rsid w:val="00882E3C"/>
    <w:rsid w:val="0088308A"/>
    <w:rsid w:val="00883787"/>
    <w:rsid w:val="008855E4"/>
    <w:rsid w:val="00886CD2"/>
    <w:rsid w:val="0088754E"/>
    <w:rsid w:val="00890926"/>
    <w:rsid w:val="00891E6F"/>
    <w:rsid w:val="00892066"/>
    <w:rsid w:val="008923FC"/>
    <w:rsid w:val="0089275D"/>
    <w:rsid w:val="00892A36"/>
    <w:rsid w:val="00893239"/>
    <w:rsid w:val="008936CB"/>
    <w:rsid w:val="00893BEE"/>
    <w:rsid w:val="00894489"/>
    <w:rsid w:val="00894CD6"/>
    <w:rsid w:val="00895143"/>
    <w:rsid w:val="008963A5"/>
    <w:rsid w:val="00896D5D"/>
    <w:rsid w:val="00897F0F"/>
    <w:rsid w:val="008A3158"/>
    <w:rsid w:val="008A3363"/>
    <w:rsid w:val="008A3371"/>
    <w:rsid w:val="008A3C3E"/>
    <w:rsid w:val="008A4009"/>
    <w:rsid w:val="008A4A9A"/>
    <w:rsid w:val="008A664A"/>
    <w:rsid w:val="008A6816"/>
    <w:rsid w:val="008A73E9"/>
    <w:rsid w:val="008A7508"/>
    <w:rsid w:val="008A79DE"/>
    <w:rsid w:val="008B1757"/>
    <w:rsid w:val="008B1C33"/>
    <w:rsid w:val="008B222A"/>
    <w:rsid w:val="008B4B6F"/>
    <w:rsid w:val="008B4BDC"/>
    <w:rsid w:val="008B7992"/>
    <w:rsid w:val="008B7D7E"/>
    <w:rsid w:val="008C28E4"/>
    <w:rsid w:val="008C3C99"/>
    <w:rsid w:val="008C5610"/>
    <w:rsid w:val="008C5739"/>
    <w:rsid w:val="008C7282"/>
    <w:rsid w:val="008C7568"/>
    <w:rsid w:val="008C7ECB"/>
    <w:rsid w:val="008D16C4"/>
    <w:rsid w:val="008D1FAB"/>
    <w:rsid w:val="008D27F1"/>
    <w:rsid w:val="008D2EC8"/>
    <w:rsid w:val="008D3132"/>
    <w:rsid w:val="008D3B86"/>
    <w:rsid w:val="008D43FD"/>
    <w:rsid w:val="008D4755"/>
    <w:rsid w:val="008D4C3D"/>
    <w:rsid w:val="008D5855"/>
    <w:rsid w:val="008D743C"/>
    <w:rsid w:val="008E0D3C"/>
    <w:rsid w:val="008E11A3"/>
    <w:rsid w:val="008E150E"/>
    <w:rsid w:val="008E1B9E"/>
    <w:rsid w:val="008E2A73"/>
    <w:rsid w:val="008E55AB"/>
    <w:rsid w:val="008E5B90"/>
    <w:rsid w:val="008E684B"/>
    <w:rsid w:val="008E7123"/>
    <w:rsid w:val="008F120A"/>
    <w:rsid w:val="008F27E0"/>
    <w:rsid w:val="008F48EB"/>
    <w:rsid w:val="008F4F0B"/>
    <w:rsid w:val="00900AEF"/>
    <w:rsid w:val="009046C4"/>
    <w:rsid w:val="0090544A"/>
    <w:rsid w:val="009055C5"/>
    <w:rsid w:val="009062A5"/>
    <w:rsid w:val="0090658A"/>
    <w:rsid w:val="00907699"/>
    <w:rsid w:val="00910CF2"/>
    <w:rsid w:val="00910FA7"/>
    <w:rsid w:val="00911272"/>
    <w:rsid w:val="00911339"/>
    <w:rsid w:val="00912E2B"/>
    <w:rsid w:val="009135D6"/>
    <w:rsid w:val="00914C77"/>
    <w:rsid w:val="00917AED"/>
    <w:rsid w:val="00917DAD"/>
    <w:rsid w:val="0092097E"/>
    <w:rsid w:val="00921623"/>
    <w:rsid w:val="00921ACB"/>
    <w:rsid w:val="0092369B"/>
    <w:rsid w:val="00933BEA"/>
    <w:rsid w:val="00933C1C"/>
    <w:rsid w:val="00934849"/>
    <w:rsid w:val="00934988"/>
    <w:rsid w:val="00935476"/>
    <w:rsid w:val="00936AC6"/>
    <w:rsid w:val="00937089"/>
    <w:rsid w:val="00944F8A"/>
    <w:rsid w:val="00945FF7"/>
    <w:rsid w:val="0094716B"/>
    <w:rsid w:val="009510A2"/>
    <w:rsid w:val="00953257"/>
    <w:rsid w:val="0095474C"/>
    <w:rsid w:val="00955377"/>
    <w:rsid w:val="00957D92"/>
    <w:rsid w:val="00961523"/>
    <w:rsid w:val="009616A2"/>
    <w:rsid w:val="00961BEE"/>
    <w:rsid w:val="00962CB9"/>
    <w:rsid w:val="0096369D"/>
    <w:rsid w:val="00964312"/>
    <w:rsid w:val="00965B8A"/>
    <w:rsid w:val="009700D7"/>
    <w:rsid w:val="0097071F"/>
    <w:rsid w:val="00970F39"/>
    <w:rsid w:val="009717AC"/>
    <w:rsid w:val="00972DCE"/>
    <w:rsid w:val="00974CFA"/>
    <w:rsid w:val="009751C1"/>
    <w:rsid w:val="00975BB9"/>
    <w:rsid w:val="0097685D"/>
    <w:rsid w:val="00977130"/>
    <w:rsid w:val="00977C7B"/>
    <w:rsid w:val="009811F1"/>
    <w:rsid w:val="00983780"/>
    <w:rsid w:val="00983E57"/>
    <w:rsid w:val="00985B98"/>
    <w:rsid w:val="00985D96"/>
    <w:rsid w:val="00985DE2"/>
    <w:rsid w:val="0098675D"/>
    <w:rsid w:val="00987AB7"/>
    <w:rsid w:val="00987BA4"/>
    <w:rsid w:val="00987CEF"/>
    <w:rsid w:val="009926E0"/>
    <w:rsid w:val="00993C03"/>
    <w:rsid w:val="00994132"/>
    <w:rsid w:val="0099451E"/>
    <w:rsid w:val="0099523E"/>
    <w:rsid w:val="00996B1A"/>
    <w:rsid w:val="009A18F6"/>
    <w:rsid w:val="009A2DCC"/>
    <w:rsid w:val="009A43F5"/>
    <w:rsid w:val="009A5ABC"/>
    <w:rsid w:val="009A5C5D"/>
    <w:rsid w:val="009A71DA"/>
    <w:rsid w:val="009A7F10"/>
    <w:rsid w:val="009B0821"/>
    <w:rsid w:val="009B3E26"/>
    <w:rsid w:val="009B66A6"/>
    <w:rsid w:val="009B6E77"/>
    <w:rsid w:val="009C1271"/>
    <w:rsid w:val="009C3706"/>
    <w:rsid w:val="009C3A3A"/>
    <w:rsid w:val="009C55EC"/>
    <w:rsid w:val="009C5AD8"/>
    <w:rsid w:val="009C613B"/>
    <w:rsid w:val="009C6BF9"/>
    <w:rsid w:val="009C6CEA"/>
    <w:rsid w:val="009C7B85"/>
    <w:rsid w:val="009D0254"/>
    <w:rsid w:val="009D1A64"/>
    <w:rsid w:val="009D4D7A"/>
    <w:rsid w:val="009D5B91"/>
    <w:rsid w:val="009D792E"/>
    <w:rsid w:val="009E0DFE"/>
    <w:rsid w:val="009E31F6"/>
    <w:rsid w:val="009E3792"/>
    <w:rsid w:val="009E3CBA"/>
    <w:rsid w:val="009E3E07"/>
    <w:rsid w:val="009E4A85"/>
    <w:rsid w:val="009E4C07"/>
    <w:rsid w:val="009E57BC"/>
    <w:rsid w:val="009E5E82"/>
    <w:rsid w:val="009E777F"/>
    <w:rsid w:val="009F0411"/>
    <w:rsid w:val="009F3EAF"/>
    <w:rsid w:val="009F6120"/>
    <w:rsid w:val="00A0057B"/>
    <w:rsid w:val="00A00D76"/>
    <w:rsid w:val="00A010E8"/>
    <w:rsid w:val="00A01184"/>
    <w:rsid w:val="00A01449"/>
    <w:rsid w:val="00A037C2"/>
    <w:rsid w:val="00A03D43"/>
    <w:rsid w:val="00A04380"/>
    <w:rsid w:val="00A04786"/>
    <w:rsid w:val="00A05472"/>
    <w:rsid w:val="00A05C32"/>
    <w:rsid w:val="00A05E81"/>
    <w:rsid w:val="00A05EB2"/>
    <w:rsid w:val="00A05ED4"/>
    <w:rsid w:val="00A0653F"/>
    <w:rsid w:val="00A11CD0"/>
    <w:rsid w:val="00A11FF6"/>
    <w:rsid w:val="00A13948"/>
    <w:rsid w:val="00A14354"/>
    <w:rsid w:val="00A14744"/>
    <w:rsid w:val="00A1555B"/>
    <w:rsid w:val="00A155C5"/>
    <w:rsid w:val="00A158ED"/>
    <w:rsid w:val="00A16AD8"/>
    <w:rsid w:val="00A2021E"/>
    <w:rsid w:val="00A20CA1"/>
    <w:rsid w:val="00A21C95"/>
    <w:rsid w:val="00A21CF3"/>
    <w:rsid w:val="00A226E7"/>
    <w:rsid w:val="00A22BFB"/>
    <w:rsid w:val="00A23370"/>
    <w:rsid w:val="00A24813"/>
    <w:rsid w:val="00A27AEC"/>
    <w:rsid w:val="00A27C98"/>
    <w:rsid w:val="00A30FC5"/>
    <w:rsid w:val="00A3130A"/>
    <w:rsid w:val="00A320DB"/>
    <w:rsid w:val="00A32E1C"/>
    <w:rsid w:val="00A34609"/>
    <w:rsid w:val="00A35D16"/>
    <w:rsid w:val="00A37BCD"/>
    <w:rsid w:val="00A37E4A"/>
    <w:rsid w:val="00A41689"/>
    <w:rsid w:val="00A42592"/>
    <w:rsid w:val="00A431C1"/>
    <w:rsid w:val="00A43C59"/>
    <w:rsid w:val="00A46604"/>
    <w:rsid w:val="00A474EC"/>
    <w:rsid w:val="00A503F5"/>
    <w:rsid w:val="00A50ECD"/>
    <w:rsid w:val="00A50FC3"/>
    <w:rsid w:val="00A5152D"/>
    <w:rsid w:val="00A518F3"/>
    <w:rsid w:val="00A52729"/>
    <w:rsid w:val="00A52E6D"/>
    <w:rsid w:val="00A53675"/>
    <w:rsid w:val="00A5467A"/>
    <w:rsid w:val="00A564D7"/>
    <w:rsid w:val="00A56B6A"/>
    <w:rsid w:val="00A56D2B"/>
    <w:rsid w:val="00A578DC"/>
    <w:rsid w:val="00A61020"/>
    <w:rsid w:val="00A61A76"/>
    <w:rsid w:val="00A62658"/>
    <w:rsid w:val="00A640E2"/>
    <w:rsid w:val="00A64BE3"/>
    <w:rsid w:val="00A64D65"/>
    <w:rsid w:val="00A65FD7"/>
    <w:rsid w:val="00A6725B"/>
    <w:rsid w:val="00A67892"/>
    <w:rsid w:val="00A70605"/>
    <w:rsid w:val="00A720EB"/>
    <w:rsid w:val="00A723EA"/>
    <w:rsid w:val="00A73134"/>
    <w:rsid w:val="00A7365A"/>
    <w:rsid w:val="00A76001"/>
    <w:rsid w:val="00A777B2"/>
    <w:rsid w:val="00A825D4"/>
    <w:rsid w:val="00A828F6"/>
    <w:rsid w:val="00A82B73"/>
    <w:rsid w:val="00A86E8B"/>
    <w:rsid w:val="00A87164"/>
    <w:rsid w:val="00A871A9"/>
    <w:rsid w:val="00A90E0B"/>
    <w:rsid w:val="00A92643"/>
    <w:rsid w:val="00A93072"/>
    <w:rsid w:val="00A938BD"/>
    <w:rsid w:val="00A93953"/>
    <w:rsid w:val="00A942B9"/>
    <w:rsid w:val="00A94BB8"/>
    <w:rsid w:val="00A94FE7"/>
    <w:rsid w:val="00A959D8"/>
    <w:rsid w:val="00AA113D"/>
    <w:rsid w:val="00AA2BA1"/>
    <w:rsid w:val="00AA4032"/>
    <w:rsid w:val="00AA49E3"/>
    <w:rsid w:val="00AA60A1"/>
    <w:rsid w:val="00AA636A"/>
    <w:rsid w:val="00AA64DF"/>
    <w:rsid w:val="00AA6BD5"/>
    <w:rsid w:val="00AA6BD8"/>
    <w:rsid w:val="00AA6C7D"/>
    <w:rsid w:val="00AA70C3"/>
    <w:rsid w:val="00AA7FD6"/>
    <w:rsid w:val="00AB042A"/>
    <w:rsid w:val="00AB119D"/>
    <w:rsid w:val="00AB11AD"/>
    <w:rsid w:val="00AB19EF"/>
    <w:rsid w:val="00AB2495"/>
    <w:rsid w:val="00AB2D34"/>
    <w:rsid w:val="00AB3430"/>
    <w:rsid w:val="00AB37B9"/>
    <w:rsid w:val="00AB3D4F"/>
    <w:rsid w:val="00AB404F"/>
    <w:rsid w:val="00AB4AD1"/>
    <w:rsid w:val="00AB5E07"/>
    <w:rsid w:val="00AB654F"/>
    <w:rsid w:val="00AB7CFA"/>
    <w:rsid w:val="00AC22C0"/>
    <w:rsid w:val="00AC5B42"/>
    <w:rsid w:val="00AC5B48"/>
    <w:rsid w:val="00AC5EFB"/>
    <w:rsid w:val="00AC710E"/>
    <w:rsid w:val="00AC779B"/>
    <w:rsid w:val="00AD028A"/>
    <w:rsid w:val="00AD1450"/>
    <w:rsid w:val="00AD15E8"/>
    <w:rsid w:val="00AD2915"/>
    <w:rsid w:val="00AD356D"/>
    <w:rsid w:val="00AD5642"/>
    <w:rsid w:val="00AD6502"/>
    <w:rsid w:val="00AD6675"/>
    <w:rsid w:val="00AD76E8"/>
    <w:rsid w:val="00AE0695"/>
    <w:rsid w:val="00AE3E7E"/>
    <w:rsid w:val="00AE7E53"/>
    <w:rsid w:val="00AF1315"/>
    <w:rsid w:val="00AF19BF"/>
    <w:rsid w:val="00AF2DC3"/>
    <w:rsid w:val="00AF7321"/>
    <w:rsid w:val="00AF7DC6"/>
    <w:rsid w:val="00B02DF5"/>
    <w:rsid w:val="00B033E5"/>
    <w:rsid w:val="00B03718"/>
    <w:rsid w:val="00B03A63"/>
    <w:rsid w:val="00B044BA"/>
    <w:rsid w:val="00B07324"/>
    <w:rsid w:val="00B11488"/>
    <w:rsid w:val="00B11C02"/>
    <w:rsid w:val="00B129A4"/>
    <w:rsid w:val="00B12E00"/>
    <w:rsid w:val="00B1361D"/>
    <w:rsid w:val="00B13D89"/>
    <w:rsid w:val="00B1416C"/>
    <w:rsid w:val="00B165BE"/>
    <w:rsid w:val="00B201A4"/>
    <w:rsid w:val="00B201D1"/>
    <w:rsid w:val="00B2115D"/>
    <w:rsid w:val="00B213A6"/>
    <w:rsid w:val="00B22046"/>
    <w:rsid w:val="00B235B0"/>
    <w:rsid w:val="00B24DF6"/>
    <w:rsid w:val="00B25358"/>
    <w:rsid w:val="00B27A61"/>
    <w:rsid w:val="00B27BF9"/>
    <w:rsid w:val="00B310AA"/>
    <w:rsid w:val="00B32355"/>
    <w:rsid w:val="00B337AB"/>
    <w:rsid w:val="00B34FE2"/>
    <w:rsid w:val="00B35166"/>
    <w:rsid w:val="00B357D8"/>
    <w:rsid w:val="00B360F4"/>
    <w:rsid w:val="00B36A00"/>
    <w:rsid w:val="00B3792B"/>
    <w:rsid w:val="00B37BFC"/>
    <w:rsid w:val="00B40358"/>
    <w:rsid w:val="00B41614"/>
    <w:rsid w:val="00B42851"/>
    <w:rsid w:val="00B42F80"/>
    <w:rsid w:val="00B42FF7"/>
    <w:rsid w:val="00B43240"/>
    <w:rsid w:val="00B435CB"/>
    <w:rsid w:val="00B43D2F"/>
    <w:rsid w:val="00B465EC"/>
    <w:rsid w:val="00B505C8"/>
    <w:rsid w:val="00B5088D"/>
    <w:rsid w:val="00B50DB8"/>
    <w:rsid w:val="00B53654"/>
    <w:rsid w:val="00B53905"/>
    <w:rsid w:val="00B546DB"/>
    <w:rsid w:val="00B54B5B"/>
    <w:rsid w:val="00B5562E"/>
    <w:rsid w:val="00B557F0"/>
    <w:rsid w:val="00B55862"/>
    <w:rsid w:val="00B55D65"/>
    <w:rsid w:val="00B56305"/>
    <w:rsid w:val="00B56397"/>
    <w:rsid w:val="00B57000"/>
    <w:rsid w:val="00B57254"/>
    <w:rsid w:val="00B60939"/>
    <w:rsid w:val="00B60AFD"/>
    <w:rsid w:val="00B62715"/>
    <w:rsid w:val="00B642B7"/>
    <w:rsid w:val="00B65611"/>
    <w:rsid w:val="00B67745"/>
    <w:rsid w:val="00B70E8E"/>
    <w:rsid w:val="00B768DD"/>
    <w:rsid w:val="00B76C92"/>
    <w:rsid w:val="00B80280"/>
    <w:rsid w:val="00B80EFD"/>
    <w:rsid w:val="00B818A4"/>
    <w:rsid w:val="00B82C2B"/>
    <w:rsid w:val="00B8317F"/>
    <w:rsid w:val="00B83739"/>
    <w:rsid w:val="00B84117"/>
    <w:rsid w:val="00B846C8"/>
    <w:rsid w:val="00B858F0"/>
    <w:rsid w:val="00B85AA2"/>
    <w:rsid w:val="00B86043"/>
    <w:rsid w:val="00B8649C"/>
    <w:rsid w:val="00B8695D"/>
    <w:rsid w:val="00B87F0A"/>
    <w:rsid w:val="00B92539"/>
    <w:rsid w:val="00B92D0B"/>
    <w:rsid w:val="00B93552"/>
    <w:rsid w:val="00B94945"/>
    <w:rsid w:val="00B94DD6"/>
    <w:rsid w:val="00B95C2C"/>
    <w:rsid w:val="00B9632E"/>
    <w:rsid w:val="00B97026"/>
    <w:rsid w:val="00BA322D"/>
    <w:rsid w:val="00BA3DF1"/>
    <w:rsid w:val="00BA5C08"/>
    <w:rsid w:val="00BA5F39"/>
    <w:rsid w:val="00BA63FA"/>
    <w:rsid w:val="00BA69FD"/>
    <w:rsid w:val="00BB00B3"/>
    <w:rsid w:val="00BB0563"/>
    <w:rsid w:val="00BB0BDD"/>
    <w:rsid w:val="00BB176C"/>
    <w:rsid w:val="00BB2A73"/>
    <w:rsid w:val="00BB3A45"/>
    <w:rsid w:val="00BB42ED"/>
    <w:rsid w:val="00BB4604"/>
    <w:rsid w:val="00BB4ACC"/>
    <w:rsid w:val="00BB703E"/>
    <w:rsid w:val="00BB732D"/>
    <w:rsid w:val="00BB7405"/>
    <w:rsid w:val="00BC1D11"/>
    <w:rsid w:val="00BC28C9"/>
    <w:rsid w:val="00BC3631"/>
    <w:rsid w:val="00BC566D"/>
    <w:rsid w:val="00BC591F"/>
    <w:rsid w:val="00BC601F"/>
    <w:rsid w:val="00BC6A82"/>
    <w:rsid w:val="00BC762A"/>
    <w:rsid w:val="00BC7D6D"/>
    <w:rsid w:val="00BD2108"/>
    <w:rsid w:val="00BD4E69"/>
    <w:rsid w:val="00BD68A3"/>
    <w:rsid w:val="00BD6938"/>
    <w:rsid w:val="00BD6CF3"/>
    <w:rsid w:val="00BD720F"/>
    <w:rsid w:val="00BD7754"/>
    <w:rsid w:val="00BD7F72"/>
    <w:rsid w:val="00BE09CA"/>
    <w:rsid w:val="00BE0ECA"/>
    <w:rsid w:val="00BE113B"/>
    <w:rsid w:val="00BE1220"/>
    <w:rsid w:val="00BE2180"/>
    <w:rsid w:val="00BE21F2"/>
    <w:rsid w:val="00BE4275"/>
    <w:rsid w:val="00BE4935"/>
    <w:rsid w:val="00BE4CF7"/>
    <w:rsid w:val="00BF06AE"/>
    <w:rsid w:val="00BF0F95"/>
    <w:rsid w:val="00BF2433"/>
    <w:rsid w:val="00BF2E6E"/>
    <w:rsid w:val="00BF3EA3"/>
    <w:rsid w:val="00BF61C9"/>
    <w:rsid w:val="00BF6B8B"/>
    <w:rsid w:val="00BF6C94"/>
    <w:rsid w:val="00C00424"/>
    <w:rsid w:val="00C00BB0"/>
    <w:rsid w:val="00C1108B"/>
    <w:rsid w:val="00C1179F"/>
    <w:rsid w:val="00C127B9"/>
    <w:rsid w:val="00C128FA"/>
    <w:rsid w:val="00C12C14"/>
    <w:rsid w:val="00C14AF8"/>
    <w:rsid w:val="00C15F04"/>
    <w:rsid w:val="00C1710C"/>
    <w:rsid w:val="00C179B3"/>
    <w:rsid w:val="00C17E3F"/>
    <w:rsid w:val="00C200AA"/>
    <w:rsid w:val="00C237ED"/>
    <w:rsid w:val="00C24632"/>
    <w:rsid w:val="00C25418"/>
    <w:rsid w:val="00C25D9C"/>
    <w:rsid w:val="00C2778B"/>
    <w:rsid w:val="00C31649"/>
    <w:rsid w:val="00C32C23"/>
    <w:rsid w:val="00C333AA"/>
    <w:rsid w:val="00C3434C"/>
    <w:rsid w:val="00C34CB1"/>
    <w:rsid w:val="00C40385"/>
    <w:rsid w:val="00C4107C"/>
    <w:rsid w:val="00C41768"/>
    <w:rsid w:val="00C44917"/>
    <w:rsid w:val="00C467EA"/>
    <w:rsid w:val="00C475AA"/>
    <w:rsid w:val="00C527C7"/>
    <w:rsid w:val="00C537B4"/>
    <w:rsid w:val="00C53C98"/>
    <w:rsid w:val="00C53EBA"/>
    <w:rsid w:val="00C56FCF"/>
    <w:rsid w:val="00C57B6C"/>
    <w:rsid w:val="00C60D78"/>
    <w:rsid w:val="00C60D87"/>
    <w:rsid w:val="00C61A59"/>
    <w:rsid w:val="00C628A6"/>
    <w:rsid w:val="00C64344"/>
    <w:rsid w:val="00C65108"/>
    <w:rsid w:val="00C652BD"/>
    <w:rsid w:val="00C65576"/>
    <w:rsid w:val="00C66165"/>
    <w:rsid w:val="00C7060A"/>
    <w:rsid w:val="00C7151A"/>
    <w:rsid w:val="00C717E3"/>
    <w:rsid w:val="00C71F60"/>
    <w:rsid w:val="00C72241"/>
    <w:rsid w:val="00C73E07"/>
    <w:rsid w:val="00C74288"/>
    <w:rsid w:val="00C746E1"/>
    <w:rsid w:val="00C750C8"/>
    <w:rsid w:val="00C7560F"/>
    <w:rsid w:val="00C761B1"/>
    <w:rsid w:val="00C7711F"/>
    <w:rsid w:val="00C80564"/>
    <w:rsid w:val="00C80A0E"/>
    <w:rsid w:val="00C81955"/>
    <w:rsid w:val="00C8213F"/>
    <w:rsid w:val="00C8303F"/>
    <w:rsid w:val="00C85154"/>
    <w:rsid w:val="00C8566A"/>
    <w:rsid w:val="00C85A70"/>
    <w:rsid w:val="00C8797A"/>
    <w:rsid w:val="00C900B8"/>
    <w:rsid w:val="00C90197"/>
    <w:rsid w:val="00C90C71"/>
    <w:rsid w:val="00C91FD1"/>
    <w:rsid w:val="00C931CF"/>
    <w:rsid w:val="00C938CF"/>
    <w:rsid w:val="00C94053"/>
    <w:rsid w:val="00C958EE"/>
    <w:rsid w:val="00C9624D"/>
    <w:rsid w:val="00C969DA"/>
    <w:rsid w:val="00CA1052"/>
    <w:rsid w:val="00CA2C77"/>
    <w:rsid w:val="00CA444F"/>
    <w:rsid w:val="00CA5245"/>
    <w:rsid w:val="00CA526B"/>
    <w:rsid w:val="00CA71F4"/>
    <w:rsid w:val="00CA7260"/>
    <w:rsid w:val="00CA7B09"/>
    <w:rsid w:val="00CB12A5"/>
    <w:rsid w:val="00CB1CAC"/>
    <w:rsid w:val="00CB2F2A"/>
    <w:rsid w:val="00CB5B1A"/>
    <w:rsid w:val="00CB6B22"/>
    <w:rsid w:val="00CB7F5F"/>
    <w:rsid w:val="00CC1B39"/>
    <w:rsid w:val="00CC1BFA"/>
    <w:rsid w:val="00CC2BA9"/>
    <w:rsid w:val="00CC2E9F"/>
    <w:rsid w:val="00CC3403"/>
    <w:rsid w:val="00CC35EA"/>
    <w:rsid w:val="00CC3848"/>
    <w:rsid w:val="00CC53D1"/>
    <w:rsid w:val="00CC6D5E"/>
    <w:rsid w:val="00CC7EF9"/>
    <w:rsid w:val="00CD0200"/>
    <w:rsid w:val="00CD0DBA"/>
    <w:rsid w:val="00CD3F77"/>
    <w:rsid w:val="00CD47DA"/>
    <w:rsid w:val="00CD6ADC"/>
    <w:rsid w:val="00CD7193"/>
    <w:rsid w:val="00CD753C"/>
    <w:rsid w:val="00CE38C8"/>
    <w:rsid w:val="00CE524F"/>
    <w:rsid w:val="00CE58CC"/>
    <w:rsid w:val="00CE6274"/>
    <w:rsid w:val="00CE77B6"/>
    <w:rsid w:val="00CF2B8D"/>
    <w:rsid w:val="00CF3A1B"/>
    <w:rsid w:val="00CF456B"/>
    <w:rsid w:val="00CF5A22"/>
    <w:rsid w:val="00CF5FDF"/>
    <w:rsid w:val="00D0262E"/>
    <w:rsid w:val="00D03679"/>
    <w:rsid w:val="00D052E8"/>
    <w:rsid w:val="00D05A17"/>
    <w:rsid w:val="00D05E3D"/>
    <w:rsid w:val="00D06139"/>
    <w:rsid w:val="00D105BF"/>
    <w:rsid w:val="00D10922"/>
    <w:rsid w:val="00D110BD"/>
    <w:rsid w:val="00D128C4"/>
    <w:rsid w:val="00D13675"/>
    <w:rsid w:val="00D141E1"/>
    <w:rsid w:val="00D143AA"/>
    <w:rsid w:val="00D152CE"/>
    <w:rsid w:val="00D15314"/>
    <w:rsid w:val="00D15B48"/>
    <w:rsid w:val="00D15E78"/>
    <w:rsid w:val="00D17ABC"/>
    <w:rsid w:val="00D17AF8"/>
    <w:rsid w:val="00D17D6C"/>
    <w:rsid w:val="00D21190"/>
    <w:rsid w:val="00D2155B"/>
    <w:rsid w:val="00D21FDD"/>
    <w:rsid w:val="00D23C36"/>
    <w:rsid w:val="00D23D11"/>
    <w:rsid w:val="00D244B6"/>
    <w:rsid w:val="00D2754D"/>
    <w:rsid w:val="00D27B27"/>
    <w:rsid w:val="00D30547"/>
    <w:rsid w:val="00D30D5B"/>
    <w:rsid w:val="00D3225E"/>
    <w:rsid w:val="00D32B03"/>
    <w:rsid w:val="00D33BE9"/>
    <w:rsid w:val="00D33F93"/>
    <w:rsid w:val="00D357FF"/>
    <w:rsid w:val="00D35D15"/>
    <w:rsid w:val="00D37409"/>
    <w:rsid w:val="00D40192"/>
    <w:rsid w:val="00D402E0"/>
    <w:rsid w:val="00D41B33"/>
    <w:rsid w:val="00D4208C"/>
    <w:rsid w:val="00D424C7"/>
    <w:rsid w:val="00D43B2A"/>
    <w:rsid w:val="00D43CF1"/>
    <w:rsid w:val="00D43D83"/>
    <w:rsid w:val="00D450E0"/>
    <w:rsid w:val="00D453C0"/>
    <w:rsid w:val="00D45EFF"/>
    <w:rsid w:val="00D46192"/>
    <w:rsid w:val="00D47575"/>
    <w:rsid w:val="00D51BD9"/>
    <w:rsid w:val="00D5243B"/>
    <w:rsid w:val="00D533EC"/>
    <w:rsid w:val="00D562BF"/>
    <w:rsid w:val="00D56A95"/>
    <w:rsid w:val="00D5758A"/>
    <w:rsid w:val="00D60132"/>
    <w:rsid w:val="00D6076E"/>
    <w:rsid w:val="00D62205"/>
    <w:rsid w:val="00D63124"/>
    <w:rsid w:val="00D65467"/>
    <w:rsid w:val="00D70F16"/>
    <w:rsid w:val="00D721A7"/>
    <w:rsid w:val="00D72617"/>
    <w:rsid w:val="00D72F57"/>
    <w:rsid w:val="00D74CAE"/>
    <w:rsid w:val="00D76656"/>
    <w:rsid w:val="00D76A44"/>
    <w:rsid w:val="00D815EF"/>
    <w:rsid w:val="00D81949"/>
    <w:rsid w:val="00D81F26"/>
    <w:rsid w:val="00D822E2"/>
    <w:rsid w:val="00D827FF"/>
    <w:rsid w:val="00D843F2"/>
    <w:rsid w:val="00D844D6"/>
    <w:rsid w:val="00D861CC"/>
    <w:rsid w:val="00D86231"/>
    <w:rsid w:val="00D86EC9"/>
    <w:rsid w:val="00D90D3F"/>
    <w:rsid w:val="00D912AB"/>
    <w:rsid w:val="00D91923"/>
    <w:rsid w:val="00D9358D"/>
    <w:rsid w:val="00D93753"/>
    <w:rsid w:val="00D94452"/>
    <w:rsid w:val="00D94DFE"/>
    <w:rsid w:val="00D952CA"/>
    <w:rsid w:val="00D973A7"/>
    <w:rsid w:val="00DA017D"/>
    <w:rsid w:val="00DA058E"/>
    <w:rsid w:val="00DA3167"/>
    <w:rsid w:val="00DA3378"/>
    <w:rsid w:val="00DA4152"/>
    <w:rsid w:val="00DA4DC3"/>
    <w:rsid w:val="00DA6261"/>
    <w:rsid w:val="00DA77A5"/>
    <w:rsid w:val="00DB0E36"/>
    <w:rsid w:val="00DB1AF5"/>
    <w:rsid w:val="00DB3DBF"/>
    <w:rsid w:val="00DB484F"/>
    <w:rsid w:val="00DB5567"/>
    <w:rsid w:val="00DB6903"/>
    <w:rsid w:val="00DB746E"/>
    <w:rsid w:val="00DB7B4C"/>
    <w:rsid w:val="00DC04F6"/>
    <w:rsid w:val="00DC0690"/>
    <w:rsid w:val="00DC1D65"/>
    <w:rsid w:val="00DC3815"/>
    <w:rsid w:val="00DC3C57"/>
    <w:rsid w:val="00DC5501"/>
    <w:rsid w:val="00DC5DE4"/>
    <w:rsid w:val="00DC7154"/>
    <w:rsid w:val="00DC7BC6"/>
    <w:rsid w:val="00DC7E8A"/>
    <w:rsid w:val="00DD0F78"/>
    <w:rsid w:val="00DD1AFC"/>
    <w:rsid w:val="00DD273C"/>
    <w:rsid w:val="00DD2B44"/>
    <w:rsid w:val="00DD327C"/>
    <w:rsid w:val="00DD3F28"/>
    <w:rsid w:val="00DD4446"/>
    <w:rsid w:val="00DD4537"/>
    <w:rsid w:val="00DD4E15"/>
    <w:rsid w:val="00DD4F86"/>
    <w:rsid w:val="00DD5F22"/>
    <w:rsid w:val="00DD6DEA"/>
    <w:rsid w:val="00DE157B"/>
    <w:rsid w:val="00DE2104"/>
    <w:rsid w:val="00DE2304"/>
    <w:rsid w:val="00DE3138"/>
    <w:rsid w:val="00DE37F8"/>
    <w:rsid w:val="00DE4273"/>
    <w:rsid w:val="00DE4FCB"/>
    <w:rsid w:val="00DE5D07"/>
    <w:rsid w:val="00DE6386"/>
    <w:rsid w:val="00DE638E"/>
    <w:rsid w:val="00DE72A7"/>
    <w:rsid w:val="00DE7832"/>
    <w:rsid w:val="00DF11DD"/>
    <w:rsid w:val="00DF18FC"/>
    <w:rsid w:val="00DF1C56"/>
    <w:rsid w:val="00DF32E0"/>
    <w:rsid w:val="00DF4006"/>
    <w:rsid w:val="00DF5D2B"/>
    <w:rsid w:val="00DF6341"/>
    <w:rsid w:val="00E00E8E"/>
    <w:rsid w:val="00E03813"/>
    <w:rsid w:val="00E05630"/>
    <w:rsid w:val="00E06DBB"/>
    <w:rsid w:val="00E07899"/>
    <w:rsid w:val="00E10149"/>
    <w:rsid w:val="00E11340"/>
    <w:rsid w:val="00E122A1"/>
    <w:rsid w:val="00E16372"/>
    <w:rsid w:val="00E16AD8"/>
    <w:rsid w:val="00E17FFA"/>
    <w:rsid w:val="00E20D01"/>
    <w:rsid w:val="00E20E4D"/>
    <w:rsid w:val="00E20ED6"/>
    <w:rsid w:val="00E21358"/>
    <w:rsid w:val="00E2249B"/>
    <w:rsid w:val="00E22A0D"/>
    <w:rsid w:val="00E23639"/>
    <w:rsid w:val="00E244F6"/>
    <w:rsid w:val="00E258DB"/>
    <w:rsid w:val="00E25AC6"/>
    <w:rsid w:val="00E2622D"/>
    <w:rsid w:val="00E265F2"/>
    <w:rsid w:val="00E26CEE"/>
    <w:rsid w:val="00E2705E"/>
    <w:rsid w:val="00E2771E"/>
    <w:rsid w:val="00E31091"/>
    <w:rsid w:val="00E311EF"/>
    <w:rsid w:val="00E32180"/>
    <w:rsid w:val="00E34948"/>
    <w:rsid w:val="00E37569"/>
    <w:rsid w:val="00E401B2"/>
    <w:rsid w:val="00E411F2"/>
    <w:rsid w:val="00E41E30"/>
    <w:rsid w:val="00E42F73"/>
    <w:rsid w:val="00E430D8"/>
    <w:rsid w:val="00E43D70"/>
    <w:rsid w:val="00E440A6"/>
    <w:rsid w:val="00E45985"/>
    <w:rsid w:val="00E466F3"/>
    <w:rsid w:val="00E47900"/>
    <w:rsid w:val="00E47B2C"/>
    <w:rsid w:val="00E50799"/>
    <w:rsid w:val="00E51560"/>
    <w:rsid w:val="00E51821"/>
    <w:rsid w:val="00E520F2"/>
    <w:rsid w:val="00E539AE"/>
    <w:rsid w:val="00E53FC8"/>
    <w:rsid w:val="00E54347"/>
    <w:rsid w:val="00E55424"/>
    <w:rsid w:val="00E55915"/>
    <w:rsid w:val="00E55BB5"/>
    <w:rsid w:val="00E60DF7"/>
    <w:rsid w:val="00E611DF"/>
    <w:rsid w:val="00E6220E"/>
    <w:rsid w:val="00E65E79"/>
    <w:rsid w:val="00E667DE"/>
    <w:rsid w:val="00E66BA2"/>
    <w:rsid w:val="00E67129"/>
    <w:rsid w:val="00E67416"/>
    <w:rsid w:val="00E675E7"/>
    <w:rsid w:val="00E718B6"/>
    <w:rsid w:val="00E71ED7"/>
    <w:rsid w:val="00E723BA"/>
    <w:rsid w:val="00E73581"/>
    <w:rsid w:val="00E74EA2"/>
    <w:rsid w:val="00E75547"/>
    <w:rsid w:val="00E7639D"/>
    <w:rsid w:val="00E77923"/>
    <w:rsid w:val="00E833F7"/>
    <w:rsid w:val="00E83BDF"/>
    <w:rsid w:val="00E83C42"/>
    <w:rsid w:val="00E85D75"/>
    <w:rsid w:val="00E86FCC"/>
    <w:rsid w:val="00E877A4"/>
    <w:rsid w:val="00E87A1D"/>
    <w:rsid w:val="00E9094A"/>
    <w:rsid w:val="00E91D35"/>
    <w:rsid w:val="00E926A5"/>
    <w:rsid w:val="00E95FAE"/>
    <w:rsid w:val="00E962CC"/>
    <w:rsid w:val="00EA011E"/>
    <w:rsid w:val="00EA14E2"/>
    <w:rsid w:val="00EA17C3"/>
    <w:rsid w:val="00EA2CAA"/>
    <w:rsid w:val="00EA3864"/>
    <w:rsid w:val="00EA496D"/>
    <w:rsid w:val="00EA5B39"/>
    <w:rsid w:val="00EA5BC9"/>
    <w:rsid w:val="00EA5FE6"/>
    <w:rsid w:val="00EA7F1C"/>
    <w:rsid w:val="00EB059D"/>
    <w:rsid w:val="00EB15B6"/>
    <w:rsid w:val="00EB3D06"/>
    <w:rsid w:val="00EB4916"/>
    <w:rsid w:val="00EB4B72"/>
    <w:rsid w:val="00EB4E48"/>
    <w:rsid w:val="00EB6D7F"/>
    <w:rsid w:val="00EC00C9"/>
    <w:rsid w:val="00EC0DD9"/>
    <w:rsid w:val="00EC0E53"/>
    <w:rsid w:val="00EC1AF4"/>
    <w:rsid w:val="00EC2649"/>
    <w:rsid w:val="00EC31ED"/>
    <w:rsid w:val="00EC5836"/>
    <w:rsid w:val="00EC5CE3"/>
    <w:rsid w:val="00EC63F0"/>
    <w:rsid w:val="00EC6421"/>
    <w:rsid w:val="00EC688C"/>
    <w:rsid w:val="00ED12E3"/>
    <w:rsid w:val="00ED1E44"/>
    <w:rsid w:val="00ED2038"/>
    <w:rsid w:val="00ED4B04"/>
    <w:rsid w:val="00ED57EA"/>
    <w:rsid w:val="00ED5BD4"/>
    <w:rsid w:val="00ED7F31"/>
    <w:rsid w:val="00EE07D3"/>
    <w:rsid w:val="00EE0859"/>
    <w:rsid w:val="00EE1996"/>
    <w:rsid w:val="00EE19C6"/>
    <w:rsid w:val="00EE1C01"/>
    <w:rsid w:val="00EE22AF"/>
    <w:rsid w:val="00EE2E7F"/>
    <w:rsid w:val="00EF0171"/>
    <w:rsid w:val="00EF026F"/>
    <w:rsid w:val="00EF1B25"/>
    <w:rsid w:val="00EF1DA0"/>
    <w:rsid w:val="00EF3EAB"/>
    <w:rsid w:val="00EF4747"/>
    <w:rsid w:val="00EF48B5"/>
    <w:rsid w:val="00EF4BF8"/>
    <w:rsid w:val="00EF5F04"/>
    <w:rsid w:val="00F001D7"/>
    <w:rsid w:val="00F00328"/>
    <w:rsid w:val="00F00B76"/>
    <w:rsid w:val="00F01234"/>
    <w:rsid w:val="00F01E13"/>
    <w:rsid w:val="00F02253"/>
    <w:rsid w:val="00F03C2E"/>
    <w:rsid w:val="00F04A66"/>
    <w:rsid w:val="00F04A92"/>
    <w:rsid w:val="00F04B4B"/>
    <w:rsid w:val="00F0516C"/>
    <w:rsid w:val="00F067A2"/>
    <w:rsid w:val="00F07B9E"/>
    <w:rsid w:val="00F1116F"/>
    <w:rsid w:val="00F1263A"/>
    <w:rsid w:val="00F12DAA"/>
    <w:rsid w:val="00F12E0A"/>
    <w:rsid w:val="00F139C5"/>
    <w:rsid w:val="00F14E4B"/>
    <w:rsid w:val="00F15B77"/>
    <w:rsid w:val="00F21236"/>
    <w:rsid w:val="00F229BC"/>
    <w:rsid w:val="00F22B95"/>
    <w:rsid w:val="00F239DF"/>
    <w:rsid w:val="00F24837"/>
    <w:rsid w:val="00F2575F"/>
    <w:rsid w:val="00F26017"/>
    <w:rsid w:val="00F27565"/>
    <w:rsid w:val="00F30D0C"/>
    <w:rsid w:val="00F310D4"/>
    <w:rsid w:val="00F31D5A"/>
    <w:rsid w:val="00F32076"/>
    <w:rsid w:val="00F3239B"/>
    <w:rsid w:val="00F33793"/>
    <w:rsid w:val="00F33975"/>
    <w:rsid w:val="00F33DE9"/>
    <w:rsid w:val="00F35E6D"/>
    <w:rsid w:val="00F3619A"/>
    <w:rsid w:val="00F37478"/>
    <w:rsid w:val="00F40AAA"/>
    <w:rsid w:val="00F40BA7"/>
    <w:rsid w:val="00F40F9D"/>
    <w:rsid w:val="00F417B5"/>
    <w:rsid w:val="00F41ACD"/>
    <w:rsid w:val="00F435FB"/>
    <w:rsid w:val="00F43CAD"/>
    <w:rsid w:val="00F46CB6"/>
    <w:rsid w:val="00F474A1"/>
    <w:rsid w:val="00F4756D"/>
    <w:rsid w:val="00F47DE8"/>
    <w:rsid w:val="00F5071F"/>
    <w:rsid w:val="00F52DC0"/>
    <w:rsid w:val="00F542C1"/>
    <w:rsid w:val="00F550E3"/>
    <w:rsid w:val="00F55E73"/>
    <w:rsid w:val="00F55EDA"/>
    <w:rsid w:val="00F56C80"/>
    <w:rsid w:val="00F60092"/>
    <w:rsid w:val="00F6137B"/>
    <w:rsid w:val="00F61C18"/>
    <w:rsid w:val="00F6259D"/>
    <w:rsid w:val="00F63744"/>
    <w:rsid w:val="00F65F4B"/>
    <w:rsid w:val="00F67A69"/>
    <w:rsid w:val="00F70BFF"/>
    <w:rsid w:val="00F70C9D"/>
    <w:rsid w:val="00F716F9"/>
    <w:rsid w:val="00F73E08"/>
    <w:rsid w:val="00F74CD9"/>
    <w:rsid w:val="00F76294"/>
    <w:rsid w:val="00F80A7B"/>
    <w:rsid w:val="00F80E5D"/>
    <w:rsid w:val="00F81E78"/>
    <w:rsid w:val="00F81FCD"/>
    <w:rsid w:val="00F82E16"/>
    <w:rsid w:val="00F83916"/>
    <w:rsid w:val="00F851CE"/>
    <w:rsid w:val="00F85FF9"/>
    <w:rsid w:val="00F91219"/>
    <w:rsid w:val="00F92444"/>
    <w:rsid w:val="00F9393E"/>
    <w:rsid w:val="00F94562"/>
    <w:rsid w:val="00F95F2D"/>
    <w:rsid w:val="00F96EAB"/>
    <w:rsid w:val="00F96FD0"/>
    <w:rsid w:val="00F97A78"/>
    <w:rsid w:val="00FA0B20"/>
    <w:rsid w:val="00FA24E7"/>
    <w:rsid w:val="00FA2E22"/>
    <w:rsid w:val="00FA4A0E"/>
    <w:rsid w:val="00FA5EE6"/>
    <w:rsid w:val="00FA6459"/>
    <w:rsid w:val="00FA6872"/>
    <w:rsid w:val="00FA7956"/>
    <w:rsid w:val="00FB078B"/>
    <w:rsid w:val="00FB0824"/>
    <w:rsid w:val="00FB0E44"/>
    <w:rsid w:val="00FB1306"/>
    <w:rsid w:val="00FB2F4A"/>
    <w:rsid w:val="00FB2FCB"/>
    <w:rsid w:val="00FB4750"/>
    <w:rsid w:val="00FB4C9C"/>
    <w:rsid w:val="00FB7C55"/>
    <w:rsid w:val="00FB7D35"/>
    <w:rsid w:val="00FC1074"/>
    <w:rsid w:val="00FC1884"/>
    <w:rsid w:val="00FC2576"/>
    <w:rsid w:val="00FC2DCD"/>
    <w:rsid w:val="00FC371D"/>
    <w:rsid w:val="00FC5F0B"/>
    <w:rsid w:val="00FD04B0"/>
    <w:rsid w:val="00FD2100"/>
    <w:rsid w:val="00FD436C"/>
    <w:rsid w:val="00FD446D"/>
    <w:rsid w:val="00FD4F2C"/>
    <w:rsid w:val="00FD6394"/>
    <w:rsid w:val="00FD72BD"/>
    <w:rsid w:val="00FE0E6C"/>
    <w:rsid w:val="00FE1997"/>
    <w:rsid w:val="00FE1CDC"/>
    <w:rsid w:val="00FE1CFB"/>
    <w:rsid w:val="00FE396D"/>
    <w:rsid w:val="00FE498C"/>
    <w:rsid w:val="00FE70C3"/>
    <w:rsid w:val="00FF1259"/>
    <w:rsid w:val="00FF1A8B"/>
    <w:rsid w:val="00FF23D6"/>
    <w:rsid w:val="00FF2AD9"/>
    <w:rsid w:val="00FF359F"/>
    <w:rsid w:val="00FF3DCF"/>
    <w:rsid w:val="00FF4457"/>
    <w:rsid w:val="00FF492C"/>
    <w:rsid w:val="00FF4A21"/>
    <w:rsid w:val="00FF5AA3"/>
    <w:rsid w:val="00FF5AD8"/>
    <w:rsid w:val="00FF61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Styl moj,Akapit z listą11,Figure_name"/>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74135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4"/>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NotesLast">
    <w:name w:val="TableNotesLast"/>
    <w:basedOn w:val="Normal"/>
    <w:qFormat/>
    <w:rsid w:val="000F718D"/>
    <w:pPr>
      <w:numPr>
        <w:numId w:val="6"/>
      </w:numPr>
      <w:spacing w:after="360" w:line="276" w:lineRule="auto"/>
      <w:ind w:left="720"/>
      <w:jc w:val="left"/>
    </w:pPr>
    <w:rPr>
      <w:rFonts w:eastAsiaTheme="minorHAnsi" w:cstheme="minorBidi"/>
      <w:sz w:val="20"/>
      <w:szCs w:val="22"/>
      <w:lang w:eastAsia="en-US"/>
    </w:rPr>
  </w:style>
  <w:style w:type="paragraph" w:styleId="FootnoteText">
    <w:name w:val="footnote text"/>
    <w:basedOn w:val="Normal"/>
    <w:link w:val="FootnoteTextChar"/>
    <w:unhideWhenUsed/>
    <w:rsid w:val="00461070"/>
    <w:rPr>
      <w:sz w:val="20"/>
      <w:szCs w:val="20"/>
    </w:rPr>
  </w:style>
  <w:style w:type="character" w:customStyle="1" w:styleId="FootnoteTextChar">
    <w:name w:val="Footnote Text Char"/>
    <w:basedOn w:val="DefaultParagraphFont"/>
    <w:link w:val="FootnoteText"/>
    <w:rsid w:val="00461070"/>
    <w:rPr>
      <w:rFonts w:ascii="Calibri" w:hAnsi="Calibri" w:cs="Arial"/>
    </w:rPr>
  </w:style>
  <w:style w:type="character" w:styleId="FootnoteReference">
    <w:name w:val="footnote reference"/>
    <w:basedOn w:val="DefaultParagraphFont"/>
    <w:unhideWhenUsed/>
    <w:rsid w:val="00461070"/>
    <w:rPr>
      <w:vertAlign w:val="superscript"/>
    </w:rPr>
  </w:style>
  <w:style w:type="character" w:customStyle="1" w:styleId="SmallBold">
    <w:name w:val="Small Bold"/>
    <w:basedOn w:val="DefaultParagraphFont"/>
    <w:uiPriority w:val="4"/>
    <w:qFormat/>
    <w:rsid w:val="00BB4604"/>
    <w:rPr>
      <w:rFonts w:ascii="Candara" w:hAnsi="Candara"/>
      <w:b/>
      <w:sz w:val="20"/>
      <w:lang w:val="en-AU"/>
    </w:rPr>
  </w:style>
  <w:style w:type="character" w:customStyle="1" w:styleId="Heading1Char">
    <w:name w:val="Heading 1 Char"/>
    <w:basedOn w:val="DefaultParagraphFont"/>
    <w:link w:val="Heading1"/>
    <w:uiPriority w:val="1"/>
    <w:rsid w:val="00B5088D"/>
    <w:rPr>
      <w:rFonts w:ascii="Calibri" w:hAnsi="Calibri" w:cs="Arial"/>
      <w:b/>
      <w:caps/>
      <w:sz w:val="32"/>
      <w:szCs w:val="24"/>
    </w:rPr>
  </w:style>
  <w:style w:type="character" w:customStyle="1" w:styleId="Heading3Char">
    <w:name w:val="Heading 3 Char"/>
    <w:basedOn w:val="DefaultParagraphFont"/>
    <w:link w:val="Heading3"/>
    <w:rsid w:val="00B5088D"/>
    <w:rPr>
      <w:rFonts w:ascii="Calibri" w:hAnsi="Calibri" w:cs="Arial"/>
      <w:sz w:val="24"/>
      <w:szCs w:val="24"/>
      <w:u w:val="single"/>
    </w:rPr>
  </w:style>
  <w:style w:type="character" w:customStyle="1" w:styleId="Heading4Char">
    <w:name w:val="Heading 4 Char"/>
    <w:basedOn w:val="DefaultParagraphFont"/>
    <w:link w:val="Heading4"/>
    <w:rsid w:val="00B5088D"/>
    <w:rPr>
      <w:rFonts w:ascii="Calibri" w:hAnsi="Calibri" w:cs="Arial"/>
      <w:b/>
      <w:bCs/>
      <w:i/>
      <w:sz w:val="26"/>
      <w:szCs w:val="28"/>
    </w:rPr>
  </w:style>
  <w:style w:type="character" w:customStyle="1" w:styleId="Heading5Char">
    <w:name w:val="Heading 5 Char"/>
    <w:basedOn w:val="DefaultParagraphFont"/>
    <w:link w:val="Heading5"/>
    <w:rsid w:val="00B5088D"/>
    <w:rPr>
      <w:rFonts w:ascii="Calibri" w:hAnsi="Calibri" w:cs="Arial"/>
      <w:b/>
      <w:bCs/>
      <w:iCs/>
      <w:sz w:val="26"/>
      <w:szCs w:val="26"/>
    </w:rPr>
  </w:style>
  <w:style w:type="character" w:customStyle="1" w:styleId="Heading6Char">
    <w:name w:val="Heading 6 Char"/>
    <w:basedOn w:val="DefaultParagraphFont"/>
    <w:link w:val="Heading6"/>
    <w:rsid w:val="00B5088D"/>
    <w:rPr>
      <w:rFonts w:ascii="Calibri" w:hAnsi="Calibri" w:cs="Arial"/>
      <w:b/>
      <w:bCs/>
      <w:i/>
      <w:sz w:val="24"/>
      <w:szCs w:val="24"/>
    </w:rPr>
  </w:style>
  <w:style w:type="paragraph" w:customStyle="1" w:styleId="msonormal0">
    <w:name w:val="msonormal"/>
    <w:basedOn w:val="Normal"/>
    <w:uiPriority w:val="99"/>
    <w:rsid w:val="00B5088D"/>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B5088D"/>
    <w:rPr>
      <w:rFonts w:ascii="Calibri" w:hAnsi="Calibri" w:cs="Arial"/>
      <w:sz w:val="24"/>
      <w:szCs w:val="24"/>
    </w:rPr>
  </w:style>
  <w:style w:type="paragraph" w:customStyle="1" w:styleId="TableFigureFooter">
    <w:name w:val="Table/Figure Footer"/>
    <w:basedOn w:val="Normal"/>
    <w:link w:val="TableFigureFooterChar"/>
    <w:qFormat/>
    <w:rsid w:val="00F82E1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F82E16"/>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F82E16"/>
    <w:rPr>
      <w:color w:val="605E5C"/>
      <w:shd w:val="clear" w:color="auto" w:fill="E1DFDD"/>
    </w:rPr>
  </w:style>
  <w:style w:type="paragraph" w:customStyle="1" w:styleId="Bodytextitalics">
    <w:name w:val="Body text italics"/>
    <w:basedOn w:val="BodyText"/>
    <w:qFormat/>
    <w:rsid w:val="00F82E16"/>
    <w:pPr>
      <w:spacing w:after="120"/>
      <w:ind w:left="720" w:hanging="720"/>
    </w:pPr>
    <w:rPr>
      <w:rFonts w:asciiTheme="minorHAnsi" w:eastAsiaTheme="minorHAnsi" w:hAnsiTheme="minorHAnsi" w:cstheme="minorBidi"/>
      <w:i/>
      <w:szCs w:val="22"/>
    </w:rPr>
  </w:style>
  <w:style w:type="character" w:customStyle="1" w:styleId="cf01">
    <w:name w:val="cf01"/>
    <w:basedOn w:val="DefaultParagraphFont"/>
    <w:rsid w:val="00082D78"/>
    <w:rPr>
      <w:rFonts w:ascii="Segoe UI" w:hAnsi="Segoe UI" w:cs="Segoe UI" w:hint="default"/>
      <w:i/>
      <w:iCs/>
      <w:sz w:val="18"/>
      <w:szCs w:val="18"/>
    </w:rPr>
  </w:style>
  <w:style w:type="paragraph" w:customStyle="1" w:styleId="3Bodytext">
    <w:name w:val="3. Body text"/>
    <w:basedOn w:val="ListParagraph"/>
    <w:qFormat/>
    <w:rsid w:val="00464436"/>
    <w:pPr>
      <w:numPr>
        <w:numId w:val="0"/>
      </w:numPr>
      <w:ind w:left="720" w:hanging="720"/>
      <w:jc w:val="left"/>
    </w:pPr>
    <w:rPr>
      <w:rFonts w:eastAsiaTheme="minorHAnsi" w:cstheme="minorBidi"/>
      <w:snapToGrid/>
      <w:szCs w:val="22"/>
    </w:rPr>
  </w:style>
  <w:style w:type="paragraph" w:customStyle="1" w:styleId="3-SubsectionHeading">
    <w:name w:val="3-Subsection Heading"/>
    <w:basedOn w:val="Heading2"/>
    <w:next w:val="Normal"/>
    <w:link w:val="3-SubsectionHeadingChar"/>
    <w:qFormat/>
    <w:rsid w:val="004C0D9B"/>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C0D9B"/>
    <w:rPr>
      <w:rFonts w:asciiTheme="minorHAnsi" w:eastAsiaTheme="majorEastAsia" w:hAnsiTheme="minorHAnsi" w:cstheme="majorBidi"/>
      <w:b/>
      <w:i/>
      <w:snapToGrid/>
      <w:spacing w:val="5"/>
      <w:kern w:val="28"/>
      <w:sz w:val="28"/>
      <w:szCs w:val="36"/>
      <w:lang w:eastAsia="en-US"/>
    </w:rPr>
  </w:style>
  <w:style w:type="paragraph" w:customStyle="1" w:styleId="COMH1numbered">
    <w:name w:val="COM H1 numbered"/>
    <w:next w:val="Normal"/>
    <w:qFormat/>
    <w:rsid w:val="00010B66"/>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qFormat/>
    <w:rsid w:val="00010B66"/>
    <w:pPr>
      <w:numPr>
        <w:numId w:val="0"/>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372186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4977952">
      <w:bodyDiv w:val="1"/>
      <w:marLeft w:val="0"/>
      <w:marRight w:val="0"/>
      <w:marTop w:val="0"/>
      <w:marBottom w:val="0"/>
      <w:divBdr>
        <w:top w:val="none" w:sz="0" w:space="0" w:color="auto"/>
        <w:left w:val="none" w:sz="0" w:space="0" w:color="auto"/>
        <w:bottom w:val="none" w:sz="0" w:space="0" w:color="auto"/>
        <w:right w:val="none" w:sz="0" w:space="0" w:color="auto"/>
      </w:divBdr>
    </w:div>
    <w:div w:id="78665597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4248225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06341501">
      <w:bodyDiv w:val="1"/>
      <w:marLeft w:val="0"/>
      <w:marRight w:val="0"/>
      <w:marTop w:val="0"/>
      <w:marBottom w:val="0"/>
      <w:divBdr>
        <w:top w:val="none" w:sz="0" w:space="0" w:color="auto"/>
        <w:left w:val="none" w:sz="0" w:space="0" w:color="auto"/>
        <w:bottom w:val="none" w:sz="0" w:space="0" w:color="auto"/>
        <w:right w:val="none" w:sz="0" w:space="0" w:color="auto"/>
      </w:divBdr>
    </w:div>
    <w:div w:id="170521087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13420</Words>
  <Characters>76499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2023-06-26T01:48:00Z</dcterms:created>
  <dcterms:modified xsi:type="dcterms:W3CDTF">2023-06-26T01:50:00Z</dcterms:modified>
</cp:coreProperties>
</file>