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7EF7256" w:rsidR="00B60939" w:rsidRPr="00C52646" w:rsidRDefault="00D04D5B" w:rsidP="004A6040">
      <w:pPr>
        <w:pStyle w:val="COMH1-non-numbered"/>
      </w:pPr>
      <w:bookmarkStart w:id="0" w:name="_Toc113983787"/>
      <w:r w:rsidRPr="00C52646">
        <w:t>6.0</w:t>
      </w:r>
      <w:r w:rsidR="005E6627">
        <w:t>5</w:t>
      </w:r>
      <w:r w:rsidR="00163F66" w:rsidRPr="00C52646">
        <w:tab/>
      </w:r>
      <w:r w:rsidRPr="00C52646">
        <w:t>IBRUTINIB</w:t>
      </w:r>
      <w:r w:rsidR="00163F66" w:rsidRPr="00C52646">
        <w:t>,</w:t>
      </w:r>
      <w:r w:rsidR="00163F66" w:rsidRPr="00C52646">
        <w:br/>
      </w:r>
      <w:r w:rsidR="00194A5B" w:rsidRPr="00C52646">
        <w:t>Capsule</w:t>
      </w:r>
      <w:r w:rsidR="0051352D">
        <w:t xml:space="preserve"> </w:t>
      </w:r>
      <w:r w:rsidR="00194A5B" w:rsidRPr="00C52646">
        <w:t>140 mg</w:t>
      </w:r>
      <w:r w:rsidR="00163F66" w:rsidRPr="00C52646">
        <w:t>,</w:t>
      </w:r>
      <w:r w:rsidR="00163F66" w:rsidRPr="00C52646">
        <w:br/>
      </w:r>
      <w:r w:rsidR="00194A5B" w:rsidRPr="00C52646">
        <w:t>Imbruvica</w:t>
      </w:r>
      <w:r w:rsidR="00B60939" w:rsidRPr="00C52646">
        <w:rPr>
          <w:vertAlign w:val="superscript"/>
        </w:rPr>
        <w:t>®</w:t>
      </w:r>
      <w:r w:rsidR="004A6040" w:rsidRPr="00C52646">
        <w:t>,</w:t>
      </w:r>
      <w:r w:rsidR="004A6040" w:rsidRPr="00C52646">
        <w:br/>
      </w:r>
      <w:r w:rsidR="00194A5B" w:rsidRPr="00C52646">
        <w:t>JANSSEN-CILAG</w:t>
      </w:r>
      <w:r w:rsidR="004809C2" w:rsidRPr="00C52646">
        <w:t xml:space="preserve"> PTY LTD</w:t>
      </w:r>
      <w:r w:rsidR="00B60939" w:rsidRPr="00C52646">
        <w:t>.</w:t>
      </w:r>
      <w:bookmarkEnd w:id="0"/>
      <w:r w:rsidR="00F73E08" w:rsidRPr="00C52646">
        <w:t xml:space="preserve"> </w:t>
      </w:r>
    </w:p>
    <w:p w14:paraId="11C00795" w14:textId="3DFB6D23" w:rsidR="00B50DB8" w:rsidRPr="00C52646" w:rsidRDefault="00B50DB8" w:rsidP="00431DCA">
      <w:pPr>
        <w:pStyle w:val="COMH1numbered"/>
      </w:pPr>
      <w:bookmarkStart w:id="1" w:name="_Toc113983789"/>
      <w:r w:rsidRPr="00C52646">
        <w:t xml:space="preserve">Purpose of </w:t>
      </w:r>
      <w:r w:rsidR="00CD7193" w:rsidRPr="00C52646">
        <w:t>s</w:t>
      </w:r>
      <w:r w:rsidR="00BB3A45" w:rsidRPr="00C52646">
        <w:t>ubmission</w:t>
      </w:r>
      <w:bookmarkEnd w:id="1"/>
    </w:p>
    <w:p w14:paraId="025ABE7E" w14:textId="6473D89D" w:rsidR="00513618" w:rsidRPr="00E255C7" w:rsidRDefault="00094907" w:rsidP="000B1D0C">
      <w:pPr>
        <w:pStyle w:val="COMexecsumnumberedpara"/>
      </w:pPr>
      <w:r w:rsidRPr="00E255C7">
        <w:t>The Category 2 submission requested a</w:t>
      </w:r>
      <w:r w:rsidR="00FF3A92" w:rsidRPr="00E255C7">
        <w:t xml:space="preserve"> General Schedule</w:t>
      </w:r>
      <w:r w:rsidRPr="00E255C7">
        <w:t xml:space="preserve"> Authority Required </w:t>
      </w:r>
      <w:r w:rsidR="004C39AA">
        <w:t xml:space="preserve">(Written) </w:t>
      </w:r>
      <w:r w:rsidRPr="00E255C7">
        <w:t>listing</w:t>
      </w:r>
      <w:r w:rsidR="00E773FE" w:rsidRPr="00E255C7">
        <w:t xml:space="preserve"> </w:t>
      </w:r>
      <w:r w:rsidR="004C39AA">
        <w:t>for</w:t>
      </w:r>
      <w:r w:rsidR="00E773FE" w:rsidRPr="00E255C7">
        <w:t xml:space="preserve"> ibrutinib</w:t>
      </w:r>
      <w:r w:rsidR="00513618" w:rsidRPr="00E255C7">
        <w:t>, for use in combination with venetoclax,</w:t>
      </w:r>
      <w:r w:rsidRPr="00E255C7">
        <w:t xml:space="preserve"> </w:t>
      </w:r>
      <w:bookmarkStart w:id="2" w:name="_Hlk121470371"/>
      <w:r w:rsidRPr="00E255C7">
        <w:t>for the treatment of previously untreated chronic lymphocytic leukaemia</w:t>
      </w:r>
      <w:r w:rsidR="00E773FE" w:rsidRPr="00E255C7">
        <w:t xml:space="preserve"> (CLL)</w:t>
      </w:r>
      <w:r w:rsidRPr="00E255C7">
        <w:t xml:space="preserve"> or small lymphocytic lymphoma</w:t>
      </w:r>
      <w:r w:rsidR="00E773FE" w:rsidRPr="00E255C7">
        <w:t xml:space="preserve"> (SLL)</w:t>
      </w:r>
      <w:bookmarkEnd w:id="2"/>
      <w:r w:rsidR="00513618" w:rsidRPr="00E255C7">
        <w:t>.</w:t>
      </w:r>
    </w:p>
    <w:p w14:paraId="19414AA1" w14:textId="747CDD55" w:rsidR="002C2775" w:rsidRPr="003C16FE" w:rsidRDefault="00765DBC" w:rsidP="00E255C7">
      <w:pPr>
        <w:pStyle w:val="COMexecsumnumberedpara"/>
      </w:pPr>
      <w:r w:rsidRPr="003C16FE">
        <w:t xml:space="preserve">The requested </w:t>
      </w:r>
      <w:r w:rsidR="00E17456" w:rsidRPr="003C16FE">
        <w:t>population includes patients</w:t>
      </w:r>
      <w:r w:rsidR="00784801" w:rsidRPr="003C16FE">
        <w:t xml:space="preserve"> who would be considered fit for treatment with fludarabine-based chemoimmunotherapy. Fit patients include those who are typically younger with good organ function</w:t>
      </w:r>
      <w:r w:rsidR="00B96D1D">
        <w:t xml:space="preserve"> and fewer comorbidities</w:t>
      </w:r>
      <w:r w:rsidR="00784801" w:rsidRPr="003C16FE">
        <w:t xml:space="preserve">. </w:t>
      </w:r>
    </w:p>
    <w:p w14:paraId="4E9FBCB5" w14:textId="184B929E" w:rsidR="00C2778B" w:rsidRPr="003C16FE" w:rsidRDefault="005750C5" w:rsidP="00E255C7">
      <w:pPr>
        <w:pStyle w:val="COMexecsumnumberedpara"/>
      </w:pPr>
      <w:r w:rsidRPr="003C16FE">
        <w:t>Listing was requested on the basis of a cost-effectiveness</w:t>
      </w:r>
      <w:r w:rsidR="00E17456" w:rsidRPr="003C16FE">
        <w:t>/cost-utility</w:t>
      </w:r>
      <w:r w:rsidRPr="003C16FE">
        <w:t xml:space="preserve"> analysis versus </w:t>
      </w:r>
      <w:r w:rsidR="00E17456" w:rsidRPr="003C16FE">
        <w:t xml:space="preserve">chemoimmunotherapy with fludarabine, </w:t>
      </w:r>
      <w:r w:rsidR="00E15F22" w:rsidRPr="003C16FE">
        <w:t>cyclophosphamide, and rituximab (FCR)</w:t>
      </w:r>
      <w:r w:rsidRPr="003C16FE">
        <w:t xml:space="preserve">. </w:t>
      </w:r>
    </w:p>
    <w:p w14:paraId="3718DE61" w14:textId="6901ACDB" w:rsidR="008B1757" w:rsidRPr="00C52646" w:rsidRDefault="00696EF9" w:rsidP="004A6040">
      <w:pPr>
        <w:pStyle w:val="COMtablefigcaption"/>
      </w:pPr>
      <w:r w:rsidRPr="00C52646">
        <w:t xml:space="preserve">Table </w:t>
      </w:r>
      <w:fldSimple w:instr=" SEQ Table \* ARABIC " w:fldLock="1">
        <w:r w:rsidR="00B22386">
          <w:rPr>
            <w:noProof/>
          </w:rPr>
          <w:t>1</w:t>
        </w:r>
      </w:fldSimple>
      <w:r w:rsidRPr="00C52646">
        <w:t>:</w:t>
      </w:r>
      <w:r w:rsidR="00BC591F" w:rsidRPr="00C52646">
        <w:t xml:space="preserve"> </w:t>
      </w:r>
      <w:r w:rsidR="008B1757" w:rsidRPr="00C52646">
        <w:t>Key components of the clinical issue addressed by the submission</w:t>
      </w:r>
      <w:r w:rsidR="007170DA" w:rsidRPr="00C52646">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271"/>
        <w:gridCol w:w="7746"/>
      </w:tblGrid>
      <w:tr w:rsidR="008B1757" w:rsidRPr="00C52646" w14:paraId="569F5103" w14:textId="77777777" w:rsidTr="00705974">
        <w:trPr>
          <w:cantSplit/>
          <w:tblHeader/>
        </w:trPr>
        <w:tc>
          <w:tcPr>
            <w:tcW w:w="705" w:type="pct"/>
            <w:shd w:val="clear" w:color="auto" w:fill="auto"/>
          </w:tcPr>
          <w:p w14:paraId="501803FB" w14:textId="77777777" w:rsidR="008B1757" w:rsidRPr="005A1FF2" w:rsidRDefault="008B1757" w:rsidP="004A6040">
            <w:pPr>
              <w:pStyle w:val="COMTableheadingrow"/>
              <w:rPr>
                <w:szCs w:val="20"/>
                <w:lang w:val="en-AU"/>
              </w:rPr>
            </w:pPr>
            <w:r w:rsidRPr="005A1FF2">
              <w:rPr>
                <w:lang w:val="en-AU"/>
              </w:rPr>
              <w:t>Component</w:t>
            </w:r>
          </w:p>
        </w:tc>
        <w:tc>
          <w:tcPr>
            <w:tcW w:w="4295" w:type="pct"/>
            <w:shd w:val="clear" w:color="auto" w:fill="auto"/>
          </w:tcPr>
          <w:p w14:paraId="445D9EBB" w14:textId="77777777" w:rsidR="008B1757" w:rsidRPr="005A1FF2" w:rsidRDefault="008B1757" w:rsidP="004A6040">
            <w:pPr>
              <w:pStyle w:val="COMTableheadingrow"/>
              <w:rPr>
                <w:lang w:val="en-AU"/>
              </w:rPr>
            </w:pPr>
            <w:r w:rsidRPr="005A1FF2">
              <w:rPr>
                <w:lang w:val="en-AU"/>
              </w:rPr>
              <w:t>Description</w:t>
            </w:r>
          </w:p>
        </w:tc>
      </w:tr>
      <w:tr w:rsidR="00131054" w:rsidRPr="00C52646" w14:paraId="2EB546E2" w14:textId="77777777" w:rsidTr="00705974">
        <w:trPr>
          <w:cantSplit/>
        </w:trPr>
        <w:tc>
          <w:tcPr>
            <w:tcW w:w="705" w:type="pct"/>
            <w:vAlign w:val="center"/>
          </w:tcPr>
          <w:p w14:paraId="38F3BB34" w14:textId="428338EE" w:rsidR="00131054" w:rsidRPr="00C52646" w:rsidRDefault="00131054" w:rsidP="00131054">
            <w:pPr>
              <w:pStyle w:val="COMTabletext"/>
            </w:pPr>
            <w:r w:rsidRPr="00C52646">
              <w:rPr>
                <w:szCs w:val="20"/>
              </w:rPr>
              <w:t>Population</w:t>
            </w:r>
          </w:p>
        </w:tc>
        <w:tc>
          <w:tcPr>
            <w:tcW w:w="4295" w:type="pct"/>
          </w:tcPr>
          <w:p w14:paraId="79618EEE" w14:textId="12E86E0B" w:rsidR="00131054" w:rsidRPr="00C52646" w:rsidRDefault="00131054" w:rsidP="00131054">
            <w:pPr>
              <w:pStyle w:val="TableText"/>
              <w:rPr>
                <w:rFonts w:ascii="Segoe UI" w:hAnsi="Segoe UI" w:cs="Segoe UI"/>
                <w:sz w:val="18"/>
                <w:szCs w:val="18"/>
              </w:rPr>
            </w:pPr>
            <w:r w:rsidRPr="00C52646">
              <w:t>Patients with previously untreated CLL/SLL who would otherwise be considered fit for treatment with fludarabine based chemoimmunotherapy.</w:t>
            </w:r>
          </w:p>
        </w:tc>
      </w:tr>
      <w:tr w:rsidR="00131054" w:rsidRPr="00C52646" w14:paraId="0CA523AF" w14:textId="77777777" w:rsidTr="00705974">
        <w:trPr>
          <w:cantSplit/>
        </w:trPr>
        <w:tc>
          <w:tcPr>
            <w:tcW w:w="705" w:type="pct"/>
            <w:vAlign w:val="center"/>
          </w:tcPr>
          <w:p w14:paraId="7B6D20D8" w14:textId="79D244AE" w:rsidR="00131054" w:rsidRPr="00C52646" w:rsidRDefault="00131054" w:rsidP="00131054">
            <w:pPr>
              <w:pStyle w:val="COMTabletext"/>
            </w:pPr>
            <w:r w:rsidRPr="00C52646">
              <w:rPr>
                <w:szCs w:val="20"/>
              </w:rPr>
              <w:t>Intervention</w:t>
            </w:r>
          </w:p>
        </w:tc>
        <w:tc>
          <w:tcPr>
            <w:tcW w:w="4295" w:type="pct"/>
          </w:tcPr>
          <w:p w14:paraId="614CB7C5" w14:textId="77777777" w:rsidR="00131054" w:rsidRPr="00C52646" w:rsidRDefault="00131054" w:rsidP="00131054">
            <w:pPr>
              <w:keepNext/>
              <w:rPr>
                <w:rFonts w:ascii="Arial Narrow" w:eastAsia="Arial Narrow" w:hAnsi="Arial Narrow" w:cs="Arial Narrow"/>
                <w:sz w:val="20"/>
                <w:szCs w:val="20"/>
              </w:rPr>
            </w:pPr>
            <w:r w:rsidRPr="00C52646">
              <w:rPr>
                <w:rFonts w:ascii="Arial Narrow" w:eastAsia="Arial Narrow" w:hAnsi="Arial Narrow" w:cs="Arial Narrow"/>
                <w:sz w:val="20"/>
                <w:szCs w:val="20"/>
              </w:rPr>
              <w:t xml:space="preserve">Fixed duration ibrutinib + venetoclax (15 cycles in total, fixed duration therapy) per the following regimen: </w:t>
            </w:r>
          </w:p>
          <w:p w14:paraId="5732F381" w14:textId="37348BB1" w:rsidR="00131054" w:rsidRPr="00C52646" w:rsidRDefault="00131054" w:rsidP="001104CE">
            <w:pPr>
              <w:pStyle w:val="ListParagraph"/>
              <w:keepNext/>
              <w:numPr>
                <w:ilvl w:val="0"/>
                <w:numId w:val="10"/>
              </w:numPr>
              <w:spacing w:after="0"/>
              <w:ind w:left="113" w:hanging="113"/>
              <w:contextualSpacing/>
              <w:jc w:val="left"/>
              <w:rPr>
                <w:rFonts w:ascii="Arial Narrow" w:eastAsia="Arial Narrow" w:hAnsi="Arial Narrow" w:cs="Arial Narrow"/>
                <w:sz w:val="20"/>
                <w:szCs w:val="20"/>
              </w:rPr>
            </w:pPr>
            <w:r w:rsidRPr="00C52646">
              <w:rPr>
                <w:rFonts w:ascii="Arial Narrow" w:eastAsia="Arial Narrow" w:hAnsi="Arial Narrow" w:cs="Arial Narrow"/>
                <w:sz w:val="20"/>
                <w:szCs w:val="20"/>
              </w:rPr>
              <w:t>Oral ibrutinib: 420 mg once daily for 15 28-day cycles</w:t>
            </w:r>
            <w:r w:rsidR="007929E7" w:rsidRPr="00C52646">
              <w:rPr>
                <w:rFonts w:ascii="Arial Narrow" w:eastAsia="Arial Narrow" w:hAnsi="Arial Narrow" w:cs="Arial Narrow"/>
                <w:sz w:val="20"/>
                <w:szCs w:val="20"/>
              </w:rPr>
              <w:t>.</w:t>
            </w:r>
            <w:r w:rsidRPr="00C52646">
              <w:rPr>
                <w:rFonts w:ascii="Arial Narrow" w:eastAsia="Arial Narrow" w:hAnsi="Arial Narrow" w:cs="Arial Narrow"/>
                <w:sz w:val="20"/>
                <w:szCs w:val="20"/>
              </w:rPr>
              <w:t xml:space="preserve"> </w:t>
            </w:r>
          </w:p>
          <w:p w14:paraId="2491E905" w14:textId="58B48E21" w:rsidR="00131054" w:rsidRPr="00C52646" w:rsidRDefault="00131054" w:rsidP="001104CE">
            <w:pPr>
              <w:pStyle w:val="COMTabletext"/>
              <w:numPr>
                <w:ilvl w:val="0"/>
                <w:numId w:val="10"/>
              </w:numPr>
              <w:ind w:left="113" w:hanging="113"/>
            </w:pPr>
            <w:r w:rsidRPr="00C52646">
              <w:rPr>
                <w:rFonts w:eastAsia="Arial Narrow" w:cs="Arial Narrow"/>
                <w:szCs w:val="20"/>
              </w:rPr>
              <w:t>Oral venetoclax: 5-week dose ramp-up followed by 400 mg daily starting at cycle 4 and continued for 12 cycles.</w:t>
            </w:r>
          </w:p>
        </w:tc>
      </w:tr>
      <w:tr w:rsidR="00131054" w:rsidRPr="00C52646" w14:paraId="0F81EBE4" w14:textId="77777777" w:rsidTr="00705974">
        <w:trPr>
          <w:cantSplit/>
        </w:trPr>
        <w:tc>
          <w:tcPr>
            <w:tcW w:w="705" w:type="pct"/>
            <w:vAlign w:val="center"/>
          </w:tcPr>
          <w:p w14:paraId="3656B343" w14:textId="21BD61E8" w:rsidR="00131054" w:rsidRPr="00C52646" w:rsidRDefault="00131054" w:rsidP="00131054">
            <w:pPr>
              <w:pStyle w:val="COMTabletext"/>
            </w:pPr>
            <w:r w:rsidRPr="00C52646">
              <w:rPr>
                <w:szCs w:val="20"/>
              </w:rPr>
              <w:t>Comparator</w:t>
            </w:r>
          </w:p>
        </w:tc>
        <w:tc>
          <w:tcPr>
            <w:tcW w:w="4295" w:type="pct"/>
          </w:tcPr>
          <w:p w14:paraId="34324A38" w14:textId="77777777" w:rsidR="00131054" w:rsidRPr="00C52646" w:rsidRDefault="00131054" w:rsidP="00705974">
            <w:pPr>
              <w:keepNext/>
              <w:rPr>
                <w:rFonts w:ascii="Arial Narrow" w:eastAsia="Arial Narrow" w:hAnsi="Arial Narrow" w:cs="Arial Narrow"/>
                <w:sz w:val="20"/>
                <w:szCs w:val="20"/>
              </w:rPr>
            </w:pPr>
            <w:r w:rsidRPr="00C52646">
              <w:rPr>
                <w:rFonts w:ascii="Arial Narrow" w:eastAsia="Arial Narrow" w:hAnsi="Arial Narrow" w:cs="Arial Narrow"/>
                <w:sz w:val="20"/>
                <w:szCs w:val="20"/>
              </w:rPr>
              <w:t xml:space="preserve">Fludarabine, cyclophosphamide, and rituximab (FCR; 6 cycles in total, fixed duration therapy) per the following regimen: </w:t>
            </w:r>
          </w:p>
          <w:p w14:paraId="08561519" w14:textId="77777777" w:rsidR="00131054" w:rsidRPr="00C52646" w:rsidRDefault="00131054" w:rsidP="001104CE">
            <w:pPr>
              <w:pStyle w:val="ListParagraph"/>
              <w:keepNext/>
              <w:numPr>
                <w:ilvl w:val="0"/>
                <w:numId w:val="10"/>
              </w:numPr>
              <w:spacing w:after="0"/>
              <w:ind w:left="113" w:hanging="113"/>
              <w:contextualSpacing/>
              <w:jc w:val="left"/>
              <w:rPr>
                <w:rFonts w:ascii="Arial Narrow" w:eastAsia="Arial Narrow" w:hAnsi="Arial Narrow" w:cs="Arial Narrow"/>
                <w:sz w:val="20"/>
                <w:szCs w:val="20"/>
              </w:rPr>
            </w:pPr>
            <w:r w:rsidRPr="00C52646">
              <w:rPr>
                <w:rFonts w:ascii="Arial Narrow" w:eastAsia="Arial Narrow" w:hAnsi="Arial Narrow" w:cs="Arial Narrow"/>
                <w:sz w:val="20"/>
                <w:szCs w:val="20"/>
              </w:rPr>
              <w:t>IV fludarabine: 25 mg/m</w:t>
            </w:r>
            <w:r w:rsidRPr="00C52646">
              <w:rPr>
                <w:rFonts w:ascii="Arial Narrow" w:eastAsia="Arial Narrow" w:hAnsi="Arial Narrow" w:cs="Arial Narrow"/>
                <w:sz w:val="20"/>
                <w:szCs w:val="20"/>
                <w:vertAlign w:val="superscript"/>
              </w:rPr>
              <w:t>2</w:t>
            </w:r>
            <w:r w:rsidRPr="00C52646">
              <w:rPr>
                <w:rFonts w:ascii="Arial Narrow" w:eastAsia="Arial Narrow" w:hAnsi="Arial Narrow" w:cs="Arial Narrow"/>
                <w:sz w:val="20"/>
                <w:szCs w:val="20"/>
              </w:rPr>
              <w:t xml:space="preserve"> on days 1 through 3 of cycles 1 to 6</w:t>
            </w:r>
          </w:p>
          <w:p w14:paraId="69740FE2" w14:textId="77777777" w:rsidR="00131054" w:rsidRPr="00C52646" w:rsidRDefault="00131054" w:rsidP="001104CE">
            <w:pPr>
              <w:pStyle w:val="ListParagraph"/>
              <w:keepNext/>
              <w:numPr>
                <w:ilvl w:val="0"/>
                <w:numId w:val="10"/>
              </w:numPr>
              <w:spacing w:after="0"/>
              <w:ind w:left="113" w:hanging="113"/>
              <w:contextualSpacing/>
              <w:jc w:val="left"/>
              <w:rPr>
                <w:rFonts w:ascii="Arial Narrow" w:eastAsia="Arial Narrow" w:hAnsi="Arial Narrow" w:cs="Arial Narrow"/>
                <w:sz w:val="20"/>
                <w:szCs w:val="20"/>
              </w:rPr>
            </w:pPr>
            <w:r w:rsidRPr="00C52646">
              <w:rPr>
                <w:rFonts w:ascii="Arial Narrow" w:eastAsia="Arial Narrow" w:hAnsi="Arial Narrow" w:cs="Arial Narrow"/>
                <w:sz w:val="20"/>
                <w:szCs w:val="20"/>
              </w:rPr>
              <w:t>IV cyclophosphamide: 250 mg/m</w:t>
            </w:r>
            <w:r w:rsidRPr="00C52646">
              <w:rPr>
                <w:rFonts w:ascii="Arial Narrow" w:eastAsia="Arial Narrow" w:hAnsi="Arial Narrow" w:cs="Arial Narrow"/>
                <w:sz w:val="20"/>
                <w:szCs w:val="20"/>
                <w:vertAlign w:val="superscript"/>
              </w:rPr>
              <w:t>2</w:t>
            </w:r>
            <w:r w:rsidRPr="00C52646">
              <w:rPr>
                <w:rFonts w:ascii="Arial Narrow" w:eastAsia="Arial Narrow" w:hAnsi="Arial Narrow" w:cs="Arial Narrow"/>
                <w:sz w:val="20"/>
                <w:szCs w:val="20"/>
              </w:rPr>
              <w:t xml:space="preserve"> on days 1 through 3 of cycles 1 to 6</w:t>
            </w:r>
          </w:p>
          <w:p w14:paraId="3727DE24" w14:textId="24924CF6" w:rsidR="00131054" w:rsidRPr="00C52646" w:rsidRDefault="00131054" w:rsidP="001104CE">
            <w:pPr>
              <w:pStyle w:val="ListParagraph"/>
              <w:keepNext/>
              <w:numPr>
                <w:ilvl w:val="0"/>
                <w:numId w:val="10"/>
              </w:numPr>
              <w:spacing w:after="0"/>
              <w:ind w:left="113" w:hanging="113"/>
              <w:contextualSpacing/>
              <w:jc w:val="left"/>
            </w:pPr>
            <w:r w:rsidRPr="00C52646">
              <w:rPr>
                <w:rFonts w:ascii="Arial Narrow" w:eastAsia="Arial Narrow" w:hAnsi="Arial Narrow" w:cs="Arial Narrow"/>
                <w:sz w:val="20"/>
                <w:szCs w:val="20"/>
              </w:rPr>
              <w:t>IV rituximab: 50 mg/m</w:t>
            </w:r>
            <w:r w:rsidRPr="00C52646">
              <w:rPr>
                <w:rFonts w:eastAsia="Arial Narrow" w:cs="Arial Narrow"/>
                <w:szCs w:val="20"/>
                <w:vertAlign w:val="superscript"/>
              </w:rPr>
              <w:t>2</w:t>
            </w:r>
            <w:r w:rsidRPr="00C52646">
              <w:rPr>
                <w:rFonts w:ascii="Arial Narrow" w:eastAsia="Arial Narrow" w:hAnsi="Arial Narrow" w:cs="Arial Narrow"/>
                <w:sz w:val="20"/>
                <w:szCs w:val="20"/>
              </w:rPr>
              <w:t xml:space="preserve"> on day 1 of cycle 1; 325 mg/m</w:t>
            </w:r>
            <w:r w:rsidRPr="00C52646">
              <w:rPr>
                <w:rFonts w:eastAsia="Arial Narrow" w:cs="Arial Narrow"/>
                <w:szCs w:val="20"/>
                <w:vertAlign w:val="superscript"/>
              </w:rPr>
              <w:t>2</w:t>
            </w:r>
            <w:r w:rsidRPr="00C52646">
              <w:rPr>
                <w:rFonts w:ascii="Arial Narrow" w:eastAsia="Arial Narrow" w:hAnsi="Arial Narrow" w:cs="Arial Narrow"/>
                <w:sz w:val="20"/>
                <w:szCs w:val="20"/>
              </w:rPr>
              <w:t xml:space="preserve"> on day 2 of cycle 1; and 500 mg/m</w:t>
            </w:r>
            <w:r w:rsidRPr="00C52646">
              <w:rPr>
                <w:rFonts w:eastAsia="Arial Narrow" w:cs="Arial Narrow"/>
                <w:szCs w:val="20"/>
                <w:vertAlign w:val="superscript"/>
              </w:rPr>
              <w:t>2</w:t>
            </w:r>
            <w:r w:rsidRPr="00C52646">
              <w:rPr>
                <w:rFonts w:ascii="Arial Narrow" w:eastAsia="Arial Narrow" w:hAnsi="Arial Narrow" w:cs="Arial Narrow"/>
                <w:sz w:val="20"/>
                <w:szCs w:val="20"/>
              </w:rPr>
              <w:t xml:space="preserve"> on day 1 of cycles 2 through 6.</w:t>
            </w:r>
          </w:p>
        </w:tc>
      </w:tr>
      <w:tr w:rsidR="00131054" w:rsidRPr="00C52646" w14:paraId="02F86F0D" w14:textId="77777777" w:rsidTr="00705974">
        <w:trPr>
          <w:cantSplit/>
        </w:trPr>
        <w:tc>
          <w:tcPr>
            <w:tcW w:w="705" w:type="pct"/>
            <w:vAlign w:val="center"/>
          </w:tcPr>
          <w:p w14:paraId="06433105" w14:textId="1B9F3683" w:rsidR="00131054" w:rsidRPr="00C52646" w:rsidRDefault="00131054" w:rsidP="00131054">
            <w:pPr>
              <w:pStyle w:val="COMTabletext"/>
            </w:pPr>
            <w:r w:rsidRPr="00C52646">
              <w:rPr>
                <w:szCs w:val="20"/>
              </w:rPr>
              <w:t>Outcomes</w:t>
            </w:r>
          </w:p>
        </w:tc>
        <w:tc>
          <w:tcPr>
            <w:tcW w:w="4295" w:type="pct"/>
          </w:tcPr>
          <w:p w14:paraId="5ABC4037" w14:textId="48488634" w:rsidR="00131054" w:rsidRPr="00C52646" w:rsidRDefault="00131054" w:rsidP="00131054">
            <w:pPr>
              <w:pStyle w:val="COMTabletext"/>
              <w:rPr>
                <w:rFonts w:eastAsia="Times New Roman" w:cs="Arial"/>
                <w:bCs w:val="0"/>
                <w:snapToGrid w:val="0"/>
                <w:color w:val="0066FF"/>
                <w:szCs w:val="20"/>
              </w:rPr>
            </w:pPr>
            <w:r w:rsidRPr="00C52646">
              <w:rPr>
                <w:rFonts w:eastAsia="Arial Narrow" w:cs="Arial Narrow"/>
                <w:szCs w:val="20"/>
              </w:rPr>
              <w:t>Progression</w:t>
            </w:r>
            <w:r w:rsidR="0051352D">
              <w:rPr>
                <w:rFonts w:eastAsia="Arial Narrow" w:cs="Arial Narrow"/>
                <w:szCs w:val="20"/>
              </w:rPr>
              <w:t>-</w:t>
            </w:r>
            <w:r w:rsidRPr="00C52646">
              <w:rPr>
                <w:rFonts w:eastAsia="Arial Narrow" w:cs="Arial Narrow"/>
                <w:szCs w:val="20"/>
              </w:rPr>
              <w:t xml:space="preserve">free survival, overall survival, overall response rate, complete response rate, MRD negativity, adverse events. </w:t>
            </w:r>
          </w:p>
        </w:tc>
      </w:tr>
      <w:tr w:rsidR="00131054" w:rsidRPr="00C52646" w14:paraId="22223890" w14:textId="77777777" w:rsidTr="00705974">
        <w:trPr>
          <w:cantSplit/>
        </w:trPr>
        <w:tc>
          <w:tcPr>
            <w:tcW w:w="705" w:type="pct"/>
            <w:vAlign w:val="center"/>
          </w:tcPr>
          <w:p w14:paraId="0FC8FCE0" w14:textId="7ACE45F9" w:rsidR="00131054" w:rsidRPr="00C52646" w:rsidRDefault="00131054" w:rsidP="00131054">
            <w:pPr>
              <w:pStyle w:val="COMTabletext"/>
            </w:pPr>
            <w:r w:rsidRPr="00C52646">
              <w:rPr>
                <w:szCs w:val="20"/>
              </w:rPr>
              <w:t>Clinical claim</w:t>
            </w:r>
          </w:p>
        </w:tc>
        <w:tc>
          <w:tcPr>
            <w:tcW w:w="4295" w:type="pct"/>
          </w:tcPr>
          <w:p w14:paraId="2C99C4DE" w14:textId="22FECFE8" w:rsidR="00131054" w:rsidRPr="00C52646" w:rsidRDefault="00131054" w:rsidP="00131054">
            <w:pPr>
              <w:pStyle w:val="COMTabletext"/>
              <w:rPr>
                <w:rFonts w:eastAsia="Times New Roman" w:cs="Arial"/>
                <w:bCs w:val="0"/>
                <w:snapToGrid w:val="0"/>
                <w:color w:val="0066FF"/>
                <w:szCs w:val="20"/>
              </w:rPr>
            </w:pPr>
            <w:r w:rsidRPr="00C52646">
              <w:rPr>
                <w:rFonts w:eastAsia="Arial Narrow" w:cs="Arial Narrow"/>
                <w:szCs w:val="20"/>
              </w:rPr>
              <w:t xml:space="preserve">Ibrutinib + venetoclax is superior to FCR in terms of efficacy and at least non-inferior in terms of safety, with a different safety profile compared to FCR, and a reduced risk of developing secondary primary malignancies.  </w:t>
            </w:r>
          </w:p>
        </w:tc>
      </w:tr>
    </w:tbl>
    <w:p w14:paraId="527CA7F0" w14:textId="24804CA5" w:rsidR="004E43B2" w:rsidRPr="00C52646" w:rsidRDefault="008B1757" w:rsidP="004A6040">
      <w:pPr>
        <w:pStyle w:val="COMTablefooter"/>
      </w:pPr>
      <w:r w:rsidRPr="00C52646">
        <w:t xml:space="preserve">Source: </w:t>
      </w:r>
      <w:r w:rsidR="00131054" w:rsidRPr="00C52646">
        <w:t>Table 1-1, p17</w:t>
      </w:r>
      <w:r w:rsidRPr="00C52646">
        <w:t xml:space="preserve"> of the submission</w:t>
      </w:r>
      <w:r w:rsidR="00155719">
        <w:t>.</w:t>
      </w:r>
    </w:p>
    <w:p w14:paraId="1A1D50F1" w14:textId="400DC8DD" w:rsidR="0066514F" w:rsidRPr="00C52646" w:rsidRDefault="0066514F" w:rsidP="006373F3">
      <w:pPr>
        <w:pStyle w:val="COMTablefooter"/>
      </w:pPr>
      <w:r w:rsidRPr="00C52646">
        <w:t xml:space="preserve">Abbreviations: </w:t>
      </w:r>
      <w:r w:rsidR="00E351BB" w:rsidRPr="00C52646">
        <w:t>CLL/SLL, chronic lymphocytic leukaemia/small lymphocytic lymphoma; FCR, fludarabine, cyclophosphamide, and rituximab</w:t>
      </w:r>
      <w:r w:rsidR="006213E2" w:rsidRPr="00C52646">
        <w:t>; IV, intravenous</w:t>
      </w:r>
      <w:r w:rsidR="00BF2D63" w:rsidRPr="00C52646">
        <w:t>; MRD, minimal residual disease</w:t>
      </w:r>
      <w:r w:rsidR="006213E2" w:rsidRPr="00C52646">
        <w:t>.</w:t>
      </w:r>
    </w:p>
    <w:p w14:paraId="6B4AB6C2" w14:textId="2B6A424D" w:rsidR="005C25FF" w:rsidRDefault="005C25FF" w:rsidP="00431DCA">
      <w:pPr>
        <w:pStyle w:val="COMH1numbered"/>
      </w:pPr>
      <w:bookmarkStart w:id="3" w:name="_Toc113983790"/>
      <w:r w:rsidRPr="00C52646">
        <w:t>Background</w:t>
      </w:r>
      <w:bookmarkEnd w:id="3"/>
    </w:p>
    <w:p w14:paraId="0680576B" w14:textId="6568FDCF" w:rsidR="00DF6E91" w:rsidRPr="004C79DE" w:rsidRDefault="00DF6E91" w:rsidP="00DF6E91">
      <w:pPr>
        <w:pStyle w:val="4-SubsectionHeading"/>
        <w:rPr>
          <w:color w:val="auto"/>
        </w:rPr>
      </w:pPr>
      <w:bookmarkStart w:id="4" w:name="_Toc22897639"/>
      <w:bookmarkStart w:id="5" w:name="_Toc107927621"/>
      <w:bookmarkStart w:id="6" w:name="_Toc113983791"/>
      <w:r w:rsidRPr="004C79DE">
        <w:rPr>
          <w:color w:val="auto"/>
        </w:rPr>
        <w:t>Previous PBAC consideration</w:t>
      </w:r>
      <w:bookmarkEnd w:id="4"/>
      <w:bookmarkEnd w:id="5"/>
      <w:bookmarkEnd w:id="6"/>
    </w:p>
    <w:p w14:paraId="267E3EA5" w14:textId="2105CBFF" w:rsidR="00DF6E91" w:rsidRDefault="00DF6E91" w:rsidP="009B3A70">
      <w:pPr>
        <w:pStyle w:val="COMexecsumnumberedpara"/>
      </w:pPr>
      <w:r w:rsidRPr="009B3A70">
        <w:t xml:space="preserve">In November 2019, the PBAC recommended ibrutinib monotherapy for the first-line treatment of CLL/SLL in patients with deletion 17p (del17p), </w:t>
      </w:r>
      <w:r w:rsidR="00064B9F" w:rsidRPr="009B3A70">
        <w:t xml:space="preserve">which may overlap with </w:t>
      </w:r>
      <w:r w:rsidR="00064B9F" w:rsidRPr="009B3A70">
        <w:lastRenderedPageBreak/>
        <w:t xml:space="preserve">a portion of the </w:t>
      </w:r>
      <w:r w:rsidR="00064B9F" w:rsidRPr="003060E4">
        <w:t>population requested in the current submission</w:t>
      </w:r>
      <w:r w:rsidR="00B57A45" w:rsidRPr="001434A1">
        <w:t xml:space="preserve"> which is agnostic to del17p</w:t>
      </w:r>
      <w:r w:rsidR="00064B9F" w:rsidRPr="003060E4">
        <w:t xml:space="preserve">. The recommendation was on the basis of superior comparative effectiveness (in terms of PFS) versus </w:t>
      </w:r>
      <w:r w:rsidR="00064B9F" w:rsidRPr="00121553">
        <w:t>obinutuzumab + chlorambucil</w:t>
      </w:r>
      <w:r w:rsidR="00064B9F" w:rsidRPr="009B3A70">
        <w:t>.</w:t>
      </w:r>
      <w:r w:rsidRPr="009B3A70">
        <w:t xml:space="preserve"> </w:t>
      </w:r>
      <w:r w:rsidR="00D329F7" w:rsidRPr="009B3A70">
        <w:t xml:space="preserve">The </w:t>
      </w:r>
      <w:r w:rsidR="00064B9F" w:rsidRPr="009B3A70">
        <w:t xml:space="preserve">current </w:t>
      </w:r>
      <w:r w:rsidR="00D329F7" w:rsidRPr="009B3A70">
        <w:t>submission stated that the sponsor was</w:t>
      </w:r>
      <w:r w:rsidR="0051352D">
        <w:t>, at that time,</w:t>
      </w:r>
      <w:r w:rsidR="00D329F7" w:rsidRPr="009B3A70">
        <w:t xml:space="preserve"> unable to proceed to PBS listing due to conditions imposed with the recommendation. </w:t>
      </w:r>
    </w:p>
    <w:p w14:paraId="2C521D6D" w14:textId="78CF03EE" w:rsidR="005C25FF" w:rsidRPr="00C52646" w:rsidRDefault="005C25FF" w:rsidP="004A6040">
      <w:pPr>
        <w:pStyle w:val="COMH2-non-numbered"/>
      </w:pPr>
      <w:bookmarkStart w:id="7" w:name="_Toc22897638"/>
      <w:bookmarkStart w:id="8" w:name="_Toc113983792"/>
      <w:r w:rsidRPr="00C52646">
        <w:t>Registration status</w:t>
      </w:r>
      <w:bookmarkEnd w:id="7"/>
      <w:bookmarkEnd w:id="8"/>
    </w:p>
    <w:p w14:paraId="5374AD55" w14:textId="35ACCCA8" w:rsidR="005C25FF" w:rsidRPr="00E36967" w:rsidRDefault="005D27AC" w:rsidP="00E255C7">
      <w:pPr>
        <w:pStyle w:val="COMexecsumnumberedpara"/>
      </w:pPr>
      <w:r w:rsidRPr="00E36967">
        <w:t xml:space="preserve">The submission was made under the TGA/PBAC parallel process. </w:t>
      </w:r>
      <w:r w:rsidR="00EF07F7" w:rsidRPr="00E36967">
        <w:t xml:space="preserve">At the time of evaluation for PBAC consideration, the first-round clinical evaluation report was available. </w:t>
      </w:r>
      <w:r w:rsidR="00654F92" w:rsidRPr="00E36967">
        <w:t xml:space="preserve">The TGA delegate’s overview </w:t>
      </w:r>
      <w:r w:rsidR="00EA1924">
        <w:t>was finalised on 25</w:t>
      </w:r>
      <w:r w:rsidR="00654F92" w:rsidRPr="00E36967">
        <w:t xml:space="preserve"> November 2022.</w:t>
      </w:r>
    </w:p>
    <w:p w14:paraId="062F2BCF" w14:textId="4134080C" w:rsidR="00E62155" w:rsidRPr="00C52646" w:rsidRDefault="00E62155" w:rsidP="007B434A">
      <w:pPr>
        <w:pStyle w:val="COMexecsumnumberedpara"/>
        <w:spacing w:after="0"/>
      </w:pPr>
      <w:r w:rsidRPr="00C52646">
        <w:t xml:space="preserve">The proposed change to the current TGA indication for ibrutinib + venetoclax (in bold) </w:t>
      </w:r>
      <w:r w:rsidR="00EA1924">
        <w:t>wa</w:t>
      </w:r>
      <w:r w:rsidRPr="00C52646">
        <w:t>s</w:t>
      </w:r>
      <w:r w:rsidR="00EA1924">
        <w:t xml:space="preserve"> initially</w:t>
      </w:r>
      <w:r w:rsidRPr="00C52646">
        <w:t xml:space="preserve">:  </w:t>
      </w:r>
    </w:p>
    <w:p w14:paraId="7EE8D7FF" w14:textId="042584FC" w:rsidR="008C7B8A" w:rsidRDefault="00E62155" w:rsidP="006240BD">
      <w:pPr>
        <w:pStyle w:val="COMexecsumnumberedpara"/>
        <w:numPr>
          <w:ilvl w:val="0"/>
          <w:numId w:val="0"/>
        </w:numPr>
        <w:ind w:left="1077"/>
        <w:rPr>
          <w:iCs/>
        </w:rPr>
      </w:pPr>
      <w:r w:rsidRPr="00C52646">
        <w:t xml:space="preserve">Ibrutinib as a single agent or in combination with </w:t>
      </w:r>
      <w:r w:rsidRPr="00EC1C32">
        <w:t xml:space="preserve">rituximab or obinutuzumab </w:t>
      </w:r>
      <w:r w:rsidRPr="00E36967">
        <w:rPr>
          <w:b/>
          <w:bCs/>
        </w:rPr>
        <w:t>or venetoclax</w:t>
      </w:r>
      <w:r w:rsidRPr="00EC1C32">
        <w:t xml:space="preserve"> is indicated for the treatment of adult</w:t>
      </w:r>
      <w:r w:rsidRPr="00C52646">
        <w:t xml:space="preserve"> patients with previously untreated chronic lymphocytic leukaemia/small lymphocytic leukemia (CLL/SLL). Can be used in patients with deletion 17p.</w:t>
      </w:r>
    </w:p>
    <w:p w14:paraId="095BAB97" w14:textId="77777777" w:rsidR="008C7B8A" w:rsidRDefault="008C7B8A" w:rsidP="008C7B8A">
      <w:pPr>
        <w:pStyle w:val="COMexecsumnumberedpara"/>
        <w:numPr>
          <w:ilvl w:val="0"/>
          <w:numId w:val="0"/>
        </w:numPr>
        <w:ind w:left="720" w:hanging="720"/>
        <w:rPr>
          <w:iCs/>
        </w:rPr>
      </w:pPr>
    </w:p>
    <w:p w14:paraId="457F1706" w14:textId="5F2FE8C0" w:rsidR="008C7B8A" w:rsidRDefault="008C7B8A" w:rsidP="00E255C7">
      <w:pPr>
        <w:pStyle w:val="COMexecsumnumberedpara"/>
        <w:rPr>
          <w:iCs/>
        </w:rPr>
      </w:pPr>
      <w:r>
        <w:rPr>
          <w:iCs/>
        </w:rPr>
        <w:t>During the TGA evaluation, the sponsor later proposed amending the initially proposed TGA indication from “Can be used in patients with deletion 17p” to “Can be used in patients with deletion 17p or clinically significant TP53 variant”.</w:t>
      </w:r>
    </w:p>
    <w:p w14:paraId="67A43B4D" w14:textId="1146001D" w:rsidR="00E62155" w:rsidRDefault="00B50AB7" w:rsidP="00E255C7">
      <w:pPr>
        <w:pStyle w:val="COMexecsumnumberedpara"/>
        <w:rPr>
          <w:iCs/>
        </w:rPr>
      </w:pPr>
      <w:r w:rsidRPr="003967D3">
        <w:rPr>
          <w:iCs/>
        </w:rPr>
        <w:t>The basis of the TGA evaluation was the GLOW trial, a randomised, open-label, Phase 3 study of older patients (aged 65 years or older) and/or those with comorbidities, comparing ibrutinib + venetoclax with chlorambucil + obinutuzumab</w:t>
      </w:r>
      <w:r w:rsidR="009F6934">
        <w:rPr>
          <w:iCs/>
        </w:rPr>
        <w:t>. T</w:t>
      </w:r>
      <w:r w:rsidRPr="003967D3">
        <w:rPr>
          <w:iCs/>
        </w:rPr>
        <w:t xml:space="preserve">he fixed-duration </w:t>
      </w:r>
      <w:r w:rsidR="00CF67A4">
        <w:rPr>
          <w:iCs/>
        </w:rPr>
        <w:t xml:space="preserve">(FD) </w:t>
      </w:r>
      <w:r w:rsidRPr="003967D3">
        <w:rPr>
          <w:iCs/>
        </w:rPr>
        <w:t>cohort of CAPTIVATE, the key evidence in th</w:t>
      </w:r>
      <w:r w:rsidR="009F6934">
        <w:rPr>
          <w:iCs/>
        </w:rPr>
        <w:t>is PBAC</w:t>
      </w:r>
      <w:r w:rsidRPr="003967D3">
        <w:rPr>
          <w:iCs/>
        </w:rPr>
        <w:t xml:space="preserve"> submission, </w:t>
      </w:r>
      <w:r w:rsidR="009F6934">
        <w:rPr>
          <w:iCs/>
        </w:rPr>
        <w:t xml:space="preserve">was </w:t>
      </w:r>
      <w:r w:rsidRPr="003967D3">
        <w:rPr>
          <w:iCs/>
        </w:rPr>
        <w:t>included as supportive evidence</w:t>
      </w:r>
      <w:r w:rsidR="009F6934">
        <w:rPr>
          <w:iCs/>
        </w:rPr>
        <w:t xml:space="preserve"> in the TGA evaluation</w:t>
      </w:r>
      <w:r w:rsidRPr="003967D3">
        <w:rPr>
          <w:iCs/>
        </w:rPr>
        <w:t xml:space="preserve">. The </w:t>
      </w:r>
      <w:r w:rsidR="005F40F9">
        <w:rPr>
          <w:iCs/>
        </w:rPr>
        <w:t xml:space="preserve">TGA </w:t>
      </w:r>
      <w:r w:rsidRPr="003967D3">
        <w:rPr>
          <w:iCs/>
        </w:rPr>
        <w:t xml:space="preserve">clinical evaluator raised concerns around the number of patients who died due to cardiac failure and arrhythmias that may have been contributed to by ibrutinib in the GLOW trial, particularly in a first-line therapy. The </w:t>
      </w:r>
      <w:r w:rsidR="005F40F9">
        <w:rPr>
          <w:iCs/>
        </w:rPr>
        <w:t xml:space="preserve">TGA </w:t>
      </w:r>
      <w:r w:rsidRPr="003967D3">
        <w:rPr>
          <w:iCs/>
        </w:rPr>
        <w:t>evaluator noted that the current advice in the product information does not adequately convey this risk, and it should be amended to note that patients with pre-existing cardiac risk factors should consider other treatment options.</w:t>
      </w:r>
    </w:p>
    <w:p w14:paraId="0659083F" w14:textId="7D04944C" w:rsidR="004A4477" w:rsidRDefault="00EA1924" w:rsidP="00EA1924">
      <w:pPr>
        <w:pStyle w:val="COMexecsumnumberedpara"/>
        <w:rPr>
          <w:iCs/>
        </w:rPr>
      </w:pPr>
      <w:r>
        <w:rPr>
          <w:iCs/>
        </w:rPr>
        <w:t>The Delegate’s Overview stated</w:t>
      </w:r>
      <w:r w:rsidR="0039700A">
        <w:rPr>
          <w:iCs/>
        </w:rPr>
        <w:t>,</w:t>
      </w:r>
      <w:r>
        <w:rPr>
          <w:iCs/>
        </w:rPr>
        <w:t xml:space="preserve"> “</w:t>
      </w:r>
      <w:r w:rsidRPr="00EA1924">
        <w:rPr>
          <w:iCs/>
        </w:rPr>
        <w:t>While a decision is yet to be made, at this stage I may be inclined to approve the registration of the product.</w:t>
      </w:r>
      <w:r>
        <w:rPr>
          <w:iCs/>
        </w:rPr>
        <w:t xml:space="preserve">” </w:t>
      </w:r>
    </w:p>
    <w:p w14:paraId="10BABB6E" w14:textId="25EAB237" w:rsidR="004A4477" w:rsidRDefault="00EA1924" w:rsidP="004E1E91">
      <w:pPr>
        <w:pStyle w:val="COMexecsumnumberedpara"/>
        <w:numPr>
          <w:ilvl w:val="0"/>
          <w:numId w:val="16"/>
        </w:numPr>
        <w:rPr>
          <w:iCs/>
        </w:rPr>
      </w:pPr>
      <w:r>
        <w:rPr>
          <w:iCs/>
        </w:rPr>
        <w:t xml:space="preserve">The </w:t>
      </w:r>
      <w:r w:rsidR="006C64C0">
        <w:rPr>
          <w:iCs/>
        </w:rPr>
        <w:t xml:space="preserve">Delegate sought </w:t>
      </w:r>
      <w:r>
        <w:rPr>
          <w:iCs/>
        </w:rPr>
        <w:t>advice from the ACM</w:t>
      </w:r>
      <w:r w:rsidR="006C64C0">
        <w:rPr>
          <w:iCs/>
        </w:rPr>
        <w:t xml:space="preserve"> which</w:t>
      </w:r>
      <w:r>
        <w:rPr>
          <w:iCs/>
        </w:rPr>
        <w:t xml:space="preserve"> included: “</w:t>
      </w:r>
      <w:r w:rsidRPr="00EA1924">
        <w:rPr>
          <w:iCs/>
        </w:rPr>
        <w:t>The Overall Survival data</w:t>
      </w:r>
      <w:r>
        <w:rPr>
          <w:iCs/>
        </w:rPr>
        <w:t xml:space="preserve"> [referring to the GLOW trial]</w:t>
      </w:r>
      <w:r w:rsidRPr="00EA1924">
        <w:rPr>
          <w:iCs/>
        </w:rPr>
        <w:t xml:space="preserve"> are currently immature. Given the evidence to date, and considering the disease context, please advise on whether these data are sufficient to draw conclusions about the benefits of the ibrutinib and venetoclax in the proposed indication</w:t>
      </w:r>
      <w:r>
        <w:rPr>
          <w:iCs/>
        </w:rPr>
        <w:t>”</w:t>
      </w:r>
      <w:r w:rsidRPr="00EA1924">
        <w:rPr>
          <w:iCs/>
        </w:rPr>
        <w:t>.</w:t>
      </w:r>
      <w:r w:rsidR="004A4477" w:rsidRPr="004A4477">
        <w:rPr>
          <w:iCs/>
        </w:rPr>
        <w:t xml:space="preserve"> </w:t>
      </w:r>
    </w:p>
    <w:p w14:paraId="33A56A3C" w14:textId="5B5AFA8B" w:rsidR="00EA1924" w:rsidRDefault="004A4477" w:rsidP="004E1E91">
      <w:pPr>
        <w:pStyle w:val="COMexecsumnumberedpara"/>
        <w:numPr>
          <w:ilvl w:val="0"/>
          <w:numId w:val="16"/>
        </w:numPr>
        <w:rPr>
          <w:iCs/>
        </w:rPr>
      </w:pPr>
      <w:r>
        <w:rPr>
          <w:iCs/>
        </w:rPr>
        <w:t>The Delegate also concluded “</w:t>
      </w:r>
      <w:r w:rsidRPr="004A4477">
        <w:rPr>
          <w:iCs/>
        </w:rPr>
        <w:t xml:space="preserve">A concern with this submission is the safety of the regimen. There is an increasing strength in the signal for cardiovascular </w:t>
      </w:r>
      <w:r w:rsidRPr="004A4477">
        <w:rPr>
          <w:iCs/>
        </w:rPr>
        <w:lastRenderedPageBreak/>
        <w:t>risk for ibrutinib, a known risk with this medicine. While the evidence to date is promising, long term data are still awaited to understand the durability of effect for responders to the fixed duration course of treatment, and whether there is ultimately an overall survival benefit for this regimen”.</w:t>
      </w:r>
    </w:p>
    <w:p w14:paraId="0600893D" w14:textId="59141227" w:rsidR="004A4477" w:rsidRPr="003967D3" w:rsidRDefault="00CD7C9F" w:rsidP="004A4477">
      <w:pPr>
        <w:pStyle w:val="COMexecsumnumberedpara"/>
        <w:numPr>
          <w:ilvl w:val="0"/>
          <w:numId w:val="0"/>
        </w:numPr>
        <w:ind w:left="720"/>
        <w:rPr>
          <w:iCs/>
        </w:rPr>
      </w:pPr>
      <w:r>
        <w:rPr>
          <w:iCs/>
        </w:rPr>
        <w:t xml:space="preserve">The Delegate’s Overview also noted that </w:t>
      </w:r>
      <w:r w:rsidR="004A4477">
        <w:rPr>
          <w:iCs/>
        </w:rPr>
        <w:t xml:space="preserve">fatal cardiac </w:t>
      </w:r>
      <w:r>
        <w:rPr>
          <w:iCs/>
        </w:rPr>
        <w:t>adverse events had occu</w:t>
      </w:r>
      <w:r w:rsidR="00981D29">
        <w:rPr>
          <w:iCs/>
        </w:rPr>
        <w:t>r</w:t>
      </w:r>
      <w:r>
        <w:rPr>
          <w:iCs/>
        </w:rPr>
        <w:t>red</w:t>
      </w:r>
      <w:r w:rsidR="004A4477">
        <w:rPr>
          <w:iCs/>
        </w:rPr>
        <w:t xml:space="preserve"> with ibrutinib</w:t>
      </w:r>
      <w:r>
        <w:rPr>
          <w:iCs/>
        </w:rPr>
        <w:t xml:space="preserve"> and </w:t>
      </w:r>
      <w:r w:rsidR="007D6CF4">
        <w:rPr>
          <w:iCs/>
        </w:rPr>
        <w:t>that the sponsor proposed</w:t>
      </w:r>
      <w:r>
        <w:rPr>
          <w:iCs/>
        </w:rPr>
        <w:t xml:space="preserve"> a</w:t>
      </w:r>
      <w:r w:rsidR="004A4477">
        <w:rPr>
          <w:iCs/>
        </w:rPr>
        <w:t xml:space="preserve"> </w:t>
      </w:r>
      <w:r w:rsidR="004A4477" w:rsidRPr="004A4477">
        <w:rPr>
          <w:iCs/>
        </w:rPr>
        <w:t>more conservative dose modification approach</w:t>
      </w:r>
      <w:r w:rsidR="004A4477">
        <w:rPr>
          <w:iCs/>
        </w:rPr>
        <w:t xml:space="preserve"> </w:t>
      </w:r>
      <w:r>
        <w:rPr>
          <w:iCs/>
        </w:rPr>
        <w:t xml:space="preserve">might be required </w:t>
      </w:r>
      <w:r w:rsidR="004A4477">
        <w:rPr>
          <w:iCs/>
        </w:rPr>
        <w:t>to reduce risk</w:t>
      </w:r>
      <w:r>
        <w:rPr>
          <w:iCs/>
        </w:rPr>
        <w:t>.</w:t>
      </w:r>
    </w:p>
    <w:p w14:paraId="74CF48FB" w14:textId="0F5765C9" w:rsidR="00DF6A1C" w:rsidRPr="003967D3" w:rsidRDefault="00DF6A1C" w:rsidP="00E255C7">
      <w:pPr>
        <w:pStyle w:val="COMexecsumnumberedpara"/>
        <w:rPr>
          <w:iCs/>
        </w:rPr>
      </w:pPr>
      <w:r w:rsidRPr="003E776B">
        <w:t xml:space="preserve">The </w:t>
      </w:r>
      <w:r w:rsidR="003E776B">
        <w:t xml:space="preserve">European Medicines Agency’s </w:t>
      </w:r>
      <w:r w:rsidRPr="003E776B">
        <w:t xml:space="preserve">Committee for Medicinal Products for Human Use (CHMP) recommended ibrutinib (with changes to the existing indication in bold) as a single agent or in combination with rituximab or obinutuzumab or </w:t>
      </w:r>
      <w:r w:rsidRPr="003E776B">
        <w:rPr>
          <w:b/>
          <w:bCs/>
        </w:rPr>
        <w:t>venetoclax</w:t>
      </w:r>
      <w:r w:rsidRPr="003E776B">
        <w:t xml:space="preserve"> for the treatment of adult patients with previously untreated chronic lymphocytic leukaemia (CLL) in June 2022</w:t>
      </w:r>
      <w:r w:rsidRPr="003967D3">
        <w:rPr>
          <w:iCs/>
        </w:rPr>
        <w:t>.</w:t>
      </w:r>
    </w:p>
    <w:p w14:paraId="6131FC98" w14:textId="67BF443F" w:rsidR="00DF6A1C" w:rsidRDefault="00DF6A1C" w:rsidP="00E255C7">
      <w:pPr>
        <w:pStyle w:val="COMexecsumnumberedpara"/>
      </w:pPr>
      <w:r w:rsidRPr="003E776B">
        <w:t xml:space="preserve">In </w:t>
      </w:r>
      <w:r w:rsidR="00410125">
        <w:t>its</w:t>
      </w:r>
      <w:r w:rsidR="00410125" w:rsidRPr="003E776B">
        <w:t xml:space="preserve"> </w:t>
      </w:r>
      <w:r w:rsidRPr="003E776B">
        <w:t xml:space="preserve">response to the </w:t>
      </w:r>
      <w:r w:rsidR="003E776B">
        <w:t xml:space="preserve">TGA </w:t>
      </w:r>
      <w:r w:rsidRPr="003E776B">
        <w:t xml:space="preserve">Clinical Evaluation Report, the sponsor noted that </w:t>
      </w:r>
      <w:r w:rsidR="00C52D99" w:rsidRPr="00120BCB">
        <w:rPr>
          <w:color w:val="000000"/>
          <w:w w:val="64"/>
          <w:shd w:val="solid" w:color="000000" w:fill="000000"/>
          <w:fitText w:val="630" w:id="-1280060160"/>
          <w14:textFill>
            <w14:solidFill>
              <w14:srgbClr w14:val="000000">
                <w14:alpha w14:val="100000"/>
              </w14:srgbClr>
            </w14:solidFill>
          </w14:textFill>
        </w:rPr>
        <w:t>||||  ||||</w:t>
      </w:r>
      <w:r w:rsidRPr="003E776B">
        <w:t>.</w:t>
      </w:r>
    </w:p>
    <w:p w14:paraId="76E4EF3C" w14:textId="39F6DD1D" w:rsidR="00B60939" w:rsidRDefault="00B50DB8" w:rsidP="005F6175">
      <w:pPr>
        <w:pStyle w:val="COMH1numbered"/>
      </w:pPr>
      <w:bookmarkStart w:id="9" w:name="_Toc107902078"/>
      <w:bookmarkStart w:id="10" w:name="_Toc113983793"/>
      <w:bookmarkEnd w:id="9"/>
      <w:r w:rsidRPr="00C52646">
        <w:t>Requested listing</w:t>
      </w:r>
      <w:bookmarkEnd w:id="10"/>
    </w:p>
    <w:p w14:paraId="2A067282" w14:textId="56E59D38" w:rsidR="008C4B6C" w:rsidRPr="00564C8E" w:rsidRDefault="00564C8E" w:rsidP="008C4B6C">
      <w:pPr>
        <w:pStyle w:val="COMexecsumnumberedpara"/>
        <w:rPr>
          <w:iCs/>
        </w:rPr>
      </w:pPr>
      <w:r w:rsidRPr="00564C8E">
        <w:rPr>
          <w:iCs/>
        </w:rPr>
        <w:t>The requested listing is provided below. Suggestions and additions proposed by the Secretariat are added in italics and suggested deletions are crossed out with strikethrough</w:t>
      </w:r>
      <w:r w:rsidR="008C4B6C" w:rsidRPr="00564C8E">
        <w:rPr>
          <w:iCs/>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1"/>
        <w:gridCol w:w="943"/>
        <w:gridCol w:w="796"/>
        <w:gridCol w:w="656"/>
        <w:gridCol w:w="658"/>
        <w:gridCol w:w="1803"/>
      </w:tblGrid>
      <w:tr w:rsidR="00564C8E" w:rsidRPr="00447F0D" w14:paraId="1B1A0228" w14:textId="77777777" w:rsidTr="00E34C8B">
        <w:trPr>
          <w:cantSplit/>
          <w:trHeight w:val="471"/>
        </w:trPr>
        <w:tc>
          <w:tcPr>
            <w:tcW w:w="2322" w:type="pct"/>
          </w:tcPr>
          <w:p w14:paraId="4F0E07AD" w14:textId="77777777" w:rsidR="00564C8E" w:rsidRPr="00564C8E" w:rsidRDefault="00564C8E" w:rsidP="00AF24C9">
            <w:pPr>
              <w:keepNext/>
              <w:ind w:left="-57"/>
              <w:rPr>
                <w:rFonts w:ascii="Arial Narrow" w:hAnsi="Arial Narrow"/>
                <w:b/>
                <w:bCs/>
                <w:sz w:val="20"/>
                <w:szCs w:val="20"/>
              </w:rPr>
            </w:pPr>
            <w:r w:rsidRPr="00564C8E">
              <w:rPr>
                <w:rFonts w:ascii="Arial Narrow" w:hAnsi="Arial Narrow"/>
                <w:b/>
                <w:bCs/>
                <w:sz w:val="20"/>
                <w:szCs w:val="20"/>
              </w:rPr>
              <w:t>MEDICINAL PRODUCT</w:t>
            </w:r>
          </w:p>
          <w:p w14:paraId="684963F8" w14:textId="77777777" w:rsidR="00564C8E" w:rsidRPr="00564C8E" w:rsidRDefault="00564C8E" w:rsidP="00AF24C9">
            <w:pPr>
              <w:keepNext/>
              <w:ind w:left="-57"/>
              <w:rPr>
                <w:rFonts w:ascii="Arial Narrow" w:hAnsi="Arial Narrow"/>
                <w:b/>
                <w:sz w:val="20"/>
                <w:szCs w:val="20"/>
              </w:rPr>
            </w:pPr>
            <w:r w:rsidRPr="00564C8E">
              <w:rPr>
                <w:rFonts w:ascii="Arial Narrow" w:hAnsi="Arial Narrow"/>
                <w:b/>
                <w:bCs/>
                <w:sz w:val="20"/>
                <w:szCs w:val="20"/>
              </w:rPr>
              <w:t>medicinal product pack</w:t>
            </w:r>
          </w:p>
        </w:tc>
        <w:tc>
          <w:tcPr>
            <w:tcW w:w="520" w:type="pct"/>
          </w:tcPr>
          <w:p w14:paraId="628CFF0D" w14:textId="77777777" w:rsidR="00564C8E" w:rsidRPr="00564C8E" w:rsidRDefault="00564C8E" w:rsidP="00AF24C9">
            <w:pPr>
              <w:keepNext/>
              <w:ind w:left="-108"/>
              <w:jc w:val="center"/>
              <w:rPr>
                <w:rFonts w:ascii="Arial Narrow" w:hAnsi="Arial Narrow"/>
                <w:b/>
                <w:sz w:val="20"/>
                <w:szCs w:val="20"/>
              </w:rPr>
            </w:pPr>
            <w:r w:rsidRPr="00564C8E">
              <w:rPr>
                <w:rFonts w:ascii="Arial Narrow" w:hAnsi="Arial Narrow"/>
                <w:b/>
                <w:sz w:val="20"/>
                <w:szCs w:val="20"/>
              </w:rPr>
              <w:t>PBS item code</w:t>
            </w:r>
          </w:p>
        </w:tc>
        <w:tc>
          <w:tcPr>
            <w:tcW w:w="439" w:type="pct"/>
          </w:tcPr>
          <w:p w14:paraId="56218D62" w14:textId="77777777" w:rsidR="00564C8E" w:rsidRPr="00564C8E" w:rsidRDefault="00564C8E" w:rsidP="00AF24C9">
            <w:pPr>
              <w:keepNext/>
              <w:ind w:left="-108"/>
              <w:jc w:val="center"/>
              <w:rPr>
                <w:rFonts w:ascii="Arial Narrow" w:hAnsi="Arial Narrow"/>
                <w:b/>
                <w:sz w:val="20"/>
                <w:szCs w:val="20"/>
              </w:rPr>
            </w:pPr>
            <w:r w:rsidRPr="00564C8E">
              <w:rPr>
                <w:rFonts w:ascii="Arial Narrow" w:hAnsi="Arial Narrow"/>
                <w:b/>
                <w:sz w:val="20"/>
                <w:szCs w:val="20"/>
              </w:rPr>
              <w:t>Max. qty packs</w:t>
            </w:r>
          </w:p>
        </w:tc>
        <w:tc>
          <w:tcPr>
            <w:tcW w:w="362" w:type="pct"/>
          </w:tcPr>
          <w:p w14:paraId="6039C583" w14:textId="77777777" w:rsidR="00564C8E" w:rsidRPr="00564C8E" w:rsidRDefault="00564C8E" w:rsidP="00AF24C9">
            <w:pPr>
              <w:keepNext/>
              <w:ind w:left="-108"/>
              <w:jc w:val="center"/>
              <w:rPr>
                <w:rFonts w:ascii="Arial Narrow" w:hAnsi="Arial Narrow"/>
                <w:b/>
                <w:sz w:val="20"/>
                <w:szCs w:val="20"/>
              </w:rPr>
            </w:pPr>
            <w:r w:rsidRPr="00564C8E">
              <w:rPr>
                <w:rFonts w:ascii="Arial Narrow" w:hAnsi="Arial Narrow"/>
                <w:b/>
                <w:sz w:val="20"/>
                <w:szCs w:val="20"/>
              </w:rPr>
              <w:t>Max. qty units</w:t>
            </w:r>
          </w:p>
        </w:tc>
        <w:tc>
          <w:tcPr>
            <w:tcW w:w="363" w:type="pct"/>
          </w:tcPr>
          <w:p w14:paraId="235B156C" w14:textId="77777777" w:rsidR="00564C8E" w:rsidRPr="00564C8E" w:rsidRDefault="00564C8E" w:rsidP="00AF24C9">
            <w:pPr>
              <w:keepNext/>
              <w:ind w:left="-108"/>
              <w:jc w:val="center"/>
              <w:rPr>
                <w:rFonts w:ascii="Arial Narrow" w:hAnsi="Arial Narrow"/>
                <w:b/>
                <w:sz w:val="20"/>
                <w:szCs w:val="20"/>
              </w:rPr>
            </w:pPr>
            <w:r w:rsidRPr="00564C8E">
              <w:rPr>
                <w:rFonts w:ascii="Arial Narrow" w:hAnsi="Arial Narrow"/>
                <w:b/>
                <w:sz w:val="20"/>
                <w:szCs w:val="20"/>
              </w:rPr>
              <w:t>№.of</w:t>
            </w:r>
          </w:p>
          <w:p w14:paraId="78519A1C" w14:textId="77777777" w:rsidR="00564C8E" w:rsidRPr="00564C8E" w:rsidRDefault="00564C8E" w:rsidP="00AF24C9">
            <w:pPr>
              <w:keepNext/>
              <w:ind w:left="-108"/>
              <w:jc w:val="center"/>
              <w:rPr>
                <w:rFonts w:ascii="Arial Narrow" w:hAnsi="Arial Narrow"/>
                <w:b/>
                <w:sz w:val="20"/>
                <w:szCs w:val="20"/>
              </w:rPr>
            </w:pPr>
            <w:r w:rsidRPr="00564C8E">
              <w:rPr>
                <w:rFonts w:ascii="Arial Narrow" w:hAnsi="Arial Narrow"/>
                <w:b/>
                <w:sz w:val="20"/>
                <w:szCs w:val="20"/>
              </w:rPr>
              <w:t>Rpts</w:t>
            </w:r>
          </w:p>
        </w:tc>
        <w:tc>
          <w:tcPr>
            <w:tcW w:w="994" w:type="pct"/>
          </w:tcPr>
          <w:p w14:paraId="6D92281E" w14:textId="77777777" w:rsidR="00564C8E" w:rsidRPr="00564C8E" w:rsidRDefault="00564C8E" w:rsidP="00AF24C9">
            <w:pPr>
              <w:keepNext/>
              <w:jc w:val="center"/>
              <w:rPr>
                <w:rFonts w:ascii="Arial Narrow" w:hAnsi="Arial Narrow"/>
                <w:b/>
                <w:sz w:val="20"/>
                <w:szCs w:val="20"/>
                <w:lang w:val="fr-FR"/>
              </w:rPr>
            </w:pPr>
            <w:r w:rsidRPr="00564C8E">
              <w:rPr>
                <w:rFonts w:ascii="Arial Narrow" w:hAnsi="Arial Narrow"/>
                <w:b/>
                <w:sz w:val="20"/>
                <w:szCs w:val="20"/>
              </w:rPr>
              <w:t>Available brands</w:t>
            </w:r>
          </w:p>
        </w:tc>
      </w:tr>
      <w:tr w:rsidR="00564C8E" w:rsidRPr="00447F0D" w14:paraId="34C3E560" w14:textId="77777777" w:rsidTr="00AF24C9">
        <w:trPr>
          <w:cantSplit/>
          <w:trHeight w:val="224"/>
        </w:trPr>
        <w:tc>
          <w:tcPr>
            <w:tcW w:w="5000" w:type="pct"/>
            <w:gridSpan w:val="6"/>
          </w:tcPr>
          <w:p w14:paraId="4FD18ABA" w14:textId="77777777" w:rsidR="00564C8E" w:rsidRPr="00564C8E" w:rsidRDefault="00564C8E" w:rsidP="00AF24C9">
            <w:pPr>
              <w:keepNext/>
              <w:ind w:left="-57"/>
              <w:rPr>
                <w:rFonts w:ascii="Arial Narrow" w:hAnsi="Arial Narrow"/>
                <w:sz w:val="20"/>
                <w:szCs w:val="20"/>
              </w:rPr>
            </w:pPr>
            <w:r w:rsidRPr="00564C8E">
              <w:rPr>
                <w:rFonts w:ascii="Arial Narrow" w:hAnsi="Arial Narrow"/>
                <w:sz w:val="20"/>
                <w:szCs w:val="20"/>
              </w:rPr>
              <w:t>IBRUTINIB</w:t>
            </w:r>
          </w:p>
        </w:tc>
      </w:tr>
      <w:tr w:rsidR="00564C8E" w:rsidRPr="00447F0D" w14:paraId="235E4ABD" w14:textId="77777777" w:rsidTr="00E34C8B">
        <w:trPr>
          <w:cantSplit/>
          <w:trHeight w:val="553"/>
        </w:trPr>
        <w:tc>
          <w:tcPr>
            <w:tcW w:w="2322" w:type="pct"/>
          </w:tcPr>
          <w:p w14:paraId="5A436B9D" w14:textId="77777777" w:rsidR="00564C8E" w:rsidRPr="00564C8E" w:rsidRDefault="00564C8E" w:rsidP="00AF24C9">
            <w:pPr>
              <w:keepNext/>
              <w:ind w:left="-57"/>
              <w:rPr>
                <w:rFonts w:ascii="Arial Narrow" w:hAnsi="Arial Narrow"/>
                <w:sz w:val="20"/>
                <w:szCs w:val="20"/>
              </w:rPr>
            </w:pPr>
            <w:r w:rsidRPr="00564C8E">
              <w:rPr>
                <w:rFonts w:ascii="Arial Narrow" w:hAnsi="Arial Narrow" w:cstheme="minorBidi"/>
                <w:sz w:val="20"/>
                <w:szCs w:val="20"/>
              </w:rPr>
              <w:t>ibrutinib 140 mg capsule, 90</w:t>
            </w:r>
          </w:p>
        </w:tc>
        <w:tc>
          <w:tcPr>
            <w:tcW w:w="520" w:type="pct"/>
          </w:tcPr>
          <w:p w14:paraId="67845AC5" w14:textId="77777777" w:rsidR="00564C8E" w:rsidRPr="00564C8E" w:rsidRDefault="00564C8E" w:rsidP="00AF24C9">
            <w:pPr>
              <w:keepNext/>
              <w:jc w:val="center"/>
              <w:rPr>
                <w:rFonts w:ascii="Arial Narrow" w:hAnsi="Arial Narrow"/>
                <w:sz w:val="20"/>
                <w:szCs w:val="20"/>
              </w:rPr>
            </w:pPr>
            <w:r w:rsidRPr="00564C8E">
              <w:rPr>
                <w:rFonts w:ascii="Arial Narrow" w:hAnsi="Arial Narrow"/>
                <w:sz w:val="20"/>
                <w:szCs w:val="20"/>
              </w:rPr>
              <w:t>NEW</w:t>
            </w:r>
          </w:p>
        </w:tc>
        <w:tc>
          <w:tcPr>
            <w:tcW w:w="439" w:type="pct"/>
          </w:tcPr>
          <w:p w14:paraId="5B9B379E" w14:textId="77777777" w:rsidR="00564C8E" w:rsidRPr="00564C8E" w:rsidRDefault="00564C8E" w:rsidP="00AF24C9">
            <w:pPr>
              <w:keepNext/>
              <w:jc w:val="center"/>
              <w:rPr>
                <w:rFonts w:ascii="Arial Narrow" w:hAnsi="Arial Narrow"/>
                <w:sz w:val="20"/>
                <w:szCs w:val="20"/>
              </w:rPr>
            </w:pPr>
            <w:r w:rsidRPr="00564C8E">
              <w:rPr>
                <w:rFonts w:ascii="Arial Narrow" w:hAnsi="Arial Narrow"/>
                <w:sz w:val="20"/>
                <w:szCs w:val="20"/>
              </w:rPr>
              <w:t>1</w:t>
            </w:r>
          </w:p>
        </w:tc>
        <w:tc>
          <w:tcPr>
            <w:tcW w:w="362" w:type="pct"/>
          </w:tcPr>
          <w:p w14:paraId="6CB1927F" w14:textId="77777777" w:rsidR="00564C8E" w:rsidRPr="00564C8E" w:rsidRDefault="00564C8E" w:rsidP="00AF24C9">
            <w:pPr>
              <w:keepNext/>
              <w:jc w:val="center"/>
              <w:rPr>
                <w:rFonts w:ascii="Arial Narrow" w:hAnsi="Arial Narrow"/>
                <w:sz w:val="20"/>
                <w:szCs w:val="20"/>
              </w:rPr>
            </w:pPr>
            <w:r w:rsidRPr="00564C8E">
              <w:rPr>
                <w:rFonts w:ascii="Arial Narrow" w:hAnsi="Arial Narrow"/>
                <w:sz w:val="20"/>
                <w:szCs w:val="20"/>
              </w:rPr>
              <w:t>90</w:t>
            </w:r>
          </w:p>
        </w:tc>
        <w:tc>
          <w:tcPr>
            <w:tcW w:w="363" w:type="pct"/>
          </w:tcPr>
          <w:p w14:paraId="734DF3C4" w14:textId="77777777" w:rsidR="00564C8E" w:rsidRPr="00564C8E" w:rsidRDefault="00564C8E" w:rsidP="00AF24C9">
            <w:pPr>
              <w:keepNext/>
              <w:jc w:val="center"/>
              <w:rPr>
                <w:rFonts w:ascii="Arial Narrow" w:hAnsi="Arial Narrow"/>
                <w:sz w:val="20"/>
                <w:szCs w:val="20"/>
              </w:rPr>
            </w:pPr>
            <w:r w:rsidRPr="00564C8E">
              <w:rPr>
                <w:rFonts w:ascii="Arial Narrow" w:hAnsi="Arial Narrow"/>
                <w:sz w:val="20"/>
                <w:szCs w:val="20"/>
              </w:rPr>
              <w:t>2</w:t>
            </w:r>
          </w:p>
        </w:tc>
        <w:tc>
          <w:tcPr>
            <w:tcW w:w="994" w:type="pct"/>
          </w:tcPr>
          <w:p w14:paraId="108D9A1F" w14:textId="77777777" w:rsidR="00564C8E" w:rsidRPr="00564C8E" w:rsidRDefault="00564C8E" w:rsidP="00AF24C9">
            <w:pPr>
              <w:keepNext/>
              <w:keepLines/>
              <w:jc w:val="center"/>
              <w:rPr>
                <w:rFonts w:ascii="Arial Narrow" w:eastAsiaTheme="majorEastAsia" w:hAnsi="Arial Narrow" w:cstheme="majorBidi"/>
                <w:bCs/>
                <w:sz w:val="20"/>
                <w:szCs w:val="20"/>
              </w:rPr>
            </w:pPr>
            <w:r w:rsidRPr="00564C8E">
              <w:rPr>
                <w:rFonts w:ascii="Arial Narrow" w:eastAsiaTheme="majorEastAsia" w:hAnsi="Arial Narrow"/>
                <w:bCs/>
                <w:sz w:val="20"/>
                <w:szCs w:val="20"/>
              </w:rPr>
              <w:t>Imbruvica</w:t>
            </w:r>
          </w:p>
        </w:tc>
      </w:tr>
      <w:tr w:rsidR="00564C8E" w:rsidRPr="00447F0D" w14:paraId="2C0DC445" w14:textId="77777777" w:rsidTr="00AF24C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73660654" w14:textId="77777777" w:rsidR="00564C8E" w:rsidRPr="00564C8E" w:rsidRDefault="00564C8E" w:rsidP="00AF24C9">
            <w:pPr>
              <w:rPr>
                <w:rFonts w:ascii="Arial Narrow" w:hAnsi="Arial Narrow"/>
                <w:sz w:val="20"/>
                <w:szCs w:val="20"/>
              </w:rPr>
            </w:pPr>
          </w:p>
        </w:tc>
      </w:tr>
      <w:tr w:rsidR="00564C8E" w:rsidRPr="00447F0D" w14:paraId="5E843DDE" w14:textId="77777777" w:rsidTr="00AF24C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272F595E" w14:textId="61F92B9A" w:rsidR="00564C8E" w:rsidRPr="00564C8E" w:rsidRDefault="00564C8E" w:rsidP="00AF24C9">
            <w:pPr>
              <w:rPr>
                <w:rFonts w:ascii="Arial Narrow" w:hAnsi="Arial Narrow"/>
                <w:b/>
                <w:sz w:val="20"/>
                <w:szCs w:val="20"/>
              </w:rPr>
            </w:pPr>
            <w:r w:rsidRPr="00564C8E">
              <w:rPr>
                <w:rFonts w:ascii="Arial Narrow" w:hAnsi="Arial Narrow"/>
                <w:b/>
                <w:sz w:val="20"/>
                <w:szCs w:val="20"/>
              </w:rPr>
              <w:t>Restriction Summary / Treatment of Concept:</w:t>
            </w:r>
          </w:p>
        </w:tc>
      </w:tr>
      <w:tr w:rsidR="00E34C8B" w:rsidRPr="00447F0D" w14:paraId="62828031"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03DD7948" w14:textId="77777777" w:rsidR="00E34C8B" w:rsidRPr="00564C8E" w:rsidRDefault="00E34C8B" w:rsidP="00AF24C9">
            <w:pPr>
              <w:rPr>
                <w:rFonts w:ascii="Arial Narrow" w:hAnsi="Arial Narrow"/>
                <w:sz w:val="20"/>
                <w:szCs w:val="20"/>
              </w:rPr>
            </w:pPr>
            <w:r w:rsidRPr="00564C8E">
              <w:rPr>
                <w:rFonts w:ascii="Arial Narrow" w:hAnsi="Arial Narrow"/>
                <w:b/>
                <w:sz w:val="20"/>
                <w:szCs w:val="20"/>
              </w:rPr>
              <w:t xml:space="preserve">Category / Program: </w:t>
            </w:r>
            <w:r w:rsidRPr="00564C8E">
              <w:rPr>
                <w:rFonts w:ascii="Arial Narrow" w:hAnsi="Arial Narrow"/>
                <w:sz w:val="20"/>
                <w:szCs w:val="20"/>
              </w:rPr>
              <w:t xml:space="preserve">GENERAL – General Schedule (Code GE) </w:t>
            </w:r>
          </w:p>
        </w:tc>
      </w:tr>
      <w:tr w:rsidR="00E34C8B" w:rsidRPr="00447F0D" w14:paraId="14C2BD78" w14:textId="77777777" w:rsidTr="00E34C8B">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left w:val="single" w:sz="4" w:space="0" w:color="auto"/>
              <w:right w:val="single" w:sz="4" w:space="0" w:color="auto"/>
            </w:tcBorders>
          </w:tcPr>
          <w:p w14:paraId="25890648" w14:textId="77777777" w:rsidR="00E34C8B" w:rsidRPr="00564C8E" w:rsidRDefault="00E34C8B" w:rsidP="00AF24C9">
            <w:pPr>
              <w:rPr>
                <w:rFonts w:ascii="Arial Narrow" w:hAnsi="Arial Narrow"/>
                <w:b/>
                <w:sz w:val="20"/>
                <w:szCs w:val="20"/>
              </w:rPr>
            </w:pPr>
            <w:r w:rsidRPr="00564C8E">
              <w:rPr>
                <w:rFonts w:ascii="Arial Narrow" w:hAnsi="Arial Narrow"/>
                <w:b/>
                <w:sz w:val="20"/>
                <w:szCs w:val="20"/>
              </w:rPr>
              <w:t xml:space="preserve">Prescriber type: </w:t>
            </w:r>
            <w:r w:rsidRPr="00564C8E">
              <w:rPr>
                <w:rFonts w:ascii="Arial Narrow" w:hAnsi="Arial Narrow"/>
                <w:sz w:val="20"/>
                <w:szCs w:val="20"/>
              </w:rPr>
              <w:fldChar w:fldCharType="begin" w:fldLock="1">
                <w:ffData>
                  <w:name w:val=""/>
                  <w:enabled/>
                  <w:calcOnExit w:val="0"/>
                  <w:checkBox>
                    <w:sizeAuto/>
                    <w:default w:val="1"/>
                  </w:checkBox>
                </w:ffData>
              </w:fldChar>
            </w:r>
            <w:r w:rsidRPr="00564C8E">
              <w:rPr>
                <w:rFonts w:ascii="Arial Narrow" w:hAnsi="Arial Narrow"/>
                <w:sz w:val="20"/>
                <w:szCs w:val="20"/>
              </w:rPr>
              <w:instrText xml:space="preserve"> FORMCHECKBOX </w:instrText>
            </w:r>
            <w:r w:rsidR="001217F8">
              <w:rPr>
                <w:rFonts w:ascii="Arial Narrow" w:hAnsi="Arial Narrow"/>
                <w:sz w:val="20"/>
                <w:szCs w:val="20"/>
              </w:rPr>
            </w:r>
            <w:r w:rsidR="001217F8">
              <w:rPr>
                <w:rFonts w:ascii="Arial Narrow" w:hAnsi="Arial Narrow"/>
                <w:sz w:val="20"/>
                <w:szCs w:val="20"/>
              </w:rPr>
              <w:fldChar w:fldCharType="separate"/>
            </w:r>
            <w:r w:rsidRPr="00564C8E">
              <w:rPr>
                <w:rFonts w:ascii="Arial Narrow" w:hAnsi="Arial Narrow"/>
                <w:sz w:val="20"/>
                <w:szCs w:val="20"/>
              </w:rPr>
              <w:fldChar w:fldCharType="end"/>
            </w:r>
            <w:r w:rsidRPr="00564C8E">
              <w:rPr>
                <w:rFonts w:ascii="Arial Narrow" w:hAnsi="Arial Narrow"/>
                <w:sz w:val="20"/>
                <w:szCs w:val="20"/>
              </w:rPr>
              <w:t>Medical Practitioners</w:t>
            </w:r>
          </w:p>
        </w:tc>
      </w:tr>
      <w:tr w:rsidR="00E34C8B" w:rsidRPr="00447F0D" w14:paraId="7389B605"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bottom w:val="single" w:sz="4" w:space="0" w:color="auto"/>
              <w:right w:val="single" w:sz="4" w:space="0" w:color="auto"/>
            </w:tcBorders>
          </w:tcPr>
          <w:p w14:paraId="18B85B0D" w14:textId="77777777" w:rsidR="00E34C8B" w:rsidRPr="00564C8E" w:rsidRDefault="00E34C8B" w:rsidP="00AF24C9">
            <w:pPr>
              <w:rPr>
                <w:rFonts w:ascii="Arial Narrow" w:eastAsia="Calibri" w:hAnsi="Arial Narrow"/>
                <w:sz w:val="20"/>
                <w:szCs w:val="20"/>
              </w:rPr>
            </w:pPr>
            <w:r w:rsidRPr="00564C8E">
              <w:rPr>
                <w:rFonts w:ascii="Arial Narrow" w:hAnsi="Arial Narrow"/>
                <w:b/>
                <w:sz w:val="20"/>
                <w:szCs w:val="20"/>
              </w:rPr>
              <w:t xml:space="preserve">Restriction type: </w:t>
            </w:r>
            <w:r w:rsidRPr="00564C8E">
              <w:rPr>
                <w:rFonts w:ascii="Arial Narrow" w:eastAsia="Calibri" w:hAnsi="Arial Narrow"/>
                <w:sz w:val="20"/>
                <w:szCs w:val="20"/>
              </w:rPr>
              <w:fldChar w:fldCharType="begin" w:fldLock="1">
                <w:ffData>
                  <w:name w:val="Check3"/>
                  <w:enabled/>
                  <w:calcOnExit w:val="0"/>
                  <w:checkBox>
                    <w:sizeAuto/>
                    <w:default w:val="1"/>
                  </w:checkBox>
                </w:ffData>
              </w:fldChar>
            </w:r>
            <w:r w:rsidRPr="00564C8E">
              <w:rPr>
                <w:rFonts w:ascii="Arial Narrow" w:eastAsia="Calibri" w:hAnsi="Arial Narrow"/>
                <w:sz w:val="20"/>
                <w:szCs w:val="20"/>
              </w:rPr>
              <w:instrText xml:space="preserve"> FORMCHECKBOX </w:instrText>
            </w:r>
            <w:r w:rsidR="001217F8">
              <w:rPr>
                <w:rFonts w:ascii="Arial Narrow" w:eastAsia="Calibri" w:hAnsi="Arial Narrow"/>
                <w:sz w:val="20"/>
                <w:szCs w:val="20"/>
              </w:rPr>
            </w:r>
            <w:r w:rsidR="001217F8">
              <w:rPr>
                <w:rFonts w:ascii="Arial Narrow" w:eastAsia="Calibri" w:hAnsi="Arial Narrow"/>
                <w:sz w:val="20"/>
                <w:szCs w:val="20"/>
              </w:rPr>
              <w:fldChar w:fldCharType="separate"/>
            </w:r>
            <w:r w:rsidRPr="00564C8E">
              <w:rPr>
                <w:rFonts w:ascii="Arial Narrow" w:eastAsia="Calibri" w:hAnsi="Arial Narrow"/>
                <w:sz w:val="20"/>
                <w:szCs w:val="20"/>
              </w:rPr>
              <w:fldChar w:fldCharType="end"/>
            </w:r>
            <w:r w:rsidRPr="00564C8E">
              <w:rPr>
                <w:rFonts w:ascii="Arial Narrow" w:eastAsia="Calibri" w:hAnsi="Arial Narrow"/>
                <w:sz w:val="20"/>
                <w:szCs w:val="20"/>
              </w:rPr>
              <w:t xml:space="preserve"> Authority Required (telephone/electronic via PBS Authorities system)</w:t>
            </w:r>
            <w:r w:rsidRPr="00564C8E">
              <w:rPr>
                <w:rFonts w:ascii="Arial Narrow" w:eastAsia="Calibri" w:hAnsi="Arial Narrow"/>
                <w:i/>
                <w:iCs/>
                <w:strike/>
                <w:sz w:val="20"/>
                <w:szCs w:val="20"/>
              </w:rPr>
              <w:t>–</w:t>
            </w:r>
            <w:r w:rsidRPr="00564C8E">
              <w:rPr>
                <w:rFonts w:ascii="Arial Narrow" w:eastAsia="Arial Narrow" w:hAnsi="Arial Narrow" w:cs="Arial Narrow"/>
                <w:i/>
                <w:iCs/>
                <w:strike/>
                <w:sz w:val="20"/>
                <w:szCs w:val="20"/>
              </w:rPr>
              <w:t xml:space="preserve"> </w:t>
            </w:r>
            <w:r w:rsidRPr="00564C8E">
              <w:rPr>
                <w:rFonts w:ascii="Arial Narrow" w:eastAsia="Arial Narrow" w:hAnsi="Arial Narrow" w:cs="Arial Narrow"/>
                <w:strike/>
                <w:sz w:val="20"/>
                <w:szCs w:val="20"/>
              </w:rPr>
              <w:t>non-immediate/delayed assessment by Services Australia (in-writing only via mail/postal service or electronic upload to Hobart; requires at least one concept ID to be marked as ‘FULL’ for full assessment by Services Australia)</w:t>
            </w:r>
          </w:p>
        </w:tc>
      </w:tr>
      <w:tr w:rsidR="00E34C8B" w:rsidRPr="00447F0D" w14:paraId="0EC0EFB3"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bottom w:val="single" w:sz="4" w:space="0" w:color="auto"/>
              <w:right w:val="single" w:sz="4" w:space="0" w:color="auto"/>
            </w:tcBorders>
          </w:tcPr>
          <w:p w14:paraId="24CE05CA" w14:textId="77777777" w:rsidR="00E34C8B" w:rsidRPr="00564C8E" w:rsidRDefault="00E34C8B" w:rsidP="00AF24C9">
            <w:pPr>
              <w:rPr>
                <w:rFonts w:ascii="Arial Narrow" w:hAnsi="Arial Narrow"/>
                <w:b/>
                <w:sz w:val="20"/>
                <w:szCs w:val="20"/>
              </w:rPr>
            </w:pPr>
          </w:p>
        </w:tc>
      </w:tr>
      <w:tr w:rsidR="00E34C8B" w:rsidRPr="00447F0D" w14:paraId="19B978A7"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right w:val="single" w:sz="4" w:space="0" w:color="auto"/>
            </w:tcBorders>
          </w:tcPr>
          <w:p w14:paraId="6F83434B" w14:textId="77777777" w:rsidR="00E34C8B" w:rsidRPr="00564C8E" w:rsidRDefault="00E34C8B" w:rsidP="00AF24C9">
            <w:pPr>
              <w:rPr>
                <w:rFonts w:ascii="Arial Narrow" w:hAnsi="Arial Narrow"/>
                <w:i/>
                <w:iCs/>
                <w:sz w:val="20"/>
                <w:szCs w:val="20"/>
              </w:rPr>
            </w:pPr>
            <w:r w:rsidRPr="00564C8E">
              <w:rPr>
                <w:rFonts w:ascii="Arial Narrow" w:eastAsia="Arial Narrow" w:hAnsi="Arial Narrow" w:cs="Arial Narrow"/>
                <w:b/>
                <w:color w:val="333333"/>
                <w:sz w:val="20"/>
                <w:szCs w:val="20"/>
              </w:rPr>
              <w:t xml:space="preserve">Administrative Advice: </w:t>
            </w:r>
            <w:r w:rsidRPr="00564C8E">
              <w:rPr>
                <w:rFonts w:ascii="Arial Narrow" w:eastAsia="Arial Narrow" w:hAnsi="Arial Narrow" w:cs="Arial Narrow"/>
                <w:color w:val="333333"/>
                <w:sz w:val="20"/>
                <w:szCs w:val="20"/>
              </w:rPr>
              <w:t>No increase in the maximum quantity or number of units may be authorised.</w:t>
            </w:r>
          </w:p>
        </w:tc>
      </w:tr>
      <w:tr w:rsidR="00E34C8B" w:rsidRPr="00447F0D" w14:paraId="405E676E"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tcBorders>
          </w:tcPr>
          <w:p w14:paraId="49F7BEC5" w14:textId="77777777" w:rsidR="00E34C8B" w:rsidRPr="00564C8E" w:rsidRDefault="00E34C8B" w:rsidP="00AF24C9">
            <w:pPr>
              <w:rPr>
                <w:rFonts w:ascii="Arial Narrow" w:hAnsi="Arial Narrow"/>
                <w:i/>
                <w:iCs/>
                <w:sz w:val="20"/>
                <w:szCs w:val="20"/>
              </w:rPr>
            </w:pPr>
            <w:r w:rsidRPr="00564C8E">
              <w:rPr>
                <w:rFonts w:ascii="Arial Narrow" w:hAnsi="Arial Narrow"/>
                <w:b/>
                <w:bCs/>
                <w:sz w:val="20"/>
                <w:szCs w:val="20"/>
              </w:rPr>
              <w:t xml:space="preserve">Administrative Advice: </w:t>
            </w:r>
            <w:r w:rsidRPr="00564C8E">
              <w:rPr>
                <w:rFonts w:ascii="Arial Narrow" w:hAnsi="Arial Narrow"/>
                <w:bCs/>
                <w:sz w:val="20"/>
                <w:szCs w:val="20"/>
              </w:rPr>
              <w:t>No increase in the maximum number of repeats may be authorised.</w:t>
            </w:r>
          </w:p>
        </w:tc>
      </w:tr>
      <w:tr w:rsidR="00E34C8B" w:rsidRPr="00447F0D" w14:paraId="7C28B307"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tcBorders>
          </w:tcPr>
          <w:p w14:paraId="2502EC1C" w14:textId="77777777" w:rsidR="00E34C8B" w:rsidRPr="00564C8E" w:rsidRDefault="00E34C8B" w:rsidP="00AF24C9">
            <w:pPr>
              <w:rPr>
                <w:rFonts w:ascii="Arial Narrow" w:hAnsi="Arial Narrow"/>
                <w:b/>
                <w:bCs/>
                <w:i/>
                <w:iCs/>
                <w:sz w:val="20"/>
                <w:szCs w:val="20"/>
              </w:rPr>
            </w:pPr>
            <w:r w:rsidRPr="00564C8E">
              <w:rPr>
                <w:rFonts w:ascii="Arial Narrow" w:hAnsi="Arial Narrow"/>
                <w:b/>
                <w:bCs/>
                <w:sz w:val="20"/>
                <w:szCs w:val="20"/>
              </w:rPr>
              <w:t xml:space="preserve">Administrative Advice: </w:t>
            </w:r>
            <w:r w:rsidRPr="00564C8E">
              <w:rPr>
                <w:rFonts w:ascii="Arial Narrow" w:hAnsi="Arial Narrow"/>
                <w:bCs/>
                <w:sz w:val="20"/>
                <w:szCs w:val="20"/>
              </w:rPr>
              <w:t>Special Pricing Arrangements apply.</w:t>
            </w:r>
          </w:p>
        </w:tc>
      </w:tr>
      <w:tr w:rsidR="00E34C8B" w:rsidRPr="00447F0D" w14:paraId="4C9A129C"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tcBorders>
          </w:tcPr>
          <w:p w14:paraId="024282A1" w14:textId="77777777" w:rsidR="00E34C8B" w:rsidRPr="00564C8E" w:rsidRDefault="00E34C8B" w:rsidP="00AF24C9">
            <w:pPr>
              <w:rPr>
                <w:rFonts w:ascii="Arial Narrow" w:hAnsi="Arial Narrow"/>
                <w:b/>
                <w:bCs/>
                <w:sz w:val="20"/>
                <w:szCs w:val="20"/>
              </w:rPr>
            </w:pPr>
            <w:r w:rsidRPr="00564C8E">
              <w:rPr>
                <w:rFonts w:ascii="Arial Narrow" w:hAnsi="Arial Narrow"/>
                <w:b/>
                <w:bCs/>
                <w:sz w:val="20"/>
                <w:szCs w:val="20"/>
              </w:rPr>
              <w:t>Administrative Advice:</w:t>
            </w:r>
            <w:r w:rsidRPr="00564C8E">
              <w:rPr>
                <w:rFonts w:ascii="Arial Narrow" w:hAnsi="Arial Narrow" w:cs="Calibri"/>
                <w:i/>
                <w:iCs/>
                <w:color w:val="333333"/>
                <w:sz w:val="20"/>
                <w:szCs w:val="20"/>
              </w:rPr>
              <w:t xml:space="preserve"> A patient may only qualify for PBS-subsidised treatment under this restriction once in a lifetime.</w:t>
            </w:r>
          </w:p>
        </w:tc>
      </w:tr>
      <w:tr w:rsidR="00E34C8B" w:rsidRPr="00447F0D" w14:paraId="2972E53A"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bottom w:val="single" w:sz="4" w:space="0" w:color="auto"/>
            </w:tcBorders>
          </w:tcPr>
          <w:p w14:paraId="617D3BA9" w14:textId="77777777" w:rsidR="00E34C8B" w:rsidRPr="00564C8E" w:rsidRDefault="00E34C8B" w:rsidP="00AF24C9">
            <w:pPr>
              <w:rPr>
                <w:i/>
                <w:iCs/>
                <w:sz w:val="20"/>
                <w:szCs w:val="20"/>
              </w:rPr>
            </w:pPr>
            <w:r w:rsidRPr="00564C8E">
              <w:rPr>
                <w:rFonts w:ascii="Arial Narrow" w:hAnsi="Arial Narrow"/>
                <w:b/>
                <w:bCs/>
                <w:i/>
                <w:iCs/>
                <w:color w:val="333333"/>
                <w:sz w:val="20"/>
                <w:szCs w:val="20"/>
              </w:rPr>
              <w:t>Administrative Advice:</w:t>
            </w:r>
            <w:r w:rsidRPr="00564C8E">
              <w:rPr>
                <w:i/>
                <w:iCs/>
                <w:sz w:val="20"/>
                <w:szCs w:val="20"/>
              </w:rPr>
              <w:t xml:space="preserve"> </w:t>
            </w:r>
          </w:p>
          <w:p w14:paraId="1C66A920" w14:textId="77777777" w:rsidR="00E34C8B" w:rsidRPr="00564C8E" w:rsidRDefault="00E34C8B" w:rsidP="00AF24C9">
            <w:pPr>
              <w:rPr>
                <w:rFonts w:ascii="Arial Narrow" w:hAnsi="Arial Narrow"/>
                <w:b/>
                <w:bCs/>
                <w:sz w:val="20"/>
                <w:szCs w:val="20"/>
              </w:rPr>
            </w:pPr>
            <w:r w:rsidRPr="00564C8E">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34C8B" w:rsidRPr="00447F0D" w14:paraId="5286B326"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5AF70BA6" w14:textId="77777777" w:rsidR="00E34C8B" w:rsidRPr="00564C8E" w:rsidRDefault="00E34C8B" w:rsidP="00AF24C9">
            <w:pPr>
              <w:rPr>
                <w:rFonts w:ascii="Arial Narrow" w:eastAsia="Arial Narrow" w:hAnsi="Arial Narrow" w:cs="Arial Narrow"/>
                <w:b/>
                <w:bCs/>
                <w:color w:val="333333"/>
                <w:sz w:val="20"/>
                <w:szCs w:val="20"/>
              </w:rPr>
            </w:pPr>
          </w:p>
        </w:tc>
      </w:tr>
      <w:tr w:rsidR="00E34C8B" w:rsidRPr="00447F0D" w14:paraId="0119B11B"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DE624AB" w14:textId="77777777" w:rsidR="00E34C8B" w:rsidRPr="00564C8E" w:rsidRDefault="00E34C8B" w:rsidP="00AF24C9">
            <w:pPr>
              <w:rPr>
                <w:rFonts w:ascii="Arial Narrow" w:hAnsi="Arial Narrow"/>
                <w:sz w:val="20"/>
                <w:szCs w:val="20"/>
              </w:rPr>
            </w:pPr>
            <w:r w:rsidRPr="00564C8E">
              <w:rPr>
                <w:rFonts w:ascii="Arial Narrow" w:eastAsia="Arial Narrow" w:hAnsi="Arial Narrow" w:cs="Arial Narrow"/>
                <w:b/>
                <w:bCs/>
                <w:color w:val="333333"/>
                <w:sz w:val="20"/>
                <w:szCs w:val="20"/>
              </w:rPr>
              <w:t>Indication:</w:t>
            </w:r>
            <w:r w:rsidRPr="00564C8E">
              <w:rPr>
                <w:rFonts w:ascii="Arial Narrow" w:eastAsia="Arial Narrow" w:hAnsi="Arial Narrow" w:cs="Arial Narrow"/>
                <w:color w:val="333333"/>
                <w:sz w:val="20"/>
                <w:szCs w:val="20"/>
              </w:rPr>
              <w:t xml:space="preserve"> Chronic lymphocytic leukaemia (CLL) or small lymphocytic lymphoma (SLL)</w:t>
            </w:r>
          </w:p>
        </w:tc>
      </w:tr>
      <w:tr w:rsidR="00E34C8B" w:rsidRPr="00447F0D" w14:paraId="67262BF7"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503D9FBE" w14:textId="77777777" w:rsidR="00E34C8B" w:rsidRPr="00564C8E" w:rsidRDefault="00E34C8B" w:rsidP="00AF24C9">
            <w:pPr>
              <w:rPr>
                <w:rFonts w:ascii="Arial Narrow" w:hAnsi="Arial Narrow"/>
                <w:sz w:val="20"/>
                <w:szCs w:val="20"/>
              </w:rPr>
            </w:pPr>
            <w:r w:rsidRPr="00564C8E">
              <w:rPr>
                <w:rFonts w:ascii="Arial Narrow" w:eastAsia="Arial Narrow" w:hAnsi="Arial Narrow" w:cs="Arial Narrow"/>
                <w:b/>
                <w:bCs/>
                <w:color w:val="333333"/>
                <w:sz w:val="20"/>
                <w:szCs w:val="20"/>
              </w:rPr>
              <w:t>Treatment Phase:</w:t>
            </w:r>
            <w:r w:rsidRPr="00564C8E">
              <w:rPr>
                <w:rFonts w:ascii="Arial Narrow" w:eastAsia="Arial Narrow" w:hAnsi="Arial Narrow" w:cs="Arial Narrow"/>
                <w:color w:val="333333"/>
                <w:sz w:val="20"/>
                <w:szCs w:val="20"/>
              </w:rPr>
              <w:t xml:space="preserve"> Initial treatment in first-line therapy </w:t>
            </w:r>
            <w:r w:rsidRPr="00564C8E">
              <w:rPr>
                <w:rFonts w:ascii="Arial Narrow" w:eastAsia="Arial Narrow" w:hAnsi="Arial Narrow" w:cs="Arial Narrow"/>
                <w:i/>
                <w:iCs/>
                <w:color w:val="333333"/>
                <w:sz w:val="20"/>
                <w:szCs w:val="20"/>
              </w:rPr>
              <w:t xml:space="preserve">(treatment cycles 1 to 3 inclusive) </w:t>
            </w:r>
            <w:r w:rsidRPr="00564C8E">
              <w:rPr>
                <w:rFonts w:ascii="Arial Narrow" w:eastAsia="Arial Narrow" w:hAnsi="Arial Narrow" w:cs="Arial Narrow"/>
                <w:strike/>
                <w:color w:val="333333"/>
                <w:sz w:val="20"/>
                <w:szCs w:val="20"/>
              </w:rPr>
              <w:t>– 3-cycle lead-in</w:t>
            </w:r>
            <w:r w:rsidRPr="00564C8E">
              <w:rPr>
                <w:rFonts w:ascii="Arial Narrow" w:eastAsia="Arial Narrow" w:hAnsi="Arial Narrow" w:cs="Arial Narrow"/>
                <w:color w:val="333333"/>
                <w:sz w:val="20"/>
                <w:szCs w:val="20"/>
              </w:rPr>
              <w:t xml:space="preserve"> </w:t>
            </w:r>
          </w:p>
        </w:tc>
      </w:tr>
      <w:tr w:rsidR="00E34C8B" w:rsidRPr="00447F0D" w14:paraId="4917BCBB"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24E6E624" w14:textId="77777777" w:rsidR="00E34C8B" w:rsidRPr="00564C8E" w:rsidRDefault="00E34C8B" w:rsidP="00AF24C9">
            <w:pPr>
              <w:rPr>
                <w:rFonts w:ascii="Arial Narrow" w:eastAsia="Arial Narrow" w:hAnsi="Arial Narrow" w:cs="Arial Narrow"/>
                <w:b/>
                <w:bCs/>
                <w:color w:val="333333"/>
                <w:sz w:val="20"/>
                <w:szCs w:val="20"/>
              </w:rPr>
            </w:pPr>
          </w:p>
        </w:tc>
      </w:tr>
      <w:tr w:rsidR="00E34C8B" w:rsidRPr="00447F0D" w14:paraId="7D092864"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AB99801" w14:textId="77777777" w:rsidR="00E34C8B" w:rsidRPr="00564C8E" w:rsidRDefault="00E34C8B" w:rsidP="00AF24C9">
            <w:pPr>
              <w:rPr>
                <w:rFonts w:ascii="Arial Narrow" w:hAnsi="Arial Narrow"/>
                <w:sz w:val="20"/>
                <w:szCs w:val="20"/>
              </w:rPr>
            </w:pPr>
            <w:r w:rsidRPr="00564C8E">
              <w:rPr>
                <w:rFonts w:ascii="Arial Narrow" w:eastAsia="Arial Narrow" w:hAnsi="Arial Narrow" w:cs="Arial Narrow"/>
                <w:b/>
                <w:bCs/>
                <w:color w:val="333333"/>
                <w:sz w:val="20"/>
                <w:szCs w:val="20"/>
              </w:rPr>
              <w:lastRenderedPageBreak/>
              <w:t>Clinical criteria:</w:t>
            </w:r>
          </w:p>
        </w:tc>
      </w:tr>
      <w:tr w:rsidR="00E34C8B" w:rsidRPr="00447F0D" w14:paraId="063CB9B5"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5F52CAD8" w14:textId="77777777" w:rsidR="00E34C8B" w:rsidRPr="00564C8E" w:rsidRDefault="00E34C8B" w:rsidP="00AF24C9">
            <w:pPr>
              <w:rPr>
                <w:rFonts w:ascii="Arial Narrow" w:hAnsi="Arial Narrow"/>
                <w:bCs/>
                <w:i/>
                <w:iCs/>
                <w:sz w:val="20"/>
                <w:szCs w:val="20"/>
              </w:rPr>
            </w:pPr>
            <w:r w:rsidRPr="00564C8E">
              <w:rPr>
                <w:rFonts w:ascii="Arial Narrow" w:eastAsia="Arial Narrow" w:hAnsi="Arial Narrow" w:cs="Arial Narrow"/>
                <w:color w:val="333333"/>
                <w:sz w:val="20"/>
                <w:szCs w:val="20"/>
              </w:rPr>
              <w:t>The condition must be untreated</w:t>
            </w:r>
          </w:p>
        </w:tc>
      </w:tr>
      <w:tr w:rsidR="00E34C8B" w:rsidRPr="00447F0D" w14:paraId="16EE3C1B"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22865817" w14:textId="77777777" w:rsidR="00E34C8B" w:rsidRPr="00564C8E" w:rsidRDefault="00E34C8B" w:rsidP="00AF24C9">
            <w:pPr>
              <w:rPr>
                <w:rFonts w:ascii="Arial Narrow" w:hAnsi="Arial Narrow"/>
                <w:sz w:val="20"/>
                <w:szCs w:val="20"/>
              </w:rPr>
            </w:pPr>
            <w:r w:rsidRPr="00564C8E">
              <w:rPr>
                <w:rFonts w:ascii="Arial Narrow" w:eastAsia="Arial Narrow" w:hAnsi="Arial Narrow" w:cs="Arial Narrow"/>
                <w:b/>
                <w:bCs/>
                <w:color w:val="333333"/>
                <w:sz w:val="20"/>
                <w:szCs w:val="20"/>
              </w:rPr>
              <w:t>AND</w:t>
            </w:r>
          </w:p>
        </w:tc>
      </w:tr>
      <w:tr w:rsidR="00E34C8B" w:rsidRPr="00447F0D" w14:paraId="171FCAAE"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14DA55F1" w14:textId="77777777" w:rsidR="00E34C8B" w:rsidRPr="00564C8E" w:rsidRDefault="00E34C8B" w:rsidP="00AF24C9">
            <w:pPr>
              <w:rPr>
                <w:rFonts w:ascii="Arial Narrow" w:hAnsi="Arial Narrow"/>
                <w:sz w:val="20"/>
                <w:szCs w:val="20"/>
              </w:rPr>
            </w:pPr>
            <w:r w:rsidRPr="00564C8E">
              <w:rPr>
                <w:rFonts w:ascii="Arial Narrow" w:eastAsia="Arial Narrow" w:hAnsi="Arial Narrow" w:cs="Arial Narrow"/>
                <w:b/>
                <w:bCs/>
                <w:color w:val="333333"/>
                <w:sz w:val="20"/>
                <w:szCs w:val="20"/>
              </w:rPr>
              <w:t>Clinical criteria:</w:t>
            </w:r>
          </w:p>
        </w:tc>
      </w:tr>
      <w:tr w:rsidR="00E34C8B" w:rsidRPr="00447F0D" w14:paraId="59B94072"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12DD9567" w14:textId="77777777" w:rsidR="00E34C8B" w:rsidRPr="00564C8E" w:rsidRDefault="00E34C8B" w:rsidP="00AF24C9">
            <w:pPr>
              <w:rPr>
                <w:rFonts w:ascii="Arial Narrow" w:hAnsi="Arial Narrow"/>
                <w:i/>
                <w:iCs/>
                <w:sz w:val="20"/>
                <w:szCs w:val="20"/>
              </w:rPr>
            </w:pPr>
            <w:r w:rsidRPr="00564C8E">
              <w:rPr>
                <w:rFonts w:ascii="Arial Narrow" w:eastAsia="Arial Narrow" w:hAnsi="Arial Narrow" w:cs="Arial Narrow"/>
                <w:color w:val="333333"/>
                <w:sz w:val="20"/>
                <w:szCs w:val="20"/>
              </w:rPr>
              <w:t>The treatment must be the sole PBS-subsidised therapy for this condition</w:t>
            </w:r>
          </w:p>
        </w:tc>
      </w:tr>
      <w:tr w:rsidR="00E34C8B" w:rsidRPr="00447F0D" w14:paraId="6DDF0DBE"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5F9EE5B4" w14:textId="77777777" w:rsidR="00E34C8B" w:rsidRPr="00564C8E" w:rsidRDefault="00E34C8B" w:rsidP="00AF24C9">
            <w:pPr>
              <w:rPr>
                <w:rFonts w:ascii="Arial Narrow" w:hAnsi="Arial Narrow"/>
                <w:strike/>
                <w:sz w:val="20"/>
                <w:szCs w:val="20"/>
              </w:rPr>
            </w:pPr>
            <w:r w:rsidRPr="00564C8E">
              <w:rPr>
                <w:rFonts w:ascii="Arial Narrow" w:eastAsia="Arial Narrow" w:hAnsi="Arial Narrow" w:cs="Arial Narrow"/>
                <w:b/>
                <w:bCs/>
                <w:color w:val="333333"/>
                <w:sz w:val="20"/>
                <w:szCs w:val="20"/>
              </w:rPr>
              <w:t>AND</w:t>
            </w:r>
          </w:p>
        </w:tc>
      </w:tr>
      <w:tr w:rsidR="00E34C8B" w:rsidRPr="00447F0D" w14:paraId="1A561261"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4401F663" w14:textId="77777777" w:rsidR="00E34C8B" w:rsidRPr="00564C8E" w:rsidRDefault="00E34C8B" w:rsidP="00AF24C9">
            <w:pPr>
              <w:rPr>
                <w:rFonts w:ascii="Arial Narrow" w:hAnsi="Arial Narrow"/>
                <w:strike/>
                <w:sz w:val="20"/>
                <w:szCs w:val="20"/>
              </w:rPr>
            </w:pPr>
            <w:r w:rsidRPr="00564C8E">
              <w:rPr>
                <w:rFonts w:ascii="Arial Narrow" w:eastAsia="Arial Narrow" w:hAnsi="Arial Narrow" w:cs="Arial Narrow"/>
                <w:b/>
                <w:bCs/>
                <w:color w:val="333333"/>
                <w:sz w:val="20"/>
                <w:szCs w:val="20"/>
              </w:rPr>
              <w:t>Clinical criteria:</w:t>
            </w:r>
          </w:p>
        </w:tc>
      </w:tr>
      <w:tr w:rsidR="00E34C8B" w:rsidRPr="00447F0D" w14:paraId="669D8D24"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250FB4F3" w14:textId="77777777" w:rsidR="00E34C8B" w:rsidRPr="00564C8E" w:rsidRDefault="00E34C8B" w:rsidP="00AF24C9">
            <w:pPr>
              <w:rPr>
                <w:rFonts w:ascii="Arial Narrow" w:hAnsi="Arial Narrow"/>
                <w:strike/>
                <w:sz w:val="20"/>
                <w:szCs w:val="20"/>
              </w:rPr>
            </w:pPr>
            <w:bookmarkStart w:id="11" w:name="_Hlk112258030"/>
            <w:r w:rsidRPr="00564C8E">
              <w:rPr>
                <w:rFonts w:ascii="Arial Narrow" w:eastAsia="Arial Narrow" w:hAnsi="Arial Narrow" w:cs="Arial Narrow"/>
                <w:color w:val="333333"/>
                <w:sz w:val="20"/>
                <w:szCs w:val="20"/>
              </w:rPr>
              <w:t>Patient must have a cumulative illness rating scale (CIRS) score of less than or equal to 6 (excluding CLL-induced illness or organ damage)</w:t>
            </w:r>
            <w:bookmarkEnd w:id="11"/>
          </w:p>
        </w:tc>
      </w:tr>
      <w:tr w:rsidR="00E34C8B" w:rsidRPr="00447F0D" w14:paraId="58022B30"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E18C9CA" w14:textId="77777777" w:rsidR="00E34C8B" w:rsidRPr="00564C8E" w:rsidRDefault="00E34C8B" w:rsidP="00AF24C9">
            <w:pPr>
              <w:rPr>
                <w:rFonts w:ascii="Arial Narrow" w:hAnsi="Arial Narrow"/>
                <w:strike/>
                <w:sz w:val="20"/>
                <w:szCs w:val="20"/>
              </w:rPr>
            </w:pPr>
            <w:r w:rsidRPr="00564C8E">
              <w:rPr>
                <w:rFonts w:ascii="Arial Narrow" w:eastAsia="Arial Narrow" w:hAnsi="Arial Narrow" w:cs="Arial Narrow"/>
                <w:b/>
                <w:bCs/>
                <w:color w:val="333333"/>
                <w:sz w:val="20"/>
                <w:szCs w:val="20"/>
              </w:rPr>
              <w:t>AND</w:t>
            </w:r>
          </w:p>
        </w:tc>
      </w:tr>
      <w:tr w:rsidR="00E34C8B" w:rsidRPr="00447F0D" w14:paraId="74389B91"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75C8A76" w14:textId="77777777" w:rsidR="00E34C8B" w:rsidRPr="00564C8E" w:rsidRDefault="00E34C8B" w:rsidP="00AF24C9">
            <w:pPr>
              <w:rPr>
                <w:rFonts w:ascii="Arial Narrow" w:hAnsi="Arial Narrow"/>
                <w:strike/>
                <w:sz w:val="20"/>
                <w:szCs w:val="20"/>
              </w:rPr>
            </w:pPr>
            <w:r w:rsidRPr="00564C8E">
              <w:rPr>
                <w:rFonts w:ascii="Arial Narrow" w:eastAsia="Arial Narrow" w:hAnsi="Arial Narrow" w:cs="Arial Narrow"/>
                <w:b/>
                <w:bCs/>
                <w:color w:val="333333"/>
                <w:sz w:val="20"/>
                <w:szCs w:val="20"/>
              </w:rPr>
              <w:t>Clinical criteria:</w:t>
            </w:r>
          </w:p>
        </w:tc>
      </w:tr>
      <w:tr w:rsidR="00E34C8B" w:rsidRPr="00447F0D" w14:paraId="759DB02C"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4ED5A813" w14:textId="77777777" w:rsidR="00E34C8B" w:rsidRPr="00564C8E" w:rsidRDefault="00E34C8B" w:rsidP="00AF24C9">
            <w:pPr>
              <w:rPr>
                <w:rFonts w:ascii="Arial Narrow" w:hAnsi="Arial Narrow"/>
                <w:strike/>
                <w:sz w:val="20"/>
                <w:szCs w:val="20"/>
              </w:rPr>
            </w:pPr>
            <w:r w:rsidRPr="00564C8E">
              <w:rPr>
                <w:rFonts w:ascii="Arial Narrow" w:eastAsia="Arial Narrow" w:hAnsi="Arial Narrow" w:cs="Arial Narrow"/>
                <w:color w:val="333333"/>
                <w:sz w:val="20"/>
                <w:szCs w:val="20"/>
              </w:rPr>
              <w:t>Patient must have a creatinine clearance greater than or equal to 70 mL/min</w:t>
            </w:r>
          </w:p>
        </w:tc>
      </w:tr>
      <w:tr w:rsidR="00E34C8B" w:rsidRPr="00447F0D" w14:paraId="5DBB0497"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E841F8B" w14:textId="77777777" w:rsidR="00E34C8B" w:rsidRPr="00564C8E" w:rsidRDefault="00E34C8B" w:rsidP="00AF24C9">
            <w:pPr>
              <w:rPr>
                <w:rFonts w:ascii="Arial Narrow" w:hAnsi="Arial Narrow"/>
                <w:strike/>
                <w:sz w:val="20"/>
                <w:szCs w:val="20"/>
              </w:rPr>
            </w:pPr>
            <w:r w:rsidRPr="00564C8E">
              <w:rPr>
                <w:rFonts w:ascii="Arial Narrow" w:eastAsia="Arial Narrow" w:hAnsi="Arial Narrow" w:cs="Arial Narrow"/>
                <w:b/>
                <w:bCs/>
                <w:color w:val="333333"/>
                <w:sz w:val="20"/>
                <w:szCs w:val="20"/>
              </w:rPr>
              <w:t>AND</w:t>
            </w:r>
          </w:p>
        </w:tc>
      </w:tr>
      <w:tr w:rsidR="00E34C8B" w:rsidRPr="00447F0D" w14:paraId="78DDA663"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3A2D54C" w14:textId="77777777" w:rsidR="00E34C8B" w:rsidRPr="00564C8E" w:rsidRDefault="00E34C8B" w:rsidP="00AF24C9">
            <w:pPr>
              <w:rPr>
                <w:rFonts w:ascii="Arial Narrow" w:eastAsia="Arial Narrow" w:hAnsi="Arial Narrow" w:cs="Arial Narrow"/>
                <w:b/>
                <w:bCs/>
                <w:color w:val="333333"/>
                <w:sz w:val="20"/>
                <w:szCs w:val="20"/>
              </w:rPr>
            </w:pPr>
            <w:r w:rsidRPr="00564C8E">
              <w:rPr>
                <w:rFonts w:ascii="Arial Narrow" w:eastAsia="Arial Narrow" w:hAnsi="Arial Narrow" w:cs="Arial Narrow"/>
                <w:b/>
                <w:bCs/>
                <w:color w:val="333333"/>
                <w:sz w:val="20"/>
                <w:szCs w:val="20"/>
              </w:rPr>
              <w:t>Clinical criteria:</w:t>
            </w:r>
          </w:p>
        </w:tc>
      </w:tr>
      <w:tr w:rsidR="00E34C8B" w:rsidRPr="00447F0D" w14:paraId="30AD6157"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9C5B493" w14:textId="77777777" w:rsidR="00E34C8B" w:rsidRPr="00564C8E" w:rsidRDefault="00E34C8B" w:rsidP="00AF24C9">
            <w:pPr>
              <w:rPr>
                <w:rFonts w:ascii="Arial Narrow" w:eastAsia="Arial Narrow" w:hAnsi="Arial Narrow" w:cs="Arial Narrow"/>
                <w:b/>
                <w:bCs/>
                <w:color w:val="333333"/>
                <w:sz w:val="20"/>
                <w:szCs w:val="20"/>
              </w:rPr>
            </w:pPr>
            <w:r w:rsidRPr="00564C8E">
              <w:rPr>
                <w:rFonts w:ascii="Arial Narrow" w:eastAsia="Arial Narrow" w:hAnsi="Arial Narrow" w:cs="Arial Narrow"/>
                <w:color w:val="333333"/>
                <w:sz w:val="20"/>
                <w:szCs w:val="20"/>
              </w:rPr>
              <w:t>Patient must have a WHO performance status of 0 or 1</w:t>
            </w:r>
          </w:p>
        </w:tc>
      </w:tr>
      <w:tr w:rsidR="00E34C8B" w:rsidRPr="00447F0D" w14:paraId="531855A1"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26B8D4B" w14:textId="77777777" w:rsidR="00E34C8B" w:rsidRPr="00564C8E" w:rsidRDefault="00E34C8B" w:rsidP="00AF24C9">
            <w:pPr>
              <w:rPr>
                <w:rFonts w:ascii="Arial Narrow" w:eastAsia="Arial Narrow" w:hAnsi="Arial Narrow" w:cs="Arial Narrow"/>
                <w:color w:val="333333"/>
                <w:sz w:val="20"/>
                <w:szCs w:val="20"/>
              </w:rPr>
            </w:pPr>
          </w:p>
        </w:tc>
      </w:tr>
      <w:tr w:rsidR="00E34C8B" w:rsidRPr="00447F0D" w14:paraId="47A4CBF7" w14:textId="77777777" w:rsidTr="00E34C8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15D0480F" w14:textId="77777777" w:rsidR="00E34C8B" w:rsidRPr="00564C8E" w:rsidRDefault="00E34C8B" w:rsidP="00AF24C9">
            <w:pPr>
              <w:rPr>
                <w:rFonts w:ascii="Arial Narrow" w:eastAsia="Arial Narrow" w:hAnsi="Arial Narrow" w:cs="Arial Narrow"/>
                <w:b/>
                <w:bCs/>
                <w:i/>
                <w:iCs/>
                <w:color w:val="333333"/>
                <w:sz w:val="20"/>
                <w:szCs w:val="20"/>
              </w:rPr>
            </w:pPr>
            <w:r w:rsidRPr="00564C8E">
              <w:rPr>
                <w:rFonts w:ascii="Arial Narrow" w:eastAsia="Arial Narrow" w:hAnsi="Arial Narrow" w:cs="Arial Narrow"/>
                <w:b/>
                <w:bCs/>
                <w:i/>
                <w:iCs/>
                <w:color w:val="333333"/>
                <w:sz w:val="20"/>
                <w:szCs w:val="20"/>
              </w:rPr>
              <w:t>Prescriber Instruction:</w:t>
            </w:r>
          </w:p>
          <w:p w14:paraId="72692B08" w14:textId="77777777" w:rsidR="00E34C8B" w:rsidRPr="00564C8E" w:rsidRDefault="00E34C8B" w:rsidP="00AF24C9">
            <w:pPr>
              <w:rPr>
                <w:rFonts w:ascii="Arial Narrow" w:eastAsia="Arial Narrow" w:hAnsi="Arial Narrow" w:cs="Arial Narrow"/>
                <w:i/>
                <w:iCs/>
                <w:color w:val="333333"/>
                <w:sz w:val="20"/>
                <w:szCs w:val="20"/>
              </w:rPr>
            </w:pPr>
            <w:r w:rsidRPr="00564C8E">
              <w:rPr>
                <w:rFonts w:ascii="Arial Narrow" w:eastAsia="Arial Narrow" w:hAnsi="Arial Narrow" w:cs="Arial Narrow"/>
                <w:i/>
                <w:iCs/>
                <w:color w:val="333333"/>
                <w:sz w:val="20"/>
                <w:szCs w:val="20"/>
              </w:rPr>
              <w:t>There are more ibrutinib capsules in a pack than is required for the completion of a treatment cycle. The patient must not discard any remaining capsules after the completion of any treatment cycle as these capsules will be required for the doses in the final treatment cycle (i.e. treatment cycle 15).</w:t>
            </w:r>
          </w:p>
        </w:tc>
      </w:tr>
    </w:tbl>
    <w:p w14:paraId="4E8D729B" w14:textId="77777777" w:rsidR="008C4B6C" w:rsidRPr="008C4B6C" w:rsidRDefault="008C4B6C" w:rsidP="008C4B6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1182"/>
        <w:gridCol w:w="1012"/>
        <w:gridCol w:w="843"/>
        <w:gridCol w:w="843"/>
        <w:gridCol w:w="2194"/>
      </w:tblGrid>
      <w:tr w:rsidR="00A33749" w:rsidRPr="00A33749" w14:paraId="39EEE9A5" w14:textId="77777777" w:rsidTr="00AF24C9">
        <w:trPr>
          <w:cantSplit/>
          <w:trHeight w:val="471"/>
        </w:trPr>
        <w:tc>
          <w:tcPr>
            <w:tcW w:w="2993" w:type="dxa"/>
          </w:tcPr>
          <w:p w14:paraId="419A34B8" w14:textId="77777777" w:rsidR="00A33749" w:rsidRPr="00A33749" w:rsidRDefault="00A33749" w:rsidP="00AF24C9">
            <w:pPr>
              <w:keepNext/>
              <w:ind w:left="-57"/>
              <w:rPr>
                <w:rFonts w:ascii="Arial Narrow" w:hAnsi="Arial Narrow"/>
                <w:b/>
                <w:bCs/>
                <w:sz w:val="20"/>
                <w:szCs w:val="20"/>
              </w:rPr>
            </w:pPr>
            <w:r w:rsidRPr="00A33749">
              <w:rPr>
                <w:sz w:val="18"/>
                <w:szCs w:val="18"/>
              </w:rPr>
              <w:br w:type="page"/>
            </w:r>
            <w:r w:rsidRPr="00A33749">
              <w:rPr>
                <w:rFonts w:ascii="Arial Narrow" w:hAnsi="Arial Narrow"/>
                <w:b/>
                <w:bCs/>
                <w:sz w:val="20"/>
                <w:szCs w:val="20"/>
              </w:rPr>
              <w:t>MEDICINAL PRODUCT</w:t>
            </w:r>
          </w:p>
          <w:p w14:paraId="53E54E82" w14:textId="77777777" w:rsidR="00A33749" w:rsidRPr="00A33749" w:rsidRDefault="00A33749" w:rsidP="00AF24C9">
            <w:pPr>
              <w:keepNext/>
              <w:ind w:left="-57"/>
              <w:rPr>
                <w:rFonts w:ascii="Arial Narrow" w:hAnsi="Arial Narrow"/>
                <w:b/>
                <w:sz w:val="20"/>
                <w:szCs w:val="20"/>
              </w:rPr>
            </w:pPr>
            <w:r w:rsidRPr="00A33749">
              <w:rPr>
                <w:rFonts w:ascii="Arial Narrow" w:hAnsi="Arial Narrow"/>
                <w:b/>
                <w:bCs/>
                <w:sz w:val="20"/>
                <w:szCs w:val="20"/>
              </w:rPr>
              <w:t>medicinal product pack</w:t>
            </w:r>
          </w:p>
        </w:tc>
        <w:tc>
          <w:tcPr>
            <w:tcW w:w="1182" w:type="dxa"/>
          </w:tcPr>
          <w:p w14:paraId="1F01BF00"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PBS item code</w:t>
            </w:r>
          </w:p>
        </w:tc>
        <w:tc>
          <w:tcPr>
            <w:tcW w:w="1012" w:type="dxa"/>
          </w:tcPr>
          <w:p w14:paraId="21091A73"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Max. qty packs</w:t>
            </w:r>
          </w:p>
        </w:tc>
        <w:tc>
          <w:tcPr>
            <w:tcW w:w="843" w:type="dxa"/>
          </w:tcPr>
          <w:p w14:paraId="75487123"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Max. qty units</w:t>
            </w:r>
          </w:p>
        </w:tc>
        <w:tc>
          <w:tcPr>
            <w:tcW w:w="843" w:type="dxa"/>
          </w:tcPr>
          <w:p w14:paraId="772930DD"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№.of</w:t>
            </w:r>
          </w:p>
          <w:p w14:paraId="024496E2"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Rpts</w:t>
            </w:r>
          </w:p>
        </w:tc>
        <w:tc>
          <w:tcPr>
            <w:tcW w:w="2194" w:type="dxa"/>
          </w:tcPr>
          <w:p w14:paraId="1C5D14AD" w14:textId="77777777" w:rsidR="00A33749" w:rsidRPr="00A33749" w:rsidRDefault="00A33749" w:rsidP="00AF24C9">
            <w:pPr>
              <w:keepNext/>
              <w:jc w:val="center"/>
              <w:rPr>
                <w:rFonts w:ascii="Arial Narrow" w:hAnsi="Arial Narrow"/>
                <w:b/>
                <w:sz w:val="20"/>
                <w:szCs w:val="20"/>
                <w:lang w:val="fr-FR"/>
              </w:rPr>
            </w:pPr>
            <w:r w:rsidRPr="00A33749">
              <w:rPr>
                <w:rFonts w:ascii="Arial Narrow" w:hAnsi="Arial Narrow"/>
                <w:b/>
                <w:sz w:val="20"/>
                <w:szCs w:val="20"/>
              </w:rPr>
              <w:t>Available brands</w:t>
            </w:r>
          </w:p>
        </w:tc>
      </w:tr>
      <w:tr w:rsidR="00A33749" w:rsidRPr="00A33749" w14:paraId="42DDEF93" w14:textId="77777777" w:rsidTr="00AF24C9">
        <w:trPr>
          <w:cantSplit/>
          <w:trHeight w:val="224"/>
        </w:trPr>
        <w:tc>
          <w:tcPr>
            <w:tcW w:w="9067" w:type="dxa"/>
            <w:gridSpan w:val="6"/>
          </w:tcPr>
          <w:p w14:paraId="1D8643A6" w14:textId="77777777" w:rsidR="00A33749" w:rsidRPr="00A33749" w:rsidRDefault="00A33749" w:rsidP="00AF24C9">
            <w:pPr>
              <w:keepNext/>
              <w:ind w:left="-57"/>
              <w:rPr>
                <w:rFonts w:ascii="Arial Narrow" w:hAnsi="Arial Narrow"/>
                <w:sz w:val="20"/>
                <w:szCs w:val="20"/>
              </w:rPr>
            </w:pPr>
            <w:r w:rsidRPr="00A33749">
              <w:rPr>
                <w:rFonts w:ascii="Arial Narrow" w:hAnsi="Arial Narrow"/>
                <w:sz w:val="20"/>
                <w:szCs w:val="20"/>
              </w:rPr>
              <w:t>IBRUTINIB</w:t>
            </w:r>
          </w:p>
        </w:tc>
      </w:tr>
      <w:tr w:rsidR="00A33749" w:rsidRPr="00A33749" w14:paraId="018362E5" w14:textId="77777777" w:rsidTr="00AF24C9">
        <w:trPr>
          <w:cantSplit/>
          <w:trHeight w:val="553"/>
        </w:trPr>
        <w:tc>
          <w:tcPr>
            <w:tcW w:w="2993" w:type="dxa"/>
          </w:tcPr>
          <w:p w14:paraId="573CC40D" w14:textId="77777777" w:rsidR="00A33749" w:rsidRPr="00A33749" w:rsidRDefault="00A33749" w:rsidP="00AF24C9">
            <w:pPr>
              <w:keepNext/>
              <w:ind w:left="-57"/>
              <w:rPr>
                <w:rFonts w:ascii="Arial Narrow" w:hAnsi="Arial Narrow"/>
                <w:sz w:val="20"/>
                <w:szCs w:val="20"/>
              </w:rPr>
            </w:pPr>
            <w:r w:rsidRPr="00A33749">
              <w:rPr>
                <w:rFonts w:ascii="Arial Narrow" w:hAnsi="Arial Narrow" w:cstheme="minorBidi"/>
                <w:sz w:val="20"/>
                <w:szCs w:val="20"/>
              </w:rPr>
              <w:t>ibrutinib 140 mg capsule, 90</w:t>
            </w:r>
          </w:p>
        </w:tc>
        <w:tc>
          <w:tcPr>
            <w:tcW w:w="1182" w:type="dxa"/>
          </w:tcPr>
          <w:p w14:paraId="513A04E8"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NEW</w:t>
            </w:r>
          </w:p>
        </w:tc>
        <w:tc>
          <w:tcPr>
            <w:tcW w:w="1012" w:type="dxa"/>
          </w:tcPr>
          <w:p w14:paraId="39DB1E7C"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1</w:t>
            </w:r>
          </w:p>
        </w:tc>
        <w:tc>
          <w:tcPr>
            <w:tcW w:w="843" w:type="dxa"/>
          </w:tcPr>
          <w:p w14:paraId="262D4B99"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90</w:t>
            </w:r>
          </w:p>
        </w:tc>
        <w:tc>
          <w:tcPr>
            <w:tcW w:w="843" w:type="dxa"/>
          </w:tcPr>
          <w:p w14:paraId="32B9EA2D"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5</w:t>
            </w:r>
          </w:p>
        </w:tc>
        <w:tc>
          <w:tcPr>
            <w:tcW w:w="2194" w:type="dxa"/>
          </w:tcPr>
          <w:p w14:paraId="21597FAA" w14:textId="77777777" w:rsidR="00A33749" w:rsidRPr="00A33749" w:rsidRDefault="00A33749" w:rsidP="00AF24C9">
            <w:pPr>
              <w:keepNext/>
              <w:keepLines/>
              <w:jc w:val="center"/>
              <w:rPr>
                <w:rFonts w:ascii="Arial Narrow" w:eastAsiaTheme="majorEastAsia" w:hAnsi="Arial Narrow" w:cstheme="majorBidi"/>
                <w:bCs/>
                <w:sz w:val="20"/>
                <w:szCs w:val="20"/>
              </w:rPr>
            </w:pPr>
            <w:r w:rsidRPr="00A33749">
              <w:rPr>
                <w:rFonts w:ascii="Arial Narrow" w:eastAsiaTheme="majorEastAsia" w:hAnsi="Arial Narrow"/>
                <w:bCs/>
                <w:sz w:val="20"/>
                <w:szCs w:val="20"/>
              </w:rPr>
              <w:t>Imbruvica</w:t>
            </w:r>
          </w:p>
        </w:tc>
      </w:tr>
      <w:tr w:rsidR="00A33749" w:rsidRPr="00A33749" w14:paraId="436BD6C2" w14:textId="77777777" w:rsidTr="00AF24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28759F45" w14:textId="77777777" w:rsidR="00A33749" w:rsidRPr="00A33749" w:rsidRDefault="00A33749" w:rsidP="00AF24C9">
            <w:pPr>
              <w:rPr>
                <w:rFonts w:ascii="Arial Narrow" w:hAnsi="Arial Narrow"/>
                <w:sz w:val="20"/>
                <w:szCs w:val="20"/>
              </w:rPr>
            </w:pPr>
          </w:p>
        </w:tc>
      </w:tr>
      <w:tr w:rsidR="00A33749" w:rsidRPr="00A33749" w14:paraId="6B7BAABF" w14:textId="77777777" w:rsidTr="00AF24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1B1ABAC4" w14:textId="0A1626DA" w:rsidR="00A33749" w:rsidRPr="00A33749" w:rsidRDefault="00A33749" w:rsidP="00AF24C9">
            <w:pPr>
              <w:rPr>
                <w:rFonts w:ascii="Arial Narrow" w:hAnsi="Arial Narrow"/>
                <w:b/>
                <w:sz w:val="20"/>
                <w:szCs w:val="20"/>
              </w:rPr>
            </w:pPr>
            <w:r w:rsidRPr="00A33749">
              <w:rPr>
                <w:rFonts w:ascii="Arial Narrow" w:hAnsi="Arial Narrow"/>
                <w:b/>
                <w:sz w:val="20"/>
                <w:szCs w:val="20"/>
              </w:rPr>
              <w:t>Restriction Summary / Treatment of Concept:</w:t>
            </w:r>
          </w:p>
        </w:tc>
      </w:tr>
      <w:tr w:rsidR="00E34C8B" w:rsidRPr="00A33749" w14:paraId="63726888" w14:textId="77777777" w:rsidTr="00C93E19">
        <w:tblPrEx>
          <w:tblCellMar>
            <w:top w:w="15" w:type="dxa"/>
            <w:left w:w="15" w:type="dxa"/>
            <w:bottom w:w="15" w:type="dxa"/>
            <w:right w:w="15" w:type="dxa"/>
          </w:tblCellMar>
        </w:tblPrEx>
        <w:tc>
          <w:tcPr>
            <w:tcW w:w="9067" w:type="dxa"/>
            <w:gridSpan w:val="6"/>
            <w:tcBorders>
              <w:top w:val="single" w:sz="4" w:space="0" w:color="auto"/>
              <w:left w:val="single" w:sz="4" w:space="0" w:color="auto"/>
              <w:right w:val="single" w:sz="4" w:space="0" w:color="auto"/>
            </w:tcBorders>
          </w:tcPr>
          <w:p w14:paraId="76D1A34B" w14:textId="77777777" w:rsidR="00E34C8B" w:rsidRPr="00A33749" w:rsidRDefault="00E34C8B" w:rsidP="00AF24C9">
            <w:pPr>
              <w:rPr>
                <w:rFonts w:ascii="Arial Narrow" w:hAnsi="Arial Narrow"/>
                <w:sz w:val="20"/>
                <w:szCs w:val="20"/>
              </w:rPr>
            </w:pPr>
            <w:r w:rsidRPr="00A33749">
              <w:rPr>
                <w:rFonts w:ascii="Arial Narrow" w:hAnsi="Arial Narrow"/>
                <w:b/>
                <w:sz w:val="20"/>
                <w:szCs w:val="20"/>
              </w:rPr>
              <w:t xml:space="preserve">Category / Program: </w:t>
            </w:r>
            <w:r w:rsidRPr="00A33749">
              <w:rPr>
                <w:rFonts w:ascii="Arial Narrow" w:hAnsi="Arial Narrow"/>
                <w:sz w:val="20"/>
                <w:szCs w:val="20"/>
              </w:rPr>
              <w:t xml:space="preserve">GENERAL – General Schedule (Code GE) </w:t>
            </w:r>
          </w:p>
        </w:tc>
      </w:tr>
      <w:tr w:rsidR="00E34C8B" w:rsidRPr="00A33749" w14:paraId="04C6899C" w14:textId="77777777" w:rsidTr="00143CF5">
        <w:tblPrEx>
          <w:tblCellMar>
            <w:top w:w="15" w:type="dxa"/>
            <w:left w:w="15" w:type="dxa"/>
            <w:bottom w:w="15" w:type="dxa"/>
            <w:right w:w="15" w:type="dxa"/>
          </w:tblCellMar>
        </w:tblPrEx>
        <w:trPr>
          <w:trHeight w:val="240"/>
        </w:trPr>
        <w:tc>
          <w:tcPr>
            <w:tcW w:w="9067" w:type="dxa"/>
            <w:gridSpan w:val="6"/>
            <w:tcBorders>
              <w:left w:val="single" w:sz="4" w:space="0" w:color="auto"/>
              <w:right w:val="single" w:sz="4" w:space="0" w:color="auto"/>
            </w:tcBorders>
          </w:tcPr>
          <w:p w14:paraId="0DBC1D8E" w14:textId="77777777" w:rsidR="00E34C8B" w:rsidRPr="00A33749" w:rsidRDefault="00E34C8B" w:rsidP="00AF24C9">
            <w:pPr>
              <w:rPr>
                <w:rFonts w:ascii="Arial Narrow" w:hAnsi="Arial Narrow"/>
                <w:b/>
                <w:sz w:val="20"/>
                <w:szCs w:val="20"/>
              </w:rPr>
            </w:pPr>
            <w:r w:rsidRPr="00A33749">
              <w:rPr>
                <w:rFonts w:ascii="Arial Narrow" w:hAnsi="Arial Narrow"/>
                <w:b/>
                <w:sz w:val="20"/>
                <w:szCs w:val="20"/>
              </w:rPr>
              <w:t xml:space="preserve">Prescriber type: </w:t>
            </w:r>
            <w:r w:rsidRPr="00A33749">
              <w:rPr>
                <w:rFonts w:ascii="Arial Narrow" w:hAnsi="Arial Narrow"/>
                <w:sz w:val="20"/>
                <w:szCs w:val="20"/>
              </w:rPr>
              <w:fldChar w:fldCharType="begin" w:fldLock="1">
                <w:ffData>
                  <w:name w:val=""/>
                  <w:enabled/>
                  <w:calcOnExit w:val="0"/>
                  <w:checkBox>
                    <w:sizeAuto/>
                    <w:default w:val="1"/>
                  </w:checkBox>
                </w:ffData>
              </w:fldChar>
            </w:r>
            <w:r w:rsidRPr="00A33749">
              <w:rPr>
                <w:rFonts w:ascii="Arial Narrow" w:hAnsi="Arial Narrow"/>
                <w:sz w:val="20"/>
                <w:szCs w:val="20"/>
              </w:rPr>
              <w:instrText xml:space="preserve"> FORMCHECKBOX </w:instrText>
            </w:r>
            <w:r w:rsidR="001217F8">
              <w:rPr>
                <w:rFonts w:ascii="Arial Narrow" w:hAnsi="Arial Narrow"/>
                <w:sz w:val="20"/>
                <w:szCs w:val="20"/>
              </w:rPr>
            </w:r>
            <w:r w:rsidR="001217F8">
              <w:rPr>
                <w:rFonts w:ascii="Arial Narrow" w:hAnsi="Arial Narrow"/>
                <w:sz w:val="20"/>
                <w:szCs w:val="20"/>
              </w:rPr>
              <w:fldChar w:fldCharType="separate"/>
            </w:r>
            <w:r w:rsidRPr="00A33749">
              <w:rPr>
                <w:rFonts w:ascii="Arial Narrow" w:hAnsi="Arial Narrow"/>
                <w:sz w:val="20"/>
                <w:szCs w:val="20"/>
              </w:rPr>
              <w:fldChar w:fldCharType="end"/>
            </w:r>
            <w:r w:rsidRPr="00A33749">
              <w:rPr>
                <w:rFonts w:ascii="Arial Narrow" w:hAnsi="Arial Narrow"/>
                <w:sz w:val="20"/>
                <w:szCs w:val="20"/>
              </w:rPr>
              <w:t>Medical Practitioners</w:t>
            </w:r>
          </w:p>
        </w:tc>
      </w:tr>
      <w:tr w:rsidR="00E34C8B" w:rsidRPr="00A33749" w14:paraId="12797EEC" w14:textId="77777777" w:rsidTr="00536A6E">
        <w:tblPrEx>
          <w:tblCellMar>
            <w:top w:w="15" w:type="dxa"/>
            <w:left w:w="15" w:type="dxa"/>
            <w:bottom w:w="15" w:type="dxa"/>
            <w:right w:w="15" w:type="dxa"/>
          </w:tblCellMar>
        </w:tblPrEx>
        <w:tc>
          <w:tcPr>
            <w:tcW w:w="9067" w:type="dxa"/>
            <w:gridSpan w:val="6"/>
            <w:tcBorders>
              <w:left w:val="single" w:sz="4" w:space="0" w:color="auto"/>
              <w:bottom w:val="single" w:sz="4" w:space="0" w:color="auto"/>
              <w:right w:val="single" w:sz="4" w:space="0" w:color="auto"/>
            </w:tcBorders>
          </w:tcPr>
          <w:p w14:paraId="5D7CA958" w14:textId="77777777" w:rsidR="00E34C8B" w:rsidRPr="00A33749" w:rsidRDefault="00E34C8B" w:rsidP="00AF24C9">
            <w:pPr>
              <w:rPr>
                <w:rFonts w:ascii="Arial Narrow" w:eastAsia="Calibri" w:hAnsi="Arial Narrow"/>
                <w:sz w:val="20"/>
                <w:szCs w:val="20"/>
              </w:rPr>
            </w:pPr>
            <w:r w:rsidRPr="00A33749">
              <w:rPr>
                <w:rFonts w:ascii="Arial Narrow" w:hAnsi="Arial Narrow"/>
                <w:b/>
                <w:sz w:val="20"/>
                <w:szCs w:val="20"/>
              </w:rPr>
              <w:t xml:space="preserve">Restriction type: </w:t>
            </w:r>
            <w:r w:rsidRPr="00A33749">
              <w:rPr>
                <w:rFonts w:ascii="Arial Narrow" w:eastAsia="Calibri" w:hAnsi="Arial Narrow"/>
                <w:sz w:val="20"/>
                <w:szCs w:val="20"/>
              </w:rPr>
              <w:fldChar w:fldCharType="begin" w:fldLock="1">
                <w:ffData>
                  <w:name w:val="Check3"/>
                  <w:enabled/>
                  <w:calcOnExit w:val="0"/>
                  <w:checkBox>
                    <w:sizeAuto/>
                    <w:default w:val="1"/>
                  </w:checkBox>
                </w:ffData>
              </w:fldChar>
            </w:r>
            <w:r w:rsidRPr="00A33749">
              <w:rPr>
                <w:rFonts w:ascii="Arial Narrow" w:eastAsia="Calibri" w:hAnsi="Arial Narrow"/>
                <w:sz w:val="20"/>
                <w:szCs w:val="20"/>
              </w:rPr>
              <w:instrText xml:space="preserve"> FORMCHECKBOX </w:instrText>
            </w:r>
            <w:r w:rsidR="001217F8">
              <w:rPr>
                <w:rFonts w:ascii="Arial Narrow" w:eastAsia="Calibri" w:hAnsi="Arial Narrow"/>
                <w:sz w:val="20"/>
                <w:szCs w:val="20"/>
              </w:rPr>
            </w:r>
            <w:r w:rsidR="001217F8">
              <w:rPr>
                <w:rFonts w:ascii="Arial Narrow" w:eastAsia="Calibri" w:hAnsi="Arial Narrow"/>
                <w:sz w:val="20"/>
                <w:szCs w:val="20"/>
              </w:rPr>
              <w:fldChar w:fldCharType="separate"/>
            </w:r>
            <w:r w:rsidRPr="00A33749">
              <w:rPr>
                <w:rFonts w:ascii="Arial Narrow" w:eastAsia="Calibri" w:hAnsi="Arial Narrow"/>
                <w:sz w:val="20"/>
                <w:szCs w:val="20"/>
              </w:rPr>
              <w:fldChar w:fldCharType="end"/>
            </w:r>
            <w:r w:rsidRPr="00A33749">
              <w:rPr>
                <w:rFonts w:ascii="Arial Narrow" w:eastAsia="Calibri" w:hAnsi="Arial Narrow"/>
                <w:sz w:val="20"/>
                <w:szCs w:val="20"/>
              </w:rPr>
              <w:t xml:space="preserve"> Authority Required (telephone/electronic via PBS Authorities system)</w:t>
            </w:r>
            <w:r w:rsidRPr="00A33749">
              <w:rPr>
                <w:rFonts w:ascii="Arial Narrow" w:eastAsia="Arial Narrow" w:hAnsi="Arial Narrow" w:cs="Arial Narrow"/>
                <w:i/>
                <w:iCs/>
                <w:strike/>
                <w:sz w:val="20"/>
                <w:szCs w:val="20"/>
              </w:rPr>
              <w:t xml:space="preserve"> </w:t>
            </w:r>
            <w:r w:rsidRPr="00A33749">
              <w:rPr>
                <w:rFonts w:ascii="Arial Narrow" w:eastAsia="Arial Narrow" w:hAnsi="Arial Narrow" w:cs="Arial Narrow"/>
                <w:strike/>
                <w:sz w:val="20"/>
                <w:szCs w:val="20"/>
              </w:rPr>
              <w:t>non-immediate/delayed assessment by Services Australia (in-writing only via mail/postal service or electronic upload to Hobart; requires at least one concept ID to be marked as ‘FULL’ for full assessment by Services Australia)</w:t>
            </w:r>
          </w:p>
        </w:tc>
      </w:tr>
      <w:tr w:rsidR="00E34C8B" w:rsidRPr="00A33749" w14:paraId="5ED2793D" w14:textId="77777777" w:rsidTr="004C7B91">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bottom w:val="single" w:sz="4" w:space="0" w:color="auto"/>
              <w:right w:val="single" w:sz="4" w:space="0" w:color="auto"/>
            </w:tcBorders>
          </w:tcPr>
          <w:p w14:paraId="528F4EE5" w14:textId="77777777" w:rsidR="00E34C8B" w:rsidRPr="00A33749" w:rsidRDefault="00E34C8B" w:rsidP="00AF24C9">
            <w:pPr>
              <w:rPr>
                <w:rFonts w:ascii="Arial Narrow" w:hAnsi="Arial Narrow"/>
                <w:b/>
                <w:sz w:val="20"/>
                <w:szCs w:val="20"/>
              </w:rPr>
            </w:pPr>
          </w:p>
        </w:tc>
      </w:tr>
      <w:tr w:rsidR="00E34C8B" w:rsidRPr="00A33749" w14:paraId="6FC25FDA" w14:textId="77777777" w:rsidTr="007E2296">
        <w:tblPrEx>
          <w:tblCellMar>
            <w:top w:w="15" w:type="dxa"/>
            <w:left w:w="15" w:type="dxa"/>
            <w:bottom w:w="15" w:type="dxa"/>
            <w:right w:w="15" w:type="dxa"/>
          </w:tblCellMar>
        </w:tblPrEx>
        <w:tc>
          <w:tcPr>
            <w:tcW w:w="9067" w:type="dxa"/>
            <w:gridSpan w:val="6"/>
            <w:tcBorders>
              <w:left w:val="single" w:sz="4" w:space="0" w:color="auto"/>
              <w:right w:val="single" w:sz="4" w:space="0" w:color="auto"/>
            </w:tcBorders>
          </w:tcPr>
          <w:p w14:paraId="07AF6BAC" w14:textId="77777777" w:rsidR="00E34C8B" w:rsidRPr="00A33749" w:rsidRDefault="00E34C8B" w:rsidP="00AF24C9">
            <w:pPr>
              <w:rPr>
                <w:rFonts w:ascii="Arial Narrow" w:hAnsi="Arial Narrow"/>
                <w:i/>
                <w:iCs/>
                <w:sz w:val="20"/>
                <w:szCs w:val="20"/>
              </w:rPr>
            </w:pPr>
            <w:r w:rsidRPr="00A33749">
              <w:rPr>
                <w:rFonts w:ascii="Arial Narrow" w:eastAsia="Arial Narrow" w:hAnsi="Arial Narrow" w:cs="Arial Narrow"/>
                <w:b/>
                <w:color w:val="333333"/>
                <w:sz w:val="20"/>
                <w:szCs w:val="20"/>
              </w:rPr>
              <w:t xml:space="preserve">Administrative Advice: </w:t>
            </w:r>
            <w:r w:rsidRPr="00A33749">
              <w:rPr>
                <w:rFonts w:ascii="Arial Narrow" w:eastAsia="Arial Narrow" w:hAnsi="Arial Narrow" w:cs="Arial Narrow"/>
                <w:color w:val="333333"/>
                <w:sz w:val="20"/>
                <w:szCs w:val="20"/>
              </w:rPr>
              <w:t>No increase in the maximum quantity or number of units may be authorised.</w:t>
            </w:r>
          </w:p>
        </w:tc>
      </w:tr>
      <w:tr w:rsidR="00E34C8B" w:rsidRPr="00A33749" w14:paraId="77E42342" w14:textId="77777777" w:rsidTr="00672517">
        <w:tblPrEx>
          <w:tblCellMar>
            <w:top w:w="15" w:type="dxa"/>
            <w:left w:w="15" w:type="dxa"/>
            <w:bottom w:w="15" w:type="dxa"/>
            <w:right w:w="15" w:type="dxa"/>
          </w:tblCellMar>
        </w:tblPrEx>
        <w:tc>
          <w:tcPr>
            <w:tcW w:w="9067" w:type="dxa"/>
            <w:gridSpan w:val="6"/>
            <w:tcBorders>
              <w:left w:val="single" w:sz="4" w:space="0" w:color="auto"/>
            </w:tcBorders>
          </w:tcPr>
          <w:p w14:paraId="64ADBACC" w14:textId="77777777" w:rsidR="00E34C8B" w:rsidRPr="00A33749" w:rsidRDefault="00E34C8B" w:rsidP="00AF24C9">
            <w:pPr>
              <w:rPr>
                <w:rFonts w:ascii="Arial Narrow" w:hAnsi="Arial Narrow"/>
                <w:i/>
                <w:iCs/>
                <w:sz w:val="20"/>
                <w:szCs w:val="20"/>
              </w:rPr>
            </w:pPr>
            <w:r w:rsidRPr="00A33749">
              <w:rPr>
                <w:rFonts w:ascii="Arial Narrow" w:hAnsi="Arial Narrow"/>
                <w:b/>
                <w:bCs/>
                <w:sz w:val="20"/>
                <w:szCs w:val="20"/>
              </w:rPr>
              <w:t xml:space="preserve">Administrative Advice: </w:t>
            </w:r>
            <w:r w:rsidRPr="00A33749">
              <w:rPr>
                <w:rFonts w:ascii="Arial Narrow" w:hAnsi="Arial Narrow"/>
                <w:bCs/>
                <w:sz w:val="20"/>
                <w:szCs w:val="20"/>
              </w:rPr>
              <w:t>No increase in the maximum number of repeats may be authorised.</w:t>
            </w:r>
          </w:p>
        </w:tc>
      </w:tr>
      <w:tr w:rsidR="00E34C8B" w:rsidRPr="00A33749" w14:paraId="21665CD9" w14:textId="77777777" w:rsidTr="00625EC7">
        <w:tblPrEx>
          <w:tblCellMar>
            <w:top w:w="15" w:type="dxa"/>
            <w:left w:w="15" w:type="dxa"/>
            <w:bottom w:w="15" w:type="dxa"/>
            <w:right w:w="15" w:type="dxa"/>
          </w:tblCellMar>
        </w:tblPrEx>
        <w:tc>
          <w:tcPr>
            <w:tcW w:w="9067" w:type="dxa"/>
            <w:gridSpan w:val="6"/>
            <w:tcBorders>
              <w:left w:val="single" w:sz="4" w:space="0" w:color="auto"/>
            </w:tcBorders>
          </w:tcPr>
          <w:p w14:paraId="69C40E52" w14:textId="77777777" w:rsidR="00E34C8B" w:rsidRPr="00A33749" w:rsidRDefault="00E34C8B" w:rsidP="00AF24C9">
            <w:pPr>
              <w:rPr>
                <w:rFonts w:ascii="Arial Narrow" w:hAnsi="Arial Narrow"/>
                <w:b/>
                <w:bCs/>
                <w:i/>
                <w:iCs/>
                <w:sz w:val="20"/>
                <w:szCs w:val="20"/>
              </w:rPr>
            </w:pPr>
            <w:r w:rsidRPr="00A33749">
              <w:rPr>
                <w:rFonts w:ascii="Arial Narrow" w:hAnsi="Arial Narrow"/>
                <w:b/>
                <w:bCs/>
                <w:sz w:val="20"/>
                <w:szCs w:val="20"/>
              </w:rPr>
              <w:t xml:space="preserve">Administrative Advice: </w:t>
            </w:r>
            <w:r w:rsidRPr="00A33749">
              <w:rPr>
                <w:rFonts w:ascii="Arial Narrow" w:hAnsi="Arial Narrow"/>
                <w:bCs/>
                <w:sz w:val="20"/>
                <w:szCs w:val="20"/>
              </w:rPr>
              <w:t>Special Pricing Arrangements apply.</w:t>
            </w:r>
          </w:p>
        </w:tc>
      </w:tr>
      <w:tr w:rsidR="00E34C8B" w:rsidRPr="00A33749" w14:paraId="4DE76970" w14:textId="77777777" w:rsidTr="0088263A">
        <w:tblPrEx>
          <w:tblCellMar>
            <w:top w:w="15" w:type="dxa"/>
            <w:left w:w="15" w:type="dxa"/>
            <w:bottom w:w="15" w:type="dxa"/>
            <w:right w:w="15" w:type="dxa"/>
          </w:tblCellMar>
        </w:tblPrEx>
        <w:tc>
          <w:tcPr>
            <w:tcW w:w="9067" w:type="dxa"/>
            <w:gridSpan w:val="6"/>
            <w:tcBorders>
              <w:left w:val="single" w:sz="4" w:space="0" w:color="auto"/>
            </w:tcBorders>
          </w:tcPr>
          <w:p w14:paraId="7400631E" w14:textId="77777777" w:rsidR="00E34C8B" w:rsidRPr="00A33749" w:rsidRDefault="00E34C8B" w:rsidP="00AF24C9">
            <w:pPr>
              <w:rPr>
                <w:rFonts w:ascii="Arial Narrow" w:hAnsi="Arial Narrow"/>
                <w:b/>
                <w:bCs/>
                <w:sz w:val="20"/>
                <w:szCs w:val="20"/>
              </w:rPr>
            </w:pPr>
            <w:r w:rsidRPr="00A33749">
              <w:rPr>
                <w:rFonts w:ascii="Arial Narrow" w:hAnsi="Arial Narrow"/>
                <w:b/>
                <w:bCs/>
                <w:sz w:val="20"/>
                <w:szCs w:val="20"/>
              </w:rPr>
              <w:t>Administrative Advice:</w:t>
            </w:r>
            <w:r w:rsidRPr="00A33749">
              <w:rPr>
                <w:rFonts w:ascii="Arial Narrow" w:hAnsi="Arial Narrow" w:cs="Calibri"/>
                <w:i/>
                <w:iCs/>
                <w:color w:val="333333"/>
                <w:sz w:val="20"/>
                <w:szCs w:val="20"/>
              </w:rPr>
              <w:t xml:space="preserve"> A patient may only qualify for PBS-subsidised treatment under this restriction once in a lifetime.</w:t>
            </w:r>
          </w:p>
        </w:tc>
      </w:tr>
      <w:tr w:rsidR="00E34C8B" w:rsidRPr="00A33749" w14:paraId="3AFE5C7F" w14:textId="77777777" w:rsidTr="00723D89">
        <w:tblPrEx>
          <w:tblCellMar>
            <w:top w:w="15" w:type="dxa"/>
            <w:left w:w="15" w:type="dxa"/>
            <w:bottom w:w="15" w:type="dxa"/>
            <w:right w:w="15" w:type="dxa"/>
          </w:tblCellMar>
        </w:tblPrEx>
        <w:tc>
          <w:tcPr>
            <w:tcW w:w="9067" w:type="dxa"/>
            <w:gridSpan w:val="6"/>
            <w:tcBorders>
              <w:left w:val="single" w:sz="4" w:space="0" w:color="auto"/>
              <w:bottom w:val="single" w:sz="4" w:space="0" w:color="auto"/>
            </w:tcBorders>
          </w:tcPr>
          <w:p w14:paraId="417AA2F8" w14:textId="77777777" w:rsidR="00E34C8B" w:rsidRPr="00A33749" w:rsidRDefault="00E34C8B" w:rsidP="00AF24C9">
            <w:pPr>
              <w:rPr>
                <w:i/>
                <w:iCs/>
                <w:sz w:val="20"/>
                <w:szCs w:val="20"/>
              </w:rPr>
            </w:pPr>
            <w:r w:rsidRPr="00A33749">
              <w:rPr>
                <w:rFonts w:ascii="Arial Narrow" w:hAnsi="Arial Narrow"/>
                <w:b/>
                <w:bCs/>
                <w:i/>
                <w:iCs/>
                <w:color w:val="333333"/>
                <w:sz w:val="20"/>
                <w:szCs w:val="20"/>
              </w:rPr>
              <w:t>Administrative Advice:</w:t>
            </w:r>
            <w:r w:rsidRPr="00A33749">
              <w:rPr>
                <w:i/>
                <w:iCs/>
                <w:sz w:val="20"/>
                <w:szCs w:val="20"/>
              </w:rPr>
              <w:t xml:space="preserve"> </w:t>
            </w:r>
          </w:p>
          <w:p w14:paraId="18CAE6A1" w14:textId="77777777" w:rsidR="00E34C8B" w:rsidRPr="00A33749" w:rsidRDefault="00E34C8B" w:rsidP="00AF24C9">
            <w:pPr>
              <w:pStyle w:val="paragraph"/>
              <w:spacing w:before="0" w:beforeAutospacing="0" w:after="0" w:afterAutospacing="0"/>
              <w:textAlignment w:val="baseline"/>
              <w:rPr>
                <w:rFonts w:ascii="Arial Narrow" w:hAnsi="Arial Narrow"/>
                <w:b/>
                <w:bCs/>
                <w:sz w:val="20"/>
                <w:szCs w:val="20"/>
              </w:rPr>
            </w:pPr>
            <w:r w:rsidRPr="00A33749">
              <w:rPr>
                <w:rStyle w:val="normaltextrun"/>
                <w:rFonts w:ascii="Arial Narrow" w:hAnsi="Arial Narrow" w:cs="Segoe UI"/>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34C8B" w:rsidRPr="00A33749" w14:paraId="1B803EA0" w14:textId="77777777" w:rsidTr="002068B6">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6E17A0C9" w14:textId="77777777" w:rsidR="00E34C8B" w:rsidRPr="00A33749" w:rsidRDefault="00E34C8B" w:rsidP="00AF24C9">
            <w:pPr>
              <w:rPr>
                <w:rFonts w:ascii="Arial Narrow" w:eastAsia="Arial Narrow" w:hAnsi="Arial Narrow" w:cs="Arial Narrow"/>
                <w:b/>
                <w:bCs/>
                <w:color w:val="333333"/>
                <w:sz w:val="20"/>
                <w:szCs w:val="20"/>
              </w:rPr>
            </w:pPr>
          </w:p>
        </w:tc>
      </w:tr>
      <w:tr w:rsidR="00E34C8B" w:rsidRPr="00A33749" w14:paraId="2CF1E7FC" w14:textId="77777777" w:rsidTr="00CB0680">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7289D65F"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Indication:</w:t>
            </w:r>
            <w:r w:rsidRPr="00A33749">
              <w:rPr>
                <w:rFonts w:ascii="Arial Narrow" w:eastAsia="Arial Narrow" w:hAnsi="Arial Narrow" w:cs="Arial Narrow"/>
                <w:color w:val="333333"/>
                <w:sz w:val="20"/>
                <w:szCs w:val="20"/>
              </w:rPr>
              <w:t xml:space="preserve"> Chronic lymphocytic leukaemia (CLL) or small lymphocytic lymphoma (SLL)</w:t>
            </w:r>
          </w:p>
        </w:tc>
      </w:tr>
      <w:tr w:rsidR="00E34C8B" w:rsidRPr="00A33749" w14:paraId="315B3060" w14:textId="77777777" w:rsidTr="001141D2">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36B3F8C3"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Treatment Phase:</w:t>
            </w:r>
            <w:r w:rsidRPr="00A33749">
              <w:rPr>
                <w:rFonts w:ascii="Arial Narrow" w:eastAsia="Arial Narrow" w:hAnsi="Arial Narrow" w:cs="Arial Narrow"/>
                <w:color w:val="333333"/>
                <w:sz w:val="20"/>
                <w:szCs w:val="20"/>
              </w:rPr>
              <w:t xml:space="preserve"> First continuing treatment (treatment cycles 4 to 9 inclusive) of first-line therapy</w:t>
            </w:r>
          </w:p>
        </w:tc>
      </w:tr>
      <w:tr w:rsidR="00E34C8B" w:rsidRPr="00A33749" w14:paraId="565ED068" w14:textId="77777777" w:rsidTr="00555C8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5FA4F52E" w14:textId="77777777" w:rsidR="00E34C8B" w:rsidRPr="00A33749" w:rsidRDefault="00E34C8B" w:rsidP="00AF24C9">
            <w:pPr>
              <w:rPr>
                <w:rFonts w:ascii="Arial Narrow" w:eastAsia="Arial Narrow" w:hAnsi="Arial Narrow" w:cs="Arial Narrow"/>
                <w:b/>
                <w:bCs/>
                <w:color w:val="333333"/>
                <w:sz w:val="20"/>
                <w:szCs w:val="20"/>
              </w:rPr>
            </w:pPr>
          </w:p>
        </w:tc>
      </w:tr>
      <w:tr w:rsidR="00E34C8B" w:rsidRPr="00A33749" w14:paraId="6EF69EF9" w14:textId="77777777" w:rsidTr="0003497F">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30BA1CFB"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24342FC5" w14:textId="77777777" w:rsidTr="009431F0">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0875A47E" w14:textId="77777777" w:rsidR="00E34C8B" w:rsidRPr="00A33749" w:rsidRDefault="00E34C8B" w:rsidP="00AF24C9">
            <w:pPr>
              <w:rPr>
                <w:rFonts w:ascii="Arial Narrow" w:eastAsia="Arial Narrow" w:hAnsi="Arial Narrow" w:cs="Arial Narrow"/>
                <w:b/>
                <w:bCs/>
                <w:color w:val="333333"/>
                <w:sz w:val="20"/>
                <w:szCs w:val="20"/>
              </w:rPr>
            </w:pPr>
            <w:r w:rsidRPr="00A33749">
              <w:rPr>
                <w:rFonts w:ascii="Arial Narrow" w:eastAsia="Arial Narrow" w:hAnsi="Arial Narrow" w:cs="Arial Narrow"/>
                <w:color w:val="333333"/>
                <w:sz w:val="20"/>
                <w:szCs w:val="20"/>
              </w:rPr>
              <w:t>Patient must have previously received PBS-subsidised treatment with this drug for this condition</w:t>
            </w:r>
          </w:p>
        </w:tc>
      </w:tr>
      <w:tr w:rsidR="00E34C8B" w:rsidRPr="00A33749" w14:paraId="6A1B4B7D" w14:textId="77777777" w:rsidTr="002C1B6C">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45EB2C9D" w14:textId="77777777" w:rsidR="00E34C8B" w:rsidRPr="00A33749" w:rsidRDefault="00E34C8B" w:rsidP="00AF24C9">
            <w:pPr>
              <w:rPr>
                <w:rFonts w:ascii="Arial Narrow" w:eastAsia="Arial Narrow" w:hAnsi="Arial Narrow" w:cs="Arial Narrow"/>
                <w:b/>
                <w:bCs/>
                <w:color w:val="333333"/>
                <w:sz w:val="20"/>
                <w:szCs w:val="20"/>
              </w:rPr>
            </w:pPr>
            <w:r w:rsidRPr="00A33749">
              <w:rPr>
                <w:rFonts w:ascii="Arial Narrow" w:eastAsia="Arial Narrow" w:hAnsi="Arial Narrow" w:cs="Arial Narrow"/>
                <w:b/>
                <w:bCs/>
                <w:color w:val="333333"/>
                <w:sz w:val="20"/>
                <w:szCs w:val="20"/>
              </w:rPr>
              <w:lastRenderedPageBreak/>
              <w:t>AND</w:t>
            </w:r>
          </w:p>
        </w:tc>
      </w:tr>
      <w:tr w:rsidR="00E34C8B" w:rsidRPr="00A33749" w14:paraId="40D1A634" w14:textId="77777777" w:rsidTr="00365410">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15E9AE55" w14:textId="77777777" w:rsidR="00E34C8B" w:rsidRPr="00A33749" w:rsidRDefault="00E34C8B" w:rsidP="00AF24C9">
            <w:pPr>
              <w:rPr>
                <w:rFonts w:ascii="Arial Narrow" w:eastAsia="Arial Narrow" w:hAnsi="Arial Narrow" w:cs="Arial Narrow"/>
                <w:b/>
                <w:bCs/>
                <w:color w:val="333333"/>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3EA4F2F9" w14:textId="77777777" w:rsidTr="002A35A9">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0A99858C" w14:textId="77777777" w:rsidR="00E34C8B" w:rsidRPr="00A33749" w:rsidRDefault="00E34C8B" w:rsidP="00AF24C9">
            <w:pPr>
              <w:rPr>
                <w:rFonts w:ascii="Arial Narrow" w:eastAsia="Arial Narrow" w:hAnsi="Arial Narrow" w:cs="Arial Narrow"/>
                <w:b/>
                <w:bCs/>
                <w:color w:val="333333"/>
                <w:sz w:val="20"/>
                <w:szCs w:val="20"/>
              </w:rPr>
            </w:pPr>
            <w:r w:rsidRPr="00A33749">
              <w:rPr>
                <w:rFonts w:ascii="Arial Narrow" w:eastAsia="Arial Narrow" w:hAnsi="Arial Narrow" w:cs="Arial Narrow"/>
                <w:color w:val="333333"/>
                <w:sz w:val="20"/>
                <w:szCs w:val="20"/>
              </w:rPr>
              <w:t>The treatment must be in combination with venetoclax (refer to Product Information for timing of ibrutinib and venetoclax doses)</w:t>
            </w:r>
          </w:p>
        </w:tc>
      </w:tr>
      <w:tr w:rsidR="00E34C8B" w:rsidRPr="00A33749" w14:paraId="5293B6D3" w14:textId="77777777" w:rsidTr="00626741">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71AB456F" w14:textId="77777777" w:rsidR="00E34C8B" w:rsidRPr="00A33749" w:rsidRDefault="00E34C8B" w:rsidP="00AF24C9">
            <w:pPr>
              <w:rPr>
                <w:rFonts w:ascii="Arial Narrow" w:eastAsia="Arial Narrow" w:hAnsi="Arial Narrow" w:cs="Arial Narrow"/>
                <w:b/>
                <w:bCs/>
                <w:color w:val="333333"/>
                <w:sz w:val="20"/>
                <w:szCs w:val="20"/>
              </w:rPr>
            </w:pPr>
            <w:r w:rsidRPr="00A33749">
              <w:rPr>
                <w:rFonts w:ascii="Arial Narrow" w:eastAsia="Arial Narrow" w:hAnsi="Arial Narrow" w:cs="Arial Narrow"/>
                <w:b/>
                <w:bCs/>
                <w:color w:val="333333"/>
                <w:sz w:val="20"/>
                <w:szCs w:val="20"/>
              </w:rPr>
              <w:t>AND</w:t>
            </w:r>
          </w:p>
        </w:tc>
      </w:tr>
      <w:tr w:rsidR="00E34C8B" w:rsidRPr="00A33749" w14:paraId="22FA680D" w14:textId="77777777" w:rsidTr="00DB7BD2">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402D3FEE" w14:textId="77777777" w:rsidR="00E34C8B" w:rsidRPr="00A33749" w:rsidRDefault="00E34C8B" w:rsidP="00AF24C9">
            <w:pPr>
              <w:rPr>
                <w:rFonts w:ascii="Arial Narrow" w:eastAsia="Arial Narrow" w:hAnsi="Arial Narrow" w:cs="Arial Narrow"/>
                <w:b/>
                <w:bCs/>
                <w:color w:val="333333"/>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07378A36" w14:textId="77777777" w:rsidTr="00E4391E">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0CE6A43E" w14:textId="77777777" w:rsidR="00E34C8B" w:rsidRPr="00A33749" w:rsidRDefault="00E34C8B" w:rsidP="00AF24C9">
            <w:pPr>
              <w:rPr>
                <w:rFonts w:ascii="Arial Narrow" w:eastAsia="Arial Narrow" w:hAnsi="Arial Narrow" w:cs="Arial Narrow"/>
                <w:b/>
                <w:bCs/>
                <w:color w:val="333333"/>
                <w:sz w:val="20"/>
                <w:szCs w:val="20"/>
              </w:rPr>
            </w:pPr>
            <w:r w:rsidRPr="00A33749">
              <w:rPr>
                <w:rFonts w:ascii="Arial Narrow" w:eastAsia="Arial Narrow" w:hAnsi="Arial Narrow" w:cs="Arial Narrow"/>
                <w:color w:val="333333"/>
                <w:sz w:val="20"/>
                <w:szCs w:val="20"/>
              </w:rPr>
              <w:t>The treatment must cease upon disease progression.</w:t>
            </w:r>
          </w:p>
        </w:tc>
      </w:tr>
      <w:tr w:rsidR="00E34C8B" w:rsidRPr="00A33749" w14:paraId="63528096" w14:textId="77777777" w:rsidTr="005D5327">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28A52A3F" w14:textId="77777777" w:rsidR="00E34C8B" w:rsidRPr="00A33749" w:rsidRDefault="00E34C8B" w:rsidP="00AF24C9">
            <w:pPr>
              <w:rPr>
                <w:rFonts w:ascii="Arial Narrow" w:eastAsia="Arial Narrow" w:hAnsi="Arial Narrow" w:cs="Arial Narrow"/>
                <w:color w:val="333333"/>
                <w:sz w:val="20"/>
                <w:szCs w:val="20"/>
              </w:rPr>
            </w:pPr>
          </w:p>
        </w:tc>
      </w:tr>
      <w:tr w:rsidR="00E34C8B" w:rsidRPr="00A33749" w14:paraId="1FD29EA5" w14:textId="77777777" w:rsidTr="000C69B9">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1BC15AA1" w14:textId="77777777" w:rsidR="00E34C8B" w:rsidRPr="00A33749" w:rsidRDefault="00E34C8B" w:rsidP="00AF24C9">
            <w:pPr>
              <w:rPr>
                <w:rFonts w:ascii="Arial Narrow" w:eastAsia="Arial Narrow" w:hAnsi="Arial Narrow" w:cs="Arial Narrow"/>
                <w:b/>
                <w:bCs/>
                <w:i/>
                <w:iCs/>
                <w:color w:val="333333"/>
                <w:sz w:val="20"/>
                <w:szCs w:val="20"/>
              </w:rPr>
            </w:pPr>
            <w:r w:rsidRPr="00A33749">
              <w:rPr>
                <w:rFonts w:ascii="Arial Narrow" w:eastAsia="Arial Narrow" w:hAnsi="Arial Narrow" w:cs="Arial Narrow"/>
                <w:b/>
                <w:bCs/>
                <w:i/>
                <w:iCs/>
                <w:color w:val="333333"/>
                <w:sz w:val="20"/>
                <w:szCs w:val="20"/>
              </w:rPr>
              <w:t>Prescriber Instruction:</w:t>
            </w:r>
          </w:p>
          <w:p w14:paraId="63BE8A75"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i/>
                <w:iCs/>
                <w:color w:val="333333"/>
                <w:sz w:val="20"/>
                <w:szCs w:val="20"/>
              </w:rPr>
              <w:t>There are more ibrutinib capsules in a pack than is required for the completion of a treatment cycle. The patient must not discard any remaining capsules after the completion of any treatment cycle as these capsules will be required for the doses in the final treatment cycle (i.e. treatment cycle 15).</w:t>
            </w:r>
          </w:p>
        </w:tc>
      </w:tr>
      <w:tr w:rsidR="00A33749" w:rsidRPr="00A33749" w14:paraId="66069D97" w14:textId="77777777" w:rsidTr="00AF24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6E1CE83F" w14:textId="77777777" w:rsidR="00A33749" w:rsidRPr="00A33749" w:rsidRDefault="00A33749" w:rsidP="00AF24C9">
            <w:pPr>
              <w:rPr>
                <w:rFonts w:ascii="Arial Narrow" w:hAnsi="Arial Narrow"/>
                <w:sz w:val="20"/>
                <w:szCs w:val="20"/>
              </w:rPr>
            </w:pPr>
            <w:bookmarkStart w:id="12" w:name="_Hlk112413113"/>
          </w:p>
        </w:tc>
      </w:tr>
      <w:tr w:rsidR="00A33749" w:rsidRPr="00A33749" w14:paraId="5BF90D0F" w14:textId="77777777" w:rsidTr="00AF24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26D8887E" w14:textId="3A9D2215" w:rsidR="00A33749" w:rsidRPr="00A33749" w:rsidRDefault="00A33749" w:rsidP="00AF24C9">
            <w:pPr>
              <w:rPr>
                <w:rFonts w:ascii="Arial Narrow" w:hAnsi="Arial Narrow"/>
                <w:b/>
                <w:sz w:val="20"/>
                <w:szCs w:val="20"/>
              </w:rPr>
            </w:pPr>
            <w:r w:rsidRPr="00A33749">
              <w:rPr>
                <w:rFonts w:ascii="Arial Narrow" w:hAnsi="Arial Narrow"/>
                <w:b/>
                <w:sz w:val="20"/>
                <w:szCs w:val="20"/>
              </w:rPr>
              <w:t xml:space="preserve">Restriction Summary / Treatment of Concept: </w:t>
            </w:r>
          </w:p>
        </w:tc>
      </w:tr>
      <w:tr w:rsidR="00E34C8B" w:rsidRPr="00A33749" w14:paraId="231152E2" w14:textId="77777777" w:rsidTr="004037BA">
        <w:tblPrEx>
          <w:tblCellMar>
            <w:top w:w="15" w:type="dxa"/>
            <w:left w:w="15" w:type="dxa"/>
            <w:bottom w:w="15" w:type="dxa"/>
            <w:right w:w="15" w:type="dxa"/>
          </w:tblCellMar>
        </w:tblPrEx>
        <w:tc>
          <w:tcPr>
            <w:tcW w:w="9067" w:type="dxa"/>
            <w:gridSpan w:val="6"/>
            <w:tcBorders>
              <w:top w:val="single" w:sz="4" w:space="0" w:color="auto"/>
              <w:left w:val="single" w:sz="4" w:space="0" w:color="auto"/>
              <w:right w:val="single" w:sz="4" w:space="0" w:color="auto"/>
            </w:tcBorders>
          </w:tcPr>
          <w:p w14:paraId="1B8A48A3" w14:textId="77777777" w:rsidR="00E34C8B" w:rsidRPr="00A33749" w:rsidRDefault="00E34C8B" w:rsidP="00AF24C9">
            <w:pPr>
              <w:rPr>
                <w:rFonts w:ascii="Arial Narrow" w:hAnsi="Arial Narrow"/>
                <w:sz w:val="20"/>
                <w:szCs w:val="20"/>
              </w:rPr>
            </w:pPr>
            <w:r w:rsidRPr="00A33749">
              <w:rPr>
                <w:rFonts w:ascii="Arial Narrow" w:hAnsi="Arial Narrow"/>
                <w:b/>
                <w:sz w:val="20"/>
                <w:szCs w:val="20"/>
              </w:rPr>
              <w:t xml:space="preserve">Category / Program: </w:t>
            </w:r>
            <w:r w:rsidRPr="00A33749">
              <w:rPr>
                <w:rFonts w:ascii="Arial Narrow" w:hAnsi="Arial Narrow"/>
                <w:sz w:val="20"/>
                <w:szCs w:val="20"/>
              </w:rPr>
              <w:t xml:space="preserve">GENERAL – General Schedule (Code GE) </w:t>
            </w:r>
          </w:p>
        </w:tc>
      </w:tr>
      <w:tr w:rsidR="00E34C8B" w:rsidRPr="00A33749" w14:paraId="7CBB8AA1" w14:textId="77777777" w:rsidTr="00845939">
        <w:tblPrEx>
          <w:tblCellMar>
            <w:top w:w="15" w:type="dxa"/>
            <w:left w:w="15" w:type="dxa"/>
            <w:bottom w:w="15" w:type="dxa"/>
            <w:right w:w="15" w:type="dxa"/>
          </w:tblCellMar>
        </w:tblPrEx>
        <w:trPr>
          <w:trHeight w:val="240"/>
        </w:trPr>
        <w:tc>
          <w:tcPr>
            <w:tcW w:w="9067" w:type="dxa"/>
            <w:gridSpan w:val="6"/>
            <w:tcBorders>
              <w:left w:val="single" w:sz="4" w:space="0" w:color="auto"/>
              <w:right w:val="single" w:sz="4" w:space="0" w:color="auto"/>
            </w:tcBorders>
          </w:tcPr>
          <w:p w14:paraId="67888DF9" w14:textId="77777777" w:rsidR="00E34C8B" w:rsidRPr="00A33749" w:rsidRDefault="00E34C8B" w:rsidP="00AF24C9">
            <w:pPr>
              <w:rPr>
                <w:rFonts w:ascii="Arial Narrow" w:hAnsi="Arial Narrow"/>
                <w:b/>
                <w:sz w:val="20"/>
                <w:szCs w:val="20"/>
              </w:rPr>
            </w:pPr>
            <w:r w:rsidRPr="00A33749">
              <w:rPr>
                <w:rFonts w:ascii="Arial Narrow" w:hAnsi="Arial Narrow"/>
                <w:b/>
                <w:sz w:val="20"/>
                <w:szCs w:val="20"/>
              </w:rPr>
              <w:t xml:space="preserve">Prescriber type: </w:t>
            </w:r>
            <w:r w:rsidRPr="00A33749">
              <w:rPr>
                <w:rFonts w:ascii="Arial Narrow" w:hAnsi="Arial Narrow"/>
                <w:sz w:val="20"/>
                <w:szCs w:val="20"/>
              </w:rPr>
              <w:fldChar w:fldCharType="begin" w:fldLock="1">
                <w:ffData>
                  <w:name w:val=""/>
                  <w:enabled/>
                  <w:calcOnExit w:val="0"/>
                  <w:checkBox>
                    <w:sizeAuto/>
                    <w:default w:val="1"/>
                  </w:checkBox>
                </w:ffData>
              </w:fldChar>
            </w:r>
            <w:r w:rsidRPr="00A33749">
              <w:rPr>
                <w:rFonts w:ascii="Arial Narrow" w:hAnsi="Arial Narrow"/>
                <w:sz w:val="20"/>
                <w:szCs w:val="20"/>
              </w:rPr>
              <w:instrText xml:space="preserve"> FORMCHECKBOX </w:instrText>
            </w:r>
            <w:r w:rsidR="001217F8">
              <w:rPr>
                <w:rFonts w:ascii="Arial Narrow" w:hAnsi="Arial Narrow"/>
                <w:sz w:val="20"/>
                <w:szCs w:val="20"/>
              </w:rPr>
            </w:r>
            <w:r w:rsidR="001217F8">
              <w:rPr>
                <w:rFonts w:ascii="Arial Narrow" w:hAnsi="Arial Narrow"/>
                <w:sz w:val="20"/>
                <w:szCs w:val="20"/>
              </w:rPr>
              <w:fldChar w:fldCharType="separate"/>
            </w:r>
            <w:r w:rsidRPr="00A33749">
              <w:rPr>
                <w:rFonts w:ascii="Arial Narrow" w:hAnsi="Arial Narrow"/>
                <w:sz w:val="20"/>
                <w:szCs w:val="20"/>
              </w:rPr>
              <w:fldChar w:fldCharType="end"/>
            </w:r>
            <w:r w:rsidRPr="00A33749">
              <w:rPr>
                <w:rFonts w:ascii="Arial Narrow" w:hAnsi="Arial Narrow"/>
                <w:sz w:val="20"/>
                <w:szCs w:val="20"/>
              </w:rPr>
              <w:t>Medical Practitioners</w:t>
            </w:r>
          </w:p>
        </w:tc>
      </w:tr>
      <w:tr w:rsidR="00E34C8B" w:rsidRPr="00A33749" w14:paraId="5690E668" w14:textId="77777777" w:rsidTr="006A7D25">
        <w:tblPrEx>
          <w:tblCellMar>
            <w:top w:w="15" w:type="dxa"/>
            <w:left w:w="15" w:type="dxa"/>
            <w:bottom w:w="15" w:type="dxa"/>
            <w:right w:w="15" w:type="dxa"/>
          </w:tblCellMar>
        </w:tblPrEx>
        <w:tc>
          <w:tcPr>
            <w:tcW w:w="9067" w:type="dxa"/>
            <w:gridSpan w:val="6"/>
            <w:tcBorders>
              <w:left w:val="single" w:sz="4" w:space="0" w:color="auto"/>
              <w:bottom w:val="single" w:sz="4" w:space="0" w:color="auto"/>
              <w:right w:val="single" w:sz="4" w:space="0" w:color="auto"/>
            </w:tcBorders>
          </w:tcPr>
          <w:p w14:paraId="555FC838" w14:textId="77777777" w:rsidR="00E34C8B" w:rsidRPr="00A33749" w:rsidRDefault="00E34C8B" w:rsidP="00AF24C9">
            <w:pPr>
              <w:rPr>
                <w:rFonts w:ascii="Arial Narrow" w:eastAsia="Calibri" w:hAnsi="Arial Narrow"/>
                <w:sz w:val="20"/>
                <w:szCs w:val="20"/>
              </w:rPr>
            </w:pPr>
            <w:r w:rsidRPr="00A33749">
              <w:rPr>
                <w:rFonts w:ascii="Arial Narrow" w:hAnsi="Arial Narrow"/>
                <w:b/>
                <w:sz w:val="20"/>
                <w:szCs w:val="20"/>
              </w:rPr>
              <w:t xml:space="preserve">Restriction type: </w:t>
            </w:r>
            <w:r w:rsidRPr="00A33749">
              <w:rPr>
                <w:rFonts w:ascii="Arial Narrow" w:eastAsia="Calibri" w:hAnsi="Arial Narrow"/>
                <w:sz w:val="20"/>
                <w:szCs w:val="20"/>
              </w:rPr>
              <w:fldChar w:fldCharType="begin" w:fldLock="1">
                <w:ffData>
                  <w:name w:val="Check3"/>
                  <w:enabled/>
                  <w:calcOnExit w:val="0"/>
                  <w:checkBox>
                    <w:sizeAuto/>
                    <w:default w:val="1"/>
                  </w:checkBox>
                </w:ffData>
              </w:fldChar>
            </w:r>
            <w:r w:rsidRPr="00A33749">
              <w:rPr>
                <w:rFonts w:ascii="Arial Narrow" w:eastAsia="Calibri" w:hAnsi="Arial Narrow"/>
                <w:sz w:val="20"/>
                <w:szCs w:val="20"/>
              </w:rPr>
              <w:instrText xml:space="preserve"> FORMCHECKBOX </w:instrText>
            </w:r>
            <w:r w:rsidR="001217F8">
              <w:rPr>
                <w:rFonts w:ascii="Arial Narrow" w:eastAsia="Calibri" w:hAnsi="Arial Narrow"/>
                <w:sz w:val="20"/>
                <w:szCs w:val="20"/>
              </w:rPr>
            </w:r>
            <w:r w:rsidR="001217F8">
              <w:rPr>
                <w:rFonts w:ascii="Arial Narrow" w:eastAsia="Calibri" w:hAnsi="Arial Narrow"/>
                <w:sz w:val="20"/>
                <w:szCs w:val="20"/>
              </w:rPr>
              <w:fldChar w:fldCharType="separate"/>
            </w:r>
            <w:r w:rsidRPr="00A33749">
              <w:rPr>
                <w:rFonts w:ascii="Arial Narrow" w:eastAsia="Calibri" w:hAnsi="Arial Narrow"/>
                <w:sz w:val="20"/>
                <w:szCs w:val="20"/>
              </w:rPr>
              <w:fldChar w:fldCharType="end"/>
            </w:r>
            <w:r w:rsidRPr="00A33749">
              <w:rPr>
                <w:rFonts w:ascii="Arial Narrow" w:eastAsia="Calibri" w:hAnsi="Arial Narrow"/>
                <w:sz w:val="20"/>
                <w:szCs w:val="20"/>
              </w:rPr>
              <w:t xml:space="preserve"> Authority Required (telephone/electronic via PBS Authorities system)</w:t>
            </w:r>
            <w:r w:rsidRPr="00A33749">
              <w:rPr>
                <w:rFonts w:ascii="Arial Narrow" w:eastAsia="Calibri" w:hAnsi="Arial Narrow"/>
                <w:i/>
                <w:iCs/>
                <w:strike/>
                <w:sz w:val="20"/>
                <w:szCs w:val="20"/>
              </w:rPr>
              <w:t>–</w:t>
            </w:r>
            <w:r w:rsidRPr="00A33749">
              <w:rPr>
                <w:rFonts w:ascii="Arial Narrow" w:eastAsia="Arial Narrow" w:hAnsi="Arial Narrow" w:cs="Arial Narrow"/>
                <w:i/>
                <w:iCs/>
                <w:strike/>
                <w:sz w:val="20"/>
                <w:szCs w:val="20"/>
              </w:rPr>
              <w:t xml:space="preserve"> </w:t>
            </w:r>
            <w:r w:rsidRPr="00A33749">
              <w:rPr>
                <w:rFonts w:ascii="Arial Narrow" w:eastAsia="Arial Narrow" w:hAnsi="Arial Narrow" w:cs="Arial Narrow"/>
                <w:strike/>
                <w:sz w:val="20"/>
                <w:szCs w:val="20"/>
              </w:rPr>
              <w:t>non-immediate/delayed assessment by Services Australia (in-writing only via mail/postal service or electronic upload to Hobart; requires at least one concept ID to be marked as ‘FULL’ for full assessment by Services Australia)</w:t>
            </w:r>
          </w:p>
        </w:tc>
      </w:tr>
      <w:tr w:rsidR="00E34C8B" w:rsidRPr="00A33749" w14:paraId="31786321" w14:textId="77777777" w:rsidTr="007D048A">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bottom w:val="single" w:sz="4" w:space="0" w:color="auto"/>
              <w:right w:val="single" w:sz="4" w:space="0" w:color="auto"/>
            </w:tcBorders>
          </w:tcPr>
          <w:p w14:paraId="3A6E3873" w14:textId="77777777" w:rsidR="00E34C8B" w:rsidRPr="00A33749" w:rsidRDefault="00E34C8B" w:rsidP="00AF24C9">
            <w:pPr>
              <w:rPr>
                <w:rFonts w:ascii="Arial Narrow" w:hAnsi="Arial Narrow"/>
                <w:b/>
                <w:sz w:val="20"/>
                <w:szCs w:val="20"/>
              </w:rPr>
            </w:pPr>
          </w:p>
        </w:tc>
      </w:tr>
      <w:tr w:rsidR="00E34C8B" w:rsidRPr="00A33749" w14:paraId="56A8F35F" w14:textId="77777777" w:rsidTr="00D2573C">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26B05B3D"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Indication:</w:t>
            </w:r>
            <w:r w:rsidRPr="00A33749">
              <w:rPr>
                <w:rFonts w:ascii="Arial Narrow" w:eastAsia="Arial Narrow" w:hAnsi="Arial Narrow" w:cs="Arial Narrow"/>
                <w:color w:val="333333"/>
                <w:sz w:val="20"/>
                <w:szCs w:val="20"/>
              </w:rPr>
              <w:t xml:space="preserve"> Chronic lymphocytic leukaemia (CLL) or small lymphocytic lymphoma (SLL)</w:t>
            </w:r>
          </w:p>
        </w:tc>
      </w:tr>
      <w:tr w:rsidR="00E34C8B" w:rsidRPr="00A33749" w14:paraId="68AF5740" w14:textId="77777777" w:rsidTr="0050636C">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10174B45"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Treatment Phase:</w:t>
            </w:r>
            <w:r w:rsidRPr="00A33749">
              <w:rPr>
                <w:rFonts w:ascii="Arial Narrow" w:eastAsia="Arial Narrow" w:hAnsi="Arial Narrow" w:cs="Arial Narrow"/>
                <w:color w:val="333333"/>
                <w:sz w:val="20"/>
                <w:szCs w:val="20"/>
              </w:rPr>
              <w:t xml:space="preserve"> Transitioning from non-PBS to PBS-subsidised supply </w:t>
            </w:r>
            <w:r w:rsidRPr="00A33749">
              <w:rPr>
                <w:rFonts w:ascii="Arial Narrow" w:eastAsia="Arial Narrow" w:hAnsi="Arial Narrow" w:cs="Arial Narrow"/>
                <w:i/>
                <w:iCs/>
                <w:color w:val="333333"/>
                <w:sz w:val="20"/>
                <w:szCs w:val="20"/>
              </w:rPr>
              <w:t>of first-line therapy – Grandfather</w:t>
            </w:r>
            <w:r w:rsidRPr="00A33749">
              <w:rPr>
                <w:rFonts w:ascii="Arial Narrow" w:eastAsia="Arial Narrow" w:hAnsi="Arial Narrow" w:cs="Arial Narrow"/>
                <w:color w:val="333333"/>
                <w:sz w:val="20"/>
                <w:szCs w:val="20"/>
              </w:rPr>
              <w:t xml:space="preserve"> </w:t>
            </w:r>
            <w:r w:rsidRPr="00A33749">
              <w:rPr>
                <w:rFonts w:ascii="Arial Narrow" w:eastAsia="Arial Narrow" w:hAnsi="Arial Narrow" w:cs="Arial Narrow"/>
                <w:i/>
                <w:iCs/>
                <w:color w:val="333333"/>
                <w:sz w:val="20"/>
                <w:szCs w:val="20"/>
              </w:rPr>
              <w:t>arrangements</w:t>
            </w:r>
          </w:p>
        </w:tc>
      </w:tr>
      <w:tr w:rsidR="00E34C8B" w:rsidRPr="00A33749" w14:paraId="502C986C" w14:textId="77777777" w:rsidTr="0041547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5ACB9C00" w14:textId="77777777" w:rsidR="00E34C8B" w:rsidRPr="00A33749" w:rsidRDefault="00E34C8B" w:rsidP="00AF24C9">
            <w:pPr>
              <w:rPr>
                <w:rFonts w:ascii="Arial Narrow" w:eastAsia="Arial Narrow" w:hAnsi="Arial Narrow" w:cs="Arial Narrow"/>
                <w:b/>
                <w:bCs/>
                <w:color w:val="333333"/>
                <w:sz w:val="20"/>
                <w:szCs w:val="20"/>
              </w:rPr>
            </w:pPr>
          </w:p>
        </w:tc>
      </w:tr>
      <w:tr w:rsidR="00E34C8B" w:rsidRPr="00A33749" w14:paraId="45BE8316" w14:textId="77777777" w:rsidTr="00C76CD9">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0A38F292"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45B7F08C" w14:textId="77777777" w:rsidTr="00A82410">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7B1091D7" w14:textId="77777777" w:rsidR="00E34C8B" w:rsidRPr="00A33749" w:rsidRDefault="00E34C8B" w:rsidP="00AF24C9">
            <w:pPr>
              <w:rPr>
                <w:rFonts w:ascii="Arial Narrow" w:hAnsi="Arial Narrow"/>
                <w:bCs/>
                <w:i/>
                <w:iCs/>
                <w:sz w:val="20"/>
                <w:szCs w:val="20"/>
              </w:rPr>
            </w:pPr>
            <w:r w:rsidRPr="00A33749">
              <w:rPr>
                <w:rFonts w:ascii="Arial Narrow" w:eastAsia="Arial Narrow" w:hAnsi="Arial Narrow" w:cs="Arial Narrow"/>
                <w:color w:val="333333"/>
                <w:sz w:val="20"/>
                <w:szCs w:val="20"/>
              </w:rPr>
              <w:t>The treatment must be in combination with venetoclax (refer to Product Information for timing of ibrutinib and venetoclax doses)</w:t>
            </w:r>
          </w:p>
        </w:tc>
      </w:tr>
      <w:tr w:rsidR="00E34C8B" w:rsidRPr="00A33749" w14:paraId="6F04D672" w14:textId="77777777" w:rsidTr="00E9653A">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15B8D660"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AND</w:t>
            </w:r>
          </w:p>
        </w:tc>
      </w:tr>
      <w:tr w:rsidR="00E34C8B" w:rsidRPr="00A33749" w14:paraId="61B836C6" w14:textId="77777777" w:rsidTr="004B4776">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523F4EA0" w14:textId="77777777" w:rsidR="00E34C8B" w:rsidRPr="00A33749" w:rsidRDefault="00E34C8B" w:rsidP="00AF24C9">
            <w:pPr>
              <w:rPr>
                <w:rFonts w:ascii="Arial Narrow" w:hAnsi="Arial Narrow"/>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7E1D9818" w14:textId="77777777" w:rsidTr="00C73960">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51BA961C" w14:textId="77777777" w:rsidR="00E34C8B" w:rsidRPr="00A33749" w:rsidRDefault="00E34C8B" w:rsidP="00AF24C9">
            <w:pPr>
              <w:rPr>
                <w:rFonts w:ascii="Arial Narrow" w:hAnsi="Arial Narrow"/>
                <w:i/>
                <w:iCs/>
                <w:sz w:val="20"/>
                <w:szCs w:val="20"/>
              </w:rPr>
            </w:pPr>
            <w:r w:rsidRPr="00A33749">
              <w:rPr>
                <w:rFonts w:ascii="Arial Narrow" w:eastAsia="Arial Narrow" w:hAnsi="Arial Narrow" w:cs="Arial Narrow"/>
                <w:color w:val="333333"/>
                <w:sz w:val="20"/>
                <w:szCs w:val="20"/>
              </w:rPr>
              <w:t>Patient must have received non-PBS-subsidised treatment with this drug for this condition prior to [listing date]</w:t>
            </w:r>
            <w:r w:rsidRPr="00A33749">
              <w:rPr>
                <w:rFonts w:ascii="Arial Narrow" w:eastAsia="Arial Narrow" w:hAnsi="Arial Narrow" w:cs="Arial Narrow"/>
                <w:strike/>
                <w:color w:val="333333"/>
                <w:sz w:val="20"/>
                <w:szCs w:val="20"/>
              </w:rPr>
              <w:t>,</w:t>
            </w:r>
          </w:p>
        </w:tc>
      </w:tr>
      <w:tr w:rsidR="00E34C8B" w:rsidRPr="00A33749" w14:paraId="311CEB85" w14:textId="77777777" w:rsidTr="00481735">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2CDCE3D3" w14:textId="77777777" w:rsidR="00E34C8B" w:rsidRPr="00A33749" w:rsidRDefault="00E34C8B" w:rsidP="00AF24C9">
            <w:pPr>
              <w:rPr>
                <w:rFonts w:ascii="Arial Narrow" w:hAnsi="Arial Narrow"/>
                <w:strike/>
                <w:sz w:val="20"/>
                <w:szCs w:val="20"/>
              </w:rPr>
            </w:pPr>
            <w:r w:rsidRPr="00A33749">
              <w:rPr>
                <w:rFonts w:ascii="Arial Narrow" w:eastAsia="Arial Narrow" w:hAnsi="Arial Narrow" w:cs="Arial Narrow"/>
                <w:b/>
                <w:bCs/>
                <w:color w:val="333333"/>
                <w:sz w:val="20"/>
                <w:szCs w:val="20"/>
              </w:rPr>
              <w:t>AND</w:t>
            </w:r>
          </w:p>
        </w:tc>
      </w:tr>
      <w:tr w:rsidR="00E34C8B" w:rsidRPr="00A33749" w14:paraId="04E5BE52" w14:textId="77777777" w:rsidTr="00565B4D">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12CAB09A"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53670370" w14:textId="77777777" w:rsidTr="00B54F2E">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5D7E5A9C" w14:textId="77777777" w:rsidR="00E34C8B" w:rsidRPr="00A33749" w:rsidRDefault="00E34C8B" w:rsidP="00AF24C9">
            <w:pPr>
              <w:rPr>
                <w:rFonts w:ascii="Arial Narrow" w:eastAsia="Arial Narrow" w:hAnsi="Arial Narrow" w:cs="Arial Narrow"/>
                <w:strike/>
                <w:color w:val="333333"/>
                <w:sz w:val="20"/>
                <w:szCs w:val="20"/>
              </w:rPr>
            </w:pPr>
            <w:r w:rsidRPr="00A33749">
              <w:rPr>
                <w:rFonts w:ascii="Arial Narrow" w:eastAsia="Arial Narrow" w:hAnsi="Arial Narrow" w:cs="Arial Narrow"/>
                <w:strike/>
                <w:color w:val="333333"/>
                <w:sz w:val="20"/>
                <w:szCs w:val="20"/>
              </w:rPr>
              <w:t>Patient must have met all initial treatment PBS-eligibility criteria applying to a non-grandfathered patient prior to having commenced treatment with this drug, which are:</w:t>
            </w:r>
          </w:p>
        </w:tc>
      </w:tr>
      <w:tr w:rsidR="00E34C8B" w:rsidRPr="00A33749" w14:paraId="65271034" w14:textId="77777777" w:rsidTr="00AD6077">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23288946" w14:textId="77777777" w:rsidR="00E34C8B" w:rsidRPr="00A33749" w:rsidRDefault="00E34C8B" w:rsidP="00AF24C9">
            <w:pPr>
              <w:rPr>
                <w:rFonts w:ascii="Arial Narrow" w:eastAsia="Arial Narrow" w:hAnsi="Arial Narrow" w:cs="Arial Narrow"/>
                <w:i/>
                <w:iCs/>
                <w:color w:val="333333"/>
                <w:sz w:val="20"/>
                <w:szCs w:val="20"/>
              </w:rPr>
            </w:pPr>
            <w:r w:rsidRPr="00A33749">
              <w:rPr>
                <w:rFonts w:ascii="Arial Narrow" w:eastAsia="Arial Narrow" w:hAnsi="Arial Narrow" w:cs="Arial Narrow"/>
                <w:color w:val="333333"/>
                <w:sz w:val="20"/>
                <w:szCs w:val="20"/>
              </w:rPr>
              <w:t>The condition must</w:t>
            </w:r>
            <w:r w:rsidRPr="00A33749">
              <w:rPr>
                <w:rFonts w:ascii="Arial Narrow" w:eastAsia="Arial Narrow" w:hAnsi="Arial Narrow" w:cs="Arial Narrow"/>
                <w:i/>
                <w:iCs/>
                <w:color w:val="333333"/>
                <w:sz w:val="20"/>
                <w:szCs w:val="20"/>
              </w:rPr>
              <w:t xml:space="preserve"> have</w:t>
            </w:r>
            <w:r w:rsidRPr="00A33749">
              <w:rPr>
                <w:rFonts w:ascii="Arial Narrow" w:eastAsia="Arial Narrow" w:hAnsi="Arial Narrow" w:cs="Arial Narrow"/>
                <w:color w:val="333333"/>
                <w:sz w:val="20"/>
                <w:szCs w:val="20"/>
              </w:rPr>
              <w:t xml:space="preserve"> be</w:t>
            </w:r>
            <w:r w:rsidRPr="00A33749">
              <w:rPr>
                <w:rFonts w:ascii="Arial Narrow" w:eastAsia="Arial Narrow" w:hAnsi="Arial Narrow" w:cs="Arial Narrow"/>
                <w:i/>
                <w:iCs/>
                <w:color w:val="333333"/>
                <w:sz w:val="20"/>
                <w:szCs w:val="20"/>
              </w:rPr>
              <w:t>en</w:t>
            </w:r>
            <w:r w:rsidRPr="00A33749">
              <w:rPr>
                <w:rFonts w:ascii="Arial Narrow" w:eastAsia="Arial Narrow" w:hAnsi="Arial Narrow" w:cs="Arial Narrow"/>
                <w:color w:val="333333"/>
                <w:sz w:val="20"/>
                <w:szCs w:val="20"/>
              </w:rPr>
              <w:t xml:space="preserve"> untreated </w:t>
            </w:r>
            <w:r w:rsidRPr="00A33749">
              <w:rPr>
                <w:rFonts w:ascii="Arial Narrow" w:eastAsia="Arial Narrow" w:hAnsi="Arial Narrow" w:cs="Arial Narrow"/>
                <w:i/>
                <w:iCs/>
                <w:color w:val="333333"/>
                <w:sz w:val="20"/>
                <w:szCs w:val="20"/>
              </w:rPr>
              <w:t>prior to initiating non-PBS-subsidised treatment with this drug for this condition.</w:t>
            </w:r>
          </w:p>
        </w:tc>
      </w:tr>
      <w:tr w:rsidR="00E34C8B" w:rsidRPr="00A33749" w14:paraId="53E7404D" w14:textId="77777777" w:rsidTr="00E42FD6">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379B17A7"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AND</w:t>
            </w:r>
          </w:p>
        </w:tc>
      </w:tr>
      <w:tr w:rsidR="00E34C8B" w:rsidRPr="00A33749" w14:paraId="1769021E" w14:textId="77777777" w:rsidTr="00E0177F">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6EE9B8F2"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057B81D4" w14:textId="77777777" w:rsidTr="00DF7CA6">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680E3E5E"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color w:val="333333"/>
                <w:sz w:val="20"/>
                <w:szCs w:val="20"/>
              </w:rPr>
              <w:t>The treatment must be the sole PBS-subsidised therapy for this condition</w:t>
            </w:r>
          </w:p>
        </w:tc>
      </w:tr>
      <w:tr w:rsidR="00E34C8B" w:rsidRPr="00A33749" w14:paraId="0A64B1A8" w14:textId="77777777" w:rsidTr="004267CC">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5218543E"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AND</w:t>
            </w:r>
          </w:p>
        </w:tc>
      </w:tr>
      <w:tr w:rsidR="00E34C8B" w:rsidRPr="00A33749" w14:paraId="674B068F" w14:textId="77777777" w:rsidTr="00CE6A7D">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27A7B156"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2AD11C7B" w14:textId="77777777" w:rsidTr="00322283">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05EE8781" w14:textId="77777777" w:rsidR="00E34C8B" w:rsidRPr="00A33749" w:rsidRDefault="00E34C8B" w:rsidP="00AF24C9">
            <w:pPr>
              <w:rPr>
                <w:rFonts w:ascii="Arial Narrow" w:eastAsia="Arial Narrow" w:hAnsi="Arial Narrow" w:cs="Arial Narrow"/>
                <w:i/>
                <w:iCs/>
                <w:color w:val="333333"/>
                <w:sz w:val="20"/>
                <w:szCs w:val="20"/>
              </w:rPr>
            </w:pPr>
            <w:r w:rsidRPr="00A33749">
              <w:rPr>
                <w:rFonts w:ascii="Arial Narrow" w:eastAsia="Arial Narrow" w:hAnsi="Arial Narrow" w:cs="Arial Narrow"/>
                <w:color w:val="333333"/>
                <w:sz w:val="20"/>
                <w:szCs w:val="20"/>
              </w:rPr>
              <w:t>Patient must have</w:t>
            </w:r>
            <w:r w:rsidRPr="00A33749">
              <w:rPr>
                <w:rFonts w:ascii="Arial Narrow" w:eastAsia="Arial Narrow" w:hAnsi="Arial Narrow" w:cs="Arial Narrow"/>
                <w:i/>
                <w:iCs/>
                <w:color w:val="333333"/>
                <w:sz w:val="20"/>
                <w:szCs w:val="20"/>
              </w:rPr>
              <w:t xml:space="preserve"> had</w:t>
            </w:r>
            <w:r w:rsidRPr="00A33749">
              <w:rPr>
                <w:rFonts w:ascii="Arial Narrow" w:eastAsia="Arial Narrow" w:hAnsi="Arial Narrow" w:cs="Arial Narrow"/>
                <w:color w:val="333333"/>
                <w:sz w:val="20"/>
                <w:szCs w:val="20"/>
              </w:rPr>
              <w:t xml:space="preserve"> a cumulative illness rating scale (CIRS) score of less than or equal to 6 (excluding CLL-induced illness or organ damage)</w:t>
            </w:r>
            <w:r w:rsidRPr="00A33749">
              <w:rPr>
                <w:rFonts w:ascii="Arial Narrow" w:eastAsia="Arial Narrow" w:hAnsi="Arial Narrow" w:cs="Arial Narrow"/>
                <w:i/>
                <w:iCs/>
                <w:color w:val="333333"/>
                <w:sz w:val="20"/>
                <w:szCs w:val="20"/>
              </w:rPr>
              <w:t xml:space="preserve"> prior to initiating non-PBS-subsidised treatment with this drug for this condition</w:t>
            </w:r>
          </w:p>
        </w:tc>
      </w:tr>
      <w:tr w:rsidR="00E34C8B" w:rsidRPr="00A33749" w14:paraId="1A71CD0A" w14:textId="77777777" w:rsidTr="003D245F">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7DBB6DD7"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AND</w:t>
            </w:r>
          </w:p>
        </w:tc>
      </w:tr>
      <w:tr w:rsidR="00E34C8B" w:rsidRPr="00A33749" w14:paraId="1E98025E" w14:textId="77777777" w:rsidTr="000A3286">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480262E0"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Clinical criteria:</w:t>
            </w:r>
          </w:p>
        </w:tc>
      </w:tr>
      <w:tr w:rsidR="00E34C8B" w:rsidRPr="00A33749" w14:paraId="163965F9" w14:textId="77777777" w:rsidTr="00DA318C">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2F9F8837"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color w:val="333333"/>
                <w:sz w:val="20"/>
                <w:szCs w:val="20"/>
              </w:rPr>
              <w:t>Patient must have</w:t>
            </w:r>
            <w:r w:rsidRPr="00A33749">
              <w:rPr>
                <w:rFonts w:ascii="Arial Narrow" w:eastAsia="Arial Narrow" w:hAnsi="Arial Narrow" w:cs="Arial Narrow"/>
                <w:i/>
                <w:iCs/>
                <w:color w:val="333333"/>
                <w:sz w:val="20"/>
                <w:szCs w:val="20"/>
              </w:rPr>
              <w:t xml:space="preserve"> had</w:t>
            </w:r>
            <w:r w:rsidRPr="00A33749">
              <w:rPr>
                <w:rFonts w:ascii="Arial Narrow" w:eastAsia="Arial Narrow" w:hAnsi="Arial Narrow" w:cs="Arial Narrow"/>
                <w:color w:val="333333"/>
                <w:sz w:val="20"/>
                <w:szCs w:val="20"/>
              </w:rPr>
              <w:t xml:space="preserve"> a creatinine clearance greater than or equal to 70 mL/min</w:t>
            </w:r>
            <w:r w:rsidRPr="00A33749">
              <w:rPr>
                <w:rFonts w:ascii="Arial Narrow" w:eastAsia="Arial Narrow" w:hAnsi="Arial Narrow" w:cs="Arial Narrow"/>
                <w:i/>
                <w:iCs/>
                <w:color w:val="333333"/>
                <w:sz w:val="20"/>
                <w:szCs w:val="20"/>
              </w:rPr>
              <w:t xml:space="preserve"> prior to initiating non-PBS-subsidised treatment with this drug for this condition</w:t>
            </w:r>
          </w:p>
        </w:tc>
      </w:tr>
      <w:tr w:rsidR="00E34C8B" w:rsidRPr="00A33749" w14:paraId="7166B4BF" w14:textId="77777777" w:rsidTr="00E303B7">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17213E7B" w14:textId="77777777" w:rsidR="00E34C8B" w:rsidRPr="00A33749" w:rsidRDefault="00E34C8B"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AND</w:t>
            </w:r>
          </w:p>
        </w:tc>
      </w:tr>
      <w:tr w:rsidR="009B5B96" w:rsidRPr="00A33749" w14:paraId="7073EE34" w14:textId="77777777" w:rsidTr="00C74311">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4B6157D9" w14:textId="77777777" w:rsidR="009B5B96" w:rsidRPr="00A33749" w:rsidRDefault="009B5B96" w:rsidP="00AF24C9">
            <w:pPr>
              <w:rPr>
                <w:rFonts w:ascii="Arial Narrow" w:eastAsia="Arial Narrow" w:hAnsi="Arial Narrow" w:cs="Arial Narrow"/>
                <w:color w:val="333333"/>
                <w:sz w:val="20"/>
                <w:szCs w:val="20"/>
              </w:rPr>
            </w:pPr>
            <w:r w:rsidRPr="00A33749">
              <w:rPr>
                <w:rFonts w:ascii="Arial Narrow" w:eastAsia="Arial Narrow" w:hAnsi="Arial Narrow" w:cs="Arial Narrow"/>
                <w:b/>
                <w:bCs/>
                <w:color w:val="333333"/>
                <w:sz w:val="20"/>
                <w:szCs w:val="20"/>
              </w:rPr>
              <w:t>Clinical criteria:</w:t>
            </w:r>
          </w:p>
        </w:tc>
      </w:tr>
      <w:tr w:rsidR="009B5B96" w:rsidRPr="00A33749" w14:paraId="03AA6CD0" w14:textId="77777777" w:rsidTr="00934E6B">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7B7647B9" w14:textId="77777777" w:rsidR="009B5B96" w:rsidRPr="00A33749" w:rsidRDefault="009B5B96" w:rsidP="00AF24C9">
            <w:pPr>
              <w:rPr>
                <w:rFonts w:ascii="Arial Narrow" w:eastAsia="Arial Narrow" w:hAnsi="Arial Narrow" w:cs="Arial Narrow"/>
                <w:color w:val="333333"/>
                <w:sz w:val="20"/>
                <w:szCs w:val="20"/>
              </w:rPr>
            </w:pPr>
            <w:r w:rsidRPr="00A33749">
              <w:rPr>
                <w:rFonts w:ascii="Arial Narrow" w:eastAsia="Arial Narrow" w:hAnsi="Arial Narrow" w:cs="Arial Narrow"/>
                <w:color w:val="333333"/>
                <w:sz w:val="20"/>
                <w:szCs w:val="20"/>
              </w:rPr>
              <w:t xml:space="preserve">Patient must have </w:t>
            </w:r>
            <w:r w:rsidRPr="00A33749">
              <w:rPr>
                <w:rFonts w:ascii="Arial Narrow" w:eastAsia="Arial Narrow" w:hAnsi="Arial Narrow" w:cs="Arial Narrow"/>
                <w:i/>
                <w:iCs/>
                <w:color w:val="333333"/>
                <w:sz w:val="20"/>
                <w:szCs w:val="20"/>
              </w:rPr>
              <w:t>had</w:t>
            </w:r>
            <w:r w:rsidRPr="00A33749">
              <w:rPr>
                <w:rFonts w:ascii="Arial Narrow" w:eastAsia="Arial Narrow" w:hAnsi="Arial Narrow" w:cs="Arial Narrow"/>
                <w:color w:val="333333"/>
                <w:sz w:val="20"/>
                <w:szCs w:val="20"/>
              </w:rPr>
              <w:t xml:space="preserve"> a WHO performance status of 0 or 1 </w:t>
            </w:r>
            <w:r w:rsidRPr="00A33749">
              <w:rPr>
                <w:rFonts w:ascii="Arial Narrow" w:eastAsia="Arial Narrow" w:hAnsi="Arial Narrow" w:cs="Arial Narrow"/>
                <w:i/>
                <w:iCs/>
                <w:color w:val="333333"/>
                <w:sz w:val="20"/>
                <w:szCs w:val="20"/>
              </w:rPr>
              <w:t>prior to initiating non-PBS-subsidised treatment with this drug for this condition</w:t>
            </w:r>
          </w:p>
        </w:tc>
      </w:tr>
      <w:tr w:rsidR="009B5B96" w:rsidRPr="00A33749" w14:paraId="2B87A630" w14:textId="77777777" w:rsidTr="00243EBF">
        <w:tblPrEx>
          <w:tblCellMar>
            <w:top w:w="15" w:type="dxa"/>
            <w:left w:w="15" w:type="dxa"/>
            <w:bottom w:w="15" w:type="dxa"/>
            <w:right w:w="15" w:type="dxa"/>
          </w:tblCellMar>
        </w:tblPrEx>
        <w:tc>
          <w:tcPr>
            <w:tcW w:w="9067" w:type="dxa"/>
            <w:gridSpan w:val="6"/>
          </w:tcPr>
          <w:p w14:paraId="412ABCC2" w14:textId="77777777" w:rsidR="009B5B96" w:rsidRPr="00A33749" w:rsidRDefault="009B5B96" w:rsidP="00AF24C9">
            <w:pPr>
              <w:rPr>
                <w:rFonts w:ascii="Arial Narrow" w:eastAsia="Arial Narrow" w:hAnsi="Arial Narrow" w:cs="Arial Narrow"/>
                <w:b/>
                <w:bCs/>
                <w:i/>
                <w:iCs/>
                <w:color w:val="333333"/>
                <w:sz w:val="20"/>
                <w:szCs w:val="20"/>
              </w:rPr>
            </w:pPr>
            <w:bookmarkStart w:id="13" w:name="_Hlk112849537"/>
            <w:r w:rsidRPr="00A33749">
              <w:rPr>
                <w:rFonts w:ascii="Arial Narrow" w:eastAsia="Arial Narrow" w:hAnsi="Arial Narrow" w:cs="Arial Narrow"/>
                <w:b/>
                <w:bCs/>
                <w:i/>
                <w:iCs/>
                <w:color w:val="333333"/>
                <w:sz w:val="20"/>
                <w:szCs w:val="20"/>
              </w:rPr>
              <w:lastRenderedPageBreak/>
              <w:t>Prescriber Instruction:</w:t>
            </w:r>
          </w:p>
          <w:p w14:paraId="1F9829C8" w14:textId="77777777" w:rsidR="009B5B96" w:rsidRPr="00A33749" w:rsidRDefault="009B5B96" w:rsidP="00AF24C9">
            <w:pPr>
              <w:rPr>
                <w:rFonts w:ascii="Arial Narrow" w:hAnsi="Arial Narrow"/>
                <w:b/>
                <w:bCs/>
                <w:sz w:val="20"/>
                <w:szCs w:val="20"/>
              </w:rPr>
            </w:pPr>
            <w:r w:rsidRPr="00A33749">
              <w:rPr>
                <w:rFonts w:ascii="Arial Narrow" w:eastAsia="Arial Narrow" w:hAnsi="Arial Narrow" w:cs="Arial Narrow"/>
                <w:i/>
                <w:iCs/>
                <w:color w:val="333333"/>
                <w:sz w:val="20"/>
                <w:szCs w:val="20"/>
              </w:rPr>
              <w:t>There are more ibrutinib capsules in a pack than is required for the completion of a treatment cycle. The patient must not discard any remaining capsules after the completion of any treatment cycle as these capsules will be required for the doses in the final treatment cycle (i.e. treatment cycle 15).</w:t>
            </w:r>
          </w:p>
        </w:tc>
      </w:tr>
      <w:tr w:rsidR="009B5B96" w:rsidRPr="00A33749" w14:paraId="6EFFAA3D" w14:textId="77777777" w:rsidTr="00177325">
        <w:tblPrEx>
          <w:tblCellMar>
            <w:top w:w="15" w:type="dxa"/>
            <w:left w:w="15" w:type="dxa"/>
            <w:bottom w:w="15" w:type="dxa"/>
            <w:right w:w="15" w:type="dxa"/>
          </w:tblCellMar>
          <w:tblLook w:val="04A0" w:firstRow="1" w:lastRow="0" w:firstColumn="1" w:lastColumn="0" w:noHBand="0" w:noVBand="1"/>
        </w:tblPrEx>
        <w:tc>
          <w:tcPr>
            <w:tcW w:w="9067" w:type="dxa"/>
            <w:gridSpan w:val="6"/>
          </w:tcPr>
          <w:p w14:paraId="1713D5D9" w14:textId="77777777" w:rsidR="009B5B96" w:rsidRPr="00A33749" w:rsidRDefault="009B5B96" w:rsidP="00AF24C9">
            <w:pPr>
              <w:rPr>
                <w:rFonts w:ascii="Arial Narrow" w:eastAsia="Arial Narrow" w:hAnsi="Arial Narrow" w:cs="Arial Narrow"/>
                <w:b/>
                <w:bCs/>
                <w:i/>
                <w:iCs/>
                <w:color w:val="333333"/>
                <w:sz w:val="20"/>
                <w:szCs w:val="20"/>
              </w:rPr>
            </w:pPr>
            <w:r w:rsidRPr="00A33749">
              <w:rPr>
                <w:rFonts w:ascii="Arial Narrow" w:hAnsi="Arial Narrow"/>
                <w:b/>
                <w:bCs/>
                <w:sz w:val="20"/>
                <w:szCs w:val="20"/>
              </w:rPr>
              <w:t xml:space="preserve">Administrative advice: </w:t>
            </w:r>
            <w:r w:rsidRPr="00A33749">
              <w:rPr>
                <w:rFonts w:ascii="Arial Narrow" w:hAnsi="Arial Narrow"/>
                <w:bCs/>
                <w:i/>
                <w:iCs/>
                <w:sz w:val="20"/>
                <w:szCs w:val="20"/>
              </w:rPr>
              <w:t xml:space="preserve">Patients may qualify for PBS-subsidised treatment under this restriction once only. For continuing PBS-subsidised treatment, a 'Grandfathered' patient must qualify under the </w:t>
            </w:r>
            <w:r w:rsidRPr="00A33749">
              <w:rPr>
                <w:rFonts w:ascii="Arial Narrow" w:hAnsi="Arial Narrow"/>
                <w:bCs/>
                <w:i/>
                <w:iCs/>
                <w:strike/>
                <w:sz w:val="20"/>
                <w:szCs w:val="20"/>
              </w:rPr>
              <w:t>'Continuing treatment'</w:t>
            </w:r>
            <w:r w:rsidRPr="00A33749">
              <w:rPr>
                <w:rFonts w:ascii="Arial Narrow" w:hAnsi="Arial Narrow"/>
                <w:bCs/>
                <w:sz w:val="20"/>
                <w:szCs w:val="20"/>
              </w:rPr>
              <w:t xml:space="preserve"> </w:t>
            </w:r>
            <w:r w:rsidRPr="00A33749">
              <w:rPr>
                <w:rFonts w:ascii="Arial Narrow" w:eastAsia="Arial Narrow" w:hAnsi="Arial Narrow" w:cs="Arial Narrow"/>
                <w:i/>
                <w:iCs/>
                <w:color w:val="333333"/>
                <w:sz w:val="20"/>
                <w:szCs w:val="20"/>
              </w:rPr>
              <w:t>First continuing treatment (treatment cycles 4 to 9 inclusive) of first-line therapy</w:t>
            </w:r>
            <w:r w:rsidRPr="00A33749">
              <w:rPr>
                <w:rFonts w:ascii="Arial Narrow" w:hAnsi="Arial Narrow"/>
                <w:bCs/>
                <w:i/>
                <w:iCs/>
                <w:sz w:val="20"/>
                <w:szCs w:val="20"/>
              </w:rPr>
              <w:t xml:space="preserve"> </w:t>
            </w:r>
            <w:r w:rsidRPr="00A33749">
              <w:rPr>
                <w:rFonts w:ascii="Arial Narrow" w:hAnsi="Arial Narrow"/>
                <w:bCs/>
                <w:sz w:val="20"/>
                <w:szCs w:val="20"/>
              </w:rPr>
              <w:t>criteria</w:t>
            </w:r>
          </w:p>
        </w:tc>
      </w:tr>
      <w:tr w:rsidR="009B5B96" w:rsidRPr="00A33749" w14:paraId="2A6CBFF8" w14:textId="77777777" w:rsidTr="0084493C">
        <w:tblPrEx>
          <w:tblCellMar>
            <w:top w:w="15" w:type="dxa"/>
            <w:left w:w="15" w:type="dxa"/>
            <w:bottom w:w="15" w:type="dxa"/>
            <w:right w:w="15" w:type="dxa"/>
          </w:tblCellMar>
        </w:tblPrEx>
        <w:tc>
          <w:tcPr>
            <w:tcW w:w="9067" w:type="dxa"/>
            <w:gridSpan w:val="6"/>
          </w:tcPr>
          <w:p w14:paraId="77CDBA30" w14:textId="77777777" w:rsidR="009B5B96" w:rsidRPr="00A33749" w:rsidRDefault="009B5B96" w:rsidP="00AF24C9">
            <w:pPr>
              <w:rPr>
                <w:rFonts w:ascii="Arial Narrow" w:eastAsia="Arial Narrow" w:hAnsi="Arial Narrow" w:cs="Arial Narrow"/>
                <w:b/>
                <w:bCs/>
                <w:i/>
                <w:iCs/>
                <w:color w:val="333333"/>
                <w:sz w:val="20"/>
                <w:szCs w:val="20"/>
              </w:rPr>
            </w:pPr>
            <w:r w:rsidRPr="00A33749">
              <w:rPr>
                <w:rFonts w:ascii="Arial Narrow" w:hAnsi="Arial Narrow"/>
                <w:b/>
                <w:bCs/>
                <w:sz w:val="20"/>
                <w:szCs w:val="20"/>
              </w:rPr>
              <w:t xml:space="preserve">Administrative advice: </w:t>
            </w:r>
            <w:r w:rsidRPr="00A33749">
              <w:rPr>
                <w:rFonts w:ascii="Arial Narrow" w:hAnsi="Arial Narrow"/>
                <w:bCs/>
                <w:i/>
                <w:iCs/>
                <w:sz w:val="20"/>
                <w:szCs w:val="20"/>
              </w:rPr>
              <w:t>This grandfather restriction will cease to operate from 12 months after the date specified in the clinical criteria</w:t>
            </w:r>
          </w:p>
        </w:tc>
      </w:tr>
      <w:bookmarkEnd w:id="12"/>
      <w:bookmarkEnd w:id="13"/>
    </w:tbl>
    <w:p w14:paraId="290D62BD" w14:textId="77777777" w:rsidR="00A33749" w:rsidRPr="00A33749" w:rsidRDefault="00A33749" w:rsidP="00A3374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709"/>
        <w:gridCol w:w="709"/>
        <w:gridCol w:w="1842"/>
      </w:tblGrid>
      <w:tr w:rsidR="00A33749" w:rsidRPr="00A33749" w14:paraId="7258A14E" w14:textId="77777777" w:rsidTr="00AF24C9">
        <w:trPr>
          <w:cantSplit/>
          <w:trHeight w:val="471"/>
        </w:trPr>
        <w:tc>
          <w:tcPr>
            <w:tcW w:w="3964" w:type="dxa"/>
          </w:tcPr>
          <w:p w14:paraId="0191B7BE" w14:textId="77777777" w:rsidR="00A33749" w:rsidRPr="00A33749" w:rsidRDefault="00A33749" w:rsidP="00AF24C9">
            <w:pPr>
              <w:keepNext/>
              <w:ind w:left="-57"/>
              <w:rPr>
                <w:rFonts w:ascii="Arial Narrow" w:hAnsi="Arial Narrow"/>
                <w:b/>
                <w:bCs/>
                <w:sz w:val="20"/>
                <w:szCs w:val="20"/>
              </w:rPr>
            </w:pPr>
            <w:r w:rsidRPr="00A33749">
              <w:br w:type="page"/>
            </w:r>
            <w:r w:rsidRPr="00A33749">
              <w:rPr>
                <w:rFonts w:ascii="Arial Narrow" w:hAnsi="Arial Narrow"/>
                <w:b/>
                <w:bCs/>
                <w:sz w:val="20"/>
                <w:szCs w:val="20"/>
              </w:rPr>
              <w:t>MEDICINAL PRODUCT</w:t>
            </w:r>
          </w:p>
          <w:p w14:paraId="4E42A7A6" w14:textId="77777777" w:rsidR="00A33749" w:rsidRPr="00A33749" w:rsidRDefault="00A33749" w:rsidP="00AF24C9">
            <w:pPr>
              <w:keepNext/>
              <w:ind w:left="-57"/>
              <w:rPr>
                <w:rFonts w:ascii="Arial Narrow" w:hAnsi="Arial Narrow"/>
                <w:b/>
                <w:sz w:val="20"/>
                <w:szCs w:val="20"/>
              </w:rPr>
            </w:pPr>
            <w:r w:rsidRPr="00A33749">
              <w:rPr>
                <w:rFonts w:ascii="Arial Narrow" w:hAnsi="Arial Narrow"/>
                <w:b/>
                <w:bCs/>
                <w:sz w:val="20"/>
                <w:szCs w:val="20"/>
              </w:rPr>
              <w:t>medicinal product pack</w:t>
            </w:r>
          </w:p>
        </w:tc>
        <w:tc>
          <w:tcPr>
            <w:tcW w:w="993" w:type="dxa"/>
          </w:tcPr>
          <w:p w14:paraId="6E266AE9"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PBS item code</w:t>
            </w:r>
          </w:p>
        </w:tc>
        <w:tc>
          <w:tcPr>
            <w:tcW w:w="850" w:type="dxa"/>
          </w:tcPr>
          <w:p w14:paraId="52E06F9E"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Max. qty packs</w:t>
            </w:r>
          </w:p>
        </w:tc>
        <w:tc>
          <w:tcPr>
            <w:tcW w:w="709" w:type="dxa"/>
          </w:tcPr>
          <w:p w14:paraId="0726EDB9"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Max. qty units</w:t>
            </w:r>
          </w:p>
        </w:tc>
        <w:tc>
          <w:tcPr>
            <w:tcW w:w="709" w:type="dxa"/>
          </w:tcPr>
          <w:p w14:paraId="7B7A8634"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№.of</w:t>
            </w:r>
          </w:p>
          <w:p w14:paraId="267B7B58" w14:textId="77777777" w:rsidR="00A33749" w:rsidRPr="00A33749" w:rsidRDefault="00A33749" w:rsidP="00AF24C9">
            <w:pPr>
              <w:keepNext/>
              <w:ind w:left="-108"/>
              <w:jc w:val="center"/>
              <w:rPr>
                <w:rFonts w:ascii="Arial Narrow" w:hAnsi="Arial Narrow"/>
                <w:b/>
                <w:sz w:val="20"/>
                <w:szCs w:val="20"/>
              </w:rPr>
            </w:pPr>
            <w:r w:rsidRPr="00A33749">
              <w:rPr>
                <w:rFonts w:ascii="Arial Narrow" w:hAnsi="Arial Narrow"/>
                <w:b/>
                <w:sz w:val="20"/>
                <w:szCs w:val="20"/>
              </w:rPr>
              <w:t>Rpts</w:t>
            </w:r>
          </w:p>
        </w:tc>
        <w:tc>
          <w:tcPr>
            <w:tcW w:w="1842" w:type="dxa"/>
          </w:tcPr>
          <w:p w14:paraId="6A379B95" w14:textId="77777777" w:rsidR="00A33749" w:rsidRPr="00A33749" w:rsidRDefault="00A33749" w:rsidP="00AF24C9">
            <w:pPr>
              <w:keepNext/>
              <w:jc w:val="center"/>
              <w:rPr>
                <w:rFonts w:ascii="Arial Narrow" w:hAnsi="Arial Narrow"/>
                <w:b/>
                <w:sz w:val="20"/>
                <w:szCs w:val="20"/>
                <w:lang w:val="fr-FR"/>
              </w:rPr>
            </w:pPr>
            <w:r w:rsidRPr="00A33749">
              <w:rPr>
                <w:rFonts w:ascii="Arial Narrow" w:hAnsi="Arial Narrow"/>
                <w:b/>
                <w:sz w:val="20"/>
                <w:szCs w:val="20"/>
              </w:rPr>
              <w:t>Available brands</w:t>
            </w:r>
          </w:p>
        </w:tc>
      </w:tr>
      <w:tr w:rsidR="00A33749" w:rsidRPr="00A33749" w14:paraId="720060A3" w14:textId="77777777" w:rsidTr="00AF24C9">
        <w:trPr>
          <w:cantSplit/>
          <w:trHeight w:val="224"/>
        </w:trPr>
        <w:tc>
          <w:tcPr>
            <w:tcW w:w="9067" w:type="dxa"/>
            <w:gridSpan w:val="6"/>
          </w:tcPr>
          <w:p w14:paraId="4D31290B" w14:textId="77777777" w:rsidR="00A33749" w:rsidRPr="00A33749" w:rsidRDefault="00A33749" w:rsidP="00AF24C9">
            <w:pPr>
              <w:keepNext/>
              <w:ind w:left="-57"/>
              <w:rPr>
                <w:rFonts w:ascii="Arial Narrow" w:hAnsi="Arial Narrow"/>
                <w:sz w:val="20"/>
                <w:szCs w:val="20"/>
              </w:rPr>
            </w:pPr>
            <w:r w:rsidRPr="00A33749">
              <w:rPr>
                <w:rFonts w:ascii="Arial Narrow" w:hAnsi="Arial Narrow"/>
                <w:sz w:val="20"/>
                <w:szCs w:val="20"/>
              </w:rPr>
              <w:t>IBRUTINIB</w:t>
            </w:r>
          </w:p>
        </w:tc>
      </w:tr>
      <w:tr w:rsidR="00A33749" w:rsidRPr="00A33749" w14:paraId="300DCF7D" w14:textId="77777777" w:rsidTr="00AF24C9">
        <w:trPr>
          <w:cantSplit/>
          <w:trHeight w:val="553"/>
        </w:trPr>
        <w:tc>
          <w:tcPr>
            <w:tcW w:w="3964" w:type="dxa"/>
          </w:tcPr>
          <w:p w14:paraId="13883EA9" w14:textId="77777777" w:rsidR="00A33749" w:rsidRPr="00A33749" w:rsidRDefault="00A33749" w:rsidP="00AF24C9">
            <w:pPr>
              <w:keepNext/>
              <w:ind w:left="-57"/>
              <w:rPr>
                <w:rFonts w:ascii="Arial Narrow" w:hAnsi="Arial Narrow"/>
                <w:sz w:val="20"/>
                <w:szCs w:val="20"/>
              </w:rPr>
            </w:pPr>
            <w:r w:rsidRPr="00A33749">
              <w:rPr>
                <w:rFonts w:ascii="Arial Narrow" w:hAnsi="Arial Narrow" w:cstheme="minorBidi"/>
                <w:sz w:val="20"/>
                <w:szCs w:val="20"/>
              </w:rPr>
              <w:t>ibrutinib 140 mg capsule, 90</w:t>
            </w:r>
          </w:p>
        </w:tc>
        <w:tc>
          <w:tcPr>
            <w:tcW w:w="993" w:type="dxa"/>
          </w:tcPr>
          <w:p w14:paraId="6CD88D2B"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NEW</w:t>
            </w:r>
          </w:p>
        </w:tc>
        <w:tc>
          <w:tcPr>
            <w:tcW w:w="850" w:type="dxa"/>
          </w:tcPr>
          <w:p w14:paraId="4AAC982A"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1</w:t>
            </w:r>
          </w:p>
        </w:tc>
        <w:tc>
          <w:tcPr>
            <w:tcW w:w="709" w:type="dxa"/>
          </w:tcPr>
          <w:p w14:paraId="5A5672AD"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90</w:t>
            </w:r>
          </w:p>
        </w:tc>
        <w:tc>
          <w:tcPr>
            <w:tcW w:w="709" w:type="dxa"/>
          </w:tcPr>
          <w:p w14:paraId="417A3482" w14:textId="77777777" w:rsidR="00A33749" w:rsidRPr="00A33749" w:rsidRDefault="00A33749" w:rsidP="00AF24C9">
            <w:pPr>
              <w:keepNext/>
              <w:jc w:val="center"/>
              <w:rPr>
                <w:rFonts w:ascii="Arial Narrow" w:hAnsi="Arial Narrow"/>
                <w:sz w:val="20"/>
                <w:szCs w:val="20"/>
              </w:rPr>
            </w:pPr>
            <w:r w:rsidRPr="00A33749">
              <w:rPr>
                <w:rFonts w:ascii="Arial Narrow" w:hAnsi="Arial Narrow"/>
                <w:sz w:val="20"/>
                <w:szCs w:val="20"/>
              </w:rPr>
              <w:t>4</w:t>
            </w:r>
          </w:p>
        </w:tc>
        <w:tc>
          <w:tcPr>
            <w:tcW w:w="1842" w:type="dxa"/>
          </w:tcPr>
          <w:p w14:paraId="083D3B04" w14:textId="77777777" w:rsidR="00A33749" w:rsidRPr="00A33749" w:rsidRDefault="00A33749" w:rsidP="00AF24C9">
            <w:pPr>
              <w:keepNext/>
              <w:keepLines/>
              <w:jc w:val="center"/>
              <w:rPr>
                <w:rFonts w:ascii="Arial Narrow" w:eastAsiaTheme="majorEastAsia" w:hAnsi="Arial Narrow" w:cstheme="majorBidi"/>
                <w:bCs/>
                <w:sz w:val="20"/>
                <w:szCs w:val="20"/>
              </w:rPr>
            </w:pPr>
            <w:r w:rsidRPr="00A33749">
              <w:rPr>
                <w:rFonts w:ascii="Arial Narrow" w:eastAsiaTheme="majorEastAsia" w:hAnsi="Arial Narrow"/>
                <w:bCs/>
                <w:sz w:val="20"/>
                <w:szCs w:val="20"/>
              </w:rPr>
              <w:t>Imbruvica</w:t>
            </w:r>
          </w:p>
        </w:tc>
      </w:tr>
      <w:tr w:rsidR="00A33749" w:rsidRPr="00A33749" w14:paraId="7EB7C633" w14:textId="77777777" w:rsidTr="00AF24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1CDDA962" w14:textId="77777777" w:rsidR="00A33749" w:rsidRPr="00A33749" w:rsidRDefault="00A33749" w:rsidP="00AF24C9">
            <w:pPr>
              <w:rPr>
                <w:rFonts w:ascii="Arial Narrow" w:hAnsi="Arial Narrow"/>
                <w:sz w:val="20"/>
                <w:szCs w:val="20"/>
              </w:rPr>
            </w:pPr>
          </w:p>
        </w:tc>
      </w:tr>
      <w:tr w:rsidR="00A33749" w:rsidRPr="00A33749" w14:paraId="68E31162" w14:textId="77777777" w:rsidTr="00AF24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6B3B9C2B" w14:textId="35EA501E" w:rsidR="00A33749" w:rsidRPr="00A33749" w:rsidRDefault="00A33749" w:rsidP="00AF24C9">
            <w:pPr>
              <w:rPr>
                <w:rFonts w:ascii="Arial Narrow" w:hAnsi="Arial Narrow"/>
                <w:b/>
                <w:sz w:val="20"/>
                <w:szCs w:val="20"/>
              </w:rPr>
            </w:pPr>
            <w:bookmarkStart w:id="14" w:name="_Hlk113034660"/>
            <w:r w:rsidRPr="00A33749">
              <w:rPr>
                <w:rFonts w:ascii="Arial Narrow" w:hAnsi="Arial Narrow"/>
                <w:b/>
                <w:sz w:val="20"/>
                <w:szCs w:val="20"/>
              </w:rPr>
              <w:t xml:space="preserve">Restriction Summary / Treatment of Concept: </w:t>
            </w:r>
          </w:p>
        </w:tc>
      </w:tr>
      <w:tr w:rsidR="009B5B96" w:rsidRPr="00A33749" w14:paraId="45A035E9" w14:textId="77777777" w:rsidTr="002F64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159D10F5" w14:textId="77777777" w:rsidR="009B5B96" w:rsidRPr="00A33749" w:rsidRDefault="009B5B96" w:rsidP="00AF24C9">
            <w:pPr>
              <w:rPr>
                <w:rFonts w:ascii="Arial Narrow" w:hAnsi="Arial Narrow"/>
                <w:sz w:val="20"/>
                <w:szCs w:val="20"/>
              </w:rPr>
            </w:pPr>
            <w:r w:rsidRPr="00A33749">
              <w:rPr>
                <w:rFonts w:ascii="Arial Narrow" w:hAnsi="Arial Narrow"/>
                <w:b/>
                <w:sz w:val="20"/>
                <w:szCs w:val="20"/>
              </w:rPr>
              <w:t xml:space="preserve">Category / Program: </w:t>
            </w:r>
            <w:r w:rsidRPr="00A33749">
              <w:rPr>
                <w:rFonts w:ascii="Arial Narrow" w:hAnsi="Arial Narrow"/>
                <w:sz w:val="20"/>
                <w:szCs w:val="20"/>
              </w:rPr>
              <w:t xml:space="preserve">GENERAL – General Schedule (Code GE) </w:t>
            </w:r>
          </w:p>
        </w:tc>
      </w:tr>
      <w:tr w:rsidR="009B5B96" w:rsidRPr="00A33749" w14:paraId="0E305BA3" w14:textId="77777777" w:rsidTr="00622C49">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6"/>
            <w:tcBorders>
              <w:left w:val="single" w:sz="4" w:space="0" w:color="auto"/>
              <w:right w:val="single" w:sz="4" w:space="0" w:color="auto"/>
            </w:tcBorders>
          </w:tcPr>
          <w:p w14:paraId="0DCD0B1F" w14:textId="77777777" w:rsidR="009B5B96" w:rsidRPr="00A33749" w:rsidRDefault="009B5B96" w:rsidP="00AF24C9">
            <w:pPr>
              <w:rPr>
                <w:rFonts w:ascii="Arial Narrow" w:hAnsi="Arial Narrow"/>
                <w:b/>
                <w:sz w:val="20"/>
                <w:szCs w:val="20"/>
              </w:rPr>
            </w:pPr>
            <w:r w:rsidRPr="00A33749">
              <w:rPr>
                <w:rFonts w:ascii="Arial Narrow" w:hAnsi="Arial Narrow"/>
                <w:b/>
                <w:sz w:val="20"/>
                <w:szCs w:val="20"/>
              </w:rPr>
              <w:t xml:space="preserve">Prescriber type: </w:t>
            </w:r>
            <w:r w:rsidRPr="00A33749">
              <w:rPr>
                <w:rFonts w:ascii="Arial Narrow" w:hAnsi="Arial Narrow"/>
                <w:sz w:val="20"/>
                <w:szCs w:val="20"/>
              </w:rPr>
              <w:fldChar w:fldCharType="begin" w:fldLock="1">
                <w:ffData>
                  <w:name w:val=""/>
                  <w:enabled/>
                  <w:calcOnExit w:val="0"/>
                  <w:checkBox>
                    <w:sizeAuto/>
                    <w:default w:val="1"/>
                  </w:checkBox>
                </w:ffData>
              </w:fldChar>
            </w:r>
            <w:r w:rsidRPr="00A33749">
              <w:rPr>
                <w:rFonts w:ascii="Arial Narrow" w:hAnsi="Arial Narrow"/>
                <w:sz w:val="20"/>
                <w:szCs w:val="20"/>
              </w:rPr>
              <w:instrText xml:space="preserve"> FORMCHECKBOX </w:instrText>
            </w:r>
            <w:r w:rsidR="001217F8">
              <w:rPr>
                <w:rFonts w:ascii="Arial Narrow" w:hAnsi="Arial Narrow"/>
                <w:sz w:val="20"/>
                <w:szCs w:val="20"/>
              </w:rPr>
            </w:r>
            <w:r w:rsidR="001217F8">
              <w:rPr>
                <w:rFonts w:ascii="Arial Narrow" w:hAnsi="Arial Narrow"/>
                <w:sz w:val="20"/>
                <w:szCs w:val="20"/>
              </w:rPr>
              <w:fldChar w:fldCharType="separate"/>
            </w:r>
            <w:r w:rsidRPr="00A33749">
              <w:rPr>
                <w:rFonts w:ascii="Arial Narrow" w:hAnsi="Arial Narrow"/>
                <w:sz w:val="20"/>
                <w:szCs w:val="20"/>
              </w:rPr>
              <w:fldChar w:fldCharType="end"/>
            </w:r>
            <w:r w:rsidRPr="00A33749">
              <w:rPr>
                <w:rFonts w:ascii="Arial Narrow" w:hAnsi="Arial Narrow"/>
                <w:sz w:val="20"/>
                <w:szCs w:val="20"/>
              </w:rPr>
              <w:t>Medical Practitioners</w:t>
            </w:r>
          </w:p>
        </w:tc>
      </w:tr>
      <w:tr w:rsidR="009B5B96" w:rsidRPr="00A33749" w14:paraId="39F1E4E9" w14:textId="77777777" w:rsidTr="00F54AE3">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bottom w:val="single" w:sz="4" w:space="0" w:color="auto"/>
              <w:right w:val="single" w:sz="4" w:space="0" w:color="auto"/>
            </w:tcBorders>
          </w:tcPr>
          <w:p w14:paraId="37E07B95" w14:textId="77777777" w:rsidR="009B5B96" w:rsidRPr="00A33749" w:rsidRDefault="009B5B96" w:rsidP="00AF24C9">
            <w:pPr>
              <w:rPr>
                <w:rFonts w:ascii="Arial Narrow" w:eastAsia="Calibri" w:hAnsi="Arial Narrow"/>
                <w:sz w:val="20"/>
                <w:szCs w:val="20"/>
              </w:rPr>
            </w:pPr>
            <w:r w:rsidRPr="00A33749">
              <w:rPr>
                <w:rFonts w:ascii="Arial Narrow" w:hAnsi="Arial Narrow"/>
                <w:b/>
                <w:sz w:val="20"/>
                <w:szCs w:val="20"/>
              </w:rPr>
              <w:t xml:space="preserve">Restriction type: </w:t>
            </w:r>
            <w:r w:rsidRPr="00A33749">
              <w:rPr>
                <w:rFonts w:ascii="Arial Narrow" w:eastAsia="Calibri" w:hAnsi="Arial Narrow"/>
                <w:sz w:val="20"/>
                <w:szCs w:val="20"/>
              </w:rPr>
              <w:fldChar w:fldCharType="begin" w:fldLock="1">
                <w:ffData>
                  <w:name w:val="Check3"/>
                  <w:enabled/>
                  <w:calcOnExit w:val="0"/>
                  <w:checkBox>
                    <w:sizeAuto/>
                    <w:default w:val="1"/>
                  </w:checkBox>
                </w:ffData>
              </w:fldChar>
            </w:r>
            <w:r w:rsidRPr="00A33749">
              <w:rPr>
                <w:rFonts w:ascii="Arial Narrow" w:eastAsia="Calibri" w:hAnsi="Arial Narrow"/>
                <w:sz w:val="20"/>
                <w:szCs w:val="20"/>
              </w:rPr>
              <w:instrText xml:space="preserve"> FORMCHECKBOX </w:instrText>
            </w:r>
            <w:r w:rsidR="001217F8">
              <w:rPr>
                <w:rFonts w:ascii="Arial Narrow" w:eastAsia="Calibri" w:hAnsi="Arial Narrow"/>
                <w:sz w:val="20"/>
                <w:szCs w:val="20"/>
              </w:rPr>
            </w:r>
            <w:r w:rsidR="001217F8">
              <w:rPr>
                <w:rFonts w:ascii="Arial Narrow" w:eastAsia="Calibri" w:hAnsi="Arial Narrow"/>
                <w:sz w:val="20"/>
                <w:szCs w:val="20"/>
              </w:rPr>
              <w:fldChar w:fldCharType="separate"/>
            </w:r>
            <w:r w:rsidRPr="00A33749">
              <w:rPr>
                <w:rFonts w:ascii="Arial Narrow" w:eastAsia="Calibri" w:hAnsi="Arial Narrow"/>
                <w:sz w:val="20"/>
                <w:szCs w:val="20"/>
              </w:rPr>
              <w:fldChar w:fldCharType="end"/>
            </w:r>
            <w:r w:rsidRPr="00A33749">
              <w:rPr>
                <w:sz w:val="20"/>
                <w:szCs w:val="20"/>
              </w:rPr>
              <w:t xml:space="preserve"> </w:t>
            </w:r>
            <w:r w:rsidRPr="00A33749">
              <w:rPr>
                <w:rFonts w:ascii="Arial Narrow" w:eastAsia="Calibri" w:hAnsi="Arial Narrow"/>
                <w:sz w:val="20"/>
                <w:szCs w:val="20"/>
              </w:rPr>
              <w:t>Authority Required (telephone/electronic via PBS Authorities system)</w:t>
            </w:r>
            <w:r w:rsidRPr="00A33749">
              <w:rPr>
                <w:rFonts w:ascii="Arial Narrow" w:eastAsia="Arial Narrow" w:hAnsi="Arial Narrow" w:cs="Arial Narrow"/>
                <w:i/>
                <w:iCs/>
                <w:strike/>
                <w:sz w:val="20"/>
                <w:szCs w:val="20"/>
              </w:rPr>
              <w:t xml:space="preserve"> </w:t>
            </w:r>
            <w:r w:rsidRPr="00A33749">
              <w:rPr>
                <w:rFonts w:ascii="Arial Narrow" w:eastAsia="Arial Narrow" w:hAnsi="Arial Narrow" w:cs="Arial Narrow"/>
                <w:strike/>
                <w:sz w:val="20"/>
                <w:szCs w:val="20"/>
              </w:rPr>
              <w:t>non-immediate/delayed assessment by Services Australia (in-writing only via mail/postal service or electronic upload to Hobart; requires at least one concept ID to be marked as ‘FULL’ for full assessment by Services Australia)</w:t>
            </w:r>
          </w:p>
        </w:tc>
      </w:tr>
      <w:tr w:rsidR="009B5B96" w:rsidRPr="00A33749" w14:paraId="0A8981F1" w14:textId="77777777" w:rsidTr="00AF57BB">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bottom w:val="single" w:sz="4" w:space="0" w:color="auto"/>
              <w:right w:val="single" w:sz="4" w:space="0" w:color="auto"/>
            </w:tcBorders>
          </w:tcPr>
          <w:p w14:paraId="430DFC01" w14:textId="77777777" w:rsidR="009B5B96" w:rsidRPr="00A33749" w:rsidRDefault="009B5B96" w:rsidP="00AF24C9">
            <w:pPr>
              <w:rPr>
                <w:rFonts w:ascii="Arial Narrow" w:hAnsi="Arial Narrow"/>
                <w:b/>
                <w:sz w:val="20"/>
                <w:szCs w:val="20"/>
              </w:rPr>
            </w:pPr>
          </w:p>
        </w:tc>
      </w:tr>
      <w:tr w:rsidR="009B5B96" w:rsidRPr="00A33749" w14:paraId="06756F9A" w14:textId="77777777" w:rsidTr="00837EF1">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right w:val="single" w:sz="4" w:space="0" w:color="auto"/>
            </w:tcBorders>
          </w:tcPr>
          <w:p w14:paraId="3B6AACD6" w14:textId="77777777" w:rsidR="009B5B96" w:rsidRPr="00A33749" w:rsidRDefault="009B5B96" w:rsidP="00AF24C9">
            <w:pPr>
              <w:rPr>
                <w:rFonts w:ascii="Arial Narrow" w:hAnsi="Arial Narrow"/>
                <w:i/>
                <w:iCs/>
                <w:sz w:val="20"/>
                <w:szCs w:val="20"/>
              </w:rPr>
            </w:pPr>
            <w:r w:rsidRPr="00A33749">
              <w:rPr>
                <w:rFonts w:ascii="Arial Narrow" w:eastAsia="Arial Narrow" w:hAnsi="Arial Narrow" w:cs="Arial Narrow"/>
                <w:b/>
                <w:color w:val="333333"/>
                <w:sz w:val="20"/>
                <w:szCs w:val="20"/>
              </w:rPr>
              <w:t xml:space="preserve">Administrative Advice: </w:t>
            </w:r>
            <w:r w:rsidRPr="00A33749">
              <w:rPr>
                <w:rFonts w:ascii="Arial Narrow" w:eastAsia="Arial Narrow" w:hAnsi="Arial Narrow" w:cs="Arial Narrow"/>
                <w:color w:val="333333"/>
                <w:sz w:val="20"/>
                <w:szCs w:val="20"/>
              </w:rPr>
              <w:t>No increase in the maximum quantity or number of units may be authorised.</w:t>
            </w:r>
          </w:p>
        </w:tc>
      </w:tr>
      <w:tr w:rsidR="009B5B96" w:rsidRPr="00A33749" w14:paraId="1D34D6D4" w14:textId="77777777" w:rsidTr="00A07C35">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tcBorders>
          </w:tcPr>
          <w:p w14:paraId="6C192F34" w14:textId="77777777" w:rsidR="009B5B96" w:rsidRPr="00A33749" w:rsidRDefault="009B5B96" w:rsidP="00AF24C9">
            <w:pPr>
              <w:rPr>
                <w:rFonts w:ascii="Arial Narrow" w:hAnsi="Arial Narrow"/>
                <w:i/>
                <w:iCs/>
                <w:sz w:val="20"/>
                <w:szCs w:val="20"/>
              </w:rPr>
            </w:pPr>
            <w:r w:rsidRPr="00A33749">
              <w:rPr>
                <w:rFonts w:ascii="Arial Narrow" w:hAnsi="Arial Narrow"/>
                <w:b/>
                <w:bCs/>
                <w:sz w:val="20"/>
                <w:szCs w:val="20"/>
              </w:rPr>
              <w:t xml:space="preserve">Administrative Advice: </w:t>
            </w:r>
            <w:r w:rsidRPr="00A33749">
              <w:rPr>
                <w:rFonts w:ascii="Arial Narrow" w:hAnsi="Arial Narrow"/>
                <w:bCs/>
                <w:sz w:val="20"/>
                <w:szCs w:val="20"/>
              </w:rPr>
              <w:t>No increase in the maximum number of repeats may be authorised.</w:t>
            </w:r>
          </w:p>
        </w:tc>
      </w:tr>
      <w:tr w:rsidR="009B5B96" w:rsidRPr="00A33749" w14:paraId="50804DE7" w14:textId="77777777" w:rsidTr="00E23D9B">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tcBorders>
          </w:tcPr>
          <w:p w14:paraId="0022C230" w14:textId="77777777" w:rsidR="009B5B96" w:rsidRPr="00A33749" w:rsidRDefault="009B5B96" w:rsidP="00AF24C9">
            <w:pPr>
              <w:rPr>
                <w:rFonts w:ascii="Arial Narrow" w:hAnsi="Arial Narrow"/>
                <w:b/>
                <w:bCs/>
                <w:i/>
                <w:iCs/>
                <w:sz w:val="20"/>
                <w:szCs w:val="20"/>
              </w:rPr>
            </w:pPr>
            <w:r w:rsidRPr="00A33749">
              <w:rPr>
                <w:rFonts w:ascii="Arial Narrow" w:hAnsi="Arial Narrow"/>
                <w:b/>
                <w:bCs/>
                <w:sz w:val="20"/>
                <w:szCs w:val="20"/>
              </w:rPr>
              <w:t xml:space="preserve">Administrative Advice: </w:t>
            </w:r>
            <w:r w:rsidRPr="00A33749">
              <w:rPr>
                <w:rFonts w:ascii="Arial Narrow" w:hAnsi="Arial Narrow"/>
                <w:bCs/>
                <w:sz w:val="20"/>
                <w:szCs w:val="20"/>
              </w:rPr>
              <w:t>Special Pricing Arrangements apply.</w:t>
            </w:r>
          </w:p>
        </w:tc>
      </w:tr>
      <w:tr w:rsidR="009B5B96" w:rsidRPr="00A33749" w14:paraId="15C2640F" w14:textId="77777777" w:rsidTr="005B769C">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tcBorders>
          </w:tcPr>
          <w:p w14:paraId="7B30AF4F" w14:textId="77777777" w:rsidR="009B5B96" w:rsidRPr="00A33749" w:rsidRDefault="009B5B96" w:rsidP="00AF24C9">
            <w:pPr>
              <w:rPr>
                <w:rFonts w:ascii="Arial Narrow" w:hAnsi="Arial Narrow"/>
                <w:b/>
                <w:bCs/>
                <w:sz w:val="20"/>
                <w:szCs w:val="20"/>
              </w:rPr>
            </w:pPr>
            <w:r w:rsidRPr="00A33749">
              <w:rPr>
                <w:rFonts w:ascii="Arial Narrow" w:hAnsi="Arial Narrow"/>
                <w:b/>
                <w:bCs/>
                <w:sz w:val="20"/>
                <w:szCs w:val="20"/>
              </w:rPr>
              <w:t>Administrative Advice:</w:t>
            </w:r>
            <w:r w:rsidRPr="00A33749">
              <w:rPr>
                <w:rFonts w:ascii="Arial Narrow" w:hAnsi="Arial Narrow" w:cs="Calibri"/>
                <w:i/>
                <w:iCs/>
                <w:color w:val="333333"/>
                <w:sz w:val="20"/>
                <w:szCs w:val="20"/>
              </w:rPr>
              <w:t xml:space="preserve"> A patient may only qualify for PBS-subsidised treatment under this restriction once in a lifetime.</w:t>
            </w:r>
          </w:p>
        </w:tc>
      </w:tr>
      <w:tr w:rsidR="009B5B96" w:rsidRPr="00A33749" w14:paraId="30621661" w14:textId="77777777" w:rsidTr="005C676C">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bottom w:val="single" w:sz="4" w:space="0" w:color="auto"/>
            </w:tcBorders>
          </w:tcPr>
          <w:p w14:paraId="735366B5" w14:textId="77777777" w:rsidR="009B5B96" w:rsidRPr="00A33749" w:rsidRDefault="009B5B96" w:rsidP="00AF24C9">
            <w:pPr>
              <w:rPr>
                <w:i/>
                <w:iCs/>
                <w:sz w:val="20"/>
                <w:szCs w:val="20"/>
              </w:rPr>
            </w:pPr>
            <w:r w:rsidRPr="00A33749">
              <w:rPr>
                <w:rFonts w:ascii="Arial Narrow" w:hAnsi="Arial Narrow"/>
                <w:b/>
                <w:bCs/>
                <w:i/>
                <w:iCs/>
                <w:sz w:val="20"/>
                <w:szCs w:val="20"/>
              </w:rPr>
              <w:t>Administrative Advice:</w:t>
            </w:r>
            <w:r w:rsidRPr="00A33749">
              <w:rPr>
                <w:i/>
                <w:iCs/>
                <w:sz w:val="20"/>
                <w:szCs w:val="20"/>
              </w:rPr>
              <w:t xml:space="preserve"> </w:t>
            </w:r>
          </w:p>
          <w:p w14:paraId="61981886" w14:textId="77777777" w:rsidR="009B5B96" w:rsidRPr="00A33749" w:rsidRDefault="009B5B96" w:rsidP="00AF24C9">
            <w:pPr>
              <w:pStyle w:val="paragraph"/>
              <w:spacing w:before="0" w:beforeAutospacing="0" w:after="0" w:afterAutospacing="0"/>
              <w:textAlignment w:val="baseline"/>
              <w:rPr>
                <w:rStyle w:val="normaltextrun"/>
                <w:rFonts w:ascii="Arial Narrow" w:hAnsi="Arial Narrow" w:cs="Segoe UI"/>
                <w:i/>
                <w:iCs/>
                <w:sz w:val="20"/>
                <w:szCs w:val="20"/>
              </w:rPr>
            </w:pPr>
            <w:r w:rsidRPr="00A33749">
              <w:rPr>
                <w:rStyle w:val="normaltextrun"/>
                <w:rFonts w:ascii="Arial Narrow" w:hAnsi="Arial Narrow" w:cs="Segoe UI"/>
                <w:i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p w14:paraId="22F1C6BD" w14:textId="77777777" w:rsidR="009B5B96" w:rsidRPr="00A33749" w:rsidRDefault="009B5B96" w:rsidP="00AF24C9">
            <w:pPr>
              <w:rPr>
                <w:rFonts w:ascii="Arial Narrow" w:hAnsi="Arial Narrow"/>
                <w:b/>
                <w:bCs/>
                <w:sz w:val="20"/>
                <w:szCs w:val="20"/>
              </w:rPr>
            </w:pPr>
          </w:p>
        </w:tc>
      </w:tr>
      <w:tr w:rsidR="009B5B96" w:rsidRPr="00A33749" w14:paraId="0EE684F4" w14:textId="77777777" w:rsidTr="0098743F">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54CB1B63" w14:textId="77777777" w:rsidR="009B5B96" w:rsidRPr="00A33749" w:rsidRDefault="009B5B96" w:rsidP="00AF24C9">
            <w:pPr>
              <w:rPr>
                <w:rFonts w:ascii="Arial Narrow" w:eastAsia="Arial Narrow" w:hAnsi="Arial Narrow" w:cs="Arial Narrow"/>
                <w:b/>
                <w:bCs/>
                <w:color w:val="333333"/>
                <w:sz w:val="20"/>
                <w:szCs w:val="20"/>
              </w:rPr>
            </w:pPr>
          </w:p>
        </w:tc>
      </w:tr>
      <w:tr w:rsidR="009B5B96" w:rsidRPr="00A33749" w14:paraId="6DFA563F" w14:textId="77777777" w:rsidTr="006F04C7">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28AC1DA7" w14:textId="77777777" w:rsidR="009B5B96" w:rsidRPr="00A33749" w:rsidRDefault="009B5B96" w:rsidP="00AF24C9">
            <w:pPr>
              <w:rPr>
                <w:rFonts w:ascii="Arial Narrow" w:hAnsi="Arial Narrow"/>
                <w:sz w:val="20"/>
                <w:szCs w:val="20"/>
              </w:rPr>
            </w:pPr>
            <w:r w:rsidRPr="00A33749">
              <w:rPr>
                <w:rFonts w:ascii="Arial Narrow" w:eastAsia="Arial Narrow" w:hAnsi="Arial Narrow" w:cs="Arial Narrow"/>
                <w:b/>
                <w:bCs/>
                <w:color w:val="333333"/>
                <w:sz w:val="20"/>
                <w:szCs w:val="20"/>
              </w:rPr>
              <w:t>Indication:</w:t>
            </w:r>
            <w:r w:rsidRPr="00A33749">
              <w:rPr>
                <w:rFonts w:ascii="Arial Narrow" w:eastAsia="Arial Narrow" w:hAnsi="Arial Narrow" w:cs="Arial Narrow"/>
                <w:color w:val="333333"/>
                <w:sz w:val="20"/>
                <w:szCs w:val="20"/>
              </w:rPr>
              <w:t xml:space="preserve"> Chronic lymphocytic leukaemia (CLL) or small lymphocytic lymphoma (SLL)</w:t>
            </w:r>
          </w:p>
        </w:tc>
      </w:tr>
      <w:tr w:rsidR="009B5B96" w:rsidRPr="00A33749" w14:paraId="5D0B36E6" w14:textId="77777777" w:rsidTr="0053151A">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1CA4101F" w14:textId="77777777" w:rsidR="009B5B96" w:rsidRPr="00A33749" w:rsidRDefault="009B5B96" w:rsidP="00AF24C9">
            <w:pPr>
              <w:rPr>
                <w:rFonts w:ascii="Arial Narrow" w:hAnsi="Arial Narrow"/>
                <w:sz w:val="20"/>
                <w:szCs w:val="20"/>
              </w:rPr>
            </w:pPr>
            <w:r w:rsidRPr="00A33749">
              <w:rPr>
                <w:rFonts w:ascii="Arial Narrow" w:eastAsia="Arial Narrow" w:hAnsi="Arial Narrow" w:cs="Arial Narrow"/>
                <w:b/>
                <w:bCs/>
                <w:color w:val="333333"/>
                <w:sz w:val="20"/>
                <w:szCs w:val="20"/>
              </w:rPr>
              <w:t>Treatment Phase:</w:t>
            </w:r>
            <w:r w:rsidRPr="00A33749">
              <w:rPr>
                <w:rFonts w:ascii="Arial Narrow" w:eastAsia="Arial Narrow" w:hAnsi="Arial Narrow" w:cs="Arial Narrow"/>
                <w:color w:val="333333"/>
                <w:sz w:val="20"/>
                <w:szCs w:val="20"/>
              </w:rPr>
              <w:t xml:space="preserve"> Second and final continuing treatment (treatment cycles 10 to 15 inclusive) of first-line therapy</w:t>
            </w:r>
          </w:p>
        </w:tc>
      </w:tr>
      <w:tr w:rsidR="009B5B96" w:rsidRPr="00A33749" w14:paraId="3E56E59D" w14:textId="77777777" w:rsidTr="00E316BC">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20AA3F9B" w14:textId="77777777" w:rsidR="009B5B96" w:rsidRPr="00A33749" w:rsidRDefault="009B5B96" w:rsidP="00AF24C9">
            <w:pPr>
              <w:rPr>
                <w:rFonts w:ascii="Arial Narrow" w:eastAsia="Arial Narrow" w:hAnsi="Arial Narrow" w:cs="Arial Narrow"/>
                <w:b/>
                <w:bCs/>
                <w:color w:val="333333"/>
                <w:sz w:val="20"/>
                <w:szCs w:val="20"/>
              </w:rPr>
            </w:pPr>
          </w:p>
        </w:tc>
      </w:tr>
      <w:tr w:rsidR="009311FD" w:rsidRPr="00A33749" w14:paraId="77866FE4" w14:textId="77777777" w:rsidTr="002F4B8D">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5390DD4B" w14:textId="77777777" w:rsidR="009311FD" w:rsidRPr="00A33749" w:rsidRDefault="009311FD" w:rsidP="00AF24C9">
            <w:pPr>
              <w:rPr>
                <w:rFonts w:ascii="Arial Narrow" w:hAnsi="Arial Narrow"/>
                <w:sz w:val="20"/>
                <w:szCs w:val="20"/>
              </w:rPr>
            </w:pPr>
            <w:r w:rsidRPr="00A33749">
              <w:rPr>
                <w:rFonts w:ascii="Arial Narrow" w:eastAsia="Arial Narrow" w:hAnsi="Arial Narrow" w:cs="Arial Narrow"/>
                <w:b/>
                <w:bCs/>
                <w:color w:val="333333"/>
                <w:sz w:val="20"/>
                <w:szCs w:val="20"/>
              </w:rPr>
              <w:t>Clinical criteria:</w:t>
            </w:r>
          </w:p>
        </w:tc>
      </w:tr>
      <w:tr w:rsidR="009311FD" w:rsidRPr="00A33749" w14:paraId="18E946C3" w14:textId="77777777" w:rsidTr="00DC5DFF">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65B98326" w14:textId="77777777" w:rsidR="009311FD" w:rsidRPr="00A33749" w:rsidRDefault="009311FD" w:rsidP="00AF24C9">
            <w:pPr>
              <w:rPr>
                <w:rFonts w:ascii="Arial Narrow" w:hAnsi="Arial Narrow"/>
                <w:bCs/>
                <w:i/>
                <w:iCs/>
                <w:sz w:val="20"/>
                <w:szCs w:val="20"/>
              </w:rPr>
            </w:pPr>
            <w:r w:rsidRPr="00A33749">
              <w:rPr>
                <w:rFonts w:ascii="Arial Narrow" w:eastAsia="Arial Narrow" w:hAnsi="Arial Narrow" w:cs="Arial Narrow"/>
                <w:color w:val="333333"/>
                <w:sz w:val="20"/>
                <w:szCs w:val="20"/>
              </w:rPr>
              <w:t>Patient must have previously received PBS-subsidised treatment with this drug for this condition</w:t>
            </w:r>
          </w:p>
        </w:tc>
      </w:tr>
      <w:tr w:rsidR="009311FD" w:rsidRPr="00A33749" w14:paraId="7579D28E" w14:textId="77777777" w:rsidTr="00214F8C">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3622F0BA" w14:textId="77777777" w:rsidR="009311FD" w:rsidRPr="00A33749" w:rsidRDefault="009311FD" w:rsidP="00AF24C9">
            <w:pPr>
              <w:rPr>
                <w:rFonts w:ascii="Arial Narrow" w:hAnsi="Arial Narrow"/>
                <w:sz w:val="20"/>
                <w:szCs w:val="20"/>
              </w:rPr>
            </w:pPr>
            <w:r w:rsidRPr="00A33749">
              <w:rPr>
                <w:rFonts w:ascii="Arial Narrow" w:eastAsia="Arial Narrow" w:hAnsi="Arial Narrow" w:cs="Arial Narrow"/>
                <w:b/>
                <w:bCs/>
                <w:color w:val="333333"/>
                <w:sz w:val="20"/>
                <w:szCs w:val="20"/>
              </w:rPr>
              <w:t>AND</w:t>
            </w:r>
          </w:p>
        </w:tc>
      </w:tr>
      <w:tr w:rsidR="009311FD" w:rsidRPr="00A33749" w14:paraId="3F8B24AE" w14:textId="77777777" w:rsidTr="00C4764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64522CBC" w14:textId="77777777" w:rsidR="009311FD" w:rsidRPr="00A33749" w:rsidRDefault="009311FD" w:rsidP="00AF24C9">
            <w:pPr>
              <w:rPr>
                <w:rFonts w:ascii="Arial Narrow" w:hAnsi="Arial Narrow"/>
                <w:sz w:val="20"/>
                <w:szCs w:val="20"/>
              </w:rPr>
            </w:pPr>
            <w:r w:rsidRPr="00A33749">
              <w:rPr>
                <w:rFonts w:ascii="Arial Narrow" w:eastAsia="Arial Narrow" w:hAnsi="Arial Narrow" w:cs="Arial Narrow"/>
                <w:b/>
                <w:bCs/>
                <w:color w:val="333333"/>
                <w:sz w:val="20"/>
                <w:szCs w:val="20"/>
              </w:rPr>
              <w:t>Clinical criteria:</w:t>
            </w:r>
          </w:p>
        </w:tc>
      </w:tr>
      <w:tr w:rsidR="009311FD" w:rsidRPr="00A33749" w14:paraId="04D50BC3" w14:textId="77777777" w:rsidTr="00DC71A6">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3676C0F3" w14:textId="77777777" w:rsidR="009311FD" w:rsidRPr="00A33749" w:rsidRDefault="009311FD" w:rsidP="00AF24C9">
            <w:pPr>
              <w:rPr>
                <w:rFonts w:ascii="Arial Narrow" w:hAnsi="Arial Narrow"/>
                <w:i/>
                <w:iCs/>
                <w:sz w:val="20"/>
                <w:szCs w:val="20"/>
              </w:rPr>
            </w:pPr>
            <w:r w:rsidRPr="00A33749">
              <w:rPr>
                <w:rFonts w:ascii="Arial Narrow" w:eastAsia="Arial Narrow" w:hAnsi="Arial Narrow" w:cs="Arial Narrow"/>
                <w:color w:val="333333"/>
                <w:sz w:val="20"/>
                <w:szCs w:val="20"/>
              </w:rPr>
              <w:t>The treatment must be in combination with venetoclax (refer to Product Information for timing of ibrutinib and venetoclax doses)</w:t>
            </w:r>
          </w:p>
        </w:tc>
      </w:tr>
      <w:tr w:rsidR="009311FD" w:rsidRPr="00A33749" w14:paraId="76AFB4F1" w14:textId="77777777" w:rsidTr="00BA14C3">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7D8F1F46" w14:textId="77777777" w:rsidR="009311FD" w:rsidRPr="00A33749" w:rsidRDefault="009311FD" w:rsidP="00AF24C9">
            <w:pPr>
              <w:rPr>
                <w:rFonts w:ascii="Arial Narrow" w:hAnsi="Arial Narrow"/>
                <w:strike/>
                <w:sz w:val="20"/>
                <w:szCs w:val="20"/>
              </w:rPr>
            </w:pPr>
            <w:r w:rsidRPr="00A33749">
              <w:rPr>
                <w:rFonts w:ascii="Arial Narrow" w:eastAsia="Arial Narrow" w:hAnsi="Arial Narrow" w:cs="Arial Narrow"/>
                <w:b/>
                <w:bCs/>
                <w:color w:val="333333"/>
                <w:sz w:val="20"/>
                <w:szCs w:val="20"/>
              </w:rPr>
              <w:t>AND</w:t>
            </w:r>
          </w:p>
        </w:tc>
      </w:tr>
      <w:tr w:rsidR="009311FD" w:rsidRPr="00A33749" w14:paraId="3F68F8E5" w14:textId="77777777" w:rsidTr="0078521F">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7702BF11" w14:textId="77777777" w:rsidR="009311FD" w:rsidRPr="00A33749" w:rsidRDefault="009311FD" w:rsidP="00AF24C9">
            <w:pPr>
              <w:rPr>
                <w:rFonts w:ascii="Arial Narrow" w:hAnsi="Arial Narrow"/>
                <w:strike/>
                <w:sz w:val="20"/>
                <w:szCs w:val="20"/>
              </w:rPr>
            </w:pPr>
            <w:r w:rsidRPr="00A33749">
              <w:rPr>
                <w:rFonts w:ascii="Arial Narrow" w:eastAsia="Arial Narrow" w:hAnsi="Arial Narrow" w:cs="Arial Narrow"/>
                <w:b/>
                <w:bCs/>
                <w:color w:val="333333"/>
                <w:sz w:val="20"/>
                <w:szCs w:val="20"/>
              </w:rPr>
              <w:t>Clinical criteria:</w:t>
            </w:r>
          </w:p>
        </w:tc>
      </w:tr>
      <w:tr w:rsidR="009311FD" w:rsidRPr="00A33749" w14:paraId="66994E06" w14:textId="77777777" w:rsidTr="007B415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4B4664E4" w14:textId="77777777" w:rsidR="009311FD" w:rsidRPr="00A33749" w:rsidRDefault="009311FD" w:rsidP="00AF24C9">
            <w:pPr>
              <w:rPr>
                <w:rFonts w:ascii="Arial Narrow" w:hAnsi="Arial Narrow"/>
                <w:strike/>
                <w:sz w:val="20"/>
                <w:szCs w:val="20"/>
              </w:rPr>
            </w:pPr>
            <w:r w:rsidRPr="00A33749">
              <w:rPr>
                <w:rFonts w:ascii="Arial Narrow" w:eastAsia="Arial Narrow" w:hAnsi="Arial Narrow" w:cs="Arial Narrow"/>
                <w:color w:val="333333"/>
                <w:sz w:val="20"/>
                <w:szCs w:val="20"/>
              </w:rPr>
              <w:t>The treatment must cease upon disease progression</w:t>
            </w:r>
            <w:r w:rsidRPr="00A33749">
              <w:rPr>
                <w:rFonts w:ascii="Arial Narrow" w:eastAsia="Arial Narrow" w:hAnsi="Arial Narrow" w:cs="Arial Narrow"/>
                <w:strike/>
                <w:color w:val="333333"/>
                <w:sz w:val="20"/>
                <w:szCs w:val="20"/>
              </w:rPr>
              <w:t>; OR.</w:t>
            </w:r>
          </w:p>
        </w:tc>
      </w:tr>
      <w:tr w:rsidR="009311FD" w:rsidRPr="00A33749" w14:paraId="690E1225" w14:textId="77777777" w:rsidTr="00CD5E0D">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6E37ADA9" w14:textId="77777777" w:rsidR="009311FD" w:rsidRPr="00A33749" w:rsidRDefault="009311FD" w:rsidP="00AF24C9">
            <w:pPr>
              <w:rPr>
                <w:rFonts w:ascii="Arial Narrow" w:eastAsia="Arial Narrow" w:hAnsi="Arial Narrow" w:cs="Arial Narrow"/>
                <w:strike/>
                <w:color w:val="333333"/>
                <w:sz w:val="20"/>
                <w:szCs w:val="20"/>
              </w:rPr>
            </w:pPr>
            <w:r w:rsidRPr="00A33749">
              <w:rPr>
                <w:rFonts w:ascii="Arial Narrow" w:eastAsia="Arial Narrow" w:hAnsi="Arial Narrow" w:cs="Arial Narrow"/>
                <w:strike/>
                <w:color w:val="333333"/>
                <w:sz w:val="20"/>
                <w:szCs w:val="20"/>
              </w:rPr>
              <w:t>The treatment must cease upon completion of 15x28 day cycles of PBS-subsidised treatment with this drug for this condition, whichever comes first.</w:t>
            </w:r>
          </w:p>
        </w:tc>
      </w:tr>
      <w:tr w:rsidR="009311FD" w:rsidRPr="00447F0D" w14:paraId="3347EDD6" w14:textId="77777777" w:rsidTr="001031B7">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7CF74256" w14:textId="77777777" w:rsidR="009311FD" w:rsidRPr="00A33749" w:rsidRDefault="009311FD" w:rsidP="00AF24C9">
            <w:pPr>
              <w:rPr>
                <w:rFonts w:ascii="Arial Narrow" w:eastAsia="Arial Narrow" w:hAnsi="Arial Narrow" w:cs="Arial Narrow"/>
                <w:b/>
                <w:bCs/>
                <w:i/>
                <w:iCs/>
                <w:color w:val="333333"/>
                <w:sz w:val="20"/>
                <w:szCs w:val="20"/>
              </w:rPr>
            </w:pPr>
            <w:r w:rsidRPr="00A33749">
              <w:rPr>
                <w:rFonts w:ascii="Arial Narrow" w:eastAsia="Arial Narrow" w:hAnsi="Arial Narrow" w:cs="Arial Narrow"/>
                <w:b/>
                <w:bCs/>
                <w:i/>
                <w:iCs/>
                <w:color w:val="333333"/>
                <w:sz w:val="20"/>
                <w:szCs w:val="20"/>
              </w:rPr>
              <w:t>Prescriber Instruction:</w:t>
            </w:r>
          </w:p>
          <w:p w14:paraId="34B8DECB" w14:textId="77777777" w:rsidR="009311FD" w:rsidRPr="00A33749" w:rsidRDefault="009311FD" w:rsidP="00AF24C9">
            <w:pPr>
              <w:rPr>
                <w:rFonts w:ascii="Arial Narrow" w:eastAsia="Arial Narrow" w:hAnsi="Arial Narrow" w:cs="Arial Narrow"/>
                <w:strike/>
                <w:color w:val="333333"/>
                <w:sz w:val="20"/>
                <w:szCs w:val="20"/>
              </w:rPr>
            </w:pPr>
            <w:r w:rsidRPr="00A33749">
              <w:rPr>
                <w:rFonts w:ascii="Arial Narrow" w:eastAsia="Arial Narrow" w:hAnsi="Arial Narrow" w:cs="Arial Narrow"/>
                <w:i/>
                <w:iCs/>
                <w:color w:val="333333"/>
                <w:sz w:val="20"/>
                <w:szCs w:val="20"/>
              </w:rPr>
              <w:lastRenderedPageBreak/>
              <w:t>There are more ibrutinib capsules in a pack than is required for the completion of a treatment cycle. The patient must not discard any remaining capsules after the completion of any treatment cycle as these capsules will be required for the doses in the final treatment cycle (i.e. treatment cycle 15).</w:t>
            </w:r>
          </w:p>
        </w:tc>
      </w:tr>
    </w:tbl>
    <w:bookmarkEnd w:id="14"/>
    <w:p w14:paraId="54F84C20" w14:textId="14301A55" w:rsidR="00A7697F" w:rsidRPr="005A1FF2" w:rsidRDefault="00C52D99" w:rsidP="00E372BC">
      <w:pPr>
        <w:pStyle w:val="COMexecsumnumberedpara"/>
      </w:pPr>
      <w:r w:rsidRPr="00120BCB">
        <w:rPr>
          <w:rFonts w:cstheme="minorHAnsi"/>
          <w:color w:val="000000"/>
          <w:w w:val="63"/>
          <w:shd w:val="solid" w:color="000000" w:fill="000000"/>
          <w:fitText w:val="630" w:id="-1280060159"/>
          <w14:textFill>
            <w14:solidFill>
              <w14:srgbClr w14:val="000000">
                <w14:alpha w14:val="100000"/>
              </w14:srgbClr>
            </w14:solidFill>
          </w14:textFill>
        </w:rPr>
        <w:lastRenderedPageBreak/>
        <w:t>||||  ||||</w:t>
      </w:r>
      <w:r w:rsidR="00A7697F" w:rsidRPr="00ED0F04">
        <w:t xml:space="preserve">The </w:t>
      </w:r>
      <w:r w:rsidR="003C1176" w:rsidRPr="00ED0F04">
        <w:t>requested</w:t>
      </w:r>
      <w:r w:rsidR="00A7697F" w:rsidRPr="00ED0F04">
        <w:t xml:space="preserve"> effective </w:t>
      </w:r>
      <w:r w:rsidR="003C1176" w:rsidRPr="00ED0F04">
        <w:t>ex-manufacturer price</w:t>
      </w:r>
      <w:r w:rsidR="00A7697F" w:rsidRPr="00ED0F04">
        <w:t xml:space="preserve"> of </w:t>
      </w:r>
      <w:r w:rsidR="003C1176" w:rsidRPr="00ED0F04">
        <w:t xml:space="preserve">ibrutinib is </w:t>
      </w:r>
      <w:r w:rsidR="00A7697F" w:rsidRPr="00ED0F04">
        <w:t>$</w:t>
      </w:r>
      <w:r w:rsidRPr="00120BCB">
        <w:rPr>
          <w:color w:val="000000"/>
          <w:w w:val="63"/>
          <w:shd w:val="solid" w:color="000000" w:fill="000000"/>
          <w:fitText w:val="630" w:id="-1280060158"/>
          <w14:textFill>
            <w14:solidFill>
              <w14:srgbClr w14:val="000000">
                <w14:alpha w14:val="100000"/>
              </w14:srgbClr>
            </w14:solidFill>
          </w14:textFill>
        </w:rPr>
        <w:t>||||  ||||</w:t>
      </w:r>
      <w:r w:rsidR="00074A72">
        <w:t>, which was</w:t>
      </w:r>
      <w:r w:rsidR="00410125">
        <w:t xml:space="preserve"> </w:t>
      </w:r>
      <w:r w:rsidR="003C1176" w:rsidRPr="001434A1">
        <w:rPr>
          <w:iCs/>
        </w:rPr>
        <w:t xml:space="preserve">consistent with the </w:t>
      </w:r>
      <w:r w:rsidR="006A6782" w:rsidRPr="001434A1">
        <w:rPr>
          <w:iCs/>
        </w:rPr>
        <w:t xml:space="preserve">existing </w:t>
      </w:r>
      <w:r w:rsidR="003C1176" w:rsidRPr="001434A1">
        <w:rPr>
          <w:iCs/>
        </w:rPr>
        <w:t>effective price of ibrutinib in the relapsed/refractory (R/R) CLL/SLL setting.</w:t>
      </w:r>
      <w:r w:rsidR="003C1176" w:rsidRPr="00425A9A">
        <w:t xml:space="preserve"> </w:t>
      </w:r>
      <w:r w:rsidR="00074A72">
        <w:t xml:space="preserve">The pre-PBAC response applied a </w:t>
      </w:r>
      <w:r w:rsidR="00074A72" w:rsidRPr="00074A72">
        <w:t xml:space="preserve">5% reduction due to the 5-year statutory price reduction that </w:t>
      </w:r>
      <w:r w:rsidR="00074A72">
        <w:t>it stated would</w:t>
      </w:r>
      <w:r w:rsidR="00074A72" w:rsidRPr="00074A72">
        <w:t xml:space="preserve"> be applied from 1 April 2023</w:t>
      </w:r>
      <w:r w:rsidR="00074A72">
        <w:t>.</w:t>
      </w:r>
    </w:p>
    <w:p w14:paraId="0786DF55" w14:textId="4299CD1B" w:rsidR="00BF4A8E" w:rsidRPr="005A1FF2" w:rsidRDefault="00BF4A8E" w:rsidP="00E255C7">
      <w:pPr>
        <w:pStyle w:val="COMexecsumnumberedpara"/>
      </w:pPr>
      <w:r w:rsidRPr="005A1FF2">
        <w:t>The sponsor of the submission is not the sponsor of venetoclax, however</w:t>
      </w:r>
      <w:r w:rsidR="007D5A41">
        <w:t>,</w:t>
      </w:r>
      <w:r w:rsidRPr="005A1FF2">
        <w:t xml:space="preserve"> the submission proposed the essential elements for venetoclax in combination with ibrutinib</w:t>
      </w:r>
      <w:r w:rsidR="0088006A">
        <w:t xml:space="preserve"> along with new initial and continuing restrictions.</w:t>
      </w:r>
      <w:r w:rsidRPr="005A1FF2">
        <w:t xml:space="preserve"> </w:t>
      </w:r>
    </w:p>
    <w:p w14:paraId="472AA782" w14:textId="2CA05630" w:rsidR="00A06120" w:rsidRPr="005F6175" w:rsidRDefault="00A06120" w:rsidP="00E255C7">
      <w:pPr>
        <w:pStyle w:val="COMexecsumnumberedpara"/>
      </w:pPr>
      <w:r w:rsidRPr="005F6175">
        <w:t>The proposed restriction is consistent with, although narrower than, the proposed TGA indication for ibrutinib (previously untreated CLL/SLL).</w:t>
      </w:r>
    </w:p>
    <w:p w14:paraId="1CA64B1E" w14:textId="4E5D36D6" w:rsidR="00EA0D7F" w:rsidRPr="003967D3" w:rsidRDefault="00EA0D7F" w:rsidP="00E255C7">
      <w:pPr>
        <w:pStyle w:val="COMexecsumnumberedpara"/>
        <w:rPr>
          <w:iCs/>
        </w:rPr>
      </w:pPr>
      <w:r w:rsidRPr="003967D3">
        <w:rPr>
          <w:iCs/>
        </w:rPr>
        <w:t xml:space="preserve">The proposed restriction for initial treatment used an ‘and’ operator to combine clinical criteria defining fitness (cumulative illness rating scale (CIRS) score ≤6, creatinine clearance </w:t>
      </w:r>
      <w:bookmarkStart w:id="15" w:name="_Hlk115956072"/>
      <w:r w:rsidRPr="003967D3">
        <w:rPr>
          <w:iCs/>
        </w:rPr>
        <w:t>≥</w:t>
      </w:r>
      <w:bookmarkEnd w:id="15"/>
      <w:r w:rsidRPr="003967D3">
        <w:rPr>
          <w:iCs/>
        </w:rPr>
        <w:t>70 mL/min, and WHO performance status 0-1), whereas the venetoclax + obinutuzumab restriction uses the ‘OR’ operator (CIRS score &gt;6</w:t>
      </w:r>
      <w:r w:rsidR="006F3DFB">
        <w:rPr>
          <w:iCs/>
        </w:rPr>
        <w:t xml:space="preserve"> OR</w:t>
      </w:r>
      <w:r w:rsidRPr="003967D3">
        <w:rPr>
          <w:iCs/>
        </w:rPr>
        <w:t xml:space="preserve"> creatinine clearance &lt;70 mL/min). </w:t>
      </w:r>
      <w:r w:rsidR="0019790E" w:rsidRPr="0070616C">
        <w:rPr>
          <w:iCs/>
        </w:rPr>
        <w:t xml:space="preserve">The </w:t>
      </w:r>
      <w:r w:rsidR="009D45AC" w:rsidRPr="0070616C">
        <w:rPr>
          <w:iCs/>
        </w:rPr>
        <w:t xml:space="preserve">evaluation considered that requiring three criteria to be satisfied may preclude use in some patients who would benefit from accessing treatment. </w:t>
      </w:r>
    </w:p>
    <w:p w14:paraId="1E3D098E" w14:textId="77777777" w:rsidR="00233806" w:rsidRDefault="007B1AF3" w:rsidP="00E255C7">
      <w:pPr>
        <w:pStyle w:val="COMexecsumnumberedpara"/>
        <w:rPr>
          <w:iCs/>
        </w:rPr>
      </w:pPr>
      <w:r w:rsidRPr="003967D3">
        <w:rPr>
          <w:iCs/>
        </w:rPr>
        <w:t xml:space="preserve">Patients with certain comorbidities were excluded from the CAPTIVATE </w:t>
      </w:r>
      <w:r w:rsidR="00D14EDF" w:rsidRPr="003967D3">
        <w:rPr>
          <w:iCs/>
        </w:rPr>
        <w:t xml:space="preserve">study </w:t>
      </w:r>
      <w:r w:rsidRPr="003967D3">
        <w:rPr>
          <w:iCs/>
        </w:rPr>
        <w:t>(most cancers, infection, cardiovascular disease, or stroke), however</w:t>
      </w:r>
      <w:r w:rsidR="00255F40" w:rsidRPr="003967D3">
        <w:rPr>
          <w:iCs/>
        </w:rPr>
        <w:t xml:space="preserve"> in practice</w:t>
      </w:r>
      <w:r w:rsidRPr="003967D3">
        <w:rPr>
          <w:iCs/>
        </w:rPr>
        <w:t xml:space="preserve"> the overlap with the CIRS, which </w:t>
      </w:r>
      <w:r w:rsidR="00932DF1" w:rsidRPr="003967D3">
        <w:rPr>
          <w:iCs/>
        </w:rPr>
        <w:t>considers</w:t>
      </w:r>
      <w:r w:rsidRPr="003967D3">
        <w:rPr>
          <w:iCs/>
        </w:rPr>
        <w:t xml:space="preserve"> a broader range of comorbidities, and the WHO performance status, which is based on ability to perform activities of daily living, may be incomplete.</w:t>
      </w:r>
      <w:r w:rsidR="00255F40" w:rsidRPr="003967D3">
        <w:rPr>
          <w:iCs/>
        </w:rPr>
        <w:t xml:space="preserve"> </w:t>
      </w:r>
      <w:r w:rsidR="003A4323" w:rsidRPr="003967D3">
        <w:rPr>
          <w:iCs/>
        </w:rPr>
        <w:t xml:space="preserve">Patients with </w:t>
      </w:r>
      <w:r w:rsidR="00112656" w:rsidRPr="003967D3">
        <w:rPr>
          <w:iCs/>
        </w:rPr>
        <w:t xml:space="preserve">cardiovascular </w:t>
      </w:r>
      <w:r w:rsidR="003A4323" w:rsidRPr="003967D3">
        <w:rPr>
          <w:iCs/>
        </w:rPr>
        <w:t xml:space="preserve">comorbidities may be eligible </w:t>
      </w:r>
      <w:r w:rsidR="00057AE1" w:rsidRPr="003967D3">
        <w:rPr>
          <w:iCs/>
        </w:rPr>
        <w:t>under the proposed restriction</w:t>
      </w:r>
      <w:r w:rsidR="003A4323" w:rsidRPr="003967D3">
        <w:rPr>
          <w:iCs/>
        </w:rPr>
        <w:t xml:space="preserve">, despite the cardiovascular risk </w:t>
      </w:r>
      <w:r w:rsidR="00057AE1" w:rsidRPr="003967D3">
        <w:rPr>
          <w:iCs/>
        </w:rPr>
        <w:t xml:space="preserve">associated with treatment. </w:t>
      </w:r>
    </w:p>
    <w:p w14:paraId="1F3C5ED0" w14:textId="163128D2" w:rsidR="006A57B2" w:rsidRDefault="006A57B2" w:rsidP="00E255C7">
      <w:pPr>
        <w:pStyle w:val="COMexecsumnumberedpara"/>
        <w:rPr>
          <w:iCs/>
        </w:rPr>
      </w:pPr>
      <w:r w:rsidRPr="003967D3">
        <w:rPr>
          <w:iCs/>
        </w:rPr>
        <w:t>The requested restriction d</w:t>
      </w:r>
      <w:r w:rsidR="00B931AE">
        <w:rPr>
          <w:iCs/>
        </w:rPr>
        <w:t>id</w:t>
      </w:r>
      <w:r w:rsidRPr="003967D3">
        <w:rPr>
          <w:iCs/>
        </w:rPr>
        <w:t xml:space="preserve"> not include a definition of progressive disease, however</w:t>
      </w:r>
      <w:r w:rsidR="00690953">
        <w:rPr>
          <w:iCs/>
        </w:rPr>
        <w:t>,</w:t>
      </w:r>
      <w:r w:rsidRPr="003967D3">
        <w:rPr>
          <w:iCs/>
        </w:rPr>
        <w:t xml:space="preserve"> this is consistent with the current venetoclax + obinutuzumab restriction for previously untreated CLL/SLL.</w:t>
      </w:r>
    </w:p>
    <w:p w14:paraId="6E11F4EC" w14:textId="22DED7EE" w:rsidR="00C94440" w:rsidRDefault="00A41BA2" w:rsidP="002F6EDC">
      <w:pPr>
        <w:pStyle w:val="COMexecsumnumberedpara"/>
      </w:pPr>
      <w:r w:rsidRPr="00C52646">
        <w:t xml:space="preserve">A grandfather restriction was also proposed. The </w:t>
      </w:r>
      <w:r w:rsidR="00990CDE">
        <w:t>submission</w:t>
      </w:r>
      <w:r w:rsidR="00990CDE" w:rsidRPr="00C52646">
        <w:t xml:space="preserve"> </w:t>
      </w:r>
      <w:r w:rsidRPr="00C52646">
        <w:t>anticipate</w:t>
      </w:r>
      <w:r w:rsidR="00990CDE">
        <w:t>d</w:t>
      </w:r>
      <w:r w:rsidRPr="00C52646">
        <w:t xml:space="preserve"> that approximately </w:t>
      </w:r>
      <w:r w:rsidR="008E707B" w:rsidRPr="008E707B">
        <w:t>&lt; 500</w:t>
      </w:r>
      <w:r w:rsidRPr="00C52646">
        <w:t xml:space="preserve"> patients will be grandfathered onto the PBS from a </w:t>
      </w:r>
      <w:r w:rsidR="00C52D99" w:rsidRPr="00120BCB">
        <w:rPr>
          <w:color w:val="000000"/>
          <w:w w:val="15"/>
          <w:shd w:val="solid" w:color="000000" w:fill="000000"/>
          <w:fitText w:val="-20" w:id="-1280060157"/>
          <w14:textFill>
            <w14:solidFill>
              <w14:srgbClr w14:val="000000">
                <w14:alpha w14:val="100000"/>
              </w14:srgbClr>
            </w14:solidFill>
          </w14:textFill>
        </w:rPr>
        <w:t xml:space="preserve">|  </w:t>
      </w:r>
      <w:r w:rsidR="00C52D99" w:rsidRPr="00120BCB">
        <w:rPr>
          <w:color w:val="000000"/>
          <w:spacing w:val="-69"/>
          <w:w w:val="15"/>
          <w:shd w:val="solid" w:color="000000" w:fill="000000"/>
          <w:fitText w:val="-20" w:id="-1280060157"/>
          <w14:textFill>
            <w14:solidFill>
              <w14:srgbClr w14:val="000000">
                <w14:alpha w14:val="100000"/>
              </w14:srgbClr>
            </w14:solidFill>
          </w14:textFill>
        </w:rPr>
        <w:t>|</w:t>
      </w:r>
      <w:r w:rsidRPr="00C52646">
        <w:t>(not yet commenced at the time of submission)</w:t>
      </w:r>
      <w:r w:rsidR="00091E20" w:rsidRPr="00C52646">
        <w:t>.</w:t>
      </w:r>
    </w:p>
    <w:p w14:paraId="41EE0502" w14:textId="0470AADC" w:rsidR="00C94440" w:rsidRPr="007C365A" w:rsidRDefault="001A1870" w:rsidP="006620B8">
      <w:pPr>
        <w:pStyle w:val="COMexecsumnumberedpara"/>
        <w:rPr>
          <w:iCs/>
        </w:rPr>
      </w:pPr>
      <w:r w:rsidRPr="00D6357B">
        <w:t xml:space="preserve">The proposed restriction will have flow-on changes to the current ibrutinib listing for </w:t>
      </w:r>
      <w:r w:rsidR="007F211B">
        <w:t>R/R</w:t>
      </w:r>
      <w:r w:rsidRPr="00D6357B">
        <w:t xml:space="preserve"> CLL/SLL (PBS item code 11213E). The submission requested that the listing of ibrutinib + venetoclax should not preclude patients being PBS eligible to receive </w:t>
      </w:r>
      <w:r w:rsidR="007B19D7">
        <w:t xml:space="preserve">subsequent </w:t>
      </w:r>
      <w:r w:rsidRPr="00D6357B">
        <w:t xml:space="preserve">BTK inhibitors, including ibrutinib, in the </w:t>
      </w:r>
      <w:r w:rsidR="00306B21">
        <w:t>R/R</w:t>
      </w:r>
      <w:r w:rsidRPr="00D6357B">
        <w:t xml:space="preserve"> setting.</w:t>
      </w:r>
      <w:r w:rsidR="0043438F" w:rsidRPr="0043438F">
        <w:t xml:space="preserve"> </w:t>
      </w:r>
      <w:r w:rsidR="0043438F" w:rsidRPr="003967D3">
        <w:rPr>
          <w:iCs/>
        </w:rPr>
        <w:t xml:space="preserve">The submission did not propose any clinical criteria for </w:t>
      </w:r>
      <w:r w:rsidR="006920D5" w:rsidRPr="003967D3">
        <w:rPr>
          <w:iCs/>
        </w:rPr>
        <w:t xml:space="preserve">ibrutinib </w:t>
      </w:r>
      <w:r w:rsidR="006E3888">
        <w:rPr>
          <w:iCs/>
        </w:rPr>
        <w:t>re-treatment</w:t>
      </w:r>
      <w:r w:rsidR="00F069DA" w:rsidRPr="003967D3">
        <w:rPr>
          <w:iCs/>
        </w:rPr>
        <w:t>. This</w:t>
      </w:r>
      <w:r w:rsidR="0043438F" w:rsidRPr="003967D3">
        <w:rPr>
          <w:iCs/>
        </w:rPr>
        <w:t xml:space="preserve"> was inconsistent with the clinical trial</w:t>
      </w:r>
      <w:r w:rsidR="00F069DA" w:rsidRPr="003967D3">
        <w:rPr>
          <w:iCs/>
        </w:rPr>
        <w:t>,</w:t>
      </w:r>
      <w:r w:rsidR="0043438F" w:rsidRPr="003967D3">
        <w:rPr>
          <w:iCs/>
        </w:rPr>
        <w:t xml:space="preserve"> which limited </w:t>
      </w:r>
      <w:r w:rsidR="006E3888">
        <w:rPr>
          <w:iCs/>
        </w:rPr>
        <w:t>re-treatment</w:t>
      </w:r>
      <w:r w:rsidR="0043438F" w:rsidRPr="003967D3">
        <w:rPr>
          <w:iCs/>
        </w:rPr>
        <w:t xml:space="preserve"> to relapsed patients who had previously completed the full course of </w:t>
      </w:r>
      <w:r w:rsidR="00DD5523" w:rsidRPr="003967D3">
        <w:rPr>
          <w:iCs/>
        </w:rPr>
        <w:t xml:space="preserve">ibrutinib + </w:t>
      </w:r>
      <w:r w:rsidR="0043438F" w:rsidRPr="003967D3">
        <w:rPr>
          <w:iCs/>
        </w:rPr>
        <w:t>venetoclax combination therapy.</w:t>
      </w:r>
      <w:r w:rsidR="00046E18">
        <w:rPr>
          <w:iCs/>
        </w:rPr>
        <w:t xml:space="preserve"> </w:t>
      </w:r>
      <w:r w:rsidR="00B1266C" w:rsidRPr="001434A1">
        <w:t xml:space="preserve">Further, the </w:t>
      </w:r>
      <w:r w:rsidR="00AE1B6B">
        <w:t>Pre-Sub-Committee Response (</w:t>
      </w:r>
      <w:r w:rsidR="00B1266C" w:rsidRPr="001434A1">
        <w:t>PSCR</w:t>
      </w:r>
      <w:r w:rsidR="00AE1B6B">
        <w:t>)</w:t>
      </w:r>
      <w:r w:rsidR="00B1266C" w:rsidRPr="001434A1">
        <w:t xml:space="preserve"> stated that the PBAC may wish to consider whether re-treatment with venetoclax should be permitted. </w:t>
      </w:r>
      <w:r w:rsidR="00046E18" w:rsidRPr="001434A1">
        <w:t xml:space="preserve">Refer to </w:t>
      </w:r>
      <w:r w:rsidR="0051352D">
        <w:t>p</w:t>
      </w:r>
      <w:r w:rsidR="00046E18" w:rsidRPr="001434A1">
        <w:t>aragraph</w:t>
      </w:r>
      <w:r w:rsidR="00C44B3A">
        <w:t xml:space="preserve"> </w:t>
      </w:r>
      <w:r w:rsidR="00C44B3A">
        <w:fldChar w:fldCharType="begin" w:fldLock="1"/>
      </w:r>
      <w:r w:rsidR="00C44B3A">
        <w:instrText xml:space="preserve"> REF _Ref124255361 \r \h </w:instrText>
      </w:r>
      <w:r w:rsidR="00C44B3A">
        <w:fldChar w:fldCharType="separate"/>
      </w:r>
      <w:r w:rsidR="00B22386">
        <w:t>4.14</w:t>
      </w:r>
      <w:r w:rsidR="00C44B3A">
        <w:fldChar w:fldCharType="end"/>
      </w:r>
      <w:r w:rsidR="00046E18" w:rsidRPr="001434A1">
        <w:t xml:space="preserve"> for further discussion regarding re-treatment.</w:t>
      </w:r>
    </w:p>
    <w:p w14:paraId="495ACEAC" w14:textId="77777777" w:rsidR="007C365A" w:rsidRPr="007C365A" w:rsidRDefault="007C365A" w:rsidP="007C365A">
      <w:pPr>
        <w:tabs>
          <w:tab w:val="center" w:pos="4153"/>
          <w:tab w:val="right" w:pos="8306"/>
        </w:tabs>
        <w:autoSpaceDE w:val="0"/>
        <w:autoSpaceDN w:val="0"/>
        <w:adjustRightInd w:val="0"/>
        <w:spacing w:after="120"/>
        <w:ind w:firstLine="709"/>
        <w:rPr>
          <w:rFonts w:asciiTheme="minorHAnsi" w:hAnsiTheme="minorHAnsi" w:cstheme="minorHAnsi"/>
          <w:i/>
          <w:iCs/>
        </w:rPr>
      </w:pPr>
      <w:r w:rsidRPr="007C365A">
        <w:rPr>
          <w:rFonts w:asciiTheme="minorHAnsi" w:hAnsiTheme="minorHAnsi" w:cstheme="minorHAnsi"/>
          <w:i/>
          <w:iCs/>
        </w:rPr>
        <w:lastRenderedPageBreak/>
        <w:t>For more detail on PBAC’s view, see section 7 PBAC outc</w:t>
      </w:r>
      <w:r>
        <w:rPr>
          <w:rFonts w:asciiTheme="minorHAnsi" w:hAnsiTheme="minorHAnsi" w:cstheme="minorHAnsi"/>
          <w:i/>
          <w:iCs/>
        </w:rPr>
        <w:t>ome.</w:t>
      </w:r>
    </w:p>
    <w:p w14:paraId="7075B85C" w14:textId="62A47B7B" w:rsidR="00B50DB8" w:rsidRPr="00C52646" w:rsidDel="00195452" w:rsidRDefault="00203181" w:rsidP="005F6175">
      <w:pPr>
        <w:pStyle w:val="COMH1numbered"/>
      </w:pPr>
      <w:bookmarkStart w:id="16" w:name="_Toc113983794"/>
      <w:r w:rsidRPr="00C52646" w:rsidDel="00195452">
        <w:t xml:space="preserve">Population and </w:t>
      </w:r>
      <w:r w:rsidR="008E0D3C" w:rsidRPr="00C52646" w:rsidDel="00195452">
        <w:t>d</w:t>
      </w:r>
      <w:r w:rsidRPr="00C52646" w:rsidDel="00195452">
        <w:t>isease</w:t>
      </w:r>
      <w:bookmarkEnd w:id="16"/>
    </w:p>
    <w:p w14:paraId="21FDD135" w14:textId="7426838D" w:rsidR="00894489" w:rsidRPr="00C52646" w:rsidRDefault="00C623E8" w:rsidP="00E255C7">
      <w:pPr>
        <w:pStyle w:val="COMexecsumnumberedpara"/>
      </w:pPr>
      <w:r w:rsidRPr="00C52646">
        <w:t xml:space="preserve">CLL is characterised by the progressive accumulation of functionally incompetent B-lymphocytes in the blood, bone marrow, lymph nodes, spleen, and liver. Typical symptoms associated with CLL include swollen lymph nodes, pain, anaemia, infections, increased or unexplained bleeding/bruising, excessive nocturnal sweating, and unintentional weight loss. </w:t>
      </w:r>
    </w:p>
    <w:p w14:paraId="49D4903C" w14:textId="06CD0DAC" w:rsidR="00A90EC7" w:rsidRPr="00C52646" w:rsidRDefault="001E0609" w:rsidP="00E255C7">
      <w:pPr>
        <w:pStyle w:val="COMexecsumnumberedpara"/>
      </w:pPr>
      <w:r w:rsidRPr="00C52646">
        <w:t xml:space="preserve">CLL is more common in men than women (65% versus 35%), with a mean age at diagnosis in Australia of 70 years (males 68.8 years, females 71.2 years). The five-year relative survival rate in Australia in 2011-2015 was 82.8% (AIHW, 2019). </w:t>
      </w:r>
      <w:r w:rsidR="002347DB" w:rsidRPr="00C52646">
        <w:rPr>
          <w:rStyle w:val="eop"/>
          <w:rFonts w:ascii="Calibri" w:hAnsi="Calibri" w:cs="Calibri"/>
        </w:rPr>
        <w:t xml:space="preserve">SLL, another type of B-cell malignancy, is recognised as the same pathological entity as CLL, with a different clinical presentation. </w:t>
      </w:r>
      <w:r w:rsidR="00A90EC7" w:rsidRPr="00C52646">
        <w:t>In CLL, abnormal lymphocytes are predominantly found in blood, bone marrow and lymphoid tissue, whereas in SLL, abnormal lymphocytes are predominantly located in lymph nodes, bone marrow and other lymphoid tissue.</w:t>
      </w:r>
      <w:r w:rsidR="001F2842" w:rsidRPr="00C52646">
        <w:t xml:space="preserve"> The prognosis and aetiology of CLL and SLL are similar; therefore, the existing approaches to management, as well as treatment considerations are consistent with one another.</w:t>
      </w:r>
    </w:p>
    <w:p w14:paraId="2E86DE2F" w14:textId="3614754E" w:rsidR="001A4DDA" w:rsidRPr="001434A1" w:rsidRDefault="00A90EC7" w:rsidP="001A4DDA">
      <w:pPr>
        <w:pStyle w:val="COMexecsumnumberedpara"/>
        <w:rPr>
          <w:iCs/>
        </w:rPr>
      </w:pPr>
      <w:r w:rsidRPr="00C52646">
        <w:t>Characteristics associated with a worse prognosis include genetic factors (</w:t>
      </w:r>
      <w:r w:rsidR="004A686D">
        <w:t>del17p</w:t>
      </w:r>
      <w:r w:rsidRPr="00C52646">
        <w:t>/TP53 mutation, 11q deletion, unmutated IGHV), biochemical/cell surface markers (serum thymidine kinase, serum β2 microglobulin), and patient characteristics (male sex, older age, worse ECOG performance score). Del</w:t>
      </w:r>
      <w:r w:rsidR="007F211B">
        <w:t>17p</w:t>
      </w:r>
      <w:r w:rsidRPr="00C52646">
        <w:t xml:space="preserve"> is found in 5-8% of chemotherapy-naïve patients, and is associated with resistance to genotoxic chemotherapies, including conventional chemoimmunotherapy regimens (Hallek, 2015).</w:t>
      </w:r>
      <w:bookmarkStart w:id="17" w:name="_Hlk116566688"/>
      <w:r w:rsidR="001A4DDA">
        <w:t xml:space="preserve"> </w:t>
      </w:r>
    </w:p>
    <w:bookmarkEnd w:id="17"/>
    <w:p w14:paraId="547E50A9" w14:textId="39D45F29" w:rsidR="00A90EC7" w:rsidRPr="00C52646" w:rsidRDefault="00F9583F" w:rsidP="00E255C7">
      <w:pPr>
        <w:pStyle w:val="COMexecsumnumberedpara"/>
      </w:pPr>
      <w:r w:rsidRPr="00C52646">
        <w:t>CLL/SLL is generally a slowly progressing cancer with a relapsing, remitting course. Many patients are managed with a ‘watch and wait’ approach until symptoms develop. The choice of therapy depends on a number of factors, including age, fitness, comorbidities, and the presence of prognostic genetic mutations</w:t>
      </w:r>
      <w:r w:rsidR="00901502" w:rsidRPr="00C52646">
        <w:t>.</w:t>
      </w:r>
    </w:p>
    <w:p w14:paraId="23536916" w14:textId="00B64EF2" w:rsidR="00092255" w:rsidRPr="00C52646" w:rsidRDefault="00092255" w:rsidP="00E255C7">
      <w:pPr>
        <w:pStyle w:val="COMexecsumnumberedpara"/>
      </w:pPr>
      <w:r w:rsidRPr="00C52646">
        <w:t xml:space="preserve">Ibrutinib is an orally administered small molecule inhibitor of </w:t>
      </w:r>
      <w:r w:rsidR="00D87CF5" w:rsidRPr="00C52646">
        <w:t>BTK</w:t>
      </w:r>
      <w:r w:rsidRPr="00C52646">
        <w:t xml:space="preserve">. In B cells, BTK signalling results in activation of pathways necessary for B-cell proliferation, trafficking, chemotaxis, and adhesion. Through BTK inhibition, ibrutinib overcomes the B-cell antigen receptor and chemokine-controlled retention of malignant B-cells in their supportive microenvironments, thereby disrupting the pathogenesis of several B-cell malignancies such as CLL and SLL. </w:t>
      </w:r>
    </w:p>
    <w:p w14:paraId="48DB48F4" w14:textId="1C2B7F09" w:rsidR="00092255" w:rsidRDefault="002D2905" w:rsidP="00E255C7">
      <w:pPr>
        <w:pStyle w:val="COMexecsumnumberedpara"/>
      </w:pPr>
      <w:r w:rsidRPr="00C52646">
        <w:t>Venetoclax is an orally bioavailable, selective inhibitor of B-cell lymphoma 2 (BCL2). In CLL, overexpression of BCL2 is associated with impairment of apoptosis, tumour cell survival, and resistance to chemotherapy.</w:t>
      </w:r>
    </w:p>
    <w:p w14:paraId="490417F2" w14:textId="1D079302" w:rsidR="004A0F5B" w:rsidRPr="00E36967" w:rsidRDefault="008779B0" w:rsidP="00E255C7">
      <w:pPr>
        <w:pStyle w:val="COMexecsumnumberedpara"/>
        <w:rPr>
          <w:color w:val="0066FF"/>
        </w:rPr>
      </w:pPr>
      <w:r w:rsidRPr="00C52646">
        <w:t xml:space="preserve">The proposed clinical management algorithm </w:t>
      </w:r>
      <w:r w:rsidR="00277643" w:rsidRPr="001434A1">
        <w:rPr>
          <w:iCs/>
        </w:rPr>
        <w:t xml:space="preserve">is shown in </w:t>
      </w:r>
      <w:r w:rsidR="00277643" w:rsidRPr="001434A1">
        <w:rPr>
          <w:iCs/>
        </w:rPr>
        <w:fldChar w:fldCharType="begin" w:fldLock="1"/>
      </w:r>
      <w:r w:rsidR="00277643" w:rsidRPr="001434A1">
        <w:rPr>
          <w:iCs/>
        </w:rPr>
        <w:instrText xml:space="preserve"> REF _Ref116047224 \h </w:instrText>
      </w:r>
      <w:r w:rsidR="00046E18" w:rsidRPr="001434A1">
        <w:rPr>
          <w:iCs/>
        </w:rPr>
        <w:instrText xml:space="preserve"> \* MERGEFORMAT </w:instrText>
      </w:r>
      <w:r w:rsidR="00277643" w:rsidRPr="001434A1">
        <w:rPr>
          <w:iCs/>
        </w:rPr>
      </w:r>
      <w:r w:rsidR="00277643" w:rsidRPr="001434A1">
        <w:rPr>
          <w:iCs/>
        </w:rPr>
        <w:fldChar w:fldCharType="separate"/>
      </w:r>
      <w:r w:rsidR="00B22386" w:rsidRPr="00B22386">
        <w:rPr>
          <w:iCs/>
        </w:rPr>
        <w:t xml:space="preserve">Figure </w:t>
      </w:r>
      <w:r w:rsidR="00B22386" w:rsidRPr="00B22386">
        <w:rPr>
          <w:iCs/>
          <w:noProof/>
        </w:rPr>
        <w:t>1</w:t>
      </w:r>
      <w:r w:rsidR="00277643" w:rsidRPr="001434A1">
        <w:rPr>
          <w:iCs/>
        </w:rPr>
        <w:fldChar w:fldCharType="end"/>
      </w:r>
      <w:r w:rsidR="00277643">
        <w:t xml:space="preserve">, and </w:t>
      </w:r>
      <w:r w:rsidRPr="00C52646">
        <w:t xml:space="preserve">positions ibrutinib + venetoclax as a first-line option for fit </w:t>
      </w:r>
      <w:r w:rsidRPr="00C52646">
        <w:lastRenderedPageBreak/>
        <w:t xml:space="preserve">patients who would otherwise be treated with FCR. The submission noted that, based on expert clinical opinion, ECOG status, CIRS scores and age are key determinants of fitness of CLL patents, while creatinine clearance is a determinant of suitability for FCR. The alternative first-line treatment option included in the algorithm in </w:t>
      </w:r>
      <w:r w:rsidRPr="00E36967">
        <w:t xml:space="preserve">this population (patients aged &lt;65 years without significant comorbidities) was FCR. </w:t>
      </w:r>
      <w:r w:rsidR="00B931AE" w:rsidRPr="001434A1">
        <w:rPr>
          <w:iCs/>
        </w:rPr>
        <w:t>The ESC noted that FCR is not recommended for patients with del17p.</w:t>
      </w:r>
    </w:p>
    <w:p w14:paraId="7FE88105" w14:textId="79C20643" w:rsidR="00277643" w:rsidRPr="00F56AD1" w:rsidRDefault="00277643" w:rsidP="00E36967">
      <w:pPr>
        <w:pStyle w:val="Caption"/>
      </w:pPr>
      <w:bookmarkStart w:id="18" w:name="_Ref116047224"/>
      <w:r>
        <w:t xml:space="preserve">Figure </w:t>
      </w:r>
      <w:fldSimple w:instr=" SEQ Figure \* ARABIC " w:fldLock="1">
        <w:r w:rsidR="00B22386">
          <w:rPr>
            <w:noProof/>
          </w:rPr>
          <w:t>1</w:t>
        </w:r>
      </w:fldSimple>
      <w:bookmarkEnd w:id="18"/>
      <w:r w:rsidRPr="00F56AD1">
        <w:t>: Proposed clinical management algorithm</w:t>
      </w:r>
    </w:p>
    <w:p w14:paraId="15AAA796" w14:textId="77777777" w:rsidR="00277643" w:rsidRPr="00A279DF" w:rsidRDefault="00277643" w:rsidP="00277643">
      <w:r w:rsidRPr="00A279DF">
        <w:rPr>
          <w:noProof/>
        </w:rPr>
        <w:drawing>
          <wp:inline distT="0" distB="0" distL="0" distR="0" wp14:anchorId="0555614B" wp14:editId="378221CF">
            <wp:extent cx="5732145" cy="3721502"/>
            <wp:effectExtent l="0" t="0" r="1905" b="0"/>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3721502"/>
                    </a:xfrm>
                    <a:prstGeom prst="rect">
                      <a:avLst/>
                    </a:prstGeom>
                    <a:noFill/>
                  </pic:spPr>
                </pic:pic>
              </a:graphicData>
            </a:graphic>
          </wp:inline>
        </w:drawing>
      </w:r>
    </w:p>
    <w:p w14:paraId="4EEBE841" w14:textId="77777777" w:rsidR="00277643" w:rsidRPr="00A279DF" w:rsidRDefault="00277643" w:rsidP="00277643">
      <w:pPr>
        <w:pStyle w:val="COMTablefooter"/>
      </w:pPr>
      <w:r w:rsidRPr="00A279DF">
        <w:t>Source: Figure 1-14, p48 of the submission</w:t>
      </w:r>
    </w:p>
    <w:p w14:paraId="4B39D962" w14:textId="77777777" w:rsidR="00277643" w:rsidRPr="00A279DF" w:rsidRDefault="00277643" w:rsidP="00E36967">
      <w:pPr>
        <w:pStyle w:val="COMTablefooter"/>
        <w:spacing w:after="240"/>
      </w:pPr>
      <w:r w:rsidRPr="00A279DF">
        <w:t>Abbreviations: CLL/SLL, chronic lymphocytic leukemia/small lymphocytic lymphoma; FCR, fludarabine, cyclophosphamide, and rituximab</w:t>
      </w:r>
    </w:p>
    <w:p w14:paraId="2AF924D6" w14:textId="3784D4A3" w:rsidR="00E879CD" w:rsidRDefault="000C35F7">
      <w:pPr>
        <w:pStyle w:val="COMexecsumnumberedpara"/>
        <w:rPr>
          <w:iCs/>
        </w:rPr>
      </w:pPr>
      <w:bookmarkStart w:id="19" w:name="_Ref122332462"/>
      <w:r w:rsidRPr="000C35F7">
        <w:t xml:space="preserve">The treatment algorithm for CLL/SLL is rapidly evolving, with </w:t>
      </w:r>
      <w:r w:rsidR="00932DF1" w:rsidRPr="000C35F7">
        <w:t>several</w:t>
      </w:r>
      <w:r w:rsidRPr="000C35F7">
        <w:t xml:space="preserve"> new regimens being included in recent years on the basis of Phase III, head-to-head trials. </w:t>
      </w:r>
      <w:r w:rsidR="008779B0" w:rsidRPr="00C52646">
        <w:t xml:space="preserve">The June 2022 </w:t>
      </w:r>
      <w:r w:rsidR="004A0F5B" w:rsidRPr="00C52646">
        <w:t>National Comprehensive Cancer Network (</w:t>
      </w:r>
      <w:r w:rsidR="008779B0" w:rsidRPr="00C52646">
        <w:t>NCCN</w:t>
      </w:r>
      <w:r w:rsidR="004A0F5B" w:rsidRPr="00C52646">
        <w:t>)</w:t>
      </w:r>
      <w:r w:rsidR="008779B0" w:rsidRPr="00C52646">
        <w:t xml:space="preserve"> guidelines for the management of CLL/SLL list </w:t>
      </w:r>
      <w:bookmarkStart w:id="20" w:name="_Hlk116381923"/>
      <w:r w:rsidR="008779B0" w:rsidRPr="00C52646">
        <w:t>ibrutinib monotherapy, acalabrutinib +/- obinutuzumab, and venetoclax + obinutuzumab as the preferred first-line therapies for all patients (regardless of age, presence of comorbidities</w:t>
      </w:r>
      <w:r w:rsidR="009B33DE" w:rsidRPr="00C52646">
        <w:t>,</w:t>
      </w:r>
      <w:r w:rsidR="008779B0" w:rsidRPr="00C52646">
        <w:t xml:space="preserve"> or presence of </w:t>
      </w:r>
      <w:r w:rsidR="004A686D">
        <w:t>del</w:t>
      </w:r>
      <w:r w:rsidR="008779B0" w:rsidRPr="00C52646">
        <w:t>17p/TP53 mutation)</w:t>
      </w:r>
      <w:r w:rsidR="00E26BE4">
        <w:t>.</w:t>
      </w:r>
      <w:r w:rsidR="00E879CD" w:rsidRPr="00E879CD">
        <w:t xml:space="preserve"> </w:t>
      </w:r>
      <w:bookmarkStart w:id="21" w:name="_Hlk116382016"/>
      <w:bookmarkEnd w:id="20"/>
      <w:r w:rsidR="00E879CD" w:rsidRPr="001434A1">
        <w:rPr>
          <w:iCs/>
        </w:rPr>
        <w:t>The ESC noted that none of these agents or combinations are currently PBS listed for first-line use in the proposed population of fit patients</w:t>
      </w:r>
      <w:r w:rsidR="0070616C" w:rsidRPr="001434A1">
        <w:rPr>
          <w:iCs/>
        </w:rPr>
        <w:t xml:space="preserve"> (</w:t>
      </w:r>
      <w:r w:rsidR="00692E83" w:rsidRPr="001434A1">
        <w:rPr>
          <w:iCs/>
        </w:rPr>
        <w:t xml:space="preserve">although ibrutinib as monotherapy was recommended </w:t>
      </w:r>
      <w:r w:rsidR="006D6FD2" w:rsidRPr="001434A1">
        <w:rPr>
          <w:iCs/>
        </w:rPr>
        <w:t xml:space="preserve">by the PBAC </w:t>
      </w:r>
      <w:r w:rsidR="00692E83" w:rsidRPr="001434A1">
        <w:rPr>
          <w:iCs/>
        </w:rPr>
        <w:t>for patients with del17p</w:t>
      </w:r>
      <w:r w:rsidR="0070616C" w:rsidRPr="001434A1">
        <w:rPr>
          <w:iCs/>
        </w:rPr>
        <w:t>)</w:t>
      </w:r>
      <w:r w:rsidR="00E879CD">
        <w:t xml:space="preserve">. </w:t>
      </w:r>
      <w:r w:rsidR="00E879CD" w:rsidRPr="001434A1">
        <w:rPr>
          <w:iCs/>
        </w:rPr>
        <w:t xml:space="preserve">The ESC further noted that </w:t>
      </w:r>
      <w:r w:rsidR="00010178" w:rsidRPr="001434A1">
        <w:rPr>
          <w:iCs/>
        </w:rPr>
        <w:t xml:space="preserve">the </w:t>
      </w:r>
      <w:r w:rsidR="00E44CCC" w:rsidRPr="001434A1">
        <w:rPr>
          <w:iCs/>
        </w:rPr>
        <w:t>key</w:t>
      </w:r>
      <w:r w:rsidR="00010178" w:rsidRPr="001434A1">
        <w:rPr>
          <w:iCs/>
        </w:rPr>
        <w:t xml:space="preserve"> PBS-listed treatment in fit patients</w:t>
      </w:r>
      <w:r w:rsidR="003B09B4" w:rsidRPr="001434A1">
        <w:rPr>
          <w:iCs/>
        </w:rPr>
        <w:t>,</w:t>
      </w:r>
      <w:r w:rsidR="004A0F5B" w:rsidRPr="001434A1">
        <w:rPr>
          <w:iCs/>
        </w:rPr>
        <w:t xml:space="preserve"> FCR</w:t>
      </w:r>
      <w:r w:rsidR="00010178" w:rsidRPr="001434A1">
        <w:rPr>
          <w:iCs/>
        </w:rPr>
        <w:t>,</w:t>
      </w:r>
      <w:r w:rsidR="00E879CD" w:rsidRPr="001434A1">
        <w:rPr>
          <w:iCs/>
        </w:rPr>
        <w:t xml:space="preserve"> is</w:t>
      </w:r>
      <w:r w:rsidR="004A0F5B" w:rsidRPr="001434A1">
        <w:rPr>
          <w:iCs/>
        </w:rPr>
        <w:t xml:space="preserve"> </w:t>
      </w:r>
      <w:r w:rsidR="00010178" w:rsidRPr="001434A1">
        <w:rPr>
          <w:iCs/>
        </w:rPr>
        <w:t xml:space="preserve">only </w:t>
      </w:r>
      <w:r w:rsidR="004A0F5B" w:rsidRPr="001434A1">
        <w:rPr>
          <w:iCs/>
        </w:rPr>
        <w:t xml:space="preserve">included </w:t>
      </w:r>
      <w:r w:rsidR="00E879CD" w:rsidRPr="001434A1">
        <w:rPr>
          <w:iCs/>
        </w:rPr>
        <w:t xml:space="preserve">in the NCCN guidelines </w:t>
      </w:r>
      <w:r w:rsidR="004A0F5B" w:rsidRPr="001434A1">
        <w:rPr>
          <w:iCs/>
        </w:rPr>
        <w:t xml:space="preserve">as a later-line option </w:t>
      </w:r>
      <w:r w:rsidR="00046E18" w:rsidRPr="001434A1">
        <w:rPr>
          <w:iCs/>
        </w:rPr>
        <w:t xml:space="preserve">and </w:t>
      </w:r>
      <w:r w:rsidR="00E879CD" w:rsidRPr="001434A1">
        <w:rPr>
          <w:iCs/>
        </w:rPr>
        <w:t xml:space="preserve">is poorly tolerated and associated with a risk of cytopenia and secondary malignancies. </w:t>
      </w:r>
      <w:r w:rsidR="00277643" w:rsidRPr="001434A1">
        <w:rPr>
          <w:iCs/>
        </w:rPr>
        <w:t xml:space="preserve">The ESC considered that Australia lags international guidelines in providing access to </w:t>
      </w:r>
      <w:r w:rsidR="00C621DA" w:rsidRPr="001434A1">
        <w:rPr>
          <w:iCs/>
        </w:rPr>
        <w:t xml:space="preserve">small molecule inhibitors (BTK inhibitors and/or B-cell lymphoma 2 (BCL2) inhibitors) </w:t>
      </w:r>
      <w:r w:rsidR="00277643" w:rsidRPr="001434A1">
        <w:rPr>
          <w:iCs/>
        </w:rPr>
        <w:t xml:space="preserve">in the first-line treatment of patients with </w:t>
      </w:r>
      <w:r w:rsidR="00277643" w:rsidRPr="001434A1">
        <w:rPr>
          <w:iCs/>
        </w:rPr>
        <w:lastRenderedPageBreak/>
        <w:t>CLL</w:t>
      </w:r>
      <w:r w:rsidR="00C621DA" w:rsidRPr="001434A1">
        <w:rPr>
          <w:iCs/>
        </w:rPr>
        <w:t xml:space="preserve"> and there is a high clinical need for alternate treatment options.</w:t>
      </w:r>
      <w:r w:rsidR="00277643" w:rsidRPr="001434A1">
        <w:rPr>
          <w:iCs/>
        </w:rPr>
        <w:t xml:space="preserve"> </w:t>
      </w:r>
      <w:r w:rsidR="00E879CD" w:rsidRPr="001434A1">
        <w:rPr>
          <w:iCs/>
        </w:rPr>
        <w:t xml:space="preserve">The ESC </w:t>
      </w:r>
      <w:r w:rsidR="00277643" w:rsidRPr="001434A1">
        <w:rPr>
          <w:iCs/>
        </w:rPr>
        <w:t>not</w:t>
      </w:r>
      <w:r w:rsidR="00E879CD" w:rsidRPr="001434A1">
        <w:rPr>
          <w:iCs/>
        </w:rPr>
        <w:t xml:space="preserve">ed that many patients in large centres across Australia access </w:t>
      </w:r>
      <w:r w:rsidR="00010178" w:rsidRPr="001434A1">
        <w:rPr>
          <w:iCs/>
        </w:rPr>
        <w:t xml:space="preserve">these </w:t>
      </w:r>
      <w:r w:rsidR="00E879CD" w:rsidRPr="001434A1">
        <w:rPr>
          <w:iCs/>
        </w:rPr>
        <w:t>treatments through compassionate access schemes (and that they may want to switch to ibrutinib + venetoclax)</w:t>
      </w:r>
      <w:r w:rsidR="00C621DA" w:rsidRPr="001434A1">
        <w:rPr>
          <w:iCs/>
        </w:rPr>
        <w:t>.</w:t>
      </w:r>
      <w:bookmarkEnd w:id="19"/>
      <w:r w:rsidR="00E879CD" w:rsidRPr="001434A1">
        <w:rPr>
          <w:iCs/>
        </w:rPr>
        <w:t xml:space="preserve"> </w:t>
      </w:r>
      <w:bookmarkEnd w:id="21"/>
    </w:p>
    <w:p w14:paraId="73BEB0C5" w14:textId="06DE97AE" w:rsidR="0055542B" w:rsidRPr="0055542B" w:rsidRDefault="0055542B" w:rsidP="0055542B">
      <w:pPr>
        <w:pStyle w:val="COMexecsumnumberedpara"/>
        <w:rPr>
          <w:iCs/>
        </w:rPr>
      </w:pPr>
      <w:bookmarkStart w:id="22" w:name="_Ref124245174"/>
      <w:r>
        <w:rPr>
          <w:iCs/>
        </w:rPr>
        <w:t>Although fludarabine has a</w:t>
      </w:r>
      <w:r w:rsidR="0051352D">
        <w:rPr>
          <w:iCs/>
        </w:rPr>
        <w:t>n unrestricted</w:t>
      </w:r>
      <w:r>
        <w:rPr>
          <w:iCs/>
        </w:rPr>
        <w:t xml:space="preserve"> PBS listing</w:t>
      </w:r>
      <w:r w:rsidR="0069707C">
        <w:rPr>
          <w:iCs/>
        </w:rPr>
        <w:t>,</w:t>
      </w:r>
      <w:r>
        <w:rPr>
          <w:iCs/>
        </w:rPr>
        <w:t xml:space="preserve"> it is only TGA indicated for the treatment of CLL. The use of fludarabine through the PBS has been declining with 5,361 prescriptions in 2018 compared with 2,533 prescriptions in 2021 and 1,620 prescriptions from January 2022 through to October 2022.</w:t>
      </w:r>
      <w:r w:rsidR="00E51263">
        <w:rPr>
          <w:rStyle w:val="FootnoteReference"/>
          <w:iCs/>
        </w:rPr>
        <w:footnoteReference w:id="2"/>
      </w:r>
      <w:r>
        <w:rPr>
          <w:iCs/>
        </w:rPr>
        <w:t xml:space="preserve"> Based on the submission’s assumption </w:t>
      </w:r>
      <w:r w:rsidR="00E51263">
        <w:rPr>
          <w:iCs/>
        </w:rPr>
        <w:t xml:space="preserve">in the financial estimates </w:t>
      </w:r>
      <w:r>
        <w:rPr>
          <w:iCs/>
        </w:rPr>
        <w:t>that each patient receive</w:t>
      </w:r>
      <w:r w:rsidR="005A000D">
        <w:rPr>
          <w:iCs/>
        </w:rPr>
        <w:t>s</w:t>
      </w:r>
      <w:r>
        <w:rPr>
          <w:iCs/>
        </w:rPr>
        <w:t xml:space="preserve"> on average 13.74 prescriptions</w:t>
      </w:r>
      <w:r w:rsidR="005A000D">
        <w:rPr>
          <w:iCs/>
        </w:rPr>
        <w:t xml:space="preserve"> (</w:t>
      </w:r>
      <w:r w:rsidR="005A000D">
        <w:rPr>
          <w:iCs/>
        </w:rPr>
        <w:fldChar w:fldCharType="begin" w:fldLock="1"/>
      </w:r>
      <w:r w:rsidR="005A000D">
        <w:rPr>
          <w:iCs/>
        </w:rPr>
        <w:instrText xml:space="preserve"> REF _Ref112917908 \h </w:instrText>
      </w:r>
      <w:r w:rsidR="005A000D">
        <w:rPr>
          <w:iCs/>
        </w:rPr>
      </w:r>
      <w:r w:rsidR="005A000D">
        <w:rPr>
          <w:iCs/>
        </w:rPr>
        <w:fldChar w:fldCharType="separate"/>
      </w:r>
      <w:r w:rsidR="00B22386" w:rsidRPr="00C52646">
        <w:t xml:space="preserve">Table </w:t>
      </w:r>
      <w:r w:rsidR="00B22386">
        <w:rPr>
          <w:noProof/>
        </w:rPr>
        <w:t>13</w:t>
      </w:r>
      <w:r w:rsidR="005A000D">
        <w:rPr>
          <w:iCs/>
        </w:rPr>
        <w:fldChar w:fldCharType="end"/>
      </w:r>
      <w:r w:rsidR="005A000D">
        <w:rPr>
          <w:iCs/>
        </w:rPr>
        <w:t>)</w:t>
      </w:r>
      <w:r>
        <w:rPr>
          <w:iCs/>
        </w:rPr>
        <w:t>, it is likely that less than 150 patients ([1,620/10*12]/13.74) were treated with fludarabine in 2022.</w:t>
      </w:r>
      <w:bookmarkEnd w:id="22"/>
    </w:p>
    <w:p w14:paraId="01D5CDBA" w14:textId="57CD7B4B" w:rsidR="00524E59" w:rsidRPr="001434A1" w:rsidRDefault="00010178" w:rsidP="00524E59">
      <w:pPr>
        <w:pStyle w:val="COMexecsumnumberedpara"/>
        <w:rPr>
          <w:iCs/>
        </w:rPr>
      </w:pPr>
      <w:bookmarkStart w:id="23" w:name="_Hlk116382577"/>
      <w:r w:rsidRPr="001434A1">
        <w:rPr>
          <w:iCs/>
        </w:rPr>
        <w:t>Further, w</w:t>
      </w:r>
      <w:r w:rsidR="00046E18" w:rsidRPr="001434A1">
        <w:rPr>
          <w:iCs/>
        </w:rPr>
        <w:t xml:space="preserve">hile the ESC considered that the requested restriction for ibrutinib + venetoclax </w:t>
      </w:r>
      <w:r w:rsidR="00512516" w:rsidRPr="001434A1">
        <w:rPr>
          <w:iCs/>
        </w:rPr>
        <w:t xml:space="preserve">was appropriate (i.e. </w:t>
      </w:r>
      <w:r w:rsidR="00046E18" w:rsidRPr="001434A1">
        <w:rPr>
          <w:iCs/>
        </w:rPr>
        <w:t xml:space="preserve">first-line treatment </w:t>
      </w:r>
      <w:r w:rsidR="00512516" w:rsidRPr="001434A1">
        <w:rPr>
          <w:iCs/>
        </w:rPr>
        <w:t xml:space="preserve">in </w:t>
      </w:r>
      <w:r w:rsidR="00046E18" w:rsidRPr="001434A1">
        <w:rPr>
          <w:iCs/>
        </w:rPr>
        <w:t>fit patients who would otherwise be suitable for FCR</w:t>
      </w:r>
      <w:r w:rsidR="00512516" w:rsidRPr="001434A1">
        <w:rPr>
          <w:iCs/>
        </w:rPr>
        <w:t>)</w:t>
      </w:r>
      <w:r w:rsidR="00046E18" w:rsidRPr="001434A1">
        <w:rPr>
          <w:iCs/>
        </w:rPr>
        <w:t xml:space="preserve">, </w:t>
      </w:r>
      <w:r w:rsidRPr="001434A1">
        <w:rPr>
          <w:iCs/>
        </w:rPr>
        <w:t>it</w:t>
      </w:r>
      <w:r w:rsidR="00046E18" w:rsidRPr="001434A1">
        <w:rPr>
          <w:iCs/>
        </w:rPr>
        <w:t xml:space="preserve"> noted that</w:t>
      </w:r>
      <w:r w:rsidR="00631DAA" w:rsidRPr="001434A1">
        <w:rPr>
          <w:iCs/>
        </w:rPr>
        <w:t xml:space="preserve"> in some cases</w:t>
      </w:r>
      <w:r w:rsidR="00046E18" w:rsidRPr="001434A1">
        <w:rPr>
          <w:iCs/>
        </w:rPr>
        <w:t xml:space="preserve"> there </w:t>
      </w:r>
      <w:bookmarkStart w:id="24" w:name="_Hlk116036096"/>
      <w:r w:rsidR="00631DAA" w:rsidRPr="001434A1">
        <w:rPr>
          <w:iCs/>
        </w:rPr>
        <w:t xml:space="preserve">may also </w:t>
      </w:r>
      <w:r w:rsidR="00046E18" w:rsidRPr="001434A1">
        <w:rPr>
          <w:iCs/>
        </w:rPr>
        <w:t xml:space="preserve">be a gap in the </w:t>
      </w:r>
      <w:r w:rsidR="00512516" w:rsidRPr="001434A1">
        <w:rPr>
          <w:iCs/>
        </w:rPr>
        <w:t xml:space="preserve">PBS </w:t>
      </w:r>
      <w:r w:rsidR="00046E18" w:rsidRPr="001434A1">
        <w:rPr>
          <w:iCs/>
        </w:rPr>
        <w:t xml:space="preserve">availability </w:t>
      </w:r>
      <w:r w:rsidR="003B09B4" w:rsidRPr="001434A1">
        <w:rPr>
          <w:iCs/>
        </w:rPr>
        <w:t xml:space="preserve">of </w:t>
      </w:r>
      <w:r w:rsidR="00512516" w:rsidRPr="001434A1">
        <w:rPr>
          <w:iCs/>
        </w:rPr>
        <w:t xml:space="preserve">small molecule inhibitors </w:t>
      </w:r>
      <w:r w:rsidR="00046E18" w:rsidRPr="001434A1">
        <w:rPr>
          <w:iCs/>
        </w:rPr>
        <w:t xml:space="preserve">for patients who are young (&lt;65 years) and unfit </w:t>
      </w:r>
      <w:bookmarkEnd w:id="24"/>
      <w:r w:rsidR="00046E18" w:rsidRPr="001434A1">
        <w:rPr>
          <w:iCs/>
        </w:rPr>
        <w:t xml:space="preserve">(CIRS &gt;6 and/or creatinine clearance &lt;70 mL/min) </w:t>
      </w:r>
      <w:r w:rsidR="003B09B4" w:rsidRPr="001434A1">
        <w:rPr>
          <w:iCs/>
        </w:rPr>
        <w:t xml:space="preserve">despite this being a group with a high potential to benefit in the context of an indolent condition. </w:t>
      </w:r>
      <w:r w:rsidR="004E0A41">
        <w:rPr>
          <w:iCs/>
        </w:rPr>
        <w:t>This is because t</w:t>
      </w:r>
      <w:r w:rsidR="00046E18" w:rsidRPr="001434A1">
        <w:rPr>
          <w:iCs/>
        </w:rPr>
        <w:t xml:space="preserve">he existing restriction for venetoclax (a BCL2 inhibitor) in the first-line setting requires patients to be ‘inappropriate for fludarabine based </w:t>
      </w:r>
      <w:r w:rsidR="00EE4C95">
        <w:rPr>
          <w:iCs/>
        </w:rPr>
        <w:t>chemoimmunotherapy</w:t>
      </w:r>
      <w:r w:rsidR="00046E18" w:rsidRPr="001434A1">
        <w:rPr>
          <w:iCs/>
        </w:rPr>
        <w:t>’, which may in clinical practice include consideration of patient age</w:t>
      </w:r>
      <w:r w:rsidR="00512516" w:rsidRPr="001434A1">
        <w:rPr>
          <w:iCs/>
        </w:rPr>
        <w:t xml:space="preserve"> (though age is not specifically referred to in the PBS restriction in the first-line setting)</w:t>
      </w:r>
      <w:r w:rsidR="00046E18" w:rsidRPr="001434A1">
        <w:rPr>
          <w:iCs/>
        </w:rPr>
        <w:t>.</w:t>
      </w:r>
      <w:r w:rsidR="003B09B4" w:rsidRPr="001434A1">
        <w:rPr>
          <w:iCs/>
        </w:rPr>
        <w:t xml:space="preserve"> </w:t>
      </w:r>
      <w:r w:rsidR="00631DAA" w:rsidRPr="001434A1">
        <w:rPr>
          <w:iCs/>
        </w:rPr>
        <w:t xml:space="preserve">Further, </w:t>
      </w:r>
      <w:r w:rsidR="003B09B4" w:rsidRPr="001434A1">
        <w:rPr>
          <w:iCs/>
        </w:rPr>
        <w:t xml:space="preserve">these patients </w:t>
      </w:r>
      <w:r w:rsidR="00631DAA" w:rsidRPr="001434A1">
        <w:rPr>
          <w:iCs/>
        </w:rPr>
        <w:t>may not be able to</w:t>
      </w:r>
      <w:r w:rsidR="003B09B4" w:rsidRPr="001434A1">
        <w:rPr>
          <w:iCs/>
        </w:rPr>
        <w:t xml:space="preserve"> access BTK inhibitors (acalabrutinib or ibrutinib) or venetoclax in the </w:t>
      </w:r>
      <w:r w:rsidR="00CF67A4" w:rsidRPr="001434A1">
        <w:rPr>
          <w:iCs/>
        </w:rPr>
        <w:t>R/R</w:t>
      </w:r>
      <w:r w:rsidR="003B09B4" w:rsidRPr="001434A1">
        <w:rPr>
          <w:iCs/>
        </w:rPr>
        <w:t xml:space="preserve"> setting (</w:t>
      </w:r>
      <w:bookmarkStart w:id="25" w:name="_Hlk116984248"/>
      <w:r w:rsidR="00631DAA" w:rsidRPr="001434A1">
        <w:rPr>
          <w:iCs/>
        </w:rPr>
        <w:t>e.g.</w:t>
      </w:r>
      <w:r w:rsidR="00CF67A4" w:rsidRPr="001434A1">
        <w:rPr>
          <w:iCs/>
        </w:rPr>
        <w:t>,</w:t>
      </w:r>
      <w:r w:rsidR="00932DF1">
        <w:rPr>
          <w:iCs/>
        </w:rPr>
        <w:t xml:space="preserve"> </w:t>
      </w:r>
      <w:r w:rsidR="00631DAA" w:rsidRPr="001434A1">
        <w:rPr>
          <w:iCs/>
        </w:rPr>
        <w:t xml:space="preserve">depending on response/progression-free interval following </w:t>
      </w:r>
      <w:r w:rsidR="00CF7184" w:rsidRPr="001434A1">
        <w:rPr>
          <w:iCs/>
        </w:rPr>
        <w:t>prior</w:t>
      </w:r>
      <w:r w:rsidR="00631DAA" w:rsidRPr="001434A1">
        <w:rPr>
          <w:iCs/>
        </w:rPr>
        <w:t xml:space="preserve"> therapy</w:t>
      </w:r>
      <w:bookmarkEnd w:id="25"/>
      <w:r w:rsidR="00CF7184" w:rsidRPr="001434A1">
        <w:rPr>
          <w:iCs/>
        </w:rPr>
        <w:t xml:space="preserve">, </w:t>
      </w:r>
      <w:bookmarkStart w:id="26" w:name="_Hlk116985179"/>
      <w:r w:rsidR="00CF7184" w:rsidRPr="001434A1">
        <w:rPr>
          <w:iCs/>
        </w:rPr>
        <w:t>de</w:t>
      </w:r>
      <w:r w:rsidR="00546069" w:rsidRPr="001434A1">
        <w:rPr>
          <w:iCs/>
        </w:rPr>
        <w:t>l</w:t>
      </w:r>
      <w:r w:rsidR="00CF7184" w:rsidRPr="001434A1">
        <w:rPr>
          <w:iCs/>
        </w:rPr>
        <w:t>17p status or presence of specific autoimmune condition</w:t>
      </w:r>
      <w:r w:rsidR="00546069" w:rsidRPr="001434A1">
        <w:rPr>
          <w:iCs/>
        </w:rPr>
        <w:t>s</w:t>
      </w:r>
      <w:bookmarkEnd w:id="26"/>
      <w:r w:rsidR="003B09B4" w:rsidRPr="001434A1">
        <w:rPr>
          <w:iCs/>
        </w:rPr>
        <w:t xml:space="preserve">). The ESC considered that, while the listing requested in the resubmission was appropriate in the context of the clinical evidence provided, broader access to regimens containing </w:t>
      </w:r>
      <w:r w:rsidR="00C621DA" w:rsidRPr="001434A1">
        <w:rPr>
          <w:iCs/>
        </w:rPr>
        <w:t>small molecule</w:t>
      </w:r>
      <w:r w:rsidR="003B09B4" w:rsidRPr="001434A1">
        <w:rPr>
          <w:iCs/>
        </w:rPr>
        <w:t xml:space="preserve"> inhibitors across both fit and unfit patients in the first-line setting may help address clinical need and equity of access.</w:t>
      </w:r>
      <w:r w:rsidR="00524E59" w:rsidRPr="001434A1">
        <w:rPr>
          <w:iCs/>
        </w:rPr>
        <w:t xml:space="preserve"> </w:t>
      </w:r>
    </w:p>
    <w:bookmarkEnd w:id="23"/>
    <w:p w14:paraId="51D3F265" w14:textId="065A4E7C" w:rsidR="008779B0" w:rsidRDefault="008779B0" w:rsidP="00E255C7">
      <w:pPr>
        <w:pStyle w:val="COMexecsumnumberedpara"/>
      </w:pPr>
      <w:r w:rsidRPr="00C52646">
        <w:t xml:space="preserve">The UpToDate guidelines note that although studies investigating a BTK inhibitor with venetoclax have been published, these combinations have not been </w:t>
      </w:r>
      <w:r w:rsidRPr="00C55162">
        <w:t>directly</w:t>
      </w:r>
      <w:r w:rsidRPr="00C52646">
        <w:t xml:space="preserve"> compared with a continuous BTK inhibitor or fixed duration venetoclax plus obinutuzumab, and further study is needed prior to their routine clinical use.</w:t>
      </w:r>
      <w:r w:rsidR="00B96D1D">
        <w:t xml:space="preserve"> </w:t>
      </w:r>
    </w:p>
    <w:p w14:paraId="68EE989D" w14:textId="197307D9" w:rsidR="008C24FA" w:rsidRDefault="000C35F7" w:rsidP="00A0236A">
      <w:pPr>
        <w:pStyle w:val="COMexecsumnumberedpara"/>
      </w:pPr>
      <w:r w:rsidRPr="001434A1">
        <w:rPr>
          <w:iCs/>
        </w:rPr>
        <w:t>The ESC considered that it was unclear whether the combination of ibrutinib + venetoclax offer</w:t>
      </w:r>
      <w:r w:rsidR="00277643" w:rsidRPr="001434A1">
        <w:rPr>
          <w:iCs/>
        </w:rPr>
        <w:t>s</w:t>
      </w:r>
      <w:r w:rsidRPr="001434A1">
        <w:rPr>
          <w:iCs/>
        </w:rPr>
        <w:t xml:space="preserve"> a superior risk-benefit profile compared with single agent ibrutinib </w:t>
      </w:r>
      <w:r w:rsidRPr="001434A1">
        <w:rPr>
          <w:iCs/>
        </w:rPr>
        <w:lastRenderedPageBreak/>
        <w:t>or venetoclax in the first-line setting</w:t>
      </w:r>
      <w:r w:rsidR="00010178" w:rsidRPr="001434A1">
        <w:rPr>
          <w:iCs/>
        </w:rPr>
        <w:t xml:space="preserve">, and that the contribution of each medicine to the combined treatment effect was unclear. </w:t>
      </w:r>
      <w:r w:rsidRPr="001434A1">
        <w:rPr>
          <w:iCs/>
        </w:rPr>
        <w:t>The ESC considered that</w:t>
      </w:r>
      <w:r w:rsidR="00E44CCC" w:rsidRPr="001434A1">
        <w:rPr>
          <w:iCs/>
        </w:rPr>
        <w:t>, in the absence of such evidence,</w:t>
      </w:r>
      <w:r w:rsidRPr="001434A1">
        <w:rPr>
          <w:iCs/>
        </w:rPr>
        <w:t xml:space="preserve"> it m</w:t>
      </w:r>
      <w:r w:rsidR="00010178" w:rsidRPr="001434A1">
        <w:rPr>
          <w:iCs/>
        </w:rPr>
        <w:t>ay</w:t>
      </w:r>
      <w:r w:rsidRPr="001434A1">
        <w:rPr>
          <w:iCs/>
        </w:rPr>
        <w:t xml:space="preserve"> be preferable to use ibrutinib or venetoclax as a single agent first-line, or to use one of these therapies in combination with obinutuzumab</w:t>
      </w:r>
      <w:r w:rsidR="0070616C" w:rsidRPr="001434A1">
        <w:rPr>
          <w:iCs/>
        </w:rPr>
        <w:t>/rituximab</w:t>
      </w:r>
      <w:r w:rsidRPr="001434A1">
        <w:rPr>
          <w:iCs/>
        </w:rPr>
        <w:t xml:space="preserve"> first-line</w:t>
      </w:r>
      <w:r w:rsidR="00786084" w:rsidRPr="001434A1">
        <w:rPr>
          <w:iCs/>
        </w:rPr>
        <w:t>. The ESC also considered that this may allow more flexibility regarding treatment options in the R/R setting, given the lack of evidence regarding re-treatment with the same agent</w:t>
      </w:r>
      <w:r w:rsidRPr="001434A1">
        <w:rPr>
          <w:iCs/>
        </w:rPr>
        <w:t>.</w:t>
      </w:r>
      <w:r w:rsidR="00905F0D">
        <w:rPr>
          <w:iCs/>
        </w:rPr>
        <w:t xml:space="preserve"> The pre-PBAC response stated that </w:t>
      </w:r>
      <w:r w:rsidR="0069707C">
        <w:rPr>
          <w:iCs/>
        </w:rPr>
        <w:t xml:space="preserve">there are both clinical and patient-relevant benefits associated with </w:t>
      </w:r>
      <w:r w:rsidR="00905F0D">
        <w:rPr>
          <w:iCs/>
        </w:rPr>
        <w:t xml:space="preserve">ibrutinib + venetoclax </w:t>
      </w:r>
      <w:r w:rsidR="0069707C">
        <w:rPr>
          <w:iCs/>
        </w:rPr>
        <w:t xml:space="preserve">having a fixed treatment duration of </w:t>
      </w:r>
      <w:r w:rsidR="00905F0D">
        <w:rPr>
          <w:iCs/>
        </w:rPr>
        <w:t xml:space="preserve">15 cycles compared </w:t>
      </w:r>
      <w:r w:rsidR="00E45A0D">
        <w:rPr>
          <w:iCs/>
        </w:rPr>
        <w:t xml:space="preserve">with </w:t>
      </w:r>
      <w:r w:rsidR="00905F0D">
        <w:rPr>
          <w:iCs/>
        </w:rPr>
        <w:t>single</w:t>
      </w:r>
      <w:r w:rsidR="0069707C">
        <w:rPr>
          <w:iCs/>
        </w:rPr>
        <w:t>-</w:t>
      </w:r>
      <w:r w:rsidR="00905F0D">
        <w:rPr>
          <w:iCs/>
        </w:rPr>
        <w:t xml:space="preserve">agent ibrutinib </w:t>
      </w:r>
      <w:r w:rsidR="0069707C">
        <w:rPr>
          <w:iCs/>
        </w:rPr>
        <w:t>in which patients are treated to progression</w:t>
      </w:r>
      <w:r w:rsidR="00905F0D">
        <w:rPr>
          <w:iCs/>
        </w:rPr>
        <w:t>.</w:t>
      </w:r>
    </w:p>
    <w:p w14:paraId="33A5E945" w14:textId="082193AF" w:rsidR="00E879CD" w:rsidRDefault="00B67B88" w:rsidP="00E879CD">
      <w:pPr>
        <w:pStyle w:val="COMexecsumnumberedpara"/>
      </w:pPr>
      <w:bookmarkStart w:id="27" w:name="_Ref116290667"/>
      <w:r>
        <w:t>In R/R disease, t</w:t>
      </w:r>
      <w:r w:rsidR="00E879CD" w:rsidRPr="00C52646">
        <w:t xml:space="preserve">he proposed algorithm includes acalabrutinib monotherapy, ibrutinib monotherapy, venetoclax + rituximab, and idelalisib + rituximab as second/subsequent-line treatment options. In this setting, current PBS restrictions preclude patients from repeating treatment with BTK inhibitors (ibrutinib or acalabrutinib) or a venetoclax-based regimen. However, under the proposed treatment algorithm, the sponsor argued that PBS listing of ibrutinib + venetoclax in previously untreated CLL/SLL should not preclude the use of ibrutinib and other BTK inhibitors in the </w:t>
      </w:r>
      <w:r w:rsidR="00E879CD">
        <w:t>R/R</w:t>
      </w:r>
      <w:r w:rsidR="00E879CD" w:rsidRPr="00C52646">
        <w:t xml:space="preserve"> setting. </w:t>
      </w:r>
      <w:r w:rsidR="00E879CD" w:rsidRPr="003967D3">
        <w:rPr>
          <w:iCs/>
        </w:rPr>
        <w:t xml:space="preserve">The evidence supporting </w:t>
      </w:r>
      <w:r w:rsidR="006E3888">
        <w:rPr>
          <w:iCs/>
        </w:rPr>
        <w:t>re-treatment</w:t>
      </w:r>
      <w:r w:rsidR="00E879CD" w:rsidRPr="003967D3">
        <w:rPr>
          <w:iCs/>
        </w:rPr>
        <w:t xml:space="preserve"> with BTK inhibitors in the </w:t>
      </w:r>
      <w:r w:rsidR="00E879CD">
        <w:rPr>
          <w:iCs/>
        </w:rPr>
        <w:t>R/R</w:t>
      </w:r>
      <w:r w:rsidR="00E879CD" w:rsidRPr="003967D3">
        <w:rPr>
          <w:iCs/>
        </w:rPr>
        <w:t xml:space="preserve"> setting, following first-line ibrutinib + venetoclax, is limited. Re</w:t>
      </w:r>
      <w:r w:rsidR="00CF67A4">
        <w:rPr>
          <w:iCs/>
        </w:rPr>
        <w:t>-</w:t>
      </w:r>
      <w:r w:rsidR="00E879CD" w:rsidRPr="003967D3">
        <w:rPr>
          <w:iCs/>
        </w:rPr>
        <w:t>treatment with venetoclax after first-line ibrutinib + venetoclax was not considered in the submission</w:t>
      </w:r>
      <w:r w:rsidR="00E879CD" w:rsidRPr="00C52646">
        <w:t>.</w:t>
      </w:r>
      <w:bookmarkEnd w:id="27"/>
      <w:r w:rsidR="00E879CD" w:rsidRPr="00C52646">
        <w:t xml:space="preserve"> </w:t>
      </w:r>
    </w:p>
    <w:p w14:paraId="2E97D0D5" w14:textId="2198EC86" w:rsidR="00C022FB" w:rsidRPr="00C022FB" w:rsidRDefault="00E879CD" w:rsidP="00C44B3A">
      <w:pPr>
        <w:pStyle w:val="COMexecsumnumberedpara"/>
        <w:rPr>
          <w:rFonts w:cstheme="minorHAnsi"/>
          <w:i/>
          <w:iCs/>
        </w:rPr>
      </w:pPr>
      <w:bookmarkStart w:id="28" w:name="_Ref124255361"/>
      <w:bookmarkStart w:id="29" w:name="_Ref116051032"/>
      <w:bookmarkStart w:id="30" w:name="_Ref116294205"/>
      <w:r w:rsidRPr="00C022FB">
        <w:rPr>
          <w:iCs/>
        </w:rPr>
        <w:t xml:space="preserve">The ESC considered there was a lack of evidence regarding the effectiveness </w:t>
      </w:r>
      <w:r w:rsidR="00E44CCC" w:rsidRPr="00C022FB">
        <w:rPr>
          <w:iCs/>
        </w:rPr>
        <w:t xml:space="preserve">and safety </w:t>
      </w:r>
      <w:r w:rsidRPr="00C022FB">
        <w:rPr>
          <w:iCs/>
        </w:rPr>
        <w:t xml:space="preserve">of re-treatment with a </w:t>
      </w:r>
      <w:bookmarkStart w:id="31" w:name="_Hlk116395005"/>
      <w:r w:rsidRPr="00C022FB">
        <w:rPr>
          <w:iCs/>
        </w:rPr>
        <w:t xml:space="preserve">BTK inhibitor or a BCL2 inhibitor </w:t>
      </w:r>
      <w:bookmarkEnd w:id="31"/>
      <w:r w:rsidRPr="00C022FB">
        <w:rPr>
          <w:iCs/>
        </w:rPr>
        <w:t>as a second/subsequent line of therapy</w:t>
      </w:r>
      <w:r w:rsidRPr="00E36967">
        <w:t xml:space="preserve">. </w:t>
      </w:r>
      <w:r w:rsidR="008F551F" w:rsidRPr="00C022FB">
        <w:rPr>
          <w:iCs/>
        </w:rPr>
        <w:t xml:space="preserve">The submission noted that </w:t>
      </w:r>
      <w:r w:rsidR="00CB1483" w:rsidRPr="00C022FB">
        <w:rPr>
          <w:iCs/>
        </w:rPr>
        <w:t>nine</w:t>
      </w:r>
      <w:r w:rsidR="008F551F" w:rsidRPr="00C022FB">
        <w:rPr>
          <w:iCs/>
        </w:rPr>
        <w:t xml:space="preserve"> relapsed patients (who completed the full treatment course of ibrutinib + venetoclax) received subsequent ibrutinib monotherapy but provided limited data on the outcomes of these patients. The PSCR</w:t>
      </w:r>
      <w:r w:rsidR="00CF67A4" w:rsidRPr="00C022FB">
        <w:rPr>
          <w:iCs/>
        </w:rPr>
        <w:t xml:space="preserve"> </w:t>
      </w:r>
      <w:r w:rsidR="008F551F" w:rsidRPr="00C022FB">
        <w:rPr>
          <w:iCs/>
        </w:rPr>
        <w:t xml:space="preserve">indicated that all </w:t>
      </w:r>
      <w:r w:rsidR="00CB1483" w:rsidRPr="00C022FB">
        <w:rPr>
          <w:iCs/>
        </w:rPr>
        <w:t>nine</w:t>
      </w:r>
      <w:r w:rsidR="008F551F" w:rsidRPr="00C022FB">
        <w:rPr>
          <w:iCs/>
        </w:rPr>
        <w:t xml:space="preserve"> evaluable patients had achieved either a partial response (7 patients) or a complete response (2 patients) as their best response. However, the evaluation and the ESC considered there were insufficient clinical data to assess whether outcomes in the R/R setting were similar between ibrutinib-naïve and ibrutinib-experienced patients. Further, the submission provided no data on re-treatments with other BTK inhibitor</w:t>
      </w:r>
      <w:r w:rsidR="00512516" w:rsidRPr="00C022FB">
        <w:rPr>
          <w:iCs/>
        </w:rPr>
        <w:t>s</w:t>
      </w:r>
      <w:r w:rsidR="008F551F" w:rsidRPr="00C022FB">
        <w:rPr>
          <w:iCs/>
        </w:rPr>
        <w:t xml:space="preserve"> or with venetoclax based regimens. </w:t>
      </w:r>
      <w:r w:rsidR="00F45BF1" w:rsidRPr="00C022FB">
        <w:rPr>
          <w:iCs/>
        </w:rPr>
        <w:t xml:space="preserve">Overall, the evaluation considered that the impact of first-line use of ibrutinib + venetoclax on downstream treatment options is unclear. </w:t>
      </w:r>
      <w:r w:rsidRPr="00C022FB">
        <w:rPr>
          <w:iCs/>
        </w:rPr>
        <w:t>The ESC noted that some studies have investigated single agent re-treatment after single-line therapy, but that none have investigated re-treatment with a single agent following first-line dual therapy.</w:t>
      </w:r>
      <w:r w:rsidR="00F71532" w:rsidRPr="00F71532">
        <w:t xml:space="preserve"> </w:t>
      </w:r>
      <w:r w:rsidR="00F71532" w:rsidRPr="00F71532">
        <w:rPr>
          <w:iCs/>
        </w:rPr>
        <w:t>Further, the ESC considered that in practice, most clinicians would prefer to have the option to re-treat patients, given a clinically relevant treatment-free interval.</w:t>
      </w:r>
      <w:bookmarkEnd w:id="28"/>
      <w:r w:rsidR="00F71532" w:rsidRPr="00F71532">
        <w:rPr>
          <w:iCs/>
        </w:rPr>
        <w:t xml:space="preserve"> </w:t>
      </w:r>
      <w:r w:rsidRPr="00C022FB">
        <w:rPr>
          <w:iCs/>
        </w:rPr>
        <w:t xml:space="preserve"> </w:t>
      </w:r>
      <w:bookmarkStart w:id="32" w:name="_Hlk116294149"/>
      <w:bookmarkEnd w:id="29"/>
      <w:bookmarkEnd w:id="30"/>
    </w:p>
    <w:p w14:paraId="4DCA3A17" w14:textId="1664A843" w:rsidR="007C365A" w:rsidRPr="00C022FB" w:rsidRDefault="007C365A" w:rsidP="00C022FB">
      <w:pPr>
        <w:pStyle w:val="COMexecsumnumberedpara"/>
        <w:numPr>
          <w:ilvl w:val="0"/>
          <w:numId w:val="0"/>
        </w:numPr>
        <w:tabs>
          <w:tab w:val="center" w:pos="4153"/>
          <w:tab w:val="right" w:pos="8306"/>
        </w:tabs>
        <w:autoSpaceDE w:val="0"/>
        <w:autoSpaceDN w:val="0"/>
        <w:adjustRightInd w:val="0"/>
        <w:ind w:left="720"/>
        <w:rPr>
          <w:rFonts w:cstheme="minorHAnsi"/>
          <w:i/>
          <w:iCs/>
        </w:rPr>
      </w:pPr>
      <w:r w:rsidRPr="00C022FB">
        <w:rPr>
          <w:rFonts w:cstheme="minorHAnsi"/>
          <w:i/>
          <w:iCs/>
        </w:rPr>
        <w:t>For more detail on PBAC’s view, see section 7 PBAC outcome.</w:t>
      </w:r>
    </w:p>
    <w:p w14:paraId="51E5AE96" w14:textId="136A63B1" w:rsidR="00B50DB8" w:rsidRPr="00C52646" w:rsidRDefault="00B50DB8" w:rsidP="000725BD">
      <w:pPr>
        <w:pStyle w:val="COMH1numbered"/>
      </w:pPr>
      <w:bookmarkStart w:id="33" w:name="_Toc113983795"/>
      <w:bookmarkEnd w:id="32"/>
      <w:r w:rsidRPr="000725BD">
        <w:lastRenderedPageBreak/>
        <w:t>Comparator</w:t>
      </w:r>
      <w:bookmarkEnd w:id="33"/>
    </w:p>
    <w:p w14:paraId="2FEA296C" w14:textId="33ED0981" w:rsidR="00047EEF" w:rsidRPr="002B6F0B" w:rsidRDefault="00ED0F04" w:rsidP="0084210C">
      <w:pPr>
        <w:pStyle w:val="COMexecsumnumberedpara"/>
        <w:rPr>
          <w:iCs/>
          <w:snapToGrid/>
        </w:rPr>
      </w:pPr>
      <w:r w:rsidRPr="00C52646">
        <w:t>The submission nominated FCR as the main comparator</w:t>
      </w:r>
      <w:r>
        <w:t xml:space="preserve"> given</w:t>
      </w:r>
      <w:r w:rsidRPr="00C52646">
        <w:t xml:space="preserve"> that FCR is the treatment that will be replaced by ibrutinib + venetoclax, and </w:t>
      </w:r>
      <w:r>
        <w:t xml:space="preserve">that </w:t>
      </w:r>
      <w:r w:rsidRPr="00C52646">
        <w:t xml:space="preserve">FCR is the only </w:t>
      </w:r>
      <w:r>
        <w:t>PBS-listed treatment</w:t>
      </w:r>
      <w:r w:rsidRPr="00C52646">
        <w:t xml:space="preserve"> for th</w:t>
      </w:r>
      <w:r>
        <w:t>e requested</w:t>
      </w:r>
      <w:r w:rsidRPr="00C52646">
        <w:t xml:space="preserve"> population. </w:t>
      </w:r>
      <w:r w:rsidR="004E0A41" w:rsidRPr="004E0A41">
        <w:rPr>
          <w:iCs/>
        </w:rPr>
        <w:t xml:space="preserve">The PBAC </w:t>
      </w:r>
      <w:r w:rsidR="002B133E">
        <w:rPr>
          <w:iCs/>
        </w:rPr>
        <w:t xml:space="preserve">noted that </w:t>
      </w:r>
      <w:r w:rsidR="004E0A41" w:rsidRPr="004E0A41">
        <w:rPr>
          <w:iCs/>
        </w:rPr>
        <w:t xml:space="preserve">FCR </w:t>
      </w:r>
      <w:r w:rsidR="002B133E">
        <w:rPr>
          <w:iCs/>
        </w:rPr>
        <w:t>is no longer recommended in international guidelines, or commonly used in clinical practice</w:t>
      </w:r>
      <w:r w:rsidR="004E0A41" w:rsidRPr="004E0A41">
        <w:rPr>
          <w:iCs/>
        </w:rPr>
        <w:t>.</w:t>
      </w:r>
    </w:p>
    <w:p w14:paraId="2BAEDF58" w14:textId="1AD58A82" w:rsidR="002B6F0B" w:rsidRPr="002B6F0B" w:rsidRDefault="002B6F0B" w:rsidP="002B6F0B">
      <w:pPr>
        <w:pStyle w:val="COMexecsumnumberedpara"/>
        <w:numPr>
          <w:ilvl w:val="0"/>
          <w:numId w:val="0"/>
        </w:numPr>
        <w:ind w:left="680"/>
        <w:rPr>
          <w:i/>
          <w:snapToGrid/>
        </w:rPr>
      </w:pPr>
      <w:r w:rsidRPr="002B6F0B">
        <w:rPr>
          <w:i/>
          <w:snapToGrid/>
        </w:rPr>
        <w:t>For more detail on PBAC’s view, see section 7 PBAC outcome.</w:t>
      </w:r>
    </w:p>
    <w:p w14:paraId="7F9C27C8" w14:textId="77777777" w:rsidR="00223D5A" w:rsidRPr="00C52646" w:rsidRDefault="00223D5A" w:rsidP="000725BD">
      <w:pPr>
        <w:pStyle w:val="COMH1numbered"/>
      </w:pPr>
      <w:bookmarkStart w:id="34" w:name="_Toc113983796"/>
      <w:bookmarkStart w:id="35" w:name="_Toc22897640"/>
      <w:r w:rsidRPr="000725BD">
        <w:t>Consideration</w:t>
      </w:r>
      <w:r w:rsidRPr="00C52646">
        <w:t xml:space="preserve"> of the evidence</w:t>
      </w:r>
      <w:bookmarkEnd w:id="34"/>
    </w:p>
    <w:p w14:paraId="21F7DFE4" w14:textId="4F642CB7" w:rsidR="002A2A8C" w:rsidRDefault="002A2A8C" w:rsidP="002E4F02">
      <w:pPr>
        <w:pStyle w:val="COMH2-non-numbered"/>
      </w:pPr>
      <w:bookmarkStart w:id="36" w:name="_Toc113983797"/>
      <w:r>
        <w:t>Sponsor hearing</w:t>
      </w:r>
    </w:p>
    <w:p w14:paraId="47B8D371" w14:textId="557265BE" w:rsidR="002A2A8C" w:rsidRPr="0052092E" w:rsidRDefault="002A2A8C" w:rsidP="002A2A8C">
      <w:pPr>
        <w:pStyle w:val="COMexecsumnumberedpara"/>
      </w:pPr>
      <w:r w:rsidRPr="0052092E">
        <w:rPr>
          <w:snapToGrid/>
        </w:rPr>
        <w:t>There was no hearing for this item.</w:t>
      </w:r>
    </w:p>
    <w:p w14:paraId="760B05BF" w14:textId="0F09C699" w:rsidR="002A2A8C" w:rsidRDefault="002A2A8C" w:rsidP="002A2A8C">
      <w:pPr>
        <w:pStyle w:val="COMH2-non-numbered"/>
      </w:pPr>
      <w:r>
        <w:t>Consumer comments</w:t>
      </w:r>
    </w:p>
    <w:p w14:paraId="5D88E19C" w14:textId="1F1DFC31" w:rsidR="009D1CB7" w:rsidRPr="00E0117E" w:rsidRDefault="002A2A8C" w:rsidP="002A2A8C">
      <w:pPr>
        <w:pStyle w:val="COMexecsumnumberedpara"/>
      </w:pPr>
      <w:r w:rsidRPr="00010FF1">
        <w:rPr>
          <w:bCs/>
        </w:rPr>
        <w:t>The PBAC noted and welcomed the input from individuals (</w:t>
      </w:r>
      <w:r w:rsidR="00E76B4D" w:rsidRPr="00010FF1">
        <w:rPr>
          <w:bCs/>
        </w:rPr>
        <w:t>16</w:t>
      </w:r>
      <w:r w:rsidRPr="00010FF1">
        <w:rPr>
          <w:bCs/>
        </w:rPr>
        <w:t>), health care professionals (1</w:t>
      </w:r>
      <w:r w:rsidR="00B91543">
        <w:rPr>
          <w:bCs/>
        </w:rPr>
        <w:t xml:space="preserve"> group of clinicians</w:t>
      </w:r>
      <w:r w:rsidRPr="00010FF1">
        <w:rPr>
          <w:bCs/>
        </w:rPr>
        <w:t xml:space="preserve">) and </w:t>
      </w:r>
      <w:r w:rsidR="00B91543">
        <w:rPr>
          <w:bCs/>
        </w:rPr>
        <w:t xml:space="preserve">from </w:t>
      </w:r>
      <w:r w:rsidR="00313407">
        <w:rPr>
          <w:bCs/>
        </w:rPr>
        <w:t xml:space="preserve">the 2 organisations, </w:t>
      </w:r>
      <w:r w:rsidR="00B91543">
        <w:rPr>
          <w:bCs/>
        </w:rPr>
        <w:t xml:space="preserve">Lymphoma </w:t>
      </w:r>
      <w:r w:rsidR="00A13567">
        <w:rPr>
          <w:bCs/>
        </w:rPr>
        <w:t>Australia,</w:t>
      </w:r>
      <w:r w:rsidR="00B91543">
        <w:rPr>
          <w:bCs/>
        </w:rPr>
        <w:t xml:space="preserve"> and the Leukaemia Foundation</w:t>
      </w:r>
      <w:r w:rsidR="00313407">
        <w:rPr>
          <w:bCs/>
        </w:rPr>
        <w:t>,</w:t>
      </w:r>
      <w:r w:rsidRPr="00010FF1">
        <w:rPr>
          <w:bCs/>
        </w:rPr>
        <w:t xml:space="preserve"> via the Consumer Comments facility on the PBS website. The comments described a range of benefits of treatment with </w:t>
      </w:r>
      <w:r w:rsidR="00E76B4D" w:rsidRPr="00010FF1">
        <w:rPr>
          <w:bCs/>
        </w:rPr>
        <w:t>ibrutinib</w:t>
      </w:r>
      <w:r w:rsidRPr="00010FF1">
        <w:rPr>
          <w:bCs/>
        </w:rPr>
        <w:t xml:space="preserve"> including </w:t>
      </w:r>
      <w:r w:rsidR="006240BD">
        <w:rPr>
          <w:bCs/>
        </w:rPr>
        <w:t xml:space="preserve">improvements in </w:t>
      </w:r>
      <w:r w:rsidR="00010FF1" w:rsidRPr="00010FF1">
        <w:rPr>
          <w:bCs/>
        </w:rPr>
        <w:t xml:space="preserve">disease progression, white blood cell counts, and energy levels. Individuals </w:t>
      </w:r>
      <w:r w:rsidR="006240BD">
        <w:rPr>
          <w:bCs/>
        </w:rPr>
        <w:t xml:space="preserve">expressed a preference for targeted first-line therapy, like ibrutinib, given it enabled them to be treated at home, </w:t>
      </w:r>
      <w:r w:rsidR="006240BD" w:rsidRPr="00010FF1">
        <w:rPr>
          <w:bCs/>
        </w:rPr>
        <w:t xml:space="preserve">experience </w:t>
      </w:r>
      <w:r w:rsidR="006240BD">
        <w:rPr>
          <w:bCs/>
        </w:rPr>
        <w:t xml:space="preserve">fewer </w:t>
      </w:r>
      <w:r w:rsidR="006240BD" w:rsidRPr="00010FF1">
        <w:rPr>
          <w:bCs/>
        </w:rPr>
        <w:t>side effects</w:t>
      </w:r>
      <w:r w:rsidR="00011893">
        <w:rPr>
          <w:bCs/>
        </w:rPr>
        <w:t xml:space="preserve"> </w:t>
      </w:r>
      <w:r w:rsidR="00011893" w:rsidRPr="00011893">
        <w:rPr>
          <w:bCs/>
        </w:rPr>
        <w:t>than chemotherapy,</w:t>
      </w:r>
      <w:r w:rsidR="00011893">
        <w:rPr>
          <w:bCs/>
        </w:rPr>
        <w:t xml:space="preserve"> </w:t>
      </w:r>
      <w:r w:rsidR="00011893" w:rsidRPr="00011893">
        <w:rPr>
          <w:bCs/>
        </w:rPr>
        <w:t xml:space="preserve">with several contributors expressed concerns about the toxicity of existing regimens, </w:t>
      </w:r>
      <w:r w:rsidR="006240BD" w:rsidRPr="00010FF1">
        <w:rPr>
          <w:bCs/>
        </w:rPr>
        <w:t xml:space="preserve">and retain a sense of normalcy throughout treatment </w:t>
      </w:r>
      <w:r w:rsidR="006240BD">
        <w:rPr>
          <w:bCs/>
        </w:rPr>
        <w:t xml:space="preserve">including being able to </w:t>
      </w:r>
      <w:r w:rsidR="00010FF1" w:rsidRPr="00010FF1">
        <w:rPr>
          <w:bCs/>
        </w:rPr>
        <w:t>remain employed and maintain social and emotional stability</w:t>
      </w:r>
      <w:r w:rsidR="006240BD">
        <w:rPr>
          <w:bCs/>
        </w:rPr>
        <w:t>.</w:t>
      </w:r>
      <w:r w:rsidR="00010FF1" w:rsidRPr="00010FF1">
        <w:rPr>
          <w:bCs/>
        </w:rPr>
        <w:t xml:space="preserve"> While most comments described little to no side effects, one comment outlined the negative impact of ibrutinib treatment on their cardiovascular health.</w:t>
      </w:r>
      <w:r w:rsidR="00011893" w:rsidRPr="00011893">
        <w:rPr>
          <w:bCs/>
        </w:rPr>
        <w:t xml:space="preserve"> </w:t>
      </w:r>
      <w:r w:rsidR="00011893" w:rsidRPr="004618D4">
        <w:rPr>
          <w:bCs/>
        </w:rPr>
        <w:t>Many comments regarded the current cost of ibrutinib treatment as an obstacle to treatment, making chemotherapy their only current treatment option.</w:t>
      </w:r>
      <w:r w:rsidR="00011893">
        <w:rPr>
          <w:bCs/>
        </w:rPr>
        <w:t xml:space="preserve"> </w:t>
      </w:r>
      <w:r w:rsidR="00011893" w:rsidRPr="00591867">
        <w:rPr>
          <w:bCs/>
        </w:rPr>
        <w:t>Concerns about access to this class of drugs for younger and fitter patients were also raised in consumer comments.</w:t>
      </w:r>
    </w:p>
    <w:p w14:paraId="1DE8CA44" w14:textId="4F7C145B" w:rsidR="00E0117E" w:rsidRPr="00E0117E" w:rsidRDefault="00E0117E" w:rsidP="00E0117E">
      <w:pPr>
        <w:pStyle w:val="COMexecsumnumberedpara"/>
        <w:rPr>
          <w:bCs/>
        </w:rPr>
      </w:pPr>
      <w:bookmarkStart w:id="37" w:name="_Ref122331618"/>
      <w:r w:rsidRPr="00E0117E">
        <w:rPr>
          <w:bCs/>
        </w:rPr>
        <w:t xml:space="preserve">The PBAC recalled that a clinician consultation was held on 1 December 2022 </w:t>
      </w:r>
      <w:r w:rsidR="00625A65">
        <w:rPr>
          <w:bCs/>
        </w:rPr>
        <w:t xml:space="preserve">to discuss </w:t>
      </w:r>
      <w:r w:rsidRPr="00E0117E">
        <w:rPr>
          <w:bCs/>
        </w:rPr>
        <w:t>the treatment of CLL /SLL in relation to the existing PBS treatment algorithm and the new drug regimens proposed for PBS-listing in the context of the evolving treatment landscape. The key points were:</w:t>
      </w:r>
      <w:bookmarkEnd w:id="37"/>
    </w:p>
    <w:p w14:paraId="06A452D8" w14:textId="7997BE2E" w:rsidR="00E0117E" w:rsidRPr="00E0117E" w:rsidRDefault="00E0117E" w:rsidP="004E1E91">
      <w:pPr>
        <w:pStyle w:val="COMexecsumnumberedpara"/>
        <w:numPr>
          <w:ilvl w:val="0"/>
          <w:numId w:val="15"/>
        </w:numPr>
      </w:pPr>
      <w:r w:rsidRPr="00E0117E">
        <w:t>The clinicians emphasised that FCR is no longer a preferred regimen in any patient group, which creates a significant access issue for young and/or fit patients who do not meet the existing PBS criteria for BTK</w:t>
      </w:r>
      <w:r w:rsidR="00625A65">
        <w:t xml:space="preserve"> inhibitors</w:t>
      </w:r>
      <w:r w:rsidRPr="00E0117E">
        <w:t xml:space="preserve"> or venetoclax. The clinicians noted that, while the clinical need is highest in patients with poor risk cytogenetics, it would not be appropriate to limit access to BTKi and /or venetoclax therapy to these specific groups given the high clinical need across the broader young, fit population.</w:t>
      </w:r>
    </w:p>
    <w:p w14:paraId="690AEE86" w14:textId="71813317" w:rsidR="00E0117E" w:rsidRPr="00E0117E" w:rsidRDefault="00E0117E" w:rsidP="004E1E91">
      <w:pPr>
        <w:pStyle w:val="COMexecsumnumberedpara"/>
        <w:numPr>
          <w:ilvl w:val="0"/>
          <w:numId w:val="15"/>
        </w:numPr>
      </w:pPr>
      <w:r w:rsidRPr="00E0117E">
        <w:lastRenderedPageBreak/>
        <w:t xml:space="preserve">The clinicians indicated that the existing PBS criteria around ‘inappropriate for fludarabine-based </w:t>
      </w:r>
      <w:r w:rsidR="00EE4C95">
        <w:t>chemoimmunotherapy</w:t>
      </w:r>
      <w:r w:rsidRPr="00E0117E">
        <w:t>’ and ‘unsuitable for treatment with a purine analogue’ are no longer relevant to current clinical practice.</w:t>
      </w:r>
    </w:p>
    <w:p w14:paraId="636D8483" w14:textId="4CF43EF2" w:rsidR="00E0117E" w:rsidRDefault="00E0117E" w:rsidP="004E1E91">
      <w:pPr>
        <w:pStyle w:val="COMexecsumnumberedpara"/>
        <w:numPr>
          <w:ilvl w:val="0"/>
          <w:numId w:val="15"/>
        </w:numPr>
      </w:pPr>
      <w:r w:rsidRPr="00E0117E">
        <w:t xml:space="preserve">The clinicians advised that there </w:t>
      </w:r>
      <w:r w:rsidR="001F6CAA">
        <w:t>is</w:t>
      </w:r>
      <w:r w:rsidRPr="00E0117E">
        <w:t xml:space="preserve"> a lack of clinical trial data available to differentiate between regimens or determine which particular regimen would be preferable in a particular patient group/setting. Overall, the clinicians considered that it would be preferable to have a range of options available for all patients with CLL/SLL. The clinicians noted that any treatment option containing a BTKi and/or venetoclax would be preferable to FCR.</w:t>
      </w:r>
    </w:p>
    <w:p w14:paraId="49D36BBB" w14:textId="21585B13" w:rsidR="00B84F67" w:rsidRPr="00E0117E" w:rsidRDefault="00B84F67" w:rsidP="004E1E91">
      <w:pPr>
        <w:pStyle w:val="COMexecsumnumberedpara"/>
        <w:numPr>
          <w:ilvl w:val="0"/>
          <w:numId w:val="15"/>
        </w:numPr>
      </w:pPr>
      <w:r>
        <w:t xml:space="preserve">The clinicians outlined that it would be appropriate to re-treat patients with venetoclax or BTKi therapy if they had progressed following these therapies (unless discontinued due to poor tolerability). The clinicians indicated that a longer duration of initial response was an indicator for a higher probability of responding to that same therapy again (and vice versa). The clinicians indicated that there were no firm data regarding a time-frame for a recurrence-free period after which it would be appropriate to re-treat with the same agent and advised that a range of variables would be taken into account such as patient age and treatment intent.  </w:t>
      </w:r>
    </w:p>
    <w:p w14:paraId="609C0765" w14:textId="08AE4E20" w:rsidR="00B60939" w:rsidRPr="00C52646" w:rsidRDefault="00B60939" w:rsidP="002E4F02">
      <w:pPr>
        <w:pStyle w:val="COMH2-non-numbered"/>
      </w:pPr>
      <w:r w:rsidRPr="00C52646">
        <w:t xml:space="preserve">Clinical </w:t>
      </w:r>
      <w:r w:rsidR="00D5243B" w:rsidRPr="00C52646">
        <w:t>studies</w:t>
      </w:r>
      <w:bookmarkEnd w:id="35"/>
      <w:bookmarkEnd w:id="36"/>
    </w:p>
    <w:p w14:paraId="4E43E56A" w14:textId="05F2236D" w:rsidR="00192D4F" w:rsidRPr="00DB5B45" w:rsidRDefault="005D7F61" w:rsidP="00E255C7">
      <w:pPr>
        <w:pStyle w:val="COMexecsumnumberedpara"/>
      </w:pPr>
      <w:r w:rsidRPr="005F6175">
        <w:rPr>
          <w:snapToGrid/>
        </w:rPr>
        <w:t>In the absence of any head-to-head trials</w:t>
      </w:r>
      <w:r w:rsidR="00920153" w:rsidRPr="005F6175">
        <w:t xml:space="preserve"> in the proposed population</w:t>
      </w:r>
      <w:r w:rsidR="00192D4F" w:rsidRPr="005F6175">
        <w:rPr>
          <w:snapToGrid/>
        </w:rPr>
        <w:t>, the submission was based on a</w:t>
      </w:r>
      <w:r w:rsidR="000A0633">
        <w:rPr>
          <w:snapToGrid/>
        </w:rPr>
        <w:t>n</w:t>
      </w:r>
      <w:r w:rsidR="00192D4F" w:rsidRPr="005F6175">
        <w:rPr>
          <w:snapToGrid/>
        </w:rPr>
        <w:t xml:space="preserve"> </w:t>
      </w:r>
      <w:r w:rsidR="00D02DC7">
        <w:rPr>
          <w:snapToGrid/>
        </w:rPr>
        <w:t>unanchored, unadjusted indirect treatment</w:t>
      </w:r>
      <w:r w:rsidR="00192D4F" w:rsidRPr="005F6175">
        <w:rPr>
          <w:snapToGrid/>
        </w:rPr>
        <w:t xml:space="preserve"> comparison of </w:t>
      </w:r>
      <w:r w:rsidR="00D921E1" w:rsidRPr="005F6175">
        <w:t xml:space="preserve">the single-arm </w:t>
      </w:r>
      <w:r w:rsidR="00192D4F" w:rsidRPr="005F6175">
        <w:rPr>
          <w:snapToGrid/>
        </w:rPr>
        <w:t xml:space="preserve">ibrutinib + venetoclax </w:t>
      </w:r>
      <w:r w:rsidR="00D921E1" w:rsidRPr="005F6175">
        <w:t xml:space="preserve">fixed duration cohort of the </w:t>
      </w:r>
      <w:r w:rsidR="00192D4F" w:rsidRPr="005F6175">
        <w:rPr>
          <w:snapToGrid/>
        </w:rPr>
        <w:t>CAPTIVATE</w:t>
      </w:r>
      <w:r w:rsidR="00D921E1" w:rsidRPr="005F6175">
        <w:t xml:space="preserve"> study</w:t>
      </w:r>
      <w:r w:rsidR="00192D4F" w:rsidRPr="005F6175">
        <w:rPr>
          <w:snapToGrid/>
        </w:rPr>
        <w:t xml:space="preserve"> </w:t>
      </w:r>
      <w:r w:rsidR="00C52646" w:rsidRPr="005F6175">
        <w:t>and the</w:t>
      </w:r>
      <w:r w:rsidR="00192D4F" w:rsidRPr="005F6175">
        <w:rPr>
          <w:snapToGrid/>
        </w:rPr>
        <w:t xml:space="preserve"> FCR </w:t>
      </w:r>
      <w:r w:rsidR="00C52646" w:rsidRPr="005F6175">
        <w:t xml:space="preserve">arm </w:t>
      </w:r>
      <w:r w:rsidR="00035086">
        <w:t>of</w:t>
      </w:r>
      <w:r w:rsidR="00C52646" w:rsidRPr="005F6175">
        <w:t xml:space="preserve"> the </w:t>
      </w:r>
      <w:r w:rsidR="00192D4F" w:rsidRPr="005F6175">
        <w:rPr>
          <w:snapToGrid/>
        </w:rPr>
        <w:t>ECOG1912</w:t>
      </w:r>
      <w:r w:rsidR="00C52646" w:rsidRPr="005F6175">
        <w:t xml:space="preserve"> randomised trial</w:t>
      </w:r>
      <w:r w:rsidR="00192D4F" w:rsidRPr="005F6175">
        <w:rPr>
          <w:snapToGrid/>
        </w:rPr>
        <w:t xml:space="preserve">. </w:t>
      </w:r>
    </w:p>
    <w:p w14:paraId="6D567EF2" w14:textId="6D77DB7C" w:rsidR="00B564DC" w:rsidRPr="003967D3" w:rsidRDefault="00B564DC" w:rsidP="00E255C7">
      <w:pPr>
        <w:pStyle w:val="COMexecsumnumberedpara"/>
        <w:rPr>
          <w:iCs/>
        </w:rPr>
      </w:pPr>
      <w:r w:rsidRPr="003967D3">
        <w:rPr>
          <w:iCs/>
        </w:rPr>
        <w:t xml:space="preserve">The PBAC Guidelines note that indirect comparisons (such as a </w:t>
      </w:r>
      <w:r w:rsidR="009F3199" w:rsidRPr="003967D3">
        <w:rPr>
          <w:iCs/>
        </w:rPr>
        <w:t xml:space="preserve">naïve </w:t>
      </w:r>
      <w:r w:rsidRPr="003967D3">
        <w:rPr>
          <w:iCs/>
        </w:rPr>
        <w:t xml:space="preserve">comparison between single arms) are difficult to interpret and reduce the confidence of the PBAC in decision making. </w:t>
      </w:r>
      <w:r w:rsidR="00130338" w:rsidRPr="001434A1">
        <w:t xml:space="preserve">The ESC noted that </w:t>
      </w:r>
      <w:r w:rsidR="00130338" w:rsidRPr="00CB2A7A">
        <w:rPr>
          <w:iCs/>
        </w:rPr>
        <w:t>w</w:t>
      </w:r>
      <w:r w:rsidRPr="00E36967">
        <w:rPr>
          <w:iCs/>
        </w:rPr>
        <w:t>here patient-level data are available for at least one study in the comparison, the Guidelines recommend using matching-adjusted indirect comparisons or simulated treatment comparisons to correct for trial differences to improve the transitivity of the comparison</w:t>
      </w:r>
      <w:r w:rsidRPr="001434A1">
        <w:t>.</w:t>
      </w:r>
      <w:r w:rsidR="009B73B7">
        <w:rPr>
          <w:iCs/>
        </w:rPr>
        <w:t xml:space="preserve"> </w:t>
      </w:r>
    </w:p>
    <w:p w14:paraId="2B59ABAC" w14:textId="0F464D5E" w:rsidR="00862502" w:rsidRPr="00C52646" w:rsidRDefault="006803B3" w:rsidP="00E255C7">
      <w:pPr>
        <w:pStyle w:val="COMexecsumnumberedpara"/>
      </w:pPr>
      <w:r w:rsidRPr="00711B90">
        <w:rPr>
          <w:snapToGrid/>
        </w:rPr>
        <w:t xml:space="preserve">Details of the </w:t>
      </w:r>
      <w:r w:rsidR="00D77BEC" w:rsidRPr="00711B90">
        <w:rPr>
          <w:snapToGrid/>
        </w:rPr>
        <w:t>study</w:t>
      </w:r>
      <w:r w:rsidRPr="00711B90">
        <w:rPr>
          <w:snapToGrid/>
        </w:rPr>
        <w:t xml:space="preserve"> reports presented in the submission are provided in </w:t>
      </w:r>
      <w:r w:rsidR="00FE6928">
        <w:rPr>
          <w:snapToGrid/>
        </w:rPr>
        <w:fldChar w:fldCharType="begin" w:fldLock="1"/>
      </w:r>
      <w:r w:rsidR="00FE6928">
        <w:rPr>
          <w:snapToGrid/>
        </w:rPr>
        <w:instrText xml:space="preserve"> REF _Ref104803956 \h </w:instrText>
      </w:r>
      <w:r w:rsidR="00FE6928">
        <w:rPr>
          <w:snapToGrid/>
        </w:rPr>
      </w:r>
      <w:r w:rsidR="00FE6928">
        <w:rPr>
          <w:snapToGrid/>
        </w:rPr>
        <w:fldChar w:fldCharType="separate"/>
      </w:r>
      <w:r w:rsidR="00B22386" w:rsidRPr="00C52646">
        <w:t xml:space="preserve">Table </w:t>
      </w:r>
      <w:r w:rsidR="00B22386">
        <w:rPr>
          <w:noProof/>
        </w:rPr>
        <w:t>2</w:t>
      </w:r>
      <w:r w:rsidR="00FE6928">
        <w:rPr>
          <w:snapToGrid/>
        </w:rPr>
        <w:fldChar w:fldCharType="end"/>
      </w:r>
      <w:r w:rsidRPr="00711B90">
        <w:rPr>
          <w:snapToGrid/>
        </w:rPr>
        <w:t>.</w:t>
      </w:r>
    </w:p>
    <w:p w14:paraId="7DE3A286" w14:textId="19B1C7EB" w:rsidR="008E0D3C" w:rsidRPr="00C52646" w:rsidRDefault="00696EF9" w:rsidP="002E4F02">
      <w:pPr>
        <w:pStyle w:val="COMtablefigcaption"/>
      </w:pPr>
      <w:bookmarkStart w:id="38" w:name="_Ref104803956"/>
      <w:r w:rsidRPr="00C52646">
        <w:lastRenderedPageBreak/>
        <w:t xml:space="preserve">Table </w:t>
      </w:r>
      <w:fldSimple w:instr=" SEQ Table \* ARABIC " w:fldLock="1">
        <w:r w:rsidR="00B22386">
          <w:rPr>
            <w:noProof/>
          </w:rPr>
          <w:t>2</w:t>
        </w:r>
      </w:fldSimple>
      <w:bookmarkEnd w:id="38"/>
      <w:r w:rsidRPr="00C52646">
        <w:t>:</w:t>
      </w:r>
      <w:r w:rsidR="00BC591F" w:rsidRPr="00C52646">
        <w:t xml:space="preserve"> </w:t>
      </w:r>
      <w:r w:rsidR="00FE5C2D" w:rsidRPr="00C52646">
        <w:t>Studies</w:t>
      </w:r>
      <w:r w:rsidR="008E0D3C" w:rsidRPr="00C52646">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5"/>
        <w:gridCol w:w="5459"/>
        <w:gridCol w:w="2123"/>
      </w:tblGrid>
      <w:tr w:rsidR="00030F28" w:rsidRPr="00C52646" w14:paraId="36E431A0" w14:textId="77777777">
        <w:trPr>
          <w:tblHeader/>
        </w:trPr>
        <w:tc>
          <w:tcPr>
            <w:tcW w:w="796" w:type="pct"/>
            <w:tcBorders>
              <w:bottom w:val="single" w:sz="4" w:space="0" w:color="auto"/>
            </w:tcBorders>
            <w:vAlign w:val="center"/>
          </w:tcPr>
          <w:p w14:paraId="41BBA094" w14:textId="77777777" w:rsidR="00030F28" w:rsidRPr="005F6175" w:rsidRDefault="00030F28">
            <w:pPr>
              <w:pStyle w:val="COMTableheadingrow"/>
              <w:rPr>
                <w:lang w:val="en-AU"/>
              </w:rPr>
            </w:pPr>
            <w:r w:rsidRPr="005F6175">
              <w:rPr>
                <w:lang w:val="en-AU"/>
              </w:rPr>
              <w:t>Trial ID</w:t>
            </w:r>
          </w:p>
        </w:tc>
        <w:tc>
          <w:tcPr>
            <w:tcW w:w="3027" w:type="pct"/>
            <w:tcBorders>
              <w:bottom w:val="single" w:sz="4" w:space="0" w:color="auto"/>
            </w:tcBorders>
            <w:vAlign w:val="center"/>
          </w:tcPr>
          <w:p w14:paraId="560C3338" w14:textId="77777777" w:rsidR="00030F28" w:rsidRPr="005F6175" w:rsidRDefault="00030F28">
            <w:pPr>
              <w:pStyle w:val="COMTableheadingrow"/>
              <w:rPr>
                <w:lang w:val="en-AU"/>
              </w:rPr>
            </w:pPr>
            <w:r w:rsidRPr="005F6175">
              <w:rPr>
                <w:lang w:val="en-AU"/>
              </w:rPr>
              <w:t>Publication title</w:t>
            </w:r>
          </w:p>
        </w:tc>
        <w:tc>
          <w:tcPr>
            <w:tcW w:w="1177" w:type="pct"/>
            <w:tcBorders>
              <w:bottom w:val="single" w:sz="4" w:space="0" w:color="auto"/>
            </w:tcBorders>
            <w:vAlign w:val="center"/>
          </w:tcPr>
          <w:p w14:paraId="2D15C2F0" w14:textId="77777777" w:rsidR="00030F28" w:rsidRPr="005F6175" w:rsidRDefault="00030F28">
            <w:pPr>
              <w:pStyle w:val="COMTableheadingrow"/>
              <w:rPr>
                <w:lang w:val="en-AU"/>
              </w:rPr>
            </w:pPr>
            <w:r w:rsidRPr="005F6175">
              <w:rPr>
                <w:lang w:val="en-AU"/>
              </w:rPr>
              <w:t>Publication citation</w:t>
            </w:r>
          </w:p>
        </w:tc>
      </w:tr>
      <w:tr w:rsidR="00030F28" w:rsidRPr="00C52646" w14:paraId="10726770" w14:textId="77777777">
        <w:tc>
          <w:tcPr>
            <w:tcW w:w="5000" w:type="pct"/>
            <w:gridSpan w:val="3"/>
            <w:tcBorders>
              <w:bottom w:val="single" w:sz="4" w:space="0" w:color="auto"/>
            </w:tcBorders>
            <w:vAlign w:val="center"/>
          </w:tcPr>
          <w:p w14:paraId="6B50A90E" w14:textId="77777777" w:rsidR="00030F28" w:rsidRPr="00C52646" w:rsidRDefault="00030F28">
            <w:pPr>
              <w:pStyle w:val="COMTabletext"/>
              <w:rPr>
                <w:b/>
                <w:bCs w:val="0"/>
              </w:rPr>
            </w:pPr>
            <w:r w:rsidRPr="00C52646">
              <w:rPr>
                <w:b/>
                <w:bCs w:val="0"/>
              </w:rPr>
              <w:t>Ibrutinib + venetoclax studies</w:t>
            </w:r>
          </w:p>
        </w:tc>
      </w:tr>
      <w:tr w:rsidR="00030F28" w:rsidRPr="00C52646" w14:paraId="1DD537FA" w14:textId="77777777" w:rsidTr="005F6175">
        <w:tc>
          <w:tcPr>
            <w:tcW w:w="796" w:type="pct"/>
            <w:vMerge w:val="restart"/>
            <w:tcBorders>
              <w:top w:val="single" w:sz="4" w:space="0" w:color="auto"/>
            </w:tcBorders>
            <w:vAlign w:val="center"/>
          </w:tcPr>
          <w:p w14:paraId="0FF6F627" w14:textId="77777777" w:rsidR="00030F28" w:rsidRPr="00C52646" w:rsidRDefault="00030F28">
            <w:pPr>
              <w:pStyle w:val="COMTabletext"/>
            </w:pPr>
            <w:r w:rsidRPr="00C52646">
              <w:t>CAPTIVATE</w:t>
            </w:r>
          </w:p>
        </w:tc>
        <w:tc>
          <w:tcPr>
            <w:tcW w:w="3027" w:type="pct"/>
            <w:tcBorders>
              <w:top w:val="single" w:sz="4" w:space="0" w:color="auto"/>
              <w:bottom w:val="nil"/>
            </w:tcBorders>
          </w:tcPr>
          <w:p w14:paraId="104DEE11" w14:textId="4E0BDCFC" w:rsidR="00030F28" w:rsidRPr="00C52646" w:rsidRDefault="00030F28" w:rsidP="0097282A">
            <w:pPr>
              <w:pStyle w:val="COMTabletext"/>
              <w:rPr>
                <w:szCs w:val="18"/>
              </w:rPr>
            </w:pPr>
            <w:r w:rsidRPr="00C52646">
              <w:rPr>
                <w:szCs w:val="18"/>
              </w:rPr>
              <w:t>Phase 2 study of the combination of ibrutinib plus venetoclax in patients with treatment-naive chronic lymphocytic leukemia / small lymphocytic lymphoma</w:t>
            </w:r>
            <w:r w:rsidR="0097282A" w:rsidRPr="00C52646">
              <w:rPr>
                <w:szCs w:val="18"/>
              </w:rPr>
              <w:t>.</w:t>
            </w:r>
          </w:p>
        </w:tc>
        <w:tc>
          <w:tcPr>
            <w:tcW w:w="1177" w:type="pct"/>
            <w:tcBorders>
              <w:top w:val="single" w:sz="4" w:space="0" w:color="auto"/>
              <w:bottom w:val="nil"/>
            </w:tcBorders>
          </w:tcPr>
          <w:p w14:paraId="18B2C8FC" w14:textId="3492E414" w:rsidR="00030F28" w:rsidRPr="00C52646" w:rsidRDefault="00030F28" w:rsidP="0097282A">
            <w:pPr>
              <w:pStyle w:val="COMTabletext"/>
              <w:rPr>
                <w:szCs w:val="18"/>
              </w:rPr>
            </w:pPr>
            <w:r w:rsidRPr="00C52646">
              <w:rPr>
                <w:szCs w:val="18"/>
              </w:rPr>
              <w:t>Internal study report; 11 November 2021</w:t>
            </w:r>
            <w:r w:rsidR="00CC1FF8" w:rsidRPr="00C52646">
              <w:rPr>
                <w:szCs w:val="18"/>
              </w:rPr>
              <w:t>.</w:t>
            </w:r>
          </w:p>
        </w:tc>
      </w:tr>
      <w:tr w:rsidR="00030F28" w:rsidRPr="00C52646" w14:paraId="4DC63279" w14:textId="77777777" w:rsidTr="005F6175">
        <w:tc>
          <w:tcPr>
            <w:tcW w:w="796" w:type="pct"/>
            <w:vMerge/>
            <w:tcBorders>
              <w:bottom w:val="single" w:sz="4" w:space="0" w:color="auto"/>
            </w:tcBorders>
            <w:vAlign w:val="center"/>
          </w:tcPr>
          <w:p w14:paraId="17D12FCA" w14:textId="77777777" w:rsidR="00030F28" w:rsidRPr="00C52646" w:rsidRDefault="00030F28">
            <w:pPr>
              <w:pStyle w:val="COMTabletext"/>
            </w:pPr>
          </w:p>
        </w:tc>
        <w:tc>
          <w:tcPr>
            <w:tcW w:w="3027" w:type="pct"/>
            <w:tcBorders>
              <w:top w:val="nil"/>
              <w:bottom w:val="single" w:sz="4" w:space="0" w:color="auto"/>
            </w:tcBorders>
          </w:tcPr>
          <w:p w14:paraId="4F23142D" w14:textId="3E2062EC" w:rsidR="00030F28" w:rsidRPr="005F6175" w:rsidRDefault="00030F28" w:rsidP="0097282A">
            <w:pPr>
              <w:pStyle w:val="COMTabletext"/>
              <w:rPr>
                <w:szCs w:val="18"/>
              </w:rPr>
            </w:pPr>
            <w:r w:rsidRPr="005F6175">
              <w:rPr>
                <w:szCs w:val="18"/>
              </w:rPr>
              <w:t>Tam, CS, Allan, JN, Siddiqi, T, et al. Fixed-duration ibrutinib plus venetoclax for first-line treatment of CLL: primary analysis of the CAPTIVATE FD cohort</w:t>
            </w:r>
            <w:r w:rsidR="0097282A" w:rsidRPr="005F6175">
              <w:rPr>
                <w:szCs w:val="18"/>
              </w:rPr>
              <w:t>.</w:t>
            </w:r>
          </w:p>
        </w:tc>
        <w:tc>
          <w:tcPr>
            <w:tcW w:w="1177" w:type="pct"/>
            <w:tcBorders>
              <w:top w:val="nil"/>
              <w:bottom w:val="single" w:sz="4" w:space="0" w:color="auto"/>
            </w:tcBorders>
          </w:tcPr>
          <w:p w14:paraId="0FC9DA3E" w14:textId="7B72EBC9" w:rsidR="00030F28" w:rsidRPr="005F6175" w:rsidRDefault="00030F28" w:rsidP="0097282A">
            <w:pPr>
              <w:pStyle w:val="COMTabletext"/>
              <w:rPr>
                <w:i/>
                <w:szCs w:val="18"/>
              </w:rPr>
            </w:pPr>
            <w:r w:rsidRPr="003967D3">
              <w:rPr>
                <w:szCs w:val="18"/>
              </w:rPr>
              <w:t>Blood</w:t>
            </w:r>
            <w:r w:rsidRPr="005F6175">
              <w:rPr>
                <w:iCs/>
                <w:szCs w:val="18"/>
              </w:rPr>
              <w:t>. 2022; 139(22): 3278-3289</w:t>
            </w:r>
            <w:r w:rsidR="00CC1FF8" w:rsidRPr="005F6175">
              <w:rPr>
                <w:iCs/>
                <w:szCs w:val="18"/>
              </w:rPr>
              <w:t>.</w:t>
            </w:r>
          </w:p>
        </w:tc>
      </w:tr>
      <w:tr w:rsidR="00030F28" w:rsidRPr="00C52646" w14:paraId="3EF3E344" w14:textId="77777777">
        <w:tc>
          <w:tcPr>
            <w:tcW w:w="5000" w:type="pct"/>
            <w:gridSpan w:val="3"/>
            <w:tcBorders>
              <w:bottom w:val="single" w:sz="4" w:space="0" w:color="auto"/>
            </w:tcBorders>
            <w:vAlign w:val="center"/>
          </w:tcPr>
          <w:p w14:paraId="478B1D67" w14:textId="77777777" w:rsidR="00030F28" w:rsidRPr="00C52646" w:rsidRDefault="00030F28">
            <w:pPr>
              <w:pStyle w:val="COMTabletext"/>
              <w:rPr>
                <w:b/>
                <w:bCs w:val="0"/>
              </w:rPr>
            </w:pPr>
            <w:r w:rsidRPr="00C52646">
              <w:rPr>
                <w:b/>
                <w:bCs w:val="0"/>
              </w:rPr>
              <w:t>FCR trials</w:t>
            </w:r>
          </w:p>
        </w:tc>
      </w:tr>
      <w:tr w:rsidR="00030F28" w:rsidRPr="00C52646" w14:paraId="18DA7D58" w14:textId="77777777" w:rsidTr="005F6175">
        <w:tc>
          <w:tcPr>
            <w:tcW w:w="796" w:type="pct"/>
            <w:vMerge w:val="restart"/>
            <w:tcBorders>
              <w:top w:val="single" w:sz="4" w:space="0" w:color="auto"/>
            </w:tcBorders>
            <w:vAlign w:val="center"/>
          </w:tcPr>
          <w:p w14:paraId="2D62824B" w14:textId="77777777" w:rsidR="00030F28" w:rsidRPr="00C52646" w:rsidRDefault="00030F28">
            <w:pPr>
              <w:pStyle w:val="COMTabletext"/>
            </w:pPr>
            <w:r w:rsidRPr="00C52646">
              <w:t>ECOG1912</w:t>
            </w:r>
          </w:p>
        </w:tc>
        <w:tc>
          <w:tcPr>
            <w:tcW w:w="3027" w:type="pct"/>
            <w:tcBorders>
              <w:top w:val="single" w:sz="4" w:space="0" w:color="auto"/>
              <w:bottom w:val="nil"/>
            </w:tcBorders>
          </w:tcPr>
          <w:p w14:paraId="372D41E0" w14:textId="77777777" w:rsidR="00030F28" w:rsidRPr="00C52646" w:rsidRDefault="00030F28" w:rsidP="0097282A">
            <w:pPr>
              <w:pStyle w:val="COMTabletext"/>
              <w:rPr>
                <w:szCs w:val="18"/>
              </w:rPr>
            </w:pPr>
            <w:r w:rsidRPr="00C52646">
              <w:rPr>
                <w:szCs w:val="18"/>
              </w:rPr>
              <w:t xml:space="preserve">Shanafelt, TD, Wang, XV, Kay, NE, et al. Ibrutinib–rituximab or chemoimmunotherapy for chronic lymphocytic leukemia. </w:t>
            </w:r>
          </w:p>
        </w:tc>
        <w:tc>
          <w:tcPr>
            <w:tcW w:w="1177" w:type="pct"/>
            <w:tcBorders>
              <w:top w:val="single" w:sz="4" w:space="0" w:color="auto"/>
              <w:bottom w:val="nil"/>
            </w:tcBorders>
          </w:tcPr>
          <w:p w14:paraId="5E4504EA" w14:textId="77777777" w:rsidR="00030F28" w:rsidRPr="00C52646" w:rsidRDefault="00030F28" w:rsidP="0097282A">
            <w:pPr>
              <w:pStyle w:val="COMTabletext"/>
              <w:rPr>
                <w:i/>
              </w:rPr>
            </w:pPr>
            <w:r w:rsidRPr="003967D3">
              <w:rPr>
                <w:iCs/>
                <w:szCs w:val="18"/>
              </w:rPr>
              <w:t>New England Journal of Medicine</w:t>
            </w:r>
            <w:r w:rsidRPr="00C52646">
              <w:rPr>
                <w:szCs w:val="18"/>
              </w:rPr>
              <w:t>. 2019; 381(5): 432-443.</w:t>
            </w:r>
          </w:p>
        </w:tc>
      </w:tr>
      <w:tr w:rsidR="00030F28" w:rsidRPr="00C52646" w14:paraId="701B7409" w14:textId="77777777" w:rsidTr="005F6175">
        <w:tc>
          <w:tcPr>
            <w:tcW w:w="796" w:type="pct"/>
            <w:vMerge/>
            <w:tcBorders>
              <w:bottom w:val="single" w:sz="4" w:space="0" w:color="auto"/>
            </w:tcBorders>
            <w:vAlign w:val="center"/>
          </w:tcPr>
          <w:p w14:paraId="110767DF" w14:textId="77777777" w:rsidR="00030F28" w:rsidRPr="00C52646" w:rsidRDefault="00030F28">
            <w:pPr>
              <w:pStyle w:val="COMTabletext"/>
            </w:pPr>
          </w:p>
        </w:tc>
        <w:tc>
          <w:tcPr>
            <w:tcW w:w="3027" w:type="pct"/>
            <w:tcBorders>
              <w:top w:val="nil"/>
              <w:bottom w:val="single" w:sz="4" w:space="0" w:color="auto"/>
            </w:tcBorders>
          </w:tcPr>
          <w:p w14:paraId="642893C0" w14:textId="77777777" w:rsidR="00030F28" w:rsidRPr="00C52646" w:rsidRDefault="00030F28" w:rsidP="0097282A">
            <w:pPr>
              <w:pStyle w:val="COMTabletext"/>
              <w:rPr>
                <w:szCs w:val="18"/>
              </w:rPr>
            </w:pPr>
            <w:r w:rsidRPr="00C52646">
              <w:rPr>
                <w:szCs w:val="18"/>
              </w:rPr>
              <w:t xml:space="preserve">Shanafelt TD, Wang XV, Hanson CA, et al. Long-term Outcomes for Ibrutinib-Rituximab and Chemoimmunotherapy in CLL: Updated Results of the E1912 Trial. </w:t>
            </w:r>
          </w:p>
        </w:tc>
        <w:tc>
          <w:tcPr>
            <w:tcW w:w="1177" w:type="pct"/>
            <w:tcBorders>
              <w:top w:val="nil"/>
              <w:bottom w:val="single" w:sz="4" w:space="0" w:color="auto"/>
            </w:tcBorders>
          </w:tcPr>
          <w:p w14:paraId="03B9205E" w14:textId="765FDE3E" w:rsidR="00030F28" w:rsidRPr="00C52646" w:rsidRDefault="00030F28" w:rsidP="0097282A">
            <w:pPr>
              <w:pStyle w:val="COMTabletext"/>
            </w:pPr>
            <w:r w:rsidRPr="003967D3">
              <w:rPr>
                <w:iCs/>
                <w:szCs w:val="18"/>
              </w:rPr>
              <w:t>Blood</w:t>
            </w:r>
            <w:r w:rsidRPr="00C52646">
              <w:rPr>
                <w:szCs w:val="18"/>
              </w:rPr>
              <w:t>. 2022;140(2): 112-120</w:t>
            </w:r>
            <w:r w:rsidR="00CC1FF8" w:rsidRPr="00C52646">
              <w:rPr>
                <w:szCs w:val="18"/>
              </w:rPr>
              <w:t>.</w:t>
            </w:r>
          </w:p>
        </w:tc>
      </w:tr>
    </w:tbl>
    <w:p w14:paraId="4BD7E367" w14:textId="69092D4E" w:rsidR="00030F28" w:rsidRPr="00C52646" w:rsidRDefault="00030F28" w:rsidP="00030F28">
      <w:pPr>
        <w:pStyle w:val="COMTablefooter"/>
      </w:pPr>
      <w:r w:rsidRPr="00C52646">
        <w:t>Source: Table 2-7, p76 of the submission</w:t>
      </w:r>
      <w:r w:rsidR="00155719">
        <w:t>.</w:t>
      </w:r>
    </w:p>
    <w:p w14:paraId="1D32D254" w14:textId="4E8CFD0E" w:rsidR="00030F28" w:rsidRPr="00C52646" w:rsidRDefault="00030F28" w:rsidP="00030F28">
      <w:pPr>
        <w:pStyle w:val="COMTablefooter"/>
      </w:pPr>
      <w:r w:rsidRPr="00C52646">
        <w:t>Abbreviations: FCR, fludarabine, cyclophosphamide, rituximab</w:t>
      </w:r>
    </w:p>
    <w:p w14:paraId="39ED1DD8" w14:textId="6A08E9AC" w:rsidR="0039263A" w:rsidRPr="00896D02" w:rsidRDefault="00A41BA2" w:rsidP="00E255C7">
      <w:pPr>
        <w:pStyle w:val="COMexecsumnumberedpara"/>
      </w:pPr>
      <w:r w:rsidRPr="0039263A">
        <w:t>The submission identified a total of six trials of FCR for possible inclusion in the submission (ECOG1912, CLL-10, CLL-8, ADMIRE, FLAIR and ARCTIC). The submission claimed that results for progression</w:t>
      </w:r>
      <w:r w:rsidR="0051352D">
        <w:t>-</w:t>
      </w:r>
      <w:r w:rsidRPr="0039263A">
        <w:t xml:space="preserve">free survival and overall survival were similar across trials, </w:t>
      </w:r>
      <w:r w:rsidRPr="003967D3">
        <w:rPr>
          <w:iCs/>
        </w:rPr>
        <w:t xml:space="preserve">however, significant variability in progression-free </w:t>
      </w:r>
      <w:r w:rsidRPr="00E23C90">
        <w:rPr>
          <w:iCs/>
        </w:rPr>
        <w:t>survival</w:t>
      </w:r>
      <w:r w:rsidR="00AA075D" w:rsidRPr="00E23C90">
        <w:rPr>
          <w:iCs/>
        </w:rPr>
        <w:t xml:space="preserve"> was apparent</w:t>
      </w:r>
      <w:r w:rsidRPr="0039263A">
        <w:t xml:space="preserve">. The submission justified the use of </w:t>
      </w:r>
      <w:r>
        <w:t>ECOG1912</w:t>
      </w:r>
      <w:r w:rsidRPr="0039263A">
        <w:t xml:space="preserve"> as the pivotal FCR trial used in the submission because data were relatively mature, the trial was recently conducted (i.e., post the availability of BTK inhibitors), and therefore represented the most recent clinical evidence of FCR in previously untreated fit CLL/SLL for which the sponsor had access to patient level data. </w:t>
      </w:r>
      <w:r w:rsidRPr="002512EE">
        <w:rPr>
          <w:iCs/>
        </w:rPr>
        <w:t xml:space="preserve">The </w:t>
      </w:r>
      <w:r w:rsidR="00E23C90" w:rsidRPr="002512EE">
        <w:rPr>
          <w:iCs/>
        </w:rPr>
        <w:t xml:space="preserve">evaluation considered that </w:t>
      </w:r>
      <w:r w:rsidR="006D2170" w:rsidRPr="002512EE">
        <w:rPr>
          <w:iCs/>
        </w:rPr>
        <w:t xml:space="preserve">it may have been more appropriate to use </w:t>
      </w:r>
      <w:r w:rsidR="00E23C90" w:rsidRPr="002512EE">
        <w:rPr>
          <w:iCs/>
        </w:rPr>
        <w:t xml:space="preserve">the </w:t>
      </w:r>
      <w:r w:rsidRPr="002512EE">
        <w:rPr>
          <w:iCs/>
        </w:rPr>
        <w:t xml:space="preserve">pooled data </w:t>
      </w:r>
      <w:r w:rsidR="00E23C90" w:rsidRPr="002512EE">
        <w:rPr>
          <w:iCs/>
        </w:rPr>
        <w:t xml:space="preserve">and that it </w:t>
      </w:r>
      <w:r w:rsidR="000B0E2B" w:rsidRPr="002512EE">
        <w:rPr>
          <w:iCs/>
        </w:rPr>
        <w:t>was</w:t>
      </w:r>
      <w:r w:rsidR="00E23C90" w:rsidRPr="002512EE">
        <w:rPr>
          <w:iCs/>
        </w:rPr>
        <w:t xml:space="preserve"> unclear whether ECOG1912 is representative of FCR treatment in current clinical practice</w:t>
      </w:r>
      <w:r w:rsidRPr="006D6FD2">
        <w:rPr>
          <w:iCs/>
        </w:rPr>
        <w:t xml:space="preserve">. </w:t>
      </w:r>
      <w:r w:rsidR="00AA075D" w:rsidRPr="001434A1">
        <w:t xml:space="preserve">The ESC </w:t>
      </w:r>
      <w:r w:rsidR="00E23C90" w:rsidRPr="001434A1">
        <w:t xml:space="preserve">considered that </w:t>
      </w:r>
      <w:r w:rsidR="005E0C26" w:rsidRPr="001434A1">
        <w:t xml:space="preserve">while </w:t>
      </w:r>
      <w:r w:rsidR="00E23C90" w:rsidRPr="001434A1">
        <w:t xml:space="preserve">the submission </w:t>
      </w:r>
      <w:r w:rsidR="006D2170" w:rsidRPr="001434A1">
        <w:t xml:space="preserve">did not adequately justify the selection of </w:t>
      </w:r>
      <w:r w:rsidR="00E23C90" w:rsidRPr="001434A1">
        <w:t>ECOG1912</w:t>
      </w:r>
      <w:r w:rsidR="005E0C26" w:rsidRPr="001434A1">
        <w:t>,</w:t>
      </w:r>
      <w:r w:rsidR="00E23C90" w:rsidRPr="001434A1">
        <w:t xml:space="preserve"> this was </w:t>
      </w:r>
      <w:r w:rsidR="006D2170" w:rsidRPr="001434A1">
        <w:t xml:space="preserve">unlikely to substantially impact the </w:t>
      </w:r>
      <w:r w:rsidR="0051352D">
        <w:t>conclusions</w:t>
      </w:r>
      <w:r w:rsidR="006D2170" w:rsidRPr="001434A1">
        <w:t xml:space="preserve"> given it was a relatively large trial</w:t>
      </w:r>
      <w:r w:rsidR="00E23C90" w:rsidRPr="001434A1">
        <w:t xml:space="preserve">. </w:t>
      </w:r>
    </w:p>
    <w:p w14:paraId="1DD06D7D" w14:textId="1849AF2A" w:rsidR="007F1017" w:rsidRPr="00C52646" w:rsidRDefault="008F120A" w:rsidP="00E255C7">
      <w:pPr>
        <w:pStyle w:val="COMexecsumnumberedpara"/>
        <w:rPr>
          <w:color w:val="0066FF"/>
        </w:rPr>
      </w:pPr>
      <w:r w:rsidRPr="00C52646">
        <w:t xml:space="preserve">The key features of the </w:t>
      </w:r>
      <w:r w:rsidR="00251BD6" w:rsidRPr="00C52646">
        <w:t>included studies</w:t>
      </w:r>
      <w:r w:rsidRPr="00C52646">
        <w:t xml:space="preserve"> are summarised in</w:t>
      </w:r>
      <w:r w:rsidR="00D6076E" w:rsidRPr="00C52646">
        <w:t xml:space="preserve"> </w:t>
      </w:r>
      <w:r w:rsidR="00D6076E" w:rsidRPr="00C52646">
        <w:fldChar w:fldCharType="begin" w:fldLock="1"/>
      </w:r>
      <w:r w:rsidR="00D6076E" w:rsidRPr="00C52646">
        <w:instrText xml:space="preserve"> REF _Ref104804098 \h  \* MERGEFORMAT </w:instrText>
      </w:r>
      <w:r w:rsidR="00D6076E" w:rsidRPr="00C52646">
        <w:fldChar w:fldCharType="separate"/>
      </w:r>
      <w:r w:rsidR="00B22386" w:rsidRPr="00C52646">
        <w:t xml:space="preserve">Table </w:t>
      </w:r>
      <w:r w:rsidR="00B22386">
        <w:t>3</w:t>
      </w:r>
      <w:r w:rsidR="00D6076E" w:rsidRPr="00C52646">
        <w:fldChar w:fldCharType="end"/>
      </w:r>
      <w:r w:rsidRPr="00C52646">
        <w:t>.</w:t>
      </w:r>
      <w:r w:rsidR="00BC591F" w:rsidRPr="00C52646">
        <w:t xml:space="preserve"> </w:t>
      </w:r>
    </w:p>
    <w:p w14:paraId="355E2F15" w14:textId="1ED9F543" w:rsidR="007F1017" w:rsidRPr="00C52646" w:rsidRDefault="00696EF9" w:rsidP="00FD4ED6">
      <w:pPr>
        <w:pStyle w:val="COMtablefigcaption"/>
      </w:pPr>
      <w:bookmarkStart w:id="39" w:name="_Ref104804098"/>
      <w:r w:rsidRPr="00C52646">
        <w:lastRenderedPageBreak/>
        <w:t xml:space="preserve">Table </w:t>
      </w:r>
      <w:fldSimple w:instr=" SEQ Table \* ARABIC " w:fldLock="1">
        <w:r w:rsidR="00B22386">
          <w:rPr>
            <w:noProof/>
          </w:rPr>
          <w:t>3</w:t>
        </w:r>
      </w:fldSimple>
      <w:bookmarkEnd w:id="39"/>
      <w:r w:rsidR="00D6076E" w:rsidRPr="00C52646">
        <w:t xml:space="preserve">: </w:t>
      </w:r>
      <w:r w:rsidR="007F1017" w:rsidRPr="00C52646">
        <w:t>Key features of the included evidence</w:t>
      </w:r>
      <w:r w:rsidR="00FF447C" w:rsidRPr="00C52646">
        <w:t>- naïve indirect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naïve indirect comparison"/>
      </w:tblPr>
      <w:tblGrid>
        <w:gridCol w:w="968"/>
        <w:gridCol w:w="330"/>
        <w:gridCol w:w="2241"/>
        <w:gridCol w:w="709"/>
        <w:gridCol w:w="1843"/>
        <w:gridCol w:w="1701"/>
        <w:gridCol w:w="1225"/>
      </w:tblGrid>
      <w:tr w:rsidR="00E82A61" w:rsidRPr="00C52646" w14:paraId="53DD7CC6" w14:textId="77777777" w:rsidTr="005F6175">
        <w:trPr>
          <w:cantSplit/>
          <w:tblHeader/>
        </w:trPr>
        <w:tc>
          <w:tcPr>
            <w:tcW w:w="0" w:type="auto"/>
            <w:shd w:val="clear" w:color="auto" w:fill="auto"/>
            <w:vAlign w:val="center"/>
          </w:tcPr>
          <w:p w14:paraId="794116BC" w14:textId="77777777" w:rsidR="007F1017" w:rsidRPr="005F6175" w:rsidRDefault="007F1017" w:rsidP="001E34DF">
            <w:pPr>
              <w:pStyle w:val="COMTableheadingrow"/>
              <w:rPr>
                <w:lang w:val="en-AU"/>
              </w:rPr>
            </w:pPr>
            <w:r w:rsidRPr="005F6175">
              <w:rPr>
                <w:lang w:val="en-AU"/>
              </w:rPr>
              <w:t>Trial</w:t>
            </w:r>
          </w:p>
        </w:tc>
        <w:tc>
          <w:tcPr>
            <w:tcW w:w="0" w:type="auto"/>
            <w:shd w:val="clear" w:color="auto" w:fill="auto"/>
            <w:vAlign w:val="center"/>
          </w:tcPr>
          <w:p w14:paraId="51122FE5" w14:textId="77777777" w:rsidR="007F1017" w:rsidRPr="005F6175" w:rsidRDefault="007F1017" w:rsidP="00EC5836">
            <w:pPr>
              <w:pStyle w:val="COMTableheadingrow"/>
              <w:jc w:val="center"/>
              <w:rPr>
                <w:lang w:val="en-AU"/>
              </w:rPr>
            </w:pPr>
            <w:r w:rsidRPr="005F6175">
              <w:rPr>
                <w:lang w:val="en-AU"/>
              </w:rPr>
              <w:t>N</w:t>
            </w:r>
          </w:p>
        </w:tc>
        <w:tc>
          <w:tcPr>
            <w:tcW w:w="2241" w:type="dxa"/>
            <w:shd w:val="clear" w:color="auto" w:fill="auto"/>
            <w:vAlign w:val="center"/>
          </w:tcPr>
          <w:p w14:paraId="41C438EF" w14:textId="4E56957A" w:rsidR="007F1017" w:rsidRPr="005F6175" w:rsidRDefault="007F1017" w:rsidP="00EC5836">
            <w:pPr>
              <w:pStyle w:val="COMTableheadingrow"/>
              <w:jc w:val="center"/>
              <w:rPr>
                <w:lang w:val="en-AU"/>
              </w:rPr>
            </w:pPr>
            <w:r w:rsidRPr="005F6175">
              <w:rPr>
                <w:lang w:val="en-AU"/>
              </w:rPr>
              <w:t>Design/duration</w:t>
            </w:r>
          </w:p>
        </w:tc>
        <w:tc>
          <w:tcPr>
            <w:tcW w:w="709" w:type="dxa"/>
            <w:shd w:val="clear" w:color="auto" w:fill="auto"/>
            <w:vAlign w:val="center"/>
          </w:tcPr>
          <w:p w14:paraId="1FC91360" w14:textId="77777777" w:rsidR="007F1017" w:rsidRPr="005F6175" w:rsidRDefault="007F1017" w:rsidP="00EC5836">
            <w:pPr>
              <w:pStyle w:val="COMTableheadingrow"/>
              <w:jc w:val="center"/>
              <w:rPr>
                <w:lang w:val="en-AU"/>
              </w:rPr>
            </w:pPr>
            <w:r w:rsidRPr="005F6175">
              <w:rPr>
                <w:lang w:val="en-AU"/>
              </w:rPr>
              <w:t>Risk of bias</w:t>
            </w:r>
          </w:p>
        </w:tc>
        <w:tc>
          <w:tcPr>
            <w:tcW w:w="1843" w:type="dxa"/>
            <w:shd w:val="clear" w:color="auto" w:fill="auto"/>
            <w:vAlign w:val="center"/>
          </w:tcPr>
          <w:p w14:paraId="7FF90896" w14:textId="77777777" w:rsidR="007F1017" w:rsidRPr="005F6175" w:rsidRDefault="007F1017" w:rsidP="00EC5836">
            <w:pPr>
              <w:pStyle w:val="COMTableheadingrow"/>
              <w:jc w:val="center"/>
              <w:rPr>
                <w:lang w:val="en-AU"/>
              </w:rPr>
            </w:pPr>
            <w:r w:rsidRPr="005F6175">
              <w:rPr>
                <w:lang w:val="en-AU"/>
              </w:rPr>
              <w:t>Patient population</w:t>
            </w:r>
          </w:p>
        </w:tc>
        <w:tc>
          <w:tcPr>
            <w:tcW w:w="1701" w:type="dxa"/>
            <w:shd w:val="clear" w:color="auto" w:fill="auto"/>
            <w:vAlign w:val="center"/>
          </w:tcPr>
          <w:p w14:paraId="0FCB63F9" w14:textId="2EA67F58" w:rsidR="007F1017" w:rsidRPr="005F6175" w:rsidRDefault="007F1017" w:rsidP="00EC5836">
            <w:pPr>
              <w:pStyle w:val="COMTableheadingrow"/>
              <w:jc w:val="center"/>
              <w:rPr>
                <w:lang w:val="en-AU"/>
              </w:rPr>
            </w:pPr>
            <w:r w:rsidRPr="005F6175">
              <w:rPr>
                <w:lang w:val="en-AU"/>
              </w:rPr>
              <w:t>Outcomes</w:t>
            </w:r>
          </w:p>
        </w:tc>
        <w:tc>
          <w:tcPr>
            <w:tcW w:w="1225" w:type="dxa"/>
            <w:shd w:val="clear" w:color="auto" w:fill="auto"/>
            <w:vAlign w:val="center"/>
          </w:tcPr>
          <w:p w14:paraId="08C6F624" w14:textId="77777777" w:rsidR="007F1017" w:rsidRPr="005F6175" w:rsidRDefault="007F1017" w:rsidP="00EC5836">
            <w:pPr>
              <w:pStyle w:val="COMTableheadingrow"/>
              <w:jc w:val="center"/>
              <w:rPr>
                <w:lang w:val="en-AU"/>
              </w:rPr>
            </w:pPr>
            <w:r w:rsidRPr="005F6175">
              <w:rPr>
                <w:lang w:val="en-AU"/>
              </w:rPr>
              <w:t>Use in modelled evaluation</w:t>
            </w:r>
          </w:p>
        </w:tc>
      </w:tr>
      <w:tr w:rsidR="007F1017" w:rsidRPr="00C52646" w14:paraId="2A03CD4B" w14:textId="77777777" w:rsidTr="008B27EC">
        <w:trPr>
          <w:cantSplit/>
        </w:trPr>
        <w:tc>
          <w:tcPr>
            <w:tcW w:w="0" w:type="auto"/>
            <w:gridSpan w:val="7"/>
            <w:shd w:val="clear" w:color="auto" w:fill="auto"/>
            <w:vAlign w:val="center"/>
          </w:tcPr>
          <w:p w14:paraId="73088C85" w14:textId="44700D0A" w:rsidR="007F1017" w:rsidRPr="005F6175" w:rsidRDefault="008C0489" w:rsidP="00EC5836">
            <w:pPr>
              <w:pStyle w:val="COMTableheadingrow"/>
              <w:rPr>
                <w:lang w:val="en-AU"/>
              </w:rPr>
            </w:pPr>
            <w:r w:rsidRPr="005F6175">
              <w:rPr>
                <w:lang w:val="en-AU"/>
              </w:rPr>
              <w:t>Ibrutinib + venetoclax</w:t>
            </w:r>
          </w:p>
        </w:tc>
      </w:tr>
      <w:tr w:rsidR="00E82A61" w:rsidRPr="003967D3" w14:paraId="4EE88DCB" w14:textId="77777777" w:rsidTr="005F6175">
        <w:trPr>
          <w:cantSplit/>
        </w:trPr>
        <w:tc>
          <w:tcPr>
            <w:tcW w:w="0" w:type="auto"/>
            <w:shd w:val="clear" w:color="auto" w:fill="auto"/>
            <w:vAlign w:val="center"/>
          </w:tcPr>
          <w:p w14:paraId="6EE77D33" w14:textId="6242AEAE" w:rsidR="007F1017" w:rsidRPr="003967D3" w:rsidRDefault="008C0489" w:rsidP="00EC5836">
            <w:pPr>
              <w:pStyle w:val="COMTabletext"/>
            </w:pPr>
            <w:r w:rsidRPr="003967D3">
              <w:t>CAPTIVATE</w:t>
            </w:r>
            <w:r w:rsidR="00203B36" w:rsidRPr="003967D3">
              <w:t xml:space="preserve"> FD cohort</w:t>
            </w:r>
          </w:p>
        </w:tc>
        <w:tc>
          <w:tcPr>
            <w:tcW w:w="0" w:type="auto"/>
            <w:shd w:val="clear" w:color="auto" w:fill="auto"/>
            <w:vAlign w:val="center"/>
          </w:tcPr>
          <w:p w14:paraId="41BB0E41" w14:textId="5024A6EA" w:rsidR="007F1017" w:rsidRPr="003967D3" w:rsidRDefault="00C3195E" w:rsidP="00EC5836">
            <w:pPr>
              <w:pStyle w:val="COMTabletext"/>
              <w:jc w:val="center"/>
            </w:pPr>
            <w:r w:rsidRPr="003967D3">
              <w:t>159</w:t>
            </w:r>
          </w:p>
        </w:tc>
        <w:tc>
          <w:tcPr>
            <w:tcW w:w="2241" w:type="dxa"/>
            <w:shd w:val="clear" w:color="auto" w:fill="auto"/>
            <w:vAlign w:val="center"/>
          </w:tcPr>
          <w:p w14:paraId="5AD35A74" w14:textId="77777777" w:rsidR="007F1017" w:rsidRPr="003967D3" w:rsidRDefault="00F07BDA" w:rsidP="007F2A5A">
            <w:pPr>
              <w:pStyle w:val="COMTabletext"/>
            </w:pPr>
            <w:r w:rsidRPr="003967D3">
              <w:t>Single-arm, open-label study</w:t>
            </w:r>
          </w:p>
          <w:p w14:paraId="7A658AA0" w14:textId="77777777" w:rsidR="002C65E3" w:rsidRPr="003967D3" w:rsidRDefault="00F07BDA" w:rsidP="007F2A5A">
            <w:pPr>
              <w:pStyle w:val="COMTabletext"/>
            </w:pPr>
            <w:r w:rsidRPr="003967D3">
              <w:t xml:space="preserve">Median duration of follow-up: </w:t>
            </w:r>
          </w:p>
          <w:p w14:paraId="6648F749" w14:textId="15FAB53B" w:rsidR="00F07BDA" w:rsidRPr="003967D3" w:rsidRDefault="00C92977" w:rsidP="001104CE">
            <w:pPr>
              <w:pStyle w:val="COMTabletext"/>
              <w:numPr>
                <w:ilvl w:val="0"/>
                <w:numId w:val="6"/>
              </w:numPr>
              <w:ind w:left="113" w:hanging="113"/>
            </w:pPr>
            <w:r w:rsidRPr="003967D3">
              <w:t>12 November 202</w:t>
            </w:r>
            <w:r w:rsidR="008C279C" w:rsidRPr="003967D3">
              <w:t xml:space="preserve">0; </w:t>
            </w:r>
            <w:r w:rsidR="008E5340" w:rsidRPr="003967D3">
              <w:t>27.9 months</w:t>
            </w:r>
          </w:p>
          <w:p w14:paraId="744D08AC" w14:textId="161001D5" w:rsidR="008E5340" w:rsidRPr="003967D3" w:rsidRDefault="008C279C" w:rsidP="001104CE">
            <w:pPr>
              <w:pStyle w:val="COMTabletext"/>
              <w:numPr>
                <w:ilvl w:val="0"/>
                <w:numId w:val="6"/>
              </w:numPr>
              <w:ind w:left="113" w:hanging="113"/>
            </w:pPr>
            <w:r w:rsidRPr="003967D3">
              <w:t xml:space="preserve">4 August 2021; </w:t>
            </w:r>
            <w:r w:rsidR="008E5340" w:rsidRPr="003967D3">
              <w:t>38.7 months</w:t>
            </w:r>
          </w:p>
        </w:tc>
        <w:tc>
          <w:tcPr>
            <w:tcW w:w="709" w:type="dxa"/>
            <w:shd w:val="clear" w:color="auto" w:fill="auto"/>
            <w:vAlign w:val="center"/>
          </w:tcPr>
          <w:p w14:paraId="4A529D74" w14:textId="384E7B5F" w:rsidR="007F1017" w:rsidRPr="003967D3" w:rsidRDefault="008C279C" w:rsidP="00EC5836">
            <w:pPr>
              <w:pStyle w:val="COMTabletext"/>
              <w:jc w:val="center"/>
            </w:pPr>
            <w:r w:rsidRPr="003967D3">
              <w:t>High</w:t>
            </w:r>
          </w:p>
        </w:tc>
        <w:tc>
          <w:tcPr>
            <w:tcW w:w="1843" w:type="dxa"/>
            <w:shd w:val="clear" w:color="auto" w:fill="auto"/>
            <w:vAlign w:val="center"/>
          </w:tcPr>
          <w:p w14:paraId="5E6F456D" w14:textId="71AB184A" w:rsidR="007F1017" w:rsidRPr="003967D3" w:rsidRDefault="00D22D44" w:rsidP="005F6175">
            <w:pPr>
              <w:pStyle w:val="COMTabletext"/>
            </w:pPr>
            <w:r w:rsidRPr="003967D3">
              <w:rPr>
                <w:bCs w:val="0"/>
              </w:rPr>
              <w:t xml:space="preserve">Age </w:t>
            </w:r>
            <w:r w:rsidR="00575A34" w:rsidRPr="003967D3">
              <w:rPr>
                <w:bCs w:val="0"/>
              </w:rPr>
              <w:t>18</w:t>
            </w:r>
            <w:r w:rsidR="00E82A61" w:rsidRPr="003967D3">
              <w:t>-</w:t>
            </w:r>
            <w:r w:rsidR="001305F5" w:rsidRPr="003967D3">
              <w:rPr>
                <w:bCs w:val="0"/>
              </w:rPr>
              <w:t>70</w:t>
            </w:r>
            <w:r w:rsidRPr="003967D3">
              <w:rPr>
                <w:bCs w:val="0"/>
              </w:rPr>
              <w:t xml:space="preserve"> years</w:t>
            </w:r>
            <w:r w:rsidR="00E82A61" w:rsidRPr="003967D3">
              <w:t>; a</w:t>
            </w:r>
            <w:r w:rsidR="0050153C" w:rsidRPr="003967D3">
              <w:rPr>
                <w:bCs w:val="0"/>
              </w:rPr>
              <w:t xml:space="preserve">dequate </w:t>
            </w:r>
            <w:r w:rsidR="00EB2569" w:rsidRPr="003967D3">
              <w:rPr>
                <w:bCs w:val="0"/>
              </w:rPr>
              <w:t>hematologic</w:t>
            </w:r>
            <w:r w:rsidR="00E175D9" w:rsidRPr="003967D3">
              <w:rPr>
                <w:bCs w:val="0"/>
              </w:rPr>
              <w:t>, hepatic, and renal function</w:t>
            </w:r>
            <w:r w:rsidR="00E82A61" w:rsidRPr="003967D3">
              <w:t>; d</w:t>
            </w:r>
            <w:r w:rsidR="00E175D9" w:rsidRPr="003967D3">
              <w:rPr>
                <w:bCs w:val="0"/>
              </w:rPr>
              <w:t>iagnosis of CLL/SLL that meets IWCLL diagnostic criteria</w:t>
            </w:r>
            <w:r w:rsidR="00575A34" w:rsidRPr="003967D3">
              <w:rPr>
                <w:bCs w:val="0"/>
              </w:rPr>
              <w:t xml:space="preserve"> and requires treatment</w:t>
            </w:r>
            <w:r w:rsidR="00853E01" w:rsidRPr="003967D3">
              <w:t xml:space="preserve">; </w:t>
            </w:r>
            <w:r w:rsidRPr="003967D3">
              <w:rPr>
                <w:bCs w:val="0"/>
              </w:rPr>
              <w:t xml:space="preserve">ECOG score </w:t>
            </w:r>
            <w:r w:rsidR="00B65F82" w:rsidRPr="003967D3">
              <w:rPr>
                <w:bCs w:val="0"/>
              </w:rPr>
              <w:t>0-</w:t>
            </w:r>
            <w:r w:rsidRPr="003967D3">
              <w:rPr>
                <w:bCs w:val="0"/>
              </w:rPr>
              <w:t>2</w:t>
            </w:r>
            <w:r w:rsidR="00853E01" w:rsidRPr="003967D3">
              <w:t>; n</w:t>
            </w:r>
            <w:r w:rsidRPr="003967D3">
              <w:t xml:space="preserve">o prior </w:t>
            </w:r>
            <w:r w:rsidR="00F558D3" w:rsidRPr="003967D3">
              <w:t>therapy for</w:t>
            </w:r>
            <w:r w:rsidRPr="003967D3">
              <w:t xml:space="preserve"> CLL</w:t>
            </w:r>
          </w:p>
        </w:tc>
        <w:tc>
          <w:tcPr>
            <w:tcW w:w="1701" w:type="dxa"/>
            <w:shd w:val="clear" w:color="auto" w:fill="auto"/>
            <w:vAlign w:val="center"/>
          </w:tcPr>
          <w:p w14:paraId="0D0011A3" w14:textId="235E2F86" w:rsidR="00D02760" w:rsidRPr="003967D3" w:rsidRDefault="00372D9F" w:rsidP="001104CE">
            <w:pPr>
              <w:pStyle w:val="COMTabletext"/>
              <w:numPr>
                <w:ilvl w:val="0"/>
                <w:numId w:val="6"/>
              </w:numPr>
              <w:ind w:left="113" w:hanging="113"/>
            </w:pPr>
            <w:r w:rsidRPr="003967D3">
              <w:t>Complete response rate</w:t>
            </w:r>
          </w:p>
          <w:p w14:paraId="7C51BC91" w14:textId="6EC53FC7" w:rsidR="00D22D44" w:rsidRPr="003967D3" w:rsidRDefault="00D22D44" w:rsidP="001104CE">
            <w:pPr>
              <w:pStyle w:val="COMTabletext"/>
              <w:numPr>
                <w:ilvl w:val="0"/>
                <w:numId w:val="6"/>
              </w:numPr>
              <w:ind w:left="113" w:hanging="113"/>
            </w:pPr>
            <w:r w:rsidRPr="003967D3">
              <w:t xml:space="preserve">Progression-free survival </w:t>
            </w:r>
          </w:p>
          <w:p w14:paraId="66BBEFCC" w14:textId="43C78073" w:rsidR="00D22D44" w:rsidRPr="003967D3" w:rsidRDefault="00372D9F" w:rsidP="001104CE">
            <w:pPr>
              <w:pStyle w:val="COMTabletext"/>
              <w:numPr>
                <w:ilvl w:val="0"/>
                <w:numId w:val="6"/>
              </w:numPr>
              <w:ind w:left="113" w:hanging="113"/>
            </w:pPr>
            <w:r w:rsidRPr="003967D3">
              <w:t>Overall survival</w:t>
            </w:r>
          </w:p>
          <w:p w14:paraId="52EB5F51" w14:textId="76D3E03B" w:rsidR="00D22D44" w:rsidRPr="003967D3" w:rsidRDefault="00D22D44" w:rsidP="001104CE">
            <w:pPr>
              <w:pStyle w:val="COMTabletext"/>
              <w:numPr>
                <w:ilvl w:val="0"/>
                <w:numId w:val="6"/>
              </w:numPr>
              <w:ind w:left="113" w:hanging="113"/>
            </w:pPr>
            <w:r w:rsidRPr="003967D3">
              <w:t xml:space="preserve">Overall response rate </w:t>
            </w:r>
          </w:p>
          <w:p w14:paraId="0C1A978E" w14:textId="0BD7CB2A" w:rsidR="00D22D44" w:rsidRPr="003967D3" w:rsidRDefault="00372D9F" w:rsidP="001104CE">
            <w:pPr>
              <w:pStyle w:val="COMTabletext"/>
              <w:numPr>
                <w:ilvl w:val="0"/>
                <w:numId w:val="6"/>
              </w:numPr>
              <w:ind w:left="113" w:hanging="113"/>
            </w:pPr>
            <w:r w:rsidRPr="003967D3">
              <w:t>MRD negativity rate</w:t>
            </w:r>
          </w:p>
          <w:p w14:paraId="6DC76214" w14:textId="7472F6A6" w:rsidR="007F1017" w:rsidRPr="003967D3" w:rsidRDefault="00D22D44" w:rsidP="001104CE">
            <w:pPr>
              <w:pStyle w:val="COMTabletext"/>
              <w:numPr>
                <w:ilvl w:val="0"/>
                <w:numId w:val="6"/>
              </w:numPr>
              <w:ind w:left="113" w:hanging="113"/>
            </w:pPr>
            <w:r w:rsidRPr="003967D3">
              <w:t xml:space="preserve">Adverse events </w:t>
            </w:r>
          </w:p>
        </w:tc>
        <w:tc>
          <w:tcPr>
            <w:tcW w:w="1225" w:type="dxa"/>
            <w:shd w:val="clear" w:color="auto" w:fill="auto"/>
            <w:vAlign w:val="center"/>
          </w:tcPr>
          <w:p w14:paraId="150A804C" w14:textId="64591C42" w:rsidR="007F1017" w:rsidRPr="003967D3" w:rsidRDefault="002663E4" w:rsidP="005F6175">
            <w:pPr>
              <w:pStyle w:val="COMTabletext"/>
              <w:ind w:left="113"/>
            </w:pPr>
            <w:r w:rsidRPr="003967D3">
              <w:rPr>
                <w:bCs w:val="0"/>
              </w:rPr>
              <w:t>Progression-free survival</w:t>
            </w:r>
            <w:r w:rsidR="007F1857" w:rsidRPr="003967D3">
              <w:t xml:space="preserve">, incidence of </w:t>
            </w:r>
            <w:r w:rsidR="00E82A61" w:rsidRPr="003967D3">
              <w:t xml:space="preserve">atrial </w:t>
            </w:r>
            <w:r w:rsidR="005D3EE7" w:rsidRPr="003967D3">
              <w:t>fibrillation</w:t>
            </w:r>
          </w:p>
        </w:tc>
      </w:tr>
      <w:tr w:rsidR="00CC4DA5" w:rsidRPr="00C52646" w14:paraId="13A6895C" w14:textId="77777777" w:rsidTr="008B27EC">
        <w:trPr>
          <w:cantSplit/>
        </w:trPr>
        <w:tc>
          <w:tcPr>
            <w:tcW w:w="0" w:type="auto"/>
            <w:gridSpan w:val="7"/>
            <w:shd w:val="clear" w:color="auto" w:fill="auto"/>
            <w:vAlign w:val="center"/>
          </w:tcPr>
          <w:p w14:paraId="3175EA34" w14:textId="79DC6F96" w:rsidR="00CC4DA5" w:rsidRPr="005F6175" w:rsidRDefault="00CC4DA5" w:rsidP="00CC4DA5">
            <w:pPr>
              <w:pStyle w:val="COMTabletext"/>
              <w:rPr>
                <w:b/>
                <w:bCs w:val="0"/>
              </w:rPr>
            </w:pPr>
            <w:r w:rsidRPr="005F6175">
              <w:rPr>
                <w:b/>
                <w:bCs w:val="0"/>
              </w:rPr>
              <w:t xml:space="preserve">FCR </w:t>
            </w:r>
          </w:p>
        </w:tc>
      </w:tr>
      <w:tr w:rsidR="00E82A61" w:rsidRPr="003967D3" w14:paraId="6DAFAEAF" w14:textId="77777777" w:rsidTr="005F6175">
        <w:trPr>
          <w:cantSplit/>
        </w:trPr>
        <w:tc>
          <w:tcPr>
            <w:tcW w:w="0" w:type="auto"/>
            <w:shd w:val="clear" w:color="auto" w:fill="auto"/>
            <w:vAlign w:val="center"/>
          </w:tcPr>
          <w:p w14:paraId="76F0584C" w14:textId="43FDF8D4" w:rsidR="007F1017" w:rsidRPr="003967D3" w:rsidRDefault="008B27EC" w:rsidP="00EC5836">
            <w:pPr>
              <w:pStyle w:val="COMTabletext"/>
            </w:pPr>
            <w:r w:rsidRPr="003967D3">
              <w:t>ECOG1912</w:t>
            </w:r>
            <w:r w:rsidR="00203B36" w:rsidRPr="003967D3">
              <w:t xml:space="preserve"> FCR arm</w:t>
            </w:r>
          </w:p>
        </w:tc>
        <w:tc>
          <w:tcPr>
            <w:tcW w:w="0" w:type="auto"/>
            <w:shd w:val="clear" w:color="auto" w:fill="auto"/>
            <w:vAlign w:val="center"/>
          </w:tcPr>
          <w:p w14:paraId="7D785F8E" w14:textId="24022A0B" w:rsidR="007F1017" w:rsidRPr="003967D3" w:rsidRDefault="00497CC2" w:rsidP="00EC5836">
            <w:pPr>
              <w:pStyle w:val="COMTabletext"/>
              <w:jc w:val="center"/>
            </w:pPr>
            <w:r w:rsidRPr="003967D3">
              <w:t>175</w:t>
            </w:r>
          </w:p>
        </w:tc>
        <w:tc>
          <w:tcPr>
            <w:tcW w:w="2241" w:type="dxa"/>
            <w:shd w:val="clear" w:color="auto" w:fill="auto"/>
            <w:vAlign w:val="center"/>
          </w:tcPr>
          <w:p w14:paraId="3AC4178A" w14:textId="270A252D" w:rsidR="007F1017" w:rsidRPr="003967D3" w:rsidRDefault="00203B36" w:rsidP="00F1255B">
            <w:pPr>
              <w:pStyle w:val="COMTabletext"/>
            </w:pPr>
            <w:r w:rsidRPr="003967D3">
              <w:t>R</w:t>
            </w:r>
            <w:r w:rsidR="00E11AE4" w:rsidRPr="003967D3">
              <w:t xml:space="preserve">andomised </w:t>
            </w:r>
            <w:r w:rsidR="004F6476" w:rsidRPr="003967D3">
              <w:t xml:space="preserve">trial </w:t>
            </w:r>
            <w:r w:rsidR="0045769C" w:rsidRPr="003967D3">
              <w:t>of</w:t>
            </w:r>
            <w:r w:rsidR="00E11AE4" w:rsidRPr="003967D3">
              <w:t xml:space="preserve"> ibrutinib </w:t>
            </w:r>
            <w:r w:rsidR="005D764F" w:rsidRPr="003967D3">
              <w:t>until disease progression + 6 cycles of</w:t>
            </w:r>
            <w:r w:rsidR="00E11AE4" w:rsidRPr="003967D3">
              <w:t xml:space="preserve"> rituximab </w:t>
            </w:r>
            <w:r w:rsidR="005D764F" w:rsidRPr="003967D3">
              <w:t>versus 6</w:t>
            </w:r>
            <w:r w:rsidR="00E11AE4" w:rsidRPr="003967D3">
              <w:t xml:space="preserve"> cycles of FCR</w:t>
            </w:r>
          </w:p>
          <w:p w14:paraId="5F5DCF83" w14:textId="77777777" w:rsidR="0045769C" w:rsidRPr="003967D3" w:rsidRDefault="00C914F2" w:rsidP="00F1255B">
            <w:pPr>
              <w:pStyle w:val="COMTabletext"/>
            </w:pPr>
            <w:r w:rsidRPr="003967D3">
              <w:t>Median duration of follow-up:</w:t>
            </w:r>
          </w:p>
          <w:p w14:paraId="54870A06" w14:textId="77777777" w:rsidR="00C914F2" w:rsidRPr="003967D3" w:rsidRDefault="00CC4D57" w:rsidP="001104CE">
            <w:pPr>
              <w:pStyle w:val="COMTabletext"/>
              <w:numPr>
                <w:ilvl w:val="0"/>
                <w:numId w:val="6"/>
              </w:numPr>
              <w:ind w:left="113" w:hanging="113"/>
            </w:pPr>
            <w:r w:rsidRPr="003967D3">
              <w:t>17 July 2018</w:t>
            </w:r>
            <w:r w:rsidR="00570D7C" w:rsidRPr="003967D3">
              <w:t>;</w:t>
            </w:r>
            <w:r w:rsidR="00C914F2" w:rsidRPr="003967D3">
              <w:t xml:space="preserve"> </w:t>
            </w:r>
            <w:r w:rsidR="00EA3675" w:rsidRPr="003967D3">
              <w:t>33.6 months</w:t>
            </w:r>
          </w:p>
          <w:p w14:paraId="4F10C1AA" w14:textId="5F666696" w:rsidR="00570D7C" w:rsidRPr="003967D3" w:rsidRDefault="001E19D4" w:rsidP="001104CE">
            <w:pPr>
              <w:pStyle w:val="COMTabletext"/>
              <w:numPr>
                <w:ilvl w:val="0"/>
                <w:numId w:val="6"/>
              </w:numPr>
              <w:ind w:left="113" w:hanging="113"/>
            </w:pPr>
            <w:r w:rsidRPr="003967D3">
              <w:t xml:space="preserve">9 August 2021; </w:t>
            </w:r>
            <w:r w:rsidR="001B4508" w:rsidRPr="003967D3">
              <w:t>70 months</w:t>
            </w:r>
          </w:p>
        </w:tc>
        <w:tc>
          <w:tcPr>
            <w:tcW w:w="709" w:type="dxa"/>
            <w:shd w:val="clear" w:color="auto" w:fill="auto"/>
            <w:vAlign w:val="center"/>
          </w:tcPr>
          <w:p w14:paraId="50E27A90" w14:textId="6E327733" w:rsidR="007F1017" w:rsidRPr="003967D3" w:rsidRDefault="00E11AE4" w:rsidP="00EC5836">
            <w:pPr>
              <w:pStyle w:val="COMTabletext"/>
              <w:jc w:val="center"/>
            </w:pPr>
            <w:r w:rsidRPr="003967D3">
              <w:t>Low</w:t>
            </w:r>
          </w:p>
        </w:tc>
        <w:tc>
          <w:tcPr>
            <w:tcW w:w="1843" w:type="dxa"/>
            <w:shd w:val="clear" w:color="auto" w:fill="auto"/>
            <w:vAlign w:val="center"/>
          </w:tcPr>
          <w:p w14:paraId="1B84BE0E" w14:textId="0F10946F" w:rsidR="007F1017" w:rsidRPr="003967D3" w:rsidRDefault="001F4897" w:rsidP="005F6175">
            <w:pPr>
              <w:pStyle w:val="COMTabletext"/>
            </w:pPr>
            <w:r w:rsidRPr="003967D3">
              <w:rPr>
                <w:bCs w:val="0"/>
              </w:rPr>
              <w:t>Age ≤ 70 years</w:t>
            </w:r>
            <w:r w:rsidR="00547AFE" w:rsidRPr="003967D3">
              <w:t>; a</w:t>
            </w:r>
            <w:r w:rsidRPr="003967D3">
              <w:rPr>
                <w:bCs w:val="0"/>
              </w:rPr>
              <w:t>dequate hematologic, hepatic, and renal function</w:t>
            </w:r>
            <w:r w:rsidR="00547AFE" w:rsidRPr="003967D3">
              <w:t>; d</w:t>
            </w:r>
            <w:r w:rsidRPr="003967D3">
              <w:rPr>
                <w:bCs w:val="0"/>
              </w:rPr>
              <w:t>iagnosis of CLL/SLL that meets IWCLL diagnostic criteria and requires treatment</w:t>
            </w:r>
            <w:r w:rsidR="00547AFE" w:rsidRPr="003967D3">
              <w:t xml:space="preserve">; </w:t>
            </w:r>
            <w:r w:rsidRPr="003967D3">
              <w:rPr>
                <w:bCs w:val="0"/>
              </w:rPr>
              <w:t>ECOG score 0</w:t>
            </w:r>
            <w:r w:rsidR="00547AFE" w:rsidRPr="003967D3">
              <w:t>-</w:t>
            </w:r>
            <w:r w:rsidRPr="003967D3">
              <w:rPr>
                <w:bCs w:val="0"/>
              </w:rPr>
              <w:t>2</w:t>
            </w:r>
            <w:r w:rsidR="00547AFE" w:rsidRPr="003967D3">
              <w:t xml:space="preserve">; </w:t>
            </w:r>
            <w:r w:rsidR="005D3EE7" w:rsidRPr="003967D3">
              <w:t>no prior therapy for CLL; without 17p</w:t>
            </w:r>
            <w:r w:rsidR="00DE3EED" w:rsidRPr="003967D3">
              <w:rPr>
                <w:bCs w:val="0"/>
              </w:rPr>
              <w:t xml:space="preserve"> deletion</w:t>
            </w:r>
            <w:r w:rsidR="005D3EE7" w:rsidRPr="003967D3">
              <w:t xml:space="preserve">; </w:t>
            </w:r>
            <w:r w:rsidR="00547AFE" w:rsidRPr="003967D3">
              <w:t>able to tolerate FCR therapy</w:t>
            </w:r>
          </w:p>
        </w:tc>
        <w:tc>
          <w:tcPr>
            <w:tcW w:w="1701" w:type="dxa"/>
            <w:shd w:val="clear" w:color="auto" w:fill="auto"/>
            <w:vAlign w:val="center"/>
          </w:tcPr>
          <w:p w14:paraId="00A660B9" w14:textId="77777777" w:rsidR="00C50F28" w:rsidRPr="003967D3" w:rsidRDefault="00C50F28" w:rsidP="001104CE">
            <w:pPr>
              <w:pStyle w:val="COMTabletext"/>
              <w:numPr>
                <w:ilvl w:val="0"/>
                <w:numId w:val="6"/>
              </w:numPr>
              <w:ind w:left="170" w:hanging="113"/>
            </w:pPr>
            <w:r w:rsidRPr="003967D3">
              <w:t xml:space="preserve">Progression-free survival </w:t>
            </w:r>
          </w:p>
          <w:p w14:paraId="09D9420C" w14:textId="1617CFA7" w:rsidR="00C50F28" w:rsidRPr="003967D3" w:rsidRDefault="00C50F28" w:rsidP="001104CE">
            <w:pPr>
              <w:pStyle w:val="COMTabletext"/>
              <w:numPr>
                <w:ilvl w:val="0"/>
                <w:numId w:val="6"/>
              </w:numPr>
              <w:ind w:left="170" w:hanging="113"/>
            </w:pPr>
            <w:r w:rsidRPr="003967D3">
              <w:t>Overall survival</w:t>
            </w:r>
          </w:p>
          <w:p w14:paraId="2A85EBE0" w14:textId="6EB6AF50" w:rsidR="00C50F28" w:rsidRPr="003967D3" w:rsidRDefault="00C50F28" w:rsidP="001104CE">
            <w:pPr>
              <w:pStyle w:val="COMTabletext"/>
              <w:numPr>
                <w:ilvl w:val="0"/>
                <w:numId w:val="6"/>
              </w:numPr>
              <w:ind w:left="170" w:hanging="113"/>
            </w:pPr>
            <w:r w:rsidRPr="003967D3">
              <w:t>Complete response rate</w:t>
            </w:r>
          </w:p>
          <w:p w14:paraId="6EC7799C" w14:textId="77777777" w:rsidR="00C50F28" w:rsidRPr="003967D3" w:rsidRDefault="00C50F28" w:rsidP="001104CE">
            <w:pPr>
              <w:pStyle w:val="COMTabletext"/>
              <w:numPr>
                <w:ilvl w:val="0"/>
                <w:numId w:val="6"/>
              </w:numPr>
              <w:ind w:left="170" w:hanging="113"/>
            </w:pPr>
            <w:r w:rsidRPr="003967D3">
              <w:t xml:space="preserve">Overall response rate </w:t>
            </w:r>
          </w:p>
          <w:p w14:paraId="7591444D" w14:textId="5F9128A7" w:rsidR="00C50F28" w:rsidRPr="003967D3" w:rsidRDefault="00C50F28" w:rsidP="001104CE">
            <w:pPr>
              <w:pStyle w:val="COMTabletext"/>
              <w:numPr>
                <w:ilvl w:val="0"/>
                <w:numId w:val="6"/>
              </w:numPr>
              <w:ind w:left="170" w:hanging="113"/>
            </w:pPr>
            <w:r w:rsidRPr="003967D3">
              <w:t>MRD negativity rate</w:t>
            </w:r>
          </w:p>
          <w:p w14:paraId="5ED16D4D" w14:textId="668D4E41" w:rsidR="002042D0" w:rsidRPr="003967D3" w:rsidRDefault="002042D0" w:rsidP="001104CE">
            <w:pPr>
              <w:pStyle w:val="COMTabletext"/>
              <w:numPr>
                <w:ilvl w:val="0"/>
                <w:numId w:val="6"/>
              </w:numPr>
              <w:ind w:left="170" w:hanging="113"/>
            </w:pPr>
            <w:r w:rsidRPr="003967D3">
              <w:t>Health-related quality of life (FACT-Leu TOI)</w:t>
            </w:r>
          </w:p>
          <w:p w14:paraId="4E7BED76" w14:textId="361F6F0D" w:rsidR="007F1017" w:rsidRPr="003967D3" w:rsidRDefault="00C50F28" w:rsidP="001104CE">
            <w:pPr>
              <w:pStyle w:val="COMTabletext"/>
              <w:numPr>
                <w:ilvl w:val="0"/>
                <w:numId w:val="6"/>
              </w:numPr>
              <w:ind w:left="170" w:hanging="113"/>
            </w:pPr>
            <w:r w:rsidRPr="003967D3">
              <w:t>Adverse events</w:t>
            </w:r>
          </w:p>
        </w:tc>
        <w:tc>
          <w:tcPr>
            <w:tcW w:w="1225" w:type="dxa"/>
            <w:shd w:val="clear" w:color="auto" w:fill="auto"/>
            <w:vAlign w:val="center"/>
          </w:tcPr>
          <w:p w14:paraId="0351A18F" w14:textId="77E3F776" w:rsidR="007F1017" w:rsidRPr="003967D3" w:rsidRDefault="002042D0" w:rsidP="005F6175">
            <w:pPr>
              <w:pStyle w:val="COMTabletext"/>
              <w:ind w:left="113"/>
            </w:pPr>
            <w:r w:rsidRPr="003967D3">
              <w:rPr>
                <w:bCs w:val="0"/>
              </w:rPr>
              <w:t>Progression-free survival</w:t>
            </w:r>
          </w:p>
        </w:tc>
      </w:tr>
    </w:tbl>
    <w:p w14:paraId="7EC9E38E" w14:textId="201C0199" w:rsidR="00434E5F" w:rsidRPr="00C52646" w:rsidRDefault="00045017" w:rsidP="00434E5F">
      <w:pPr>
        <w:pStyle w:val="COMTablefooter"/>
      </w:pPr>
      <w:r w:rsidRPr="00C52646">
        <w:t xml:space="preserve">Source: </w:t>
      </w:r>
      <w:r w:rsidR="005D7322" w:rsidRPr="00C52646">
        <w:t>Section 3.2, p39; Section 3.6, p41; Section 3.9, p43 CAPTIVATE clinical study report; Shanafelt et al. (2019)</w:t>
      </w:r>
      <w:r w:rsidR="00155719">
        <w:t>.</w:t>
      </w:r>
    </w:p>
    <w:p w14:paraId="1095487C" w14:textId="5D1AA92C" w:rsidR="00620C25" w:rsidRPr="00C52646" w:rsidRDefault="00434E5F" w:rsidP="00EC5836">
      <w:pPr>
        <w:pStyle w:val="COMTablefooter"/>
        <w:rPr>
          <w:sz w:val="20"/>
        </w:rPr>
      </w:pPr>
      <w:r w:rsidRPr="00C52646">
        <w:t xml:space="preserve">Abbreviations: CLL/SLL, chronic lymphocytic leukaemia/small lymphocytic lymphoma; ECOG, Eastern Cooperative Oncology Group; FACT-Leu TOI, Functional assessment of cancer therapy- Leukaemia Trial Outcome Index; FCR, fludarabine, cyclophosphamide, rituximab; FD, fixed duration; IWCLL, International Workshop on Chronic Lymphocytic Leukemia; MRD, minimal residual disease </w:t>
      </w:r>
    </w:p>
    <w:p w14:paraId="44126715" w14:textId="42AE3167" w:rsidR="00D2790D" w:rsidRPr="00C52646" w:rsidRDefault="00DD1FAD" w:rsidP="00E255C7">
      <w:pPr>
        <w:pStyle w:val="COMexecsumnumberedpara"/>
      </w:pPr>
      <w:r w:rsidRPr="00C52646">
        <w:t xml:space="preserve">CAPTIVATE was a multicentre Phase 2 study assessing treatment with ibrutinib + venetoclax in previously untreated patients with CLL or </w:t>
      </w:r>
      <w:r w:rsidR="00940008" w:rsidRPr="00C52646">
        <w:t>SLL and</w:t>
      </w:r>
      <w:r w:rsidRPr="00C52646">
        <w:t xml:space="preserve"> included both a fixed duration (FD) treatment cohort (referred to in the clinical study report as the FD cohort) and a minimal residual disease (MRD)-guided discontinuation cohort (referred to as the MRD cohort). The results of the FD cohort were presented in the submission, as the fixed duration treatment course aligns with the requested PBS listing (15 cycles; 3 cycle lead-in of ibrutinib monotherapy followed by 12 cycles of ibrutinib + venetoclax).</w:t>
      </w:r>
    </w:p>
    <w:p w14:paraId="4B83BBF3" w14:textId="3C93FA3C" w:rsidR="00045017" w:rsidRPr="003967D3" w:rsidRDefault="00AE114E" w:rsidP="00E255C7">
      <w:pPr>
        <w:pStyle w:val="COMexecsumnumberedpara"/>
        <w:rPr>
          <w:iCs/>
        </w:rPr>
      </w:pPr>
      <w:r w:rsidRPr="003967D3">
        <w:rPr>
          <w:iCs/>
        </w:rPr>
        <w:t xml:space="preserve">As a single arm phase 2 study, with a surrogate primary end-point of complete response rate as determined by the investigator, and no </w:t>
      </w:r>
      <w:r w:rsidR="00144698" w:rsidRPr="003967D3">
        <w:rPr>
          <w:iCs/>
        </w:rPr>
        <w:t>quality-of-life</w:t>
      </w:r>
      <w:r w:rsidRPr="003967D3">
        <w:rPr>
          <w:iCs/>
        </w:rPr>
        <w:t xml:space="preserve"> measures, the FD cohort of CAPTIVATE is considered to be at high risk of bias based on study design and use of a surrogate primary endpoint. The </w:t>
      </w:r>
      <w:r w:rsidR="006D2170">
        <w:rPr>
          <w:iCs/>
        </w:rPr>
        <w:t xml:space="preserve">evaluation </w:t>
      </w:r>
      <w:r w:rsidR="006D2170" w:rsidRPr="001434A1">
        <w:t xml:space="preserve">and the ESC </w:t>
      </w:r>
      <w:r w:rsidR="006D2170">
        <w:rPr>
          <w:iCs/>
        </w:rPr>
        <w:t xml:space="preserve">considered that it was difficult to accurately </w:t>
      </w:r>
      <w:r w:rsidR="006D2170" w:rsidRPr="003967D3">
        <w:rPr>
          <w:iCs/>
        </w:rPr>
        <w:t xml:space="preserve">quantify the </w:t>
      </w:r>
      <w:r w:rsidR="006D2170">
        <w:rPr>
          <w:iCs/>
        </w:rPr>
        <w:t xml:space="preserve">magnitude of </w:t>
      </w:r>
      <w:r w:rsidR="006D2170" w:rsidRPr="003967D3">
        <w:rPr>
          <w:iCs/>
        </w:rPr>
        <w:t xml:space="preserve">benefit </w:t>
      </w:r>
      <w:r w:rsidR="006D2170">
        <w:rPr>
          <w:iCs/>
        </w:rPr>
        <w:t>with</w:t>
      </w:r>
      <w:r w:rsidR="006D2170" w:rsidRPr="003967D3">
        <w:rPr>
          <w:iCs/>
        </w:rPr>
        <w:t xml:space="preserve"> ibrutinib + venetoclax </w:t>
      </w:r>
      <w:r w:rsidR="006D2170">
        <w:rPr>
          <w:iCs/>
        </w:rPr>
        <w:t xml:space="preserve">given the </w:t>
      </w:r>
      <w:r w:rsidRPr="003967D3">
        <w:rPr>
          <w:iCs/>
        </w:rPr>
        <w:t>lack of comparative evidence and a reliance on surrogate endpoints without consideration of the impact on quality of life.</w:t>
      </w:r>
    </w:p>
    <w:p w14:paraId="0ABCEFE8" w14:textId="18016271" w:rsidR="00AE114E" w:rsidRPr="00C52646" w:rsidRDefault="00322E37" w:rsidP="00E255C7">
      <w:pPr>
        <w:pStyle w:val="COMexecsumnumberedpara"/>
      </w:pPr>
      <w:r w:rsidRPr="00C52646">
        <w:t>Patients w</w:t>
      </w:r>
      <w:r w:rsidR="00761128">
        <w:t>ith</w:t>
      </w:r>
      <w:r w:rsidRPr="00C52646">
        <w:t xml:space="preserve"> </w:t>
      </w:r>
      <w:r w:rsidR="00D04999">
        <w:t xml:space="preserve">confirmed progression after completion of the fixed dose ibrutinib + venetoclax regimen </w:t>
      </w:r>
      <w:r w:rsidR="00761128">
        <w:t xml:space="preserve">could be </w:t>
      </w:r>
      <w:r w:rsidR="006E3888">
        <w:t>re-treated</w:t>
      </w:r>
      <w:r w:rsidR="00761128">
        <w:t xml:space="preserve"> with ibrutinib</w:t>
      </w:r>
      <w:r w:rsidR="00EB79FF">
        <w:t xml:space="preserve"> monotherapy</w:t>
      </w:r>
      <w:r w:rsidR="00761128">
        <w:t xml:space="preserve">; and patients who </w:t>
      </w:r>
      <w:r w:rsidRPr="00C52646">
        <w:lastRenderedPageBreak/>
        <w:t xml:space="preserve">experienced durable efficacy (defined as time to progression after completion of fixed duration regimen of </w:t>
      </w:r>
      <w:r w:rsidR="009D5A5B">
        <w:t xml:space="preserve">at least </w:t>
      </w:r>
      <w:r w:rsidRPr="00C52646">
        <w:t xml:space="preserve">2 years), were allowed to repeat treatment with ibrutinib + venetoclax, based on clinical discretion. A total of 9 patients were </w:t>
      </w:r>
      <w:r w:rsidR="006E3888">
        <w:t>re-treated</w:t>
      </w:r>
      <w:r w:rsidRPr="00C52646">
        <w:t xml:space="preserve"> with ibrutinib monotherapy over the extended follow-up period for a median duration of 4.9 months.</w:t>
      </w:r>
    </w:p>
    <w:p w14:paraId="75CC21E3" w14:textId="72420FCD" w:rsidR="0057202C" w:rsidRPr="00C52646" w:rsidRDefault="0057202C" w:rsidP="00E255C7">
      <w:pPr>
        <w:pStyle w:val="COMexecsumnumberedpara"/>
      </w:pPr>
      <w:r w:rsidRPr="00C52646">
        <w:t xml:space="preserve">ECOG1912 was a randomised, phase 3 trial of ibrutinib + rituximab versus FCR in previously untreated younger patients (≤70 years of age) with CLL. The primary objective of the trial was to evaluate the ability of ibrutinib + rituximab to prolong progression-free survival compared to FCR. </w:t>
      </w:r>
      <w:r w:rsidR="006D2170">
        <w:rPr>
          <w:iCs/>
        </w:rPr>
        <w:t>O</w:t>
      </w:r>
      <w:r w:rsidRPr="003967D3">
        <w:rPr>
          <w:iCs/>
        </w:rPr>
        <w:t>nly the FCR arm was presented in the submission</w:t>
      </w:r>
      <w:r w:rsidR="006D2170">
        <w:rPr>
          <w:iCs/>
        </w:rPr>
        <w:t>, given this was the nominated comparator</w:t>
      </w:r>
      <w:r w:rsidRPr="00C52646">
        <w:t>.</w:t>
      </w:r>
    </w:p>
    <w:p w14:paraId="2AE2A97C" w14:textId="796C467C" w:rsidR="00893195" w:rsidRPr="00C52646" w:rsidRDefault="00893195" w:rsidP="00E255C7">
      <w:pPr>
        <w:pStyle w:val="COMexecsumnumberedpara"/>
      </w:pPr>
      <w:bookmarkStart w:id="40" w:name="_Ref113287757"/>
      <w:r w:rsidRPr="00C52646">
        <w:t xml:space="preserve">There were some differences between the included studies in terms of eligibility criteria. Adequate liver and renal function </w:t>
      </w:r>
      <w:r w:rsidR="0047753A">
        <w:t>were</w:t>
      </w:r>
      <w:r w:rsidRPr="00C52646">
        <w:t xml:space="preserve"> requirement</w:t>
      </w:r>
      <w:r w:rsidR="0047753A">
        <w:t>s</w:t>
      </w:r>
      <w:r w:rsidRPr="00C52646">
        <w:t xml:space="preserve"> for enrolment in both studies, however the cut off</w:t>
      </w:r>
      <w:r w:rsidR="005050D9">
        <w:t>s</w:t>
      </w:r>
      <w:r w:rsidRPr="00C52646">
        <w:t xml:space="preserve"> differed. In CAPTIVATE, patients needed to have reported creatinine clearance (CrCl) of ≥60 mL/min, while ECOG1912 included patients with CrCl &gt;40 mL/min. Patients with bilirubin levels of &lt;1.5 times the upper limit of normal (ULN) were included in CAPTIVATE, while ECOG1912 included patients with bilirubin levels of ≤2.5 ULN. </w:t>
      </w:r>
      <w:r w:rsidRPr="003967D3">
        <w:rPr>
          <w:iCs/>
        </w:rPr>
        <w:t>The threshold</w:t>
      </w:r>
      <w:r w:rsidR="004C6F1A" w:rsidRPr="003967D3">
        <w:rPr>
          <w:iCs/>
        </w:rPr>
        <w:t>s</w:t>
      </w:r>
      <w:r w:rsidRPr="003967D3">
        <w:rPr>
          <w:iCs/>
        </w:rPr>
        <w:t xml:space="preserve"> for liver and renal function suggested that more unwell patients and/or patients at risk of adverse events may have been enrolled into ECOG1912 compared with CAPTIVATE, although the potential impact of this is unclear.</w:t>
      </w:r>
      <w:bookmarkEnd w:id="40"/>
    </w:p>
    <w:p w14:paraId="04B72BC5" w14:textId="21CA8021" w:rsidR="00391F79" w:rsidRPr="003967D3" w:rsidRDefault="00896D02" w:rsidP="00E255C7">
      <w:pPr>
        <w:pStyle w:val="COMexecsumnumberedpara"/>
        <w:rPr>
          <w:iCs/>
        </w:rPr>
      </w:pPr>
      <w:bookmarkStart w:id="41" w:name="_Ref116051479"/>
      <w:r w:rsidRPr="00391F79">
        <w:t>Baseline demographic characteristics were broadly similar between the separate study arms in terms of mean age</w:t>
      </w:r>
      <w:r w:rsidR="005B2DC5">
        <w:t xml:space="preserve"> and</w:t>
      </w:r>
      <w:r w:rsidRPr="00391F79">
        <w:t xml:space="preserve"> gender, and race. The populations differed in terms of a number of disease characteristics, including time since diagnosis (longer in CAPTIVATE), baseline ECOG score (higher proportion at 1-2 in ECOG1912), bulky disease (higher proportion &gt;10 cm in ECOG1912), and cytopenia (a higher proportion with some abnormality in ECOG1912). Additionally, a higher proportion of patients in CAPT</w:t>
      </w:r>
      <w:r w:rsidR="001221B7">
        <w:t>I</w:t>
      </w:r>
      <w:r w:rsidRPr="00391F79">
        <w:t xml:space="preserve">VATE were classified as Rai stage 0/I/II (low risk) compared to patients enrolled in ECOG1912 (71.1% in CAPTIVATE all-treated population vs 58.9% in ECOG1912). Rai staging is a clinical classification system for CLL </w:t>
      </w:r>
      <w:r w:rsidR="0055754E">
        <w:t>that</w:t>
      </w:r>
      <w:r w:rsidRPr="00391F79">
        <w:t xml:space="preserve"> identifies different stages of disease prognosis; a lower Rai stage (0/I/II) indicates a better prognosis. </w:t>
      </w:r>
      <w:r w:rsidRPr="003967D3">
        <w:rPr>
          <w:iCs/>
        </w:rPr>
        <w:t>Generally, markers of disease severity were worse in a higher proportion of patients in ECOG1912 compared with CAPTIVATE, which may potentially bias efficacy results in favour of ibrutinib + venetoclax versus FCR.</w:t>
      </w:r>
      <w:bookmarkEnd w:id="41"/>
    </w:p>
    <w:p w14:paraId="613CDA2B" w14:textId="73F71C8B" w:rsidR="00B664FF" w:rsidRPr="00C52646" w:rsidRDefault="00B664FF" w:rsidP="00E255C7">
      <w:pPr>
        <w:pStyle w:val="COMexecsumnumberedpara"/>
      </w:pPr>
      <w:bookmarkStart w:id="42" w:name="_Ref113287780"/>
      <w:r w:rsidRPr="00C52646">
        <w:t xml:space="preserve">In CAPTIVATE, a protocol amendment (29 November 2018) suggested that the study was designed to investigate the treatment of patients without </w:t>
      </w:r>
      <w:r w:rsidR="00422657">
        <w:t>del17p</w:t>
      </w:r>
      <w:r w:rsidRPr="00C52646">
        <w:t xml:space="preserve">, and these patients were excluded from enrolment thereafter. Twenty patients </w:t>
      </w:r>
      <w:r w:rsidR="00DC7883">
        <w:t xml:space="preserve">(12.6%) </w:t>
      </w:r>
      <w:r w:rsidRPr="00C52646">
        <w:t xml:space="preserve">with del17p had been incidentally enrolled in the study prior to this amendment; due to the small size of this subgroup, results cannot be assumed to be generalisable to patients with </w:t>
      </w:r>
      <w:r w:rsidR="00422657">
        <w:t>del</w:t>
      </w:r>
      <w:r w:rsidR="00147A08">
        <w:t>1</w:t>
      </w:r>
      <w:r w:rsidRPr="00C52646">
        <w:t>7p, who have worse prognosis than people without the deletion.</w:t>
      </w:r>
      <w:r w:rsidR="00A50442" w:rsidRPr="00C52646">
        <w:t xml:space="preserve"> In ECOG1912, </w:t>
      </w:r>
      <w:r w:rsidR="00E624FC" w:rsidRPr="00C52646">
        <w:t xml:space="preserve">patients with </w:t>
      </w:r>
      <w:r w:rsidR="00422657">
        <w:t>del</w:t>
      </w:r>
      <w:r w:rsidR="00926C1A">
        <w:t>17</w:t>
      </w:r>
      <w:r w:rsidR="00422657">
        <w:t>p</w:t>
      </w:r>
      <w:r w:rsidR="00E624FC" w:rsidRPr="00C52646">
        <w:t xml:space="preserve"> were excluded from the trial because of the poor response of CLL in these patients to FCR.</w:t>
      </w:r>
      <w:bookmarkEnd w:id="42"/>
      <w:r w:rsidR="00242D18">
        <w:t xml:space="preserve"> </w:t>
      </w:r>
      <w:r w:rsidR="00242D18" w:rsidRPr="001434A1">
        <w:rPr>
          <w:iCs/>
        </w:rPr>
        <w:t xml:space="preserve">The ESC considered that </w:t>
      </w:r>
      <w:r w:rsidR="006D2170" w:rsidRPr="001434A1">
        <w:rPr>
          <w:iCs/>
        </w:rPr>
        <w:t xml:space="preserve">exclusion of patients with </w:t>
      </w:r>
      <w:r w:rsidR="00242D18" w:rsidRPr="001434A1">
        <w:rPr>
          <w:iCs/>
        </w:rPr>
        <w:t>this</w:t>
      </w:r>
      <w:r w:rsidR="006D2170" w:rsidRPr="001434A1">
        <w:rPr>
          <w:iCs/>
        </w:rPr>
        <w:t xml:space="preserve"> important prognostic factor in ECOG1912</w:t>
      </w:r>
      <w:r w:rsidR="00242D18" w:rsidRPr="001434A1">
        <w:rPr>
          <w:iCs/>
        </w:rPr>
        <w:t xml:space="preserve"> </w:t>
      </w:r>
      <w:r w:rsidR="00147A08" w:rsidRPr="001434A1">
        <w:rPr>
          <w:iCs/>
        </w:rPr>
        <w:t xml:space="preserve">may have </w:t>
      </w:r>
      <w:r w:rsidR="00242D18" w:rsidRPr="001434A1">
        <w:rPr>
          <w:iCs/>
        </w:rPr>
        <w:t>favoured FCR.</w:t>
      </w:r>
    </w:p>
    <w:p w14:paraId="4A4FE085" w14:textId="1C5613CC" w:rsidR="00B60939" w:rsidRPr="00C52646" w:rsidRDefault="00B60939" w:rsidP="00EC5836">
      <w:pPr>
        <w:pStyle w:val="COMH2-non-numbered"/>
      </w:pPr>
      <w:bookmarkStart w:id="43" w:name="_Toc22897641"/>
      <w:bookmarkStart w:id="44" w:name="_Toc113983798"/>
      <w:r w:rsidRPr="00C52646">
        <w:lastRenderedPageBreak/>
        <w:t>Comparative effectiveness</w:t>
      </w:r>
      <w:bookmarkEnd w:id="43"/>
      <w:bookmarkEnd w:id="44"/>
    </w:p>
    <w:p w14:paraId="4C1C368C" w14:textId="276887EC" w:rsidR="00EC4714" w:rsidRPr="00C52646" w:rsidRDefault="00071428" w:rsidP="00E255C7">
      <w:pPr>
        <w:pStyle w:val="COMexecsumnumberedpara"/>
      </w:pPr>
      <w:r>
        <w:t xml:space="preserve">Results for the naïve comparison of </w:t>
      </w:r>
      <w:r w:rsidR="007B4D46">
        <w:t>ibrutinib + venetoclax and FCR</w:t>
      </w:r>
      <w:r w:rsidR="00047163">
        <w:t xml:space="preserve"> for progression-free survival</w:t>
      </w:r>
      <w:r w:rsidR="00FE3C43">
        <w:t>, based on</w:t>
      </w:r>
      <w:r w:rsidR="006031D7" w:rsidRPr="00C52646">
        <w:t xml:space="preserve"> the FD cohort of the CAPTIVATE </w:t>
      </w:r>
      <w:r w:rsidR="00FE3C43">
        <w:t>study</w:t>
      </w:r>
      <w:r w:rsidR="006031D7" w:rsidRPr="00C52646">
        <w:t>, and the FCR arm of ECOG1912</w:t>
      </w:r>
      <w:r w:rsidR="00F55AC2">
        <w:t xml:space="preserve"> are summarised in</w:t>
      </w:r>
      <w:r w:rsidR="00D85E17">
        <w:t xml:space="preserve"> </w:t>
      </w:r>
      <w:r w:rsidR="00D85E17">
        <w:fldChar w:fldCharType="begin" w:fldLock="1"/>
      </w:r>
      <w:r w:rsidR="00D85E17">
        <w:instrText xml:space="preserve"> REF _Ref113264360 \h </w:instrText>
      </w:r>
      <w:r w:rsidR="00D85E17">
        <w:fldChar w:fldCharType="separate"/>
      </w:r>
      <w:r w:rsidR="00B22386" w:rsidRPr="00F635FD">
        <w:t xml:space="preserve">Figure </w:t>
      </w:r>
      <w:r w:rsidR="00B22386">
        <w:rPr>
          <w:noProof/>
        </w:rPr>
        <w:t>2</w:t>
      </w:r>
      <w:r w:rsidR="00D85E17">
        <w:fldChar w:fldCharType="end"/>
      </w:r>
      <w:r w:rsidR="00F55AC2">
        <w:t xml:space="preserve"> and </w:t>
      </w:r>
      <w:r w:rsidR="00D85E17">
        <w:fldChar w:fldCharType="begin" w:fldLock="1"/>
      </w:r>
      <w:r w:rsidR="00D85E17">
        <w:instrText xml:space="preserve"> REF _Ref113264378 \h </w:instrText>
      </w:r>
      <w:r w:rsidR="00D85E17">
        <w:fldChar w:fldCharType="separate"/>
      </w:r>
      <w:r w:rsidR="00B22386" w:rsidRPr="00F635FD">
        <w:t xml:space="preserve">Table </w:t>
      </w:r>
      <w:r w:rsidR="00B22386">
        <w:rPr>
          <w:noProof/>
        </w:rPr>
        <w:t>4</w:t>
      </w:r>
      <w:r w:rsidR="00D85E17">
        <w:fldChar w:fldCharType="end"/>
      </w:r>
      <w:r w:rsidR="00D85E17">
        <w:t xml:space="preserve"> </w:t>
      </w:r>
      <w:r w:rsidR="00F55AC2">
        <w:t>below</w:t>
      </w:r>
      <w:r w:rsidR="006031D7" w:rsidRPr="00C52646">
        <w:t xml:space="preserve">. </w:t>
      </w:r>
    </w:p>
    <w:p w14:paraId="2A91AB86" w14:textId="695EB51E" w:rsidR="00F635FD" w:rsidRPr="00F635FD" w:rsidRDefault="00F635FD" w:rsidP="00F117DF">
      <w:pPr>
        <w:pStyle w:val="Caption"/>
        <w:jc w:val="both"/>
      </w:pPr>
      <w:bookmarkStart w:id="45" w:name="_Ref113264360"/>
      <w:r w:rsidRPr="00F635FD">
        <w:t xml:space="preserve">Figure </w:t>
      </w:r>
      <w:fldSimple w:instr=" SEQ Figure \* ARABIC " w:fldLock="1">
        <w:r w:rsidR="00B22386">
          <w:rPr>
            <w:noProof/>
          </w:rPr>
          <w:t>2</w:t>
        </w:r>
      </w:fldSimple>
      <w:bookmarkEnd w:id="45"/>
      <w:r w:rsidRPr="00F635FD">
        <w:t>: Kaplan-Meier estimates of investigator assessed progression-free survival in FD cohort of CAPTIVATE (ibrutinib + venetoclax; 38.7 months median follow-up) and FCR arm of ECOG1912 (48 months median follow-up)</w:t>
      </w:r>
    </w:p>
    <w:p w14:paraId="316E0CD8" w14:textId="77777777" w:rsidR="00F635FD" w:rsidRPr="00F635FD" w:rsidRDefault="00F635FD" w:rsidP="00F117DF">
      <w:pPr>
        <w:rPr>
          <w:color w:val="3366FF"/>
        </w:rPr>
      </w:pPr>
      <w:r w:rsidRPr="00C52646">
        <w:rPr>
          <w:noProof/>
        </w:rPr>
        <w:drawing>
          <wp:inline distT="0" distB="0" distL="0" distR="0" wp14:anchorId="33F9A249" wp14:editId="0AD39560">
            <wp:extent cx="5732145" cy="4622902"/>
            <wp:effectExtent l="0" t="0" r="1905" b="6350"/>
            <wp:docPr id="6" name="Picture 6" descr="Chart, line chart&#10;&#10;Description automatically generated">
              <a:extLst xmlns:a="http://schemas.openxmlformats.org/drawingml/2006/main">
                <a:ext uri="{FF2B5EF4-FFF2-40B4-BE49-F238E27FC236}">
                  <a16:creationId xmlns:a16="http://schemas.microsoft.com/office/drawing/2014/main" id="{34C4378E-B550-46DB-97AD-364310F100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descr="Chart, line chart&#10;&#10;Description automatically generated">
                      <a:extLst>
                        <a:ext uri="{FF2B5EF4-FFF2-40B4-BE49-F238E27FC236}">
                          <a16:creationId xmlns:a16="http://schemas.microsoft.com/office/drawing/2014/main" id="{34C4378E-B550-46DB-97AD-364310F100D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2145" cy="4622902"/>
                    </a:xfrm>
                    <a:prstGeom prst="rect">
                      <a:avLst/>
                    </a:prstGeom>
                  </pic:spPr>
                </pic:pic>
              </a:graphicData>
            </a:graphic>
          </wp:inline>
        </w:drawing>
      </w:r>
    </w:p>
    <w:p w14:paraId="65EF9A26" w14:textId="6D761283" w:rsidR="00F635FD" w:rsidRDefault="00F635FD" w:rsidP="00F635FD">
      <w:pPr>
        <w:pStyle w:val="TableFigureFooter"/>
      </w:pPr>
      <w:r w:rsidRPr="00C52646">
        <w:t>Source: Figure 2-14, p142 of the submission</w:t>
      </w:r>
      <w:r w:rsidR="00155719">
        <w:t>.</w:t>
      </w:r>
    </w:p>
    <w:p w14:paraId="19B9B275" w14:textId="7364F7BF" w:rsidR="00D52C93" w:rsidRDefault="00D52C93" w:rsidP="00F117DF">
      <w:pPr>
        <w:pStyle w:val="TableFigureFooter"/>
      </w:pPr>
      <w:r>
        <w:t>Abbreviations: INV,</w:t>
      </w:r>
      <w:r w:rsidR="00453786">
        <w:t xml:space="preserve"> investigator-assessment;</w:t>
      </w:r>
      <w:r>
        <w:t xml:space="preserve"> PFS, progression-free survival</w:t>
      </w:r>
    </w:p>
    <w:p w14:paraId="038152F3" w14:textId="55BD1D9E" w:rsidR="00B05073" w:rsidRPr="009311FD" w:rsidRDefault="00B05073" w:rsidP="00F117DF">
      <w:pPr>
        <w:pStyle w:val="TableFigureFooter"/>
      </w:pPr>
      <w:r w:rsidRPr="009311FD">
        <w:t>* Note that the results presented in Figure 2 are derived from post-hoc analyses conducted by the applicant specifically for the purposes of informing the PBAC consideration. These analyses were not part of the pre-specified statistical plan for CAPTIVATE.  Interpretation of the results and their application should therefore be limited to seeking to understand the basis for the PBAC outcome and should not be used for any other purpose.</w:t>
      </w:r>
    </w:p>
    <w:p w14:paraId="27089367" w14:textId="57DC8EEC" w:rsidR="001A5D00" w:rsidRPr="00F635FD" w:rsidRDefault="001A5D00" w:rsidP="00D55995">
      <w:pPr>
        <w:pStyle w:val="Caption"/>
        <w:jc w:val="both"/>
      </w:pPr>
      <w:bookmarkStart w:id="46" w:name="_Ref113264378"/>
      <w:r w:rsidRPr="00F635FD">
        <w:lastRenderedPageBreak/>
        <w:t xml:space="preserve">Table </w:t>
      </w:r>
      <w:fldSimple w:instr=" SEQ Table \* ARABIC " w:fldLock="1">
        <w:r w:rsidR="00B22386">
          <w:rPr>
            <w:noProof/>
          </w:rPr>
          <w:t>4</w:t>
        </w:r>
      </w:fldSimple>
      <w:bookmarkEnd w:id="46"/>
      <w:r w:rsidRPr="00F635FD">
        <w:t>: Landmark estimates for progression-free survival based on investigator assessment in FD cohort of CAPTIVATE (ibrutinib + venetoclax; 38.7 months median follow-up) and FCR arm of ECOG1912 (48 months median follow-up)</w:t>
      </w:r>
    </w:p>
    <w:tbl>
      <w:tblPr>
        <w:tblStyle w:val="TableGrid"/>
        <w:tblW w:w="0" w:type="auto"/>
        <w:tblLook w:val="04A0" w:firstRow="1" w:lastRow="0" w:firstColumn="1" w:lastColumn="0" w:noHBand="0" w:noVBand="1"/>
      </w:tblPr>
      <w:tblGrid>
        <w:gridCol w:w="3005"/>
        <w:gridCol w:w="3006"/>
        <w:gridCol w:w="3006"/>
      </w:tblGrid>
      <w:tr w:rsidR="001A5D00" w:rsidRPr="007F2249" w14:paraId="221D8B66" w14:textId="77777777">
        <w:tc>
          <w:tcPr>
            <w:tcW w:w="3005" w:type="dxa"/>
          </w:tcPr>
          <w:p w14:paraId="0F0B95D0" w14:textId="77777777" w:rsidR="001A5D00" w:rsidRPr="007F2249" w:rsidRDefault="001A5D00">
            <w:pPr>
              <w:pStyle w:val="COMTabletext"/>
              <w:rPr>
                <w:szCs w:val="20"/>
              </w:rPr>
            </w:pPr>
          </w:p>
        </w:tc>
        <w:tc>
          <w:tcPr>
            <w:tcW w:w="3006" w:type="dxa"/>
            <w:vAlign w:val="center"/>
          </w:tcPr>
          <w:p w14:paraId="4A7EF34D" w14:textId="77777777" w:rsidR="001A5D00" w:rsidRPr="00697A9A" w:rsidRDefault="001A5D00">
            <w:pPr>
              <w:pStyle w:val="COMTabletext"/>
              <w:jc w:val="center"/>
              <w:rPr>
                <w:b/>
                <w:bCs w:val="0"/>
                <w:szCs w:val="20"/>
              </w:rPr>
            </w:pPr>
            <w:r w:rsidRPr="00697A9A">
              <w:rPr>
                <w:b/>
                <w:bCs w:val="0"/>
                <w:szCs w:val="20"/>
              </w:rPr>
              <w:t>CAPTIVATE (ibrutinib + venetoclax)</w:t>
            </w:r>
          </w:p>
          <w:p w14:paraId="1546A551" w14:textId="1A699384" w:rsidR="001A5D00" w:rsidRPr="00887C27" w:rsidRDefault="001A5D00" w:rsidP="001B37FC">
            <w:pPr>
              <w:pStyle w:val="COMTabletext"/>
              <w:jc w:val="center"/>
              <w:rPr>
                <w:b/>
                <w:bCs w:val="0"/>
                <w:szCs w:val="20"/>
              </w:rPr>
            </w:pPr>
            <w:r w:rsidRPr="00887C27">
              <w:rPr>
                <w:b/>
                <w:bCs w:val="0"/>
                <w:szCs w:val="20"/>
              </w:rPr>
              <w:t>N = 157</w:t>
            </w:r>
          </w:p>
        </w:tc>
        <w:tc>
          <w:tcPr>
            <w:tcW w:w="3006" w:type="dxa"/>
            <w:vAlign w:val="center"/>
          </w:tcPr>
          <w:p w14:paraId="5240C954" w14:textId="77777777" w:rsidR="001A5D00" w:rsidRPr="00887C27" w:rsidRDefault="001A5D00">
            <w:pPr>
              <w:pStyle w:val="COMTabletext"/>
              <w:jc w:val="center"/>
              <w:rPr>
                <w:b/>
                <w:bCs w:val="0"/>
                <w:szCs w:val="20"/>
              </w:rPr>
            </w:pPr>
            <w:r w:rsidRPr="00887C27">
              <w:rPr>
                <w:b/>
                <w:bCs w:val="0"/>
                <w:szCs w:val="20"/>
              </w:rPr>
              <w:t>ECOG1912 (FCR)</w:t>
            </w:r>
          </w:p>
          <w:p w14:paraId="194C6078" w14:textId="0C6E73FE" w:rsidR="001A5D00" w:rsidRPr="00887C27" w:rsidRDefault="001A5D00" w:rsidP="001B37FC">
            <w:pPr>
              <w:pStyle w:val="COMTabletext"/>
              <w:jc w:val="center"/>
              <w:rPr>
                <w:b/>
                <w:bCs w:val="0"/>
                <w:szCs w:val="20"/>
              </w:rPr>
            </w:pPr>
            <w:r w:rsidRPr="00887C27">
              <w:rPr>
                <w:b/>
                <w:bCs w:val="0"/>
                <w:szCs w:val="20"/>
              </w:rPr>
              <w:t>N = 175</w:t>
            </w:r>
          </w:p>
        </w:tc>
      </w:tr>
      <w:tr w:rsidR="001A5D00" w:rsidRPr="007F2249" w14:paraId="357D2163" w14:textId="77777777">
        <w:tc>
          <w:tcPr>
            <w:tcW w:w="3005" w:type="dxa"/>
            <w:tcBorders>
              <w:bottom w:val="nil"/>
            </w:tcBorders>
          </w:tcPr>
          <w:p w14:paraId="62799D8C" w14:textId="77777777" w:rsidR="001A5D00" w:rsidRPr="00565F70" w:rsidRDefault="001A5D00">
            <w:pPr>
              <w:pStyle w:val="COMTabletext"/>
              <w:rPr>
                <w:szCs w:val="20"/>
              </w:rPr>
            </w:pPr>
            <w:r w:rsidRPr="007F2249">
              <w:rPr>
                <w:szCs w:val="20"/>
              </w:rPr>
              <w:t>Landmark estimates, % (95% CI)</w:t>
            </w:r>
          </w:p>
        </w:tc>
        <w:tc>
          <w:tcPr>
            <w:tcW w:w="3006" w:type="dxa"/>
            <w:tcBorders>
              <w:bottom w:val="nil"/>
            </w:tcBorders>
            <w:vAlign w:val="center"/>
          </w:tcPr>
          <w:p w14:paraId="6E9DE75D" w14:textId="77777777" w:rsidR="001A5D00" w:rsidRPr="007F2249" w:rsidRDefault="001A5D00">
            <w:pPr>
              <w:pStyle w:val="COMTabletext"/>
              <w:jc w:val="center"/>
              <w:rPr>
                <w:szCs w:val="20"/>
              </w:rPr>
            </w:pPr>
          </w:p>
        </w:tc>
        <w:tc>
          <w:tcPr>
            <w:tcW w:w="3006" w:type="dxa"/>
            <w:tcBorders>
              <w:bottom w:val="nil"/>
            </w:tcBorders>
            <w:vAlign w:val="center"/>
          </w:tcPr>
          <w:p w14:paraId="3AC1BD04" w14:textId="77777777" w:rsidR="001A5D00" w:rsidRPr="007F2249" w:rsidRDefault="001A5D00">
            <w:pPr>
              <w:pStyle w:val="COMTabletext"/>
              <w:jc w:val="center"/>
              <w:rPr>
                <w:szCs w:val="20"/>
              </w:rPr>
            </w:pPr>
          </w:p>
        </w:tc>
      </w:tr>
      <w:tr w:rsidR="001A5D00" w:rsidRPr="007F2249" w14:paraId="1B73CA06" w14:textId="77777777">
        <w:tc>
          <w:tcPr>
            <w:tcW w:w="3005" w:type="dxa"/>
            <w:tcBorders>
              <w:top w:val="nil"/>
              <w:bottom w:val="nil"/>
            </w:tcBorders>
            <w:shd w:val="clear" w:color="auto" w:fill="auto"/>
            <w:vAlign w:val="center"/>
          </w:tcPr>
          <w:p w14:paraId="1C76B220" w14:textId="77777777" w:rsidR="001A5D00" w:rsidRPr="00565F70" w:rsidRDefault="001A5D00">
            <w:pPr>
              <w:pStyle w:val="COMTabletext"/>
              <w:rPr>
                <w:bCs w:val="0"/>
                <w:szCs w:val="20"/>
              </w:rPr>
            </w:pPr>
            <w:r w:rsidRPr="007F2249">
              <w:rPr>
                <w:bCs w:val="0"/>
                <w:szCs w:val="20"/>
              </w:rPr>
              <w:t>- 6 Months</w:t>
            </w:r>
          </w:p>
        </w:tc>
        <w:tc>
          <w:tcPr>
            <w:tcW w:w="3006" w:type="dxa"/>
            <w:tcBorders>
              <w:top w:val="nil"/>
              <w:bottom w:val="nil"/>
            </w:tcBorders>
          </w:tcPr>
          <w:p w14:paraId="109C4354" w14:textId="77777777" w:rsidR="001A5D00" w:rsidRPr="007F2249" w:rsidRDefault="001A5D00">
            <w:pPr>
              <w:pStyle w:val="COMTabletext"/>
              <w:jc w:val="center"/>
              <w:rPr>
                <w:szCs w:val="20"/>
              </w:rPr>
            </w:pPr>
            <w:r w:rsidRPr="00CF7988">
              <w:rPr>
                <w:szCs w:val="20"/>
              </w:rPr>
              <w:t>99.37 (95.6, 99.9)</w:t>
            </w:r>
          </w:p>
        </w:tc>
        <w:tc>
          <w:tcPr>
            <w:tcW w:w="3006" w:type="dxa"/>
            <w:tcBorders>
              <w:top w:val="nil"/>
              <w:bottom w:val="nil"/>
            </w:tcBorders>
          </w:tcPr>
          <w:p w14:paraId="55CFAEDA" w14:textId="77777777" w:rsidR="001A5D00" w:rsidRPr="007F2249" w:rsidRDefault="001A5D00">
            <w:pPr>
              <w:pStyle w:val="COMTabletext"/>
              <w:jc w:val="center"/>
              <w:rPr>
                <w:szCs w:val="20"/>
              </w:rPr>
            </w:pPr>
            <w:r w:rsidRPr="00CF7988">
              <w:rPr>
                <w:szCs w:val="20"/>
              </w:rPr>
              <w:t>96.32 (92.0, 98.3)</w:t>
            </w:r>
          </w:p>
        </w:tc>
      </w:tr>
      <w:tr w:rsidR="001A5D00" w:rsidRPr="007F2249" w14:paraId="0558E1D9" w14:textId="77777777">
        <w:tc>
          <w:tcPr>
            <w:tcW w:w="3005" w:type="dxa"/>
            <w:tcBorders>
              <w:top w:val="nil"/>
              <w:bottom w:val="nil"/>
            </w:tcBorders>
            <w:shd w:val="clear" w:color="auto" w:fill="auto"/>
            <w:vAlign w:val="center"/>
          </w:tcPr>
          <w:p w14:paraId="441A0014" w14:textId="77777777" w:rsidR="001A5D00" w:rsidRPr="00565F70" w:rsidRDefault="001A5D00">
            <w:pPr>
              <w:pStyle w:val="COMTabletext"/>
              <w:rPr>
                <w:bCs w:val="0"/>
                <w:szCs w:val="20"/>
              </w:rPr>
            </w:pPr>
            <w:r w:rsidRPr="007F2249">
              <w:rPr>
                <w:bCs w:val="0"/>
                <w:szCs w:val="20"/>
              </w:rPr>
              <w:t>- 12 Months</w:t>
            </w:r>
          </w:p>
        </w:tc>
        <w:tc>
          <w:tcPr>
            <w:tcW w:w="3006" w:type="dxa"/>
            <w:tcBorders>
              <w:top w:val="nil"/>
              <w:bottom w:val="nil"/>
            </w:tcBorders>
          </w:tcPr>
          <w:p w14:paraId="3481C613" w14:textId="77777777" w:rsidR="001A5D00" w:rsidRPr="007F2249" w:rsidRDefault="001A5D00">
            <w:pPr>
              <w:pStyle w:val="COMTabletext"/>
              <w:jc w:val="center"/>
              <w:rPr>
                <w:szCs w:val="20"/>
              </w:rPr>
            </w:pPr>
            <w:r w:rsidRPr="00B0153A">
              <w:rPr>
                <w:szCs w:val="20"/>
              </w:rPr>
              <w:t>99.37 (95.6, 99.9)</w:t>
            </w:r>
          </w:p>
        </w:tc>
        <w:tc>
          <w:tcPr>
            <w:tcW w:w="3006" w:type="dxa"/>
            <w:tcBorders>
              <w:top w:val="nil"/>
              <w:bottom w:val="nil"/>
            </w:tcBorders>
          </w:tcPr>
          <w:p w14:paraId="71989354" w14:textId="77777777" w:rsidR="001A5D00" w:rsidRPr="007F2249" w:rsidRDefault="001A5D00">
            <w:pPr>
              <w:pStyle w:val="COMTabletext"/>
              <w:jc w:val="center"/>
              <w:rPr>
                <w:szCs w:val="20"/>
              </w:rPr>
            </w:pPr>
            <w:r w:rsidRPr="00B0153A">
              <w:rPr>
                <w:szCs w:val="20"/>
              </w:rPr>
              <w:t>92.51 (87.2, 95.7)</w:t>
            </w:r>
          </w:p>
        </w:tc>
      </w:tr>
      <w:tr w:rsidR="001A5D00" w:rsidRPr="007F2249" w14:paraId="00A3D4DB" w14:textId="77777777">
        <w:tc>
          <w:tcPr>
            <w:tcW w:w="3005" w:type="dxa"/>
            <w:tcBorders>
              <w:top w:val="nil"/>
              <w:bottom w:val="nil"/>
            </w:tcBorders>
            <w:shd w:val="clear" w:color="auto" w:fill="auto"/>
            <w:vAlign w:val="center"/>
          </w:tcPr>
          <w:p w14:paraId="3DDCFDB3" w14:textId="77777777" w:rsidR="001A5D00" w:rsidRPr="00565F70" w:rsidRDefault="001A5D00">
            <w:pPr>
              <w:pStyle w:val="COMTabletext"/>
              <w:rPr>
                <w:bCs w:val="0"/>
                <w:szCs w:val="20"/>
              </w:rPr>
            </w:pPr>
            <w:r w:rsidRPr="007F2249">
              <w:rPr>
                <w:bCs w:val="0"/>
                <w:szCs w:val="20"/>
              </w:rPr>
              <w:t>- 18 Months</w:t>
            </w:r>
          </w:p>
        </w:tc>
        <w:tc>
          <w:tcPr>
            <w:tcW w:w="3006" w:type="dxa"/>
            <w:tcBorders>
              <w:top w:val="nil"/>
              <w:bottom w:val="nil"/>
            </w:tcBorders>
          </w:tcPr>
          <w:p w14:paraId="61FD9AE3" w14:textId="77777777" w:rsidR="001A5D00" w:rsidRPr="007F2249" w:rsidRDefault="001A5D00">
            <w:pPr>
              <w:pStyle w:val="COMTabletext"/>
              <w:jc w:val="center"/>
              <w:rPr>
                <w:szCs w:val="20"/>
              </w:rPr>
            </w:pPr>
            <w:r w:rsidRPr="00B0153A">
              <w:rPr>
                <w:szCs w:val="20"/>
              </w:rPr>
              <w:t>95.43 (90.7, 97.8)</w:t>
            </w:r>
          </w:p>
        </w:tc>
        <w:tc>
          <w:tcPr>
            <w:tcW w:w="3006" w:type="dxa"/>
            <w:tcBorders>
              <w:top w:val="nil"/>
              <w:bottom w:val="nil"/>
            </w:tcBorders>
          </w:tcPr>
          <w:p w14:paraId="592BCEA7" w14:textId="77777777" w:rsidR="001A5D00" w:rsidRPr="007F2249" w:rsidRDefault="001A5D00">
            <w:pPr>
              <w:pStyle w:val="COMTabletext"/>
              <w:jc w:val="center"/>
              <w:rPr>
                <w:szCs w:val="20"/>
              </w:rPr>
            </w:pPr>
            <w:r w:rsidRPr="00B0153A">
              <w:rPr>
                <w:szCs w:val="20"/>
              </w:rPr>
              <w:t>85.98 (79.5, 90.5)</w:t>
            </w:r>
          </w:p>
        </w:tc>
      </w:tr>
      <w:tr w:rsidR="001A5D00" w:rsidRPr="007F2249" w14:paraId="43D89176" w14:textId="77777777">
        <w:tc>
          <w:tcPr>
            <w:tcW w:w="3005" w:type="dxa"/>
            <w:tcBorders>
              <w:top w:val="nil"/>
              <w:bottom w:val="nil"/>
            </w:tcBorders>
            <w:shd w:val="clear" w:color="auto" w:fill="auto"/>
            <w:vAlign w:val="center"/>
          </w:tcPr>
          <w:p w14:paraId="28299686" w14:textId="77777777" w:rsidR="001A5D00" w:rsidRPr="00565F70" w:rsidRDefault="001A5D00">
            <w:pPr>
              <w:pStyle w:val="COMTabletext"/>
              <w:rPr>
                <w:bCs w:val="0"/>
                <w:szCs w:val="20"/>
              </w:rPr>
            </w:pPr>
            <w:r w:rsidRPr="007F2249">
              <w:rPr>
                <w:bCs w:val="0"/>
                <w:szCs w:val="20"/>
              </w:rPr>
              <w:t>- 24 Months</w:t>
            </w:r>
          </w:p>
        </w:tc>
        <w:tc>
          <w:tcPr>
            <w:tcW w:w="3006" w:type="dxa"/>
            <w:tcBorders>
              <w:top w:val="nil"/>
              <w:bottom w:val="nil"/>
            </w:tcBorders>
          </w:tcPr>
          <w:p w14:paraId="5E8058AA" w14:textId="77777777" w:rsidR="001A5D00" w:rsidRPr="007F2249" w:rsidRDefault="001A5D00">
            <w:pPr>
              <w:pStyle w:val="COMTabletext"/>
              <w:jc w:val="center"/>
              <w:rPr>
                <w:szCs w:val="20"/>
              </w:rPr>
            </w:pPr>
            <w:r w:rsidRPr="00B0153A">
              <w:rPr>
                <w:szCs w:val="20"/>
              </w:rPr>
              <w:t>94.77 (89.8, 97.4)</w:t>
            </w:r>
          </w:p>
        </w:tc>
        <w:tc>
          <w:tcPr>
            <w:tcW w:w="3006" w:type="dxa"/>
            <w:tcBorders>
              <w:top w:val="nil"/>
              <w:bottom w:val="nil"/>
            </w:tcBorders>
          </w:tcPr>
          <w:p w14:paraId="7CD649C2" w14:textId="77777777" w:rsidR="001A5D00" w:rsidRPr="007F2249" w:rsidRDefault="001A5D00">
            <w:pPr>
              <w:pStyle w:val="COMTabletext"/>
              <w:jc w:val="center"/>
              <w:rPr>
                <w:szCs w:val="20"/>
              </w:rPr>
            </w:pPr>
            <w:r w:rsidRPr="00B0153A">
              <w:rPr>
                <w:szCs w:val="20"/>
              </w:rPr>
              <w:t>83.31 (76.5, 88.3)</w:t>
            </w:r>
          </w:p>
        </w:tc>
      </w:tr>
      <w:tr w:rsidR="001A5D00" w:rsidRPr="007F2249" w14:paraId="1FC95221" w14:textId="77777777">
        <w:tc>
          <w:tcPr>
            <w:tcW w:w="3005" w:type="dxa"/>
            <w:tcBorders>
              <w:top w:val="nil"/>
              <w:bottom w:val="nil"/>
            </w:tcBorders>
            <w:shd w:val="clear" w:color="auto" w:fill="auto"/>
            <w:vAlign w:val="center"/>
          </w:tcPr>
          <w:p w14:paraId="66512A9D" w14:textId="77777777" w:rsidR="001A5D00" w:rsidRPr="007D3D00" w:rsidRDefault="001A5D00">
            <w:pPr>
              <w:pStyle w:val="COMTabletext"/>
              <w:rPr>
                <w:bCs w:val="0"/>
                <w:szCs w:val="20"/>
              </w:rPr>
            </w:pPr>
            <w:r w:rsidRPr="007F2249">
              <w:rPr>
                <w:bCs w:val="0"/>
                <w:szCs w:val="20"/>
              </w:rPr>
              <w:t xml:space="preserve">- 30 </w:t>
            </w:r>
            <w:r w:rsidRPr="00565F70">
              <w:rPr>
                <w:bCs w:val="0"/>
                <w:szCs w:val="20"/>
              </w:rPr>
              <w:t>Months</w:t>
            </w:r>
          </w:p>
        </w:tc>
        <w:tc>
          <w:tcPr>
            <w:tcW w:w="3006" w:type="dxa"/>
            <w:tcBorders>
              <w:top w:val="nil"/>
              <w:bottom w:val="nil"/>
            </w:tcBorders>
          </w:tcPr>
          <w:p w14:paraId="52DCC591" w14:textId="77777777" w:rsidR="001A5D00" w:rsidRPr="007F2249" w:rsidRDefault="001A5D00">
            <w:pPr>
              <w:pStyle w:val="COMTabletext"/>
              <w:jc w:val="center"/>
              <w:rPr>
                <w:szCs w:val="20"/>
              </w:rPr>
            </w:pPr>
            <w:r w:rsidRPr="00B0153A">
              <w:rPr>
                <w:szCs w:val="20"/>
              </w:rPr>
              <w:t>88.74 (82.5, 92.9)</w:t>
            </w:r>
          </w:p>
        </w:tc>
        <w:tc>
          <w:tcPr>
            <w:tcW w:w="3006" w:type="dxa"/>
            <w:tcBorders>
              <w:top w:val="nil"/>
              <w:bottom w:val="nil"/>
            </w:tcBorders>
          </w:tcPr>
          <w:p w14:paraId="7A94212A" w14:textId="77777777" w:rsidR="001A5D00" w:rsidRPr="007F2249" w:rsidRDefault="001A5D00">
            <w:pPr>
              <w:pStyle w:val="COMTabletext"/>
              <w:jc w:val="center"/>
              <w:rPr>
                <w:szCs w:val="20"/>
              </w:rPr>
            </w:pPr>
            <w:r w:rsidRPr="00B0153A">
              <w:rPr>
                <w:szCs w:val="20"/>
              </w:rPr>
              <w:t>77.89 (70.4, 83.7)</w:t>
            </w:r>
          </w:p>
        </w:tc>
      </w:tr>
      <w:tr w:rsidR="001A5D00" w:rsidRPr="007F2249" w14:paraId="409C77A2" w14:textId="77777777">
        <w:tc>
          <w:tcPr>
            <w:tcW w:w="3005" w:type="dxa"/>
            <w:tcBorders>
              <w:top w:val="nil"/>
            </w:tcBorders>
            <w:shd w:val="clear" w:color="auto" w:fill="auto"/>
            <w:vAlign w:val="center"/>
          </w:tcPr>
          <w:p w14:paraId="096077DC" w14:textId="77777777" w:rsidR="001A5D00" w:rsidRPr="00565F70" w:rsidRDefault="001A5D00">
            <w:pPr>
              <w:pStyle w:val="COMTabletext"/>
              <w:rPr>
                <w:bCs w:val="0"/>
                <w:szCs w:val="20"/>
              </w:rPr>
            </w:pPr>
            <w:r w:rsidRPr="007F2249">
              <w:rPr>
                <w:bCs w:val="0"/>
                <w:szCs w:val="20"/>
              </w:rPr>
              <w:t>- 36 Months</w:t>
            </w:r>
          </w:p>
        </w:tc>
        <w:tc>
          <w:tcPr>
            <w:tcW w:w="3006" w:type="dxa"/>
            <w:tcBorders>
              <w:top w:val="nil"/>
            </w:tcBorders>
          </w:tcPr>
          <w:p w14:paraId="54E2EB6B" w14:textId="77777777" w:rsidR="001A5D00" w:rsidRPr="007F2249" w:rsidRDefault="001A5D00">
            <w:pPr>
              <w:pStyle w:val="COMTabletext"/>
              <w:jc w:val="center"/>
              <w:rPr>
                <w:szCs w:val="20"/>
              </w:rPr>
            </w:pPr>
            <w:r w:rsidRPr="00B0153A">
              <w:rPr>
                <w:szCs w:val="20"/>
              </w:rPr>
              <w:t>88.07 (81.7, 92.3)</w:t>
            </w:r>
          </w:p>
        </w:tc>
        <w:tc>
          <w:tcPr>
            <w:tcW w:w="3006" w:type="dxa"/>
            <w:tcBorders>
              <w:top w:val="nil"/>
            </w:tcBorders>
          </w:tcPr>
          <w:p w14:paraId="206E4010" w14:textId="77777777" w:rsidR="001A5D00" w:rsidRPr="007F2249" w:rsidRDefault="001A5D00">
            <w:pPr>
              <w:pStyle w:val="COMTabletext"/>
              <w:jc w:val="center"/>
              <w:rPr>
                <w:szCs w:val="20"/>
              </w:rPr>
            </w:pPr>
            <w:r w:rsidRPr="00B0153A">
              <w:rPr>
                <w:szCs w:val="20"/>
              </w:rPr>
              <w:t>71.27 (63.2, 77.7)</w:t>
            </w:r>
          </w:p>
        </w:tc>
      </w:tr>
    </w:tbl>
    <w:p w14:paraId="4DA6692D" w14:textId="65B113D0" w:rsidR="001A5D00" w:rsidRPr="00C52646" w:rsidRDefault="001A5D00" w:rsidP="001A5D00">
      <w:pPr>
        <w:pStyle w:val="COMTablefooter"/>
      </w:pPr>
      <w:r w:rsidRPr="00C52646">
        <w:t>Source: Table 2-44, p142 of the submission</w:t>
      </w:r>
      <w:r w:rsidR="00155719">
        <w:t>.</w:t>
      </w:r>
    </w:p>
    <w:p w14:paraId="041DCFB3" w14:textId="77777777" w:rsidR="001A5D00" w:rsidRPr="00C52646" w:rsidRDefault="001A5D00" w:rsidP="001A5D00">
      <w:pPr>
        <w:pStyle w:val="COMTablefooter"/>
      </w:pPr>
      <w:r w:rsidRPr="00C52646">
        <w:t>Abbreviations: CI, confidence interval; FCR, fludarabine, cyclophosphamide, rituximab</w:t>
      </w:r>
    </w:p>
    <w:p w14:paraId="58BFF15A" w14:textId="30E6D51C" w:rsidR="00B774C4" w:rsidRPr="00C52646" w:rsidRDefault="00321242" w:rsidP="00B774C4">
      <w:pPr>
        <w:pStyle w:val="COMexecsumnumberedpara"/>
      </w:pPr>
      <w:r w:rsidRPr="00C52646">
        <w:t xml:space="preserve">The hazard ratio </w:t>
      </w:r>
      <w:r w:rsidR="006D2170">
        <w:t xml:space="preserve">for progression-free survival </w:t>
      </w:r>
      <w:r w:rsidRPr="00C52646">
        <w:t xml:space="preserve">derived in the naïve indirect comparison of ibrutinib + venetoclax </w:t>
      </w:r>
      <w:r w:rsidR="005B4A30">
        <w:t xml:space="preserve">(38.7 months median follow-up) </w:t>
      </w:r>
      <w:r w:rsidRPr="00C52646">
        <w:t>v</w:t>
      </w:r>
      <w:r w:rsidR="005B4A30">
        <w:t>ersu</w:t>
      </w:r>
      <w:r w:rsidRPr="00C52646">
        <w:t xml:space="preserve">s FCR </w:t>
      </w:r>
      <w:r w:rsidR="005B4A30">
        <w:t xml:space="preserve">(48 months median follow-up) </w:t>
      </w:r>
      <w:r w:rsidRPr="00C52646">
        <w:t xml:space="preserve">was 0.243 (95% CI: 0.151, 0.391; p &lt;0.0001), in favour of ibrutinib + venetoclax. </w:t>
      </w:r>
      <w:r w:rsidR="005B4A30">
        <w:t xml:space="preserve">Similar results were derived using </w:t>
      </w:r>
      <w:r w:rsidR="006B5B18">
        <w:t xml:space="preserve">longer follow-up </w:t>
      </w:r>
      <w:r w:rsidR="00846658">
        <w:t xml:space="preserve">(median 70 months) </w:t>
      </w:r>
      <w:r w:rsidR="006B5B18">
        <w:t>for FCR</w:t>
      </w:r>
      <w:r w:rsidR="00846658">
        <w:t xml:space="preserve"> (</w:t>
      </w:r>
      <w:r w:rsidR="00265422">
        <w:t>HR 0.204; 95% CI:0.13,</w:t>
      </w:r>
      <w:r w:rsidR="00086FB9">
        <w:t xml:space="preserve"> </w:t>
      </w:r>
      <w:r w:rsidR="00265422">
        <w:t>0.32</w:t>
      </w:r>
      <w:r w:rsidR="00086FB9">
        <w:t>;</w:t>
      </w:r>
      <w:r w:rsidR="00265422">
        <w:t xml:space="preserve"> p &lt;0.0001). </w:t>
      </w:r>
      <w:r w:rsidR="002E1363" w:rsidRPr="001434A1">
        <w:rPr>
          <w:iCs/>
        </w:rPr>
        <w:t>T</w:t>
      </w:r>
      <w:r w:rsidRPr="001434A1">
        <w:rPr>
          <w:iCs/>
        </w:rPr>
        <w:t>he</w:t>
      </w:r>
      <w:r w:rsidR="00477CC4" w:rsidRPr="001434A1">
        <w:rPr>
          <w:iCs/>
        </w:rPr>
        <w:t xml:space="preserve"> ESC noted that the</w:t>
      </w:r>
      <w:r w:rsidRPr="001434A1">
        <w:rPr>
          <w:iCs/>
        </w:rPr>
        <w:t xml:space="preserve"> progression</w:t>
      </w:r>
      <w:r w:rsidR="0051352D">
        <w:rPr>
          <w:iCs/>
        </w:rPr>
        <w:t>-</w:t>
      </w:r>
      <w:r w:rsidRPr="001434A1">
        <w:rPr>
          <w:iCs/>
        </w:rPr>
        <w:t>free survival rates reported in CAPTIVATE were consistently higher than in the FCR arm of ECOG1912 at all time points in the landmark estimates.</w:t>
      </w:r>
      <w:r w:rsidRPr="00C52646">
        <w:t xml:space="preserve"> The submission claimed that ibrutinib + venetoclax was statistically and clinically superior to FCR in prolonging progression</w:t>
      </w:r>
      <w:r w:rsidR="0051352D">
        <w:t>-</w:t>
      </w:r>
      <w:r w:rsidRPr="00C52646">
        <w:t xml:space="preserve">free survival. </w:t>
      </w:r>
      <w:r w:rsidRPr="003967D3">
        <w:rPr>
          <w:iCs/>
        </w:rPr>
        <w:t>The estimated hazard ratio</w:t>
      </w:r>
      <w:r w:rsidR="000A3415">
        <w:rPr>
          <w:iCs/>
        </w:rPr>
        <w:t xml:space="preserve"> for PFS</w:t>
      </w:r>
      <w:r w:rsidRPr="003967D3">
        <w:rPr>
          <w:iCs/>
        </w:rPr>
        <w:t xml:space="preserve"> </w:t>
      </w:r>
      <w:r w:rsidR="000A3415">
        <w:rPr>
          <w:iCs/>
        </w:rPr>
        <w:t>strongly favours</w:t>
      </w:r>
      <w:r w:rsidRPr="003967D3">
        <w:rPr>
          <w:iCs/>
        </w:rPr>
        <w:t xml:space="preserve"> ibrutinib + venetoclax</w:t>
      </w:r>
      <w:r w:rsidR="005B2DC5">
        <w:rPr>
          <w:iCs/>
        </w:rPr>
        <w:t>, however</w:t>
      </w:r>
      <w:r w:rsidRPr="003967D3">
        <w:rPr>
          <w:iCs/>
        </w:rPr>
        <w:t xml:space="preserve"> should be interpreted with caution. </w:t>
      </w:r>
      <w:r w:rsidRPr="00E36967">
        <w:rPr>
          <w:iCs/>
        </w:rPr>
        <w:t xml:space="preserve">There were some notable differences in the patient populations between the two included studies, including </w:t>
      </w:r>
      <w:r w:rsidR="00C22709" w:rsidRPr="00E36967">
        <w:rPr>
          <w:iCs/>
        </w:rPr>
        <w:t xml:space="preserve">differences </w:t>
      </w:r>
      <w:r w:rsidRPr="00E36967">
        <w:rPr>
          <w:iCs/>
        </w:rPr>
        <w:t>in</w:t>
      </w:r>
      <w:r w:rsidR="002512EE">
        <w:rPr>
          <w:iCs/>
        </w:rPr>
        <w:t xml:space="preserve"> </w:t>
      </w:r>
      <w:r w:rsidRPr="00E36967">
        <w:rPr>
          <w:iCs/>
        </w:rPr>
        <w:t>comorbidities and severity of illness, and the resulting hazard ratio may not represent the true estimate of differences in treatment effect.</w:t>
      </w:r>
      <w:r w:rsidRPr="003967D3">
        <w:rPr>
          <w:iCs/>
        </w:rPr>
        <w:t xml:space="preserve"> </w:t>
      </w:r>
      <w:r w:rsidR="000A3415">
        <w:rPr>
          <w:iCs/>
        </w:rPr>
        <w:t xml:space="preserve">The evaluation </w:t>
      </w:r>
      <w:r w:rsidR="000A3415" w:rsidRPr="001434A1">
        <w:t>and the ESC</w:t>
      </w:r>
      <w:r w:rsidR="000A3415">
        <w:rPr>
          <w:iCs/>
        </w:rPr>
        <w:t xml:space="preserve"> considered that</w:t>
      </w:r>
      <w:r w:rsidR="00B774C4" w:rsidRPr="003967D3">
        <w:rPr>
          <w:iCs/>
        </w:rPr>
        <w:t>, in the absence of longer-term follow-up and comparative results, the magnitude of the benefit of combining ibrutinib and venetoclax compared with other first-line treatment options remains unclear.</w:t>
      </w:r>
    </w:p>
    <w:p w14:paraId="6B75BA03" w14:textId="3931C54C" w:rsidR="008604B0" w:rsidRDefault="00711B90" w:rsidP="00E255C7">
      <w:pPr>
        <w:pStyle w:val="COMexecsumnumberedpara"/>
      </w:pPr>
      <w:r>
        <w:t xml:space="preserve">Results for the naïve comparison of ibrutinib + venetoclax and FCR for </w:t>
      </w:r>
      <w:r w:rsidR="00630118">
        <w:t xml:space="preserve">overall </w:t>
      </w:r>
      <w:r>
        <w:t>survival, based on</w:t>
      </w:r>
      <w:r w:rsidRPr="00C52646">
        <w:t xml:space="preserve"> the FD cohort of the CAPTIVATE </w:t>
      </w:r>
      <w:r>
        <w:t>study</w:t>
      </w:r>
      <w:r w:rsidRPr="00C52646">
        <w:t>, and the FCR arm of ECOG1912</w:t>
      </w:r>
      <w:r>
        <w:t xml:space="preserve"> are summarised in </w:t>
      </w:r>
      <w:r w:rsidR="00D02988">
        <w:fldChar w:fldCharType="begin" w:fldLock="1"/>
      </w:r>
      <w:r w:rsidR="00D02988">
        <w:instrText xml:space="preserve"> REF _Ref113265004 \h </w:instrText>
      </w:r>
      <w:r w:rsidR="00D02988">
        <w:fldChar w:fldCharType="separate"/>
      </w:r>
      <w:r w:rsidR="00B22386" w:rsidRPr="00BA575E">
        <w:t xml:space="preserve">Figure </w:t>
      </w:r>
      <w:r w:rsidR="00B22386">
        <w:rPr>
          <w:noProof/>
        </w:rPr>
        <w:t>3</w:t>
      </w:r>
      <w:r w:rsidR="00D02988">
        <w:fldChar w:fldCharType="end"/>
      </w:r>
      <w:r w:rsidR="00D02988">
        <w:t xml:space="preserve"> </w:t>
      </w:r>
      <w:r>
        <w:t xml:space="preserve">and </w:t>
      </w:r>
      <w:r w:rsidR="00845B72">
        <w:fldChar w:fldCharType="begin" w:fldLock="1"/>
      </w:r>
      <w:r w:rsidR="00845B72">
        <w:instrText xml:space="preserve"> REF _Ref113265025 \h </w:instrText>
      </w:r>
      <w:r w:rsidR="00845B72">
        <w:fldChar w:fldCharType="separate"/>
      </w:r>
      <w:r w:rsidR="00B22386" w:rsidRPr="00711B90">
        <w:t xml:space="preserve">Table </w:t>
      </w:r>
      <w:r w:rsidR="00B22386">
        <w:rPr>
          <w:noProof/>
        </w:rPr>
        <w:t>5</w:t>
      </w:r>
      <w:r w:rsidR="00845B72">
        <w:fldChar w:fldCharType="end"/>
      </w:r>
      <w:r w:rsidR="00D02988">
        <w:t xml:space="preserve"> </w:t>
      </w:r>
      <w:r>
        <w:t>below</w:t>
      </w:r>
      <w:r w:rsidRPr="00C52646">
        <w:t xml:space="preserve">. </w:t>
      </w:r>
    </w:p>
    <w:p w14:paraId="21D5345B" w14:textId="06226446" w:rsidR="00711B90" w:rsidRPr="00BA575E" w:rsidRDefault="00711B90" w:rsidP="00F117DF">
      <w:pPr>
        <w:pStyle w:val="Caption"/>
        <w:jc w:val="both"/>
      </w:pPr>
      <w:bookmarkStart w:id="47" w:name="_Ref113265004"/>
      <w:r w:rsidRPr="00BA575E">
        <w:lastRenderedPageBreak/>
        <w:t xml:space="preserve">Figure </w:t>
      </w:r>
      <w:fldSimple w:instr=" SEQ Figure \* ARABIC " w:fldLock="1">
        <w:r w:rsidR="00B22386">
          <w:rPr>
            <w:noProof/>
          </w:rPr>
          <w:t>3</w:t>
        </w:r>
      </w:fldSimple>
      <w:bookmarkEnd w:id="47"/>
      <w:r w:rsidRPr="00BA575E">
        <w:t>: Kaplan-Meier estimates of overall survival in the FD cohort of CAPTIVATE (ibrutinib + venetoclax, 38-month follow-up) compared with the FCR arm of ECOG1912 (48-month median follow-up)</w:t>
      </w:r>
    </w:p>
    <w:p w14:paraId="0B464208" w14:textId="77777777" w:rsidR="00711B90" w:rsidRPr="00711B90" w:rsidRDefault="00711B90" w:rsidP="00F117DF">
      <w:pPr>
        <w:rPr>
          <w:color w:val="3366FF"/>
        </w:rPr>
      </w:pPr>
      <w:r w:rsidRPr="00C52646">
        <w:rPr>
          <w:noProof/>
        </w:rPr>
        <w:drawing>
          <wp:inline distT="0" distB="0" distL="0" distR="0" wp14:anchorId="75E80481" wp14:editId="6101BC8D">
            <wp:extent cx="5732145" cy="4253941"/>
            <wp:effectExtent l="0" t="0" r="1905" b="0"/>
            <wp:docPr id="7" name="Picture 14" descr="Graphical user interface&#10;&#10;Description automatically generated">
              <a:extLst xmlns:a="http://schemas.openxmlformats.org/drawingml/2006/main">
                <a:ext uri="{FF2B5EF4-FFF2-40B4-BE49-F238E27FC236}">
                  <a16:creationId xmlns:a16="http://schemas.microsoft.com/office/drawing/2014/main" id="{3BEF3921-B199-4F36-9731-7645989CB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4" descr="Graphical user interface&#10;&#10;Description automatically generated">
                      <a:extLst>
                        <a:ext uri="{FF2B5EF4-FFF2-40B4-BE49-F238E27FC236}">
                          <a16:creationId xmlns:a16="http://schemas.microsoft.com/office/drawing/2014/main" id="{3BEF3921-B199-4F36-9731-7645989CBDE4}"/>
                        </a:ext>
                      </a:extLst>
                    </pic:cNvPr>
                    <pic:cNvPicPr>
                      <a:picLocks noChangeAspect="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5732145" cy="4253941"/>
                    </a:xfrm>
                    <a:prstGeom prst="rect">
                      <a:avLst/>
                    </a:prstGeom>
                    <a:ln>
                      <a:noFill/>
                    </a:ln>
                    <a:extLst>
                      <a:ext uri="{53640926-AAD7-44D8-BBD7-CCE9431645EC}">
                        <a14:shadowObscured xmlns:a14="http://schemas.microsoft.com/office/drawing/2010/main"/>
                      </a:ext>
                    </a:extLst>
                  </pic:spPr>
                </pic:pic>
              </a:graphicData>
            </a:graphic>
          </wp:inline>
        </w:drawing>
      </w:r>
    </w:p>
    <w:p w14:paraId="215FDE83" w14:textId="136D9F4E" w:rsidR="00711B90" w:rsidRDefault="00711B90" w:rsidP="009311FD">
      <w:pPr>
        <w:pStyle w:val="COMTablefooter"/>
        <w:spacing w:after="0"/>
      </w:pPr>
      <w:r w:rsidRPr="00C52646">
        <w:t>Source: Figure 2-16, p145 of the submission</w:t>
      </w:r>
      <w:r w:rsidR="00155719">
        <w:t>.</w:t>
      </w:r>
    </w:p>
    <w:p w14:paraId="6F853CFD" w14:textId="54618ECE" w:rsidR="00B05073" w:rsidRPr="00E34C8B" w:rsidRDefault="00B05073" w:rsidP="009311FD">
      <w:pPr>
        <w:rPr>
          <w:szCs w:val="18"/>
        </w:rPr>
      </w:pPr>
      <w:r w:rsidRPr="009311FD">
        <w:rPr>
          <w:rFonts w:ascii="Arial Narrow" w:hAnsi="Arial Narrow"/>
          <w:sz w:val="18"/>
          <w:szCs w:val="18"/>
        </w:rPr>
        <w:t>* Note that the results presented in Figure 3 are derived from post-hoc analyses conducted by the applicant specifically for the purposes of informing the PBAC consideration. These analyses were not part of the pre-specified statistical plan for CAPTIVATE.  Interpretation of the results and their application should therefore be limited to seeking to understand the basis for the PBAC outcome and should not be used for any other purpose.</w:t>
      </w:r>
    </w:p>
    <w:p w14:paraId="6DE4B4E8" w14:textId="77777777" w:rsidR="00B05073" w:rsidRPr="00B05073" w:rsidRDefault="00B05073" w:rsidP="009311FD"/>
    <w:p w14:paraId="7E8186C3" w14:textId="4855DA72" w:rsidR="006640AF" w:rsidRDefault="006640AF" w:rsidP="00845B72">
      <w:pPr>
        <w:pStyle w:val="Caption"/>
      </w:pPr>
      <w:bookmarkStart w:id="48" w:name="_Ref113265025"/>
      <w:r w:rsidRPr="00711B90">
        <w:t xml:space="preserve">Table </w:t>
      </w:r>
      <w:fldSimple w:instr=" SEQ Table \* ARABIC " w:fldLock="1">
        <w:r w:rsidR="00B22386">
          <w:rPr>
            <w:noProof/>
          </w:rPr>
          <w:t>5</w:t>
        </w:r>
      </w:fldSimple>
      <w:bookmarkEnd w:id="48"/>
      <w:r w:rsidRPr="00711B90">
        <w:t>: Landmark estimates of overall survival for the FD cohort of CAPTIVATE (ibrutinib + venetoclax; 37.8 months median follow-up) and the FCR arm of ECOG1912 (48 months median follow-up)</w:t>
      </w:r>
    </w:p>
    <w:tbl>
      <w:tblPr>
        <w:tblStyle w:val="TableGrid"/>
        <w:tblW w:w="0" w:type="auto"/>
        <w:tblLook w:val="04A0" w:firstRow="1" w:lastRow="0" w:firstColumn="1" w:lastColumn="0" w:noHBand="0" w:noVBand="1"/>
      </w:tblPr>
      <w:tblGrid>
        <w:gridCol w:w="3005"/>
        <w:gridCol w:w="3006"/>
        <w:gridCol w:w="3006"/>
      </w:tblGrid>
      <w:tr w:rsidR="00FB4F0A" w:rsidRPr="00547247" w14:paraId="77D7182E" w14:textId="77777777" w:rsidTr="00BA575E">
        <w:tc>
          <w:tcPr>
            <w:tcW w:w="3005" w:type="dxa"/>
            <w:tcBorders>
              <w:bottom w:val="single" w:sz="4" w:space="0" w:color="auto"/>
            </w:tcBorders>
          </w:tcPr>
          <w:p w14:paraId="21D2E80D" w14:textId="77777777" w:rsidR="00FB4F0A" w:rsidRPr="00104789" w:rsidRDefault="00FB4F0A" w:rsidP="00BA575E">
            <w:pPr>
              <w:rPr>
                <w:color w:val="3366FF"/>
                <w:sz w:val="20"/>
                <w:szCs w:val="20"/>
              </w:rPr>
            </w:pPr>
          </w:p>
        </w:tc>
        <w:tc>
          <w:tcPr>
            <w:tcW w:w="3006" w:type="dxa"/>
            <w:tcBorders>
              <w:bottom w:val="single" w:sz="4" w:space="0" w:color="auto"/>
            </w:tcBorders>
            <w:vAlign w:val="center"/>
          </w:tcPr>
          <w:p w14:paraId="331CFC36" w14:textId="77777777" w:rsidR="00FB4F0A" w:rsidRPr="00547247" w:rsidRDefault="00FB4F0A" w:rsidP="00BA575E">
            <w:pPr>
              <w:jc w:val="center"/>
              <w:rPr>
                <w:rFonts w:ascii="Arial Narrow" w:hAnsi="Arial Narrow"/>
                <w:b/>
                <w:bCs/>
                <w:color w:val="000000" w:themeColor="text1"/>
                <w:sz w:val="20"/>
                <w:szCs w:val="20"/>
              </w:rPr>
            </w:pPr>
            <w:r w:rsidRPr="00547247">
              <w:rPr>
                <w:rFonts w:ascii="Arial Narrow" w:hAnsi="Arial Narrow"/>
                <w:b/>
                <w:bCs/>
                <w:color w:val="000000" w:themeColor="text1"/>
                <w:sz w:val="20"/>
                <w:szCs w:val="20"/>
              </w:rPr>
              <w:t>CAPTIVATE (ibrutinib + venetoclax)</w:t>
            </w:r>
          </w:p>
          <w:p w14:paraId="17E39379" w14:textId="0D3ECD2D" w:rsidR="00FB4F0A" w:rsidRPr="00547247" w:rsidRDefault="00FB4F0A" w:rsidP="00FB4F0A">
            <w:pPr>
              <w:jc w:val="center"/>
              <w:rPr>
                <w:rFonts w:ascii="Arial Narrow" w:hAnsi="Arial Narrow"/>
                <w:b/>
                <w:bCs/>
                <w:color w:val="000000" w:themeColor="text1"/>
                <w:sz w:val="20"/>
                <w:szCs w:val="20"/>
              </w:rPr>
            </w:pPr>
            <w:r w:rsidRPr="00547247">
              <w:rPr>
                <w:rFonts w:ascii="Arial Narrow" w:hAnsi="Arial Narrow"/>
                <w:b/>
                <w:bCs/>
                <w:color w:val="000000" w:themeColor="text1"/>
                <w:sz w:val="20"/>
                <w:szCs w:val="20"/>
              </w:rPr>
              <w:t>N = 157</w:t>
            </w:r>
          </w:p>
        </w:tc>
        <w:tc>
          <w:tcPr>
            <w:tcW w:w="3006" w:type="dxa"/>
            <w:tcBorders>
              <w:bottom w:val="single" w:sz="4" w:space="0" w:color="auto"/>
            </w:tcBorders>
            <w:vAlign w:val="center"/>
          </w:tcPr>
          <w:p w14:paraId="109D5084" w14:textId="77777777" w:rsidR="00FB4F0A" w:rsidRPr="00547247" w:rsidRDefault="00FB4F0A" w:rsidP="00BA575E">
            <w:pPr>
              <w:jc w:val="center"/>
              <w:rPr>
                <w:rFonts w:ascii="Arial Narrow" w:hAnsi="Arial Narrow"/>
                <w:b/>
                <w:bCs/>
                <w:color w:val="000000" w:themeColor="text1"/>
                <w:sz w:val="20"/>
                <w:szCs w:val="20"/>
              </w:rPr>
            </w:pPr>
            <w:r w:rsidRPr="00547247">
              <w:rPr>
                <w:rFonts w:ascii="Arial Narrow" w:hAnsi="Arial Narrow"/>
                <w:b/>
                <w:bCs/>
                <w:color w:val="000000" w:themeColor="text1"/>
                <w:sz w:val="20"/>
                <w:szCs w:val="20"/>
              </w:rPr>
              <w:t>ECOG1912 (FCR)</w:t>
            </w:r>
          </w:p>
          <w:p w14:paraId="2A6ECDBA" w14:textId="1A7E9E94" w:rsidR="00FB4F0A" w:rsidRPr="00547247" w:rsidRDefault="00FB4F0A" w:rsidP="00FB4F0A">
            <w:pPr>
              <w:jc w:val="center"/>
              <w:rPr>
                <w:rFonts w:ascii="Arial Narrow" w:hAnsi="Arial Narrow"/>
                <w:b/>
                <w:bCs/>
                <w:color w:val="000000" w:themeColor="text1"/>
                <w:sz w:val="20"/>
                <w:szCs w:val="20"/>
              </w:rPr>
            </w:pPr>
            <w:r w:rsidRPr="00547247">
              <w:rPr>
                <w:rFonts w:ascii="Arial Narrow" w:hAnsi="Arial Narrow"/>
                <w:b/>
                <w:bCs/>
                <w:color w:val="000000" w:themeColor="text1"/>
                <w:sz w:val="20"/>
                <w:szCs w:val="20"/>
              </w:rPr>
              <w:t>N = 175</w:t>
            </w:r>
          </w:p>
        </w:tc>
      </w:tr>
      <w:tr w:rsidR="00FB4F0A" w:rsidRPr="00547247" w14:paraId="56064245" w14:textId="77777777" w:rsidTr="00BA575E">
        <w:tc>
          <w:tcPr>
            <w:tcW w:w="3005" w:type="dxa"/>
            <w:tcBorders>
              <w:bottom w:val="nil"/>
            </w:tcBorders>
          </w:tcPr>
          <w:p w14:paraId="11C7A515" w14:textId="77777777" w:rsidR="00FB4F0A" w:rsidRPr="00E51263" w:rsidRDefault="00FB4F0A" w:rsidP="00BA575E">
            <w:pPr>
              <w:rPr>
                <w:sz w:val="20"/>
                <w:szCs w:val="20"/>
              </w:rPr>
            </w:pPr>
            <w:r w:rsidRPr="00E51263">
              <w:rPr>
                <w:rFonts w:ascii="Arial Narrow" w:hAnsi="Arial Narrow"/>
                <w:sz w:val="20"/>
                <w:szCs w:val="20"/>
              </w:rPr>
              <w:t>Landmark estimates, % (95% CI)</w:t>
            </w:r>
          </w:p>
        </w:tc>
        <w:tc>
          <w:tcPr>
            <w:tcW w:w="3006" w:type="dxa"/>
            <w:tcBorders>
              <w:bottom w:val="nil"/>
            </w:tcBorders>
            <w:vAlign w:val="center"/>
          </w:tcPr>
          <w:p w14:paraId="3314E096" w14:textId="77777777" w:rsidR="00FB4F0A" w:rsidRPr="00547247" w:rsidRDefault="00FB4F0A" w:rsidP="00BA575E">
            <w:pPr>
              <w:jc w:val="center"/>
              <w:rPr>
                <w:rFonts w:ascii="Arial Narrow" w:hAnsi="Arial Narrow"/>
                <w:b/>
                <w:bCs/>
                <w:color w:val="000000" w:themeColor="text1"/>
                <w:sz w:val="20"/>
                <w:szCs w:val="20"/>
              </w:rPr>
            </w:pPr>
          </w:p>
        </w:tc>
        <w:tc>
          <w:tcPr>
            <w:tcW w:w="3006" w:type="dxa"/>
            <w:tcBorders>
              <w:bottom w:val="nil"/>
            </w:tcBorders>
            <w:vAlign w:val="center"/>
          </w:tcPr>
          <w:p w14:paraId="42F898AF" w14:textId="77777777" w:rsidR="00FB4F0A" w:rsidRPr="00547247" w:rsidRDefault="00FB4F0A" w:rsidP="00BA575E">
            <w:pPr>
              <w:jc w:val="center"/>
              <w:rPr>
                <w:rFonts w:ascii="Arial Narrow" w:hAnsi="Arial Narrow"/>
                <w:b/>
                <w:bCs/>
                <w:color w:val="000000" w:themeColor="text1"/>
                <w:sz w:val="20"/>
                <w:szCs w:val="20"/>
              </w:rPr>
            </w:pPr>
          </w:p>
        </w:tc>
      </w:tr>
      <w:tr w:rsidR="00FB4F0A" w:rsidRPr="00104789" w14:paraId="4D68E338" w14:textId="77777777" w:rsidTr="00BA575E">
        <w:tc>
          <w:tcPr>
            <w:tcW w:w="3005" w:type="dxa"/>
            <w:tcBorders>
              <w:top w:val="nil"/>
              <w:bottom w:val="nil"/>
            </w:tcBorders>
            <w:shd w:val="clear" w:color="auto" w:fill="auto"/>
            <w:vAlign w:val="center"/>
          </w:tcPr>
          <w:p w14:paraId="492942F5" w14:textId="77777777" w:rsidR="00FB4F0A" w:rsidRPr="00E51263" w:rsidRDefault="00FB4F0A" w:rsidP="001104CE">
            <w:pPr>
              <w:pStyle w:val="ListParagraph"/>
              <w:numPr>
                <w:ilvl w:val="0"/>
                <w:numId w:val="12"/>
              </w:numPr>
              <w:spacing w:after="0"/>
              <w:ind w:left="113" w:hanging="113"/>
              <w:rPr>
                <w:sz w:val="20"/>
                <w:szCs w:val="20"/>
              </w:rPr>
            </w:pPr>
            <w:r w:rsidRPr="00E51263">
              <w:rPr>
                <w:rFonts w:ascii="Arial Narrow" w:hAnsi="Arial Narrow"/>
                <w:sz w:val="20"/>
                <w:szCs w:val="20"/>
              </w:rPr>
              <w:t>6 months</w:t>
            </w:r>
          </w:p>
        </w:tc>
        <w:tc>
          <w:tcPr>
            <w:tcW w:w="3006" w:type="dxa"/>
            <w:tcBorders>
              <w:top w:val="nil"/>
              <w:bottom w:val="nil"/>
            </w:tcBorders>
            <w:vAlign w:val="center"/>
          </w:tcPr>
          <w:p w14:paraId="4EFA8E70"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99.37 (95.6, 99.9)</w:t>
            </w:r>
          </w:p>
        </w:tc>
        <w:tc>
          <w:tcPr>
            <w:tcW w:w="3006" w:type="dxa"/>
            <w:tcBorders>
              <w:top w:val="nil"/>
              <w:bottom w:val="nil"/>
            </w:tcBorders>
            <w:vAlign w:val="center"/>
          </w:tcPr>
          <w:p w14:paraId="7D374BEE"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99.40 (95.8, 99.9)</w:t>
            </w:r>
          </w:p>
        </w:tc>
      </w:tr>
      <w:tr w:rsidR="00FB4F0A" w:rsidRPr="00104789" w14:paraId="4C826EF5" w14:textId="77777777" w:rsidTr="00BA575E">
        <w:tc>
          <w:tcPr>
            <w:tcW w:w="3005" w:type="dxa"/>
            <w:tcBorders>
              <w:top w:val="nil"/>
              <w:bottom w:val="nil"/>
            </w:tcBorders>
            <w:shd w:val="clear" w:color="auto" w:fill="auto"/>
            <w:vAlign w:val="center"/>
          </w:tcPr>
          <w:p w14:paraId="4BE1BBA0" w14:textId="77777777" w:rsidR="00FB4F0A" w:rsidRPr="00104789" w:rsidRDefault="00FB4F0A" w:rsidP="001104CE">
            <w:pPr>
              <w:pStyle w:val="ListParagraph"/>
              <w:numPr>
                <w:ilvl w:val="0"/>
                <w:numId w:val="12"/>
              </w:numPr>
              <w:spacing w:after="0"/>
              <w:ind w:left="113" w:hanging="113"/>
              <w:rPr>
                <w:rFonts w:ascii="Arial Narrow" w:hAnsi="Arial Narrow"/>
                <w:sz w:val="20"/>
                <w:szCs w:val="20"/>
              </w:rPr>
            </w:pPr>
            <w:r w:rsidRPr="00104789">
              <w:rPr>
                <w:rFonts w:ascii="Arial Narrow" w:hAnsi="Arial Narrow"/>
                <w:sz w:val="20"/>
                <w:szCs w:val="20"/>
              </w:rPr>
              <w:t>12 months</w:t>
            </w:r>
          </w:p>
        </w:tc>
        <w:tc>
          <w:tcPr>
            <w:tcW w:w="3006" w:type="dxa"/>
            <w:tcBorders>
              <w:top w:val="nil"/>
              <w:bottom w:val="nil"/>
            </w:tcBorders>
            <w:vAlign w:val="center"/>
          </w:tcPr>
          <w:p w14:paraId="2DE7D2A0"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99.37 (65.6, 99.9)</w:t>
            </w:r>
          </w:p>
        </w:tc>
        <w:tc>
          <w:tcPr>
            <w:tcW w:w="3006" w:type="dxa"/>
            <w:tcBorders>
              <w:top w:val="nil"/>
              <w:bottom w:val="nil"/>
            </w:tcBorders>
            <w:vAlign w:val="center"/>
          </w:tcPr>
          <w:p w14:paraId="31881460"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98.76 (95.2, 99.7)</w:t>
            </w:r>
          </w:p>
        </w:tc>
      </w:tr>
      <w:tr w:rsidR="00FB4F0A" w:rsidRPr="00104789" w14:paraId="1021A2A7" w14:textId="77777777" w:rsidTr="00BA575E">
        <w:tc>
          <w:tcPr>
            <w:tcW w:w="3005" w:type="dxa"/>
            <w:tcBorders>
              <w:top w:val="nil"/>
              <w:bottom w:val="nil"/>
            </w:tcBorders>
            <w:shd w:val="clear" w:color="auto" w:fill="auto"/>
            <w:vAlign w:val="center"/>
          </w:tcPr>
          <w:p w14:paraId="42E77CCD" w14:textId="77777777" w:rsidR="00FB4F0A" w:rsidRPr="00104789" w:rsidRDefault="00FB4F0A" w:rsidP="001104CE">
            <w:pPr>
              <w:pStyle w:val="ListParagraph"/>
              <w:numPr>
                <w:ilvl w:val="0"/>
                <w:numId w:val="12"/>
              </w:numPr>
              <w:spacing w:after="0"/>
              <w:ind w:left="113" w:hanging="113"/>
              <w:rPr>
                <w:rFonts w:ascii="Arial Narrow" w:hAnsi="Arial Narrow"/>
                <w:sz w:val="20"/>
                <w:szCs w:val="20"/>
              </w:rPr>
            </w:pPr>
            <w:r w:rsidRPr="00104789">
              <w:rPr>
                <w:rFonts w:ascii="Arial Narrow" w:hAnsi="Arial Narrow"/>
                <w:sz w:val="20"/>
                <w:szCs w:val="20"/>
              </w:rPr>
              <w:t>18 months</w:t>
            </w:r>
          </w:p>
        </w:tc>
        <w:tc>
          <w:tcPr>
            <w:tcW w:w="3006" w:type="dxa"/>
            <w:tcBorders>
              <w:top w:val="nil"/>
              <w:bottom w:val="nil"/>
            </w:tcBorders>
            <w:vAlign w:val="center"/>
          </w:tcPr>
          <w:p w14:paraId="45ABAF78"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98.08 (94.2, 99.4)</w:t>
            </w:r>
          </w:p>
        </w:tc>
        <w:tc>
          <w:tcPr>
            <w:tcW w:w="3006" w:type="dxa"/>
            <w:tcBorders>
              <w:top w:val="nil"/>
              <w:bottom w:val="nil"/>
            </w:tcBorders>
            <w:vAlign w:val="center"/>
          </w:tcPr>
          <w:p w14:paraId="6677771E"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98.12 (94.3, 99.4)</w:t>
            </w:r>
          </w:p>
        </w:tc>
      </w:tr>
      <w:tr w:rsidR="00FB4F0A" w:rsidRPr="00104789" w14:paraId="03566182" w14:textId="77777777" w:rsidTr="00BA575E">
        <w:tc>
          <w:tcPr>
            <w:tcW w:w="3005" w:type="dxa"/>
            <w:tcBorders>
              <w:top w:val="nil"/>
              <w:bottom w:val="nil"/>
            </w:tcBorders>
            <w:shd w:val="clear" w:color="auto" w:fill="auto"/>
            <w:vAlign w:val="center"/>
          </w:tcPr>
          <w:p w14:paraId="75699198" w14:textId="77777777" w:rsidR="00FB4F0A" w:rsidRPr="00104789" w:rsidRDefault="00FB4F0A" w:rsidP="001104CE">
            <w:pPr>
              <w:pStyle w:val="ListParagraph"/>
              <w:numPr>
                <w:ilvl w:val="0"/>
                <w:numId w:val="12"/>
              </w:numPr>
              <w:spacing w:after="0"/>
              <w:ind w:left="113" w:hanging="113"/>
              <w:rPr>
                <w:rFonts w:ascii="Arial Narrow" w:hAnsi="Arial Narrow"/>
                <w:sz w:val="20"/>
                <w:szCs w:val="20"/>
              </w:rPr>
            </w:pPr>
            <w:r w:rsidRPr="00104789">
              <w:rPr>
                <w:rFonts w:ascii="Arial Narrow" w:hAnsi="Arial Narrow"/>
                <w:sz w:val="20"/>
                <w:szCs w:val="20"/>
              </w:rPr>
              <w:t>24 months</w:t>
            </w:r>
          </w:p>
        </w:tc>
        <w:tc>
          <w:tcPr>
            <w:tcW w:w="3006" w:type="dxa"/>
            <w:tcBorders>
              <w:top w:val="nil"/>
              <w:bottom w:val="nil"/>
            </w:tcBorders>
            <w:vAlign w:val="center"/>
          </w:tcPr>
          <w:p w14:paraId="6E036582"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98.08 (94.2, 99.4)</w:t>
            </w:r>
          </w:p>
        </w:tc>
        <w:tc>
          <w:tcPr>
            <w:tcW w:w="3006" w:type="dxa"/>
            <w:tcBorders>
              <w:top w:val="nil"/>
              <w:bottom w:val="nil"/>
            </w:tcBorders>
            <w:vAlign w:val="center"/>
          </w:tcPr>
          <w:p w14:paraId="135A1EA5"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96.12 (91.6, 98.2)</w:t>
            </w:r>
          </w:p>
        </w:tc>
      </w:tr>
      <w:tr w:rsidR="00FB4F0A" w:rsidRPr="00104789" w14:paraId="1E5C9F6D" w14:textId="77777777" w:rsidTr="00BA575E">
        <w:tc>
          <w:tcPr>
            <w:tcW w:w="3005" w:type="dxa"/>
            <w:tcBorders>
              <w:top w:val="nil"/>
              <w:bottom w:val="nil"/>
            </w:tcBorders>
            <w:shd w:val="clear" w:color="auto" w:fill="auto"/>
            <w:vAlign w:val="center"/>
          </w:tcPr>
          <w:p w14:paraId="23E7693B" w14:textId="77777777" w:rsidR="00FB4F0A" w:rsidRPr="00104789" w:rsidRDefault="00FB4F0A" w:rsidP="001104CE">
            <w:pPr>
              <w:pStyle w:val="ListParagraph"/>
              <w:numPr>
                <w:ilvl w:val="0"/>
                <w:numId w:val="12"/>
              </w:numPr>
              <w:spacing w:after="0"/>
              <w:ind w:left="113" w:hanging="113"/>
              <w:rPr>
                <w:rFonts w:ascii="Arial Narrow" w:hAnsi="Arial Narrow"/>
                <w:sz w:val="20"/>
                <w:szCs w:val="20"/>
              </w:rPr>
            </w:pPr>
            <w:r w:rsidRPr="00104789">
              <w:rPr>
                <w:rFonts w:ascii="Arial Narrow" w:hAnsi="Arial Narrow"/>
                <w:sz w:val="20"/>
                <w:szCs w:val="20"/>
              </w:rPr>
              <w:t>30 months</w:t>
            </w:r>
          </w:p>
        </w:tc>
        <w:tc>
          <w:tcPr>
            <w:tcW w:w="3006" w:type="dxa"/>
            <w:tcBorders>
              <w:top w:val="nil"/>
              <w:bottom w:val="nil"/>
            </w:tcBorders>
            <w:vAlign w:val="center"/>
          </w:tcPr>
          <w:p w14:paraId="7FBCCE54"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98.08 (94.2, 99.4)</w:t>
            </w:r>
          </w:p>
        </w:tc>
        <w:tc>
          <w:tcPr>
            <w:tcW w:w="3006" w:type="dxa"/>
            <w:tcBorders>
              <w:top w:val="nil"/>
              <w:bottom w:val="nil"/>
            </w:tcBorders>
            <w:vAlign w:val="center"/>
          </w:tcPr>
          <w:p w14:paraId="09445AD0"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95.44 (90.7, 97.8)</w:t>
            </w:r>
          </w:p>
        </w:tc>
      </w:tr>
      <w:tr w:rsidR="00FB4F0A" w:rsidRPr="00104789" w14:paraId="372344B6" w14:textId="77777777" w:rsidTr="00BA575E">
        <w:tc>
          <w:tcPr>
            <w:tcW w:w="3005" w:type="dxa"/>
            <w:tcBorders>
              <w:top w:val="nil"/>
            </w:tcBorders>
            <w:shd w:val="clear" w:color="auto" w:fill="auto"/>
            <w:vAlign w:val="center"/>
          </w:tcPr>
          <w:p w14:paraId="625CE579" w14:textId="77777777" w:rsidR="00FB4F0A" w:rsidRPr="00104789" w:rsidRDefault="00FB4F0A" w:rsidP="001104CE">
            <w:pPr>
              <w:pStyle w:val="ListParagraph"/>
              <w:numPr>
                <w:ilvl w:val="0"/>
                <w:numId w:val="12"/>
              </w:numPr>
              <w:spacing w:after="0"/>
              <w:ind w:left="113" w:hanging="113"/>
              <w:rPr>
                <w:rFonts w:ascii="Arial Narrow" w:hAnsi="Arial Narrow"/>
                <w:sz w:val="20"/>
                <w:szCs w:val="20"/>
              </w:rPr>
            </w:pPr>
            <w:r w:rsidRPr="00104789">
              <w:rPr>
                <w:rFonts w:ascii="Arial Narrow" w:hAnsi="Arial Narrow"/>
                <w:sz w:val="20"/>
                <w:szCs w:val="20"/>
              </w:rPr>
              <w:t>36 months</w:t>
            </w:r>
          </w:p>
        </w:tc>
        <w:tc>
          <w:tcPr>
            <w:tcW w:w="3006" w:type="dxa"/>
            <w:tcBorders>
              <w:top w:val="nil"/>
            </w:tcBorders>
            <w:vAlign w:val="center"/>
          </w:tcPr>
          <w:p w14:paraId="20DC3ABC"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98.08 (94.2, 99.4)</w:t>
            </w:r>
          </w:p>
        </w:tc>
        <w:tc>
          <w:tcPr>
            <w:tcW w:w="3006" w:type="dxa"/>
            <w:tcBorders>
              <w:top w:val="nil"/>
            </w:tcBorders>
            <w:vAlign w:val="center"/>
          </w:tcPr>
          <w:p w14:paraId="3BC607BA" w14:textId="77777777" w:rsidR="00FB4F0A" w:rsidRPr="00104789" w:rsidRDefault="00FB4F0A" w:rsidP="00BA575E">
            <w:pPr>
              <w:jc w:val="center"/>
              <w:rPr>
                <w:color w:val="3366FF"/>
                <w:sz w:val="20"/>
                <w:szCs w:val="20"/>
              </w:rPr>
            </w:pPr>
            <w:r w:rsidRPr="00104789">
              <w:rPr>
                <w:rFonts w:ascii="Arial Narrow" w:hAnsi="Arial Narrow" w:cs="Calibri"/>
                <w:color w:val="000000"/>
                <w:sz w:val="20"/>
                <w:szCs w:val="20"/>
              </w:rPr>
              <w:t>92.63 (87.1, 95.9)</w:t>
            </w:r>
          </w:p>
        </w:tc>
      </w:tr>
    </w:tbl>
    <w:p w14:paraId="181C5D20" w14:textId="46B8511E" w:rsidR="006640AF" w:rsidRPr="00C52646" w:rsidRDefault="006640AF" w:rsidP="006640AF">
      <w:pPr>
        <w:pStyle w:val="TableFigureFooter"/>
      </w:pPr>
      <w:r w:rsidRPr="00C52646">
        <w:t>Source: Table 2-46, p145 of the submission</w:t>
      </w:r>
      <w:r w:rsidR="00155719">
        <w:t>.</w:t>
      </w:r>
    </w:p>
    <w:p w14:paraId="5F1D1187" w14:textId="132D560A" w:rsidR="006640AF" w:rsidRPr="00C52646" w:rsidRDefault="006640AF" w:rsidP="006640AF">
      <w:pPr>
        <w:pStyle w:val="TableFigureFooter"/>
        <w:rPr>
          <w:color w:val="0066FF"/>
        </w:rPr>
      </w:pPr>
      <w:r w:rsidRPr="00C52646">
        <w:t>Abbreviations: CI, confidence interval; FCR, fludarabine, cyclophosphamide, rituximab</w:t>
      </w:r>
    </w:p>
    <w:p w14:paraId="78B97491" w14:textId="1E120EC4" w:rsidR="00926C1A" w:rsidRDefault="001D198C" w:rsidP="00E255C7">
      <w:pPr>
        <w:pStyle w:val="COMexecsumnumberedpara"/>
        <w:rPr>
          <w:iCs/>
        </w:rPr>
      </w:pPr>
      <w:r w:rsidRPr="00C52646">
        <w:t xml:space="preserve">The hazard ratio derived in </w:t>
      </w:r>
      <w:r w:rsidR="001E3F84">
        <w:t>the</w:t>
      </w:r>
      <w:r w:rsidR="001E3F84" w:rsidRPr="00C52646">
        <w:t xml:space="preserve"> </w:t>
      </w:r>
      <w:r w:rsidRPr="00C52646">
        <w:t>naïve indirect comparison of ibrutinib + venetoclax (38.7 month</w:t>
      </w:r>
      <w:r w:rsidR="00794767">
        <w:t>s</w:t>
      </w:r>
      <w:r w:rsidRPr="00C52646">
        <w:t xml:space="preserve"> median follow-up) </w:t>
      </w:r>
      <w:r w:rsidR="00794767">
        <w:t>versus</w:t>
      </w:r>
      <w:r w:rsidR="00794767" w:rsidRPr="00C52646">
        <w:t xml:space="preserve"> </w:t>
      </w:r>
      <w:r w:rsidRPr="00C52646">
        <w:t>FCR (48</w:t>
      </w:r>
      <w:r w:rsidR="00794767">
        <w:t xml:space="preserve"> </w:t>
      </w:r>
      <w:r w:rsidRPr="00C52646">
        <w:t>month</w:t>
      </w:r>
      <w:r w:rsidR="00794767">
        <w:t>s</w:t>
      </w:r>
      <w:r w:rsidRPr="00C52646">
        <w:t xml:space="preserve"> median follow-up) for the outcome of overall survival was 0.126 (95%CI: 0.035 to 0.453; p = 0.0015), in favour of </w:t>
      </w:r>
      <w:r w:rsidRPr="00C52646">
        <w:lastRenderedPageBreak/>
        <w:t xml:space="preserve">ibrutinib + venetoclax. </w:t>
      </w:r>
      <w:r w:rsidR="003C6C8E">
        <w:t>Similar results were derived using longer fol</w:t>
      </w:r>
      <w:r w:rsidR="00255DA4">
        <w:t>low-up (median 70 months) for FCR (</w:t>
      </w:r>
      <w:r w:rsidR="00613A60">
        <w:t xml:space="preserve">HR </w:t>
      </w:r>
      <w:r w:rsidR="000305A0">
        <w:t>0.24</w:t>
      </w:r>
      <w:r w:rsidR="00BC163A">
        <w:t>; 95% CI:0.07, 0.82; p=0.023). T</w:t>
      </w:r>
      <w:r w:rsidRPr="00C52646">
        <w:t xml:space="preserve">he overall survival rates reported in CAPTIVATE for ibrutinib + venetoclax were the same or higher than those observed in the FCR arm of ECOG1912 at all time points from 6 months through to 36 months, by which time there was an approximate 5% difference in the absolute rates of overall survival. The submission claimed that ibrutinib + venetoclax was statistically superior to FCR in prolonging survival and reduced the risk of death by 87%. </w:t>
      </w:r>
      <w:r w:rsidRPr="003967D3">
        <w:rPr>
          <w:iCs/>
        </w:rPr>
        <w:t>Survival data for both studies were immature and based on a relatively small number of events</w:t>
      </w:r>
      <w:r w:rsidR="00512F71">
        <w:rPr>
          <w:iCs/>
        </w:rPr>
        <w:t xml:space="preserve"> (</w:t>
      </w:r>
      <w:r w:rsidR="00E51263">
        <w:rPr>
          <w:iCs/>
        </w:rPr>
        <w:t xml:space="preserve">i.e. </w:t>
      </w:r>
      <w:r w:rsidR="00512F71">
        <w:rPr>
          <w:iCs/>
        </w:rPr>
        <w:t xml:space="preserve">28 PFS events </w:t>
      </w:r>
      <w:r w:rsidR="00E51263">
        <w:rPr>
          <w:iCs/>
        </w:rPr>
        <w:t xml:space="preserve">(investigator-assessed) </w:t>
      </w:r>
      <w:r w:rsidR="00512F71">
        <w:rPr>
          <w:iCs/>
        </w:rPr>
        <w:t>and 3 OS events)</w:t>
      </w:r>
      <w:r w:rsidRPr="003967D3">
        <w:rPr>
          <w:iCs/>
        </w:rPr>
        <w:t xml:space="preserve">. </w:t>
      </w:r>
      <w:r w:rsidR="0055597C" w:rsidRPr="003967D3">
        <w:rPr>
          <w:iCs/>
        </w:rPr>
        <w:t xml:space="preserve">The estimated hazard ratio is </w:t>
      </w:r>
      <w:r w:rsidR="00E51263">
        <w:rPr>
          <w:iCs/>
        </w:rPr>
        <w:t>high</w:t>
      </w:r>
      <w:r w:rsidR="0055597C" w:rsidRPr="003967D3">
        <w:rPr>
          <w:iCs/>
        </w:rPr>
        <w:t>ly favourable towards ibrutinib + venetoclax</w:t>
      </w:r>
      <w:r w:rsidR="005B2DC5">
        <w:rPr>
          <w:iCs/>
        </w:rPr>
        <w:t>, however</w:t>
      </w:r>
      <w:r w:rsidR="0055597C" w:rsidRPr="003967D3">
        <w:rPr>
          <w:iCs/>
        </w:rPr>
        <w:t xml:space="preserve"> should be interpreted with caution. There were notable differences in the patient populations between the two included studies, including </w:t>
      </w:r>
      <w:r w:rsidR="00565F70" w:rsidRPr="003967D3">
        <w:rPr>
          <w:iCs/>
        </w:rPr>
        <w:t>differences in</w:t>
      </w:r>
      <w:r w:rsidR="0055597C" w:rsidRPr="003967D3">
        <w:rPr>
          <w:iCs/>
        </w:rPr>
        <w:t xml:space="preserve"> comorbidities and severity of illness, and the resulting hazard ratio may not represent the true estimate of differences in treatment effect.</w:t>
      </w:r>
      <w:r w:rsidR="00855DAA" w:rsidRPr="003967D3">
        <w:rPr>
          <w:iCs/>
        </w:rPr>
        <w:t xml:space="preserve"> As </w:t>
      </w:r>
      <w:r w:rsidR="00213DBC" w:rsidRPr="003967D3">
        <w:rPr>
          <w:iCs/>
        </w:rPr>
        <w:t xml:space="preserve">treatment options for </w:t>
      </w:r>
      <w:r w:rsidR="00C93B7A">
        <w:rPr>
          <w:iCs/>
        </w:rPr>
        <w:t>R/R</w:t>
      </w:r>
      <w:r w:rsidR="00213DBC" w:rsidRPr="003967D3">
        <w:rPr>
          <w:iCs/>
        </w:rPr>
        <w:t xml:space="preserve"> disease improve, survival</w:t>
      </w:r>
      <w:r w:rsidR="00B91F45" w:rsidRPr="003967D3">
        <w:rPr>
          <w:iCs/>
        </w:rPr>
        <w:t xml:space="preserve"> rates have improved. Increasingly, this means that overall survival in studies of first-line treatment options may be difficult to interpret. This was previously acknowledged by PBAC, </w:t>
      </w:r>
      <w:r w:rsidR="005B2DC5">
        <w:rPr>
          <w:iCs/>
        </w:rPr>
        <w:t>that</w:t>
      </w:r>
      <w:r w:rsidR="005B2DC5" w:rsidRPr="003967D3">
        <w:rPr>
          <w:iCs/>
        </w:rPr>
        <w:t xml:space="preserve"> </w:t>
      </w:r>
      <w:r w:rsidR="00B91F45" w:rsidRPr="003967D3">
        <w:rPr>
          <w:iCs/>
        </w:rPr>
        <w:t xml:space="preserve">stated </w:t>
      </w:r>
      <w:r w:rsidR="0040072E" w:rsidRPr="003967D3">
        <w:rPr>
          <w:iCs/>
        </w:rPr>
        <w:t>‘</w:t>
      </w:r>
      <w:r w:rsidR="00855DAA" w:rsidRPr="003967D3">
        <w:rPr>
          <w:iCs/>
        </w:rPr>
        <w:t xml:space="preserve">there may not be a difference </w:t>
      </w:r>
      <w:r w:rsidR="00B91F45" w:rsidRPr="003967D3">
        <w:rPr>
          <w:iCs/>
        </w:rPr>
        <w:t xml:space="preserve">[in overall survival] </w:t>
      </w:r>
      <w:r w:rsidR="00855DAA" w:rsidRPr="003967D3">
        <w:rPr>
          <w:iCs/>
        </w:rPr>
        <w:t>over the longer term given subsequent lines of effective therapy are available</w:t>
      </w:r>
      <w:r w:rsidR="0040072E" w:rsidRPr="003967D3">
        <w:rPr>
          <w:iCs/>
        </w:rPr>
        <w:t>’</w:t>
      </w:r>
      <w:r w:rsidR="00855DAA" w:rsidRPr="003967D3">
        <w:rPr>
          <w:iCs/>
        </w:rPr>
        <w:t xml:space="preserve"> (para 7.8</w:t>
      </w:r>
      <w:r w:rsidR="00B91F45" w:rsidRPr="003967D3">
        <w:rPr>
          <w:iCs/>
        </w:rPr>
        <w:t xml:space="preserve">, acalabrutinib </w:t>
      </w:r>
      <w:r w:rsidR="00AE1B6B">
        <w:rPr>
          <w:iCs/>
        </w:rPr>
        <w:t>Public Summary Document (</w:t>
      </w:r>
      <w:r w:rsidR="00B91F45" w:rsidRPr="003967D3">
        <w:rPr>
          <w:iCs/>
        </w:rPr>
        <w:t>PSD</w:t>
      </w:r>
      <w:r w:rsidR="00AE1B6B">
        <w:rPr>
          <w:iCs/>
        </w:rPr>
        <w:t>)</w:t>
      </w:r>
      <w:r w:rsidR="00B91F45" w:rsidRPr="003967D3">
        <w:rPr>
          <w:iCs/>
        </w:rPr>
        <w:t>, November 2021 PBAC meeting</w:t>
      </w:r>
      <w:r w:rsidR="00855DAA" w:rsidRPr="003967D3">
        <w:rPr>
          <w:iCs/>
        </w:rPr>
        <w:t>)</w:t>
      </w:r>
      <w:r w:rsidR="00B91F45" w:rsidRPr="003967D3">
        <w:rPr>
          <w:iCs/>
        </w:rPr>
        <w:t xml:space="preserve">. </w:t>
      </w:r>
      <w:r w:rsidR="00926C1A" w:rsidRPr="001434A1">
        <w:t>The ESC re-iterated the PBAC’s previous advice that overall survival results in first-line CLL are difficult to interpret as they can be confounded by the subsequent lines of effective therapy available.</w:t>
      </w:r>
    </w:p>
    <w:p w14:paraId="2698285A" w14:textId="2EFA5261" w:rsidR="00934988" w:rsidRPr="003967D3" w:rsidRDefault="00B91F45" w:rsidP="00E255C7">
      <w:pPr>
        <w:pStyle w:val="COMexecsumnumberedpara"/>
        <w:rPr>
          <w:iCs/>
        </w:rPr>
      </w:pPr>
      <w:r w:rsidRPr="003967D3">
        <w:rPr>
          <w:iCs/>
        </w:rPr>
        <w:t xml:space="preserve">Patients who did progress in CAPTIVATE were offered subsequent therapy, however at the extended follow-up (3 years) rates were low; </w:t>
      </w:r>
      <w:r w:rsidR="00DD6194" w:rsidRPr="003967D3">
        <w:rPr>
          <w:iCs/>
        </w:rPr>
        <w:t>a total of 15 patients (9.4%) in the FD cohort of CAPTIVATE had received any subsequent therapy for CLL/SLL. A total of 9 patients were reintroduced to single-agent ibrutinib therapy following progressive disease (5.7%).</w:t>
      </w:r>
      <w:r w:rsidR="00CC57C6">
        <w:rPr>
          <w:iCs/>
        </w:rPr>
        <w:t xml:space="preserve"> </w:t>
      </w:r>
      <w:r w:rsidR="00926C1A" w:rsidRPr="001434A1">
        <w:t xml:space="preserve">Refer to paragraph </w:t>
      </w:r>
      <w:r w:rsidR="00926C1A" w:rsidRPr="001434A1">
        <w:fldChar w:fldCharType="begin" w:fldLock="1"/>
      </w:r>
      <w:r w:rsidR="00926C1A" w:rsidRPr="001434A1">
        <w:instrText xml:space="preserve"> REF _Ref116051032 \r \h </w:instrText>
      </w:r>
      <w:r w:rsidR="00926C1A" w:rsidRPr="001434A1">
        <w:fldChar w:fldCharType="separate"/>
      </w:r>
      <w:r w:rsidR="00B22386">
        <w:t>4.14</w:t>
      </w:r>
      <w:r w:rsidR="00926C1A" w:rsidRPr="001434A1">
        <w:fldChar w:fldCharType="end"/>
      </w:r>
      <w:r w:rsidR="00926C1A" w:rsidRPr="001434A1">
        <w:t xml:space="preserve">. </w:t>
      </w:r>
    </w:p>
    <w:p w14:paraId="049A1822" w14:textId="01323772" w:rsidR="005E7F11" w:rsidRPr="00F10989" w:rsidRDefault="005E7F11" w:rsidP="00E255C7">
      <w:pPr>
        <w:pStyle w:val="COMexecsumnumberedpara"/>
        <w:rPr>
          <w:rStyle w:val="COMtablefigcaptionChar"/>
          <w:rFonts w:asciiTheme="minorHAnsi" w:eastAsia="Times New Roman" w:hAnsiTheme="minorHAnsi" w:cs="Arial"/>
          <w:b w:val="0"/>
          <w:bCs w:val="0"/>
        </w:rPr>
      </w:pPr>
      <w:r w:rsidRPr="00F10989">
        <w:rPr>
          <w:rStyle w:val="COMtablefigcaptionChar"/>
          <w:rFonts w:asciiTheme="minorHAnsi" w:eastAsia="Times New Roman" w:hAnsiTheme="minorHAnsi" w:cs="Arial"/>
          <w:b w:val="0"/>
          <w:bCs w:val="0"/>
        </w:rPr>
        <w:t>The results of the naïve comparison of response per investigator assessment between the FD cohort of CAPTIVATE (ibrutinib + venetoclax; 38.7 months median follow-up) and the FCR arm of ECOG1912 (</w:t>
      </w:r>
      <w:proofErr w:type="gramStart"/>
      <w:r w:rsidRPr="00F10989">
        <w:rPr>
          <w:rStyle w:val="COMtablefigcaptionChar"/>
          <w:rFonts w:asciiTheme="minorHAnsi" w:eastAsia="Times New Roman" w:hAnsiTheme="minorHAnsi" w:cs="Arial"/>
          <w:b w:val="0"/>
          <w:bCs w:val="0"/>
        </w:rPr>
        <w:t>33.6 and 48 months</w:t>
      </w:r>
      <w:proofErr w:type="gramEnd"/>
      <w:r w:rsidRPr="00F10989">
        <w:rPr>
          <w:rStyle w:val="COMtablefigcaptionChar"/>
          <w:rFonts w:asciiTheme="minorHAnsi" w:eastAsia="Times New Roman" w:hAnsiTheme="minorHAnsi" w:cs="Arial"/>
          <w:b w:val="0"/>
          <w:bCs w:val="0"/>
        </w:rPr>
        <w:t xml:space="preserve"> median follow-up) are summarised in</w:t>
      </w:r>
      <w:r w:rsidR="000008A5" w:rsidRPr="00F10989">
        <w:rPr>
          <w:rStyle w:val="COMtablefigcaptionChar"/>
          <w:rFonts w:asciiTheme="minorHAnsi" w:eastAsia="Times New Roman" w:hAnsiTheme="minorHAnsi" w:cs="Arial"/>
          <w:b w:val="0"/>
          <w:bCs w:val="0"/>
        </w:rPr>
        <w:t xml:space="preserve"> </w:t>
      </w:r>
      <w:r w:rsidR="000008A5" w:rsidRPr="00F10989">
        <w:rPr>
          <w:rStyle w:val="COMtablefigcaptionChar"/>
          <w:rFonts w:asciiTheme="minorHAnsi" w:eastAsia="Times New Roman" w:hAnsiTheme="minorHAnsi" w:cs="Arial"/>
          <w:b w:val="0"/>
          <w:bCs w:val="0"/>
        </w:rPr>
        <w:fldChar w:fldCharType="begin" w:fldLock="1"/>
      </w:r>
      <w:r w:rsidR="000008A5" w:rsidRPr="00F10989">
        <w:rPr>
          <w:rStyle w:val="COMtablefigcaptionChar"/>
          <w:rFonts w:asciiTheme="minorHAnsi" w:eastAsia="Times New Roman" w:hAnsiTheme="minorHAnsi" w:cs="Arial"/>
          <w:b w:val="0"/>
          <w:bCs w:val="0"/>
        </w:rPr>
        <w:instrText xml:space="preserve"> REF _Ref113267277 \h </w:instrText>
      </w:r>
      <w:r w:rsidR="006C6074" w:rsidRPr="00855D3B">
        <w:rPr>
          <w:rStyle w:val="COMtablefigcaptionChar"/>
          <w:rFonts w:asciiTheme="minorHAnsi" w:eastAsia="Times New Roman" w:hAnsiTheme="minorHAnsi" w:cs="Arial"/>
          <w:b w:val="0"/>
          <w:bCs w:val="0"/>
        </w:rPr>
        <w:instrText xml:space="preserve"> \* MERGEFORMAT </w:instrText>
      </w:r>
      <w:r w:rsidR="000008A5" w:rsidRPr="00F10989">
        <w:rPr>
          <w:rStyle w:val="COMtablefigcaptionChar"/>
          <w:rFonts w:asciiTheme="minorHAnsi" w:eastAsia="Times New Roman" w:hAnsiTheme="minorHAnsi" w:cs="Arial"/>
          <w:b w:val="0"/>
          <w:bCs w:val="0"/>
        </w:rPr>
      </w:r>
      <w:r w:rsidR="000008A5" w:rsidRPr="00F10989">
        <w:rPr>
          <w:rStyle w:val="COMtablefigcaptionChar"/>
          <w:rFonts w:asciiTheme="minorHAnsi" w:eastAsia="Times New Roman" w:hAnsiTheme="minorHAnsi" w:cs="Arial"/>
          <w:b w:val="0"/>
          <w:bCs w:val="0"/>
        </w:rPr>
        <w:fldChar w:fldCharType="separate"/>
      </w:r>
      <w:r w:rsidR="00B22386">
        <w:t xml:space="preserve">Table </w:t>
      </w:r>
      <w:r w:rsidR="00B22386">
        <w:rPr>
          <w:noProof/>
        </w:rPr>
        <w:t>6</w:t>
      </w:r>
      <w:r w:rsidR="000008A5" w:rsidRPr="00F10989">
        <w:rPr>
          <w:rStyle w:val="COMtablefigcaptionChar"/>
          <w:rFonts w:asciiTheme="minorHAnsi" w:eastAsia="Times New Roman" w:hAnsiTheme="minorHAnsi" w:cs="Arial"/>
          <w:b w:val="0"/>
          <w:bCs w:val="0"/>
        </w:rPr>
        <w:fldChar w:fldCharType="end"/>
      </w:r>
      <w:r w:rsidRPr="00F10989">
        <w:rPr>
          <w:rStyle w:val="COMtablefigcaptionChar"/>
          <w:rFonts w:asciiTheme="minorHAnsi" w:eastAsia="Times New Roman" w:hAnsiTheme="minorHAnsi" w:cs="Arial"/>
          <w:b w:val="0"/>
          <w:bCs w:val="0"/>
        </w:rPr>
        <w:t xml:space="preserve"> below.</w:t>
      </w:r>
      <w:r w:rsidR="006C6074" w:rsidRPr="00F10989">
        <w:rPr>
          <w:rStyle w:val="COMtablefigcaptionChar"/>
          <w:rFonts w:asciiTheme="minorHAnsi" w:eastAsia="Times New Roman" w:hAnsiTheme="minorHAnsi" w:cs="Arial"/>
          <w:b w:val="0"/>
          <w:bCs w:val="0"/>
        </w:rPr>
        <w:t xml:space="preserve"> </w:t>
      </w:r>
    </w:p>
    <w:p w14:paraId="1A5653AE" w14:textId="6ABE091E" w:rsidR="00DE3637" w:rsidRDefault="000008A5" w:rsidP="000008A5">
      <w:pPr>
        <w:pStyle w:val="Caption"/>
      </w:pPr>
      <w:bookmarkStart w:id="49" w:name="_Ref113267277"/>
      <w:r>
        <w:t xml:space="preserve">Table </w:t>
      </w:r>
      <w:fldSimple w:instr=" SEQ Table \* ARABIC " w:fldLock="1">
        <w:r w:rsidR="00B22386">
          <w:rPr>
            <w:noProof/>
          </w:rPr>
          <w:t>6</w:t>
        </w:r>
      </w:fldSimple>
      <w:bookmarkEnd w:id="49"/>
      <w:r>
        <w:t xml:space="preserve">: </w:t>
      </w:r>
      <w:r w:rsidR="00DE3637" w:rsidRPr="00BA575E">
        <w:t>Overall response rate in the FD cohort of CAPTIVATE versus the FCR arm of ECOG1912 per investigator assessment</w:t>
      </w:r>
    </w:p>
    <w:tbl>
      <w:tblPr>
        <w:tblStyle w:val="TableGrid"/>
        <w:tblW w:w="0" w:type="auto"/>
        <w:tblLook w:val="04A0" w:firstRow="1" w:lastRow="0" w:firstColumn="1" w:lastColumn="0" w:noHBand="0" w:noVBand="1"/>
      </w:tblPr>
      <w:tblGrid>
        <w:gridCol w:w="2254"/>
        <w:gridCol w:w="2254"/>
        <w:gridCol w:w="2254"/>
        <w:gridCol w:w="2255"/>
      </w:tblGrid>
      <w:tr w:rsidR="00906346" w:rsidRPr="00C22FB4" w14:paraId="0C56175B" w14:textId="77777777" w:rsidTr="00CD39BE">
        <w:tc>
          <w:tcPr>
            <w:tcW w:w="2254" w:type="dxa"/>
          </w:tcPr>
          <w:p w14:paraId="300C19E6" w14:textId="77777777" w:rsidR="00906346" w:rsidRPr="00F10989" w:rsidRDefault="00906346" w:rsidP="00906346">
            <w:pPr>
              <w:rPr>
                <w:rFonts w:ascii="Arial Narrow" w:hAnsi="Arial Narrow"/>
                <w:sz w:val="20"/>
                <w:szCs w:val="20"/>
              </w:rPr>
            </w:pPr>
          </w:p>
        </w:tc>
        <w:tc>
          <w:tcPr>
            <w:tcW w:w="2254" w:type="dxa"/>
            <w:vAlign w:val="center"/>
          </w:tcPr>
          <w:p w14:paraId="2FC5498B" w14:textId="08F5EED1" w:rsidR="00906346" w:rsidRPr="00F10989" w:rsidRDefault="001C0B6B" w:rsidP="00CD39BE">
            <w:pPr>
              <w:jc w:val="center"/>
              <w:rPr>
                <w:rFonts w:ascii="Arial Narrow" w:hAnsi="Arial Narrow"/>
                <w:b/>
                <w:bCs/>
                <w:sz w:val="20"/>
                <w:szCs w:val="20"/>
              </w:rPr>
            </w:pPr>
            <w:r w:rsidRPr="00F10989">
              <w:rPr>
                <w:rFonts w:ascii="Arial Narrow" w:hAnsi="Arial Narrow"/>
                <w:b/>
                <w:bCs/>
                <w:sz w:val="20"/>
                <w:szCs w:val="20"/>
              </w:rPr>
              <w:t>Ibrutinib + venetoclax (38.7 months</w:t>
            </w:r>
            <w:r w:rsidR="00C22FB4">
              <w:rPr>
                <w:rFonts w:ascii="Arial Narrow" w:hAnsi="Arial Narrow"/>
                <w:b/>
                <w:bCs/>
                <w:sz w:val="20"/>
                <w:szCs w:val="20"/>
              </w:rPr>
              <w:t xml:space="preserve"> follow-up</w:t>
            </w:r>
            <w:r w:rsidRPr="00F10989">
              <w:rPr>
                <w:rFonts w:ascii="Arial Narrow" w:hAnsi="Arial Narrow"/>
                <w:b/>
                <w:bCs/>
                <w:sz w:val="20"/>
                <w:szCs w:val="20"/>
              </w:rPr>
              <w:t>)</w:t>
            </w:r>
          </w:p>
          <w:p w14:paraId="5B4A5023" w14:textId="7EA8726E" w:rsidR="001C0B6B" w:rsidRPr="00F10989" w:rsidRDefault="001C0B6B" w:rsidP="00CD39BE">
            <w:pPr>
              <w:jc w:val="center"/>
              <w:rPr>
                <w:rFonts w:ascii="Arial Narrow" w:hAnsi="Arial Narrow"/>
                <w:b/>
                <w:bCs/>
                <w:sz w:val="20"/>
                <w:szCs w:val="20"/>
              </w:rPr>
            </w:pPr>
            <w:r w:rsidRPr="00F10989">
              <w:rPr>
                <w:rFonts w:ascii="Arial Narrow" w:hAnsi="Arial Narrow"/>
                <w:b/>
                <w:bCs/>
                <w:sz w:val="20"/>
                <w:szCs w:val="20"/>
              </w:rPr>
              <w:t>N=159</w:t>
            </w:r>
          </w:p>
        </w:tc>
        <w:tc>
          <w:tcPr>
            <w:tcW w:w="2254" w:type="dxa"/>
            <w:vAlign w:val="center"/>
          </w:tcPr>
          <w:p w14:paraId="091294F6" w14:textId="10E79E32" w:rsidR="00906346" w:rsidRPr="00F10989" w:rsidRDefault="001C0B6B" w:rsidP="00CD39BE">
            <w:pPr>
              <w:jc w:val="center"/>
              <w:rPr>
                <w:rFonts w:ascii="Arial Narrow" w:hAnsi="Arial Narrow"/>
                <w:b/>
                <w:bCs/>
                <w:sz w:val="20"/>
                <w:szCs w:val="20"/>
              </w:rPr>
            </w:pPr>
            <w:r w:rsidRPr="00F10989">
              <w:rPr>
                <w:rFonts w:ascii="Arial Narrow" w:hAnsi="Arial Narrow"/>
                <w:b/>
                <w:bCs/>
                <w:sz w:val="20"/>
                <w:szCs w:val="20"/>
              </w:rPr>
              <w:t>FCR (33.6 months</w:t>
            </w:r>
            <w:r w:rsidR="00C22FB4">
              <w:rPr>
                <w:rFonts w:ascii="Arial Narrow" w:hAnsi="Arial Narrow"/>
                <w:b/>
                <w:bCs/>
                <w:sz w:val="20"/>
                <w:szCs w:val="20"/>
              </w:rPr>
              <w:t xml:space="preserve"> follow-up</w:t>
            </w:r>
            <w:r w:rsidRPr="00F10989">
              <w:rPr>
                <w:rFonts w:ascii="Arial Narrow" w:hAnsi="Arial Narrow"/>
                <w:b/>
                <w:bCs/>
                <w:sz w:val="20"/>
                <w:szCs w:val="20"/>
              </w:rPr>
              <w:t>)</w:t>
            </w:r>
          </w:p>
          <w:p w14:paraId="4CF148C6" w14:textId="1A16C5FC" w:rsidR="001C0B6B" w:rsidRPr="00F10989" w:rsidRDefault="001C0B6B" w:rsidP="00CD39BE">
            <w:pPr>
              <w:jc w:val="center"/>
              <w:rPr>
                <w:rFonts w:ascii="Arial Narrow" w:hAnsi="Arial Narrow"/>
                <w:b/>
                <w:bCs/>
                <w:sz w:val="20"/>
                <w:szCs w:val="20"/>
              </w:rPr>
            </w:pPr>
            <w:r w:rsidRPr="00F10989">
              <w:rPr>
                <w:rFonts w:ascii="Arial Narrow" w:hAnsi="Arial Narrow"/>
                <w:b/>
                <w:bCs/>
                <w:sz w:val="20"/>
                <w:szCs w:val="20"/>
              </w:rPr>
              <w:t>N=175</w:t>
            </w:r>
          </w:p>
        </w:tc>
        <w:tc>
          <w:tcPr>
            <w:tcW w:w="2255" w:type="dxa"/>
            <w:vAlign w:val="center"/>
          </w:tcPr>
          <w:p w14:paraId="2ED00971" w14:textId="399E43A9" w:rsidR="001C0B6B" w:rsidRPr="00F10989" w:rsidRDefault="001C0B6B" w:rsidP="00CD39BE">
            <w:pPr>
              <w:jc w:val="center"/>
              <w:rPr>
                <w:rFonts w:ascii="Arial Narrow" w:hAnsi="Arial Narrow"/>
                <w:b/>
                <w:bCs/>
                <w:sz w:val="20"/>
                <w:szCs w:val="20"/>
              </w:rPr>
            </w:pPr>
            <w:r w:rsidRPr="00F10989">
              <w:rPr>
                <w:rFonts w:ascii="Arial Narrow" w:hAnsi="Arial Narrow"/>
                <w:b/>
                <w:bCs/>
                <w:sz w:val="20"/>
                <w:szCs w:val="20"/>
              </w:rPr>
              <w:t>FCR (48 months</w:t>
            </w:r>
            <w:r w:rsidR="00C22FB4">
              <w:rPr>
                <w:rFonts w:ascii="Arial Narrow" w:hAnsi="Arial Narrow"/>
                <w:b/>
                <w:bCs/>
                <w:sz w:val="20"/>
                <w:szCs w:val="20"/>
              </w:rPr>
              <w:t xml:space="preserve"> follow-up</w:t>
            </w:r>
            <w:r w:rsidRPr="00F10989">
              <w:rPr>
                <w:rFonts w:ascii="Arial Narrow" w:hAnsi="Arial Narrow"/>
                <w:b/>
                <w:bCs/>
                <w:sz w:val="20"/>
                <w:szCs w:val="20"/>
              </w:rPr>
              <w:t>)</w:t>
            </w:r>
          </w:p>
          <w:p w14:paraId="5F81A9A5" w14:textId="7E070831" w:rsidR="00906346" w:rsidRPr="00F10989" w:rsidRDefault="001C0B6B" w:rsidP="00CD39BE">
            <w:pPr>
              <w:jc w:val="center"/>
              <w:rPr>
                <w:rFonts w:ascii="Arial Narrow" w:hAnsi="Arial Narrow"/>
                <w:b/>
                <w:bCs/>
                <w:sz w:val="20"/>
                <w:szCs w:val="20"/>
              </w:rPr>
            </w:pPr>
            <w:r w:rsidRPr="00F10989">
              <w:rPr>
                <w:rFonts w:ascii="Arial Narrow" w:hAnsi="Arial Narrow"/>
                <w:b/>
                <w:bCs/>
                <w:sz w:val="20"/>
                <w:szCs w:val="20"/>
              </w:rPr>
              <w:t>N=175</w:t>
            </w:r>
          </w:p>
        </w:tc>
      </w:tr>
      <w:tr w:rsidR="00CD39BE" w:rsidRPr="00C22FB4" w14:paraId="2E90C811" w14:textId="77777777" w:rsidTr="00CD39BE">
        <w:tc>
          <w:tcPr>
            <w:tcW w:w="2254" w:type="dxa"/>
          </w:tcPr>
          <w:p w14:paraId="5DCAAD90" w14:textId="67DAD795" w:rsidR="00CD39BE" w:rsidRPr="00F10989" w:rsidRDefault="00CD39BE" w:rsidP="00CD39BE">
            <w:pPr>
              <w:rPr>
                <w:rFonts w:ascii="Arial Narrow" w:hAnsi="Arial Narrow"/>
                <w:sz w:val="20"/>
                <w:szCs w:val="20"/>
              </w:rPr>
            </w:pPr>
            <w:r w:rsidRPr="00A279DF">
              <w:rPr>
                <w:rFonts w:ascii="Arial Narrow" w:hAnsi="Arial Narrow"/>
                <w:sz w:val="20"/>
                <w:szCs w:val="20"/>
              </w:rPr>
              <w:t>Complete response rate (CR, CRi)</w:t>
            </w:r>
            <w:r>
              <w:rPr>
                <w:rFonts w:ascii="Arial Narrow" w:hAnsi="Arial Narrow"/>
                <w:sz w:val="20"/>
                <w:szCs w:val="20"/>
              </w:rPr>
              <w:t>; n (%)</w:t>
            </w:r>
          </w:p>
        </w:tc>
        <w:tc>
          <w:tcPr>
            <w:tcW w:w="2254" w:type="dxa"/>
            <w:vAlign w:val="center"/>
          </w:tcPr>
          <w:p w14:paraId="43714D4C" w14:textId="3E639836" w:rsidR="00CD39BE" w:rsidRPr="00F10989" w:rsidRDefault="00CD39BE" w:rsidP="00CD39BE">
            <w:pPr>
              <w:jc w:val="center"/>
              <w:rPr>
                <w:rFonts w:ascii="Arial Narrow" w:hAnsi="Arial Narrow"/>
                <w:sz w:val="20"/>
                <w:szCs w:val="20"/>
              </w:rPr>
            </w:pPr>
            <w:r w:rsidRPr="00A279DF">
              <w:rPr>
                <w:rFonts w:ascii="Arial Narrow" w:hAnsi="Arial Narrow"/>
                <w:sz w:val="20"/>
                <w:szCs w:val="20"/>
              </w:rPr>
              <w:t>91 (56.9)</w:t>
            </w:r>
          </w:p>
        </w:tc>
        <w:tc>
          <w:tcPr>
            <w:tcW w:w="2254" w:type="dxa"/>
            <w:vAlign w:val="center"/>
          </w:tcPr>
          <w:p w14:paraId="6CAF2A3C" w14:textId="0DD33752" w:rsidR="00CD39BE" w:rsidRPr="00F10989" w:rsidRDefault="00CD39BE" w:rsidP="00CD39BE">
            <w:pPr>
              <w:jc w:val="center"/>
              <w:rPr>
                <w:rFonts w:ascii="Arial Narrow" w:hAnsi="Arial Narrow"/>
                <w:sz w:val="20"/>
                <w:szCs w:val="20"/>
              </w:rPr>
            </w:pPr>
            <w:r w:rsidRPr="00A279DF">
              <w:rPr>
                <w:rFonts w:ascii="Arial Narrow" w:hAnsi="Arial Narrow"/>
                <w:sz w:val="20"/>
                <w:szCs w:val="20"/>
              </w:rPr>
              <w:t>53 (30.3)</w:t>
            </w:r>
          </w:p>
        </w:tc>
        <w:tc>
          <w:tcPr>
            <w:tcW w:w="2255" w:type="dxa"/>
            <w:vAlign w:val="center"/>
          </w:tcPr>
          <w:p w14:paraId="16F42088" w14:textId="7AFE073F" w:rsidR="00CD39BE" w:rsidRPr="00F10989" w:rsidRDefault="00CD39BE" w:rsidP="00CD39BE">
            <w:pPr>
              <w:jc w:val="center"/>
              <w:rPr>
                <w:rFonts w:ascii="Arial Narrow" w:hAnsi="Arial Narrow"/>
                <w:sz w:val="20"/>
                <w:szCs w:val="20"/>
              </w:rPr>
            </w:pPr>
            <w:r w:rsidRPr="00A279DF">
              <w:rPr>
                <w:rFonts w:ascii="Arial Narrow" w:hAnsi="Arial Narrow"/>
                <w:sz w:val="20"/>
                <w:szCs w:val="20"/>
              </w:rPr>
              <w:t>NR</w:t>
            </w:r>
          </w:p>
        </w:tc>
      </w:tr>
      <w:tr w:rsidR="00CD39BE" w:rsidRPr="00C22FB4" w14:paraId="78084A47" w14:textId="77777777" w:rsidTr="00CD39BE">
        <w:tc>
          <w:tcPr>
            <w:tcW w:w="2254" w:type="dxa"/>
            <w:vAlign w:val="center"/>
          </w:tcPr>
          <w:p w14:paraId="0357F2AC" w14:textId="4687CE27" w:rsidR="00CD39BE" w:rsidRPr="00F10989" w:rsidRDefault="00CD39BE" w:rsidP="00CD39BE">
            <w:pPr>
              <w:rPr>
                <w:rFonts w:ascii="Arial Narrow" w:hAnsi="Arial Narrow"/>
                <w:sz w:val="20"/>
                <w:szCs w:val="20"/>
              </w:rPr>
            </w:pPr>
            <w:r w:rsidRPr="00A279DF">
              <w:rPr>
                <w:rFonts w:ascii="Arial Narrow" w:hAnsi="Arial Narrow"/>
                <w:sz w:val="20"/>
                <w:szCs w:val="20"/>
              </w:rPr>
              <w:t>Overall response rate (CR, CRi, nPR or PR)</w:t>
            </w:r>
            <w:r>
              <w:rPr>
                <w:rFonts w:ascii="Arial Narrow" w:hAnsi="Arial Narrow"/>
                <w:sz w:val="20"/>
                <w:szCs w:val="20"/>
              </w:rPr>
              <w:t>; n (%)</w:t>
            </w:r>
          </w:p>
        </w:tc>
        <w:tc>
          <w:tcPr>
            <w:tcW w:w="2254" w:type="dxa"/>
            <w:vAlign w:val="center"/>
          </w:tcPr>
          <w:p w14:paraId="60055054" w14:textId="1D45688D" w:rsidR="00CD39BE" w:rsidRPr="00F10989" w:rsidRDefault="00CD39BE" w:rsidP="00CD39BE">
            <w:pPr>
              <w:jc w:val="center"/>
              <w:rPr>
                <w:rFonts w:ascii="Arial Narrow" w:hAnsi="Arial Narrow"/>
                <w:sz w:val="20"/>
                <w:szCs w:val="20"/>
              </w:rPr>
            </w:pPr>
            <w:r w:rsidRPr="00A279DF">
              <w:rPr>
                <w:rFonts w:ascii="Arial Narrow" w:hAnsi="Arial Narrow"/>
                <w:sz w:val="20"/>
                <w:szCs w:val="20"/>
              </w:rPr>
              <w:t>153 (96.2)</w:t>
            </w:r>
          </w:p>
        </w:tc>
        <w:tc>
          <w:tcPr>
            <w:tcW w:w="2254" w:type="dxa"/>
            <w:vAlign w:val="center"/>
          </w:tcPr>
          <w:p w14:paraId="46E787EC" w14:textId="50E06763" w:rsidR="00CD39BE" w:rsidRPr="00F10989" w:rsidRDefault="00CD39BE" w:rsidP="00CD39BE">
            <w:pPr>
              <w:jc w:val="center"/>
              <w:rPr>
                <w:rFonts w:ascii="Arial Narrow" w:hAnsi="Arial Narrow"/>
                <w:sz w:val="20"/>
                <w:szCs w:val="20"/>
              </w:rPr>
            </w:pPr>
            <w:r w:rsidRPr="00A279DF">
              <w:rPr>
                <w:rFonts w:ascii="Arial Narrow" w:hAnsi="Arial Narrow"/>
                <w:sz w:val="20"/>
                <w:szCs w:val="20"/>
              </w:rPr>
              <w:t>141 (8</w:t>
            </w:r>
            <w:r>
              <w:rPr>
                <w:rFonts w:ascii="Arial Narrow" w:hAnsi="Arial Narrow"/>
                <w:sz w:val="20"/>
                <w:szCs w:val="20"/>
              </w:rPr>
              <w:t>0.6</w:t>
            </w:r>
            <w:r w:rsidRPr="00A279DF">
              <w:rPr>
                <w:rFonts w:ascii="Arial Narrow" w:hAnsi="Arial Narrow"/>
                <w:sz w:val="20"/>
                <w:szCs w:val="20"/>
              </w:rPr>
              <w:t>)</w:t>
            </w:r>
          </w:p>
        </w:tc>
        <w:tc>
          <w:tcPr>
            <w:tcW w:w="2255" w:type="dxa"/>
            <w:vAlign w:val="center"/>
          </w:tcPr>
          <w:p w14:paraId="3B5647AB" w14:textId="4D474FAA" w:rsidR="00CD39BE" w:rsidRPr="00F10989" w:rsidRDefault="00CD39BE" w:rsidP="00CD39BE">
            <w:pPr>
              <w:jc w:val="center"/>
              <w:rPr>
                <w:rFonts w:ascii="Arial Narrow" w:hAnsi="Arial Narrow"/>
                <w:sz w:val="20"/>
                <w:szCs w:val="20"/>
              </w:rPr>
            </w:pPr>
            <w:r w:rsidRPr="00A279DF">
              <w:rPr>
                <w:rFonts w:ascii="Arial Narrow" w:hAnsi="Arial Narrow"/>
                <w:sz w:val="20"/>
                <w:szCs w:val="20"/>
              </w:rPr>
              <w:t>150 (85.7)</w:t>
            </w:r>
          </w:p>
        </w:tc>
      </w:tr>
    </w:tbl>
    <w:p w14:paraId="350BE9EF" w14:textId="280CD792" w:rsidR="000008A5" w:rsidRPr="00A279DF" w:rsidRDefault="000008A5" w:rsidP="000008A5">
      <w:pPr>
        <w:pStyle w:val="COMTablefooter"/>
      </w:pPr>
      <w:r w:rsidRPr="00A279DF">
        <w:t>Source: Table 2-47, p147 of the submission</w:t>
      </w:r>
      <w:r w:rsidR="00155719">
        <w:t>.</w:t>
      </w:r>
    </w:p>
    <w:p w14:paraId="251A4EFE" w14:textId="77777777" w:rsidR="000008A5" w:rsidRPr="00A279DF" w:rsidRDefault="000008A5" w:rsidP="000008A5">
      <w:pPr>
        <w:pStyle w:val="COMTablefooter"/>
      </w:pPr>
      <w:r w:rsidRPr="00A279DF">
        <w:t>Abbreviations: CR, complete response; CRi, complete response with incomplete bone marrow recovery; nPR, nodular partial response; NR, not reported/assessed; PR, partial response</w:t>
      </w:r>
    </w:p>
    <w:p w14:paraId="141E66C2" w14:textId="5E3FE83B" w:rsidR="002A00B5" w:rsidRPr="005F79E4" w:rsidRDefault="002A00B5" w:rsidP="006620B8">
      <w:pPr>
        <w:pStyle w:val="COMexecsumnumberedpara"/>
      </w:pPr>
      <w:r w:rsidRPr="005F79E4">
        <w:rPr>
          <w:snapToGrid/>
        </w:rPr>
        <w:lastRenderedPageBreak/>
        <w:t>A naïve indirect comparison between ibrutinib + venetoclax (median follow-up 38.7 months) versus FCR (median follow-up 33.6 months) for the absolute rates of complete response/complete response with incomplete bone marrow recovery suggested a statistically significant difference between treatments (odds ratio=3.08; 95% CI: 1.96, 4.83; p&lt;0.00</w:t>
      </w:r>
      <w:r w:rsidR="00F566C0">
        <w:rPr>
          <w:snapToGrid/>
        </w:rPr>
        <w:t>1</w:t>
      </w:r>
      <w:r w:rsidRPr="005F79E4">
        <w:rPr>
          <w:snapToGrid/>
        </w:rPr>
        <w:t>). Similar results were derived when comparing overall response rates (odds ratio=6.15; 95% CI: 2.51, 15.09; p&lt;0.00</w:t>
      </w:r>
      <w:r w:rsidR="007466A9">
        <w:rPr>
          <w:snapToGrid/>
        </w:rPr>
        <w:t>1</w:t>
      </w:r>
      <w:r w:rsidRPr="005F79E4">
        <w:rPr>
          <w:snapToGrid/>
        </w:rPr>
        <w:t>).</w:t>
      </w:r>
      <w:r w:rsidR="00B05073">
        <w:rPr>
          <w:rStyle w:val="FootnoteReference"/>
          <w:snapToGrid/>
        </w:rPr>
        <w:footnoteReference w:id="3"/>
      </w:r>
      <w:r w:rsidR="002C58B0" w:rsidRPr="003967D3">
        <w:rPr>
          <w:iCs/>
          <w:snapToGrid/>
        </w:rPr>
        <w:t xml:space="preserve"> The results of the naïve indirect comparison should be interpreted with caution given the differences in the patient populations between the two included studies. The resulting point estimates may not represent the true size of the treatment effect.</w:t>
      </w:r>
    </w:p>
    <w:p w14:paraId="1452C351" w14:textId="0D19F1B0" w:rsidR="00B60939" w:rsidRPr="00C52646" w:rsidRDefault="00B60939" w:rsidP="00D86231">
      <w:pPr>
        <w:pStyle w:val="COMH2-non-numbered"/>
      </w:pPr>
      <w:bookmarkStart w:id="50" w:name="_Toc22897642"/>
      <w:bookmarkStart w:id="51" w:name="_Toc113983799"/>
      <w:r w:rsidRPr="00C52646">
        <w:t>Comparative harms</w:t>
      </w:r>
      <w:bookmarkEnd w:id="50"/>
      <w:bookmarkEnd w:id="51"/>
    </w:p>
    <w:p w14:paraId="5A5C1FB0" w14:textId="6B6389CD" w:rsidR="006C69AC" w:rsidRPr="005F79E4" w:rsidRDefault="006C69AC" w:rsidP="00E255C7">
      <w:pPr>
        <w:pStyle w:val="COMexecsumnumberedpara"/>
      </w:pPr>
      <w:r>
        <w:t xml:space="preserve">For the </w:t>
      </w:r>
      <w:r w:rsidR="0005624F">
        <w:rPr>
          <w:snapToGrid/>
        </w:rPr>
        <w:t>unanchored, unadjusted</w:t>
      </w:r>
      <w:r>
        <w:t xml:space="preserve"> indirect comparisons of safety, adverse event data were only available based on patient incidence, </w:t>
      </w:r>
      <w:r w:rsidRPr="003967D3">
        <w:rPr>
          <w:iCs/>
        </w:rPr>
        <w:t>however event rates over time would be informative to consider (as individual patients may experience multiple events of the same type) given the differences in duration of treatment exposure between ibrutinib + venetoclax and FCR</w:t>
      </w:r>
      <w:r w:rsidRPr="005F79E4">
        <w:t>.</w:t>
      </w:r>
    </w:p>
    <w:p w14:paraId="1B38943B" w14:textId="36858B4A" w:rsidR="006C69AC" w:rsidRDefault="006C69AC" w:rsidP="00E255C7">
      <w:pPr>
        <w:pStyle w:val="COMexecsumnumberedpara"/>
      </w:pPr>
      <w:r>
        <w:t xml:space="preserve">Table 7 below presents a summary of adverse events for both the FD cohort of CAPTIVATE and the FCR arm of ECOG1912. </w:t>
      </w:r>
    </w:p>
    <w:p w14:paraId="3AE8097B" w14:textId="13897522" w:rsidR="007409F1" w:rsidRDefault="007409F1" w:rsidP="007409F1">
      <w:pPr>
        <w:pStyle w:val="Caption"/>
      </w:pPr>
      <w:bookmarkStart w:id="52" w:name="_Ref113273815"/>
      <w:r w:rsidRPr="009A3B86">
        <w:t xml:space="preserve">Table </w:t>
      </w:r>
      <w:fldSimple w:instr=" SEQ Table \* ARABIC " w:fldLock="1">
        <w:r w:rsidR="00B22386">
          <w:rPr>
            <w:noProof/>
          </w:rPr>
          <w:t>7</w:t>
        </w:r>
      </w:fldSimple>
      <w:bookmarkEnd w:id="52"/>
      <w:r w:rsidRPr="009A3B86">
        <w:t>: Comparison of adverse events reported in the FD cohort of CAPTIVATE (ibrutinib + venetoclax) and the FCR arm of ECOG1912</w:t>
      </w:r>
    </w:p>
    <w:tbl>
      <w:tblPr>
        <w:tblStyle w:val="TableGrid"/>
        <w:tblW w:w="5000" w:type="pct"/>
        <w:tblCellMar>
          <w:left w:w="57" w:type="dxa"/>
          <w:right w:w="57" w:type="dxa"/>
        </w:tblCellMar>
        <w:tblLook w:val="04A0" w:firstRow="1" w:lastRow="0" w:firstColumn="1" w:lastColumn="0" w:noHBand="0" w:noVBand="1"/>
      </w:tblPr>
      <w:tblGrid>
        <w:gridCol w:w="3215"/>
        <w:gridCol w:w="2902"/>
        <w:gridCol w:w="2900"/>
      </w:tblGrid>
      <w:tr w:rsidR="007409F1" w:rsidRPr="007B2149" w14:paraId="4A98E5B4" w14:textId="77777777" w:rsidTr="005C4A2D">
        <w:tc>
          <w:tcPr>
            <w:tcW w:w="1783" w:type="pct"/>
            <w:shd w:val="clear" w:color="auto" w:fill="auto"/>
            <w:vAlign w:val="center"/>
          </w:tcPr>
          <w:p w14:paraId="72C07851" w14:textId="77777777" w:rsidR="007409F1" w:rsidRPr="00DF477A" w:rsidRDefault="007409F1" w:rsidP="005C4A2D">
            <w:pPr>
              <w:keepNext/>
              <w:rPr>
                <w:rFonts w:ascii="Arial Narrow" w:hAnsi="Arial Narrow"/>
                <w:b/>
                <w:bCs/>
                <w:sz w:val="20"/>
                <w:szCs w:val="20"/>
              </w:rPr>
            </w:pPr>
          </w:p>
        </w:tc>
        <w:tc>
          <w:tcPr>
            <w:tcW w:w="1609" w:type="pct"/>
            <w:shd w:val="clear" w:color="auto" w:fill="auto"/>
            <w:vAlign w:val="center"/>
          </w:tcPr>
          <w:p w14:paraId="5CD4A3F3" w14:textId="77777777" w:rsidR="007409F1" w:rsidRPr="00DF477A" w:rsidRDefault="007409F1" w:rsidP="005C4A2D">
            <w:pPr>
              <w:keepNext/>
              <w:jc w:val="center"/>
              <w:rPr>
                <w:rFonts w:ascii="Arial Narrow" w:hAnsi="Arial Narrow"/>
                <w:b/>
                <w:bCs/>
                <w:sz w:val="20"/>
                <w:szCs w:val="20"/>
              </w:rPr>
            </w:pPr>
            <w:r w:rsidRPr="00DF477A">
              <w:rPr>
                <w:rFonts w:ascii="Arial Narrow" w:hAnsi="Arial Narrow"/>
                <w:b/>
                <w:bCs/>
                <w:sz w:val="20"/>
                <w:szCs w:val="20"/>
              </w:rPr>
              <w:t>CAPTIVATE FD cohort</w:t>
            </w:r>
            <w:r w:rsidRPr="00DF477A">
              <w:rPr>
                <w:rFonts w:ascii="Arial Narrow" w:hAnsi="Arial Narrow"/>
                <w:b/>
                <w:bCs/>
                <w:sz w:val="20"/>
                <w:szCs w:val="20"/>
              </w:rPr>
              <w:br/>
              <w:t>N=159</w:t>
            </w:r>
            <w:r w:rsidRPr="00DF477A">
              <w:rPr>
                <w:rFonts w:ascii="Arial Narrow" w:hAnsi="Arial Narrow"/>
                <w:b/>
                <w:bCs/>
                <w:sz w:val="20"/>
                <w:szCs w:val="20"/>
              </w:rPr>
              <w:br/>
              <w:t>n (%)</w:t>
            </w:r>
          </w:p>
        </w:tc>
        <w:tc>
          <w:tcPr>
            <w:tcW w:w="1608" w:type="pct"/>
            <w:shd w:val="clear" w:color="auto" w:fill="auto"/>
          </w:tcPr>
          <w:p w14:paraId="64A28A1A" w14:textId="77777777" w:rsidR="007409F1" w:rsidRPr="00DF477A" w:rsidRDefault="007409F1" w:rsidP="005C4A2D">
            <w:pPr>
              <w:keepNext/>
              <w:jc w:val="center"/>
              <w:rPr>
                <w:rFonts w:ascii="Arial Narrow" w:hAnsi="Arial Narrow"/>
                <w:b/>
                <w:bCs/>
                <w:sz w:val="20"/>
                <w:szCs w:val="20"/>
              </w:rPr>
            </w:pPr>
            <w:r w:rsidRPr="00DF477A">
              <w:rPr>
                <w:rFonts w:ascii="Arial Narrow" w:hAnsi="Arial Narrow"/>
                <w:b/>
                <w:bCs/>
                <w:sz w:val="20"/>
                <w:szCs w:val="20"/>
              </w:rPr>
              <w:t>ECOG1912 FCR arm</w:t>
            </w:r>
            <w:r w:rsidRPr="00DF477A">
              <w:rPr>
                <w:rFonts w:ascii="Arial Narrow" w:hAnsi="Arial Narrow"/>
                <w:b/>
                <w:bCs/>
                <w:sz w:val="20"/>
                <w:szCs w:val="20"/>
              </w:rPr>
              <w:br/>
              <w:t>N=158</w:t>
            </w:r>
            <w:r w:rsidRPr="00DF477A">
              <w:rPr>
                <w:rFonts w:ascii="Arial Narrow" w:hAnsi="Arial Narrow"/>
                <w:b/>
                <w:bCs/>
                <w:sz w:val="20"/>
                <w:szCs w:val="20"/>
              </w:rPr>
              <w:br/>
              <w:t>n (%)</w:t>
            </w:r>
          </w:p>
        </w:tc>
      </w:tr>
      <w:tr w:rsidR="007409F1" w:rsidRPr="007B2149" w14:paraId="367A3D11" w14:textId="77777777" w:rsidTr="005C4A2D">
        <w:tc>
          <w:tcPr>
            <w:tcW w:w="1783" w:type="pct"/>
            <w:shd w:val="clear" w:color="auto" w:fill="auto"/>
            <w:vAlign w:val="center"/>
          </w:tcPr>
          <w:p w14:paraId="66B1178F" w14:textId="77777777" w:rsidR="007409F1" w:rsidRPr="00DF477A" w:rsidRDefault="007409F1" w:rsidP="005C4A2D">
            <w:pPr>
              <w:keepNext/>
              <w:rPr>
                <w:rFonts w:ascii="Arial Narrow" w:hAnsi="Arial Narrow"/>
                <w:sz w:val="20"/>
                <w:szCs w:val="20"/>
              </w:rPr>
            </w:pPr>
            <w:r w:rsidRPr="00DF477A">
              <w:rPr>
                <w:rFonts w:ascii="Arial Narrow" w:hAnsi="Arial Narrow"/>
                <w:sz w:val="20"/>
                <w:szCs w:val="20"/>
              </w:rPr>
              <w:t>Any adverse event</w:t>
            </w:r>
          </w:p>
        </w:tc>
        <w:tc>
          <w:tcPr>
            <w:tcW w:w="1609" w:type="pct"/>
            <w:shd w:val="clear" w:color="auto" w:fill="auto"/>
            <w:vAlign w:val="center"/>
          </w:tcPr>
          <w:p w14:paraId="32E1BBBE"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158 (99.4)</w:t>
            </w:r>
          </w:p>
        </w:tc>
        <w:tc>
          <w:tcPr>
            <w:tcW w:w="1608" w:type="pct"/>
            <w:shd w:val="clear" w:color="auto" w:fill="auto"/>
          </w:tcPr>
          <w:p w14:paraId="18EC25FE"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157 (99.4)</w:t>
            </w:r>
          </w:p>
        </w:tc>
      </w:tr>
      <w:tr w:rsidR="007409F1" w:rsidRPr="007B2149" w14:paraId="1D100169" w14:textId="77777777" w:rsidTr="005C4A2D">
        <w:tc>
          <w:tcPr>
            <w:tcW w:w="1783" w:type="pct"/>
            <w:shd w:val="clear" w:color="auto" w:fill="auto"/>
            <w:vAlign w:val="center"/>
          </w:tcPr>
          <w:p w14:paraId="0A858D12" w14:textId="77777777" w:rsidR="007409F1" w:rsidRPr="00DF477A" w:rsidRDefault="007409F1" w:rsidP="005C4A2D">
            <w:pPr>
              <w:keepNext/>
              <w:rPr>
                <w:rFonts w:ascii="Arial Narrow" w:hAnsi="Arial Narrow"/>
                <w:sz w:val="20"/>
                <w:szCs w:val="20"/>
              </w:rPr>
            </w:pPr>
            <w:r w:rsidRPr="00DF477A">
              <w:rPr>
                <w:rFonts w:ascii="Arial Narrow" w:hAnsi="Arial Narrow"/>
                <w:sz w:val="20"/>
                <w:szCs w:val="20"/>
              </w:rPr>
              <w:t>Any grade ≥3 adverse event</w:t>
            </w:r>
          </w:p>
        </w:tc>
        <w:tc>
          <w:tcPr>
            <w:tcW w:w="1609" w:type="pct"/>
            <w:shd w:val="clear" w:color="auto" w:fill="auto"/>
            <w:vAlign w:val="center"/>
          </w:tcPr>
          <w:p w14:paraId="4081A17D"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99 (62.3)</w:t>
            </w:r>
          </w:p>
        </w:tc>
        <w:tc>
          <w:tcPr>
            <w:tcW w:w="1608" w:type="pct"/>
            <w:shd w:val="clear" w:color="auto" w:fill="auto"/>
          </w:tcPr>
          <w:p w14:paraId="481D09DB"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142 (89.9)</w:t>
            </w:r>
          </w:p>
        </w:tc>
      </w:tr>
      <w:tr w:rsidR="007409F1" w:rsidRPr="007B2149" w14:paraId="746F94BB" w14:textId="77777777" w:rsidTr="005C4A2D">
        <w:tc>
          <w:tcPr>
            <w:tcW w:w="1783" w:type="pct"/>
            <w:shd w:val="clear" w:color="auto" w:fill="auto"/>
            <w:vAlign w:val="center"/>
          </w:tcPr>
          <w:p w14:paraId="0A12CD60" w14:textId="77777777" w:rsidR="007409F1" w:rsidRPr="00DF477A" w:rsidRDefault="007409F1" w:rsidP="005C4A2D">
            <w:pPr>
              <w:keepNext/>
              <w:rPr>
                <w:rFonts w:ascii="Arial Narrow" w:hAnsi="Arial Narrow"/>
                <w:sz w:val="20"/>
                <w:szCs w:val="20"/>
              </w:rPr>
            </w:pPr>
            <w:r w:rsidRPr="00DF477A">
              <w:rPr>
                <w:rFonts w:ascii="Arial Narrow" w:hAnsi="Arial Narrow"/>
                <w:sz w:val="20"/>
                <w:szCs w:val="20"/>
              </w:rPr>
              <w:t>Adverse events leading to discontinuation</w:t>
            </w:r>
          </w:p>
        </w:tc>
        <w:tc>
          <w:tcPr>
            <w:tcW w:w="1609" w:type="pct"/>
            <w:shd w:val="clear" w:color="auto" w:fill="auto"/>
            <w:vAlign w:val="center"/>
          </w:tcPr>
          <w:p w14:paraId="0E5D8025"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8 (5.0)</w:t>
            </w:r>
          </w:p>
        </w:tc>
        <w:tc>
          <w:tcPr>
            <w:tcW w:w="1608" w:type="pct"/>
            <w:shd w:val="clear" w:color="auto" w:fill="auto"/>
          </w:tcPr>
          <w:p w14:paraId="3409BB9F"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NR</w:t>
            </w:r>
          </w:p>
        </w:tc>
      </w:tr>
      <w:tr w:rsidR="007409F1" w:rsidRPr="007B2149" w14:paraId="1E061272" w14:textId="77777777" w:rsidTr="005C4A2D">
        <w:tc>
          <w:tcPr>
            <w:tcW w:w="1783" w:type="pct"/>
            <w:shd w:val="clear" w:color="auto" w:fill="auto"/>
            <w:vAlign w:val="center"/>
          </w:tcPr>
          <w:p w14:paraId="77A9BF31" w14:textId="77777777" w:rsidR="007409F1" w:rsidRPr="00DF477A" w:rsidRDefault="007409F1" w:rsidP="005C4A2D">
            <w:pPr>
              <w:keepNext/>
              <w:rPr>
                <w:rFonts w:ascii="Arial Narrow" w:hAnsi="Arial Narrow"/>
                <w:sz w:val="20"/>
                <w:szCs w:val="20"/>
              </w:rPr>
            </w:pPr>
            <w:r w:rsidRPr="00DF477A">
              <w:rPr>
                <w:rFonts w:ascii="Arial Narrow" w:hAnsi="Arial Narrow"/>
                <w:sz w:val="20"/>
                <w:szCs w:val="20"/>
              </w:rPr>
              <w:t>Any serious adverse event</w:t>
            </w:r>
          </w:p>
        </w:tc>
        <w:tc>
          <w:tcPr>
            <w:tcW w:w="1609" w:type="pct"/>
            <w:shd w:val="clear" w:color="auto" w:fill="auto"/>
            <w:vAlign w:val="center"/>
          </w:tcPr>
          <w:p w14:paraId="4618C558"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36 (22.6)</w:t>
            </w:r>
          </w:p>
        </w:tc>
        <w:tc>
          <w:tcPr>
            <w:tcW w:w="1608" w:type="pct"/>
            <w:shd w:val="clear" w:color="auto" w:fill="auto"/>
          </w:tcPr>
          <w:p w14:paraId="3F579543" w14:textId="77777777"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NR</w:t>
            </w:r>
          </w:p>
        </w:tc>
      </w:tr>
      <w:tr w:rsidR="007409F1" w:rsidRPr="007B2149" w14:paraId="3148F391" w14:textId="77777777" w:rsidTr="005C4A2D">
        <w:tc>
          <w:tcPr>
            <w:tcW w:w="1783" w:type="pct"/>
            <w:shd w:val="clear" w:color="auto" w:fill="auto"/>
            <w:vAlign w:val="center"/>
          </w:tcPr>
          <w:p w14:paraId="69FE507D" w14:textId="77777777" w:rsidR="007409F1" w:rsidRPr="00DF477A" w:rsidRDefault="007409F1" w:rsidP="005C4A2D">
            <w:pPr>
              <w:keepNext/>
              <w:rPr>
                <w:rFonts w:ascii="Arial Narrow" w:hAnsi="Arial Narrow"/>
                <w:sz w:val="20"/>
                <w:szCs w:val="20"/>
              </w:rPr>
            </w:pPr>
            <w:r w:rsidRPr="00DF477A">
              <w:rPr>
                <w:rFonts w:ascii="Arial Narrow" w:hAnsi="Arial Narrow"/>
                <w:sz w:val="20"/>
                <w:szCs w:val="20"/>
              </w:rPr>
              <w:t>Adverse events leading to death</w:t>
            </w:r>
          </w:p>
        </w:tc>
        <w:tc>
          <w:tcPr>
            <w:tcW w:w="1609" w:type="pct"/>
            <w:shd w:val="clear" w:color="auto" w:fill="auto"/>
            <w:vAlign w:val="center"/>
          </w:tcPr>
          <w:p w14:paraId="5C62CAA3" w14:textId="5BACB36D"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1 (0.6)</w:t>
            </w:r>
          </w:p>
        </w:tc>
        <w:tc>
          <w:tcPr>
            <w:tcW w:w="1608" w:type="pct"/>
            <w:shd w:val="clear" w:color="auto" w:fill="auto"/>
          </w:tcPr>
          <w:p w14:paraId="5504B963" w14:textId="0B6C493F" w:rsidR="007409F1" w:rsidRPr="00DF477A" w:rsidRDefault="007409F1" w:rsidP="005C4A2D">
            <w:pPr>
              <w:keepNext/>
              <w:jc w:val="center"/>
              <w:rPr>
                <w:rFonts w:ascii="Arial Narrow" w:hAnsi="Arial Narrow"/>
                <w:sz w:val="20"/>
                <w:szCs w:val="20"/>
              </w:rPr>
            </w:pPr>
            <w:r w:rsidRPr="00DF477A">
              <w:rPr>
                <w:rFonts w:ascii="Arial Narrow" w:hAnsi="Arial Narrow"/>
                <w:sz w:val="20"/>
                <w:szCs w:val="20"/>
              </w:rPr>
              <w:t>2 (1.3)</w:t>
            </w:r>
          </w:p>
        </w:tc>
      </w:tr>
      <w:tr w:rsidR="00401654" w:rsidRPr="007B2149" w14:paraId="34DEDA1E" w14:textId="77777777" w:rsidTr="005C4A2D">
        <w:tc>
          <w:tcPr>
            <w:tcW w:w="1783" w:type="pct"/>
            <w:shd w:val="clear" w:color="auto" w:fill="auto"/>
            <w:vAlign w:val="center"/>
          </w:tcPr>
          <w:p w14:paraId="5FAB04AF" w14:textId="4C6EA1CF" w:rsidR="00401654" w:rsidRPr="00DF477A" w:rsidRDefault="00401654" w:rsidP="005C4A2D">
            <w:pPr>
              <w:keepNext/>
              <w:rPr>
                <w:rFonts w:ascii="Arial Narrow" w:hAnsi="Arial Narrow"/>
                <w:sz w:val="20"/>
                <w:szCs w:val="20"/>
              </w:rPr>
            </w:pPr>
            <w:r>
              <w:rPr>
                <w:rFonts w:ascii="Arial Narrow" w:hAnsi="Arial Narrow"/>
                <w:sz w:val="20"/>
                <w:szCs w:val="20"/>
              </w:rPr>
              <w:t>Adverse events of special interest</w:t>
            </w:r>
          </w:p>
        </w:tc>
        <w:tc>
          <w:tcPr>
            <w:tcW w:w="1609" w:type="pct"/>
            <w:shd w:val="clear" w:color="auto" w:fill="auto"/>
            <w:vAlign w:val="center"/>
          </w:tcPr>
          <w:p w14:paraId="3EDF8817" w14:textId="77777777" w:rsidR="00401654" w:rsidRPr="00DF477A" w:rsidRDefault="00401654" w:rsidP="005C4A2D">
            <w:pPr>
              <w:keepNext/>
              <w:jc w:val="center"/>
              <w:rPr>
                <w:rFonts w:ascii="Arial Narrow" w:hAnsi="Arial Narrow"/>
                <w:sz w:val="20"/>
                <w:szCs w:val="20"/>
              </w:rPr>
            </w:pPr>
          </w:p>
        </w:tc>
        <w:tc>
          <w:tcPr>
            <w:tcW w:w="1608" w:type="pct"/>
            <w:shd w:val="clear" w:color="auto" w:fill="auto"/>
          </w:tcPr>
          <w:p w14:paraId="20749E05" w14:textId="77777777" w:rsidR="00401654" w:rsidRPr="00DF477A" w:rsidRDefault="00401654" w:rsidP="005C4A2D">
            <w:pPr>
              <w:keepNext/>
              <w:jc w:val="center"/>
              <w:rPr>
                <w:rFonts w:ascii="Arial Narrow" w:hAnsi="Arial Narrow"/>
                <w:sz w:val="20"/>
                <w:szCs w:val="20"/>
              </w:rPr>
            </w:pPr>
          </w:p>
        </w:tc>
      </w:tr>
      <w:tr w:rsidR="00401654" w:rsidRPr="007B2149" w14:paraId="1CAFB9E8" w14:textId="77777777" w:rsidTr="005C4A2D">
        <w:tc>
          <w:tcPr>
            <w:tcW w:w="1783" w:type="pct"/>
            <w:shd w:val="clear" w:color="auto" w:fill="auto"/>
            <w:vAlign w:val="center"/>
          </w:tcPr>
          <w:p w14:paraId="51594418" w14:textId="08C96E9A" w:rsidR="00401654" w:rsidRPr="00C651CC" w:rsidRDefault="00401654" w:rsidP="001104CE">
            <w:pPr>
              <w:pStyle w:val="ListParagraph"/>
              <w:keepNext/>
              <w:numPr>
                <w:ilvl w:val="0"/>
                <w:numId w:val="12"/>
              </w:numPr>
              <w:spacing w:after="0"/>
              <w:ind w:left="170" w:hanging="170"/>
              <w:rPr>
                <w:rFonts w:ascii="Arial Narrow" w:hAnsi="Arial Narrow"/>
                <w:sz w:val="20"/>
                <w:szCs w:val="20"/>
              </w:rPr>
            </w:pPr>
            <w:r w:rsidRPr="00C651CC">
              <w:rPr>
                <w:rFonts w:ascii="Arial Narrow" w:hAnsi="Arial Narrow"/>
                <w:sz w:val="20"/>
                <w:szCs w:val="20"/>
              </w:rPr>
              <w:t>Atrial fibrillation</w:t>
            </w:r>
          </w:p>
        </w:tc>
        <w:tc>
          <w:tcPr>
            <w:tcW w:w="1609" w:type="pct"/>
            <w:shd w:val="clear" w:color="auto" w:fill="auto"/>
            <w:vAlign w:val="center"/>
          </w:tcPr>
          <w:p w14:paraId="68962EF3" w14:textId="679150F9" w:rsidR="00401654" w:rsidRPr="00DF477A" w:rsidRDefault="00401654" w:rsidP="00C651CC">
            <w:pPr>
              <w:keepNext/>
              <w:jc w:val="center"/>
              <w:rPr>
                <w:rFonts w:ascii="Arial Narrow" w:hAnsi="Arial Narrow"/>
                <w:sz w:val="20"/>
                <w:szCs w:val="20"/>
              </w:rPr>
            </w:pPr>
            <w:r>
              <w:rPr>
                <w:rFonts w:ascii="Arial Narrow" w:hAnsi="Arial Narrow"/>
                <w:sz w:val="20"/>
                <w:szCs w:val="20"/>
              </w:rPr>
              <w:t>7 (4.4)</w:t>
            </w:r>
          </w:p>
        </w:tc>
        <w:tc>
          <w:tcPr>
            <w:tcW w:w="1608" w:type="pct"/>
            <w:shd w:val="clear" w:color="auto" w:fill="auto"/>
          </w:tcPr>
          <w:p w14:paraId="6493FF22" w14:textId="1CEC936D" w:rsidR="00401654" w:rsidRPr="00DF477A" w:rsidRDefault="00401654" w:rsidP="00C651CC">
            <w:pPr>
              <w:keepNext/>
              <w:jc w:val="center"/>
              <w:rPr>
                <w:rFonts w:ascii="Arial Narrow" w:hAnsi="Arial Narrow"/>
                <w:sz w:val="20"/>
                <w:szCs w:val="20"/>
              </w:rPr>
            </w:pPr>
            <w:r>
              <w:rPr>
                <w:rFonts w:ascii="Arial Narrow" w:hAnsi="Arial Narrow"/>
                <w:sz w:val="20"/>
                <w:szCs w:val="20"/>
              </w:rPr>
              <w:t>4 (2.5)</w:t>
            </w:r>
          </w:p>
        </w:tc>
      </w:tr>
      <w:tr w:rsidR="00401654" w:rsidRPr="007B2149" w14:paraId="308261D1" w14:textId="77777777" w:rsidTr="005C4A2D">
        <w:tc>
          <w:tcPr>
            <w:tcW w:w="1783" w:type="pct"/>
            <w:shd w:val="clear" w:color="auto" w:fill="auto"/>
            <w:vAlign w:val="center"/>
          </w:tcPr>
          <w:p w14:paraId="2394A284" w14:textId="6C0D7891" w:rsidR="00401654" w:rsidRPr="00C651CC" w:rsidRDefault="00401654" w:rsidP="001104CE">
            <w:pPr>
              <w:pStyle w:val="ListParagraph"/>
              <w:keepNext/>
              <w:numPr>
                <w:ilvl w:val="0"/>
                <w:numId w:val="12"/>
              </w:numPr>
              <w:spacing w:after="0"/>
              <w:ind w:left="170" w:hanging="170"/>
              <w:rPr>
                <w:rFonts w:ascii="Arial Narrow" w:hAnsi="Arial Narrow"/>
                <w:sz w:val="20"/>
                <w:szCs w:val="20"/>
              </w:rPr>
            </w:pPr>
            <w:r w:rsidRPr="00C651CC">
              <w:rPr>
                <w:rFonts w:ascii="Arial Narrow" w:hAnsi="Arial Narrow"/>
                <w:sz w:val="20"/>
                <w:szCs w:val="20"/>
              </w:rPr>
              <w:t>Cardiac failure</w:t>
            </w:r>
          </w:p>
        </w:tc>
        <w:tc>
          <w:tcPr>
            <w:tcW w:w="1609" w:type="pct"/>
            <w:shd w:val="clear" w:color="auto" w:fill="auto"/>
            <w:vAlign w:val="center"/>
          </w:tcPr>
          <w:p w14:paraId="182B68EA" w14:textId="36EABE10" w:rsidR="00401654" w:rsidRDefault="00401654" w:rsidP="00C651CC">
            <w:pPr>
              <w:keepNext/>
              <w:jc w:val="center"/>
              <w:rPr>
                <w:rFonts w:ascii="Arial Narrow" w:hAnsi="Arial Narrow"/>
                <w:sz w:val="20"/>
                <w:szCs w:val="20"/>
              </w:rPr>
            </w:pPr>
            <w:r>
              <w:rPr>
                <w:rFonts w:ascii="Arial Narrow" w:hAnsi="Arial Narrow"/>
                <w:sz w:val="20"/>
                <w:szCs w:val="20"/>
              </w:rPr>
              <w:t>1 (0.6)</w:t>
            </w:r>
          </w:p>
        </w:tc>
        <w:tc>
          <w:tcPr>
            <w:tcW w:w="1608" w:type="pct"/>
            <w:shd w:val="clear" w:color="auto" w:fill="auto"/>
          </w:tcPr>
          <w:p w14:paraId="54648D02" w14:textId="47E3E6B0" w:rsidR="00401654" w:rsidRDefault="00401654" w:rsidP="00C651CC">
            <w:pPr>
              <w:keepNext/>
              <w:jc w:val="center"/>
              <w:rPr>
                <w:rFonts w:ascii="Arial Narrow" w:hAnsi="Arial Narrow"/>
                <w:sz w:val="20"/>
                <w:szCs w:val="20"/>
              </w:rPr>
            </w:pPr>
            <w:r>
              <w:rPr>
                <w:rFonts w:ascii="Arial Narrow" w:hAnsi="Arial Narrow"/>
                <w:sz w:val="20"/>
                <w:szCs w:val="20"/>
              </w:rPr>
              <w:t>0</w:t>
            </w:r>
          </w:p>
        </w:tc>
      </w:tr>
      <w:tr w:rsidR="00401654" w:rsidRPr="007B2149" w14:paraId="586E7BF1" w14:textId="77777777" w:rsidTr="005C4A2D">
        <w:tc>
          <w:tcPr>
            <w:tcW w:w="1783" w:type="pct"/>
            <w:shd w:val="clear" w:color="auto" w:fill="auto"/>
            <w:vAlign w:val="center"/>
          </w:tcPr>
          <w:p w14:paraId="09E63DA2" w14:textId="5530DDAC" w:rsidR="00401654" w:rsidRPr="00C651CC" w:rsidRDefault="00401654" w:rsidP="001104CE">
            <w:pPr>
              <w:pStyle w:val="ListParagraph"/>
              <w:keepNext/>
              <w:numPr>
                <w:ilvl w:val="0"/>
                <w:numId w:val="12"/>
              </w:numPr>
              <w:spacing w:after="0"/>
              <w:ind w:left="170" w:hanging="170"/>
              <w:rPr>
                <w:rFonts w:ascii="Arial Narrow" w:hAnsi="Arial Narrow"/>
                <w:sz w:val="20"/>
                <w:szCs w:val="20"/>
              </w:rPr>
            </w:pPr>
            <w:r w:rsidRPr="00C651CC">
              <w:rPr>
                <w:rFonts w:ascii="Arial Narrow" w:hAnsi="Arial Narrow"/>
                <w:sz w:val="20"/>
                <w:szCs w:val="20"/>
              </w:rPr>
              <w:t>Tumour lysis syndrome</w:t>
            </w:r>
          </w:p>
        </w:tc>
        <w:tc>
          <w:tcPr>
            <w:tcW w:w="1609" w:type="pct"/>
            <w:shd w:val="clear" w:color="auto" w:fill="auto"/>
            <w:vAlign w:val="center"/>
          </w:tcPr>
          <w:p w14:paraId="60D72CEB" w14:textId="19C77BF4" w:rsidR="00401654" w:rsidRDefault="00401654" w:rsidP="00C651CC">
            <w:pPr>
              <w:keepNext/>
              <w:jc w:val="center"/>
              <w:rPr>
                <w:rFonts w:ascii="Arial Narrow" w:hAnsi="Arial Narrow"/>
                <w:sz w:val="20"/>
                <w:szCs w:val="20"/>
              </w:rPr>
            </w:pPr>
            <w:r>
              <w:rPr>
                <w:rFonts w:ascii="Arial Narrow" w:hAnsi="Arial Narrow"/>
                <w:sz w:val="20"/>
                <w:szCs w:val="20"/>
              </w:rPr>
              <w:t>0</w:t>
            </w:r>
          </w:p>
        </w:tc>
        <w:tc>
          <w:tcPr>
            <w:tcW w:w="1608" w:type="pct"/>
            <w:shd w:val="clear" w:color="auto" w:fill="auto"/>
          </w:tcPr>
          <w:p w14:paraId="39E31A23" w14:textId="6B36C100" w:rsidR="00401654" w:rsidRDefault="00401654" w:rsidP="00C651CC">
            <w:pPr>
              <w:keepNext/>
              <w:jc w:val="center"/>
              <w:rPr>
                <w:rFonts w:ascii="Arial Narrow" w:hAnsi="Arial Narrow"/>
                <w:sz w:val="20"/>
                <w:szCs w:val="20"/>
              </w:rPr>
            </w:pPr>
            <w:r>
              <w:rPr>
                <w:rFonts w:ascii="Arial Narrow" w:hAnsi="Arial Narrow"/>
                <w:sz w:val="20"/>
                <w:szCs w:val="20"/>
              </w:rPr>
              <w:t>2 (1.3)</w:t>
            </w:r>
          </w:p>
        </w:tc>
      </w:tr>
    </w:tbl>
    <w:p w14:paraId="56B4CB08" w14:textId="046BEB3A" w:rsidR="007409F1" w:rsidRPr="00C52646" w:rsidRDefault="007409F1" w:rsidP="007409F1">
      <w:pPr>
        <w:pStyle w:val="TableFigureFooter"/>
      </w:pPr>
      <w:r w:rsidRPr="00C52646">
        <w:t>Source: Table 2-51, p149</w:t>
      </w:r>
      <w:r w:rsidR="00401654">
        <w:t>; Section 2.6.2.4, p151</w:t>
      </w:r>
      <w:r w:rsidRPr="00C52646">
        <w:t xml:space="preserve"> of the submission</w:t>
      </w:r>
      <w:r w:rsidR="00155719">
        <w:t>.</w:t>
      </w:r>
    </w:p>
    <w:p w14:paraId="70DDC513" w14:textId="77777777" w:rsidR="007409F1" w:rsidRPr="00C52646" w:rsidRDefault="007409F1" w:rsidP="007409F1">
      <w:pPr>
        <w:pStyle w:val="TableFigureFooter"/>
      </w:pPr>
      <w:r w:rsidRPr="00C52646">
        <w:t>Abbreviations: FCR, fludarabine, cyclophosphamide, rituximab</w:t>
      </w:r>
    </w:p>
    <w:p w14:paraId="0F90E4D4" w14:textId="6DFB6C68" w:rsidR="00E535E0" w:rsidRDefault="00E535E0" w:rsidP="00E255C7">
      <w:pPr>
        <w:pStyle w:val="COMexecsumnumberedpara"/>
      </w:pPr>
      <w:r>
        <w:t xml:space="preserve">Overall, the proportion of patients reporting any adverse event was similar for patients who received ibrutinib + venetoclax or FCR. The proportion of adverse events of Grade 3 or above was higher in the FCR arm compared with the ibrutinib + </w:t>
      </w:r>
      <w:r>
        <w:lastRenderedPageBreak/>
        <w:t>venetoclax arm. A low and similar proportion of patients between treatment arms experienced a fatal adverse event after receiving treatment.</w:t>
      </w:r>
    </w:p>
    <w:p w14:paraId="624802C5" w14:textId="3C7D4349" w:rsidR="00E535E0" w:rsidRDefault="00E535E0" w:rsidP="00001CCA">
      <w:pPr>
        <w:pStyle w:val="COMexecsumnumberedpara"/>
      </w:pPr>
      <w:r>
        <w:t>The adverse event profile differed between treatments.</w:t>
      </w:r>
      <w:r w:rsidR="009E76C6">
        <w:t xml:space="preserve"> </w:t>
      </w:r>
      <w:r>
        <w:t>The most commonly occurring adverse events associated with ibrutinib + venetoclax in the FD cohort of CAPTIVATE included diarrhoea (62.3%), nausea (42.8%), neutropenia (41.5%), arthralgia (33.3%), muscle spasms (29.6%), and headache (25.2%). The most commonly occurring Grade 3 or higher adverse events included neutropenia (32.7%), and hypertension (5.7%).</w:t>
      </w:r>
    </w:p>
    <w:p w14:paraId="7F9F2B16" w14:textId="68F35CD7" w:rsidR="00E535E0" w:rsidRDefault="00E535E0" w:rsidP="00E255C7">
      <w:pPr>
        <w:pStyle w:val="COMexecsumnumberedpara"/>
      </w:pPr>
      <w:r>
        <w:t>The most commonly reported adverse events associated with FCR in the ECOG1912 trial included anaemia (80.4%), nausea (63.9%), constipation (31.6%), vomiting (27.8%), headache (27.2%), diarrhoea (26.6%), macropapular rash (25.9%) and infusion related reactions (25.3%). The most commonly occurring Grade 3 or higher adverse events included anaemia (17.7%), febrile neutropenia (15.8%), hypertension (6.3%), hyperglycaemia (5.7%), and macropapular rash (5.1%).</w:t>
      </w:r>
    </w:p>
    <w:p w14:paraId="2C88DCB3" w14:textId="77777777" w:rsidR="00C72AAF" w:rsidRDefault="005B7A62" w:rsidP="00E255C7">
      <w:pPr>
        <w:pStyle w:val="COMexecsumnumberedpara"/>
        <w:rPr>
          <w:iCs/>
        </w:rPr>
      </w:pPr>
      <w:r w:rsidRPr="005B7A62">
        <w:t xml:space="preserve">In terms of adverse events of special interest, cardiac adverse events including atrial fibrillation and cardiac failure, and haemorrhagic events were reported more frequently with ibrutinib + venetoclax than with FCR. No cases of tumour lysis syndrome were reported in patients on ibrutinib + venetoclax, but </w:t>
      </w:r>
      <w:r w:rsidR="007D3D00">
        <w:t xml:space="preserve">cases </w:t>
      </w:r>
      <w:r w:rsidRPr="005B7A62">
        <w:t>were reported in 1.3% of the FCR-treated patients in ECOG1912. Cytopenia adverse events were differentially reported between treatment groups, with neutropenia and thrombocytopenia more commonly reported with ibrutinib + venetoclax, and febrile neutropenia more commonly reported with FCR. Secondary primary malignancies were more commonly reported in patients in the FCR arm of ECOG1912</w:t>
      </w:r>
      <w:r w:rsidR="0095325A">
        <w:t xml:space="preserve"> </w:t>
      </w:r>
      <w:r w:rsidRPr="005B7A62">
        <w:t>(8.9%) than in patients receiving ibrutinib + venetoclax in the FD cohort of CAPTIVATE (5.0%).</w:t>
      </w:r>
      <w:r w:rsidR="00210983">
        <w:t xml:space="preserve"> </w:t>
      </w:r>
      <w:r w:rsidR="00210983" w:rsidRPr="003967D3">
        <w:rPr>
          <w:iCs/>
        </w:rPr>
        <w:t>Given the differences in patient populations</w:t>
      </w:r>
      <w:r w:rsidR="00DD382A" w:rsidRPr="003967D3">
        <w:rPr>
          <w:iCs/>
        </w:rPr>
        <w:t>, differences between studies in terms of adverse events should be interpreted with caution.</w:t>
      </w:r>
      <w:r w:rsidR="00772860">
        <w:rPr>
          <w:iCs/>
        </w:rPr>
        <w:t xml:space="preserve"> </w:t>
      </w:r>
    </w:p>
    <w:p w14:paraId="5B3DA0EF" w14:textId="36DCEDE7" w:rsidR="005B7A62" w:rsidRPr="003967D3" w:rsidRDefault="00772860" w:rsidP="00E255C7">
      <w:pPr>
        <w:pStyle w:val="COMexecsumnumberedpara"/>
        <w:rPr>
          <w:iCs/>
        </w:rPr>
      </w:pPr>
      <w:r w:rsidRPr="001434A1">
        <w:t xml:space="preserve">Being based on a naïve indirect comparison, the ESC considered it difficult to </w:t>
      </w:r>
      <w:r w:rsidR="00C72AAF" w:rsidRPr="001434A1">
        <w:t xml:space="preserve">make an assessment of </w:t>
      </w:r>
      <w:r w:rsidRPr="001434A1">
        <w:t>the comparative harms.</w:t>
      </w:r>
    </w:p>
    <w:p w14:paraId="617EB0C3" w14:textId="65ACFA56" w:rsidR="00654107" w:rsidRDefault="00654107" w:rsidP="00AE4FAA">
      <w:pPr>
        <w:pStyle w:val="COMH3"/>
      </w:pPr>
      <w:r>
        <w:t>Additional evidence considered during the evaluation</w:t>
      </w:r>
    </w:p>
    <w:p w14:paraId="06531313" w14:textId="791CCA9C" w:rsidR="00312097" w:rsidRDefault="004E0AAA" w:rsidP="00312097">
      <w:pPr>
        <w:pStyle w:val="COMexecsumnumberedpara"/>
      </w:pPr>
      <w:r>
        <w:t xml:space="preserve">The MRD cohort of the CAPTIVATE study </w:t>
      </w:r>
      <w:r w:rsidR="000A0E92">
        <w:t>enrolled a similar population to the FD cohort, based on t</w:t>
      </w:r>
      <w:r>
        <w:t>he same patient eligibility criteria as the FD cohort.</w:t>
      </w:r>
      <w:r w:rsidR="00C65CC3">
        <w:t xml:space="preserve"> </w:t>
      </w:r>
      <w:r w:rsidR="00312097">
        <w:t>In the MRD cohort</w:t>
      </w:r>
      <w:r w:rsidR="00C65CC3">
        <w:t>,</w:t>
      </w:r>
      <w:r w:rsidR="00312097">
        <w:t xml:space="preserve"> p</w:t>
      </w:r>
      <w:r w:rsidR="00312097" w:rsidRPr="00A279DF">
        <w:t xml:space="preserve">atients who completed 15 cycles of ibrutinib + venetoclax (with 3-cycle ibrutinib lead-in), continued one additional cycle of ibrutinib </w:t>
      </w:r>
      <w:r w:rsidR="00312097">
        <w:t>+</w:t>
      </w:r>
      <w:r w:rsidR="00312097" w:rsidRPr="00A279DF">
        <w:t xml:space="preserve"> venetoclax, during which MRD status was confirmed and tumour response was assessed. Patients with confirmed undetectable MRD </w:t>
      </w:r>
      <w:r w:rsidR="00312097">
        <w:t xml:space="preserve">(52.4% of the original cohort) </w:t>
      </w:r>
      <w:r w:rsidR="00312097" w:rsidRPr="00A279DF">
        <w:t>were randomly assigned to double-blinded treatment with placebo or ibrutinib monotherapy until confirmed MRD relapse or disease progression.</w:t>
      </w:r>
      <w:r w:rsidR="00312097">
        <w:t xml:space="preserve"> Over a median duration of follow-up of 31.3 months, one-year disease free survival (absence of MRD relapse, </w:t>
      </w:r>
      <w:r w:rsidR="00B76B61">
        <w:t>progression,</w:t>
      </w:r>
      <w:r w:rsidR="00312097">
        <w:t xml:space="preserve"> or death) was not statistically significantly different between the placebo (95%) and ibrutinib arms (100%; difference: 4.7%; 95% </w:t>
      </w:r>
      <w:r w:rsidR="00B76B61">
        <w:t>CI: -</w:t>
      </w:r>
      <w:r w:rsidR="00312097">
        <w:t>1.5, 10.9; p</w:t>
      </w:r>
      <w:r w:rsidR="00B76B61">
        <w:t xml:space="preserve"> </w:t>
      </w:r>
      <w:r w:rsidR="00312097">
        <w:t>=</w:t>
      </w:r>
      <w:r w:rsidR="00B76B61">
        <w:t xml:space="preserve"> </w:t>
      </w:r>
      <w:r w:rsidR="00312097">
        <w:t>0.15).</w:t>
      </w:r>
    </w:p>
    <w:p w14:paraId="3AAFC08B" w14:textId="3BDF6D1E" w:rsidR="00312097" w:rsidRPr="003967D3" w:rsidRDefault="00312097" w:rsidP="00312097">
      <w:pPr>
        <w:pStyle w:val="COMexecsumnumberedpara"/>
        <w:rPr>
          <w:iCs/>
        </w:rPr>
      </w:pPr>
      <w:r>
        <w:lastRenderedPageBreak/>
        <w:t>The CAPTIVATE clinical study report presented a comparison of progression</w:t>
      </w:r>
      <w:r w:rsidR="004A7660">
        <w:t>-</w:t>
      </w:r>
      <w:r>
        <w:t>free survival in the FD and MRD cohorts of the CAPTIVATE study (including patients in the MRD cohort who did not have confirmed undetectable MRD and were</w:t>
      </w:r>
      <w:r w:rsidRPr="00A279DF">
        <w:t xml:space="preserve"> randomly assigned to </w:t>
      </w:r>
      <w:r w:rsidR="004A7660">
        <w:t xml:space="preserve">open-label </w:t>
      </w:r>
      <w:r w:rsidRPr="00A279DF">
        <w:t xml:space="preserve">ibrutinib monotherapy or continued ibrutinib </w:t>
      </w:r>
      <w:r w:rsidR="00E24B8F">
        <w:t>+</w:t>
      </w:r>
      <w:r w:rsidR="00E24B8F" w:rsidRPr="00A279DF">
        <w:t xml:space="preserve"> </w:t>
      </w:r>
      <w:r w:rsidRPr="00A279DF">
        <w:t>venetoclax</w:t>
      </w:r>
      <w:r>
        <w:t xml:space="preserve">). </w:t>
      </w:r>
      <w:r w:rsidRPr="00A279DF">
        <w:t xml:space="preserve">Compared with the FD cohort, the MRD cohort overall had a greater time to progression, </w:t>
      </w:r>
      <w:r w:rsidRPr="003967D3">
        <w:rPr>
          <w:iCs/>
        </w:rPr>
        <w:t xml:space="preserve">possibly as most of this cohort received ongoing treatment with either ibrutinib monotherapy or ibrutinib + venetoclax following the initial 16 cycles of ibrutinib + venetoclax, excepting the group with confirmed undetectable MRD who were randomised to placebo. </w:t>
      </w:r>
    </w:p>
    <w:p w14:paraId="0C7A18D0" w14:textId="68F2F56C" w:rsidR="00312097" w:rsidRDefault="00312097" w:rsidP="00312097">
      <w:pPr>
        <w:pStyle w:val="COMexecsumnumberedpara"/>
      </w:pPr>
      <w:r>
        <w:t xml:space="preserve">Although the </w:t>
      </w:r>
      <w:r w:rsidRPr="003967D3">
        <w:rPr>
          <w:iCs/>
        </w:rPr>
        <w:t>GLOW trial, which formed the basis of the TGA evaluation, was conducted in a population considered unfit for treatment with fludarabine-based chemoimmunotherapy, results were included in the commentary as supportive evidence from a randomised, double blinded clinical trial, assessing the treatment effect of ibrutinib + venetoclax in a previously untreated CLL/SLL population</w:t>
      </w:r>
      <w:r w:rsidRPr="00A279DF">
        <w:t>.</w:t>
      </w:r>
      <w:r>
        <w:t xml:space="preserve"> GLOW compared </w:t>
      </w:r>
      <w:r w:rsidRPr="00A279DF">
        <w:t>15 cycles of ibrutinib + venetoclax (with 3-cycle ibrutinib lead-in)</w:t>
      </w:r>
      <w:r>
        <w:t xml:space="preserve"> with 6 cycles </w:t>
      </w:r>
      <w:r w:rsidRPr="00F154E2">
        <w:t>of chlorambucil + obinutuzumab. With a median follow-up of 27.7 months, progression-free survival was significantly longer</w:t>
      </w:r>
      <w:r>
        <w:t xml:space="preserve"> for ibrutinib + venetoclax than for chlorambucil + obinutuzumab (HR 0.216; 95% CI:0.131, 0.357; p&lt;0.001). </w:t>
      </w:r>
      <w:r w:rsidRPr="00A279DF">
        <w:t>More patients in the ibrutinib + venetoclax arm discontinued treatment (23%) compared to those in the chlorambucil</w:t>
      </w:r>
      <w:r w:rsidR="0030142E">
        <w:t xml:space="preserve"> + </w:t>
      </w:r>
      <w:r w:rsidRPr="00A279DF">
        <w:t>obinutuzumab arm (4.8%). The proportion of patients experiencing at least one Grade 3 or 4 adverse event was similar in each treatment arm (approximately 68%), however there were more serious adverse events reported in the ibrutinib + venetoclax arm (46% v</w:t>
      </w:r>
      <w:r>
        <w:t>ersu</w:t>
      </w:r>
      <w:r w:rsidRPr="00A279DF">
        <w:t>s 28%). At the time of primary analysis there were 11 deaths in the ibrutinib + venetoclax arm and 12 in the chlorambucil + obinutuzumab arm, with no difference in overall survival (HR 1.048, 95%CI 0.454, 2.419).</w:t>
      </w:r>
    </w:p>
    <w:p w14:paraId="04908C7F" w14:textId="415B9B7D" w:rsidR="007F1017" w:rsidRPr="00C52646" w:rsidRDefault="007F1017" w:rsidP="00D86231">
      <w:pPr>
        <w:pStyle w:val="COMH2-non-numbered"/>
      </w:pPr>
      <w:bookmarkStart w:id="53" w:name="_Toc22897643"/>
      <w:bookmarkStart w:id="54" w:name="_Toc113983800"/>
      <w:r w:rsidRPr="00C52646">
        <w:t>Benefits/harms</w:t>
      </w:r>
      <w:bookmarkEnd w:id="53"/>
      <w:bookmarkEnd w:id="54"/>
    </w:p>
    <w:p w14:paraId="7398D11E" w14:textId="3ECB2A40" w:rsidR="007F1017" w:rsidRPr="003967D3" w:rsidRDefault="00E926A5" w:rsidP="00E255C7">
      <w:pPr>
        <w:pStyle w:val="COMexecsumnumberedpara"/>
        <w:rPr>
          <w:iCs/>
        </w:rPr>
      </w:pPr>
      <w:r w:rsidRPr="003967D3">
        <w:rPr>
          <w:iCs/>
          <w:snapToGrid/>
        </w:rPr>
        <w:t xml:space="preserve">The naïve indirect comparison presented in the submission did not allow for a </w:t>
      </w:r>
      <w:r w:rsidR="0085309D" w:rsidRPr="003967D3">
        <w:rPr>
          <w:iCs/>
          <w:snapToGrid/>
        </w:rPr>
        <w:t xml:space="preserve">quantitative </w:t>
      </w:r>
      <w:r w:rsidRPr="003967D3">
        <w:rPr>
          <w:iCs/>
          <w:snapToGrid/>
        </w:rPr>
        <w:t xml:space="preserve">comparison of the benefits and harms of </w:t>
      </w:r>
      <w:r w:rsidR="00825E7E" w:rsidRPr="003967D3">
        <w:rPr>
          <w:iCs/>
          <w:snapToGrid/>
        </w:rPr>
        <w:t>ibrutinib + venetoclax and FCR</w:t>
      </w:r>
      <w:r w:rsidRPr="003967D3">
        <w:rPr>
          <w:iCs/>
          <w:snapToGrid/>
        </w:rPr>
        <w:t xml:space="preserve">. Accordingly, a benefits/harms table </w:t>
      </w:r>
      <w:r w:rsidR="006C04C8">
        <w:rPr>
          <w:iCs/>
          <w:snapToGrid/>
        </w:rPr>
        <w:t>was not</w:t>
      </w:r>
      <w:r w:rsidRPr="003967D3">
        <w:rPr>
          <w:iCs/>
          <w:snapToGrid/>
        </w:rPr>
        <w:t xml:space="preserve"> presented.</w:t>
      </w:r>
    </w:p>
    <w:p w14:paraId="7A1772B6" w14:textId="23BB3145" w:rsidR="00B60939" w:rsidRPr="00C52646" w:rsidRDefault="00B60939" w:rsidP="00E9094A">
      <w:pPr>
        <w:pStyle w:val="COMH2-non-numbered"/>
      </w:pPr>
      <w:bookmarkStart w:id="55" w:name="_Toc22897644"/>
      <w:bookmarkStart w:id="56" w:name="_Toc113983801"/>
      <w:r w:rsidRPr="00C52646">
        <w:t>Clinical claim</w:t>
      </w:r>
      <w:bookmarkEnd w:id="55"/>
      <w:bookmarkEnd w:id="56"/>
    </w:p>
    <w:p w14:paraId="6CFAE542" w14:textId="328424CE" w:rsidR="00A646F2" w:rsidRDefault="00A646F2" w:rsidP="00E255C7">
      <w:pPr>
        <w:pStyle w:val="COMexecsumnumberedpara"/>
      </w:pPr>
      <w:r w:rsidRPr="00C52646">
        <w:t>The submission described ibrutinib + venetoclax as superior in terms of effectiveness, and at least non-inferior, with a different safety profile</w:t>
      </w:r>
      <w:r w:rsidR="009E76C6">
        <w:t xml:space="preserve"> (</w:t>
      </w:r>
      <w:r w:rsidR="002C62ED">
        <w:t>including</w:t>
      </w:r>
      <w:r w:rsidR="002C62ED" w:rsidRPr="002C62ED">
        <w:t xml:space="preserve"> a reduced risk of developing secondary primary malignancies</w:t>
      </w:r>
      <w:r w:rsidR="009E76C6">
        <w:t>)</w:t>
      </w:r>
      <w:r w:rsidRPr="00C52646">
        <w:t xml:space="preserve"> in terms of safety compared to FCR. </w:t>
      </w:r>
    </w:p>
    <w:p w14:paraId="1284C45C" w14:textId="650AE77D" w:rsidR="006C04C8" w:rsidRPr="001434A1" w:rsidRDefault="006C04C8" w:rsidP="00E255C7">
      <w:pPr>
        <w:pStyle w:val="COMexecsumnumberedpara"/>
        <w:rPr>
          <w:iCs/>
        </w:rPr>
      </w:pPr>
      <w:r w:rsidRPr="001434A1">
        <w:rPr>
          <w:iCs/>
        </w:rPr>
        <w:t xml:space="preserve">The ESC considered the </w:t>
      </w:r>
      <w:r w:rsidR="000F7422" w:rsidRPr="001434A1">
        <w:rPr>
          <w:iCs/>
        </w:rPr>
        <w:t>therapeutic conclusion was likely supported</w:t>
      </w:r>
      <w:r w:rsidRPr="001434A1">
        <w:rPr>
          <w:iCs/>
        </w:rPr>
        <w:t>, noting the following:</w:t>
      </w:r>
    </w:p>
    <w:p w14:paraId="41198753" w14:textId="0614288A" w:rsidR="00FE3485" w:rsidRPr="001434A1" w:rsidRDefault="00736BAC" w:rsidP="00E36967">
      <w:pPr>
        <w:pStyle w:val="ListParagraph"/>
        <w:spacing w:after="0"/>
        <w:ind w:left="1077" w:hanging="357"/>
        <w:rPr>
          <w:iCs/>
        </w:rPr>
      </w:pPr>
      <w:bookmarkStart w:id="57" w:name="_Hlk121399873"/>
      <w:r w:rsidRPr="001434A1">
        <w:t xml:space="preserve">The clinical evidence </w:t>
      </w:r>
      <w:r w:rsidR="009F57D7" w:rsidRPr="001434A1">
        <w:t>wa</w:t>
      </w:r>
      <w:r w:rsidRPr="001434A1">
        <w:t>s highly uncertain, being based on a</w:t>
      </w:r>
      <w:r w:rsidR="00F44A1C">
        <w:t>n</w:t>
      </w:r>
      <w:r w:rsidRPr="001434A1">
        <w:t xml:space="preserve"> </w:t>
      </w:r>
      <w:r w:rsidR="00F44A1C">
        <w:rPr>
          <w:snapToGrid/>
        </w:rPr>
        <w:t>unanchored, unadjusted (</w:t>
      </w:r>
      <w:r w:rsidRPr="001434A1">
        <w:t>naïve</w:t>
      </w:r>
      <w:r w:rsidR="00F44A1C">
        <w:t>)</w:t>
      </w:r>
      <w:r w:rsidRPr="001434A1">
        <w:t xml:space="preserve"> indirect comparison between two single study arms, with no statistical adjustments to account for differences in study population (e.g.</w:t>
      </w:r>
      <w:r w:rsidR="002B6F0B">
        <w:t>,</w:t>
      </w:r>
      <w:r w:rsidRPr="001434A1">
        <w:t xml:space="preserve"> Rai staging) or circumstances of use. Additionally, this approach inherently </w:t>
      </w:r>
      <w:r w:rsidRPr="001434A1">
        <w:lastRenderedPageBreak/>
        <w:t>underestimate</w:t>
      </w:r>
      <w:r w:rsidR="009F57D7" w:rsidRPr="001434A1">
        <w:t>d</w:t>
      </w:r>
      <w:r w:rsidRPr="001434A1">
        <w:t xml:space="preserve"> the statistical uncertainty associated with other unknown confounders by effectively assuming that all data comes from the same source.</w:t>
      </w:r>
      <w:r w:rsidR="00926C1A" w:rsidRPr="001434A1">
        <w:t xml:space="preserve"> As such, w</w:t>
      </w:r>
      <w:r w:rsidR="00945EBA" w:rsidRPr="001434A1">
        <w:rPr>
          <w:iCs/>
        </w:rPr>
        <w:t>hile t</w:t>
      </w:r>
      <w:r w:rsidR="00FE3485" w:rsidRPr="001434A1">
        <w:rPr>
          <w:iCs/>
        </w:rPr>
        <w:t xml:space="preserve">he estimated hazard ratio </w:t>
      </w:r>
      <w:r w:rsidR="00926C1A" w:rsidRPr="001434A1">
        <w:rPr>
          <w:iCs/>
        </w:rPr>
        <w:t xml:space="preserve">for progression-free survival </w:t>
      </w:r>
      <w:r w:rsidR="00945EBA" w:rsidRPr="001434A1">
        <w:rPr>
          <w:iCs/>
        </w:rPr>
        <w:t>wa</w:t>
      </w:r>
      <w:r w:rsidR="00FE3485" w:rsidRPr="001434A1">
        <w:rPr>
          <w:iCs/>
        </w:rPr>
        <w:t xml:space="preserve">s </w:t>
      </w:r>
      <w:r w:rsidR="000A3415" w:rsidRPr="001434A1">
        <w:rPr>
          <w:iCs/>
        </w:rPr>
        <w:t>highly</w:t>
      </w:r>
      <w:r w:rsidR="00FE3485" w:rsidRPr="001434A1">
        <w:rPr>
          <w:iCs/>
        </w:rPr>
        <w:t xml:space="preserve"> favourable towards ibrutinib + venetoclax</w:t>
      </w:r>
      <w:r w:rsidR="00945EBA" w:rsidRPr="001434A1">
        <w:rPr>
          <w:iCs/>
        </w:rPr>
        <w:t>, it</w:t>
      </w:r>
      <w:r w:rsidR="00FE3485" w:rsidRPr="001434A1">
        <w:rPr>
          <w:iCs/>
        </w:rPr>
        <w:t xml:space="preserve"> should be interpreted with caution. </w:t>
      </w:r>
    </w:p>
    <w:bookmarkEnd w:id="57"/>
    <w:p w14:paraId="01B37401" w14:textId="32389102" w:rsidR="00FE3485" w:rsidRPr="001434A1" w:rsidRDefault="00945EBA" w:rsidP="00FE3485">
      <w:pPr>
        <w:pStyle w:val="ListBullet"/>
        <w:ind w:left="1077" w:hanging="357"/>
        <w:rPr>
          <w:iCs/>
        </w:rPr>
      </w:pPr>
      <w:r w:rsidRPr="001434A1">
        <w:rPr>
          <w:iCs/>
        </w:rPr>
        <w:t>T</w:t>
      </w:r>
      <w:r w:rsidR="00FE3485" w:rsidRPr="001434A1">
        <w:rPr>
          <w:iCs/>
        </w:rPr>
        <w:t>here were notable differences in the patient populations between the two included studies</w:t>
      </w:r>
      <w:r w:rsidR="00926C1A" w:rsidRPr="001434A1">
        <w:rPr>
          <w:iCs/>
        </w:rPr>
        <w:t xml:space="preserve"> in terms of disease characteristics</w:t>
      </w:r>
      <w:r w:rsidR="00147A08" w:rsidRPr="001434A1">
        <w:rPr>
          <w:iCs/>
        </w:rPr>
        <w:t xml:space="preserve">. While the evaluation noted that markers of disease severity were generally worse in a higher proportion of patients in ECOG1912 compared with CAPTIVATE, which may potentially favour of ibrutinib + venetoclax (paragraph </w:t>
      </w:r>
      <w:r w:rsidR="00147A08" w:rsidRPr="001434A1">
        <w:rPr>
          <w:iCs/>
        </w:rPr>
        <w:fldChar w:fldCharType="begin" w:fldLock="1"/>
      </w:r>
      <w:r w:rsidR="00147A08" w:rsidRPr="001434A1">
        <w:rPr>
          <w:iCs/>
        </w:rPr>
        <w:instrText xml:space="preserve"> REF _Ref116051479 \r \h </w:instrText>
      </w:r>
      <w:r w:rsidR="00147A08" w:rsidRPr="001434A1">
        <w:rPr>
          <w:iCs/>
        </w:rPr>
      </w:r>
      <w:r w:rsidR="00147A08" w:rsidRPr="001434A1">
        <w:rPr>
          <w:iCs/>
        </w:rPr>
        <w:fldChar w:fldCharType="separate"/>
      </w:r>
      <w:r w:rsidR="00B22386">
        <w:rPr>
          <w:iCs/>
        </w:rPr>
        <w:t>6.14</w:t>
      </w:r>
      <w:r w:rsidR="00147A08" w:rsidRPr="001434A1">
        <w:rPr>
          <w:iCs/>
        </w:rPr>
        <w:fldChar w:fldCharType="end"/>
      </w:r>
      <w:r w:rsidR="00147A08" w:rsidRPr="001434A1">
        <w:rPr>
          <w:iCs/>
        </w:rPr>
        <w:t>)</w:t>
      </w:r>
      <w:r w:rsidR="002512EE" w:rsidRPr="001434A1">
        <w:rPr>
          <w:iCs/>
        </w:rPr>
        <w:t>,</w:t>
      </w:r>
      <w:r w:rsidR="00147A08" w:rsidRPr="001434A1">
        <w:rPr>
          <w:iCs/>
        </w:rPr>
        <w:t xml:space="preserve"> the ESC also noted that </w:t>
      </w:r>
      <w:r w:rsidR="00FE3485" w:rsidRPr="001434A1">
        <w:rPr>
          <w:iCs/>
        </w:rPr>
        <w:t xml:space="preserve">the CAPTIVATE trial included patients with del17p, while the ECOG1912 trial excluded del17p patients, </w:t>
      </w:r>
      <w:r w:rsidR="00147A08" w:rsidRPr="001434A1">
        <w:rPr>
          <w:iCs/>
        </w:rPr>
        <w:t>which may have</w:t>
      </w:r>
      <w:r w:rsidRPr="001434A1">
        <w:rPr>
          <w:iCs/>
        </w:rPr>
        <w:t xml:space="preserve"> favoured</w:t>
      </w:r>
      <w:r w:rsidR="00FE3485" w:rsidRPr="001434A1">
        <w:rPr>
          <w:iCs/>
        </w:rPr>
        <w:t xml:space="preserve"> FCR. Overall, the </w:t>
      </w:r>
      <w:r w:rsidRPr="001434A1">
        <w:rPr>
          <w:iCs/>
        </w:rPr>
        <w:t xml:space="preserve">ESC considered that the </w:t>
      </w:r>
      <w:r w:rsidR="00FE3485" w:rsidRPr="001434A1">
        <w:rPr>
          <w:iCs/>
        </w:rPr>
        <w:t>patient populations were</w:t>
      </w:r>
      <w:r w:rsidR="00147A08" w:rsidRPr="001434A1">
        <w:rPr>
          <w:iCs/>
        </w:rPr>
        <w:t xml:space="preserve"> likely to be</w:t>
      </w:r>
      <w:r w:rsidR="00FE3485" w:rsidRPr="001434A1">
        <w:rPr>
          <w:iCs/>
        </w:rPr>
        <w:t xml:space="preserve"> broadly </w:t>
      </w:r>
      <w:r w:rsidR="00147A08" w:rsidRPr="001434A1">
        <w:rPr>
          <w:iCs/>
        </w:rPr>
        <w:t>similar</w:t>
      </w:r>
      <w:r w:rsidR="00FE3485" w:rsidRPr="001434A1">
        <w:rPr>
          <w:iCs/>
        </w:rPr>
        <w:t>.</w:t>
      </w:r>
    </w:p>
    <w:p w14:paraId="18EF9A1B" w14:textId="038CE017" w:rsidR="00FE3485" w:rsidRPr="001434A1" w:rsidRDefault="00FE3485" w:rsidP="00D466D9">
      <w:pPr>
        <w:pStyle w:val="ListBullet"/>
        <w:ind w:left="1077" w:hanging="357"/>
      </w:pPr>
      <w:r w:rsidRPr="001434A1">
        <w:rPr>
          <w:iCs/>
        </w:rPr>
        <w:t>Overall survival in first-line treatment is difficult to interpret. As previously acknowledged by the PBAC, “there may not be a difference [in overall survival] over the longer term given subsequent lines of effective therapy are available” (para 7.8, acalabrutinib PSD, November 2021 PBAC meeting).</w:t>
      </w:r>
    </w:p>
    <w:p w14:paraId="28F42A54" w14:textId="41C0B514" w:rsidR="007E15B6" w:rsidRPr="001434A1" w:rsidRDefault="007E15B6" w:rsidP="00C022FB">
      <w:pPr>
        <w:pStyle w:val="ListBullet"/>
        <w:spacing w:after="120"/>
        <w:ind w:left="1077" w:hanging="357"/>
      </w:pPr>
      <w:r w:rsidRPr="001434A1">
        <w:t xml:space="preserve">There were insufficient long-term data available to assess whether clinical outcomes </w:t>
      </w:r>
      <w:r w:rsidR="00083451" w:rsidRPr="001434A1">
        <w:t xml:space="preserve">for ibrutinib + venetoclax versus FCR </w:t>
      </w:r>
      <w:r w:rsidRPr="001434A1">
        <w:t>may converge over time after the fixed duration treatment periods.</w:t>
      </w:r>
    </w:p>
    <w:p w14:paraId="0B0C3AB3" w14:textId="1952EFA1" w:rsidR="008F551F" w:rsidRPr="001434A1" w:rsidRDefault="00331703" w:rsidP="00E36967">
      <w:pPr>
        <w:pStyle w:val="COMexecsumnumberedpara"/>
        <w:rPr>
          <w:iCs/>
        </w:rPr>
      </w:pPr>
      <w:r w:rsidRPr="001434A1">
        <w:rPr>
          <w:iCs/>
        </w:rPr>
        <w:t>The ESC noted that i</w:t>
      </w:r>
      <w:r w:rsidR="00CB1483" w:rsidRPr="001434A1">
        <w:rPr>
          <w:iCs/>
        </w:rPr>
        <w:t xml:space="preserve">n practice, the </w:t>
      </w:r>
      <w:r w:rsidRPr="001434A1">
        <w:rPr>
          <w:iCs/>
        </w:rPr>
        <w:t xml:space="preserve">requested </w:t>
      </w:r>
      <w:r w:rsidR="00CB1483" w:rsidRPr="001434A1">
        <w:rPr>
          <w:iCs/>
        </w:rPr>
        <w:t xml:space="preserve">listing would move small molecule inhibitors (BTKi </w:t>
      </w:r>
      <w:r w:rsidRPr="001434A1">
        <w:rPr>
          <w:iCs/>
        </w:rPr>
        <w:t>and/</w:t>
      </w:r>
      <w:r w:rsidR="00CB1483" w:rsidRPr="001434A1">
        <w:rPr>
          <w:iCs/>
        </w:rPr>
        <w:t>or BCL2 inhibitor-based regimens</w:t>
      </w:r>
      <w:r w:rsidRPr="001434A1">
        <w:rPr>
          <w:iCs/>
        </w:rPr>
        <w:t>, which are currently available in the R/R setting</w:t>
      </w:r>
      <w:r w:rsidR="00CB1483" w:rsidRPr="001434A1">
        <w:rPr>
          <w:iCs/>
        </w:rPr>
        <w:t xml:space="preserve">) </w:t>
      </w:r>
      <w:r w:rsidRPr="001434A1">
        <w:rPr>
          <w:iCs/>
        </w:rPr>
        <w:t>to a</w:t>
      </w:r>
      <w:r w:rsidR="000B0E2B" w:rsidRPr="001434A1">
        <w:rPr>
          <w:iCs/>
        </w:rPr>
        <w:t xml:space="preserve">n earlier line </w:t>
      </w:r>
      <w:r w:rsidR="00CB1483" w:rsidRPr="001434A1">
        <w:rPr>
          <w:iCs/>
        </w:rPr>
        <w:t>in the treatment algorithm</w:t>
      </w:r>
      <w:r w:rsidRPr="001434A1">
        <w:rPr>
          <w:iCs/>
        </w:rPr>
        <w:t xml:space="preserve">. The ESC considered that the magnitude of benefit, particularly in terms of overall survival, of the existing treatment algorithm versus the proposed algorithm was unclear. </w:t>
      </w:r>
    </w:p>
    <w:p w14:paraId="60DEE47B" w14:textId="72F96D2F" w:rsidR="00DB137C" w:rsidRPr="00625A65" w:rsidRDefault="00DB137C" w:rsidP="00DB137C">
      <w:pPr>
        <w:pStyle w:val="COMexecsumnumberedpara"/>
      </w:pPr>
      <w:bookmarkStart w:id="58" w:name="_Hlk76376200"/>
      <w:r w:rsidRPr="00625A65">
        <w:rPr>
          <w:iCs/>
        </w:rPr>
        <w:t>The</w:t>
      </w:r>
      <w:r w:rsidRPr="00625A65">
        <w:t xml:space="preserve"> PBAC considered that </w:t>
      </w:r>
      <w:r w:rsidR="00C61E1B" w:rsidRPr="00625A65">
        <w:t xml:space="preserve">while </w:t>
      </w:r>
      <w:r w:rsidRPr="00625A65">
        <w:t xml:space="preserve">the claim of </w:t>
      </w:r>
      <w:r w:rsidR="00A8663A" w:rsidRPr="00625A65">
        <w:t>s</w:t>
      </w:r>
      <w:r w:rsidRPr="00625A65">
        <w:t xml:space="preserve">uperior comparative effectiveness </w:t>
      </w:r>
      <w:r w:rsidR="00C022FB">
        <w:t xml:space="preserve">versus FCR </w:t>
      </w:r>
      <w:r w:rsidR="00A8663A" w:rsidRPr="00625A65">
        <w:t xml:space="preserve">was </w:t>
      </w:r>
      <w:r w:rsidR="00EC73C5" w:rsidRPr="00625A65">
        <w:t>likely met</w:t>
      </w:r>
      <w:r w:rsidR="00625A65">
        <w:t>,</w:t>
      </w:r>
      <w:r w:rsidR="00EC73C5" w:rsidRPr="00625A65">
        <w:t xml:space="preserve"> the extent of the benefit was highly uncertain </w:t>
      </w:r>
      <w:r w:rsidR="00A8663A" w:rsidRPr="00625A65">
        <w:t xml:space="preserve">given the </w:t>
      </w:r>
      <w:r w:rsidR="00F44A1C" w:rsidRPr="00F44A1C">
        <w:t>naïve nature of the comparison</w:t>
      </w:r>
      <w:r w:rsidR="00F44A1C">
        <w:t xml:space="preserve"> (i.e. based on an unanchored, unadjusted indirect comparison) and the </w:t>
      </w:r>
      <w:r w:rsidR="00A8663A" w:rsidRPr="00625A65">
        <w:t>immaturity of the data</w:t>
      </w:r>
      <w:r w:rsidRPr="00625A65">
        <w:t>.</w:t>
      </w:r>
    </w:p>
    <w:p w14:paraId="61F03120" w14:textId="06EAA1F8" w:rsidR="00DB137C" w:rsidRPr="00625A65" w:rsidRDefault="00DB137C" w:rsidP="00DB137C">
      <w:pPr>
        <w:pStyle w:val="COMexecsumnumberedpara"/>
      </w:pPr>
      <w:r w:rsidRPr="00625A65">
        <w:t>The PBAC considered that</w:t>
      </w:r>
      <w:r w:rsidR="00C951A1">
        <w:t>,</w:t>
      </w:r>
      <w:r w:rsidRPr="00625A65">
        <w:t xml:space="preserve"> </w:t>
      </w:r>
      <w:r w:rsidR="001326B0" w:rsidRPr="00625A65">
        <w:t xml:space="preserve">while the naïve indirect comparison presented did not allow for a quantitative comparison of the harms of ibrutinib + venetoclax </w:t>
      </w:r>
      <w:r w:rsidR="00C951A1">
        <w:t>versus</w:t>
      </w:r>
      <w:r w:rsidR="001326B0" w:rsidRPr="00625A65">
        <w:t xml:space="preserve"> FCR</w:t>
      </w:r>
      <w:r w:rsidR="00C951A1">
        <w:t xml:space="preserve">, </w:t>
      </w:r>
      <w:r w:rsidR="001326B0" w:rsidRPr="00625A65">
        <w:t xml:space="preserve">a </w:t>
      </w:r>
      <w:r w:rsidRPr="00625A65">
        <w:t>claim of non-inferior comparative safety</w:t>
      </w:r>
      <w:r w:rsidR="001326B0" w:rsidRPr="00625A65">
        <w:t xml:space="preserve"> may be</w:t>
      </w:r>
      <w:r w:rsidRPr="00625A65">
        <w:t xml:space="preserve"> reasonable.</w:t>
      </w:r>
    </w:p>
    <w:p w14:paraId="54260792" w14:textId="77777777" w:rsidR="00C0310A" w:rsidRPr="00C52646" w:rsidRDefault="00C0310A" w:rsidP="00C0310A">
      <w:pPr>
        <w:pStyle w:val="COMH2-non-numbered"/>
      </w:pPr>
      <w:bookmarkStart w:id="59" w:name="_Toc22897645"/>
      <w:bookmarkStart w:id="60" w:name="_Toc113983802"/>
      <w:bookmarkStart w:id="61" w:name="_Toc22897647"/>
      <w:bookmarkEnd w:id="58"/>
      <w:r w:rsidRPr="00C52646">
        <w:t>Economic analysis</w:t>
      </w:r>
      <w:bookmarkEnd w:id="59"/>
      <w:bookmarkEnd w:id="60"/>
      <w:r w:rsidRPr="00C52646">
        <w:t xml:space="preserve"> </w:t>
      </w:r>
    </w:p>
    <w:p w14:paraId="51FD6187" w14:textId="04B023E9" w:rsidR="00C0310A" w:rsidRPr="00C52646" w:rsidRDefault="00C0310A" w:rsidP="00E255C7">
      <w:pPr>
        <w:pStyle w:val="COMexecsumnumberedpara"/>
        <w:rPr>
          <w:b/>
          <w:bCs/>
        </w:rPr>
      </w:pPr>
      <w:r w:rsidRPr="00C52646">
        <w:t xml:space="preserve">The submission presented a modelled economic evaluation of ibrutinib + venetoclax compared with FCR for previously untreated patients with CLL/SLL, who would be considered fit for fludarabine based chemoimmunotherapy. The economic evaluation was based on a naïve indirect comparison of the single-arm </w:t>
      </w:r>
      <w:r w:rsidR="007B434A">
        <w:t>FD</w:t>
      </w:r>
      <w:r w:rsidRPr="00C52646">
        <w:t xml:space="preserve"> cohort of the CAPTIVATE study (ibrutinib + venetoclax) and the FCR arm of the ECOG1912 randomised trial, and additional modelled data. The type of economic evaluation presented was a cost-effectiveness/cost-utility analysis. </w:t>
      </w:r>
    </w:p>
    <w:p w14:paraId="00934AB1" w14:textId="6A4B2B0D" w:rsidR="00C0310A" w:rsidRPr="00C52646" w:rsidRDefault="00C0310A" w:rsidP="00F635FD">
      <w:pPr>
        <w:pStyle w:val="Caption"/>
      </w:pPr>
      <w:r w:rsidRPr="00C52646">
        <w:lastRenderedPageBreak/>
        <w:t xml:space="preserve">Table </w:t>
      </w:r>
      <w:fldSimple w:instr=" SEQ Table \* ARABIC " w:fldLock="1">
        <w:r w:rsidR="00B22386">
          <w:rPr>
            <w:noProof/>
          </w:rPr>
          <w:t>8</w:t>
        </w:r>
      </w:fldSimple>
      <w:r w:rsidRPr="00C52646">
        <w:t xml:space="preserve">: </w:t>
      </w:r>
      <w:r w:rsidRPr="00B5449D">
        <w:t>Key</w:t>
      </w:r>
      <w:r w:rsidRPr="00C52646">
        <w:t xml:space="preserve">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Key components of the economic evaluation"/>
      </w:tblPr>
      <w:tblGrid>
        <w:gridCol w:w="1555"/>
        <w:gridCol w:w="7462"/>
      </w:tblGrid>
      <w:tr w:rsidR="00C0310A" w:rsidRPr="00C52646" w14:paraId="49AE5D0D" w14:textId="77777777" w:rsidTr="00B0153A">
        <w:tc>
          <w:tcPr>
            <w:tcW w:w="862" w:type="pct"/>
            <w:vAlign w:val="center"/>
          </w:tcPr>
          <w:p w14:paraId="2DA52931" w14:textId="77777777" w:rsidR="00C0310A" w:rsidRPr="00C52646" w:rsidRDefault="00C0310A">
            <w:pPr>
              <w:pStyle w:val="COMTableheadingrow"/>
              <w:jc w:val="center"/>
              <w:rPr>
                <w:lang w:val="en-AU"/>
              </w:rPr>
            </w:pPr>
            <w:r w:rsidRPr="00C52646">
              <w:rPr>
                <w:lang w:val="en-AU"/>
              </w:rPr>
              <w:t>Component</w:t>
            </w:r>
          </w:p>
        </w:tc>
        <w:tc>
          <w:tcPr>
            <w:tcW w:w="4138" w:type="pct"/>
          </w:tcPr>
          <w:p w14:paraId="3429FBD1" w14:textId="77777777" w:rsidR="00C0310A" w:rsidRPr="00C52646" w:rsidRDefault="00C0310A">
            <w:pPr>
              <w:pStyle w:val="COMTableheadingrow"/>
              <w:jc w:val="center"/>
              <w:rPr>
                <w:lang w:val="en-AU"/>
              </w:rPr>
            </w:pPr>
            <w:r w:rsidRPr="00C52646">
              <w:rPr>
                <w:lang w:val="en-AU"/>
              </w:rPr>
              <w:t>Description</w:t>
            </w:r>
          </w:p>
        </w:tc>
      </w:tr>
      <w:tr w:rsidR="00C0310A" w:rsidRPr="00C52646" w14:paraId="09FE226B" w14:textId="77777777" w:rsidTr="00B0153A">
        <w:tc>
          <w:tcPr>
            <w:tcW w:w="862" w:type="pct"/>
            <w:vAlign w:val="center"/>
          </w:tcPr>
          <w:p w14:paraId="41348EEE" w14:textId="77777777" w:rsidR="00C0310A" w:rsidRPr="00C52646" w:rsidRDefault="00C0310A">
            <w:pPr>
              <w:pStyle w:val="COMTabletext"/>
            </w:pPr>
            <w:r w:rsidRPr="00C52646">
              <w:t>Treatments</w:t>
            </w:r>
          </w:p>
        </w:tc>
        <w:tc>
          <w:tcPr>
            <w:tcW w:w="4138" w:type="pct"/>
          </w:tcPr>
          <w:p w14:paraId="185C2278" w14:textId="77777777" w:rsidR="00C0310A" w:rsidRPr="00C52646" w:rsidRDefault="00C0310A">
            <w:pPr>
              <w:pStyle w:val="COMTabletext"/>
            </w:pPr>
            <w:r w:rsidRPr="00C52646">
              <w:t>Ibrutinib + venetoclax in the first-line setting followed by ibrutinib monotherapy on disease progression.</w:t>
            </w:r>
          </w:p>
          <w:p w14:paraId="21A31F8D" w14:textId="1A9A272D" w:rsidR="00C0310A" w:rsidRPr="00C52646" w:rsidRDefault="00C0310A">
            <w:pPr>
              <w:pStyle w:val="COMTabletext"/>
            </w:pPr>
            <w:r w:rsidRPr="00C52646">
              <w:t xml:space="preserve">Fludarabine, cyclophosphamide and rituximab </w:t>
            </w:r>
            <w:r w:rsidR="00FE21E8">
              <w:t xml:space="preserve">(FCR) </w:t>
            </w:r>
            <w:r w:rsidRPr="00C52646">
              <w:t>in the first-line setting followed by ibrutinib monotherapy on disease progression.</w:t>
            </w:r>
          </w:p>
        </w:tc>
      </w:tr>
      <w:tr w:rsidR="00C0310A" w:rsidRPr="00C52646" w14:paraId="4ED15717" w14:textId="77777777" w:rsidTr="00B0153A">
        <w:tc>
          <w:tcPr>
            <w:tcW w:w="862" w:type="pct"/>
            <w:vAlign w:val="center"/>
          </w:tcPr>
          <w:p w14:paraId="757B0D34" w14:textId="77777777" w:rsidR="00C0310A" w:rsidRPr="00C52646" w:rsidRDefault="00C0310A">
            <w:pPr>
              <w:pStyle w:val="COMTabletext"/>
            </w:pPr>
            <w:r w:rsidRPr="00C52646">
              <w:t>Time horizon</w:t>
            </w:r>
          </w:p>
        </w:tc>
        <w:tc>
          <w:tcPr>
            <w:tcW w:w="4138" w:type="pct"/>
          </w:tcPr>
          <w:p w14:paraId="0CB675C9" w14:textId="77777777" w:rsidR="00C0310A" w:rsidRPr="00C52646" w:rsidRDefault="00C0310A">
            <w:pPr>
              <w:pStyle w:val="COMTabletext"/>
            </w:pPr>
            <w:r w:rsidRPr="00C52646">
              <w:t>20 years in the model base case versus median follow-up of 39 months in the fixed duration cohort of the CAPTIVATE study and 65 months in the ECOG1912 trial.</w:t>
            </w:r>
          </w:p>
        </w:tc>
      </w:tr>
      <w:tr w:rsidR="00C0310A" w:rsidRPr="00C52646" w14:paraId="4D7B1ED0" w14:textId="77777777" w:rsidTr="00B0153A">
        <w:tc>
          <w:tcPr>
            <w:tcW w:w="862" w:type="pct"/>
            <w:vAlign w:val="center"/>
          </w:tcPr>
          <w:p w14:paraId="5006FA9A" w14:textId="77777777" w:rsidR="00C0310A" w:rsidRPr="00C52646" w:rsidRDefault="00C0310A">
            <w:pPr>
              <w:pStyle w:val="COMTabletext"/>
            </w:pPr>
            <w:r w:rsidRPr="00C52646">
              <w:t>Outcomes</w:t>
            </w:r>
          </w:p>
        </w:tc>
        <w:tc>
          <w:tcPr>
            <w:tcW w:w="4138" w:type="pct"/>
          </w:tcPr>
          <w:p w14:paraId="36C8B957" w14:textId="77777777" w:rsidR="00C0310A" w:rsidRPr="00C52646" w:rsidRDefault="00C0310A">
            <w:pPr>
              <w:pStyle w:val="COMTabletext"/>
            </w:pPr>
            <w:r w:rsidRPr="00C52646">
              <w:t>Life years; quality adjusted life years</w:t>
            </w:r>
          </w:p>
        </w:tc>
      </w:tr>
      <w:tr w:rsidR="00C0310A" w:rsidRPr="00C52646" w14:paraId="1AFA6710" w14:textId="77777777" w:rsidTr="00B0153A">
        <w:tc>
          <w:tcPr>
            <w:tcW w:w="862" w:type="pct"/>
            <w:vAlign w:val="center"/>
          </w:tcPr>
          <w:p w14:paraId="0759F419" w14:textId="77777777" w:rsidR="00C0310A" w:rsidRPr="00C52646" w:rsidRDefault="00C0310A">
            <w:pPr>
              <w:pStyle w:val="COMTabletext"/>
            </w:pPr>
            <w:r w:rsidRPr="00C52646">
              <w:t>Type of analysis</w:t>
            </w:r>
          </w:p>
        </w:tc>
        <w:tc>
          <w:tcPr>
            <w:tcW w:w="4138" w:type="pct"/>
          </w:tcPr>
          <w:p w14:paraId="20F61117" w14:textId="6E49FB74" w:rsidR="00C0310A" w:rsidRPr="00C52646" w:rsidRDefault="00C0310A">
            <w:pPr>
              <w:pStyle w:val="COMTabletext"/>
            </w:pPr>
            <w:r w:rsidRPr="00C52646">
              <w:t>Cost</w:t>
            </w:r>
            <w:r w:rsidR="00703B40">
              <w:t>-</w:t>
            </w:r>
            <w:r w:rsidRPr="00C52646">
              <w:t>effectiveness analysis and cost</w:t>
            </w:r>
            <w:r w:rsidR="00703B40">
              <w:t>-</w:t>
            </w:r>
            <w:r w:rsidRPr="00C52646">
              <w:t>utility analysis</w:t>
            </w:r>
          </w:p>
        </w:tc>
      </w:tr>
      <w:tr w:rsidR="00C0310A" w:rsidRPr="00C52646" w14:paraId="29D2D882" w14:textId="77777777" w:rsidTr="00B0153A">
        <w:tc>
          <w:tcPr>
            <w:tcW w:w="862" w:type="pct"/>
            <w:vAlign w:val="center"/>
          </w:tcPr>
          <w:p w14:paraId="1350A423" w14:textId="77777777" w:rsidR="00C0310A" w:rsidRPr="00C52646" w:rsidRDefault="00C0310A">
            <w:pPr>
              <w:pStyle w:val="COMTabletext"/>
            </w:pPr>
            <w:r w:rsidRPr="00C52646">
              <w:t>Methods used to generate results</w:t>
            </w:r>
          </w:p>
        </w:tc>
        <w:tc>
          <w:tcPr>
            <w:tcW w:w="4138" w:type="pct"/>
          </w:tcPr>
          <w:p w14:paraId="17B58598" w14:textId="77777777" w:rsidR="00C0310A" w:rsidRPr="00C52646" w:rsidRDefault="00C0310A">
            <w:pPr>
              <w:pStyle w:val="COMTabletext"/>
            </w:pPr>
            <w:r w:rsidRPr="00C52646">
              <w:t>Markov state transition model</w:t>
            </w:r>
          </w:p>
        </w:tc>
      </w:tr>
      <w:tr w:rsidR="00C0310A" w:rsidRPr="00C52646" w14:paraId="461DD8C0" w14:textId="77777777" w:rsidTr="00B0153A">
        <w:tc>
          <w:tcPr>
            <w:tcW w:w="862" w:type="pct"/>
            <w:vAlign w:val="center"/>
          </w:tcPr>
          <w:p w14:paraId="18C8C739" w14:textId="77777777" w:rsidR="00C0310A" w:rsidRPr="00C52646" w:rsidRDefault="00C0310A">
            <w:pPr>
              <w:pStyle w:val="COMTabletext"/>
            </w:pPr>
            <w:r w:rsidRPr="00C52646">
              <w:t>Health states</w:t>
            </w:r>
          </w:p>
        </w:tc>
        <w:tc>
          <w:tcPr>
            <w:tcW w:w="4138" w:type="pct"/>
          </w:tcPr>
          <w:p w14:paraId="698FA0EF" w14:textId="77777777" w:rsidR="00C0310A" w:rsidRPr="00C52646" w:rsidRDefault="00C0310A">
            <w:pPr>
              <w:pStyle w:val="COMTabletext"/>
            </w:pPr>
            <w:r w:rsidRPr="00C52646">
              <w:t>Two health states: free of progression; and combined progressed/dead state</w:t>
            </w:r>
          </w:p>
        </w:tc>
      </w:tr>
      <w:tr w:rsidR="00C0310A" w:rsidRPr="00C52646" w14:paraId="693FE70A" w14:textId="77777777" w:rsidTr="00B0153A">
        <w:tc>
          <w:tcPr>
            <w:tcW w:w="862" w:type="pct"/>
            <w:vAlign w:val="center"/>
          </w:tcPr>
          <w:p w14:paraId="0211151F" w14:textId="77777777" w:rsidR="00C0310A" w:rsidRPr="00C52646" w:rsidRDefault="00C0310A">
            <w:pPr>
              <w:pStyle w:val="COMTabletext"/>
            </w:pPr>
            <w:r w:rsidRPr="00C52646">
              <w:t>Cycle length</w:t>
            </w:r>
          </w:p>
        </w:tc>
        <w:tc>
          <w:tcPr>
            <w:tcW w:w="4138" w:type="pct"/>
          </w:tcPr>
          <w:p w14:paraId="6463F1CB" w14:textId="77777777" w:rsidR="00C0310A" w:rsidRPr="00C52646" w:rsidRDefault="00C0310A">
            <w:pPr>
              <w:pStyle w:val="COMTabletext"/>
            </w:pPr>
            <w:r w:rsidRPr="00C52646">
              <w:t>One month</w:t>
            </w:r>
          </w:p>
        </w:tc>
      </w:tr>
      <w:tr w:rsidR="00C0310A" w:rsidRPr="00C52646" w14:paraId="6EF36F24" w14:textId="77777777" w:rsidTr="00B0153A">
        <w:tc>
          <w:tcPr>
            <w:tcW w:w="862" w:type="pct"/>
            <w:vAlign w:val="center"/>
          </w:tcPr>
          <w:p w14:paraId="538F69DC" w14:textId="77777777" w:rsidR="00C0310A" w:rsidRPr="00C52646" w:rsidRDefault="00C0310A">
            <w:pPr>
              <w:pStyle w:val="COMTabletext"/>
            </w:pPr>
            <w:r w:rsidRPr="00C52646">
              <w:t>Transition probabilities</w:t>
            </w:r>
          </w:p>
        </w:tc>
        <w:tc>
          <w:tcPr>
            <w:tcW w:w="4138" w:type="pct"/>
          </w:tcPr>
          <w:p w14:paraId="3FDD0718" w14:textId="4EBC1561" w:rsidR="00C0310A" w:rsidRPr="00C52646" w:rsidRDefault="00C0310A">
            <w:pPr>
              <w:pStyle w:val="COMTabletext"/>
              <w:spacing w:after="60"/>
            </w:pPr>
            <w:r w:rsidRPr="00C52646">
              <w:t xml:space="preserve">Monthly probabilities of progression were derived from Kaplan Meier progression-free survival curves, extrapolated to 20 years using a single generalised gamma function with treatment group included as a covariate. Patients with disease progression move to the combined progressed/dead health state, where it is assumed that all patients remain for the same fixed duration based on survival of 5.45 years, based on the ibrutinib arm of the economic model in the ibrutinib </w:t>
            </w:r>
            <w:r w:rsidR="00307C5B">
              <w:t xml:space="preserve">R/R </w:t>
            </w:r>
            <w:r w:rsidRPr="00C52646">
              <w:t>CLL/SLL submission recommended by the PBAC in January 2017(Ibrutinib November 2016 PSD with addendum, November 2016 PBAC meeting).</w:t>
            </w:r>
          </w:p>
          <w:p w14:paraId="1D660C52" w14:textId="77777777" w:rsidR="00C0310A" w:rsidRPr="00C52646" w:rsidRDefault="00C0310A">
            <w:pPr>
              <w:pStyle w:val="COMTabletext"/>
            </w:pPr>
            <w:r w:rsidRPr="00C52646">
              <w:t>Monthly probabilities of death from the free of progression health state were based on ABS life tables (2018-2020) using age and sex characteristics at baseline from the fixed duration cohort of the CAPTIVATE study.</w:t>
            </w:r>
          </w:p>
        </w:tc>
      </w:tr>
      <w:tr w:rsidR="00C0310A" w:rsidRPr="00C52646" w14:paraId="41B1DF8C" w14:textId="77777777" w:rsidTr="00B0153A">
        <w:tc>
          <w:tcPr>
            <w:tcW w:w="862" w:type="pct"/>
            <w:vAlign w:val="center"/>
          </w:tcPr>
          <w:p w14:paraId="0BFBB19E" w14:textId="77777777" w:rsidR="00C0310A" w:rsidRPr="00C52646" w:rsidRDefault="00C0310A">
            <w:pPr>
              <w:pStyle w:val="COMTabletext"/>
            </w:pPr>
            <w:r w:rsidRPr="00C52646">
              <w:t>Costs</w:t>
            </w:r>
          </w:p>
        </w:tc>
        <w:tc>
          <w:tcPr>
            <w:tcW w:w="4138" w:type="pct"/>
          </w:tcPr>
          <w:p w14:paraId="51D99F7D" w14:textId="591D61EE" w:rsidR="00C0310A" w:rsidRPr="00C52646" w:rsidRDefault="00C0310A">
            <w:pPr>
              <w:pStyle w:val="TableText"/>
              <w:keepNext w:val="0"/>
              <w:spacing w:after="60"/>
            </w:pPr>
            <w:r w:rsidRPr="00C52646">
              <w:t>Drug costs associated with first-line ibrutinib + venetoclax and FCR were based on PBS prices and use of therapies derived from individual patient data in the CAPTIVATE and ECOG1912 studies</w:t>
            </w:r>
            <w:r w:rsidR="00F30724">
              <w:t>*</w:t>
            </w:r>
            <w:r w:rsidRPr="00C52646">
              <w:t>.</w:t>
            </w:r>
          </w:p>
          <w:p w14:paraId="24C854E1" w14:textId="77777777" w:rsidR="00C0310A" w:rsidRPr="00C52646" w:rsidRDefault="00C0310A">
            <w:pPr>
              <w:pStyle w:val="TableText"/>
              <w:keepNext w:val="0"/>
              <w:spacing w:after="60"/>
            </w:pPr>
            <w:r w:rsidRPr="00C52646">
              <w:t xml:space="preserve">Administration costs for FCR were based on the </w:t>
            </w:r>
            <w:r w:rsidRPr="00C52646">
              <w:rPr>
                <w:szCs w:val="20"/>
              </w:rPr>
              <w:t>cost of AR-DRG R63Z (chemotherapy) with pharmacy costs removed.</w:t>
            </w:r>
          </w:p>
          <w:p w14:paraId="346D06BE" w14:textId="208D0979" w:rsidR="00C0310A" w:rsidRPr="00C52646" w:rsidRDefault="00C0310A">
            <w:pPr>
              <w:pStyle w:val="TableText"/>
              <w:keepNext w:val="0"/>
              <w:spacing w:after="60"/>
            </w:pPr>
            <w:r w:rsidRPr="00C52646">
              <w:t xml:space="preserve">Disease management costs were based on MBS fees for GP and specialist </w:t>
            </w:r>
            <w:r w:rsidR="0039173A" w:rsidRPr="00C52646">
              <w:t>visits and</w:t>
            </w:r>
            <w:r w:rsidRPr="00C52646">
              <w:t xml:space="preserve"> assumed frequencies of visits.</w:t>
            </w:r>
          </w:p>
          <w:p w14:paraId="55A87A0B" w14:textId="403672BA" w:rsidR="00C0310A" w:rsidRPr="00C52646" w:rsidRDefault="00C0310A">
            <w:pPr>
              <w:pStyle w:val="TableText"/>
              <w:keepNext w:val="0"/>
              <w:spacing w:after="60"/>
            </w:pPr>
            <w:r w:rsidRPr="00C52646">
              <w:t>Costs associated with tumour lysis syndrome management were not included.</w:t>
            </w:r>
            <w:r w:rsidR="00433D10">
              <w:t>*</w:t>
            </w:r>
          </w:p>
          <w:p w14:paraId="3B5EDBBA" w14:textId="77777777" w:rsidR="00C0310A" w:rsidRPr="00C52646" w:rsidRDefault="00C0310A">
            <w:pPr>
              <w:pStyle w:val="TableText"/>
              <w:keepNext w:val="0"/>
              <w:spacing w:after="60"/>
            </w:pPr>
            <w:r w:rsidRPr="00C52646">
              <w:t>Monitoring costs were based on the MBS fee for an ECG, assumed to occur at baseline for ibrutinib + venetoclax patients.</w:t>
            </w:r>
          </w:p>
          <w:p w14:paraId="41203F58" w14:textId="77777777" w:rsidR="00C0310A" w:rsidRPr="00C52646" w:rsidRDefault="00C0310A">
            <w:pPr>
              <w:pStyle w:val="TableText"/>
              <w:keepNext w:val="0"/>
              <w:spacing w:after="60"/>
            </w:pPr>
            <w:r w:rsidRPr="00C52646">
              <w:t>Adverse event costs were applied to the ibrutinib + venetoclax arm only, based on the incidence of atrial fibrillation in the CAPTIVATE study, and the DPMQ of apixaban.</w:t>
            </w:r>
          </w:p>
          <w:p w14:paraId="0D2AE578" w14:textId="4664D478" w:rsidR="00C0310A" w:rsidRPr="00C52646" w:rsidRDefault="00C0310A">
            <w:pPr>
              <w:pStyle w:val="COMTabletext"/>
            </w:pPr>
            <w:r w:rsidRPr="00C52646">
              <w:t>Discounted total costs associated with ibrutinib in the</w:t>
            </w:r>
            <w:r w:rsidR="00C7335D">
              <w:t xml:space="preserve"> R/R</w:t>
            </w:r>
            <w:r w:rsidRPr="00C52646">
              <w:t xml:space="preserve"> CLL/SLL model (Ibrutinib November 2016 PSD with addendum, November 2016 PBAC meeting) were applied to patients on disease progression, including the costs of ibrutinib (based on use in the RESONATE trial) and adverse event costs (based on the incidence of events in RESONATE and relevant AR-DRGs).</w:t>
            </w:r>
          </w:p>
        </w:tc>
      </w:tr>
      <w:tr w:rsidR="00C0310A" w:rsidRPr="00C52646" w14:paraId="3305C953" w14:textId="77777777" w:rsidTr="00B0153A">
        <w:tc>
          <w:tcPr>
            <w:tcW w:w="862" w:type="pct"/>
            <w:vAlign w:val="center"/>
          </w:tcPr>
          <w:p w14:paraId="5FD9C51D" w14:textId="77777777" w:rsidR="00C0310A" w:rsidRPr="00C52646" w:rsidRDefault="00C0310A">
            <w:pPr>
              <w:pStyle w:val="COMTabletext"/>
            </w:pPr>
            <w:r w:rsidRPr="00C52646">
              <w:t>Health outcomes</w:t>
            </w:r>
          </w:p>
        </w:tc>
        <w:tc>
          <w:tcPr>
            <w:tcW w:w="4138" w:type="pct"/>
          </w:tcPr>
          <w:p w14:paraId="406BDFC6" w14:textId="5979BC3D" w:rsidR="00C0310A" w:rsidRPr="00C52646" w:rsidRDefault="00C0310A">
            <w:pPr>
              <w:pStyle w:val="TableText"/>
              <w:spacing w:after="60"/>
            </w:pPr>
            <w:r w:rsidRPr="00C52646">
              <w:t xml:space="preserve">Progression-free utility </w:t>
            </w:r>
            <w:r w:rsidR="00D2108B">
              <w:t xml:space="preserve">(0.82) </w:t>
            </w:r>
            <w:r w:rsidRPr="00C52646">
              <w:t>was based on the utility of patients free of progression (off treatment) in a published economic evaluation (Howard 2017).</w:t>
            </w:r>
          </w:p>
          <w:p w14:paraId="05747A89" w14:textId="3317A2AD" w:rsidR="00C0310A" w:rsidRPr="00C52646" w:rsidRDefault="00D2108B">
            <w:pPr>
              <w:pStyle w:val="TableText"/>
              <w:spacing w:after="60"/>
            </w:pPr>
            <w:r>
              <w:t>On disease progression, patients ar</w:t>
            </w:r>
            <w:r w:rsidRPr="00D2108B">
              <w:t xml:space="preserve">e assigned the total discounted QALYs from the ibrutinib arm of the economic model </w:t>
            </w:r>
            <w:r>
              <w:t>used for</w:t>
            </w:r>
            <w:r w:rsidRPr="00D2108B">
              <w:t xml:space="preserve"> ibrutinib</w:t>
            </w:r>
            <w:r>
              <w:t xml:space="preserve"> in</w:t>
            </w:r>
            <w:r w:rsidRPr="00D2108B">
              <w:t xml:space="preserve"> </w:t>
            </w:r>
            <w:r w:rsidR="00307C5B">
              <w:t xml:space="preserve">R/R </w:t>
            </w:r>
            <w:r w:rsidRPr="00D2108B">
              <w:t xml:space="preserve">CLL/SLL </w:t>
            </w:r>
            <w:r w:rsidRPr="00C52646">
              <w:t>(Ibrutinib November 2016 PSD with addendum, November 2016 PBAC meeting)</w:t>
            </w:r>
            <w:r>
              <w:t>.</w:t>
            </w:r>
            <w:r w:rsidRPr="00C52646">
              <w:t xml:space="preserve"> </w:t>
            </w:r>
            <w:r>
              <w:t xml:space="preserve">As such, </w:t>
            </w:r>
            <w:r w:rsidR="00543D2B">
              <w:t>the</w:t>
            </w:r>
            <w:r>
              <w:t xml:space="preserve"> discounted </w:t>
            </w:r>
            <w:r w:rsidR="00543D2B">
              <w:t>QALYs</w:t>
            </w:r>
            <w:r>
              <w:t xml:space="preserve"> </w:t>
            </w:r>
            <w:r w:rsidR="00543D2B">
              <w:t>(</w:t>
            </w:r>
            <w:r>
              <w:t>3.559</w:t>
            </w:r>
            <w:r w:rsidR="00543D2B">
              <w:t>)</w:t>
            </w:r>
            <w:r>
              <w:t xml:space="preserve"> w</w:t>
            </w:r>
            <w:r w:rsidR="00543D2B">
              <w:t>ere</w:t>
            </w:r>
            <w:r>
              <w:t xml:space="preserve"> applied on progression</w:t>
            </w:r>
            <w:r w:rsidR="00515731">
              <w:t>,</w:t>
            </w:r>
            <w:r>
              <w:t xml:space="preserve"> </w:t>
            </w:r>
            <w:r w:rsidRPr="00C52646">
              <w:t>informed by utilities derived from individual patient data from the RESONATE trial</w:t>
            </w:r>
            <w:r>
              <w:t>: baseline utility (0.763), progression</w:t>
            </w:r>
            <w:r w:rsidR="0051352D">
              <w:t>-</w:t>
            </w:r>
            <w:r>
              <w:t>free (0.798) and progressive disease (0.735).</w:t>
            </w:r>
          </w:p>
          <w:p w14:paraId="608D97CF" w14:textId="0CE6206B" w:rsidR="00C0310A" w:rsidRPr="00C52646" w:rsidRDefault="00C0310A">
            <w:pPr>
              <w:pStyle w:val="COMTabletext"/>
            </w:pPr>
            <w:r w:rsidRPr="00C52646">
              <w:t xml:space="preserve">It was assumed that there is no utility loss due to treatment </w:t>
            </w:r>
            <w:r w:rsidR="007B434A">
              <w:t>toxicity</w:t>
            </w:r>
            <w:r w:rsidRPr="00C52646">
              <w:t>/adverse events.</w:t>
            </w:r>
          </w:p>
        </w:tc>
      </w:tr>
      <w:tr w:rsidR="00C0310A" w:rsidRPr="00C52646" w14:paraId="3DAF9729" w14:textId="77777777" w:rsidTr="00B0153A">
        <w:tc>
          <w:tcPr>
            <w:tcW w:w="862" w:type="pct"/>
            <w:vAlign w:val="center"/>
          </w:tcPr>
          <w:p w14:paraId="000948ED" w14:textId="77777777" w:rsidR="00C0310A" w:rsidRPr="00C52646" w:rsidRDefault="00C0310A">
            <w:pPr>
              <w:pStyle w:val="COMTabletext"/>
            </w:pPr>
            <w:r w:rsidRPr="00C52646">
              <w:t>Software package</w:t>
            </w:r>
          </w:p>
        </w:tc>
        <w:tc>
          <w:tcPr>
            <w:tcW w:w="4138" w:type="pct"/>
          </w:tcPr>
          <w:p w14:paraId="7F3F626B" w14:textId="77777777" w:rsidR="00C0310A" w:rsidRPr="00C52646" w:rsidRDefault="00C0310A">
            <w:pPr>
              <w:pStyle w:val="COMTabletext"/>
            </w:pPr>
            <w:r w:rsidRPr="00C52646">
              <w:t>TreeAge Pro (Healthcare) version 2022.1.2 and Microsoft Office 365 Excel</w:t>
            </w:r>
          </w:p>
        </w:tc>
      </w:tr>
    </w:tbl>
    <w:p w14:paraId="1446E3ED" w14:textId="03DC17B9" w:rsidR="00C0310A" w:rsidRDefault="00C0310A" w:rsidP="006C64C0">
      <w:pPr>
        <w:pStyle w:val="COMTablefooter"/>
        <w:spacing w:after="0"/>
      </w:pPr>
      <w:r w:rsidRPr="00C52646">
        <w:t>Source: Table 3-1, p167 of the submission</w:t>
      </w:r>
      <w:r w:rsidR="00155719">
        <w:t>.</w:t>
      </w:r>
    </w:p>
    <w:p w14:paraId="2D86D8FE" w14:textId="50B54CFF" w:rsidR="00433D10" w:rsidRPr="00702868" w:rsidRDefault="00433D10" w:rsidP="006C64C0">
      <w:pPr>
        <w:rPr>
          <w:szCs w:val="18"/>
        </w:rPr>
      </w:pPr>
      <w:r w:rsidRPr="006C64C0">
        <w:rPr>
          <w:rFonts w:ascii="Arial Narrow" w:hAnsi="Arial Narrow"/>
          <w:sz w:val="18"/>
          <w:szCs w:val="18"/>
        </w:rPr>
        <w:t>*Note: Revisions to these parameters were made in the revised economic model submitted with the pre-PBAC response.</w:t>
      </w:r>
    </w:p>
    <w:p w14:paraId="7EA2C160" w14:textId="77777777" w:rsidR="00C0310A" w:rsidRPr="00C52646" w:rsidRDefault="00C0310A" w:rsidP="00C0310A">
      <w:pPr>
        <w:pStyle w:val="COMTablefooter"/>
      </w:pPr>
      <w:r w:rsidRPr="00C52646">
        <w:t>Abbreviations: ABS, Australian Bureau of Statistics; CLL, chronic lymphocytic leukaemia; SLL, small lymphocytic lymphoma.</w:t>
      </w:r>
    </w:p>
    <w:p w14:paraId="6ABBFF3C" w14:textId="23D68002" w:rsidR="00C0310A" w:rsidRPr="003967D3" w:rsidRDefault="00C0310A" w:rsidP="00E255C7">
      <w:pPr>
        <w:pStyle w:val="COMexecsumnumberedpara"/>
        <w:rPr>
          <w:iCs/>
        </w:rPr>
      </w:pPr>
      <w:r w:rsidRPr="00C52646">
        <w:lastRenderedPageBreak/>
        <w:t xml:space="preserve">The submission nominated a 20-year time horizon </w:t>
      </w:r>
      <w:r w:rsidR="00C7335D">
        <w:t xml:space="preserve">for the economic model </w:t>
      </w:r>
      <w:r w:rsidRPr="00C52646">
        <w:t>on the basis that this was appropriate to capture the majority of costs and benefits in a population with previously untreated CLL and an average age of 58 years at model entry.</w:t>
      </w:r>
      <w:r w:rsidRPr="003967D3">
        <w:rPr>
          <w:iCs/>
        </w:rPr>
        <w:t xml:space="preserve"> </w:t>
      </w:r>
      <w:r w:rsidRPr="00C52646">
        <w:t>The submission argued that the patient population is younger and fitter than in previously untreated CLL/SLL populations for which the PBAC has preferred shorter time horizons of 10 years, which were based on either unfit, older, more frail patients (</w:t>
      </w:r>
      <w:r w:rsidR="00703B40">
        <w:t xml:space="preserve">venetoclax PSD, </w:t>
      </w:r>
      <w:r w:rsidRPr="00C52646">
        <w:t xml:space="preserve">March 2020 </w:t>
      </w:r>
      <w:r w:rsidR="00703B40">
        <w:t>PBAC meeting</w:t>
      </w:r>
      <w:r w:rsidRPr="00C52646">
        <w:t xml:space="preserve">, </w:t>
      </w:r>
      <w:r w:rsidR="00703B40">
        <w:t xml:space="preserve">acalabrutinib PSD, </w:t>
      </w:r>
      <w:r w:rsidRPr="00C52646">
        <w:t xml:space="preserve">July 2020 </w:t>
      </w:r>
      <w:r w:rsidR="00703B40">
        <w:t>PBAC meeting</w:t>
      </w:r>
      <w:r w:rsidRPr="00C52646">
        <w:t>), or those with adverse features such as del17p mutation (</w:t>
      </w:r>
      <w:r w:rsidR="00703B40">
        <w:t xml:space="preserve">ibrutinib PSD, </w:t>
      </w:r>
      <w:r w:rsidRPr="00C52646">
        <w:t xml:space="preserve">November 2019 </w:t>
      </w:r>
      <w:r w:rsidR="00703B40">
        <w:t>PBAC meeting</w:t>
      </w:r>
      <w:r w:rsidRPr="00C52646">
        <w:t xml:space="preserve">). </w:t>
      </w:r>
      <w:r w:rsidRPr="001434A1">
        <w:t xml:space="preserve">While </w:t>
      </w:r>
      <w:r w:rsidR="000C06F0" w:rsidRPr="001434A1">
        <w:t xml:space="preserve">the ESC considered the 20-year </w:t>
      </w:r>
      <w:r w:rsidRPr="001434A1">
        <w:t>horizon may be appropriate</w:t>
      </w:r>
      <w:r w:rsidR="000C06F0" w:rsidRPr="001434A1">
        <w:t xml:space="preserve"> given the patient population </w:t>
      </w:r>
      <w:r w:rsidR="00156CB8" w:rsidRPr="001434A1">
        <w:t>comprises</w:t>
      </w:r>
      <w:r w:rsidR="000C06F0" w:rsidRPr="001434A1">
        <w:t xml:space="preserve"> younger and fitter patients</w:t>
      </w:r>
      <w:r w:rsidRPr="001434A1">
        <w:t xml:space="preserve">, </w:t>
      </w:r>
      <w:r w:rsidR="005C5420" w:rsidRPr="001434A1">
        <w:t>it also</w:t>
      </w:r>
      <w:r w:rsidR="000C06F0" w:rsidRPr="001434A1">
        <w:t xml:space="preserve"> considered the longer time horizon</w:t>
      </w:r>
      <w:r w:rsidRPr="001434A1">
        <w:t xml:space="preserve"> </w:t>
      </w:r>
      <w:r w:rsidR="00156CB8" w:rsidRPr="001434A1">
        <w:t>was</w:t>
      </w:r>
      <w:r w:rsidRPr="001434A1">
        <w:t xml:space="preserve"> associated with additional uncertainty given the extrapolation of outcomes based on a median follow-up of 39 months for ibrutinib + venetoclax.</w:t>
      </w:r>
    </w:p>
    <w:p w14:paraId="493B8D38" w14:textId="1F630530" w:rsidR="00C0310A" w:rsidRPr="00C52646" w:rsidRDefault="00C0310A" w:rsidP="00E255C7">
      <w:pPr>
        <w:pStyle w:val="COMexecsumnumberedpara"/>
      </w:pPr>
      <w:r w:rsidRPr="00C52646">
        <w:fldChar w:fldCharType="begin" w:fldLock="1"/>
      </w:r>
      <w:r w:rsidRPr="00C52646">
        <w:instrText xml:space="preserve"> REF _Ref113023784 \h </w:instrText>
      </w:r>
      <w:r w:rsidRPr="00C52646">
        <w:fldChar w:fldCharType="separate"/>
      </w:r>
      <w:r w:rsidR="00B22386" w:rsidRPr="00C52646">
        <w:t xml:space="preserve">Figure </w:t>
      </w:r>
      <w:r w:rsidR="00B22386">
        <w:rPr>
          <w:noProof/>
        </w:rPr>
        <w:t>4</w:t>
      </w:r>
      <w:r w:rsidRPr="00C52646">
        <w:fldChar w:fldCharType="end"/>
      </w:r>
      <w:r w:rsidRPr="00C52646">
        <w:t xml:space="preserve"> </w:t>
      </w:r>
      <w:r w:rsidRPr="000725BD">
        <w:t>illustrates</w:t>
      </w:r>
      <w:r w:rsidRPr="00C52646">
        <w:t xml:space="preserve"> the structure of the economic model.</w:t>
      </w:r>
    </w:p>
    <w:p w14:paraId="0CA570D1" w14:textId="138A1A60" w:rsidR="00C0310A" w:rsidRPr="00C52646" w:rsidRDefault="00C0310A" w:rsidP="00E36967">
      <w:pPr>
        <w:pStyle w:val="Caption"/>
        <w:spacing w:before="240"/>
      </w:pPr>
      <w:bookmarkStart w:id="62" w:name="_Ref113023784"/>
      <w:r w:rsidRPr="00C52646">
        <w:t xml:space="preserve">Figure </w:t>
      </w:r>
      <w:fldSimple w:instr=" SEQ Figure \* ARABIC " w:fldLock="1">
        <w:r w:rsidR="00B22386">
          <w:rPr>
            <w:noProof/>
          </w:rPr>
          <w:t>4</w:t>
        </w:r>
      </w:fldSimple>
      <w:bookmarkEnd w:id="62"/>
      <w:r w:rsidRPr="00C52646">
        <w:t>: Structure of the Markov model</w:t>
      </w:r>
    </w:p>
    <w:p w14:paraId="41E5C2BD" w14:textId="77777777" w:rsidR="00C0310A" w:rsidRPr="00C52646" w:rsidRDefault="00C0310A" w:rsidP="00C0310A">
      <w:pPr>
        <w:rPr>
          <w:color w:val="3366FF"/>
        </w:rPr>
      </w:pPr>
      <w:r w:rsidRPr="00C52646">
        <w:rPr>
          <w:noProof/>
        </w:rPr>
        <w:drawing>
          <wp:inline distT="0" distB="0" distL="0" distR="0" wp14:anchorId="51069869" wp14:editId="0511DD46">
            <wp:extent cx="5688000" cy="1213200"/>
            <wp:effectExtent l="0" t="0" r="0" b="6350"/>
            <wp:docPr id="32" name="Picture 3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Wor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688000" cy="1213200"/>
                    </a:xfrm>
                    <a:prstGeom prst="rect">
                      <a:avLst/>
                    </a:prstGeom>
                    <a:noFill/>
                    <a:ln>
                      <a:noFill/>
                    </a:ln>
                    <a:extLst>
                      <a:ext uri="{53640926-AAD7-44D8-BBD7-CCE9431645EC}">
                        <a14:shadowObscured xmlns:a14="http://schemas.microsoft.com/office/drawing/2010/main"/>
                      </a:ext>
                    </a:extLst>
                  </pic:spPr>
                </pic:pic>
              </a:graphicData>
            </a:graphic>
          </wp:inline>
        </w:drawing>
      </w:r>
    </w:p>
    <w:p w14:paraId="266CAB12" w14:textId="00A2508E" w:rsidR="00C0310A" w:rsidRPr="00C52646" w:rsidRDefault="00C0310A" w:rsidP="00C0310A">
      <w:pPr>
        <w:pStyle w:val="COMTablefooter"/>
      </w:pPr>
      <w:r w:rsidRPr="00C52646">
        <w:t>Source: Figure 3-2, p 172 of the submission</w:t>
      </w:r>
      <w:r w:rsidR="00155719">
        <w:t>.</w:t>
      </w:r>
    </w:p>
    <w:p w14:paraId="31EBA649" w14:textId="77777777" w:rsidR="00C0310A" w:rsidRPr="00C52646" w:rsidRDefault="00C0310A" w:rsidP="00E36967">
      <w:pPr>
        <w:pStyle w:val="COMTablefooter"/>
        <w:spacing w:after="240"/>
      </w:pPr>
      <w:r w:rsidRPr="00C52646">
        <w:t xml:space="preserve">Abbreviations: CLL/SLL, chronic lymphocytic leukaemia/small lymphocytic lymphoma; FCR, fludarabine, cyclophosphamide, and rituximab </w:t>
      </w:r>
    </w:p>
    <w:p w14:paraId="385702B4" w14:textId="77777777" w:rsidR="00C0310A" w:rsidRPr="00C52646" w:rsidRDefault="00C0310A" w:rsidP="007B434A">
      <w:pPr>
        <w:pStyle w:val="COMexecsumnumberedpara"/>
        <w:spacing w:after="0"/>
      </w:pPr>
      <w:r w:rsidRPr="00C52646">
        <w:t>Patients enter the model upon initiation of first-line treatment in the progression-free health state. Patients can either remain in the progression-free health state, or transition to the progressed/dead health state. Patients can transition into the progressed/dead health state via either:</w:t>
      </w:r>
    </w:p>
    <w:p w14:paraId="7D0F9877" w14:textId="1312B4AD" w:rsidR="00C0310A" w:rsidRPr="00C52646" w:rsidRDefault="00C0310A" w:rsidP="001104CE">
      <w:pPr>
        <w:pStyle w:val="COMexecsumnumberedpara"/>
        <w:numPr>
          <w:ilvl w:val="0"/>
          <w:numId w:val="9"/>
        </w:numPr>
        <w:spacing w:after="0"/>
        <w:ind w:left="1077" w:hanging="357"/>
      </w:pPr>
      <w:r w:rsidRPr="00C52646">
        <w:t xml:space="preserve">Experiencing progression of disease, where they are assigned costs and outcomes based on the results of the </w:t>
      </w:r>
      <w:r w:rsidR="00307C5B">
        <w:t xml:space="preserve">R/R </w:t>
      </w:r>
      <w:r w:rsidRPr="00C52646">
        <w:t>ibrutinib model in the submission recommended by the PBAC (Ibrutinib November 2016 PSD with addendum, November 2016 PBAC meeting).</w:t>
      </w:r>
    </w:p>
    <w:p w14:paraId="5A590EB5" w14:textId="77777777" w:rsidR="00C0310A" w:rsidRPr="00C52646" w:rsidRDefault="00C0310A" w:rsidP="001104CE">
      <w:pPr>
        <w:pStyle w:val="COMexecsumnumberedpara"/>
        <w:numPr>
          <w:ilvl w:val="0"/>
          <w:numId w:val="9"/>
        </w:numPr>
        <w:ind w:left="1077" w:hanging="357"/>
      </w:pPr>
      <w:r w:rsidRPr="00C52646">
        <w:t>Dying due to general population mortality.</w:t>
      </w:r>
    </w:p>
    <w:p w14:paraId="25960ACD" w14:textId="77777777" w:rsidR="00C0310A" w:rsidRPr="00C52646" w:rsidRDefault="00C0310A" w:rsidP="00E255C7">
      <w:pPr>
        <w:pStyle w:val="COMexecsumnumberedpara"/>
      </w:pPr>
      <w:r w:rsidRPr="00C52646">
        <w:t>The progressed/dead health state is the absorbing state in the Markov model, with no further transitions included in the economic model.</w:t>
      </w:r>
    </w:p>
    <w:p w14:paraId="76690BB5" w14:textId="480D6114" w:rsidR="00F71532" w:rsidRPr="00F71532" w:rsidRDefault="00C0310A" w:rsidP="00F71532">
      <w:pPr>
        <w:pStyle w:val="COMexecsumnumberedpara"/>
      </w:pPr>
      <w:r w:rsidRPr="003967D3">
        <w:t xml:space="preserve">The </w:t>
      </w:r>
      <w:r w:rsidR="00C052F5">
        <w:t xml:space="preserve">evaluation and the ESC considered that the </w:t>
      </w:r>
      <w:r w:rsidRPr="003967D3">
        <w:t xml:space="preserve">submission did not adequately justify the use of a 2-health state </w:t>
      </w:r>
      <w:r w:rsidR="00033EC8" w:rsidRPr="003967D3">
        <w:t>model but</w:t>
      </w:r>
      <w:r w:rsidRPr="003967D3">
        <w:t xml:space="preserve"> noted that overall survival in the FD cohort of the CAPTIVATE study </w:t>
      </w:r>
      <w:r w:rsidR="00F71532">
        <w:t>wa</w:t>
      </w:r>
      <w:r w:rsidRPr="003967D3">
        <w:t>s immature, which precluded the development of an acceptable partitioned survival analysis model.</w:t>
      </w:r>
      <w:r w:rsidRPr="00C52646">
        <w:t xml:space="preserve"> </w:t>
      </w:r>
      <w:r w:rsidR="00F71532" w:rsidRPr="00F71532">
        <w:t xml:space="preserve">The ibrutinib R/R CLL/SLL model, which informs the progressed/dead health state, was a 3-state model (progression-free, progressive disease, dead) over a 10-year time horizon, based on evidence from the </w:t>
      </w:r>
      <w:r w:rsidR="00F71532" w:rsidRPr="00F71532">
        <w:lastRenderedPageBreak/>
        <w:t>RESONATE trial, which compared ibrutinib with ofatumumab in R/R CLL/SLL. The applicability of this evidence to the population included in the first-line model once they progress was not addressed in the submission, and it is not clear whether these populations align.</w:t>
      </w:r>
    </w:p>
    <w:p w14:paraId="0BE2232D" w14:textId="2F078D57" w:rsidR="00F71532" w:rsidRDefault="00F71532" w:rsidP="00F71532">
      <w:pPr>
        <w:pStyle w:val="COMexecsumnumberedpara"/>
      </w:pPr>
      <w:r>
        <w:t>The submission claimed that by assigning the previously accepted outcomes for patients with R/R CLL/SLL, the model structure was able to adequately capture the disease pathway and introduce as few additional assumptions as possible beyond what has previously been accepted. The PSCR and pre-PBAC response further argued that the costs and benefits associated with ibrutinib in the R/R setting can be considered representative of costs and outcomes for other BTKis or venetoclax in the R/R setting given that the therapies have been listed on a cost-minimisation basis relative to each other; and the submission assumed ibrutinib + venetoclax in the first-line setting does not impact on the efficacy of downstream interventions.</w:t>
      </w:r>
    </w:p>
    <w:p w14:paraId="3A38CEE2" w14:textId="77777777" w:rsidR="00F71532" w:rsidRDefault="00F71532" w:rsidP="00F71532">
      <w:pPr>
        <w:pStyle w:val="COMexecsumnumberedpara"/>
      </w:pPr>
      <w:r>
        <w:t>The ESC considered the two-state model structure was overly simplistic and unlikely to reflect the costs and consequences of previously untreated CLL/SLL patients who are likely to experience multiple lines of subsequent therapy and periods of disease remission and relapse over their lifetime. The PBAC considered it was unclear whether the health outcomes associated with ibrutinib in the BTK inhibitor-naïve R/R setting of the ibrutinib R/R submission will be the same as the proposed population once they have progressed.</w:t>
      </w:r>
    </w:p>
    <w:p w14:paraId="6817623D" w14:textId="5351E1C8" w:rsidR="008D145F" w:rsidRPr="001434A1" w:rsidRDefault="00F71532" w:rsidP="00F71532">
      <w:pPr>
        <w:pStyle w:val="COMexecsumnumberedpara"/>
      </w:pPr>
      <w:r>
        <w:t xml:space="preserve">The pre-PBAC response provided two example models </w:t>
      </w:r>
      <w:r w:rsidR="008D145F">
        <w:t>to demonstrate that the two-state model approach proposed, with costs and QALYs being applied from a separate R/R model,</w:t>
      </w:r>
      <w:r w:rsidR="004A73A0">
        <w:t xml:space="preserve"> </w:t>
      </w:r>
      <w:r w:rsidR="00E94A90">
        <w:t>generate</w:t>
      </w:r>
      <w:r w:rsidR="008D145F">
        <w:t>s</w:t>
      </w:r>
      <w:r w:rsidR="00E94A90">
        <w:t xml:space="preserve"> consistent results </w:t>
      </w:r>
      <w:r w:rsidR="008D145F">
        <w:t>(</w:t>
      </w:r>
      <w:r w:rsidR="00E94A90">
        <w:t>in terms of costs and QALYs</w:t>
      </w:r>
      <w:r w:rsidR="008D145F">
        <w:t xml:space="preserve">) to a more complex Markov model </w:t>
      </w:r>
      <w:r w:rsidR="008D145F" w:rsidRPr="008D145F">
        <w:t>that includes the transitions from the R/R model</w:t>
      </w:r>
      <w:r w:rsidR="008D145F">
        <w:t xml:space="preserve">. The pre-PBAC response stated </w:t>
      </w:r>
      <w:r w:rsidR="004A73A0">
        <w:t xml:space="preserve">that this </w:t>
      </w:r>
      <w:r w:rsidR="008D145F">
        <w:t>“</w:t>
      </w:r>
      <w:r w:rsidR="00E94A90">
        <w:t>demonstrate</w:t>
      </w:r>
      <w:r w:rsidR="004A73A0">
        <w:t>s</w:t>
      </w:r>
      <w:r w:rsidR="00E94A90">
        <w:t xml:space="preserve"> the validity of the submitted two-state model compared to alternative more complex approaches</w:t>
      </w:r>
      <w:r w:rsidR="008D145F">
        <w:t>”</w:t>
      </w:r>
      <w:r w:rsidR="00E94A90">
        <w:t xml:space="preserve">. As the example models were not evaluated it was not possible to determine the accuracy of these statements.  </w:t>
      </w:r>
    </w:p>
    <w:p w14:paraId="06E75A2E" w14:textId="2BC7FA4C" w:rsidR="00C0310A" w:rsidRPr="00800E22" w:rsidRDefault="00C0310A" w:rsidP="00E255C7">
      <w:pPr>
        <w:pStyle w:val="COMexecsumnumberedpara"/>
      </w:pPr>
      <w:r w:rsidRPr="00800E22">
        <w:t xml:space="preserve">Key drivers of the economic model are summarised in </w:t>
      </w:r>
      <w:r w:rsidRPr="00800E22">
        <w:fldChar w:fldCharType="begin" w:fldLock="1"/>
      </w:r>
      <w:r w:rsidRPr="00800E22">
        <w:instrText xml:space="preserve"> REF _Ref104805122 \h  \* MERGEFORMAT </w:instrText>
      </w:r>
      <w:r w:rsidRPr="00800E22">
        <w:fldChar w:fldCharType="separate"/>
      </w:r>
      <w:r w:rsidR="00B22386" w:rsidRPr="00C52646">
        <w:t xml:space="preserve">Table </w:t>
      </w:r>
      <w:r w:rsidR="00B22386">
        <w:t>9</w:t>
      </w:r>
      <w:r w:rsidRPr="00800E22">
        <w:fldChar w:fldCharType="end"/>
      </w:r>
      <w:r w:rsidRPr="00800E22">
        <w:t xml:space="preserve"> below.</w:t>
      </w:r>
    </w:p>
    <w:p w14:paraId="747B4AC9" w14:textId="004D2630" w:rsidR="00C0310A" w:rsidRPr="00C52646" w:rsidRDefault="00C0310A" w:rsidP="00C0310A">
      <w:pPr>
        <w:pStyle w:val="COMtablefigcaption"/>
      </w:pPr>
      <w:bookmarkStart w:id="63" w:name="_Ref104805122"/>
      <w:r w:rsidRPr="00C52646">
        <w:lastRenderedPageBreak/>
        <w:t xml:space="preserve">Table </w:t>
      </w:r>
      <w:fldSimple w:instr=" SEQ Table \* ARABIC " w:fldLock="1">
        <w:r w:rsidR="00B22386">
          <w:rPr>
            <w:noProof/>
          </w:rPr>
          <w:t>9</w:t>
        </w:r>
      </w:fldSimple>
      <w:bookmarkEnd w:id="63"/>
      <w:r w:rsidRPr="00C5264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554"/>
        <w:gridCol w:w="6379"/>
        <w:gridCol w:w="1084"/>
      </w:tblGrid>
      <w:tr w:rsidR="00C0310A" w:rsidRPr="00C52646" w14:paraId="4368BE9E" w14:textId="77777777">
        <w:trPr>
          <w:tblHeader/>
        </w:trPr>
        <w:tc>
          <w:tcPr>
            <w:tcW w:w="862" w:type="pct"/>
            <w:shd w:val="clear" w:color="auto" w:fill="auto"/>
            <w:vAlign w:val="center"/>
          </w:tcPr>
          <w:p w14:paraId="38F0E413" w14:textId="77777777" w:rsidR="00C0310A" w:rsidRPr="00C52646" w:rsidRDefault="00C0310A">
            <w:pPr>
              <w:pStyle w:val="Tableheadingrow"/>
              <w:jc w:val="center"/>
              <w:rPr>
                <w:szCs w:val="20"/>
                <w:lang w:val="en-AU"/>
              </w:rPr>
            </w:pPr>
            <w:r w:rsidRPr="00C52646">
              <w:rPr>
                <w:szCs w:val="20"/>
                <w:lang w:val="en-AU"/>
              </w:rPr>
              <w:t>Description</w:t>
            </w:r>
          </w:p>
        </w:tc>
        <w:tc>
          <w:tcPr>
            <w:tcW w:w="3537" w:type="pct"/>
            <w:shd w:val="clear" w:color="auto" w:fill="auto"/>
            <w:vAlign w:val="center"/>
          </w:tcPr>
          <w:p w14:paraId="0C6A8BD7" w14:textId="77777777" w:rsidR="00C0310A" w:rsidRPr="00C52646" w:rsidRDefault="00C0310A">
            <w:pPr>
              <w:pStyle w:val="Tableheadingrow"/>
              <w:jc w:val="center"/>
              <w:rPr>
                <w:szCs w:val="20"/>
                <w:lang w:val="en-AU"/>
              </w:rPr>
            </w:pPr>
            <w:r w:rsidRPr="00C52646">
              <w:rPr>
                <w:szCs w:val="20"/>
                <w:lang w:val="en-AU"/>
              </w:rPr>
              <w:t>Method/Value</w:t>
            </w:r>
          </w:p>
        </w:tc>
        <w:tc>
          <w:tcPr>
            <w:tcW w:w="601" w:type="pct"/>
            <w:shd w:val="clear" w:color="auto" w:fill="auto"/>
            <w:vAlign w:val="center"/>
          </w:tcPr>
          <w:p w14:paraId="6E836FE6" w14:textId="77777777" w:rsidR="00C0310A" w:rsidRPr="00C52646" w:rsidRDefault="00C0310A">
            <w:pPr>
              <w:pStyle w:val="Tableheadingrow"/>
              <w:jc w:val="center"/>
              <w:rPr>
                <w:szCs w:val="20"/>
                <w:lang w:val="en-AU"/>
              </w:rPr>
            </w:pPr>
            <w:r w:rsidRPr="00C52646">
              <w:rPr>
                <w:szCs w:val="20"/>
                <w:lang w:val="en-AU"/>
              </w:rPr>
              <w:t>Impact</w:t>
            </w:r>
          </w:p>
        </w:tc>
      </w:tr>
      <w:tr w:rsidR="00C0310A" w:rsidRPr="003967D3" w14:paraId="39DB1F13" w14:textId="77777777">
        <w:tc>
          <w:tcPr>
            <w:tcW w:w="862" w:type="pct"/>
            <w:shd w:val="clear" w:color="auto" w:fill="auto"/>
          </w:tcPr>
          <w:p w14:paraId="24659B2D" w14:textId="77777777" w:rsidR="00C0310A" w:rsidRPr="003967D3" w:rsidRDefault="00C0310A">
            <w:pPr>
              <w:pStyle w:val="TableText"/>
              <w:rPr>
                <w:szCs w:val="20"/>
              </w:rPr>
            </w:pPr>
            <w:r w:rsidRPr="003967D3">
              <w:rPr>
                <w:szCs w:val="20"/>
              </w:rPr>
              <w:t>Probability of disease progression</w:t>
            </w:r>
          </w:p>
        </w:tc>
        <w:tc>
          <w:tcPr>
            <w:tcW w:w="3537" w:type="pct"/>
            <w:shd w:val="clear" w:color="auto" w:fill="auto"/>
          </w:tcPr>
          <w:p w14:paraId="3F470B36" w14:textId="77777777" w:rsidR="00F71532" w:rsidRDefault="00C0310A">
            <w:pPr>
              <w:keepNext/>
              <w:spacing w:after="60"/>
              <w:jc w:val="left"/>
              <w:rPr>
                <w:rFonts w:ascii="Arial Narrow" w:hAnsi="Arial Narrow"/>
                <w:sz w:val="20"/>
                <w:szCs w:val="20"/>
              </w:rPr>
            </w:pPr>
            <w:r w:rsidRPr="003967D3">
              <w:rPr>
                <w:rFonts w:ascii="Arial Narrow" w:hAnsi="Arial Narrow"/>
                <w:sz w:val="20"/>
                <w:szCs w:val="20"/>
              </w:rPr>
              <w:t xml:space="preserve">The probabilities of disease progression were based on Kaplan Meier progression-free survival data from two separate sources, the FD cohort of the CAPTIVATE study (ibrutinib + venetoclax) and the FCR arm of the ECOG1912 trial, which were combined into a single analysis without any further statistical adjustment (a naïve comparison), assuming that the only difference between treatment groups was due to the treatment effects rather than any other differences between studies. </w:t>
            </w:r>
          </w:p>
          <w:p w14:paraId="13826A6F" w14:textId="760C9A70" w:rsidR="00C0310A" w:rsidRPr="003967D3" w:rsidRDefault="00C0310A">
            <w:pPr>
              <w:keepNext/>
              <w:spacing w:after="60"/>
              <w:jc w:val="left"/>
              <w:rPr>
                <w:rFonts w:ascii="Arial Narrow" w:hAnsi="Arial Narrow"/>
                <w:iCs/>
                <w:sz w:val="20"/>
                <w:szCs w:val="20"/>
              </w:rPr>
            </w:pPr>
            <w:r w:rsidRPr="003967D3">
              <w:rPr>
                <w:rFonts w:ascii="Arial Narrow" w:hAnsi="Arial Narrow"/>
                <w:sz w:val="20"/>
                <w:szCs w:val="20"/>
              </w:rPr>
              <w:t xml:space="preserve">A single parametric model (generalised gamma) was used to extrapolate PFS data beyond the duration of the studies, with treatment group included as a covariate, assuming proportional hazards. </w:t>
            </w:r>
            <w:r w:rsidRPr="00E36967">
              <w:rPr>
                <w:rFonts w:ascii="Arial Narrow" w:hAnsi="Arial Narrow"/>
                <w:iCs/>
                <w:sz w:val="20"/>
                <w:szCs w:val="20"/>
              </w:rPr>
              <w:t xml:space="preserve">This was not adequately justified in the submission, an assessment of the proportional hazards assumption was not conducted, and </w:t>
            </w:r>
            <w:r w:rsidR="00A55E82" w:rsidRPr="001434A1">
              <w:rPr>
                <w:rFonts w:ascii="Arial Narrow" w:hAnsi="Arial Narrow"/>
                <w:sz w:val="20"/>
                <w:szCs w:val="20"/>
              </w:rPr>
              <w:t xml:space="preserve">the </w:t>
            </w:r>
            <w:r w:rsidR="00497624" w:rsidRPr="001434A1">
              <w:rPr>
                <w:rFonts w:ascii="Arial Narrow" w:hAnsi="Arial Narrow"/>
                <w:sz w:val="20"/>
                <w:szCs w:val="20"/>
              </w:rPr>
              <w:t xml:space="preserve">evaluation and the </w:t>
            </w:r>
            <w:r w:rsidR="00A55E82" w:rsidRPr="001434A1">
              <w:rPr>
                <w:rFonts w:ascii="Arial Narrow" w:hAnsi="Arial Narrow"/>
                <w:sz w:val="20"/>
                <w:szCs w:val="20"/>
              </w:rPr>
              <w:t xml:space="preserve">ESC considered </w:t>
            </w:r>
            <w:r w:rsidRPr="001434A1">
              <w:rPr>
                <w:rFonts w:ascii="Arial Narrow" w:hAnsi="Arial Narrow"/>
                <w:sz w:val="20"/>
                <w:szCs w:val="20"/>
              </w:rPr>
              <w:t>none of the parametric models were a good</w:t>
            </w:r>
            <w:r w:rsidR="00A55E82" w:rsidRPr="001434A1">
              <w:rPr>
                <w:rFonts w:ascii="Arial Narrow" w:hAnsi="Arial Narrow"/>
                <w:sz w:val="20"/>
                <w:szCs w:val="20"/>
              </w:rPr>
              <w:t xml:space="preserve"> visual</w:t>
            </w:r>
            <w:r w:rsidRPr="001434A1">
              <w:rPr>
                <w:rFonts w:ascii="Arial Narrow" w:hAnsi="Arial Narrow"/>
                <w:sz w:val="20"/>
                <w:szCs w:val="20"/>
              </w:rPr>
              <w:t xml:space="preserve"> fit for the ibrutinib + venetoclax Kaplan Meier data</w:t>
            </w:r>
            <w:r w:rsidRPr="00E36967">
              <w:rPr>
                <w:rFonts w:ascii="Arial Narrow" w:hAnsi="Arial Narrow"/>
                <w:iCs/>
                <w:sz w:val="20"/>
                <w:szCs w:val="20"/>
              </w:rPr>
              <w:t>.</w:t>
            </w:r>
            <w:r w:rsidRPr="003967D3">
              <w:rPr>
                <w:rFonts w:ascii="Arial Narrow" w:hAnsi="Arial Narrow"/>
                <w:iCs/>
                <w:sz w:val="20"/>
                <w:szCs w:val="20"/>
              </w:rPr>
              <w:t xml:space="preserve"> </w:t>
            </w:r>
            <w:r w:rsidR="00C07E73" w:rsidRPr="001434A1">
              <w:rPr>
                <w:rFonts w:ascii="Arial Narrow" w:hAnsi="Arial Narrow"/>
                <w:sz w:val="20"/>
                <w:szCs w:val="20"/>
              </w:rPr>
              <w:t>The ESC noted that the PSCR</w:t>
            </w:r>
            <w:r w:rsidR="00FE21E8" w:rsidRPr="001434A1">
              <w:rPr>
                <w:rFonts w:ascii="Arial Narrow" w:hAnsi="Arial Narrow"/>
                <w:sz w:val="20"/>
                <w:szCs w:val="20"/>
              </w:rPr>
              <w:t xml:space="preserve"> </w:t>
            </w:r>
            <w:r w:rsidR="00C07E73" w:rsidRPr="001434A1">
              <w:rPr>
                <w:rFonts w:ascii="Arial Narrow" w:hAnsi="Arial Narrow"/>
                <w:sz w:val="20"/>
                <w:szCs w:val="20"/>
              </w:rPr>
              <w:t xml:space="preserve">provided an assessment of proportional hazards that suggested the proportional hazards assumption was not violated. </w:t>
            </w:r>
            <w:r w:rsidRPr="003967D3">
              <w:rPr>
                <w:rFonts w:ascii="Arial Narrow" w:hAnsi="Arial Narrow"/>
                <w:iCs/>
                <w:sz w:val="20"/>
                <w:szCs w:val="20"/>
              </w:rPr>
              <w:t>The submission did not explore the use of more flexible approaches</w:t>
            </w:r>
            <w:r w:rsidRPr="001434A1">
              <w:rPr>
                <w:rFonts w:ascii="Arial Narrow" w:hAnsi="Arial Narrow"/>
                <w:sz w:val="20"/>
                <w:szCs w:val="20"/>
              </w:rPr>
              <w:t xml:space="preserve">, </w:t>
            </w:r>
            <w:r w:rsidR="00E631E0" w:rsidRPr="001434A1">
              <w:rPr>
                <w:rFonts w:ascii="Arial Narrow" w:hAnsi="Arial Narrow"/>
                <w:sz w:val="20"/>
                <w:szCs w:val="20"/>
              </w:rPr>
              <w:t xml:space="preserve">however </w:t>
            </w:r>
            <w:r w:rsidR="00D97F7B" w:rsidRPr="001434A1">
              <w:rPr>
                <w:rFonts w:ascii="Arial Narrow" w:hAnsi="Arial Narrow"/>
                <w:sz w:val="20"/>
                <w:szCs w:val="20"/>
              </w:rPr>
              <w:t xml:space="preserve">flexible parametric curves were assessed in </w:t>
            </w:r>
            <w:r w:rsidR="00E631E0" w:rsidRPr="001434A1">
              <w:rPr>
                <w:rFonts w:ascii="Arial Narrow" w:hAnsi="Arial Narrow"/>
                <w:sz w:val="20"/>
                <w:szCs w:val="20"/>
              </w:rPr>
              <w:t xml:space="preserve">the PSCR </w:t>
            </w:r>
            <w:r w:rsidR="00D97F7B" w:rsidRPr="001434A1">
              <w:rPr>
                <w:rFonts w:ascii="Arial Narrow" w:hAnsi="Arial Narrow"/>
                <w:sz w:val="20"/>
                <w:szCs w:val="20"/>
              </w:rPr>
              <w:t xml:space="preserve">with the PSCR stating that this approach </w:t>
            </w:r>
            <w:r w:rsidR="00E631E0" w:rsidRPr="001434A1">
              <w:rPr>
                <w:rFonts w:ascii="Arial Narrow" w:hAnsi="Arial Narrow"/>
                <w:sz w:val="20"/>
                <w:szCs w:val="20"/>
              </w:rPr>
              <w:t>did not result in a better fit than the standard parametric models.</w:t>
            </w:r>
            <w:r w:rsidR="00E631E0">
              <w:rPr>
                <w:rFonts w:ascii="Arial Narrow" w:hAnsi="Arial Narrow"/>
                <w:iCs/>
                <w:sz w:val="20"/>
                <w:szCs w:val="20"/>
              </w:rPr>
              <w:t xml:space="preserve"> </w:t>
            </w:r>
          </w:p>
          <w:p w14:paraId="0D39EB82" w14:textId="15A15797" w:rsidR="00C0310A" w:rsidRPr="003967D3" w:rsidRDefault="00E631E0">
            <w:pPr>
              <w:keepNext/>
              <w:jc w:val="left"/>
              <w:rPr>
                <w:rFonts w:ascii="Arial Narrow" w:hAnsi="Arial Narrow"/>
                <w:sz w:val="20"/>
                <w:szCs w:val="20"/>
              </w:rPr>
            </w:pPr>
            <w:r w:rsidRPr="001434A1">
              <w:rPr>
                <w:rFonts w:ascii="Arial Narrow" w:hAnsi="Arial Narrow"/>
                <w:sz w:val="20"/>
                <w:szCs w:val="20"/>
              </w:rPr>
              <w:t>Overall, the ESC considered that</w:t>
            </w:r>
            <w:r>
              <w:rPr>
                <w:rFonts w:ascii="Arial Narrow" w:hAnsi="Arial Narrow"/>
                <w:iCs/>
                <w:sz w:val="20"/>
                <w:szCs w:val="20"/>
              </w:rPr>
              <w:t xml:space="preserve"> t</w:t>
            </w:r>
            <w:r w:rsidR="00C0310A" w:rsidRPr="003967D3">
              <w:rPr>
                <w:rFonts w:ascii="Arial Narrow" w:hAnsi="Arial Narrow"/>
                <w:iCs/>
                <w:sz w:val="20"/>
                <w:szCs w:val="20"/>
              </w:rPr>
              <w:t>he submission’s extrapolation of the naïve comparison of PFS curves result</w:t>
            </w:r>
            <w:r w:rsidR="00E1075E">
              <w:rPr>
                <w:rFonts w:ascii="Arial Narrow" w:hAnsi="Arial Narrow"/>
                <w:iCs/>
                <w:sz w:val="20"/>
                <w:szCs w:val="20"/>
              </w:rPr>
              <w:t>ed</w:t>
            </w:r>
            <w:r w:rsidR="00C0310A" w:rsidRPr="003967D3">
              <w:rPr>
                <w:rFonts w:ascii="Arial Narrow" w:hAnsi="Arial Narrow"/>
                <w:iCs/>
                <w:sz w:val="20"/>
                <w:szCs w:val="20"/>
              </w:rPr>
              <w:t xml:space="preserve"> in large differences between treatment arms</w:t>
            </w:r>
            <w:r w:rsidR="0018077D" w:rsidRPr="003967D3">
              <w:rPr>
                <w:rFonts w:ascii="Arial Narrow" w:hAnsi="Arial Narrow"/>
                <w:iCs/>
                <w:sz w:val="20"/>
                <w:szCs w:val="20"/>
              </w:rPr>
              <w:t xml:space="preserve"> over </w:t>
            </w:r>
            <w:r w:rsidR="00791A60" w:rsidRPr="003967D3">
              <w:rPr>
                <w:rFonts w:ascii="Arial Narrow" w:hAnsi="Arial Narrow"/>
                <w:iCs/>
                <w:sz w:val="20"/>
                <w:szCs w:val="20"/>
              </w:rPr>
              <w:t>the 20</w:t>
            </w:r>
            <w:r w:rsidR="007A1AF9" w:rsidRPr="003967D3">
              <w:rPr>
                <w:rFonts w:ascii="Arial Narrow" w:hAnsi="Arial Narrow"/>
                <w:iCs/>
                <w:sz w:val="20"/>
                <w:szCs w:val="20"/>
              </w:rPr>
              <w:t>-</w:t>
            </w:r>
            <w:r w:rsidR="00791A60" w:rsidRPr="003967D3">
              <w:rPr>
                <w:rFonts w:ascii="Arial Narrow" w:hAnsi="Arial Narrow"/>
                <w:iCs/>
                <w:sz w:val="20"/>
                <w:szCs w:val="20"/>
              </w:rPr>
              <w:t>year time horizon</w:t>
            </w:r>
            <w:r w:rsidR="00C0310A" w:rsidRPr="003967D3">
              <w:rPr>
                <w:rFonts w:ascii="Arial Narrow" w:hAnsi="Arial Narrow"/>
                <w:iCs/>
                <w:sz w:val="20"/>
                <w:szCs w:val="20"/>
              </w:rPr>
              <w:t>, which may not be realised in clinical practice.</w:t>
            </w:r>
            <w:r>
              <w:rPr>
                <w:rFonts w:ascii="Arial Narrow" w:hAnsi="Arial Narrow"/>
                <w:iCs/>
                <w:sz w:val="20"/>
                <w:szCs w:val="20"/>
              </w:rPr>
              <w:t xml:space="preserve"> </w:t>
            </w:r>
          </w:p>
        </w:tc>
        <w:tc>
          <w:tcPr>
            <w:tcW w:w="601" w:type="pct"/>
            <w:shd w:val="clear" w:color="auto" w:fill="auto"/>
          </w:tcPr>
          <w:p w14:paraId="020CA323" w14:textId="77777777" w:rsidR="00C0310A" w:rsidRPr="003967D3" w:rsidRDefault="00C0310A">
            <w:pPr>
              <w:pStyle w:val="TableText"/>
              <w:rPr>
                <w:szCs w:val="20"/>
              </w:rPr>
            </w:pPr>
            <w:r w:rsidRPr="003967D3">
              <w:rPr>
                <w:szCs w:val="20"/>
              </w:rPr>
              <w:t>High, favours ibrutinib + venetoclax.</w:t>
            </w:r>
          </w:p>
        </w:tc>
      </w:tr>
      <w:tr w:rsidR="00C0310A" w:rsidRPr="003967D3" w14:paraId="1665F940" w14:textId="77777777">
        <w:tc>
          <w:tcPr>
            <w:tcW w:w="862" w:type="pct"/>
            <w:shd w:val="clear" w:color="auto" w:fill="auto"/>
          </w:tcPr>
          <w:p w14:paraId="2643FFF0" w14:textId="77777777" w:rsidR="00C0310A" w:rsidRPr="003967D3" w:rsidRDefault="00C0310A">
            <w:pPr>
              <w:pStyle w:val="TableText"/>
              <w:rPr>
                <w:szCs w:val="20"/>
              </w:rPr>
            </w:pPr>
            <w:r w:rsidRPr="003967D3">
              <w:rPr>
                <w:szCs w:val="20"/>
              </w:rPr>
              <w:t>Outcomes in progressed disease</w:t>
            </w:r>
          </w:p>
        </w:tc>
        <w:tc>
          <w:tcPr>
            <w:tcW w:w="3537" w:type="pct"/>
            <w:shd w:val="clear" w:color="auto" w:fill="auto"/>
          </w:tcPr>
          <w:p w14:paraId="19BE511D" w14:textId="2830CCF5" w:rsidR="00C0310A" w:rsidRPr="003967D3" w:rsidRDefault="00C0310A">
            <w:pPr>
              <w:keepNext/>
              <w:spacing w:after="60"/>
              <w:jc w:val="left"/>
              <w:rPr>
                <w:rFonts w:ascii="Arial Narrow" w:hAnsi="Arial Narrow"/>
                <w:iCs/>
                <w:sz w:val="20"/>
                <w:szCs w:val="20"/>
              </w:rPr>
            </w:pPr>
            <w:r w:rsidRPr="003967D3">
              <w:rPr>
                <w:rFonts w:ascii="Arial Narrow" w:hAnsi="Arial Narrow"/>
                <w:iCs/>
                <w:sz w:val="20"/>
                <w:szCs w:val="20"/>
              </w:rPr>
              <w:t xml:space="preserve">Due to the model structure, patients accrue the total costs and consequences associated with disease progression (based on the results of the ibrutinib </w:t>
            </w:r>
            <w:r w:rsidR="00307C5B">
              <w:rPr>
                <w:rFonts w:ascii="Arial Narrow" w:hAnsi="Arial Narrow"/>
                <w:iCs/>
                <w:sz w:val="20"/>
                <w:szCs w:val="20"/>
              </w:rPr>
              <w:t xml:space="preserve">R/R </w:t>
            </w:r>
            <w:r w:rsidRPr="003967D3">
              <w:rPr>
                <w:rFonts w:ascii="Arial Narrow" w:hAnsi="Arial Narrow"/>
                <w:iCs/>
                <w:sz w:val="20"/>
                <w:szCs w:val="20"/>
              </w:rPr>
              <w:t xml:space="preserve">CLL/SLL model), as an event (accrued up front at the time of progression), rather than accruing over time like a health state. Given that the estimated survival in the ibrutinib arm of the </w:t>
            </w:r>
            <w:r w:rsidR="00307C5B">
              <w:rPr>
                <w:rFonts w:ascii="Arial Narrow" w:hAnsi="Arial Narrow"/>
                <w:iCs/>
                <w:sz w:val="20"/>
                <w:szCs w:val="20"/>
              </w:rPr>
              <w:t xml:space="preserve">R/R </w:t>
            </w:r>
            <w:r w:rsidRPr="003967D3">
              <w:rPr>
                <w:rFonts w:ascii="Arial Narrow" w:hAnsi="Arial Narrow"/>
                <w:iCs/>
                <w:sz w:val="20"/>
                <w:szCs w:val="20"/>
              </w:rPr>
              <w:t>model was 5.5 years, any progression that occurs after 14.5 years will accrue costs and benefits beyond the 20</w:t>
            </w:r>
            <w:r w:rsidR="007F42AB" w:rsidRPr="003967D3">
              <w:rPr>
                <w:rFonts w:ascii="Arial Narrow" w:hAnsi="Arial Narrow"/>
                <w:iCs/>
                <w:sz w:val="20"/>
                <w:szCs w:val="20"/>
              </w:rPr>
              <w:t>-</w:t>
            </w:r>
            <w:r w:rsidRPr="003967D3">
              <w:rPr>
                <w:rFonts w:ascii="Arial Narrow" w:hAnsi="Arial Narrow"/>
                <w:iCs/>
                <w:sz w:val="20"/>
                <w:szCs w:val="20"/>
              </w:rPr>
              <w:t>year time horizon. A higher proportion of patients in the ibrutinib + venetoclax arm move from progression</w:t>
            </w:r>
            <w:r w:rsidR="0051352D">
              <w:rPr>
                <w:rFonts w:ascii="Arial Narrow" w:hAnsi="Arial Narrow"/>
                <w:iCs/>
                <w:sz w:val="20"/>
                <w:szCs w:val="20"/>
              </w:rPr>
              <w:t>-</w:t>
            </w:r>
            <w:r w:rsidRPr="003967D3">
              <w:rPr>
                <w:rFonts w:ascii="Arial Narrow" w:hAnsi="Arial Narrow"/>
                <w:iCs/>
                <w:sz w:val="20"/>
                <w:szCs w:val="20"/>
              </w:rPr>
              <w:t>free to the progressed/dead health state during the final 5.4 years of the model (10.6% versus 3.4% in the FCR arm), and therefore accrue the additional benefits beyond the time horizon intended in the present first</w:t>
            </w:r>
            <w:r w:rsidR="00697A9A" w:rsidRPr="003967D3">
              <w:rPr>
                <w:rFonts w:ascii="Arial Narrow" w:hAnsi="Arial Narrow"/>
                <w:iCs/>
                <w:sz w:val="20"/>
                <w:szCs w:val="20"/>
              </w:rPr>
              <w:t>-</w:t>
            </w:r>
            <w:r w:rsidRPr="003967D3">
              <w:rPr>
                <w:rFonts w:ascii="Arial Narrow" w:hAnsi="Arial Narrow"/>
                <w:iCs/>
                <w:sz w:val="20"/>
                <w:szCs w:val="20"/>
              </w:rPr>
              <w:t>line model, favouring the ibrutinib + venetoclax treatment arm.</w:t>
            </w:r>
          </w:p>
          <w:p w14:paraId="353A7E7B" w14:textId="152A4F48" w:rsidR="00C0310A" w:rsidRPr="003967D3" w:rsidRDefault="00C0310A">
            <w:pPr>
              <w:pStyle w:val="CommentText"/>
              <w:rPr>
                <w:rFonts w:ascii="Arial Narrow" w:hAnsi="Arial Narrow"/>
                <w:iCs/>
              </w:rPr>
            </w:pPr>
            <w:r w:rsidRPr="003967D3">
              <w:rPr>
                <w:rFonts w:ascii="Arial Narrow" w:hAnsi="Arial Narrow"/>
                <w:iCs/>
              </w:rPr>
              <w:t xml:space="preserve">It </w:t>
            </w:r>
            <w:r w:rsidR="00E35D2C">
              <w:rPr>
                <w:rFonts w:ascii="Arial Narrow" w:hAnsi="Arial Narrow"/>
                <w:iCs/>
              </w:rPr>
              <w:t>wa</w:t>
            </w:r>
            <w:r w:rsidRPr="003967D3">
              <w:rPr>
                <w:rFonts w:ascii="Arial Narrow" w:hAnsi="Arial Narrow"/>
                <w:iCs/>
              </w:rPr>
              <w:t xml:space="preserve">s unclear whether the health outcomes associated with ibrutinib in the BTK inhibitor-naïve </w:t>
            </w:r>
            <w:r w:rsidR="009A1A56">
              <w:rPr>
                <w:rFonts w:ascii="Arial Narrow" w:hAnsi="Arial Narrow"/>
                <w:iCs/>
              </w:rPr>
              <w:t>R/R</w:t>
            </w:r>
            <w:r w:rsidRPr="003967D3">
              <w:rPr>
                <w:rFonts w:ascii="Arial Narrow" w:hAnsi="Arial Narrow"/>
                <w:iCs/>
              </w:rPr>
              <w:t xml:space="preserve"> setting of the ibrutinib </w:t>
            </w:r>
            <w:r w:rsidR="009A1A56">
              <w:rPr>
                <w:rFonts w:ascii="Arial Narrow" w:hAnsi="Arial Narrow"/>
                <w:iCs/>
              </w:rPr>
              <w:t>R/R</w:t>
            </w:r>
            <w:r w:rsidRPr="003967D3">
              <w:rPr>
                <w:rFonts w:ascii="Arial Narrow" w:hAnsi="Arial Narrow"/>
                <w:iCs/>
              </w:rPr>
              <w:t xml:space="preserve"> submission will be the same as the proposed population once they have progressed. </w:t>
            </w:r>
          </w:p>
        </w:tc>
        <w:tc>
          <w:tcPr>
            <w:tcW w:w="601" w:type="pct"/>
            <w:shd w:val="clear" w:color="auto" w:fill="auto"/>
          </w:tcPr>
          <w:p w14:paraId="20131053" w14:textId="77777777" w:rsidR="00C0310A" w:rsidRPr="003967D3" w:rsidRDefault="00C0310A">
            <w:pPr>
              <w:pStyle w:val="TableText"/>
              <w:rPr>
                <w:szCs w:val="20"/>
              </w:rPr>
            </w:pPr>
            <w:r w:rsidRPr="003967D3">
              <w:rPr>
                <w:szCs w:val="20"/>
              </w:rPr>
              <w:t>High, favours ibrutinib + venetoclax.</w:t>
            </w:r>
          </w:p>
        </w:tc>
      </w:tr>
      <w:tr w:rsidR="00C0310A" w:rsidRPr="003967D3" w14:paraId="3C5514D0" w14:textId="77777777">
        <w:tc>
          <w:tcPr>
            <w:tcW w:w="862" w:type="pct"/>
            <w:shd w:val="clear" w:color="auto" w:fill="auto"/>
          </w:tcPr>
          <w:p w14:paraId="6117CF76" w14:textId="77777777" w:rsidR="00C0310A" w:rsidRPr="003967D3" w:rsidRDefault="00C0310A">
            <w:pPr>
              <w:pStyle w:val="TableText"/>
              <w:rPr>
                <w:szCs w:val="20"/>
              </w:rPr>
            </w:pPr>
            <w:r w:rsidRPr="003967D3">
              <w:rPr>
                <w:szCs w:val="20"/>
              </w:rPr>
              <w:t>Costs of tumour lysis syndrome management</w:t>
            </w:r>
          </w:p>
        </w:tc>
        <w:tc>
          <w:tcPr>
            <w:tcW w:w="3537" w:type="pct"/>
            <w:shd w:val="clear" w:color="auto" w:fill="auto"/>
          </w:tcPr>
          <w:p w14:paraId="697EB915" w14:textId="3C6D7707" w:rsidR="00C0310A" w:rsidRPr="003967D3" w:rsidRDefault="00C0310A" w:rsidP="00CB2A7A">
            <w:pPr>
              <w:keepNext/>
              <w:jc w:val="left"/>
              <w:rPr>
                <w:rFonts w:ascii="Arial Narrow" w:hAnsi="Arial Narrow"/>
                <w:sz w:val="20"/>
                <w:szCs w:val="20"/>
              </w:rPr>
            </w:pPr>
            <w:r w:rsidRPr="003967D3">
              <w:rPr>
                <w:rFonts w:ascii="Arial Narrow" w:hAnsi="Arial Narrow"/>
                <w:sz w:val="20"/>
                <w:szCs w:val="20"/>
              </w:rPr>
              <w:t xml:space="preserve">In the FD cohort of the CAPTIVATE study, hospitalisation based on tumour lysis syndrome (TLS) risk and creatinine clearance, was observed for 39.6% of patients at baseline and 17.6% of patients after 3 cycles of ibrutinib monotherapy lead-in. Rasburicase, a treatment often used for </w:t>
            </w:r>
            <w:r w:rsidR="005F7A40">
              <w:rPr>
                <w:rFonts w:ascii="Arial Narrow" w:hAnsi="Arial Narrow"/>
                <w:sz w:val="20"/>
                <w:szCs w:val="20"/>
              </w:rPr>
              <w:t xml:space="preserve">TLS </w:t>
            </w:r>
            <w:r w:rsidRPr="003967D3">
              <w:rPr>
                <w:rFonts w:ascii="Arial Narrow" w:hAnsi="Arial Narrow"/>
                <w:sz w:val="20"/>
                <w:szCs w:val="20"/>
              </w:rPr>
              <w:t xml:space="preserve">prophylaxis, was used in 5.0% of patients. </w:t>
            </w:r>
            <w:r w:rsidRPr="003967D3">
              <w:rPr>
                <w:rFonts w:ascii="Arial Narrow" w:hAnsi="Arial Narrow"/>
                <w:iCs/>
                <w:sz w:val="20"/>
                <w:szCs w:val="20"/>
              </w:rPr>
              <w:t>The costs associated with TLS risk reduction were not included in first</w:t>
            </w:r>
            <w:r w:rsidR="00697A9A" w:rsidRPr="003967D3">
              <w:rPr>
                <w:rFonts w:ascii="Arial Narrow" w:hAnsi="Arial Narrow"/>
                <w:iCs/>
                <w:sz w:val="20"/>
                <w:szCs w:val="20"/>
              </w:rPr>
              <w:t>-</w:t>
            </w:r>
            <w:r w:rsidRPr="003967D3">
              <w:rPr>
                <w:rFonts w:ascii="Arial Narrow" w:hAnsi="Arial Narrow"/>
                <w:iCs/>
                <w:sz w:val="20"/>
                <w:szCs w:val="20"/>
              </w:rPr>
              <w:t xml:space="preserve">line disease management costs in the economic evaluation. The </w:t>
            </w:r>
            <w:r w:rsidR="00721CB1">
              <w:rPr>
                <w:rFonts w:ascii="Arial Narrow" w:hAnsi="Arial Narrow"/>
                <w:iCs/>
                <w:sz w:val="20"/>
                <w:szCs w:val="20"/>
              </w:rPr>
              <w:t xml:space="preserve">evaluation </w:t>
            </w:r>
            <w:r w:rsidR="00721CB1" w:rsidRPr="001434A1">
              <w:rPr>
                <w:rFonts w:ascii="Arial Narrow" w:hAnsi="Arial Narrow"/>
                <w:sz w:val="20"/>
                <w:szCs w:val="20"/>
              </w:rPr>
              <w:t xml:space="preserve">and the ESC </w:t>
            </w:r>
            <w:r w:rsidR="00721CB1">
              <w:rPr>
                <w:rFonts w:ascii="Arial Narrow" w:hAnsi="Arial Narrow"/>
                <w:iCs/>
                <w:sz w:val="20"/>
                <w:szCs w:val="20"/>
              </w:rPr>
              <w:t xml:space="preserve">considered that </w:t>
            </w:r>
            <w:r w:rsidRPr="003967D3">
              <w:rPr>
                <w:rFonts w:ascii="Arial Narrow" w:hAnsi="Arial Narrow"/>
                <w:iCs/>
                <w:sz w:val="20"/>
                <w:szCs w:val="20"/>
              </w:rPr>
              <w:t>exclusion of these costs from the economic evaluation was inappropriate and w</w:t>
            </w:r>
            <w:r w:rsidR="00721CB1">
              <w:rPr>
                <w:rFonts w:ascii="Arial Narrow" w:hAnsi="Arial Narrow"/>
                <w:iCs/>
                <w:sz w:val="20"/>
                <w:szCs w:val="20"/>
              </w:rPr>
              <w:t>ould</w:t>
            </w:r>
            <w:r w:rsidRPr="003967D3">
              <w:rPr>
                <w:rFonts w:ascii="Arial Narrow" w:hAnsi="Arial Narrow"/>
                <w:iCs/>
                <w:sz w:val="20"/>
                <w:szCs w:val="20"/>
              </w:rPr>
              <w:t xml:space="preserve"> underestimate the costs associated with ibrutinib + venetoclax</w:t>
            </w:r>
            <w:r w:rsidR="00721CB1">
              <w:rPr>
                <w:rFonts w:ascii="Arial Narrow" w:hAnsi="Arial Narrow"/>
                <w:iCs/>
                <w:sz w:val="20"/>
                <w:szCs w:val="20"/>
              </w:rPr>
              <w:t xml:space="preserve"> </w:t>
            </w:r>
            <w:r w:rsidR="00721CB1" w:rsidRPr="001434A1">
              <w:rPr>
                <w:rFonts w:ascii="Arial Narrow" w:hAnsi="Arial Narrow"/>
                <w:sz w:val="20"/>
                <w:szCs w:val="20"/>
              </w:rPr>
              <w:t xml:space="preserve">(refer to </w:t>
            </w:r>
            <w:r w:rsidR="0051352D">
              <w:rPr>
                <w:rFonts w:ascii="Arial Narrow" w:hAnsi="Arial Narrow"/>
                <w:sz w:val="20"/>
                <w:szCs w:val="20"/>
              </w:rPr>
              <w:t>p</w:t>
            </w:r>
            <w:r w:rsidR="00721CB1" w:rsidRPr="001434A1">
              <w:rPr>
                <w:rFonts w:ascii="Arial Narrow" w:hAnsi="Arial Narrow"/>
                <w:sz w:val="20"/>
                <w:szCs w:val="20"/>
              </w:rPr>
              <w:t xml:space="preserve">aragraph </w:t>
            </w:r>
            <w:r w:rsidR="00721CB1" w:rsidRPr="001434A1">
              <w:rPr>
                <w:rFonts w:ascii="Arial Narrow" w:hAnsi="Arial Narrow"/>
                <w:sz w:val="20"/>
                <w:szCs w:val="20"/>
              </w:rPr>
              <w:fldChar w:fldCharType="begin" w:fldLock="1"/>
            </w:r>
            <w:r w:rsidR="00721CB1" w:rsidRPr="001434A1">
              <w:rPr>
                <w:rFonts w:ascii="Arial Narrow" w:hAnsi="Arial Narrow"/>
                <w:sz w:val="20"/>
                <w:szCs w:val="20"/>
              </w:rPr>
              <w:instrText xml:space="preserve"> REF _Ref116305700 \r \h  \* MERGEFORMAT </w:instrText>
            </w:r>
            <w:r w:rsidR="00721CB1" w:rsidRPr="001434A1">
              <w:rPr>
                <w:rFonts w:ascii="Arial Narrow" w:hAnsi="Arial Narrow"/>
                <w:sz w:val="20"/>
                <w:szCs w:val="20"/>
              </w:rPr>
            </w:r>
            <w:r w:rsidR="00721CB1" w:rsidRPr="001434A1">
              <w:rPr>
                <w:rFonts w:ascii="Arial Narrow" w:hAnsi="Arial Narrow"/>
                <w:sz w:val="20"/>
                <w:szCs w:val="20"/>
              </w:rPr>
              <w:fldChar w:fldCharType="separate"/>
            </w:r>
            <w:r w:rsidR="00B22386">
              <w:rPr>
                <w:rFonts w:ascii="Arial Narrow" w:hAnsi="Arial Narrow"/>
                <w:sz w:val="20"/>
                <w:szCs w:val="20"/>
              </w:rPr>
              <w:t>6.50</w:t>
            </w:r>
            <w:r w:rsidR="00721CB1" w:rsidRPr="001434A1">
              <w:rPr>
                <w:rFonts w:ascii="Arial Narrow" w:hAnsi="Arial Narrow"/>
                <w:sz w:val="20"/>
                <w:szCs w:val="20"/>
              </w:rPr>
              <w:fldChar w:fldCharType="end"/>
            </w:r>
            <w:r w:rsidR="00721CB1" w:rsidRPr="001434A1">
              <w:rPr>
                <w:rFonts w:ascii="Arial Narrow" w:hAnsi="Arial Narrow"/>
                <w:sz w:val="20"/>
                <w:szCs w:val="20"/>
              </w:rPr>
              <w:t>)</w:t>
            </w:r>
            <w:r w:rsidRPr="001434A1">
              <w:rPr>
                <w:rFonts w:ascii="Arial Narrow" w:hAnsi="Arial Narrow"/>
                <w:sz w:val="20"/>
                <w:szCs w:val="20"/>
              </w:rPr>
              <w:t>.</w:t>
            </w:r>
            <w:r w:rsidR="00EE29DC">
              <w:rPr>
                <w:rFonts w:ascii="Arial Narrow" w:hAnsi="Arial Narrow"/>
                <w:iCs/>
                <w:sz w:val="20"/>
                <w:szCs w:val="20"/>
              </w:rPr>
              <w:t xml:space="preserve"> </w:t>
            </w:r>
            <w:r w:rsidR="0089198A">
              <w:rPr>
                <w:rFonts w:ascii="Arial Narrow" w:hAnsi="Arial Narrow"/>
                <w:iCs/>
                <w:sz w:val="20"/>
                <w:szCs w:val="20"/>
              </w:rPr>
              <w:t>The pre-PBAC response provided a revised economic model that incorporated the costs of resources used in the prevention or treatment of TLS and hospitalisation costs.</w:t>
            </w:r>
          </w:p>
        </w:tc>
        <w:tc>
          <w:tcPr>
            <w:tcW w:w="601" w:type="pct"/>
            <w:shd w:val="clear" w:color="auto" w:fill="auto"/>
          </w:tcPr>
          <w:p w14:paraId="3D8F44F4" w14:textId="77777777" w:rsidR="00C0310A" w:rsidRPr="003967D3" w:rsidRDefault="00C0310A">
            <w:pPr>
              <w:pStyle w:val="TableText"/>
              <w:rPr>
                <w:szCs w:val="20"/>
              </w:rPr>
            </w:pPr>
            <w:r w:rsidRPr="003967D3">
              <w:rPr>
                <w:szCs w:val="20"/>
              </w:rPr>
              <w:t>Moderate, favours ibrutinib + venetoclax</w:t>
            </w:r>
          </w:p>
        </w:tc>
      </w:tr>
    </w:tbl>
    <w:p w14:paraId="270C570A" w14:textId="77777777" w:rsidR="00C0310A" w:rsidRPr="00C52646" w:rsidRDefault="00C0310A" w:rsidP="00C0310A">
      <w:pPr>
        <w:pStyle w:val="TableFooter"/>
      </w:pPr>
      <w:r w:rsidRPr="00C52646">
        <w:t>Source: Constructed during the evaluation.</w:t>
      </w:r>
    </w:p>
    <w:p w14:paraId="1F73EE8E" w14:textId="77777777" w:rsidR="00C0310A" w:rsidRPr="00C52646" w:rsidRDefault="00C0310A" w:rsidP="00C0310A">
      <w:pPr>
        <w:pStyle w:val="TableFooter"/>
        <w:rPr>
          <w:szCs w:val="22"/>
        </w:rPr>
      </w:pPr>
      <w:r w:rsidRPr="00C52646">
        <w:t>Abbreviations: CLL/SLL, chronic lymphocytic leukaemia/small lymphocytic lymphoma; FCR, fludarabine, cyclophosphamide, and rituximab FD, fixed duration; PBAC, Pharmaceutical Benefits Advisory Committee; TLS, tumour lysis syndrome</w:t>
      </w:r>
    </w:p>
    <w:p w14:paraId="5EE92784" w14:textId="3F1B6093" w:rsidR="00C0310A" w:rsidRPr="00CC056F" w:rsidRDefault="00C0310A" w:rsidP="00E255C7">
      <w:pPr>
        <w:pStyle w:val="COMexecsumnumberedpara"/>
      </w:pPr>
      <w:r w:rsidRPr="00800E22">
        <w:t>The</w:t>
      </w:r>
      <w:r w:rsidRPr="00C52646">
        <w:t xml:space="preserve"> utility associated with the progression</w:t>
      </w:r>
      <w:r w:rsidR="0051352D">
        <w:t>-</w:t>
      </w:r>
      <w:r w:rsidRPr="00C52646">
        <w:t>free health state was based on a published cost-effectiveness analysis (Howard 2017).</w:t>
      </w:r>
      <w:r w:rsidRPr="003967D3">
        <w:rPr>
          <w:iCs/>
        </w:rPr>
        <w:t xml:space="preserve"> </w:t>
      </w:r>
      <w:r w:rsidRPr="00E36967">
        <w:rPr>
          <w:iCs/>
        </w:rPr>
        <w:t xml:space="preserve">The utility is consistent with the estimate for progression-free survival without therapy (0.82) from Kosmas 2015, which has been used as the source of utilities in other submissions to the PBAC for previously </w:t>
      </w:r>
      <w:r w:rsidRPr="00E36967">
        <w:rPr>
          <w:iCs/>
        </w:rPr>
        <w:lastRenderedPageBreak/>
        <w:t>untreated CLL/SLL.</w:t>
      </w:r>
      <w:r w:rsidRPr="003967D3">
        <w:rPr>
          <w:iCs/>
        </w:rPr>
        <w:t xml:space="preserve"> However, Kosmas 2015 also assessed the utility associated with progression</w:t>
      </w:r>
      <w:r w:rsidR="0051352D">
        <w:rPr>
          <w:iCs/>
        </w:rPr>
        <w:t>-</w:t>
      </w:r>
      <w:r w:rsidRPr="003967D3">
        <w:rPr>
          <w:iCs/>
        </w:rPr>
        <w:t xml:space="preserve">free survival in patients on initial oral therapy (0.71) and patients on initial IV therapy (0.67). The submission did not incorporate disutilities associated with treatment </w:t>
      </w:r>
      <w:r w:rsidR="007B434A" w:rsidRPr="003967D3">
        <w:rPr>
          <w:iCs/>
        </w:rPr>
        <w:t>toxicity</w:t>
      </w:r>
      <w:r w:rsidRPr="003967D3">
        <w:rPr>
          <w:iCs/>
        </w:rPr>
        <w:t xml:space="preserve"> or adverse events, which may favour ibrutinib + venetoclax given the longer duration of treatment compared to FCR.</w:t>
      </w:r>
    </w:p>
    <w:p w14:paraId="196EBF21" w14:textId="7D066E70" w:rsidR="00CC056F" w:rsidRPr="00CC056F" w:rsidRDefault="00DC1CBC" w:rsidP="00E255C7">
      <w:pPr>
        <w:pStyle w:val="COMexecsumnumberedpara"/>
        <w:rPr>
          <w:rFonts w:cstheme="minorHAnsi"/>
        </w:rPr>
      </w:pPr>
      <w:bookmarkStart w:id="64" w:name="_Ref116305700"/>
      <w:r w:rsidRPr="00E36967">
        <w:rPr>
          <w:rFonts w:cstheme="minorHAnsi"/>
          <w:iCs/>
        </w:rPr>
        <w:t>In the FD cohort of the CAPTIVATE study, hospitalisation based on tumour lysis syndrome (TLS) risk and creatinine</w:t>
      </w:r>
      <w:r w:rsidRPr="00CB2A7A">
        <w:rPr>
          <w:rFonts w:ascii="Arial Narrow" w:hAnsi="Arial Narrow"/>
          <w:iCs/>
          <w:sz w:val="20"/>
          <w:szCs w:val="20"/>
        </w:rPr>
        <w:t xml:space="preserve"> </w:t>
      </w:r>
      <w:r w:rsidRPr="00E36967">
        <w:rPr>
          <w:rFonts w:cstheme="minorHAnsi"/>
          <w:iCs/>
        </w:rPr>
        <w:t>clearance, was observed for 39.6% of patients at baseline and 17.6% of patients after 3 cycles of ibrutinib monotherapy lead-in. The costs associated with TLS risk reduction were not included in first-line disease management costs in the economic evaluation. The evaluation considered that the exclusion of these costs was inappropriate and would underestimate the costs associated with ibrutinib + venetocla</w:t>
      </w:r>
      <w:r w:rsidR="00542D92">
        <w:rPr>
          <w:rFonts w:cstheme="minorHAnsi"/>
          <w:iCs/>
        </w:rPr>
        <w:t>x.</w:t>
      </w:r>
      <w:r>
        <w:rPr>
          <w:rFonts w:ascii="Arial Narrow" w:hAnsi="Arial Narrow"/>
          <w:iCs/>
          <w:sz w:val="20"/>
          <w:szCs w:val="20"/>
        </w:rPr>
        <w:t xml:space="preserve"> </w:t>
      </w:r>
      <w:r w:rsidR="00CC056F" w:rsidRPr="001434A1">
        <w:rPr>
          <w:rFonts w:cstheme="minorHAnsi"/>
        </w:rPr>
        <w:t>The PSCR</w:t>
      </w:r>
      <w:r w:rsidRPr="001434A1">
        <w:rPr>
          <w:rFonts w:cstheme="minorHAnsi"/>
        </w:rPr>
        <w:t xml:space="preserve"> </w:t>
      </w:r>
      <w:r w:rsidR="00CC056F" w:rsidRPr="001434A1">
        <w:rPr>
          <w:rFonts w:cstheme="minorHAnsi"/>
        </w:rPr>
        <w:t xml:space="preserve">argued against including </w:t>
      </w:r>
      <w:r w:rsidR="00A60E5E" w:rsidRPr="001434A1">
        <w:rPr>
          <w:rFonts w:cstheme="minorHAnsi"/>
        </w:rPr>
        <w:t xml:space="preserve">costs </w:t>
      </w:r>
      <w:r w:rsidR="00542D92" w:rsidRPr="001434A1">
        <w:rPr>
          <w:rFonts w:cstheme="minorHAnsi"/>
        </w:rPr>
        <w:t xml:space="preserve">associated with </w:t>
      </w:r>
      <w:r w:rsidR="00CC056F" w:rsidRPr="001434A1">
        <w:rPr>
          <w:rFonts w:cstheme="minorHAnsi"/>
        </w:rPr>
        <w:t xml:space="preserve">TLS </w:t>
      </w:r>
      <w:r w:rsidR="00544AE9" w:rsidRPr="001434A1">
        <w:rPr>
          <w:rFonts w:cstheme="minorHAnsi"/>
        </w:rPr>
        <w:t xml:space="preserve">stating that these were </w:t>
      </w:r>
      <w:r w:rsidR="00CC056F" w:rsidRPr="001434A1">
        <w:rPr>
          <w:rFonts w:cstheme="minorHAnsi"/>
        </w:rPr>
        <w:t xml:space="preserve">protocol-driven within the CAPTIVATE </w:t>
      </w:r>
      <w:r w:rsidR="00544AE9" w:rsidRPr="001434A1">
        <w:rPr>
          <w:rFonts w:cstheme="minorHAnsi"/>
        </w:rPr>
        <w:t>study</w:t>
      </w:r>
      <w:r w:rsidR="00CC056F" w:rsidRPr="001434A1">
        <w:rPr>
          <w:rFonts w:cstheme="minorHAnsi"/>
        </w:rPr>
        <w:t xml:space="preserve"> (due to a cautious 3-month lead-in period with ibrutinib</w:t>
      </w:r>
      <w:r w:rsidR="00542D92" w:rsidRPr="001434A1">
        <w:rPr>
          <w:rFonts w:cstheme="minorHAnsi"/>
        </w:rPr>
        <w:t>, which the PSCR stated leads to tumour debulking decreasing the TLS risk category</w:t>
      </w:r>
      <w:r w:rsidR="00CC056F" w:rsidRPr="001434A1">
        <w:rPr>
          <w:rFonts w:cstheme="minorHAnsi"/>
        </w:rPr>
        <w:t>). The PSC</w:t>
      </w:r>
      <w:r w:rsidR="00CF08D4" w:rsidRPr="001434A1">
        <w:rPr>
          <w:rFonts w:cstheme="minorHAnsi"/>
        </w:rPr>
        <w:t>R</w:t>
      </w:r>
      <w:r w:rsidRPr="001434A1">
        <w:rPr>
          <w:rFonts w:cstheme="minorHAnsi"/>
        </w:rPr>
        <w:t xml:space="preserve"> </w:t>
      </w:r>
      <w:r w:rsidR="00721CB1" w:rsidRPr="001434A1">
        <w:rPr>
          <w:rFonts w:cstheme="minorHAnsi"/>
        </w:rPr>
        <w:t xml:space="preserve">further </w:t>
      </w:r>
      <w:r w:rsidR="00CC056F" w:rsidRPr="001434A1">
        <w:rPr>
          <w:rFonts w:cstheme="minorHAnsi"/>
        </w:rPr>
        <w:t>stated that no patients in the fixed dose cohort of CAPTIVATE developed TLS</w:t>
      </w:r>
      <w:r w:rsidRPr="001434A1">
        <w:rPr>
          <w:rFonts w:cstheme="minorHAnsi"/>
        </w:rPr>
        <w:t>, which the</w:t>
      </w:r>
      <w:r w:rsidR="00CC056F" w:rsidRPr="001434A1">
        <w:rPr>
          <w:rFonts w:cstheme="minorHAnsi"/>
        </w:rPr>
        <w:t xml:space="preserve"> ESC considered </w:t>
      </w:r>
      <w:r w:rsidRPr="001434A1">
        <w:rPr>
          <w:rFonts w:cstheme="minorHAnsi"/>
        </w:rPr>
        <w:t xml:space="preserve">was likely due to the conservative </w:t>
      </w:r>
      <w:r w:rsidR="00C87CE1" w:rsidRPr="001434A1">
        <w:rPr>
          <w:rFonts w:cstheme="minorHAnsi"/>
        </w:rPr>
        <w:t>protocol</w:t>
      </w:r>
      <w:r w:rsidRPr="001434A1">
        <w:rPr>
          <w:rFonts w:cstheme="minorHAnsi"/>
        </w:rPr>
        <w:t>-</w:t>
      </w:r>
      <w:r w:rsidR="00C87CE1" w:rsidRPr="001434A1">
        <w:rPr>
          <w:rFonts w:cstheme="minorHAnsi"/>
        </w:rPr>
        <w:t xml:space="preserve">driven </w:t>
      </w:r>
      <w:r w:rsidR="003A6861" w:rsidRPr="001434A1">
        <w:rPr>
          <w:rFonts w:cstheme="minorHAnsi"/>
        </w:rPr>
        <w:t>risk reduction</w:t>
      </w:r>
      <w:r w:rsidR="00C87CE1" w:rsidRPr="001434A1">
        <w:rPr>
          <w:rFonts w:cstheme="minorHAnsi"/>
        </w:rPr>
        <w:t xml:space="preserve"> of TLS within the </w:t>
      </w:r>
      <w:r w:rsidR="00544AE9" w:rsidRPr="001434A1">
        <w:rPr>
          <w:rFonts w:cstheme="minorHAnsi"/>
        </w:rPr>
        <w:t>study</w:t>
      </w:r>
      <w:r w:rsidR="00CC056F" w:rsidRPr="001434A1">
        <w:rPr>
          <w:rFonts w:cstheme="minorHAnsi"/>
        </w:rPr>
        <w:t xml:space="preserve">, and that this may have resulted in </w:t>
      </w:r>
      <w:r w:rsidR="00721CB1" w:rsidRPr="001434A1">
        <w:rPr>
          <w:rFonts w:cstheme="minorHAnsi"/>
        </w:rPr>
        <w:t xml:space="preserve">the trial </w:t>
      </w:r>
      <w:r w:rsidR="00CC056F" w:rsidRPr="001434A1">
        <w:rPr>
          <w:rFonts w:cstheme="minorHAnsi"/>
        </w:rPr>
        <w:t>overestimati</w:t>
      </w:r>
      <w:r w:rsidR="00721CB1" w:rsidRPr="001434A1">
        <w:rPr>
          <w:rFonts w:cstheme="minorHAnsi"/>
        </w:rPr>
        <w:t>ng</w:t>
      </w:r>
      <w:r w:rsidR="00CC056F" w:rsidRPr="001434A1">
        <w:rPr>
          <w:rFonts w:cstheme="minorHAnsi"/>
        </w:rPr>
        <w:t xml:space="preserve"> hospitalisations. The ESC considered that </w:t>
      </w:r>
      <w:r w:rsidR="00A60E5E" w:rsidRPr="001434A1">
        <w:rPr>
          <w:rFonts w:cstheme="minorHAnsi"/>
        </w:rPr>
        <w:t xml:space="preserve">in clinical practice </w:t>
      </w:r>
      <w:r w:rsidR="0006622D" w:rsidRPr="001434A1">
        <w:rPr>
          <w:rFonts w:cstheme="minorHAnsi"/>
        </w:rPr>
        <w:t xml:space="preserve">hospitalisations </w:t>
      </w:r>
      <w:r w:rsidR="00A56292" w:rsidRPr="001434A1">
        <w:rPr>
          <w:rFonts w:cstheme="minorHAnsi"/>
        </w:rPr>
        <w:t xml:space="preserve">for TLS would still be expected to </w:t>
      </w:r>
      <w:r w:rsidR="0006622D" w:rsidRPr="001434A1">
        <w:rPr>
          <w:rFonts w:cstheme="minorHAnsi"/>
        </w:rPr>
        <w:t>occu</w:t>
      </w:r>
      <w:r w:rsidR="0047753A" w:rsidRPr="001434A1">
        <w:rPr>
          <w:rFonts w:cstheme="minorHAnsi"/>
        </w:rPr>
        <w:t>r</w:t>
      </w:r>
      <w:r w:rsidR="0006622D" w:rsidRPr="001434A1">
        <w:rPr>
          <w:rFonts w:cstheme="minorHAnsi"/>
        </w:rPr>
        <w:t xml:space="preserve">, </w:t>
      </w:r>
      <w:r w:rsidR="00A56292" w:rsidRPr="001434A1">
        <w:rPr>
          <w:rFonts w:cstheme="minorHAnsi"/>
        </w:rPr>
        <w:t xml:space="preserve">although this would likely be at a lower rate than observed within </w:t>
      </w:r>
      <w:r w:rsidR="00A60E5E" w:rsidRPr="001434A1">
        <w:rPr>
          <w:rFonts w:cstheme="minorHAnsi"/>
        </w:rPr>
        <w:t xml:space="preserve">the trial setting. The ESC considered </w:t>
      </w:r>
      <w:r w:rsidR="00CC056F" w:rsidRPr="001434A1">
        <w:rPr>
          <w:rFonts w:cstheme="minorHAnsi"/>
        </w:rPr>
        <w:t xml:space="preserve">the cost of TLS </w:t>
      </w:r>
      <w:r w:rsidR="00C87CE1" w:rsidRPr="001434A1">
        <w:rPr>
          <w:rFonts w:cstheme="minorHAnsi"/>
        </w:rPr>
        <w:t>management</w:t>
      </w:r>
      <w:r w:rsidR="003A6861" w:rsidRPr="001434A1">
        <w:rPr>
          <w:rFonts w:cstheme="minorHAnsi"/>
        </w:rPr>
        <w:t>/prevention</w:t>
      </w:r>
      <w:r w:rsidR="00CC056F" w:rsidRPr="001434A1">
        <w:rPr>
          <w:rFonts w:cstheme="minorHAnsi"/>
        </w:rPr>
        <w:t xml:space="preserve"> should</w:t>
      </w:r>
      <w:r w:rsidR="00A56292" w:rsidRPr="001434A1">
        <w:rPr>
          <w:rFonts w:cstheme="minorHAnsi"/>
        </w:rPr>
        <w:t xml:space="preserve"> therefore</w:t>
      </w:r>
      <w:r w:rsidR="00CC056F" w:rsidRPr="001434A1">
        <w:rPr>
          <w:rFonts w:cstheme="minorHAnsi"/>
        </w:rPr>
        <w:t xml:space="preserve"> be </w:t>
      </w:r>
      <w:r w:rsidR="00790C8E" w:rsidRPr="001434A1">
        <w:rPr>
          <w:rFonts w:cstheme="minorHAnsi"/>
        </w:rPr>
        <w:t>included</w:t>
      </w:r>
      <w:r w:rsidR="0006622D" w:rsidRPr="001434A1">
        <w:rPr>
          <w:rFonts w:cstheme="minorHAnsi"/>
        </w:rPr>
        <w:t xml:space="preserve"> within the model</w:t>
      </w:r>
      <w:r w:rsidR="00CC056F" w:rsidRPr="001434A1">
        <w:rPr>
          <w:rFonts w:cstheme="minorHAnsi"/>
        </w:rPr>
        <w:t xml:space="preserve">, </w:t>
      </w:r>
      <w:r w:rsidR="001A28EB" w:rsidRPr="001434A1">
        <w:rPr>
          <w:rFonts w:cstheme="minorHAnsi"/>
        </w:rPr>
        <w:t xml:space="preserve">and that it </w:t>
      </w:r>
      <w:r w:rsidR="0047753A" w:rsidRPr="001434A1">
        <w:rPr>
          <w:rFonts w:cstheme="minorHAnsi"/>
        </w:rPr>
        <w:t>may</w:t>
      </w:r>
      <w:r w:rsidR="00CC056F" w:rsidRPr="001434A1">
        <w:rPr>
          <w:rFonts w:cstheme="minorHAnsi"/>
        </w:rPr>
        <w:t xml:space="preserve"> be appropriate to apply 50% of the </w:t>
      </w:r>
      <w:r w:rsidR="003A6861" w:rsidRPr="001434A1">
        <w:rPr>
          <w:rFonts w:cstheme="minorHAnsi"/>
        </w:rPr>
        <w:t>hospitalisation rate observed in the trial</w:t>
      </w:r>
      <w:r w:rsidR="00CC056F" w:rsidRPr="001434A1">
        <w:rPr>
          <w:rFonts w:cstheme="minorHAnsi"/>
        </w:rPr>
        <w:t>.</w:t>
      </w:r>
      <w:bookmarkEnd w:id="64"/>
      <w:r w:rsidR="008A7CFE">
        <w:rPr>
          <w:rFonts w:cstheme="minorHAnsi"/>
        </w:rPr>
        <w:t xml:space="preserve"> The pre-PBAC response provided a revised economic model that incorporated </w:t>
      </w:r>
      <w:r w:rsidR="00EF37A6">
        <w:rPr>
          <w:rFonts w:cstheme="minorHAnsi"/>
        </w:rPr>
        <w:t xml:space="preserve">the </w:t>
      </w:r>
      <w:r w:rsidR="008A7CFE">
        <w:rPr>
          <w:rFonts w:cstheme="minorHAnsi"/>
        </w:rPr>
        <w:t xml:space="preserve">cost of resources used in the prevention or treatment of TLS </w:t>
      </w:r>
      <w:r w:rsidR="00EF37A6">
        <w:rPr>
          <w:rFonts w:cstheme="minorHAnsi"/>
        </w:rPr>
        <w:t xml:space="preserve">as well as </w:t>
      </w:r>
      <w:r w:rsidR="008A7CFE">
        <w:rPr>
          <w:rFonts w:cstheme="minorHAnsi"/>
        </w:rPr>
        <w:t>hospitalisation costs</w:t>
      </w:r>
      <w:r w:rsidR="00EF37A6">
        <w:rPr>
          <w:rFonts w:cstheme="minorHAnsi"/>
        </w:rPr>
        <w:t xml:space="preserve"> </w:t>
      </w:r>
      <w:r w:rsidR="006458AF">
        <w:rPr>
          <w:rFonts w:cstheme="minorHAnsi"/>
        </w:rPr>
        <w:t>which it stated were consistent with the approach described by the ESC.</w:t>
      </w:r>
    </w:p>
    <w:p w14:paraId="319DC9F2" w14:textId="38EEDF33" w:rsidR="00C0310A" w:rsidRPr="00C52646" w:rsidRDefault="00C0310A" w:rsidP="00E255C7">
      <w:pPr>
        <w:pStyle w:val="COMexecsumnumberedpara"/>
      </w:pPr>
      <w:r w:rsidRPr="00C52646">
        <w:fldChar w:fldCharType="begin" w:fldLock="1"/>
      </w:r>
      <w:r w:rsidRPr="00C52646">
        <w:instrText xml:space="preserve"> REF _Ref113032001 \h </w:instrText>
      </w:r>
      <w:r w:rsidRPr="00C52646">
        <w:fldChar w:fldCharType="separate"/>
      </w:r>
      <w:r w:rsidR="00B22386" w:rsidRPr="00C52646">
        <w:t xml:space="preserve">Figure </w:t>
      </w:r>
      <w:r w:rsidR="00B22386">
        <w:rPr>
          <w:noProof/>
        </w:rPr>
        <w:t>5</w:t>
      </w:r>
      <w:r w:rsidRPr="00C52646">
        <w:fldChar w:fldCharType="end"/>
      </w:r>
      <w:r w:rsidRPr="00C52646">
        <w:t xml:space="preserve"> below presents the model traces for the ibrutinib + venetoclax and FCR arms.</w:t>
      </w:r>
    </w:p>
    <w:p w14:paraId="0D591E56" w14:textId="3191797E" w:rsidR="00C0310A" w:rsidRPr="00C52646" w:rsidRDefault="00C0310A" w:rsidP="00F635FD">
      <w:pPr>
        <w:pStyle w:val="Caption"/>
      </w:pPr>
      <w:bookmarkStart w:id="65" w:name="_Ref113032001"/>
      <w:r w:rsidRPr="00C52646">
        <w:lastRenderedPageBreak/>
        <w:t xml:space="preserve">Figure </w:t>
      </w:r>
      <w:fldSimple w:instr=" SEQ Figure \* ARABIC " w:fldLock="1">
        <w:r w:rsidR="00B22386">
          <w:rPr>
            <w:noProof/>
          </w:rPr>
          <w:t>5</w:t>
        </w:r>
      </w:fldSimple>
      <w:bookmarkEnd w:id="65"/>
      <w:r w:rsidRPr="00C52646">
        <w:t>: Model traces for the ibrutinib + venetoclax and FCR arms</w:t>
      </w:r>
    </w:p>
    <w:p w14:paraId="2EED7F6B" w14:textId="77777777" w:rsidR="00C0310A" w:rsidRPr="00766324" w:rsidRDefault="00C0310A" w:rsidP="00C0310A">
      <w:pPr>
        <w:pStyle w:val="COMTableheadingrow"/>
        <w:rPr>
          <w:color w:val="3366FF"/>
          <w:lang w:val="en-AU"/>
        </w:rPr>
      </w:pPr>
      <w:r w:rsidRPr="00766324">
        <w:rPr>
          <w:noProof/>
          <w:color w:val="3366FF"/>
          <w:lang w:val="en-AU"/>
        </w:rPr>
        <w:drawing>
          <wp:inline distT="0" distB="0" distL="0" distR="0" wp14:anchorId="196273D7" wp14:editId="7102B56D">
            <wp:extent cx="5688330" cy="3596640"/>
            <wp:effectExtent l="0" t="0" r="7620" b="381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330" cy="3596640"/>
                    </a:xfrm>
                    <a:prstGeom prst="rect">
                      <a:avLst/>
                    </a:prstGeom>
                    <a:noFill/>
                  </pic:spPr>
                </pic:pic>
              </a:graphicData>
            </a:graphic>
          </wp:inline>
        </w:drawing>
      </w:r>
    </w:p>
    <w:p w14:paraId="683DEBDC" w14:textId="6DF902F8" w:rsidR="00C0310A" w:rsidRPr="00C52646" w:rsidRDefault="00C0310A" w:rsidP="00C0310A">
      <w:pPr>
        <w:pStyle w:val="COMTablefooter"/>
      </w:pPr>
      <w:r w:rsidRPr="00C52646">
        <w:t>Source: Figure 3-7, p190 of the submission</w:t>
      </w:r>
      <w:r w:rsidR="00155719">
        <w:t>.</w:t>
      </w:r>
    </w:p>
    <w:p w14:paraId="2A8E3568" w14:textId="77777777" w:rsidR="00C0310A" w:rsidRPr="00C52646" w:rsidRDefault="00C0310A" w:rsidP="00C0310A">
      <w:pPr>
        <w:pStyle w:val="COMTablefooter"/>
      </w:pPr>
      <w:r w:rsidRPr="00C52646">
        <w:t>Abbreviations: FCR, fludarabine, cyclophosphamide and rituximab; IBR, ibrutinib; VEN, venetoclax</w:t>
      </w:r>
    </w:p>
    <w:p w14:paraId="352C70E9" w14:textId="51F60BBA" w:rsidR="00F27C43" w:rsidRPr="001434A1" w:rsidRDefault="00C0310A" w:rsidP="00606493">
      <w:pPr>
        <w:pStyle w:val="COMexecsumnumberedpara"/>
        <w:rPr>
          <w:iCs/>
        </w:rPr>
      </w:pPr>
      <w:r w:rsidRPr="00800E22">
        <w:t>The model traces indicate that treatment with ibrutinib + venetoclax was associated with a large increase in progression-free survival (and a corresponding reduction in progressed disease/death) compared to FCR. The curves diverge until approximately 7 years (at which point 55.5% of patients in the ibrutinib arm are progression-free, compared with 30.9% of patients in the FCR arm), when the curves begin to converge over time. The model traces indicated that 6.7% of patients in the ibrutinib + venetoclax arm and 0.7% of patients in the FCR arm remained progression</w:t>
      </w:r>
      <w:r w:rsidR="0051352D">
        <w:t>-</w:t>
      </w:r>
      <w:r w:rsidRPr="00800E22">
        <w:t>free at 20 years.</w:t>
      </w:r>
      <w:r w:rsidR="00F27C43">
        <w:t xml:space="preserve"> </w:t>
      </w:r>
      <w:r w:rsidR="00F27C43" w:rsidRPr="001434A1">
        <w:rPr>
          <w:iCs/>
        </w:rPr>
        <w:t xml:space="preserve">The ESC considered it </w:t>
      </w:r>
      <w:r w:rsidR="0046378B" w:rsidRPr="001434A1">
        <w:rPr>
          <w:iCs/>
        </w:rPr>
        <w:t xml:space="preserve">was </w:t>
      </w:r>
      <w:r w:rsidR="00F27C43" w:rsidRPr="001434A1">
        <w:rPr>
          <w:iCs/>
        </w:rPr>
        <w:t xml:space="preserve">plausible that some patients </w:t>
      </w:r>
      <w:r w:rsidR="0046378B" w:rsidRPr="001434A1">
        <w:rPr>
          <w:iCs/>
        </w:rPr>
        <w:t>may</w:t>
      </w:r>
      <w:r w:rsidR="00F27C43" w:rsidRPr="001434A1">
        <w:rPr>
          <w:iCs/>
        </w:rPr>
        <w:t xml:space="preserve"> be progression</w:t>
      </w:r>
      <w:r w:rsidR="0051352D">
        <w:rPr>
          <w:iCs/>
        </w:rPr>
        <w:t>-</w:t>
      </w:r>
      <w:r w:rsidR="00F27C43" w:rsidRPr="001434A1">
        <w:rPr>
          <w:iCs/>
        </w:rPr>
        <w:t>free at 20 years</w:t>
      </w:r>
      <w:r w:rsidR="0046378B" w:rsidRPr="001434A1">
        <w:rPr>
          <w:iCs/>
        </w:rPr>
        <w:t xml:space="preserve">, but that </w:t>
      </w:r>
      <w:r w:rsidR="000B5CFA" w:rsidRPr="001434A1">
        <w:rPr>
          <w:iCs/>
        </w:rPr>
        <w:t>the large differences</w:t>
      </w:r>
      <w:r w:rsidR="00A56292" w:rsidRPr="001434A1">
        <w:rPr>
          <w:iCs/>
        </w:rPr>
        <w:t xml:space="preserve"> in progression-free survival</w:t>
      </w:r>
      <w:r w:rsidR="000B5CFA" w:rsidRPr="001434A1">
        <w:rPr>
          <w:iCs/>
        </w:rPr>
        <w:t xml:space="preserve"> between treatment arms over the 20-year time horizon w</w:t>
      </w:r>
      <w:r w:rsidR="001F7D0F" w:rsidRPr="001434A1">
        <w:rPr>
          <w:iCs/>
        </w:rPr>
        <w:t>as</w:t>
      </w:r>
      <w:r w:rsidR="000B5CFA" w:rsidRPr="001434A1">
        <w:rPr>
          <w:iCs/>
        </w:rPr>
        <w:t xml:space="preserve"> not adequately justified by the existing clinical data</w:t>
      </w:r>
      <w:r w:rsidR="00F27C43" w:rsidRPr="001434A1">
        <w:rPr>
          <w:iCs/>
        </w:rPr>
        <w:t xml:space="preserve">. </w:t>
      </w:r>
    </w:p>
    <w:p w14:paraId="1F037234" w14:textId="5451E78B" w:rsidR="00C0310A" w:rsidRPr="00C52646" w:rsidRDefault="00C0310A" w:rsidP="00E255C7">
      <w:pPr>
        <w:pStyle w:val="COMexecsumnumberedpara"/>
      </w:pPr>
      <w:r w:rsidRPr="00C52646">
        <w:t>In the model, 7.0% of patients in the ibrutinib + venetoclax arm and 3.7% in the FCR arm die from the progression-free health state due to general population mortality</w:t>
      </w:r>
      <w:r w:rsidR="00890A4E">
        <w:t xml:space="preserve">, </w:t>
      </w:r>
      <w:r w:rsidR="00446656">
        <w:t>as a result of</w:t>
      </w:r>
      <w:r w:rsidR="00890A4E">
        <w:t xml:space="preserve"> the longer time spent in the </w:t>
      </w:r>
      <w:r w:rsidR="001D1FF5">
        <w:t>progression-free health state for the ibrutinib + venetoclax arm</w:t>
      </w:r>
      <w:r w:rsidRPr="00C52646">
        <w:t>.</w:t>
      </w:r>
    </w:p>
    <w:p w14:paraId="6240F3FA" w14:textId="4AB2F2AA" w:rsidR="00C0310A" w:rsidRPr="00C52646" w:rsidRDefault="00C0310A" w:rsidP="00E255C7">
      <w:pPr>
        <w:pStyle w:val="COMexecsumnumberedpara"/>
      </w:pPr>
      <w:r w:rsidRPr="00C52646">
        <w:t xml:space="preserve">The results of the stepped economic evaluation </w:t>
      </w:r>
      <w:r w:rsidR="006458AF">
        <w:t xml:space="preserve">provided in the submission </w:t>
      </w:r>
      <w:r w:rsidRPr="00C52646">
        <w:t xml:space="preserve">are summarised in </w:t>
      </w:r>
      <w:r w:rsidRPr="00C52646">
        <w:fldChar w:fldCharType="begin" w:fldLock="1"/>
      </w:r>
      <w:r w:rsidRPr="00C52646">
        <w:instrText xml:space="preserve"> REF _Ref113032153 \h </w:instrText>
      </w:r>
      <w:r w:rsidRPr="00C52646">
        <w:fldChar w:fldCharType="separate"/>
      </w:r>
      <w:r w:rsidR="00B22386" w:rsidRPr="00C52646">
        <w:t xml:space="preserve">Table </w:t>
      </w:r>
      <w:r w:rsidR="00B22386">
        <w:rPr>
          <w:noProof/>
        </w:rPr>
        <w:t>10</w:t>
      </w:r>
      <w:r w:rsidRPr="00C52646">
        <w:fldChar w:fldCharType="end"/>
      </w:r>
      <w:r w:rsidRPr="00C52646">
        <w:t xml:space="preserve"> below.</w:t>
      </w:r>
    </w:p>
    <w:p w14:paraId="70DCBBC6" w14:textId="0F5864C3" w:rsidR="00C0310A" w:rsidRPr="00C52646" w:rsidRDefault="00C0310A" w:rsidP="00F635FD">
      <w:pPr>
        <w:pStyle w:val="Caption"/>
      </w:pPr>
      <w:bookmarkStart w:id="66" w:name="_Ref113032153"/>
      <w:bookmarkStart w:id="67" w:name="_Ref113032149"/>
      <w:r w:rsidRPr="00C52646">
        <w:lastRenderedPageBreak/>
        <w:t xml:space="preserve">Table </w:t>
      </w:r>
      <w:fldSimple w:instr=" SEQ Table \* ARABIC " w:fldLock="1">
        <w:r w:rsidR="00B22386">
          <w:rPr>
            <w:noProof/>
          </w:rPr>
          <w:t>10</w:t>
        </w:r>
      </w:fldSimple>
      <w:bookmarkEnd w:id="66"/>
      <w:r w:rsidRPr="00C52646">
        <w:t>: Results of the stepped economic evaluation</w:t>
      </w:r>
      <w:bookmarkEnd w:id="67"/>
      <w:r w:rsidR="006458AF">
        <w:t xml:space="preserve"> provided in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stepped economic evaluation provided in the submission "/>
      </w:tblPr>
      <w:tblGrid>
        <w:gridCol w:w="2755"/>
        <w:gridCol w:w="2058"/>
        <w:gridCol w:w="29"/>
        <w:gridCol w:w="2087"/>
        <w:gridCol w:w="14"/>
        <w:gridCol w:w="2074"/>
      </w:tblGrid>
      <w:tr w:rsidR="00C0310A" w:rsidRPr="00C52646" w14:paraId="275C715F" w14:textId="77777777">
        <w:trPr>
          <w:tblHeader/>
        </w:trPr>
        <w:tc>
          <w:tcPr>
            <w:tcW w:w="1528" w:type="pct"/>
            <w:vAlign w:val="center"/>
          </w:tcPr>
          <w:p w14:paraId="5F1C81BB" w14:textId="77777777" w:rsidR="00C0310A" w:rsidRPr="00C52646" w:rsidRDefault="00C0310A">
            <w:pPr>
              <w:pStyle w:val="Tableheadingrow"/>
              <w:rPr>
                <w:szCs w:val="20"/>
                <w:lang w:val="en-AU"/>
              </w:rPr>
            </w:pPr>
            <w:r w:rsidRPr="00C52646">
              <w:rPr>
                <w:szCs w:val="20"/>
                <w:lang w:val="en-AU"/>
              </w:rPr>
              <w:t>Step and component</w:t>
            </w:r>
          </w:p>
        </w:tc>
        <w:tc>
          <w:tcPr>
            <w:tcW w:w="1157" w:type="pct"/>
            <w:gridSpan w:val="2"/>
            <w:vAlign w:val="center"/>
          </w:tcPr>
          <w:p w14:paraId="63A9C4DD" w14:textId="77777777" w:rsidR="00C0310A" w:rsidRPr="00C52646" w:rsidRDefault="00C0310A">
            <w:pPr>
              <w:pStyle w:val="Tableheadingrow"/>
              <w:jc w:val="center"/>
              <w:rPr>
                <w:szCs w:val="20"/>
                <w:lang w:val="en-AU"/>
              </w:rPr>
            </w:pPr>
            <w:r w:rsidRPr="00C52646">
              <w:rPr>
                <w:szCs w:val="20"/>
                <w:lang w:val="en-AU"/>
              </w:rPr>
              <w:t>Ibrutinib + venetoclax</w:t>
            </w:r>
          </w:p>
        </w:tc>
        <w:tc>
          <w:tcPr>
            <w:tcW w:w="1157" w:type="pct"/>
            <w:vAlign w:val="center"/>
          </w:tcPr>
          <w:p w14:paraId="02F23BA3" w14:textId="77777777" w:rsidR="00C0310A" w:rsidRPr="00C52646" w:rsidRDefault="00C0310A">
            <w:pPr>
              <w:pStyle w:val="Tableheadingrow"/>
              <w:jc w:val="center"/>
              <w:rPr>
                <w:szCs w:val="20"/>
                <w:lang w:val="en-AU"/>
              </w:rPr>
            </w:pPr>
            <w:r w:rsidRPr="00C52646">
              <w:rPr>
                <w:szCs w:val="20"/>
                <w:lang w:val="en-AU"/>
              </w:rPr>
              <w:t>FCR</w:t>
            </w:r>
          </w:p>
        </w:tc>
        <w:tc>
          <w:tcPr>
            <w:tcW w:w="1158" w:type="pct"/>
            <w:gridSpan w:val="2"/>
            <w:vAlign w:val="center"/>
          </w:tcPr>
          <w:p w14:paraId="21E69E87" w14:textId="77777777" w:rsidR="00C0310A" w:rsidRPr="00C52646" w:rsidRDefault="00C0310A">
            <w:pPr>
              <w:pStyle w:val="Tableheadingrow"/>
              <w:jc w:val="center"/>
              <w:rPr>
                <w:szCs w:val="20"/>
                <w:lang w:val="en-AU"/>
              </w:rPr>
            </w:pPr>
            <w:r w:rsidRPr="00C52646">
              <w:rPr>
                <w:szCs w:val="20"/>
                <w:lang w:val="en-AU"/>
              </w:rPr>
              <w:t>Increment</w:t>
            </w:r>
          </w:p>
        </w:tc>
      </w:tr>
      <w:tr w:rsidR="00C0310A" w:rsidRPr="00C52646" w14:paraId="6B4BD280" w14:textId="77777777">
        <w:tc>
          <w:tcPr>
            <w:tcW w:w="5000" w:type="pct"/>
            <w:gridSpan w:val="6"/>
            <w:vAlign w:val="center"/>
          </w:tcPr>
          <w:p w14:paraId="20760934" w14:textId="764A611E" w:rsidR="00C0310A" w:rsidRPr="00C52646" w:rsidRDefault="00C0310A">
            <w:pPr>
              <w:pStyle w:val="TableText"/>
              <w:rPr>
                <w:b/>
                <w:bCs w:val="0"/>
                <w:szCs w:val="20"/>
              </w:rPr>
            </w:pPr>
            <w:r w:rsidRPr="00C52646">
              <w:rPr>
                <w:b/>
                <w:bCs w:val="0"/>
                <w:szCs w:val="20"/>
              </w:rPr>
              <w:t xml:space="preserve">Step 1: Modelled analysis based on </w:t>
            </w:r>
            <w:r w:rsidR="00522F32" w:rsidRPr="00C52646">
              <w:rPr>
                <w:b/>
                <w:bCs w:val="0"/>
                <w:szCs w:val="20"/>
              </w:rPr>
              <w:t>39-month</w:t>
            </w:r>
            <w:r w:rsidRPr="00C52646">
              <w:rPr>
                <w:b/>
                <w:bCs w:val="0"/>
                <w:szCs w:val="20"/>
              </w:rPr>
              <w:t xml:space="preserve"> time horizon (median follow-up in the FD cohort of CAPTIVATE); life years generated in the progression-free health state; drug costs, treatment administration costs and costs of treating adverse events; no discounting</w:t>
            </w:r>
          </w:p>
        </w:tc>
      </w:tr>
      <w:tr w:rsidR="00C0310A" w:rsidRPr="00C52646" w14:paraId="1E8DA622" w14:textId="77777777">
        <w:tc>
          <w:tcPr>
            <w:tcW w:w="1528" w:type="pct"/>
            <w:vAlign w:val="center"/>
          </w:tcPr>
          <w:p w14:paraId="56D764B2" w14:textId="77777777" w:rsidR="00C0310A" w:rsidRPr="00C52646" w:rsidRDefault="00C0310A">
            <w:pPr>
              <w:pStyle w:val="TableText"/>
              <w:rPr>
                <w:szCs w:val="20"/>
              </w:rPr>
            </w:pPr>
            <w:r w:rsidRPr="00C52646">
              <w:rPr>
                <w:szCs w:val="20"/>
              </w:rPr>
              <w:t>Costs</w:t>
            </w:r>
          </w:p>
        </w:tc>
        <w:tc>
          <w:tcPr>
            <w:tcW w:w="1141" w:type="pct"/>
            <w:vAlign w:val="center"/>
          </w:tcPr>
          <w:p w14:paraId="203EE598" w14:textId="3D0BF3AE"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c>
          <w:tcPr>
            <w:tcW w:w="1181" w:type="pct"/>
            <w:gridSpan w:val="3"/>
            <w:vAlign w:val="center"/>
          </w:tcPr>
          <w:p w14:paraId="27FAC566" w14:textId="2DC38256"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c>
          <w:tcPr>
            <w:tcW w:w="1150" w:type="pct"/>
            <w:vAlign w:val="center"/>
          </w:tcPr>
          <w:p w14:paraId="5A7390FA" w14:textId="77344804"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r>
      <w:tr w:rsidR="00C0310A" w:rsidRPr="00C52646" w14:paraId="697FC180" w14:textId="77777777">
        <w:trPr>
          <w:trHeight w:val="70"/>
        </w:trPr>
        <w:tc>
          <w:tcPr>
            <w:tcW w:w="1528" w:type="pct"/>
            <w:vAlign w:val="center"/>
          </w:tcPr>
          <w:p w14:paraId="3B2B1BA0" w14:textId="77777777" w:rsidR="00C0310A" w:rsidRPr="00C52646" w:rsidRDefault="00C0310A">
            <w:pPr>
              <w:pStyle w:val="TableText"/>
              <w:rPr>
                <w:szCs w:val="20"/>
              </w:rPr>
            </w:pPr>
            <w:r w:rsidRPr="00C52646">
              <w:rPr>
                <w:szCs w:val="20"/>
              </w:rPr>
              <w:t>Life years</w:t>
            </w:r>
          </w:p>
        </w:tc>
        <w:tc>
          <w:tcPr>
            <w:tcW w:w="1141" w:type="pct"/>
            <w:vAlign w:val="center"/>
          </w:tcPr>
          <w:p w14:paraId="7FCFA894" w14:textId="77777777" w:rsidR="00C0310A" w:rsidRPr="00C52646" w:rsidRDefault="00C0310A">
            <w:pPr>
              <w:pStyle w:val="TableText"/>
              <w:jc w:val="center"/>
              <w:rPr>
                <w:szCs w:val="20"/>
              </w:rPr>
            </w:pPr>
            <w:r w:rsidRPr="00C52646">
              <w:rPr>
                <w:szCs w:val="20"/>
              </w:rPr>
              <w:t>3.0576</w:t>
            </w:r>
          </w:p>
        </w:tc>
        <w:tc>
          <w:tcPr>
            <w:tcW w:w="1181" w:type="pct"/>
            <w:gridSpan w:val="3"/>
            <w:vAlign w:val="center"/>
          </w:tcPr>
          <w:p w14:paraId="5C8345B4" w14:textId="77777777" w:rsidR="00C0310A" w:rsidRPr="00C52646" w:rsidRDefault="00C0310A">
            <w:pPr>
              <w:pStyle w:val="TableText"/>
              <w:jc w:val="center"/>
              <w:rPr>
                <w:szCs w:val="20"/>
              </w:rPr>
            </w:pPr>
            <w:r w:rsidRPr="00C52646">
              <w:rPr>
                <w:szCs w:val="20"/>
              </w:rPr>
              <w:t>2.7436</w:t>
            </w:r>
          </w:p>
        </w:tc>
        <w:tc>
          <w:tcPr>
            <w:tcW w:w="1150" w:type="pct"/>
            <w:vAlign w:val="center"/>
          </w:tcPr>
          <w:p w14:paraId="3315E1AF" w14:textId="77777777" w:rsidR="00C0310A" w:rsidRPr="00C52646" w:rsidRDefault="00C0310A">
            <w:pPr>
              <w:pStyle w:val="TableText"/>
              <w:jc w:val="center"/>
              <w:rPr>
                <w:szCs w:val="20"/>
              </w:rPr>
            </w:pPr>
            <w:r w:rsidRPr="00C52646">
              <w:rPr>
                <w:szCs w:val="20"/>
              </w:rPr>
              <w:t>0.3140</w:t>
            </w:r>
          </w:p>
        </w:tc>
      </w:tr>
      <w:tr w:rsidR="00C0310A" w:rsidRPr="00C52646" w14:paraId="6F8AC551" w14:textId="77777777">
        <w:tc>
          <w:tcPr>
            <w:tcW w:w="3850" w:type="pct"/>
            <w:gridSpan w:val="5"/>
            <w:vAlign w:val="center"/>
          </w:tcPr>
          <w:p w14:paraId="652F3DEA" w14:textId="77777777" w:rsidR="00C0310A" w:rsidRPr="00C52646" w:rsidRDefault="00C0310A">
            <w:pPr>
              <w:pStyle w:val="TableText"/>
              <w:rPr>
                <w:szCs w:val="20"/>
              </w:rPr>
            </w:pPr>
            <w:r w:rsidRPr="00C52646">
              <w:rPr>
                <w:szCs w:val="20"/>
              </w:rPr>
              <w:t>Incremental cost per life year gained</w:t>
            </w:r>
          </w:p>
        </w:tc>
        <w:tc>
          <w:tcPr>
            <w:tcW w:w="1150" w:type="pct"/>
          </w:tcPr>
          <w:p w14:paraId="606721DB" w14:textId="4E68979F" w:rsidR="00C0310A" w:rsidRPr="00471DDD" w:rsidRDefault="00C0310A">
            <w:pPr>
              <w:pStyle w:val="TableText"/>
              <w:jc w:val="center"/>
              <w:rPr>
                <w:szCs w:val="20"/>
                <w:vertAlign w:val="superscript"/>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r w:rsidR="00C318AB">
              <w:rPr>
                <w:szCs w:val="20"/>
                <w:vertAlign w:val="superscript"/>
              </w:rPr>
              <w:t>1</w:t>
            </w:r>
          </w:p>
        </w:tc>
      </w:tr>
      <w:tr w:rsidR="00C0310A" w:rsidRPr="00C52646" w14:paraId="304BBCC2" w14:textId="77777777">
        <w:tc>
          <w:tcPr>
            <w:tcW w:w="5000" w:type="pct"/>
            <w:gridSpan w:val="6"/>
            <w:vAlign w:val="center"/>
          </w:tcPr>
          <w:p w14:paraId="39C0B0CF" w14:textId="77777777" w:rsidR="00C0310A" w:rsidRPr="00C52646" w:rsidRDefault="00C0310A">
            <w:pPr>
              <w:pStyle w:val="Tableheadingrow"/>
              <w:rPr>
                <w:szCs w:val="20"/>
                <w:lang w:val="en-AU"/>
              </w:rPr>
            </w:pPr>
            <w:r w:rsidRPr="00C52646">
              <w:rPr>
                <w:szCs w:val="20"/>
                <w:lang w:val="en-AU"/>
              </w:rPr>
              <w:t>Step 2: Time horizon extended to 20 years; first-line monitoring costs and second-line treatment costs added; second-line outcomes added; discounting applied</w:t>
            </w:r>
          </w:p>
        </w:tc>
      </w:tr>
      <w:tr w:rsidR="00C0310A" w:rsidRPr="00C52646" w14:paraId="00EA342C" w14:textId="77777777">
        <w:tc>
          <w:tcPr>
            <w:tcW w:w="1528" w:type="pct"/>
            <w:vAlign w:val="center"/>
          </w:tcPr>
          <w:p w14:paraId="649523DC" w14:textId="77777777" w:rsidR="00C0310A" w:rsidRPr="00C52646" w:rsidRDefault="00C0310A">
            <w:pPr>
              <w:pStyle w:val="TableText"/>
              <w:rPr>
                <w:szCs w:val="20"/>
              </w:rPr>
            </w:pPr>
            <w:r w:rsidRPr="00C52646">
              <w:rPr>
                <w:szCs w:val="20"/>
              </w:rPr>
              <w:t>Costs</w:t>
            </w:r>
          </w:p>
        </w:tc>
        <w:tc>
          <w:tcPr>
            <w:tcW w:w="1141" w:type="pct"/>
            <w:vAlign w:val="center"/>
          </w:tcPr>
          <w:p w14:paraId="488D9067" w14:textId="393983CF"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c>
          <w:tcPr>
            <w:tcW w:w="1181" w:type="pct"/>
            <w:gridSpan w:val="3"/>
            <w:vAlign w:val="center"/>
          </w:tcPr>
          <w:p w14:paraId="79E9A551" w14:textId="58736BC3"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c>
          <w:tcPr>
            <w:tcW w:w="1150" w:type="pct"/>
            <w:vAlign w:val="center"/>
          </w:tcPr>
          <w:p w14:paraId="137815D4" w14:textId="7F8DD48C"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r>
      <w:tr w:rsidR="00C0310A" w:rsidRPr="00C52646" w14:paraId="3FDE2FA1" w14:textId="77777777">
        <w:tc>
          <w:tcPr>
            <w:tcW w:w="1528" w:type="pct"/>
            <w:vAlign w:val="center"/>
          </w:tcPr>
          <w:p w14:paraId="33E01A68" w14:textId="77777777" w:rsidR="00C0310A" w:rsidRPr="00C52646" w:rsidRDefault="00C0310A">
            <w:pPr>
              <w:pStyle w:val="TableText"/>
              <w:rPr>
                <w:szCs w:val="20"/>
              </w:rPr>
            </w:pPr>
            <w:r w:rsidRPr="00C52646">
              <w:rPr>
                <w:szCs w:val="20"/>
              </w:rPr>
              <w:t>Life years</w:t>
            </w:r>
          </w:p>
        </w:tc>
        <w:tc>
          <w:tcPr>
            <w:tcW w:w="1141" w:type="pct"/>
            <w:vAlign w:val="center"/>
          </w:tcPr>
          <w:p w14:paraId="3761D7E2" w14:textId="77777777" w:rsidR="00C0310A" w:rsidRPr="00C52646" w:rsidRDefault="00C0310A">
            <w:pPr>
              <w:pStyle w:val="TableText"/>
              <w:jc w:val="center"/>
              <w:rPr>
                <w:szCs w:val="20"/>
              </w:rPr>
            </w:pPr>
            <w:r w:rsidRPr="00C52646">
              <w:rPr>
                <w:szCs w:val="20"/>
              </w:rPr>
              <w:t>9.6332</w:t>
            </w:r>
          </w:p>
        </w:tc>
        <w:tc>
          <w:tcPr>
            <w:tcW w:w="1181" w:type="pct"/>
            <w:gridSpan w:val="3"/>
            <w:vAlign w:val="center"/>
          </w:tcPr>
          <w:p w14:paraId="3FA3BEBF" w14:textId="77777777" w:rsidR="00C0310A" w:rsidRPr="00C52646" w:rsidRDefault="00C0310A">
            <w:pPr>
              <w:pStyle w:val="TableText"/>
              <w:jc w:val="center"/>
              <w:rPr>
                <w:szCs w:val="20"/>
              </w:rPr>
            </w:pPr>
            <w:r w:rsidRPr="00C52646">
              <w:rPr>
                <w:szCs w:val="20"/>
              </w:rPr>
              <w:t>8.2135</w:t>
            </w:r>
          </w:p>
        </w:tc>
        <w:tc>
          <w:tcPr>
            <w:tcW w:w="1150" w:type="pct"/>
            <w:vAlign w:val="center"/>
          </w:tcPr>
          <w:p w14:paraId="07D98C0B" w14:textId="77777777" w:rsidR="00C0310A" w:rsidRPr="00C52646" w:rsidRDefault="00C0310A">
            <w:pPr>
              <w:pStyle w:val="TableText"/>
              <w:jc w:val="center"/>
              <w:rPr>
                <w:szCs w:val="20"/>
              </w:rPr>
            </w:pPr>
            <w:r w:rsidRPr="00C52646">
              <w:rPr>
                <w:szCs w:val="20"/>
              </w:rPr>
              <w:t>1.4197</w:t>
            </w:r>
          </w:p>
        </w:tc>
      </w:tr>
      <w:tr w:rsidR="00C0310A" w:rsidRPr="00C52646" w14:paraId="6CC55F25" w14:textId="77777777">
        <w:tc>
          <w:tcPr>
            <w:tcW w:w="3850" w:type="pct"/>
            <w:gridSpan w:val="5"/>
            <w:vAlign w:val="center"/>
          </w:tcPr>
          <w:p w14:paraId="49D5FEB7" w14:textId="77777777" w:rsidR="00C0310A" w:rsidRPr="00C52646" w:rsidRDefault="00C0310A">
            <w:pPr>
              <w:pStyle w:val="TableText"/>
              <w:rPr>
                <w:szCs w:val="20"/>
              </w:rPr>
            </w:pPr>
            <w:r w:rsidRPr="00C52646">
              <w:rPr>
                <w:szCs w:val="20"/>
              </w:rPr>
              <w:t>Incremental cost per life year gained</w:t>
            </w:r>
          </w:p>
        </w:tc>
        <w:tc>
          <w:tcPr>
            <w:tcW w:w="1150" w:type="pct"/>
            <w:vAlign w:val="center"/>
          </w:tcPr>
          <w:p w14:paraId="31999A68" w14:textId="1F41C222" w:rsidR="00C0310A" w:rsidRPr="00471DDD" w:rsidRDefault="00C0310A">
            <w:pPr>
              <w:pStyle w:val="TableText"/>
              <w:jc w:val="center"/>
              <w:rPr>
                <w:szCs w:val="20"/>
                <w:vertAlign w:val="superscript"/>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r w:rsidR="00C318AB">
              <w:rPr>
                <w:szCs w:val="20"/>
                <w:vertAlign w:val="superscript"/>
              </w:rPr>
              <w:t>2</w:t>
            </w:r>
          </w:p>
        </w:tc>
      </w:tr>
      <w:tr w:rsidR="00C0310A" w:rsidRPr="00C52646" w14:paraId="2F6DEF66" w14:textId="77777777">
        <w:tc>
          <w:tcPr>
            <w:tcW w:w="5000" w:type="pct"/>
            <w:gridSpan w:val="6"/>
            <w:vAlign w:val="center"/>
          </w:tcPr>
          <w:p w14:paraId="6AE006B3" w14:textId="77777777" w:rsidR="00C0310A" w:rsidRPr="00C52646" w:rsidRDefault="00C0310A">
            <w:pPr>
              <w:pStyle w:val="Tableheadingrow"/>
              <w:rPr>
                <w:szCs w:val="20"/>
                <w:lang w:val="en-AU"/>
              </w:rPr>
            </w:pPr>
            <w:r w:rsidRPr="00C52646">
              <w:rPr>
                <w:szCs w:val="20"/>
                <w:lang w:val="en-AU"/>
              </w:rPr>
              <w:t>Step 3: Utility weights applied</w:t>
            </w:r>
          </w:p>
        </w:tc>
      </w:tr>
      <w:tr w:rsidR="00C0310A" w:rsidRPr="00C52646" w14:paraId="17C31044" w14:textId="77777777">
        <w:tc>
          <w:tcPr>
            <w:tcW w:w="1528" w:type="pct"/>
            <w:vAlign w:val="center"/>
          </w:tcPr>
          <w:p w14:paraId="2785E4F6" w14:textId="77777777" w:rsidR="00C0310A" w:rsidRPr="00C52646" w:rsidRDefault="00C0310A">
            <w:pPr>
              <w:pStyle w:val="TableText"/>
              <w:rPr>
                <w:szCs w:val="20"/>
              </w:rPr>
            </w:pPr>
            <w:r w:rsidRPr="00C52646">
              <w:rPr>
                <w:szCs w:val="20"/>
              </w:rPr>
              <w:t>Costs</w:t>
            </w:r>
          </w:p>
        </w:tc>
        <w:tc>
          <w:tcPr>
            <w:tcW w:w="1141" w:type="pct"/>
            <w:vAlign w:val="center"/>
          </w:tcPr>
          <w:p w14:paraId="56AD8117" w14:textId="120CC74F"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c>
          <w:tcPr>
            <w:tcW w:w="1181" w:type="pct"/>
            <w:gridSpan w:val="3"/>
            <w:vAlign w:val="center"/>
          </w:tcPr>
          <w:p w14:paraId="593E3362" w14:textId="1AD052A8"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c>
          <w:tcPr>
            <w:tcW w:w="1150" w:type="pct"/>
            <w:vAlign w:val="center"/>
          </w:tcPr>
          <w:p w14:paraId="4246233F" w14:textId="011CE6CE" w:rsidR="00C0310A" w:rsidRPr="00C52646" w:rsidRDefault="00C0310A">
            <w:pPr>
              <w:pStyle w:val="TableText"/>
              <w:jc w:val="center"/>
              <w:rPr>
                <w:szCs w:val="20"/>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p>
        </w:tc>
      </w:tr>
      <w:tr w:rsidR="00C0310A" w:rsidRPr="00C52646" w14:paraId="561999CA" w14:textId="77777777">
        <w:tc>
          <w:tcPr>
            <w:tcW w:w="1528" w:type="pct"/>
            <w:vAlign w:val="center"/>
          </w:tcPr>
          <w:p w14:paraId="3153B527" w14:textId="77777777" w:rsidR="00C0310A" w:rsidRPr="00C52646" w:rsidRDefault="00C0310A">
            <w:pPr>
              <w:pStyle w:val="TableText"/>
              <w:rPr>
                <w:szCs w:val="20"/>
              </w:rPr>
            </w:pPr>
            <w:r w:rsidRPr="00C52646">
              <w:rPr>
                <w:szCs w:val="20"/>
              </w:rPr>
              <w:t>QALYs</w:t>
            </w:r>
          </w:p>
        </w:tc>
        <w:tc>
          <w:tcPr>
            <w:tcW w:w="1141" w:type="pct"/>
            <w:vAlign w:val="center"/>
          </w:tcPr>
          <w:p w14:paraId="735978B3" w14:textId="77777777" w:rsidR="00C0310A" w:rsidRPr="00C52646" w:rsidRDefault="00C0310A">
            <w:pPr>
              <w:pStyle w:val="TableText"/>
              <w:jc w:val="center"/>
              <w:rPr>
                <w:szCs w:val="20"/>
              </w:rPr>
            </w:pPr>
            <w:r w:rsidRPr="00C52646">
              <w:rPr>
                <w:szCs w:val="20"/>
              </w:rPr>
              <w:t>7.7262</w:t>
            </w:r>
          </w:p>
        </w:tc>
        <w:tc>
          <w:tcPr>
            <w:tcW w:w="1181" w:type="pct"/>
            <w:gridSpan w:val="3"/>
            <w:vAlign w:val="center"/>
          </w:tcPr>
          <w:p w14:paraId="4A785B92" w14:textId="77777777" w:rsidR="00C0310A" w:rsidRPr="00C52646" w:rsidRDefault="00C0310A">
            <w:pPr>
              <w:pStyle w:val="TableText"/>
              <w:jc w:val="center"/>
              <w:rPr>
                <w:szCs w:val="20"/>
              </w:rPr>
            </w:pPr>
            <w:r w:rsidRPr="00C52646">
              <w:rPr>
                <w:szCs w:val="20"/>
              </w:rPr>
              <w:t>6.5201</w:t>
            </w:r>
          </w:p>
        </w:tc>
        <w:tc>
          <w:tcPr>
            <w:tcW w:w="1150" w:type="pct"/>
            <w:vAlign w:val="center"/>
          </w:tcPr>
          <w:p w14:paraId="065DC34A" w14:textId="77777777" w:rsidR="00C0310A" w:rsidRPr="00C52646" w:rsidRDefault="00C0310A">
            <w:pPr>
              <w:keepNext/>
              <w:jc w:val="center"/>
              <w:rPr>
                <w:rFonts w:ascii="Arial Narrow" w:eastAsiaTheme="majorEastAsia" w:hAnsi="Arial Narrow" w:cstheme="majorBidi"/>
                <w:bCs/>
                <w:sz w:val="20"/>
                <w:szCs w:val="20"/>
              </w:rPr>
            </w:pPr>
            <w:r w:rsidRPr="00C52646">
              <w:rPr>
                <w:rFonts w:ascii="Arial Narrow" w:eastAsiaTheme="majorEastAsia" w:hAnsi="Arial Narrow" w:cstheme="majorBidi"/>
                <w:bCs/>
                <w:sz w:val="20"/>
                <w:szCs w:val="20"/>
              </w:rPr>
              <w:t>1.2061</w:t>
            </w:r>
          </w:p>
        </w:tc>
      </w:tr>
      <w:tr w:rsidR="00C0310A" w:rsidRPr="00C52646" w14:paraId="0C759DEC" w14:textId="77777777">
        <w:tc>
          <w:tcPr>
            <w:tcW w:w="3850" w:type="pct"/>
            <w:gridSpan w:val="5"/>
            <w:vAlign w:val="center"/>
          </w:tcPr>
          <w:p w14:paraId="2F2DC528" w14:textId="77777777" w:rsidR="00C0310A" w:rsidRPr="00C52646" w:rsidRDefault="00C0310A">
            <w:pPr>
              <w:pStyle w:val="TableText"/>
              <w:rPr>
                <w:szCs w:val="20"/>
              </w:rPr>
            </w:pPr>
            <w:r w:rsidRPr="00C52646">
              <w:rPr>
                <w:szCs w:val="20"/>
              </w:rPr>
              <w:t>Incremental cost per QALY gained</w:t>
            </w:r>
          </w:p>
        </w:tc>
        <w:tc>
          <w:tcPr>
            <w:tcW w:w="1150" w:type="pct"/>
            <w:vAlign w:val="center"/>
          </w:tcPr>
          <w:p w14:paraId="09F16328" w14:textId="63B7D360" w:rsidR="00C0310A" w:rsidRPr="00471DDD" w:rsidRDefault="00C0310A">
            <w:pPr>
              <w:pStyle w:val="TableText"/>
              <w:jc w:val="center"/>
              <w:rPr>
                <w:szCs w:val="20"/>
                <w:vertAlign w:val="superscript"/>
              </w:rPr>
            </w:pPr>
            <w:r w:rsidRPr="00C52646">
              <w:rPr>
                <w:szCs w:val="20"/>
              </w:rPr>
              <w:t>$</w:t>
            </w:r>
            <w:r w:rsidR="00C52D99" w:rsidRPr="00C52D99">
              <w:rPr>
                <w:color w:val="000000"/>
                <w:szCs w:val="20"/>
                <w:shd w:val="solid" w:color="000000" w:fill="000000"/>
                <w14:textFill>
                  <w14:solidFill>
                    <w14:srgbClr w14:val="000000">
                      <w14:alpha w14:val="100000"/>
                    </w14:srgbClr>
                  </w14:solidFill>
                </w14:textFill>
              </w:rPr>
              <w:t>|</w:t>
            </w:r>
            <w:r w:rsidR="00C318AB">
              <w:rPr>
                <w:szCs w:val="20"/>
                <w:vertAlign w:val="superscript"/>
              </w:rPr>
              <w:t>3</w:t>
            </w:r>
          </w:p>
        </w:tc>
      </w:tr>
    </w:tbl>
    <w:p w14:paraId="1738168B" w14:textId="04F3C475" w:rsidR="00C0310A" w:rsidRPr="00C52646" w:rsidRDefault="00C0310A" w:rsidP="00C0310A">
      <w:pPr>
        <w:pStyle w:val="COMTablefooter"/>
      </w:pPr>
      <w:r w:rsidRPr="00C52646">
        <w:t>Source: Table 3-7, p188 of the submission</w:t>
      </w:r>
      <w:r w:rsidR="00155719">
        <w:t>.</w:t>
      </w:r>
    </w:p>
    <w:p w14:paraId="5DC581A0" w14:textId="02A12DDF" w:rsidR="00C0310A" w:rsidRDefault="00C0310A" w:rsidP="00C0310A">
      <w:pPr>
        <w:pStyle w:val="COMTablefooter"/>
      </w:pPr>
      <w:r w:rsidRPr="00C52646">
        <w:t>Abbreviations: FCR, fludarabine, cyclophosphamide and rituximab; FD, fixed duration; QALY, quality adjusted life year</w:t>
      </w:r>
    </w:p>
    <w:p w14:paraId="409B6D99" w14:textId="77777777" w:rsidR="00C318AB" w:rsidRPr="00C318AB" w:rsidRDefault="00C318AB" w:rsidP="00471DDD">
      <w:pPr>
        <w:pStyle w:val="TableFigureFooter"/>
      </w:pPr>
      <w:r w:rsidRPr="00C318AB">
        <w:t xml:space="preserve">The redacted values correspond to the following ranges: </w:t>
      </w:r>
    </w:p>
    <w:p w14:paraId="750FE9C0" w14:textId="77777777" w:rsidR="00C318AB" w:rsidRPr="00471DDD" w:rsidRDefault="00C318AB" w:rsidP="00471DDD">
      <w:pPr>
        <w:pStyle w:val="TableFigureFooter"/>
        <w:rPr>
          <w:color w:val="333333"/>
        </w:rPr>
      </w:pPr>
      <w:r w:rsidRPr="00C318AB">
        <w:rPr>
          <w:vertAlign w:val="superscript"/>
        </w:rPr>
        <w:t>1</w:t>
      </w:r>
      <w:r w:rsidRPr="00471DDD">
        <w:rPr>
          <w:color w:val="333333"/>
        </w:rPr>
        <w:t>$155,000 to &lt; $255,000</w:t>
      </w:r>
    </w:p>
    <w:p w14:paraId="7AD59EF0" w14:textId="0E5A6F17" w:rsidR="00C318AB" w:rsidRPr="00471DDD" w:rsidRDefault="00C318AB" w:rsidP="00471DDD">
      <w:pPr>
        <w:pStyle w:val="TableFigureFooter"/>
        <w:rPr>
          <w:color w:val="333333"/>
        </w:rPr>
      </w:pPr>
      <w:r w:rsidRPr="00471DDD">
        <w:rPr>
          <w:color w:val="333333"/>
          <w:vertAlign w:val="superscript"/>
        </w:rPr>
        <w:t>2</w:t>
      </w:r>
      <w:r w:rsidRPr="00471DDD">
        <w:rPr>
          <w:color w:val="333333"/>
        </w:rPr>
        <w:t>$25,000 to &lt; $35,000</w:t>
      </w:r>
    </w:p>
    <w:p w14:paraId="7C696A4C" w14:textId="7AC7B54C" w:rsidR="00C318AB" w:rsidRPr="00C318AB" w:rsidRDefault="00C318AB" w:rsidP="00471DDD">
      <w:pPr>
        <w:pStyle w:val="TableFigureFooter"/>
      </w:pPr>
      <w:r w:rsidRPr="00471DDD">
        <w:rPr>
          <w:color w:val="333333"/>
          <w:vertAlign w:val="superscript"/>
        </w:rPr>
        <w:t>3</w:t>
      </w:r>
      <w:r w:rsidRPr="00471DDD">
        <w:rPr>
          <w:color w:val="333333"/>
        </w:rPr>
        <w:t>$35,000 to &lt; $45,000</w:t>
      </w:r>
    </w:p>
    <w:p w14:paraId="7D0ABAA0" w14:textId="282263D5" w:rsidR="00C0310A" w:rsidRPr="00800E22" w:rsidRDefault="00C0310A" w:rsidP="00E255C7">
      <w:pPr>
        <w:pStyle w:val="COMexecsumnumberedpara"/>
      </w:pPr>
      <w:r w:rsidRPr="00800E22">
        <w:t>The extrapolation of costs and outcomes to 20 years had the largest impact on the results of the stepped economic evaluation.</w:t>
      </w:r>
    </w:p>
    <w:p w14:paraId="1FA694B9" w14:textId="4CF16782" w:rsidR="00C0310A" w:rsidRPr="00C72550" w:rsidRDefault="00C0310A" w:rsidP="00E255C7">
      <w:pPr>
        <w:pStyle w:val="COMexecsumnumberedpara"/>
      </w:pPr>
      <w:r w:rsidRPr="00800E22">
        <w:t xml:space="preserve">Based on the modelled economic evaluation, treatment with ibrutinib + venetoclax was associated with an incremental cost per QALY gained of </w:t>
      </w:r>
      <w:r w:rsidR="00C318AB" w:rsidRPr="00C318AB">
        <w:t>$35,000 to &lt; $45,000</w:t>
      </w:r>
      <w:r w:rsidR="00C318AB">
        <w:t xml:space="preserve"> </w:t>
      </w:r>
      <w:r w:rsidRPr="00800E22">
        <w:t xml:space="preserve">compared to fludarabine-based chemoimmunotherapy (FCR) for the treatment of previously untreated CLL/SLL. The effective price of venetoclax was estimated based on the effective price </w:t>
      </w:r>
      <w:r w:rsidR="00D2108B">
        <w:t xml:space="preserve">per pack </w:t>
      </w:r>
      <w:r w:rsidRPr="00800E22">
        <w:t xml:space="preserve">of venetoclax in the </w:t>
      </w:r>
      <w:r w:rsidR="00307C5B">
        <w:t xml:space="preserve">R/R </w:t>
      </w:r>
      <w:r w:rsidRPr="00800E22">
        <w:t xml:space="preserve">setting (which </w:t>
      </w:r>
      <w:r w:rsidR="00281D10">
        <w:t xml:space="preserve">the submission </w:t>
      </w:r>
      <w:r w:rsidR="000B5CFA">
        <w:t xml:space="preserve">stated </w:t>
      </w:r>
      <w:r w:rsidR="00281D10">
        <w:t>was</w:t>
      </w:r>
      <w:r w:rsidRPr="00800E22">
        <w:t xml:space="preserve"> known to the sponsor)</w:t>
      </w:r>
      <w:r w:rsidR="00F71532">
        <w:t>.</w:t>
      </w:r>
    </w:p>
    <w:p w14:paraId="73419F7B" w14:textId="641CC5AF" w:rsidR="00C72550" w:rsidRPr="00800E22" w:rsidRDefault="00C72550" w:rsidP="002D656F">
      <w:pPr>
        <w:pStyle w:val="COMexecsumnumberedpara"/>
      </w:pPr>
      <w:r w:rsidRPr="00C72550">
        <w:t xml:space="preserve">The pre-PBAC response provided an updated model that included: (a) the costs of resources used in the prevention or treatment of TLS including hospitalisation costs; (b) a 5% reduction </w:t>
      </w:r>
      <w:r w:rsidR="006C64C0">
        <w:t>to</w:t>
      </w:r>
      <w:r w:rsidRPr="00C72550">
        <w:t xml:space="preserve"> the ibrutinib price due to the 5-year statutory price reduction that is expected to be applied from 1 April 2023; and (c) dose intensity adjustments for ibrutinib (95.4%) and venetoclax (93.1%), consistent with the financial estimates. The pre-PBAC response stated that the revised base case ICER is </w:t>
      </w:r>
      <w:r w:rsidR="00C318AB" w:rsidRPr="00C318AB">
        <w:t>$35,000 to &lt; $45,000</w:t>
      </w:r>
      <w:r w:rsidRPr="00C72550">
        <w:t>/QALY.</w:t>
      </w:r>
    </w:p>
    <w:p w14:paraId="54A435C7" w14:textId="486F522A" w:rsidR="00C0310A" w:rsidRPr="00C52646" w:rsidRDefault="00C0310A" w:rsidP="007B434A">
      <w:pPr>
        <w:pStyle w:val="COMexecsumnumberedpara"/>
        <w:spacing w:after="0"/>
      </w:pPr>
      <w:r w:rsidRPr="00C52646">
        <w:t xml:space="preserve">On average, for every patient treated with ibrutinib + venetoclax versus FCR and </w:t>
      </w:r>
      <w:r w:rsidRPr="00800E22">
        <w:t>followed</w:t>
      </w:r>
      <w:r w:rsidRPr="00C52646">
        <w:t xml:space="preserve"> up for 20 years, the </w:t>
      </w:r>
      <w:r w:rsidR="00C72550">
        <w:t xml:space="preserve">submission’s </w:t>
      </w:r>
      <w:r w:rsidRPr="00C52646">
        <w:t>economic evaluation (undiscounted) estimated that there would be:</w:t>
      </w:r>
    </w:p>
    <w:p w14:paraId="3AAFF274" w14:textId="1091B7DA" w:rsidR="00C0310A" w:rsidRPr="00C52646" w:rsidRDefault="00C0310A" w:rsidP="001104CE">
      <w:pPr>
        <w:pStyle w:val="COMexecsumnumberedpara"/>
        <w:numPr>
          <w:ilvl w:val="0"/>
          <w:numId w:val="7"/>
        </w:numPr>
        <w:spacing w:after="0"/>
        <w:ind w:left="1077" w:hanging="357"/>
      </w:pPr>
      <w:bookmarkStart w:id="68" w:name="_Hlk121149039"/>
      <w:r w:rsidRPr="00C52646">
        <w:t>Additional first-line drug costs of $</w:t>
      </w:r>
      <w:r w:rsidR="00C52D99" w:rsidRPr="001217F8">
        <w:rPr>
          <w:color w:val="000000"/>
          <w:w w:val="15"/>
          <w:shd w:val="solid" w:color="000000" w:fill="000000"/>
          <w:fitText w:val="-20" w:id="-1280060156"/>
          <w14:textFill>
            <w14:solidFill>
              <w14:srgbClr w14:val="000000">
                <w14:alpha w14:val="100000"/>
              </w14:srgbClr>
            </w14:solidFill>
          </w14:textFill>
        </w:rPr>
        <w:t xml:space="preserve">|  </w:t>
      </w:r>
      <w:r w:rsidR="00C52D99" w:rsidRPr="001217F8">
        <w:rPr>
          <w:color w:val="000000"/>
          <w:spacing w:val="-69"/>
          <w:w w:val="15"/>
          <w:shd w:val="solid" w:color="000000" w:fill="000000"/>
          <w:fitText w:val="-20" w:id="-1280060156"/>
          <w14:textFill>
            <w14:solidFill>
              <w14:srgbClr w14:val="000000">
                <w14:alpha w14:val="100000"/>
              </w14:srgbClr>
            </w14:solidFill>
          </w14:textFill>
        </w:rPr>
        <w:t>|</w:t>
      </w:r>
      <w:r w:rsidRPr="00C52646">
        <w:t>, with additional monitoring ($759) and adverse event ($445) costs</w:t>
      </w:r>
      <w:bookmarkEnd w:id="68"/>
      <w:r w:rsidRPr="00C52646">
        <w:t>.</w:t>
      </w:r>
    </w:p>
    <w:p w14:paraId="0AF519D8" w14:textId="4ACCD3F5" w:rsidR="00C0310A" w:rsidRPr="00C52646" w:rsidRDefault="00C0310A" w:rsidP="007B434A">
      <w:pPr>
        <w:pStyle w:val="ListBullet"/>
        <w:ind w:left="1077" w:hanging="357"/>
      </w:pPr>
      <w:r w:rsidRPr="00C52646">
        <w:t xml:space="preserve">Reduced costs associated with </w:t>
      </w:r>
      <w:r w:rsidR="006D7940">
        <w:t xml:space="preserve">FCR </w:t>
      </w:r>
      <w:r w:rsidRPr="00C52646">
        <w:t>drug administration ($14,259) and second-line treatment (</w:t>
      </w:r>
      <w:r w:rsidR="006D7940">
        <w:t xml:space="preserve">ibrutinib monotherapy and related adverse event hospitalisations; </w:t>
      </w:r>
      <w:r w:rsidRPr="00C52646">
        <w:t>$5,832).</w:t>
      </w:r>
    </w:p>
    <w:p w14:paraId="77ED34CE" w14:textId="77777777" w:rsidR="00C0310A" w:rsidRPr="00C52646" w:rsidRDefault="00C0310A" w:rsidP="007B434A">
      <w:pPr>
        <w:pStyle w:val="ListBullet"/>
        <w:spacing w:after="120"/>
        <w:ind w:left="1077" w:hanging="357"/>
      </w:pPr>
      <w:r w:rsidRPr="00C52646">
        <w:lastRenderedPageBreak/>
        <w:t>An additional 1.4 years of life, with the majority of time spent free of disease progression, associated with higher quality of life.</w:t>
      </w:r>
    </w:p>
    <w:p w14:paraId="620FABA9" w14:textId="6D749D48" w:rsidR="00C0310A" w:rsidRPr="003967D3" w:rsidRDefault="00C0310A" w:rsidP="00E255C7">
      <w:pPr>
        <w:pStyle w:val="COMexecsumnumberedpara"/>
        <w:rPr>
          <w:iCs/>
        </w:rPr>
      </w:pPr>
      <w:r w:rsidRPr="00C52646">
        <w:fldChar w:fldCharType="begin" w:fldLock="1"/>
      </w:r>
      <w:r w:rsidRPr="00C52646">
        <w:instrText xml:space="preserve"> REF _Ref113032350 \h </w:instrText>
      </w:r>
      <w:r w:rsidRPr="00C52646">
        <w:fldChar w:fldCharType="separate"/>
      </w:r>
      <w:r w:rsidR="00B22386" w:rsidRPr="00C52646">
        <w:t xml:space="preserve">Table </w:t>
      </w:r>
      <w:r w:rsidR="00B22386">
        <w:rPr>
          <w:noProof/>
        </w:rPr>
        <w:t>11</w:t>
      </w:r>
      <w:r w:rsidRPr="00C52646">
        <w:fldChar w:fldCharType="end"/>
      </w:r>
      <w:r w:rsidRPr="00C52646">
        <w:t xml:space="preserve"> summarises the results of key sensitivity analyses presented in the submission </w:t>
      </w:r>
      <w:r w:rsidRPr="003967D3">
        <w:rPr>
          <w:iCs/>
        </w:rPr>
        <w:t>and conducted during the evaluation.</w:t>
      </w:r>
    </w:p>
    <w:p w14:paraId="0E3950BC" w14:textId="068B8D82" w:rsidR="00C0310A" w:rsidRPr="00C52646" w:rsidRDefault="00C0310A" w:rsidP="00F635FD">
      <w:pPr>
        <w:pStyle w:val="Caption"/>
      </w:pPr>
      <w:bookmarkStart w:id="69" w:name="_Ref113032350"/>
      <w:r w:rsidRPr="00C52646">
        <w:t xml:space="preserve">Table </w:t>
      </w:r>
      <w:fldSimple w:instr=" SEQ Table \* ARABIC " w:fldLock="1">
        <w:r w:rsidR="00B22386">
          <w:rPr>
            <w:noProof/>
          </w:rPr>
          <w:t>11</w:t>
        </w:r>
      </w:fldSimple>
      <w:bookmarkEnd w:id="69"/>
      <w:r w:rsidRPr="00C52646">
        <w:t>: Results of key sensitivity analyses</w:t>
      </w:r>
      <w:r w:rsidR="00C72550">
        <w:t xml:space="preserve"> (based on submission’s model)</w:t>
      </w:r>
    </w:p>
    <w:tbl>
      <w:tblPr>
        <w:tblStyle w:val="TableGrid"/>
        <w:tblW w:w="5000" w:type="pct"/>
        <w:tblCellMar>
          <w:left w:w="28" w:type="dxa"/>
          <w:right w:w="28" w:type="dxa"/>
        </w:tblCellMar>
        <w:tblLook w:val="04A0" w:firstRow="1" w:lastRow="0" w:firstColumn="1" w:lastColumn="0" w:noHBand="0" w:noVBand="1"/>
      </w:tblPr>
      <w:tblGrid>
        <w:gridCol w:w="3944"/>
        <w:gridCol w:w="1268"/>
        <w:gridCol w:w="1268"/>
        <w:gridCol w:w="1268"/>
        <w:gridCol w:w="1269"/>
      </w:tblGrid>
      <w:tr w:rsidR="00C0310A" w:rsidRPr="00C52646" w14:paraId="6165435F" w14:textId="77777777" w:rsidTr="00E36967">
        <w:trPr>
          <w:tblHeader/>
        </w:trPr>
        <w:tc>
          <w:tcPr>
            <w:tcW w:w="3944" w:type="dxa"/>
            <w:vAlign w:val="center"/>
          </w:tcPr>
          <w:p w14:paraId="47DAE3B6" w14:textId="77777777" w:rsidR="00C0310A" w:rsidRPr="00C52646" w:rsidRDefault="00C0310A">
            <w:pPr>
              <w:pStyle w:val="COMTableheadingrow"/>
              <w:keepNext w:val="0"/>
              <w:rPr>
                <w:lang w:val="en-AU"/>
              </w:rPr>
            </w:pPr>
            <w:r w:rsidRPr="00C52646">
              <w:rPr>
                <w:lang w:val="en-AU"/>
              </w:rPr>
              <w:t>Analyses</w:t>
            </w:r>
          </w:p>
        </w:tc>
        <w:tc>
          <w:tcPr>
            <w:tcW w:w="1268" w:type="dxa"/>
            <w:vAlign w:val="center"/>
          </w:tcPr>
          <w:p w14:paraId="335E856D" w14:textId="77777777" w:rsidR="00C0310A" w:rsidRPr="00C52646" w:rsidRDefault="00C0310A">
            <w:pPr>
              <w:pStyle w:val="COMTableheadingrow"/>
              <w:keepNext w:val="0"/>
              <w:jc w:val="center"/>
              <w:rPr>
                <w:lang w:val="en-AU"/>
              </w:rPr>
            </w:pPr>
            <w:r w:rsidRPr="00C52646">
              <w:rPr>
                <w:lang w:val="en-AU"/>
              </w:rPr>
              <w:t>Incremental cost</w:t>
            </w:r>
          </w:p>
        </w:tc>
        <w:tc>
          <w:tcPr>
            <w:tcW w:w="1268" w:type="dxa"/>
            <w:vAlign w:val="center"/>
          </w:tcPr>
          <w:p w14:paraId="4C3164F0" w14:textId="77777777" w:rsidR="00C0310A" w:rsidRPr="00C52646" w:rsidRDefault="00C0310A">
            <w:pPr>
              <w:pStyle w:val="COMTableheadingrow"/>
              <w:keepNext w:val="0"/>
              <w:jc w:val="center"/>
              <w:rPr>
                <w:lang w:val="en-AU"/>
              </w:rPr>
            </w:pPr>
            <w:r w:rsidRPr="00C52646">
              <w:rPr>
                <w:lang w:val="en-AU"/>
              </w:rPr>
              <w:t>Incremental QALYs</w:t>
            </w:r>
          </w:p>
        </w:tc>
        <w:tc>
          <w:tcPr>
            <w:tcW w:w="1268" w:type="dxa"/>
            <w:vAlign w:val="center"/>
          </w:tcPr>
          <w:p w14:paraId="1DFA29D3" w14:textId="77777777" w:rsidR="00C0310A" w:rsidRPr="00C52646" w:rsidRDefault="00C0310A">
            <w:pPr>
              <w:pStyle w:val="COMTableheadingrow"/>
              <w:keepNext w:val="0"/>
              <w:jc w:val="center"/>
              <w:rPr>
                <w:lang w:val="en-AU"/>
              </w:rPr>
            </w:pPr>
            <w:r w:rsidRPr="00C52646">
              <w:rPr>
                <w:lang w:val="en-AU"/>
              </w:rPr>
              <w:t>ICER</w:t>
            </w:r>
          </w:p>
        </w:tc>
        <w:tc>
          <w:tcPr>
            <w:tcW w:w="1269" w:type="dxa"/>
            <w:vAlign w:val="center"/>
          </w:tcPr>
          <w:p w14:paraId="212346F1" w14:textId="77777777" w:rsidR="00C0310A" w:rsidRPr="00C52646" w:rsidRDefault="00C0310A">
            <w:pPr>
              <w:pStyle w:val="COMTableheadingrow"/>
              <w:keepNext w:val="0"/>
              <w:jc w:val="center"/>
              <w:rPr>
                <w:lang w:val="en-AU"/>
              </w:rPr>
            </w:pPr>
            <w:r w:rsidRPr="00C52646">
              <w:rPr>
                <w:lang w:val="en-AU"/>
              </w:rPr>
              <w:t>% change from base case</w:t>
            </w:r>
          </w:p>
        </w:tc>
      </w:tr>
      <w:tr w:rsidR="00C0310A" w:rsidRPr="00C52646" w14:paraId="274268E4" w14:textId="77777777" w:rsidTr="00E36967">
        <w:tc>
          <w:tcPr>
            <w:tcW w:w="3944" w:type="dxa"/>
          </w:tcPr>
          <w:p w14:paraId="04D679B8" w14:textId="77777777" w:rsidR="00C0310A" w:rsidRPr="00C52646" w:rsidRDefault="00C0310A">
            <w:pPr>
              <w:pStyle w:val="COMTableheadingrow"/>
              <w:keepNext w:val="0"/>
              <w:rPr>
                <w:lang w:val="en-AU"/>
              </w:rPr>
            </w:pPr>
            <w:r w:rsidRPr="00C52646">
              <w:rPr>
                <w:lang w:val="en-AU"/>
              </w:rPr>
              <w:t>Base case</w:t>
            </w:r>
          </w:p>
        </w:tc>
        <w:tc>
          <w:tcPr>
            <w:tcW w:w="1268" w:type="dxa"/>
            <w:vAlign w:val="center"/>
          </w:tcPr>
          <w:p w14:paraId="33083208" w14:textId="6B2197E3" w:rsidR="00C0310A" w:rsidRPr="00C52646" w:rsidRDefault="00C0310A">
            <w:pPr>
              <w:pStyle w:val="COMTableheadingrow"/>
              <w:keepNext w:val="0"/>
              <w:jc w:val="center"/>
              <w:rPr>
                <w:lang w:val="en-AU"/>
              </w:rPr>
            </w:pPr>
            <w:r w:rsidRPr="00C52646">
              <w:rPr>
                <w:lang w:val="en-AU"/>
              </w:rPr>
              <w:t>$</w:t>
            </w:r>
            <w:r w:rsidR="00C52D99" w:rsidRPr="00120BCB">
              <w:rPr>
                <w:color w:val="000000"/>
                <w:spacing w:val="148"/>
                <w:shd w:val="solid" w:color="000000" w:fill="000000"/>
                <w:fitText w:val="240" w:id="-1280060155"/>
                <w:lang w:val="en-AU"/>
                <w14:textFill>
                  <w14:solidFill>
                    <w14:srgbClr w14:val="000000">
                      <w14:alpha w14:val="100000"/>
                    </w14:srgbClr>
                  </w14:solidFill>
                </w14:textFill>
              </w:rPr>
              <w:t>|</w:t>
            </w:r>
            <w:r w:rsidR="00C52D99" w:rsidRPr="00120BCB">
              <w:rPr>
                <w:color w:val="000000"/>
                <w:shd w:val="solid" w:color="000000" w:fill="000000"/>
                <w:fitText w:val="240" w:id="-1280060155"/>
                <w:lang w:val="en-AU"/>
                <w14:textFill>
                  <w14:solidFill>
                    <w14:srgbClr w14:val="000000">
                      <w14:alpha w14:val="100000"/>
                    </w14:srgbClr>
                  </w14:solidFill>
                </w14:textFill>
              </w:rPr>
              <w:t>|</w:t>
            </w:r>
          </w:p>
        </w:tc>
        <w:tc>
          <w:tcPr>
            <w:tcW w:w="1268" w:type="dxa"/>
            <w:vAlign w:val="center"/>
          </w:tcPr>
          <w:p w14:paraId="5C741A7F" w14:textId="77777777" w:rsidR="00C0310A" w:rsidRPr="00C52646" w:rsidRDefault="00C0310A">
            <w:pPr>
              <w:pStyle w:val="COMTableheadingrow"/>
              <w:keepNext w:val="0"/>
              <w:jc w:val="center"/>
              <w:rPr>
                <w:lang w:val="en-AU"/>
              </w:rPr>
            </w:pPr>
            <w:r w:rsidRPr="00C52646">
              <w:rPr>
                <w:lang w:val="en-AU"/>
              </w:rPr>
              <w:t>1.2061</w:t>
            </w:r>
          </w:p>
        </w:tc>
        <w:tc>
          <w:tcPr>
            <w:tcW w:w="1268" w:type="dxa"/>
            <w:vAlign w:val="center"/>
          </w:tcPr>
          <w:p w14:paraId="6D295FD0" w14:textId="3D0663CB" w:rsidR="00C0310A" w:rsidRPr="00471DDD" w:rsidRDefault="00C0310A">
            <w:pPr>
              <w:pStyle w:val="COMTableheadingrow"/>
              <w:keepNext w:val="0"/>
              <w:jc w:val="center"/>
              <w:rPr>
                <w:b w:val="0"/>
                <w:bCs/>
                <w:vertAlign w:val="superscript"/>
                <w:lang w:val="en-AU"/>
              </w:rPr>
            </w:pPr>
            <w:r w:rsidRPr="00C52646">
              <w:rPr>
                <w:lang w:val="en-AU"/>
              </w:rPr>
              <w:t>$</w:t>
            </w:r>
            <w:r w:rsidR="00C52D99" w:rsidRPr="00120BCB">
              <w:rPr>
                <w:color w:val="000000"/>
                <w:spacing w:val="178"/>
                <w:shd w:val="solid" w:color="000000" w:fill="000000"/>
                <w:fitText w:val="270" w:id="-1280060154"/>
                <w:lang w:val="en-AU"/>
                <w14:textFill>
                  <w14:solidFill>
                    <w14:srgbClr w14:val="000000">
                      <w14:alpha w14:val="100000"/>
                    </w14:srgbClr>
                  </w14:solidFill>
                </w14:textFill>
              </w:rPr>
              <w:t>|</w:t>
            </w:r>
            <w:r w:rsidR="00C52D99" w:rsidRPr="00120BCB">
              <w:rPr>
                <w:color w:val="000000"/>
                <w:shd w:val="solid" w:color="000000" w:fill="000000"/>
                <w:fitText w:val="270" w:id="-1280060154"/>
                <w:lang w:val="en-AU"/>
                <w14:textFill>
                  <w14:solidFill>
                    <w14:srgbClr w14:val="000000">
                      <w14:alpha w14:val="100000"/>
                    </w14:srgbClr>
                  </w14:solidFill>
                </w14:textFill>
              </w:rPr>
              <w:t>|</w:t>
            </w:r>
            <w:r w:rsidR="009D15AD">
              <w:rPr>
                <w:b w:val="0"/>
                <w:bCs/>
                <w:vertAlign w:val="superscript"/>
                <w:lang w:val="en-AU"/>
              </w:rPr>
              <w:t>1</w:t>
            </w:r>
          </w:p>
        </w:tc>
        <w:tc>
          <w:tcPr>
            <w:tcW w:w="1269" w:type="dxa"/>
            <w:vAlign w:val="center"/>
          </w:tcPr>
          <w:p w14:paraId="674D9B0E" w14:textId="77777777" w:rsidR="00C0310A" w:rsidRPr="00C52646" w:rsidRDefault="00C0310A">
            <w:pPr>
              <w:pStyle w:val="COMTableheadingrow"/>
              <w:keepNext w:val="0"/>
              <w:jc w:val="center"/>
              <w:rPr>
                <w:lang w:val="en-AU"/>
              </w:rPr>
            </w:pPr>
            <w:r w:rsidRPr="00C52646">
              <w:rPr>
                <w:lang w:val="en-AU"/>
              </w:rPr>
              <w:t>-</w:t>
            </w:r>
          </w:p>
        </w:tc>
      </w:tr>
      <w:tr w:rsidR="00C0310A" w:rsidRPr="00C52646" w14:paraId="63606019" w14:textId="77777777" w:rsidTr="006D7940">
        <w:tc>
          <w:tcPr>
            <w:tcW w:w="9017" w:type="dxa"/>
            <w:gridSpan w:val="5"/>
          </w:tcPr>
          <w:p w14:paraId="39BEAF85" w14:textId="77777777" w:rsidR="00C0310A" w:rsidRPr="00C52646" w:rsidRDefault="00C0310A">
            <w:pPr>
              <w:pStyle w:val="COMTableheadingrow"/>
              <w:keepNext w:val="0"/>
              <w:rPr>
                <w:b w:val="0"/>
                <w:bCs/>
                <w:lang w:val="en-AU"/>
              </w:rPr>
            </w:pPr>
            <w:r w:rsidRPr="00C52646">
              <w:rPr>
                <w:lang w:val="en-AU"/>
              </w:rPr>
              <w:t>Discount rate (base case 5% costs and outcomes)</w:t>
            </w:r>
          </w:p>
        </w:tc>
      </w:tr>
      <w:tr w:rsidR="00C0310A" w:rsidRPr="00C52646" w14:paraId="5FDEF5DA" w14:textId="77777777" w:rsidTr="00E36967">
        <w:tc>
          <w:tcPr>
            <w:tcW w:w="3944" w:type="dxa"/>
          </w:tcPr>
          <w:p w14:paraId="035396AC" w14:textId="77777777" w:rsidR="00C0310A" w:rsidRPr="00C52646" w:rsidRDefault="00C0310A">
            <w:pPr>
              <w:pStyle w:val="COMTableheadingrow"/>
              <w:keepNext w:val="0"/>
              <w:rPr>
                <w:b w:val="0"/>
                <w:bCs/>
                <w:lang w:val="en-AU"/>
              </w:rPr>
            </w:pPr>
            <w:r w:rsidRPr="00C52646">
              <w:rPr>
                <w:b w:val="0"/>
                <w:bCs/>
                <w:lang w:val="en-AU"/>
              </w:rPr>
              <w:t>- 0% costs and outcomes</w:t>
            </w:r>
          </w:p>
        </w:tc>
        <w:tc>
          <w:tcPr>
            <w:tcW w:w="1268" w:type="dxa"/>
            <w:vAlign w:val="center"/>
          </w:tcPr>
          <w:p w14:paraId="38C7F411" w14:textId="32ECB0E8" w:rsidR="00C0310A" w:rsidRPr="00C52646" w:rsidRDefault="00C0310A">
            <w:pPr>
              <w:pStyle w:val="COMTableheadingrow"/>
              <w:keepNext w:val="0"/>
              <w:jc w:val="center"/>
              <w:rPr>
                <w:b w:val="0"/>
                <w:bCs/>
                <w:lang w:val="en-AU"/>
              </w:rPr>
            </w:pPr>
            <w:r w:rsidRPr="00DB5B45">
              <w:rPr>
                <w:rFonts w:cs="Calibri"/>
                <w:b w:val="0"/>
                <w:bCs/>
                <w:color w:val="000000"/>
                <w:szCs w:val="20"/>
                <w:lang w:val="en-AU"/>
              </w:rPr>
              <w:t>$</w:t>
            </w:r>
            <w:r w:rsidR="00C52D99" w:rsidRPr="00120BCB">
              <w:rPr>
                <w:rFonts w:cs="Calibri"/>
                <w:b w:val="0"/>
                <w:bCs/>
                <w:color w:val="000000"/>
                <w:spacing w:val="174"/>
                <w:szCs w:val="20"/>
                <w:shd w:val="solid" w:color="000000" w:fill="000000"/>
                <w:fitText w:val="260" w:id="-1280060153"/>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60" w:id="-1280060153"/>
                <w:lang w:val="en-AU"/>
                <w14:textFill>
                  <w14:solidFill>
                    <w14:srgbClr w14:val="000000">
                      <w14:alpha w14:val="100000"/>
                    </w14:srgbClr>
                  </w14:solidFill>
                </w14:textFill>
              </w:rPr>
              <w:t>|</w:t>
            </w:r>
          </w:p>
        </w:tc>
        <w:tc>
          <w:tcPr>
            <w:tcW w:w="1268" w:type="dxa"/>
            <w:vAlign w:val="center"/>
          </w:tcPr>
          <w:p w14:paraId="69EAF0C4" w14:textId="77777777" w:rsidR="00C0310A" w:rsidRPr="00C52646" w:rsidRDefault="00C0310A">
            <w:pPr>
              <w:pStyle w:val="COMTableheadingrow"/>
              <w:keepNext w:val="0"/>
              <w:jc w:val="center"/>
              <w:rPr>
                <w:b w:val="0"/>
                <w:bCs/>
                <w:lang w:val="en-AU"/>
              </w:rPr>
            </w:pPr>
            <w:r w:rsidRPr="00DB5B45">
              <w:rPr>
                <w:rFonts w:cs="Calibri"/>
                <w:b w:val="0"/>
                <w:bCs/>
                <w:szCs w:val="20"/>
                <w:lang w:val="en-AU"/>
              </w:rPr>
              <w:t>2.3121</w:t>
            </w:r>
          </w:p>
        </w:tc>
        <w:tc>
          <w:tcPr>
            <w:tcW w:w="1268" w:type="dxa"/>
            <w:vAlign w:val="center"/>
          </w:tcPr>
          <w:p w14:paraId="75236FB5" w14:textId="53802290" w:rsidR="00C0310A" w:rsidRPr="00471DDD" w:rsidRDefault="00C0310A">
            <w:pPr>
              <w:pStyle w:val="COMTableheadingrow"/>
              <w:keepNext w:val="0"/>
              <w:jc w:val="center"/>
              <w:rPr>
                <w:b w:val="0"/>
                <w:bCs/>
                <w:vertAlign w:val="superscript"/>
                <w:lang w:val="en-AU"/>
              </w:rPr>
            </w:pPr>
            <w:r w:rsidRPr="00DB5B45">
              <w:rPr>
                <w:rFonts w:cs="Calibri"/>
                <w:b w:val="0"/>
                <w:bCs/>
                <w:color w:val="000000"/>
                <w:szCs w:val="20"/>
                <w:lang w:val="en-AU"/>
              </w:rPr>
              <w:t>$</w:t>
            </w:r>
            <w:r w:rsidR="00C52D99" w:rsidRPr="00120BCB">
              <w:rPr>
                <w:rFonts w:cs="Calibri"/>
                <w:b w:val="0"/>
                <w:bCs/>
                <w:color w:val="000000"/>
                <w:spacing w:val="204"/>
                <w:szCs w:val="20"/>
                <w:shd w:val="solid" w:color="000000" w:fill="000000"/>
                <w:fitText w:val="290" w:id="-1280060152"/>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90" w:id="-1280060152"/>
                <w:lang w:val="en-AU"/>
                <w14:textFill>
                  <w14:solidFill>
                    <w14:srgbClr w14:val="000000">
                      <w14:alpha w14:val="100000"/>
                    </w14:srgbClr>
                  </w14:solidFill>
                </w14:textFill>
              </w:rPr>
              <w:t>|</w:t>
            </w:r>
            <w:r w:rsidR="009D15AD">
              <w:rPr>
                <w:rFonts w:cs="Calibri"/>
                <w:b w:val="0"/>
                <w:bCs/>
                <w:color w:val="000000"/>
                <w:szCs w:val="20"/>
                <w:vertAlign w:val="superscript"/>
                <w:lang w:val="en-AU"/>
              </w:rPr>
              <w:t>2</w:t>
            </w:r>
          </w:p>
        </w:tc>
        <w:tc>
          <w:tcPr>
            <w:tcW w:w="1269" w:type="dxa"/>
            <w:vAlign w:val="center"/>
          </w:tcPr>
          <w:p w14:paraId="6B817128" w14:textId="77777777" w:rsidR="00C0310A" w:rsidRPr="00C52646" w:rsidRDefault="00C0310A">
            <w:pPr>
              <w:pStyle w:val="COMTableheadingrow"/>
              <w:keepNext w:val="0"/>
              <w:jc w:val="center"/>
              <w:rPr>
                <w:b w:val="0"/>
                <w:bCs/>
                <w:lang w:val="en-AU"/>
              </w:rPr>
            </w:pPr>
            <w:r w:rsidRPr="00DB5B45">
              <w:rPr>
                <w:rFonts w:cs="Calibri"/>
                <w:b w:val="0"/>
                <w:bCs/>
                <w:color w:val="000000"/>
                <w:szCs w:val="20"/>
                <w:lang w:val="en-AU"/>
              </w:rPr>
              <w:t>-44%</w:t>
            </w:r>
          </w:p>
        </w:tc>
      </w:tr>
      <w:tr w:rsidR="00C0310A" w:rsidRPr="00C52646" w14:paraId="7DD16D4C" w14:textId="77777777" w:rsidTr="00E36967">
        <w:tc>
          <w:tcPr>
            <w:tcW w:w="3944" w:type="dxa"/>
          </w:tcPr>
          <w:p w14:paraId="078AA2D0" w14:textId="77777777" w:rsidR="00C0310A" w:rsidRPr="00C52646" w:rsidRDefault="00C0310A">
            <w:pPr>
              <w:pStyle w:val="COMTableheadingrow"/>
              <w:keepNext w:val="0"/>
              <w:rPr>
                <w:b w:val="0"/>
                <w:bCs/>
                <w:lang w:val="en-AU"/>
              </w:rPr>
            </w:pPr>
            <w:r w:rsidRPr="00C52646">
              <w:rPr>
                <w:b w:val="0"/>
                <w:bCs/>
                <w:lang w:val="en-AU"/>
              </w:rPr>
              <w:t>- 3.5% costs and outcomes</w:t>
            </w:r>
          </w:p>
        </w:tc>
        <w:tc>
          <w:tcPr>
            <w:tcW w:w="1268" w:type="dxa"/>
            <w:vAlign w:val="center"/>
          </w:tcPr>
          <w:p w14:paraId="6C94A747" w14:textId="054A24B5" w:rsidR="00C0310A" w:rsidRPr="00C52646" w:rsidRDefault="00C0310A">
            <w:pPr>
              <w:pStyle w:val="COMTableheadingrow"/>
              <w:keepNext w:val="0"/>
              <w:jc w:val="center"/>
              <w:rPr>
                <w:b w:val="0"/>
                <w:bCs/>
                <w:lang w:val="en-AU"/>
              </w:rPr>
            </w:pPr>
            <w:r w:rsidRPr="00DB5B45">
              <w:rPr>
                <w:rFonts w:cs="Calibri"/>
                <w:b w:val="0"/>
                <w:bCs/>
                <w:color w:val="000000"/>
                <w:szCs w:val="20"/>
                <w:lang w:val="en-AU"/>
              </w:rPr>
              <w:t>$</w:t>
            </w:r>
            <w:r w:rsidR="00C52D99" w:rsidRPr="00120BCB">
              <w:rPr>
                <w:rFonts w:cs="Calibri"/>
                <w:b w:val="0"/>
                <w:bCs/>
                <w:color w:val="000000"/>
                <w:spacing w:val="174"/>
                <w:szCs w:val="20"/>
                <w:shd w:val="solid" w:color="000000" w:fill="000000"/>
                <w:fitText w:val="260" w:id="-1280060151"/>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60" w:id="-1280060151"/>
                <w:lang w:val="en-AU"/>
                <w14:textFill>
                  <w14:solidFill>
                    <w14:srgbClr w14:val="000000">
                      <w14:alpha w14:val="100000"/>
                    </w14:srgbClr>
                  </w14:solidFill>
                </w14:textFill>
              </w:rPr>
              <w:t>|</w:t>
            </w:r>
          </w:p>
        </w:tc>
        <w:tc>
          <w:tcPr>
            <w:tcW w:w="1268" w:type="dxa"/>
            <w:vAlign w:val="center"/>
          </w:tcPr>
          <w:p w14:paraId="1DE244F5" w14:textId="77777777" w:rsidR="00C0310A" w:rsidRPr="00C52646" w:rsidRDefault="00C0310A">
            <w:pPr>
              <w:pStyle w:val="COMTableheadingrow"/>
              <w:keepNext w:val="0"/>
              <w:jc w:val="center"/>
              <w:rPr>
                <w:b w:val="0"/>
                <w:bCs/>
                <w:lang w:val="en-AU"/>
              </w:rPr>
            </w:pPr>
            <w:r w:rsidRPr="00DB5B45">
              <w:rPr>
                <w:rFonts w:cs="Calibri"/>
                <w:b w:val="0"/>
                <w:bCs/>
                <w:szCs w:val="20"/>
                <w:lang w:val="en-AU"/>
              </w:rPr>
              <w:t>1.4643</w:t>
            </w:r>
          </w:p>
        </w:tc>
        <w:tc>
          <w:tcPr>
            <w:tcW w:w="1268" w:type="dxa"/>
            <w:vAlign w:val="center"/>
          </w:tcPr>
          <w:p w14:paraId="0C7C2FB7" w14:textId="4639A0D9" w:rsidR="00C0310A" w:rsidRPr="00471DDD" w:rsidRDefault="00C0310A">
            <w:pPr>
              <w:pStyle w:val="COMTableheadingrow"/>
              <w:keepNext w:val="0"/>
              <w:jc w:val="center"/>
              <w:rPr>
                <w:b w:val="0"/>
                <w:bCs/>
                <w:vertAlign w:val="superscript"/>
                <w:lang w:val="en-AU"/>
              </w:rPr>
            </w:pPr>
            <w:r w:rsidRPr="00DB5B45">
              <w:rPr>
                <w:rFonts w:cs="Calibri"/>
                <w:b w:val="0"/>
                <w:bCs/>
                <w:color w:val="000000"/>
                <w:szCs w:val="20"/>
                <w:lang w:val="en-AU"/>
              </w:rPr>
              <w:t>$</w:t>
            </w:r>
            <w:r w:rsidR="00C52D99" w:rsidRPr="00120BCB">
              <w:rPr>
                <w:rFonts w:cs="Calibri"/>
                <w:b w:val="0"/>
                <w:bCs/>
                <w:color w:val="000000"/>
                <w:spacing w:val="204"/>
                <w:szCs w:val="20"/>
                <w:shd w:val="solid" w:color="000000" w:fill="000000"/>
                <w:fitText w:val="290" w:id="-1280060150"/>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90" w:id="-1280060150"/>
                <w:lang w:val="en-AU"/>
                <w14:textFill>
                  <w14:solidFill>
                    <w14:srgbClr w14:val="000000">
                      <w14:alpha w14:val="100000"/>
                    </w14:srgbClr>
                  </w14:solidFill>
                </w14:textFill>
              </w:rPr>
              <w:t>|</w:t>
            </w:r>
            <w:r w:rsidR="009D15AD">
              <w:rPr>
                <w:rFonts w:cs="Calibri"/>
                <w:b w:val="0"/>
                <w:bCs/>
                <w:color w:val="000000"/>
                <w:szCs w:val="20"/>
                <w:vertAlign w:val="superscript"/>
                <w:lang w:val="en-AU"/>
              </w:rPr>
              <w:t>3</w:t>
            </w:r>
          </w:p>
        </w:tc>
        <w:tc>
          <w:tcPr>
            <w:tcW w:w="1269" w:type="dxa"/>
            <w:vAlign w:val="center"/>
          </w:tcPr>
          <w:p w14:paraId="133F489D" w14:textId="77777777" w:rsidR="00C0310A" w:rsidRPr="00C52646" w:rsidRDefault="00C0310A">
            <w:pPr>
              <w:pStyle w:val="COMTableheadingrow"/>
              <w:keepNext w:val="0"/>
              <w:jc w:val="center"/>
              <w:rPr>
                <w:b w:val="0"/>
                <w:bCs/>
                <w:lang w:val="en-AU"/>
              </w:rPr>
            </w:pPr>
            <w:r w:rsidRPr="00DB5B45">
              <w:rPr>
                <w:rFonts w:cs="Calibri"/>
                <w:b w:val="0"/>
                <w:bCs/>
                <w:color w:val="000000"/>
                <w:szCs w:val="20"/>
                <w:lang w:val="en-AU"/>
              </w:rPr>
              <w:t>-16%</w:t>
            </w:r>
          </w:p>
        </w:tc>
      </w:tr>
      <w:tr w:rsidR="00C0310A" w:rsidRPr="00C52646" w14:paraId="704CDC04" w14:textId="77777777" w:rsidTr="00E36967">
        <w:tc>
          <w:tcPr>
            <w:tcW w:w="3944" w:type="dxa"/>
          </w:tcPr>
          <w:p w14:paraId="665AFAA3" w14:textId="77777777" w:rsidR="00C0310A" w:rsidRPr="00C52646" w:rsidRDefault="00C0310A">
            <w:pPr>
              <w:pStyle w:val="COMTableheadingrow"/>
              <w:keepNext w:val="0"/>
              <w:rPr>
                <w:b w:val="0"/>
                <w:bCs/>
                <w:lang w:val="en-AU"/>
              </w:rPr>
            </w:pPr>
            <w:r w:rsidRPr="00C52646">
              <w:rPr>
                <w:lang w:val="en-AU"/>
              </w:rPr>
              <w:t>Time horizon (base case 20 years)</w:t>
            </w:r>
          </w:p>
        </w:tc>
        <w:tc>
          <w:tcPr>
            <w:tcW w:w="1268" w:type="dxa"/>
            <w:vAlign w:val="center"/>
          </w:tcPr>
          <w:p w14:paraId="4B4E2D22" w14:textId="77777777" w:rsidR="00C0310A" w:rsidRPr="00C52646" w:rsidRDefault="00C0310A">
            <w:pPr>
              <w:pStyle w:val="COMTableheadingrow"/>
              <w:keepNext w:val="0"/>
              <w:jc w:val="center"/>
              <w:rPr>
                <w:b w:val="0"/>
                <w:bCs/>
                <w:lang w:val="en-AU"/>
              </w:rPr>
            </w:pPr>
          </w:p>
        </w:tc>
        <w:tc>
          <w:tcPr>
            <w:tcW w:w="1268" w:type="dxa"/>
            <w:vAlign w:val="center"/>
          </w:tcPr>
          <w:p w14:paraId="11265D1A" w14:textId="77777777" w:rsidR="00C0310A" w:rsidRPr="00C52646" w:rsidRDefault="00C0310A">
            <w:pPr>
              <w:pStyle w:val="COMTableheadingrow"/>
              <w:keepNext w:val="0"/>
              <w:jc w:val="center"/>
              <w:rPr>
                <w:b w:val="0"/>
                <w:bCs/>
                <w:lang w:val="en-AU"/>
              </w:rPr>
            </w:pPr>
          </w:p>
        </w:tc>
        <w:tc>
          <w:tcPr>
            <w:tcW w:w="1268" w:type="dxa"/>
            <w:vAlign w:val="center"/>
          </w:tcPr>
          <w:p w14:paraId="07CE6991" w14:textId="77777777" w:rsidR="00C0310A" w:rsidRPr="00C52646" w:rsidRDefault="00C0310A">
            <w:pPr>
              <w:pStyle w:val="COMTableheadingrow"/>
              <w:keepNext w:val="0"/>
              <w:jc w:val="center"/>
              <w:rPr>
                <w:b w:val="0"/>
                <w:bCs/>
                <w:lang w:val="en-AU"/>
              </w:rPr>
            </w:pPr>
          </w:p>
        </w:tc>
        <w:tc>
          <w:tcPr>
            <w:tcW w:w="1269" w:type="dxa"/>
            <w:vAlign w:val="center"/>
          </w:tcPr>
          <w:p w14:paraId="14B49F38" w14:textId="77777777" w:rsidR="00C0310A" w:rsidRPr="00C52646" w:rsidRDefault="00C0310A">
            <w:pPr>
              <w:pStyle w:val="COMTableheadingrow"/>
              <w:keepNext w:val="0"/>
              <w:jc w:val="center"/>
              <w:rPr>
                <w:b w:val="0"/>
                <w:bCs/>
                <w:lang w:val="en-AU"/>
              </w:rPr>
            </w:pPr>
          </w:p>
        </w:tc>
      </w:tr>
      <w:tr w:rsidR="00C0310A" w:rsidRPr="003967D3" w14:paraId="5C8443FE" w14:textId="77777777" w:rsidTr="00E36967">
        <w:tc>
          <w:tcPr>
            <w:tcW w:w="3944" w:type="dxa"/>
          </w:tcPr>
          <w:p w14:paraId="4FA179E4" w14:textId="77777777" w:rsidR="00C0310A" w:rsidRPr="003967D3" w:rsidRDefault="00C0310A">
            <w:pPr>
              <w:pStyle w:val="COMTableheadingrow"/>
              <w:keepNext w:val="0"/>
              <w:rPr>
                <w:b w:val="0"/>
                <w:bCs/>
                <w:iCs/>
                <w:lang w:val="en-AU"/>
              </w:rPr>
            </w:pPr>
            <w:r w:rsidRPr="003967D3">
              <w:rPr>
                <w:b w:val="0"/>
                <w:bCs/>
                <w:iCs/>
                <w:lang w:val="en-AU"/>
              </w:rPr>
              <w:t>- 5 years</w:t>
            </w:r>
          </w:p>
        </w:tc>
        <w:tc>
          <w:tcPr>
            <w:tcW w:w="1268" w:type="dxa"/>
            <w:vAlign w:val="center"/>
          </w:tcPr>
          <w:p w14:paraId="00CE0429" w14:textId="29AFA7A8" w:rsidR="00C0310A" w:rsidRPr="003967D3" w:rsidRDefault="00C0310A">
            <w:pPr>
              <w:pStyle w:val="COMTableheadingrow"/>
              <w:keepNext w:val="0"/>
              <w:jc w:val="center"/>
              <w:rPr>
                <w:b w:val="0"/>
                <w:bCs/>
                <w:iCs/>
                <w:lang w:val="en-AU"/>
              </w:rPr>
            </w:pPr>
            <w:r w:rsidRPr="003967D3">
              <w:rPr>
                <w:rFonts w:cs="Calibri"/>
                <w:b w:val="0"/>
                <w:bCs/>
                <w:iCs/>
                <w:szCs w:val="20"/>
                <w:lang w:val="en-AU"/>
              </w:rPr>
              <w:t>$</w:t>
            </w:r>
            <w:r w:rsidR="00C52D99" w:rsidRPr="00120BCB">
              <w:rPr>
                <w:rFonts w:cs="Calibri"/>
                <w:b w:val="0"/>
                <w:bCs/>
                <w:iCs/>
                <w:color w:val="000000"/>
                <w:spacing w:val="174"/>
                <w:szCs w:val="20"/>
                <w:shd w:val="solid" w:color="000000" w:fill="000000"/>
                <w:fitText w:val="260" w:id="-1280060149"/>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60" w:id="-1280060149"/>
                <w:lang w:val="en-AU"/>
                <w14:textFill>
                  <w14:solidFill>
                    <w14:srgbClr w14:val="000000">
                      <w14:alpha w14:val="100000"/>
                    </w14:srgbClr>
                  </w14:solidFill>
                </w14:textFill>
              </w:rPr>
              <w:t>|</w:t>
            </w:r>
          </w:p>
        </w:tc>
        <w:tc>
          <w:tcPr>
            <w:tcW w:w="1268" w:type="dxa"/>
            <w:vAlign w:val="center"/>
          </w:tcPr>
          <w:p w14:paraId="7A8254AF" w14:textId="77777777" w:rsidR="00C0310A" w:rsidRPr="003967D3" w:rsidRDefault="00C0310A">
            <w:pPr>
              <w:pStyle w:val="COMTableheadingrow"/>
              <w:keepNext w:val="0"/>
              <w:jc w:val="center"/>
              <w:rPr>
                <w:b w:val="0"/>
                <w:bCs/>
                <w:iCs/>
                <w:lang w:val="en-AU"/>
              </w:rPr>
            </w:pPr>
            <w:r w:rsidRPr="003967D3">
              <w:rPr>
                <w:rFonts w:cs="Calibri"/>
                <w:b w:val="0"/>
                <w:bCs/>
                <w:iCs/>
                <w:szCs w:val="20"/>
                <w:lang w:val="en-AU"/>
              </w:rPr>
              <w:t>-0.2653</w:t>
            </w:r>
          </w:p>
        </w:tc>
        <w:tc>
          <w:tcPr>
            <w:tcW w:w="1268" w:type="dxa"/>
            <w:vAlign w:val="center"/>
          </w:tcPr>
          <w:p w14:paraId="74F7BBD4" w14:textId="77777777"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Dominated</w:t>
            </w:r>
          </w:p>
        </w:tc>
        <w:tc>
          <w:tcPr>
            <w:tcW w:w="1269" w:type="dxa"/>
          </w:tcPr>
          <w:p w14:paraId="5EED9BF1" w14:textId="77777777" w:rsidR="00C0310A" w:rsidRPr="003967D3" w:rsidRDefault="00C0310A">
            <w:pPr>
              <w:pStyle w:val="COMTableheadingrow"/>
              <w:keepNext w:val="0"/>
              <w:jc w:val="center"/>
              <w:rPr>
                <w:b w:val="0"/>
                <w:bCs/>
                <w:iCs/>
                <w:lang w:val="en-AU"/>
              </w:rPr>
            </w:pPr>
            <w:r w:rsidRPr="003967D3">
              <w:rPr>
                <w:b w:val="0"/>
                <w:bCs/>
                <w:lang w:val="en-AU"/>
              </w:rPr>
              <w:t>-</w:t>
            </w:r>
          </w:p>
        </w:tc>
      </w:tr>
      <w:tr w:rsidR="00C0310A" w:rsidRPr="003967D3" w14:paraId="0D4B2339" w14:textId="77777777" w:rsidTr="00E36967">
        <w:tc>
          <w:tcPr>
            <w:tcW w:w="3944" w:type="dxa"/>
          </w:tcPr>
          <w:p w14:paraId="59314023" w14:textId="77777777" w:rsidR="00C0310A" w:rsidRPr="003967D3" w:rsidRDefault="00C0310A">
            <w:pPr>
              <w:pStyle w:val="COMTableheadingrow"/>
              <w:keepNext w:val="0"/>
              <w:rPr>
                <w:b w:val="0"/>
                <w:bCs/>
                <w:iCs/>
                <w:lang w:val="en-AU"/>
              </w:rPr>
            </w:pPr>
            <w:r w:rsidRPr="003967D3">
              <w:rPr>
                <w:b w:val="0"/>
                <w:bCs/>
                <w:iCs/>
                <w:lang w:val="en-AU"/>
              </w:rPr>
              <w:t>- 10 years</w:t>
            </w:r>
          </w:p>
        </w:tc>
        <w:tc>
          <w:tcPr>
            <w:tcW w:w="1268" w:type="dxa"/>
            <w:vAlign w:val="center"/>
          </w:tcPr>
          <w:p w14:paraId="517668E3" w14:textId="45D5E581" w:rsidR="00C0310A" w:rsidRPr="003967D3" w:rsidRDefault="00C0310A">
            <w:pPr>
              <w:pStyle w:val="COMTableheadingrow"/>
              <w:keepNext w:val="0"/>
              <w:jc w:val="center"/>
              <w:rPr>
                <w:rFonts w:cs="Calibri"/>
                <w:b w:val="0"/>
                <w:bCs/>
                <w:iCs/>
                <w:color w:val="000000"/>
                <w:szCs w:val="20"/>
                <w:lang w:val="en-AU"/>
              </w:rPr>
            </w:pPr>
            <w:r w:rsidRPr="003967D3">
              <w:rPr>
                <w:rFonts w:cs="Calibri"/>
                <w:b w:val="0"/>
                <w:bCs/>
                <w:iCs/>
                <w:color w:val="000000"/>
                <w:szCs w:val="20"/>
                <w:lang w:val="en-AU"/>
              </w:rPr>
              <w:t>$</w:t>
            </w:r>
            <w:r w:rsidR="00C52D99" w:rsidRPr="00120BCB">
              <w:rPr>
                <w:rFonts w:cs="Calibri"/>
                <w:b w:val="0"/>
                <w:bCs/>
                <w:iCs/>
                <w:color w:val="000000"/>
                <w:spacing w:val="174"/>
                <w:szCs w:val="20"/>
                <w:shd w:val="solid" w:color="000000" w:fill="000000"/>
                <w:fitText w:val="260" w:id="-1280060148"/>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60" w:id="-1280060148"/>
                <w:lang w:val="en-AU"/>
                <w14:textFill>
                  <w14:solidFill>
                    <w14:srgbClr w14:val="000000">
                      <w14:alpha w14:val="100000"/>
                    </w14:srgbClr>
                  </w14:solidFill>
                </w14:textFill>
              </w:rPr>
              <w:t>|</w:t>
            </w:r>
          </w:p>
        </w:tc>
        <w:tc>
          <w:tcPr>
            <w:tcW w:w="1268" w:type="dxa"/>
            <w:vAlign w:val="center"/>
          </w:tcPr>
          <w:p w14:paraId="46A2B511" w14:textId="77777777" w:rsidR="00C0310A" w:rsidRPr="003967D3" w:rsidRDefault="00C0310A">
            <w:pPr>
              <w:pStyle w:val="COMTableheadingrow"/>
              <w:keepNext w:val="0"/>
              <w:jc w:val="center"/>
              <w:rPr>
                <w:rFonts w:cs="Calibri"/>
                <w:b w:val="0"/>
                <w:bCs/>
                <w:iCs/>
                <w:szCs w:val="20"/>
                <w:lang w:val="en-AU"/>
              </w:rPr>
            </w:pPr>
            <w:r w:rsidRPr="003967D3">
              <w:rPr>
                <w:rFonts w:cs="Calibri"/>
                <w:b w:val="0"/>
                <w:bCs/>
                <w:iCs/>
                <w:szCs w:val="20"/>
                <w:lang w:val="en-AU"/>
              </w:rPr>
              <w:t>0.3766</w:t>
            </w:r>
          </w:p>
        </w:tc>
        <w:tc>
          <w:tcPr>
            <w:tcW w:w="1268" w:type="dxa"/>
            <w:vAlign w:val="center"/>
          </w:tcPr>
          <w:p w14:paraId="6B091687" w14:textId="14965BF2" w:rsidR="00C0310A" w:rsidRPr="00471DDD" w:rsidRDefault="00C0310A">
            <w:pPr>
              <w:pStyle w:val="COMTableheadingrow"/>
              <w:keepNext w:val="0"/>
              <w:jc w:val="center"/>
              <w:rPr>
                <w:rFonts w:cs="Calibri"/>
                <w:b w:val="0"/>
                <w:bCs/>
                <w:iCs/>
                <w:color w:val="000000"/>
                <w:szCs w:val="20"/>
                <w:vertAlign w:val="superscript"/>
                <w:lang w:val="en-AU"/>
              </w:rPr>
            </w:pPr>
            <w:r w:rsidRPr="003967D3">
              <w:rPr>
                <w:rFonts w:cs="Calibri"/>
                <w:b w:val="0"/>
                <w:bCs/>
                <w:iCs/>
                <w:color w:val="000000"/>
                <w:szCs w:val="20"/>
                <w:lang w:val="en-AU"/>
              </w:rPr>
              <w:t>$</w:t>
            </w:r>
            <w:r w:rsidR="00C52D99" w:rsidRPr="00120BCB">
              <w:rPr>
                <w:rFonts w:cs="Calibri"/>
                <w:b w:val="0"/>
                <w:bCs/>
                <w:iCs/>
                <w:color w:val="000000"/>
                <w:spacing w:val="204"/>
                <w:szCs w:val="20"/>
                <w:shd w:val="solid" w:color="000000" w:fill="000000"/>
                <w:fitText w:val="290" w:id="-1280060147"/>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90" w:id="-1280060147"/>
                <w:lang w:val="en-AU"/>
                <w14:textFill>
                  <w14:solidFill>
                    <w14:srgbClr w14:val="000000">
                      <w14:alpha w14:val="100000"/>
                    </w14:srgbClr>
                  </w14:solidFill>
                </w14:textFill>
              </w:rPr>
              <w:t>|</w:t>
            </w:r>
            <w:r w:rsidR="009D15AD">
              <w:rPr>
                <w:rFonts w:cs="Calibri"/>
                <w:b w:val="0"/>
                <w:bCs/>
                <w:iCs/>
                <w:color w:val="000000"/>
                <w:szCs w:val="20"/>
                <w:vertAlign w:val="superscript"/>
                <w:lang w:val="en-AU"/>
              </w:rPr>
              <w:t>4</w:t>
            </w:r>
          </w:p>
        </w:tc>
        <w:tc>
          <w:tcPr>
            <w:tcW w:w="1269" w:type="dxa"/>
            <w:vAlign w:val="center"/>
          </w:tcPr>
          <w:p w14:paraId="56B23293" w14:textId="77777777" w:rsidR="00C0310A" w:rsidRPr="003967D3" w:rsidRDefault="00C0310A">
            <w:pPr>
              <w:pStyle w:val="COMTableheadingrow"/>
              <w:keepNext w:val="0"/>
              <w:jc w:val="center"/>
              <w:rPr>
                <w:rFonts w:cs="Calibri"/>
                <w:b w:val="0"/>
                <w:bCs/>
                <w:iCs/>
                <w:color w:val="000000"/>
                <w:szCs w:val="20"/>
                <w:lang w:val="en-AU"/>
              </w:rPr>
            </w:pPr>
            <w:r w:rsidRPr="003967D3">
              <w:rPr>
                <w:rFonts w:cs="Calibri"/>
                <w:b w:val="0"/>
                <w:bCs/>
                <w:iCs/>
                <w:color w:val="000000"/>
                <w:szCs w:val="20"/>
                <w:lang w:val="en-AU"/>
              </w:rPr>
              <w:t>+189%</w:t>
            </w:r>
          </w:p>
        </w:tc>
      </w:tr>
      <w:tr w:rsidR="00C0310A" w:rsidRPr="00C52646" w14:paraId="0A6FB2BB" w14:textId="77777777" w:rsidTr="00E36967">
        <w:tc>
          <w:tcPr>
            <w:tcW w:w="3944" w:type="dxa"/>
          </w:tcPr>
          <w:p w14:paraId="1692F1D0" w14:textId="77777777" w:rsidR="00C0310A" w:rsidRPr="00C52646" w:rsidRDefault="00C0310A">
            <w:pPr>
              <w:pStyle w:val="COMTableheadingrow"/>
              <w:keepNext w:val="0"/>
              <w:rPr>
                <w:b w:val="0"/>
                <w:bCs/>
                <w:lang w:val="en-AU"/>
              </w:rPr>
            </w:pPr>
            <w:r w:rsidRPr="00C52646">
              <w:rPr>
                <w:b w:val="0"/>
                <w:bCs/>
                <w:lang w:val="en-AU"/>
              </w:rPr>
              <w:t>- 15 years</w:t>
            </w:r>
          </w:p>
        </w:tc>
        <w:tc>
          <w:tcPr>
            <w:tcW w:w="1268" w:type="dxa"/>
            <w:vAlign w:val="center"/>
          </w:tcPr>
          <w:p w14:paraId="1E538391" w14:textId="49A77D9E" w:rsidR="00C0310A" w:rsidRPr="00C52646" w:rsidRDefault="00C0310A">
            <w:pPr>
              <w:pStyle w:val="COMTableheadingrow"/>
              <w:keepNext w:val="0"/>
              <w:jc w:val="center"/>
              <w:rPr>
                <w:b w:val="0"/>
                <w:bCs/>
                <w:lang w:val="en-AU"/>
              </w:rPr>
            </w:pPr>
            <w:r w:rsidRPr="00DB5B45">
              <w:rPr>
                <w:rFonts w:cs="Calibri"/>
                <w:b w:val="0"/>
                <w:bCs/>
                <w:szCs w:val="20"/>
                <w:lang w:val="en-AU"/>
              </w:rPr>
              <w:t>$</w:t>
            </w:r>
            <w:r w:rsidR="00C52D99" w:rsidRPr="00120BCB">
              <w:rPr>
                <w:rFonts w:cs="Calibri"/>
                <w:b w:val="0"/>
                <w:bCs/>
                <w:color w:val="000000"/>
                <w:spacing w:val="174"/>
                <w:szCs w:val="20"/>
                <w:shd w:val="solid" w:color="000000" w:fill="000000"/>
                <w:fitText w:val="260" w:id="-1280060146"/>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60" w:id="-1280060146"/>
                <w:lang w:val="en-AU"/>
                <w14:textFill>
                  <w14:solidFill>
                    <w14:srgbClr w14:val="000000">
                      <w14:alpha w14:val="100000"/>
                    </w14:srgbClr>
                  </w14:solidFill>
                </w14:textFill>
              </w:rPr>
              <w:t>|</w:t>
            </w:r>
          </w:p>
        </w:tc>
        <w:tc>
          <w:tcPr>
            <w:tcW w:w="1268" w:type="dxa"/>
            <w:vAlign w:val="center"/>
          </w:tcPr>
          <w:p w14:paraId="04EB24B3" w14:textId="77777777" w:rsidR="00C0310A" w:rsidRPr="00C52646" w:rsidRDefault="00C0310A">
            <w:pPr>
              <w:pStyle w:val="COMTableheadingrow"/>
              <w:keepNext w:val="0"/>
              <w:jc w:val="center"/>
              <w:rPr>
                <w:b w:val="0"/>
                <w:bCs/>
                <w:lang w:val="en-AU"/>
              </w:rPr>
            </w:pPr>
            <w:r w:rsidRPr="00DB5B45">
              <w:rPr>
                <w:rFonts w:cs="Calibri"/>
                <w:b w:val="0"/>
                <w:bCs/>
                <w:szCs w:val="20"/>
                <w:lang w:val="en-AU"/>
              </w:rPr>
              <w:t>0.9366</w:t>
            </w:r>
          </w:p>
        </w:tc>
        <w:tc>
          <w:tcPr>
            <w:tcW w:w="1268" w:type="dxa"/>
            <w:vAlign w:val="center"/>
          </w:tcPr>
          <w:p w14:paraId="4BEBA465" w14:textId="541DE8B8" w:rsidR="00C0310A" w:rsidRPr="00471DDD" w:rsidRDefault="00C0310A">
            <w:pPr>
              <w:pStyle w:val="COMTableheadingrow"/>
              <w:keepNext w:val="0"/>
              <w:jc w:val="center"/>
              <w:rPr>
                <w:b w:val="0"/>
                <w:bCs/>
                <w:vertAlign w:val="superscript"/>
                <w:lang w:val="en-AU"/>
              </w:rPr>
            </w:pPr>
            <w:r w:rsidRPr="00DB5B45">
              <w:rPr>
                <w:rFonts w:cs="Calibri"/>
                <w:b w:val="0"/>
                <w:bCs/>
                <w:color w:val="000000"/>
                <w:szCs w:val="20"/>
                <w:lang w:val="en-AU"/>
              </w:rPr>
              <w:t>$</w:t>
            </w:r>
            <w:r w:rsidR="00C52D99" w:rsidRPr="00120BCB">
              <w:rPr>
                <w:rFonts w:cs="Calibri"/>
                <w:b w:val="0"/>
                <w:bCs/>
                <w:color w:val="000000"/>
                <w:spacing w:val="204"/>
                <w:szCs w:val="20"/>
                <w:shd w:val="solid" w:color="000000" w:fill="000000"/>
                <w:fitText w:val="290" w:id="-1280060145"/>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90" w:id="-1280060145"/>
                <w:lang w:val="en-AU"/>
                <w14:textFill>
                  <w14:solidFill>
                    <w14:srgbClr w14:val="000000">
                      <w14:alpha w14:val="100000"/>
                    </w14:srgbClr>
                  </w14:solidFill>
                </w14:textFill>
              </w:rPr>
              <w:t>|</w:t>
            </w:r>
            <w:r w:rsidR="009D15AD" w:rsidRPr="00471DDD">
              <w:rPr>
                <w:rFonts w:cs="Calibri"/>
                <w:b w:val="0"/>
                <w:bCs/>
                <w:color w:val="000000"/>
                <w:szCs w:val="20"/>
                <w:vertAlign w:val="superscript"/>
                <w:lang w:val="en-AU"/>
              </w:rPr>
              <w:t>5</w:t>
            </w:r>
          </w:p>
        </w:tc>
        <w:tc>
          <w:tcPr>
            <w:tcW w:w="1269" w:type="dxa"/>
            <w:vAlign w:val="center"/>
          </w:tcPr>
          <w:p w14:paraId="2A0E8777" w14:textId="77777777" w:rsidR="00C0310A" w:rsidRPr="00C52646" w:rsidRDefault="00C0310A">
            <w:pPr>
              <w:pStyle w:val="COMTableheadingrow"/>
              <w:keepNext w:val="0"/>
              <w:jc w:val="center"/>
              <w:rPr>
                <w:b w:val="0"/>
                <w:bCs/>
                <w:lang w:val="en-AU"/>
              </w:rPr>
            </w:pPr>
            <w:r w:rsidRPr="00DB5B45">
              <w:rPr>
                <w:rFonts w:cs="Calibri"/>
                <w:b w:val="0"/>
                <w:bCs/>
                <w:color w:val="000000"/>
                <w:szCs w:val="20"/>
                <w:lang w:val="en-AU"/>
              </w:rPr>
              <w:t>+24%</w:t>
            </w:r>
          </w:p>
        </w:tc>
      </w:tr>
      <w:tr w:rsidR="00C0310A" w:rsidRPr="00C52646" w14:paraId="1D071BD6" w14:textId="77777777" w:rsidTr="006D7940">
        <w:tc>
          <w:tcPr>
            <w:tcW w:w="9017" w:type="dxa"/>
            <w:gridSpan w:val="5"/>
          </w:tcPr>
          <w:p w14:paraId="6872F3FD" w14:textId="77777777" w:rsidR="00C0310A" w:rsidRPr="00C52646" w:rsidRDefault="00C0310A">
            <w:pPr>
              <w:pStyle w:val="COMTableheadingrow"/>
              <w:keepNext w:val="0"/>
              <w:rPr>
                <w:lang w:val="en-AU"/>
              </w:rPr>
            </w:pPr>
            <w:r w:rsidRPr="00C52646">
              <w:rPr>
                <w:lang w:val="en-AU"/>
              </w:rPr>
              <w:t>Progression-free survival (base case single parametric function fitted with treatment term; generalised gamma)</w:t>
            </w:r>
          </w:p>
        </w:tc>
      </w:tr>
      <w:tr w:rsidR="00C0310A" w:rsidRPr="00C52646" w14:paraId="7598798C" w14:textId="77777777" w:rsidTr="00E36967">
        <w:tc>
          <w:tcPr>
            <w:tcW w:w="3944" w:type="dxa"/>
          </w:tcPr>
          <w:p w14:paraId="61CB51B2" w14:textId="77777777" w:rsidR="00C0310A" w:rsidRPr="00C52646" w:rsidRDefault="00C0310A">
            <w:pPr>
              <w:pStyle w:val="COMTableheadingrow"/>
              <w:keepNext w:val="0"/>
              <w:rPr>
                <w:b w:val="0"/>
                <w:bCs/>
                <w:lang w:val="en-AU"/>
              </w:rPr>
            </w:pPr>
            <w:r w:rsidRPr="00C52646">
              <w:rPr>
                <w:b w:val="0"/>
                <w:bCs/>
                <w:lang w:val="en-AU"/>
              </w:rPr>
              <w:t>- Weibull</w:t>
            </w:r>
          </w:p>
        </w:tc>
        <w:tc>
          <w:tcPr>
            <w:tcW w:w="1268" w:type="dxa"/>
            <w:vAlign w:val="center"/>
          </w:tcPr>
          <w:p w14:paraId="500A1106" w14:textId="09529BE9" w:rsidR="00C0310A" w:rsidRPr="00C52646" w:rsidRDefault="00C0310A">
            <w:pPr>
              <w:pStyle w:val="COMTableheadingrow"/>
              <w:keepNext w:val="0"/>
              <w:jc w:val="center"/>
              <w:rPr>
                <w:b w:val="0"/>
                <w:bCs/>
                <w:lang w:val="en-AU"/>
              </w:rPr>
            </w:pPr>
            <w:r w:rsidRPr="00DB5B45">
              <w:rPr>
                <w:rFonts w:cs="Calibri"/>
                <w:b w:val="0"/>
                <w:bCs/>
                <w:color w:val="000000"/>
                <w:szCs w:val="20"/>
                <w:lang w:val="en-AU"/>
              </w:rPr>
              <w:t>$</w:t>
            </w:r>
            <w:r w:rsidR="00C52D99" w:rsidRPr="00120BCB">
              <w:rPr>
                <w:rFonts w:cs="Calibri"/>
                <w:b w:val="0"/>
                <w:bCs/>
                <w:color w:val="000000"/>
                <w:spacing w:val="174"/>
                <w:szCs w:val="20"/>
                <w:shd w:val="solid" w:color="000000" w:fill="000000"/>
                <w:fitText w:val="260" w:id="-1280060144"/>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60" w:id="-1280060144"/>
                <w:lang w:val="en-AU"/>
                <w14:textFill>
                  <w14:solidFill>
                    <w14:srgbClr w14:val="000000">
                      <w14:alpha w14:val="100000"/>
                    </w14:srgbClr>
                  </w14:solidFill>
                </w14:textFill>
              </w:rPr>
              <w:t>|</w:t>
            </w:r>
          </w:p>
        </w:tc>
        <w:tc>
          <w:tcPr>
            <w:tcW w:w="1268" w:type="dxa"/>
            <w:vAlign w:val="center"/>
          </w:tcPr>
          <w:p w14:paraId="2D3BFA95" w14:textId="77777777" w:rsidR="00C0310A" w:rsidRPr="00C52646" w:rsidRDefault="00C0310A">
            <w:pPr>
              <w:pStyle w:val="COMTableheadingrow"/>
              <w:keepNext w:val="0"/>
              <w:jc w:val="center"/>
              <w:rPr>
                <w:b w:val="0"/>
                <w:bCs/>
                <w:lang w:val="en-AU"/>
              </w:rPr>
            </w:pPr>
            <w:r w:rsidRPr="00DB5B45">
              <w:rPr>
                <w:rFonts w:cs="Calibri"/>
                <w:b w:val="0"/>
                <w:bCs/>
                <w:szCs w:val="20"/>
                <w:lang w:val="en-AU"/>
              </w:rPr>
              <w:t>1.2103</w:t>
            </w:r>
          </w:p>
        </w:tc>
        <w:tc>
          <w:tcPr>
            <w:tcW w:w="1268" w:type="dxa"/>
            <w:vAlign w:val="center"/>
          </w:tcPr>
          <w:p w14:paraId="7108F314" w14:textId="0F578BA6" w:rsidR="00C0310A" w:rsidRPr="00471DDD" w:rsidRDefault="00C0310A">
            <w:pPr>
              <w:pStyle w:val="COMTableheadingrow"/>
              <w:keepNext w:val="0"/>
              <w:jc w:val="center"/>
              <w:rPr>
                <w:b w:val="0"/>
                <w:bCs/>
                <w:vertAlign w:val="superscript"/>
                <w:lang w:val="en-AU"/>
              </w:rPr>
            </w:pPr>
            <w:r w:rsidRPr="00DB5B45">
              <w:rPr>
                <w:rFonts w:cs="Calibri"/>
                <w:b w:val="0"/>
                <w:bCs/>
                <w:color w:val="000000"/>
                <w:szCs w:val="20"/>
                <w:lang w:val="en-AU"/>
              </w:rPr>
              <w:t>$</w:t>
            </w:r>
            <w:r w:rsidR="00C52D99" w:rsidRPr="00120BCB">
              <w:rPr>
                <w:rFonts w:cs="Calibri"/>
                <w:b w:val="0"/>
                <w:bCs/>
                <w:color w:val="000000"/>
                <w:spacing w:val="204"/>
                <w:szCs w:val="20"/>
                <w:shd w:val="solid" w:color="000000" w:fill="000000"/>
                <w:fitText w:val="290" w:id="-1280060160"/>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90" w:id="-1280060160"/>
                <w:lang w:val="en-AU"/>
                <w14:textFill>
                  <w14:solidFill>
                    <w14:srgbClr w14:val="000000">
                      <w14:alpha w14:val="100000"/>
                    </w14:srgbClr>
                  </w14:solidFill>
                </w14:textFill>
              </w:rPr>
              <w:t>|</w:t>
            </w:r>
            <w:r w:rsidR="009D15AD">
              <w:rPr>
                <w:rFonts w:cs="Calibri"/>
                <w:b w:val="0"/>
                <w:bCs/>
                <w:color w:val="000000"/>
                <w:szCs w:val="20"/>
                <w:vertAlign w:val="superscript"/>
                <w:lang w:val="en-AU"/>
              </w:rPr>
              <w:t>1</w:t>
            </w:r>
          </w:p>
        </w:tc>
        <w:tc>
          <w:tcPr>
            <w:tcW w:w="1269" w:type="dxa"/>
            <w:vAlign w:val="center"/>
          </w:tcPr>
          <w:p w14:paraId="7F623502" w14:textId="77777777" w:rsidR="00C0310A" w:rsidRPr="00C52646" w:rsidRDefault="00C0310A">
            <w:pPr>
              <w:pStyle w:val="COMTableheadingrow"/>
              <w:keepNext w:val="0"/>
              <w:jc w:val="center"/>
              <w:rPr>
                <w:b w:val="0"/>
                <w:bCs/>
                <w:lang w:val="en-AU"/>
              </w:rPr>
            </w:pPr>
            <w:r w:rsidRPr="00DB5B45">
              <w:rPr>
                <w:rFonts w:cs="Calibri"/>
                <w:b w:val="0"/>
                <w:bCs/>
                <w:color w:val="000000"/>
                <w:szCs w:val="20"/>
                <w:lang w:val="en-AU"/>
              </w:rPr>
              <w:t>-1%</w:t>
            </w:r>
          </w:p>
        </w:tc>
      </w:tr>
      <w:tr w:rsidR="00C0310A" w:rsidRPr="00C52646" w14:paraId="0BF78508" w14:textId="77777777" w:rsidTr="00E36967">
        <w:tc>
          <w:tcPr>
            <w:tcW w:w="3944" w:type="dxa"/>
          </w:tcPr>
          <w:p w14:paraId="757BD862" w14:textId="77777777" w:rsidR="00C0310A" w:rsidRPr="00C52646" w:rsidRDefault="00C0310A">
            <w:pPr>
              <w:pStyle w:val="COMTableheadingrow"/>
              <w:keepNext w:val="0"/>
              <w:rPr>
                <w:b w:val="0"/>
                <w:bCs/>
                <w:lang w:val="en-AU"/>
              </w:rPr>
            </w:pPr>
            <w:r w:rsidRPr="00C52646">
              <w:rPr>
                <w:b w:val="0"/>
                <w:bCs/>
                <w:lang w:val="en-AU"/>
              </w:rPr>
              <w:t>- Gompertz</w:t>
            </w:r>
          </w:p>
        </w:tc>
        <w:tc>
          <w:tcPr>
            <w:tcW w:w="1268" w:type="dxa"/>
            <w:vAlign w:val="center"/>
          </w:tcPr>
          <w:p w14:paraId="2B29106E" w14:textId="799E614A" w:rsidR="00C0310A" w:rsidRPr="00C52646" w:rsidRDefault="00C0310A">
            <w:pPr>
              <w:pStyle w:val="COMTableheadingrow"/>
              <w:keepNext w:val="0"/>
              <w:jc w:val="center"/>
              <w:rPr>
                <w:b w:val="0"/>
                <w:bCs/>
                <w:lang w:val="en-AU"/>
              </w:rPr>
            </w:pPr>
            <w:r w:rsidRPr="00DB5B45">
              <w:rPr>
                <w:rFonts w:cs="Calibri"/>
                <w:b w:val="0"/>
                <w:bCs/>
                <w:color w:val="000000"/>
                <w:szCs w:val="20"/>
                <w:lang w:val="en-AU"/>
              </w:rPr>
              <w:t>$</w:t>
            </w:r>
            <w:r w:rsidR="00C52D99" w:rsidRPr="00120BCB">
              <w:rPr>
                <w:rFonts w:cs="Calibri"/>
                <w:b w:val="0"/>
                <w:bCs/>
                <w:color w:val="000000"/>
                <w:spacing w:val="174"/>
                <w:szCs w:val="20"/>
                <w:shd w:val="solid" w:color="000000" w:fill="000000"/>
                <w:fitText w:val="260" w:id="-1280060159"/>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60" w:id="-1280060159"/>
                <w:lang w:val="en-AU"/>
                <w14:textFill>
                  <w14:solidFill>
                    <w14:srgbClr w14:val="000000">
                      <w14:alpha w14:val="100000"/>
                    </w14:srgbClr>
                  </w14:solidFill>
                </w14:textFill>
              </w:rPr>
              <w:t>|</w:t>
            </w:r>
          </w:p>
        </w:tc>
        <w:tc>
          <w:tcPr>
            <w:tcW w:w="1268" w:type="dxa"/>
            <w:vAlign w:val="center"/>
          </w:tcPr>
          <w:p w14:paraId="616803EE" w14:textId="77777777" w:rsidR="00C0310A" w:rsidRPr="00C52646" w:rsidRDefault="00C0310A">
            <w:pPr>
              <w:pStyle w:val="COMTableheadingrow"/>
              <w:keepNext w:val="0"/>
              <w:jc w:val="center"/>
              <w:rPr>
                <w:b w:val="0"/>
                <w:bCs/>
                <w:lang w:val="en-AU"/>
              </w:rPr>
            </w:pPr>
            <w:r w:rsidRPr="00DB5B45">
              <w:rPr>
                <w:rFonts w:cs="Calibri"/>
                <w:b w:val="0"/>
                <w:bCs/>
                <w:szCs w:val="20"/>
                <w:lang w:val="en-AU"/>
              </w:rPr>
              <w:t>0.9267</w:t>
            </w:r>
          </w:p>
        </w:tc>
        <w:tc>
          <w:tcPr>
            <w:tcW w:w="1268" w:type="dxa"/>
            <w:vAlign w:val="center"/>
          </w:tcPr>
          <w:p w14:paraId="6E6BB599" w14:textId="473700BD" w:rsidR="00C0310A" w:rsidRPr="00471DDD" w:rsidRDefault="00C0310A">
            <w:pPr>
              <w:pStyle w:val="COMTableheadingrow"/>
              <w:keepNext w:val="0"/>
              <w:jc w:val="center"/>
              <w:rPr>
                <w:b w:val="0"/>
                <w:bCs/>
                <w:vertAlign w:val="superscript"/>
                <w:lang w:val="en-AU"/>
              </w:rPr>
            </w:pPr>
            <w:r w:rsidRPr="00DB5B45">
              <w:rPr>
                <w:rFonts w:cs="Calibri"/>
                <w:b w:val="0"/>
                <w:bCs/>
                <w:color w:val="000000"/>
                <w:szCs w:val="20"/>
                <w:lang w:val="en-AU"/>
              </w:rPr>
              <w:t>$</w:t>
            </w:r>
            <w:r w:rsidR="00C52D99" w:rsidRPr="00120BCB">
              <w:rPr>
                <w:rFonts w:cs="Calibri"/>
                <w:b w:val="0"/>
                <w:bCs/>
                <w:color w:val="000000"/>
                <w:spacing w:val="204"/>
                <w:szCs w:val="20"/>
                <w:shd w:val="solid" w:color="000000" w:fill="000000"/>
                <w:fitText w:val="290" w:id="-1280060158"/>
                <w:lang w:val="en-AU"/>
                <w14:textFill>
                  <w14:solidFill>
                    <w14:srgbClr w14:val="000000">
                      <w14:alpha w14:val="100000"/>
                    </w14:srgbClr>
                  </w14:solidFill>
                </w14:textFill>
              </w:rPr>
              <w:t>|</w:t>
            </w:r>
            <w:r w:rsidR="00C52D99" w:rsidRPr="00120BCB">
              <w:rPr>
                <w:rFonts w:cs="Calibri"/>
                <w:b w:val="0"/>
                <w:bCs/>
                <w:color w:val="000000"/>
                <w:szCs w:val="20"/>
                <w:shd w:val="solid" w:color="000000" w:fill="000000"/>
                <w:fitText w:val="290" w:id="-1280060158"/>
                <w:lang w:val="en-AU"/>
                <w14:textFill>
                  <w14:solidFill>
                    <w14:srgbClr w14:val="000000">
                      <w14:alpha w14:val="100000"/>
                    </w14:srgbClr>
                  </w14:solidFill>
                </w14:textFill>
              </w:rPr>
              <w:t>|</w:t>
            </w:r>
            <w:r w:rsidR="009D15AD">
              <w:rPr>
                <w:rFonts w:cs="Calibri"/>
                <w:b w:val="0"/>
                <w:bCs/>
                <w:color w:val="000000"/>
                <w:szCs w:val="20"/>
                <w:vertAlign w:val="superscript"/>
                <w:lang w:val="en-AU"/>
              </w:rPr>
              <w:t>6</w:t>
            </w:r>
          </w:p>
        </w:tc>
        <w:tc>
          <w:tcPr>
            <w:tcW w:w="1269" w:type="dxa"/>
            <w:vAlign w:val="center"/>
          </w:tcPr>
          <w:p w14:paraId="35229D41" w14:textId="77777777" w:rsidR="00C0310A" w:rsidRPr="00C52646" w:rsidRDefault="00C0310A">
            <w:pPr>
              <w:pStyle w:val="COMTableheadingrow"/>
              <w:keepNext w:val="0"/>
              <w:jc w:val="center"/>
              <w:rPr>
                <w:b w:val="0"/>
                <w:bCs/>
                <w:lang w:val="en-AU"/>
              </w:rPr>
            </w:pPr>
            <w:r w:rsidRPr="00DB5B45">
              <w:rPr>
                <w:rFonts w:cs="Calibri"/>
                <w:b w:val="0"/>
                <w:bCs/>
                <w:color w:val="000000"/>
                <w:szCs w:val="20"/>
                <w:lang w:val="en-AU"/>
              </w:rPr>
              <w:t>+40%</w:t>
            </w:r>
          </w:p>
        </w:tc>
      </w:tr>
      <w:tr w:rsidR="00C0310A" w:rsidRPr="003967D3" w14:paraId="5486DBD5" w14:textId="77777777" w:rsidTr="00E36967">
        <w:tc>
          <w:tcPr>
            <w:tcW w:w="3944" w:type="dxa"/>
          </w:tcPr>
          <w:p w14:paraId="3C0F550D" w14:textId="292BBDA0" w:rsidR="00C0310A" w:rsidRPr="003967D3" w:rsidRDefault="00C0310A">
            <w:pPr>
              <w:pStyle w:val="COMTableheadingrow"/>
              <w:keepNext w:val="0"/>
              <w:rPr>
                <w:b w:val="0"/>
                <w:bCs/>
                <w:iCs/>
                <w:lang w:val="en-AU"/>
              </w:rPr>
            </w:pPr>
            <w:r w:rsidRPr="003967D3">
              <w:rPr>
                <w:b w:val="0"/>
                <w:bCs/>
                <w:iCs/>
                <w:lang w:val="en-AU"/>
              </w:rPr>
              <w:t>- generalised gamma; adjust treatment covariate (×75%)</w:t>
            </w:r>
            <w:r w:rsidRPr="003967D3">
              <w:rPr>
                <w:b w:val="0"/>
                <w:bCs/>
                <w:iCs/>
                <w:vertAlign w:val="superscript"/>
                <w:lang w:val="en-AU"/>
              </w:rPr>
              <w:t xml:space="preserve"> </w:t>
            </w:r>
          </w:p>
        </w:tc>
        <w:tc>
          <w:tcPr>
            <w:tcW w:w="1268" w:type="dxa"/>
            <w:vAlign w:val="center"/>
          </w:tcPr>
          <w:p w14:paraId="333E985C" w14:textId="7611A44E" w:rsidR="00C0310A" w:rsidRPr="003967D3" w:rsidRDefault="00C0310A">
            <w:pPr>
              <w:pStyle w:val="COMTableheadingrow"/>
              <w:keepNext w:val="0"/>
              <w:jc w:val="center"/>
              <w:rPr>
                <w:rFonts w:cs="Calibri"/>
                <w:b w:val="0"/>
                <w:bCs/>
                <w:iCs/>
                <w:color w:val="000000"/>
                <w:szCs w:val="20"/>
                <w:lang w:val="en-AU"/>
              </w:rPr>
            </w:pPr>
            <w:r w:rsidRPr="003967D3">
              <w:rPr>
                <w:rFonts w:eastAsia="Times New Roman" w:cs="Calibri"/>
                <w:b w:val="0"/>
                <w:bCs/>
                <w:iCs/>
                <w:color w:val="000000"/>
                <w:szCs w:val="20"/>
                <w:lang w:val="en-AU"/>
              </w:rPr>
              <w:t>$</w:t>
            </w:r>
            <w:r w:rsidR="00C52D99" w:rsidRPr="00120BCB">
              <w:rPr>
                <w:rFonts w:eastAsia="Times New Roman" w:cs="Calibri"/>
                <w:b w:val="0"/>
                <w:bCs/>
                <w:iCs/>
                <w:color w:val="000000"/>
                <w:spacing w:val="174"/>
                <w:szCs w:val="20"/>
                <w:shd w:val="solid" w:color="000000" w:fill="000000"/>
                <w:fitText w:val="260" w:id="-1280060157"/>
                <w:lang w:val="en-AU"/>
                <w14:textFill>
                  <w14:solidFill>
                    <w14:srgbClr w14:val="000000">
                      <w14:alpha w14:val="100000"/>
                    </w14:srgbClr>
                  </w14:solidFill>
                </w14:textFill>
              </w:rPr>
              <w:t>|</w:t>
            </w:r>
            <w:r w:rsidR="00C52D99" w:rsidRPr="00120BCB">
              <w:rPr>
                <w:rFonts w:eastAsia="Times New Roman" w:cs="Calibri"/>
                <w:b w:val="0"/>
                <w:bCs/>
                <w:iCs/>
                <w:color w:val="000000"/>
                <w:szCs w:val="20"/>
                <w:shd w:val="solid" w:color="000000" w:fill="000000"/>
                <w:fitText w:val="260" w:id="-1280060157"/>
                <w:lang w:val="en-AU"/>
                <w14:textFill>
                  <w14:solidFill>
                    <w14:srgbClr w14:val="000000">
                      <w14:alpha w14:val="100000"/>
                    </w14:srgbClr>
                  </w14:solidFill>
                </w14:textFill>
              </w:rPr>
              <w:t>|</w:t>
            </w:r>
          </w:p>
        </w:tc>
        <w:tc>
          <w:tcPr>
            <w:tcW w:w="1268" w:type="dxa"/>
            <w:vAlign w:val="center"/>
          </w:tcPr>
          <w:p w14:paraId="0367C396" w14:textId="77777777" w:rsidR="00C0310A" w:rsidRPr="003967D3" w:rsidRDefault="00C0310A">
            <w:pPr>
              <w:pStyle w:val="COMTableheadingrow"/>
              <w:keepNext w:val="0"/>
              <w:jc w:val="center"/>
              <w:rPr>
                <w:rFonts w:cs="Calibri"/>
                <w:b w:val="0"/>
                <w:bCs/>
                <w:iCs/>
                <w:szCs w:val="20"/>
                <w:lang w:val="en-AU"/>
              </w:rPr>
            </w:pPr>
            <w:r w:rsidRPr="003967D3">
              <w:rPr>
                <w:rFonts w:eastAsia="Times New Roman" w:cs="Calibri"/>
                <w:b w:val="0"/>
                <w:bCs/>
                <w:iCs/>
                <w:szCs w:val="20"/>
                <w:lang w:val="en-AU"/>
              </w:rPr>
              <w:t>1.0399</w:t>
            </w:r>
          </w:p>
        </w:tc>
        <w:tc>
          <w:tcPr>
            <w:tcW w:w="1268" w:type="dxa"/>
            <w:vAlign w:val="center"/>
          </w:tcPr>
          <w:p w14:paraId="3EC713E1" w14:textId="2DD3502C" w:rsidR="00C0310A" w:rsidRPr="00471DDD" w:rsidRDefault="00C0310A">
            <w:pPr>
              <w:pStyle w:val="COMTableheadingrow"/>
              <w:keepNext w:val="0"/>
              <w:jc w:val="center"/>
              <w:rPr>
                <w:rFonts w:cs="Calibri"/>
                <w:b w:val="0"/>
                <w:bCs/>
                <w:iCs/>
                <w:color w:val="000000"/>
                <w:szCs w:val="20"/>
                <w:vertAlign w:val="superscript"/>
                <w:lang w:val="en-AU"/>
              </w:rPr>
            </w:pPr>
            <w:r w:rsidRPr="003967D3">
              <w:rPr>
                <w:rFonts w:eastAsia="Times New Roman" w:cs="Calibri"/>
                <w:b w:val="0"/>
                <w:bCs/>
                <w:iCs/>
                <w:color w:val="000000"/>
                <w:szCs w:val="20"/>
                <w:lang w:val="en-AU"/>
              </w:rPr>
              <w:t>$</w:t>
            </w:r>
            <w:r w:rsidR="00C52D99" w:rsidRPr="00120BCB">
              <w:rPr>
                <w:rFonts w:eastAsia="Times New Roman" w:cs="Calibri"/>
                <w:b w:val="0"/>
                <w:bCs/>
                <w:iCs/>
                <w:color w:val="000000"/>
                <w:spacing w:val="204"/>
                <w:szCs w:val="20"/>
                <w:shd w:val="solid" w:color="000000" w:fill="000000"/>
                <w:fitText w:val="290" w:id="-1280060156"/>
                <w:lang w:val="en-AU"/>
                <w14:textFill>
                  <w14:solidFill>
                    <w14:srgbClr w14:val="000000">
                      <w14:alpha w14:val="100000"/>
                    </w14:srgbClr>
                  </w14:solidFill>
                </w14:textFill>
              </w:rPr>
              <w:t>|</w:t>
            </w:r>
            <w:r w:rsidR="00C52D99" w:rsidRPr="00120BCB">
              <w:rPr>
                <w:rFonts w:eastAsia="Times New Roman" w:cs="Calibri"/>
                <w:b w:val="0"/>
                <w:bCs/>
                <w:iCs/>
                <w:color w:val="000000"/>
                <w:szCs w:val="20"/>
                <w:shd w:val="solid" w:color="000000" w:fill="000000"/>
                <w:fitText w:val="290" w:id="-1280060156"/>
                <w:lang w:val="en-AU"/>
                <w14:textFill>
                  <w14:solidFill>
                    <w14:srgbClr w14:val="000000">
                      <w14:alpha w14:val="100000"/>
                    </w14:srgbClr>
                  </w14:solidFill>
                </w14:textFill>
              </w:rPr>
              <w:t>|</w:t>
            </w:r>
            <w:r w:rsidR="009D15AD">
              <w:rPr>
                <w:rFonts w:eastAsia="Times New Roman" w:cs="Calibri"/>
                <w:b w:val="0"/>
                <w:bCs/>
                <w:iCs/>
                <w:color w:val="000000"/>
                <w:szCs w:val="20"/>
                <w:vertAlign w:val="superscript"/>
                <w:lang w:val="en-AU"/>
              </w:rPr>
              <w:t>5</w:t>
            </w:r>
          </w:p>
        </w:tc>
        <w:tc>
          <w:tcPr>
            <w:tcW w:w="1269" w:type="dxa"/>
            <w:vAlign w:val="center"/>
          </w:tcPr>
          <w:p w14:paraId="76527607" w14:textId="77777777" w:rsidR="00C0310A" w:rsidRPr="003967D3" w:rsidRDefault="00C0310A">
            <w:pPr>
              <w:pStyle w:val="COMTableheadingrow"/>
              <w:keepNext w:val="0"/>
              <w:jc w:val="center"/>
              <w:rPr>
                <w:rFonts w:cs="Calibri"/>
                <w:b w:val="0"/>
                <w:bCs/>
                <w:iCs/>
                <w:color w:val="000000"/>
                <w:szCs w:val="20"/>
                <w:lang w:val="en-AU"/>
              </w:rPr>
            </w:pPr>
            <w:r w:rsidRPr="003967D3">
              <w:rPr>
                <w:rFonts w:eastAsia="Times New Roman" w:cs="Calibri"/>
                <w:b w:val="0"/>
                <w:bCs/>
                <w:iCs/>
                <w:color w:val="000000"/>
                <w:szCs w:val="20"/>
                <w:lang w:val="en-AU"/>
              </w:rPr>
              <w:t>+20%</w:t>
            </w:r>
          </w:p>
        </w:tc>
      </w:tr>
      <w:tr w:rsidR="00C0310A" w:rsidRPr="003967D3" w14:paraId="761B300C" w14:textId="77777777" w:rsidTr="00E36967">
        <w:tc>
          <w:tcPr>
            <w:tcW w:w="3944" w:type="dxa"/>
          </w:tcPr>
          <w:p w14:paraId="54AC6CCB" w14:textId="0E167D6B" w:rsidR="00C0310A" w:rsidRPr="00E36967" w:rsidRDefault="00C0310A">
            <w:pPr>
              <w:pStyle w:val="COMTableheadingrow"/>
              <w:keepNext w:val="0"/>
              <w:rPr>
                <w:iCs/>
                <w:lang w:val="en-AU"/>
              </w:rPr>
            </w:pPr>
            <w:r w:rsidRPr="003967D3">
              <w:rPr>
                <w:b w:val="0"/>
                <w:bCs/>
                <w:iCs/>
                <w:lang w:val="en-AU"/>
              </w:rPr>
              <w:t>- generalised gamma; adjust treatment covariate (×50%)</w:t>
            </w:r>
            <w:r w:rsidRPr="003967D3">
              <w:rPr>
                <w:b w:val="0"/>
                <w:bCs/>
                <w:iCs/>
                <w:vertAlign w:val="superscript"/>
                <w:lang w:val="en-AU"/>
              </w:rPr>
              <w:t xml:space="preserve"> </w:t>
            </w:r>
            <w:r w:rsidR="006A64B5">
              <w:rPr>
                <w:iCs/>
                <w:lang w:val="en-AU"/>
              </w:rPr>
              <w:t>[A]</w:t>
            </w:r>
          </w:p>
        </w:tc>
        <w:tc>
          <w:tcPr>
            <w:tcW w:w="1268" w:type="dxa"/>
            <w:vAlign w:val="center"/>
          </w:tcPr>
          <w:p w14:paraId="75D68F98" w14:textId="07116E0B" w:rsidR="00C0310A" w:rsidRPr="003967D3" w:rsidRDefault="00C0310A">
            <w:pPr>
              <w:pStyle w:val="COMTableheadingrow"/>
              <w:keepNext w:val="0"/>
              <w:jc w:val="center"/>
              <w:rPr>
                <w:rFonts w:cs="Calibri"/>
                <w:b w:val="0"/>
                <w:bCs/>
                <w:iCs/>
                <w:color w:val="000000"/>
                <w:szCs w:val="20"/>
                <w:lang w:val="en-AU"/>
              </w:rPr>
            </w:pPr>
            <w:r w:rsidRPr="003967D3">
              <w:rPr>
                <w:rFonts w:eastAsia="Times New Roman" w:cs="Calibri"/>
                <w:b w:val="0"/>
                <w:bCs/>
                <w:iCs/>
                <w:color w:val="000000"/>
                <w:szCs w:val="20"/>
                <w:lang w:val="en-AU"/>
              </w:rPr>
              <w:t>$</w:t>
            </w:r>
            <w:r w:rsidR="00C52D99" w:rsidRPr="00120BCB">
              <w:rPr>
                <w:rFonts w:eastAsia="Times New Roman" w:cs="Calibri"/>
                <w:b w:val="0"/>
                <w:bCs/>
                <w:iCs/>
                <w:color w:val="000000"/>
                <w:spacing w:val="174"/>
                <w:szCs w:val="20"/>
                <w:shd w:val="solid" w:color="000000" w:fill="000000"/>
                <w:fitText w:val="260" w:id="-1280060155"/>
                <w:lang w:val="en-AU"/>
                <w14:textFill>
                  <w14:solidFill>
                    <w14:srgbClr w14:val="000000">
                      <w14:alpha w14:val="100000"/>
                    </w14:srgbClr>
                  </w14:solidFill>
                </w14:textFill>
              </w:rPr>
              <w:t>|</w:t>
            </w:r>
            <w:r w:rsidR="00C52D99" w:rsidRPr="00120BCB">
              <w:rPr>
                <w:rFonts w:eastAsia="Times New Roman" w:cs="Calibri"/>
                <w:b w:val="0"/>
                <w:bCs/>
                <w:iCs/>
                <w:color w:val="000000"/>
                <w:szCs w:val="20"/>
                <w:shd w:val="solid" w:color="000000" w:fill="000000"/>
                <w:fitText w:val="260" w:id="-1280060155"/>
                <w:lang w:val="en-AU"/>
                <w14:textFill>
                  <w14:solidFill>
                    <w14:srgbClr w14:val="000000">
                      <w14:alpha w14:val="100000"/>
                    </w14:srgbClr>
                  </w14:solidFill>
                </w14:textFill>
              </w:rPr>
              <w:t>|</w:t>
            </w:r>
          </w:p>
        </w:tc>
        <w:tc>
          <w:tcPr>
            <w:tcW w:w="1268" w:type="dxa"/>
            <w:vAlign w:val="center"/>
          </w:tcPr>
          <w:p w14:paraId="434FB0FB" w14:textId="77777777" w:rsidR="00C0310A" w:rsidRPr="003967D3" w:rsidRDefault="00C0310A">
            <w:pPr>
              <w:pStyle w:val="COMTableheadingrow"/>
              <w:keepNext w:val="0"/>
              <w:jc w:val="center"/>
              <w:rPr>
                <w:rFonts w:cs="Calibri"/>
                <w:b w:val="0"/>
                <w:bCs/>
                <w:iCs/>
                <w:szCs w:val="20"/>
                <w:lang w:val="en-AU"/>
              </w:rPr>
            </w:pPr>
            <w:r w:rsidRPr="003967D3">
              <w:rPr>
                <w:rFonts w:eastAsia="Times New Roman" w:cs="Calibri"/>
                <w:b w:val="0"/>
                <w:bCs/>
                <w:iCs/>
                <w:szCs w:val="20"/>
                <w:lang w:val="en-AU"/>
              </w:rPr>
              <w:t>0.8685</w:t>
            </w:r>
          </w:p>
        </w:tc>
        <w:tc>
          <w:tcPr>
            <w:tcW w:w="1268" w:type="dxa"/>
            <w:vAlign w:val="center"/>
          </w:tcPr>
          <w:p w14:paraId="63456346" w14:textId="150C1B31" w:rsidR="00C0310A" w:rsidRPr="00471DDD" w:rsidRDefault="00C0310A">
            <w:pPr>
              <w:pStyle w:val="COMTableheadingrow"/>
              <w:keepNext w:val="0"/>
              <w:jc w:val="center"/>
              <w:rPr>
                <w:rFonts w:cs="Calibri"/>
                <w:b w:val="0"/>
                <w:bCs/>
                <w:iCs/>
                <w:color w:val="000000"/>
                <w:szCs w:val="20"/>
                <w:vertAlign w:val="superscript"/>
                <w:lang w:val="en-AU"/>
              </w:rPr>
            </w:pPr>
            <w:r w:rsidRPr="003967D3">
              <w:rPr>
                <w:rFonts w:eastAsia="Times New Roman" w:cs="Calibri"/>
                <w:b w:val="0"/>
                <w:bCs/>
                <w:iCs/>
                <w:color w:val="000000"/>
                <w:szCs w:val="20"/>
                <w:lang w:val="en-AU"/>
              </w:rPr>
              <w:t>$</w:t>
            </w:r>
            <w:r w:rsidR="00C52D99" w:rsidRPr="00120BCB">
              <w:rPr>
                <w:rFonts w:eastAsia="Times New Roman" w:cs="Calibri"/>
                <w:b w:val="0"/>
                <w:bCs/>
                <w:iCs/>
                <w:color w:val="000000"/>
                <w:spacing w:val="204"/>
                <w:szCs w:val="20"/>
                <w:shd w:val="solid" w:color="000000" w:fill="000000"/>
                <w:fitText w:val="290" w:id="-1280060154"/>
                <w:lang w:val="en-AU"/>
                <w14:textFill>
                  <w14:solidFill>
                    <w14:srgbClr w14:val="000000">
                      <w14:alpha w14:val="100000"/>
                    </w14:srgbClr>
                  </w14:solidFill>
                </w14:textFill>
              </w:rPr>
              <w:t>|</w:t>
            </w:r>
            <w:r w:rsidR="00C52D99" w:rsidRPr="00120BCB">
              <w:rPr>
                <w:rFonts w:eastAsia="Times New Roman" w:cs="Calibri"/>
                <w:b w:val="0"/>
                <w:bCs/>
                <w:iCs/>
                <w:color w:val="000000"/>
                <w:szCs w:val="20"/>
                <w:shd w:val="solid" w:color="000000" w:fill="000000"/>
                <w:fitText w:val="290" w:id="-1280060154"/>
                <w:lang w:val="en-AU"/>
                <w14:textFill>
                  <w14:solidFill>
                    <w14:srgbClr w14:val="000000">
                      <w14:alpha w14:val="100000"/>
                    </w14:srgbClr>
                  </w14:solidFill>
                </w14:textFill>
              </w:rPr>
              <w:t>|</w:t>
            </w:r>
            <w:r w:rsidR="009D15AD">
              <w:rPr>
                <w:rFonts w:eastAsia="Times New Roman" w:cs="Calibri"/>
                <w:b w:val="0"/>
                <w:bCs/>
                <w:iCs/>
                <w:color w:val="000000"/>
                <w:szCs w:val="20"/>
                <w:vertAlign w:val="superscript"/>
                <w:lang w:val="en-AU"/>
              </w:rPr>
              <w:t>6</w:t>
            </w:r>
          </w:p>
        </w:tc>
        <w:tc>
          <w:tcPr>
            <w:tcW w:w="1269" w:type="dxa"/>
            <w:vAlign w:val="center"/>
          </w:tcPr>
          <w:p w14:paraId="77FE6951" w14:textId="77777777" w:rsidR="00C0310A" w:rsidRPr="003967D3" w:rsidRDefault="00C0310A">
            <w:pPr>
              <w:pStyle w:val="COMTableheadingrow"/>
              <w:keepNext w:val="0"/>
              <w:jc w:val="center"/>
              <w:rPr>
                <w:rFonts w:cs="Calibri"/>
                <w:b w:val="0"/>
                <w:bCs/>
                <w:iCs/>
                <w:color w:val="000000"/>
                <w:szCs w:val="20"/>
                <w:lang w:val="en-AU"/>
              </w:rPr>
            </w:pPr>
            <w:r w:rsidRPr="003967D3">
              <w:rPr>
                <w:rFonts w:eastAsia="Times New Roman" w:cs="Calibri"/>
                <w:b w:val="0"/>
                <w:bCs/>
                <w:iCs/>
                <w:color w:val="000000"/>
                <w:szCs w:val="20"/>
                <w:lang w:val="en-AU"/>
              </w:rPr>
              <w:t>+48%</w:t>
            </w:r>
          </w:p>
        </w:tc>
      </w:tr>
      <w:tr w:rsidR="00C0310A" w:rsidRPr="003967D3" w14:paraId="0395D796" w14:textId="77777777" w:rsidTr="00E36967">
        <w:tc>
          <w:tcPr>
            <w:tcW w:w="3944" w:type="dxa"/>
          </w:tcPr>
          <w:p w14:paraId="0C0F44A8" w14:textId="0FD620A1" w:rsidR="00C0310A" w:rsidRPr="003967D3" w:rsidRDefault="00C0310A">
            <w:pPr>
              <w:pStyle w:val="COMTableheadingrow"/>
              <w:keepNext w:val="0"/>
              <w:rPr>
                <w:b w:val="0"/>
                <w:bCs/>
                <w:iCs/>
                <w:lang w:val="en-AU"/>
              </w:rPr>
            </w:pPr>
            <w:r w:rsidRPr="003967D3">
              <w:rPr>
                <w:b w:val="0"/>
                <w:bCs/>
                <w:iCs/>
                <w:lang w:val="en-AU"/>
              </w:rPr>
              <w:t>- generalised gamma; adjust treatment covariate (×25%)</w:t>
            </w:r>
            <w:r w:rsidRPr="003967D3">
              <w:rPr>
                <w:b w:val="0"/>
                <w:bCs/>
                <w:iCs/>
                <w:vertAlign w:val="superscript"/>
                <w:lang w:val="en-AU"/>
              </w:rPr>
              <w:t xml:space="preserve"> </w:t>
            </w:r>
          </w:p>
        </w:tc>
        <w:tc>
          <w:tcPr>
            <w:tcW w:w="1268" w:type="dxa"/>
            <w:vAlign w:val="center"/>
          </w:tcPr>
          <w:p w14:paraId="40C9A418" w14:textId="69EC43C0" w:rsidR="00C0310A" w:rsidRPr="003967D3" w:rsidRDefault="00C0310A">
            <w:pPr>
              <w:pStyle w:val="COMTableheadingrow"/>
              <w:keepNext w:val="0"/>
              <w:jc w:val="center"/>
              <w:rPr>
                <w:rFonts w:cs="Calibri"/>
                <w:b w:val="0"/>
                <w:bCs/>
                <w:iCs/>
                <w:color w:val="000000"/>
                <w:szCs w:val="20"/>
                <w:lang w:val="en-AU"/>
              </w:rPr>
            </w:pPr>
            <w:r w:rsidRPr="003967D3">
              <w:rPr>
                <w:rFonts w:eastAsia="Times New Roman" w:cs="Calibri"/>
                <w:b w:val="0"/>
                <w:bCs/>
                <w:iCs/>
                <w:color w:val="000000"/>
                <w:szCs w:val="20"/>
                <w:lang w:val="en-AU"/>
              </w:rPr>
              <w:t>$</w:t>
            </w:r>
            <w:r w:rsidR="00C52D99" w:rsidRPr="00120BCB">
              <w:rPr>
                <w:rFonts w:eastAsia="Times New Roman" w:cs="Calibri"/>
                <w:b w:val="0"/>
                <w:bCs/>
                <w:iCs/>
                <w:color w:val="000000"/>
                <w:spacing w:val="174"/>
                <w:szCs w:val="20"/>
                <w:shd w:val="solid" w:color="000000" w:fill="000000"/>
                <w:fitText w:val="260" w:id="-1280060153"/>
                <w:lang w:val="en-AU"/>
                <w14:textFill>
                  <w14:solidFill>
                    <w14:srgbClr w14:val="000000">
                      <w14:alpha w14:val="100000"/>
                    </w14:srgbClr>
                  </w14:solidFill>
                </w14:textFill>
              </w:rPr>
              <w:t>|</w:t>
            </w:r>
            <w:r w:rsidR="00C52D99" w:rsidRPr="00120BCB">
              <w:rPr>
                <w:rFonts w:eastAsia="Times New Roman" w:cs="Calibri"/>
                <w:b w:val="0"/>
                <w:bCs/>
                <w:iCs/>
                <w:color w:val="000000"/>
                <w:szCs w:val="20"/>
                <w:shd w:val="solid" w:color="000000" w:fill="000000"/>
                <w:fitText w:val="260" w:id="-1280060153"/>
                <w:lang w:val="en-AU"/>
                <w14:textFill>
                  <w14:solidFill>
                    <w14:srgbClr w14:val="000000">
                      <w14:alpha w14:val="100000"/>
                    </w14:srgbClr>
                  </w14:solidFill>
                </w14:textFill>
              </w:rPr>
              <w:t>|</w:t>
            </w:r>
          </w:p>
        </w:tc>
        <w:tc>
          <w:tcPr>
            <w:tcW w:w="1268" w:type="dxa"/>
            <w:vAlign w:val="center"/>
          </w:tcPr>
          <w:p w14:paraId="12A8F600" w14:textId="77777777" w:rsidR="00C0310A" w:rsidRPr="003967D3" w:rsidRDefault="00C0310A">
            <w:pPr>
              <w:pStyle w:val="COMTableheadingrow"/>
              <w:keepNext w:val="0"/>
              <w:jc w:val="center"/>
              <w:rPr>
                <w:rFonts w:cs="Calibri"/>
                <w:b w:val="0"/>
                <w:bCs/>
                <w:iCs/>
                <w:szCs w:val="20"/>
                <w:lang w:val="en-AU"/>
              </w:rPr>
            </w:pPr>
            <w:r w:rsidRPr="003967D3">
              <w:rPr>
                <w:rFonts w:eastAsia="Times New Roman" w:cs="Calibri"/>
                <w:b w:val="0"/>
                <w:bCs/>
                <w:iCs/>
                <w:szCs w:val="20"/>
                <w:lang w:val="en-AU"/>
              </w:rPr>
              <w:t>0.6952</w:t>
            </w:r>
          </w:p>
        </w:tc>
        <w:tc>
          <w:tcPr>
            <w:tcW w:w="1268" w:type="dxa"/>
            <w:vAlign w:val="center"/>
          </w:tcPr>
          <w:p w14:paraId="76F22A33" w14:textId="2364B312" w:rsidR="00C0310A" w:rsidRPr="00471DDD" w:rsidRDefault="00C0310A">
            <w:pPr>
              <w:pStyle w:val="COMTableheadingrow"/>
              <w:keepNext w:val="0"/>
              <w:jc w:val="center"/>
              <w:rPr>
                <w:rFonts w:cs="Calibri"/>
                <w:b w:val="0"/>
                <w:bCs/>
                <w:iCs/>
                <w:color w:val="000000"/>
                <w:szCs w:val="20"/>
                <w:vertAlign w:val="superscript"/>
                <w:lang w:val="en-AU"/>
              </w:rPr>
            </w:pPr>
            <w:r w:rsidRPr="003967D3">
              <w:rPr>
                <w:rFonts w:eastAsia="Times New Roman" w:cs="Calibri"/>
                <w:b w:val="0"/>
                <w:bCs/>
                <w:iCs/>
                <w:color w:val="000000"/>
                <w:szCs w:val="20"/>
                <w:lang w:val="en-AU"/>
              </w:rPr>
              <w:t>$</w:t>
            </w:r>
            <w:r w:rsidR="00C52D99" w:rsidRPr="00120BCB">
              <w:rPr>
                <w:rFonts w:eastAsia="Times New Roman" w:cs="Calibri"/>
                <w:b w:val="0"/>
                <w:bCs/>
                <w:iCs/>
                <w:color w:val="000000"/>
                <w:spacing w:val="204"/>
                <w:szCs w:val="20"/>
                <w:shd w:val="solid" w:color="000000" w:fill="000000"/>
                <w:fitText w:val="290" w:id="-1280060152"/>
                <w:lang w:val="en-AU"/>
                <w14:textFill>
                  <w14:solidFill>
                    <w14:srgbClr w14:val="000000">
                      <w14:alpha w14:val="100000"/>
                    </w14:srgbClr>
                  </w14:solidFill>
                </w14:textFill>
              </w:rPr>
              <w:t>|</w:t>
            </w:r>
            <w:r w:rsidR="00C52D99" w:rsidRPr="00120BCB">
              <w:rPr>
                <w:rFonts w:eastAsia="Times New Roman" w:cs="Calibri"/>
                <w:b w:val="0"/>
                <w:bCs/>
                <w:iCs/>
                <w:color w:val="000000"/>
                <w:szCs w:val="20"/>
                <w:shd w:val="solid" w:color="000000" w:fill="000000"/>
                <w:fitText w:val="290" w:id="-1280060152"/>
                <w:lang w:val="en-AU"/>
                <w14:textFill>
                  <w14:solidFill>
                    <w14:srgbClr w14:val="000000">
                      <w14:alpha w14:val="100000"/>
                    </w14:srgbClr>
                  </w14:solidFill>
                </w14:textFill>
              </w:rPr>
              <w:t>|</w:t>
            </w:r>
            <w:r w:rsidR="009D15AD">
              <w:rPr>
                <w:rFonts w:eastAsia="Times New Roman" w:cs="Calibri"/>
                <w:b w:val="0"/>
                <w:bCs/>
                <w:iCs/>
                <w:color w:val="000000"/>
                <w:szCs w:val="20"/>
                <w:vertAlign w:val="superscript"/>
                <w:lang w:val="en-AU"/>
              </w:rPr>
              <w:t>7</w:t>
            </w:r>
          </w:p>
        </w:tc>
        <w:tc>
          <w:tcPr>
            <w:tcW w:w="1269" w:type="dxa"/>
            <w:vAlign w:val="center"/>
          </w:tcPr>
          <w:p w14:paraId="4349DC51" w14:textId="77777777" w:rsidR="00C0310A" w:rsidRPr="003967D3" w:rsidRDefault="00C0310A">
            <w:pPr>
              <w:pStyle w:val="COMTableheadingrow"/>
              <w:keepNext w:val="0"/>
              <w:jc w:val="center"/>
              <w:rPr>
                <w:rFonts w:cs="Calibri"/>
                <w:b w:val="0"/>
                <w:bCs/>
                <w:iCs/>
                <w:color w:val="000000"/>
                <w:szCs w:val="20"/>
                <w:lang w:val="en-AU"/>
              </w:rPr>
            </w:pPr>
            <w:r w:rsidRPr="003967D3">
              <w:rPr>
                <w:rFonts w:eastAsia="Times New Roman" w:cs="Calibri"/>
                <w:b w:val="0"/>
                <w:bCs/>
                <w:iCs/>
                <w:color w:val="000000"/>
                <w:szCs w:val="20"/>
                <w:lang w:val="en-AU"/>
              </w:rPr>
              <w:t>+90%</w:t>
            </w:r>
          </w:p>
        </w:tc>
      </w:tr>
      <w:tr w:rsidR="00C0310A" w:rsidRPr="00C52646" w14:paraId="08924912" w14:textId="77777777" w:rsidTr="006D7940">
        <w:trPr>
          <w:trHeight w:val="70"/>
        </w:trPr>
        <w:tc>
          <w:tcPr>
            <w:tcW w:w="9017" w:type="dxa"/>
            <w:gridSpan w:val="5"/>
          </w:tcPr>
          <w:p w14:paraId="267C45E6" w14:textId="77777777" w:rsidR="00C0310A" w:rsidRPr="00DB5B45" w:rsidRDefault="00C0310A">
            <w:pPr>
              <w:pStyle w:val="COMTableheadingrow"/>
              <w:keepNext w:val="0"/>
              <w:rPr>
                <w:rFonts w:eastAsia="Times New Roman" w:cs="Calibri"/>
                <w:b w:val="0"/>
                <w:bCs/>
                <w:i/>
                <w:iCs/>
                <w:color w:val="000000"/>
                <w:szCs w:val="20"/>
                <w:lang w:val="en-AU"/>
              </w:rPr>
            </w:pPr>
            <w:r w:rsidRPr="00C52646">
              <w:rPr>
                <w:lang w:val="en-AU"/>
              </w:rPr>
              <w:t xml:space="preserve">Progression-free </w:t>
            </w:r>
            <w:r w:rsidRPr="00DB5B45">
              <w:rPr>
                <w:lang w:val="en-AU"/>
              </w:rPr>
              <w:t>health state</w:t>
            </w:r>
            <w:r w:rsidRPr="00C52646">
              <w:rPr>
                <w:lang w:val="en-AU"/>
              </w:rPr>
              <w:t xml:space="preserve"> utility (base case 0.82 based on Howard 2017)</w:t>
            </w:r>
          </w:p>
        </w:tc>
      </w:tr>
      <w:tr w:rsidR="00C0310A" w:rsidRPr="003967D3" w14:paraId="7CB6B9FE" w14:textId="77777777" w:rsidTr="00E36967">
        <w:tc>
          <w:tcPr>
            <w:tcW w:w="3944" w:type="dxa"/>
          </w:tcPr>
          <w:p w14:paraId="6F09FA13" w14:textId="24AE8127" w:rsidR="00C0310A" w:rsidRPr="003967D3" w:rsidRDefault="00C0310A">
            <w:pPr>
              <w:pStyle w:val="COMTableheadingrow"/>
              <w:keepNext w:val="0"/>
              <w:rPr>
                <w:b w:val="0"/>
                <w:bCs/>
                <w:iCs/>
                <w:lang w:val="en-AU"/>
              </w:rPr>
            </w:pPr>
            <w:r w:rsidRPr="003967D3">
              <w:rPr>
                <w:b w:val="0"/>
                <w:bCs/>
                <w:iCs/>
                <w:lang w:val="en-AU"/>
              </w:rPr>
              <w:t>On/off-treatment utility based on Kosmas 2015</w:t>
            </w:r>
            <w:r w:rsidR="00C07E73">
              <w:rPr>
                <w:b w:val="0"/>
                <w:bCs/>
                <w:iCs/>
                <w:vertAlign w:val="superscript"/>
                <w:lang w:val="en-AU"/>
              </w:rPr>
              <w:t>a</w:t>
            </w:r>
          </w:p>
        </w:tc>
        <w:tc>
          <w:tcPr>
            <w:tcW w:w="1268" w:type="dxa"/>
            <w:vAlign w:val="center"/>
          </w:tcPr>
          <w:p w14:paraId="6CCB9021" w14:textId="6C57B170" w:rsidR="00C0310A" w:rsidRPr="003967D3" w:rsidRDefault="00C0310A">
            <w:pPr>
              <w:pStyle w:val="COMTableheadingrow"/>
              <w:keepNext w:val="0"/>
              <w:jc w:val="center"/>
              <w:rPr>
                <w:rFonts w:eastAsia="Times New Roman" w:cs="Calibri"/>
                <w:b w:val="0"/>
                <w:bCs/>
                <w:iCs/>
                <w:color w:val="000000"/>
                <w:szCs w:val="20"/>
                <w:lang w:val="en-AU"/>
              </w:rPr>
            </w:pPr>
            <w:r w:rsidRPr="003967D3">
              <w:rPr>
                <w:rFonts w:cs="Calibri"/>
                <w:b w:val="0"/>
                <w:bCs/>
                <w:iCs/>
                <w:color w:val="000000"/>
                <w:szCs w:val="20"/>
                <w:lang w:val="en-AU"/>
              </w:rPr>
              <w:t>$</w:t>
            </w:r>
            <w:r w:rsidR="00C52D99" w:rsidRPr="00120BCB">
              <w:rPr>
                <w:rFonts w:cs="Calibri"/>
                <w:b w:val="0"/>
                <w:bCs/>
                <w:iCs/>
                <w:color w:val="000000"/>
                <w:spacing w:val="174"/>
                <w:szCs w:val="20"/>
                <w:shd w:val="solid" w:color="000000" w:fill="000000"/>
                <w:fitText w:val="260" w:id="-1280060151"/>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60" w:id="-1280060151"/>
                <w:lang w:val="en-AU"/>
                <w14:textFill>
                  <w14:solidFill>
                    <w14:srgbClr w14:val="000000">
                      <w14:alpha w14:val="100000"/>
                    </w14:srgbClr>
                  </w14:solidFill>
                </w14:textFill>
              </w:rPr>
              <w:t>|</w:t>
            </w:r>
          </w:p>
        </w:tc>
        <w:tc>
          <w:tcPr>
            <w:tcW w:w="1268" w:type="dxa"/>
            <w:vAlign w:val="center"/>
          </w:tcPr>
          <w:p w14:paraId="58652B1D" w14:textId="77777777" w:rsidR="00C0310A" w:rsidRPr="003967D3" w:rsidRDefault="00C0310A">
            <w:pPr>
              <w:pStyle w:val="COMTableheadingrow"/>
              <w:keepNext w:val="0"/>
              <w:jc w:val="center"/>
              <w:rPr>
                <w:rFonts w:eastAsia="Times New Roman" w:cs="Calibri"/>
                <w:b w:val="0"/>
                <w:bCs/>
                <w:iCs/>
                <w:szCs w:val="20"/>
                <w:lang w:val="en-AU"/>
              </w:rPr>
            </w:pPr>
            <w:r w:rsidRPr="003967D3">
              <w:rPr>
                <w:rFonts w:cs="Calibri"/>
                <w:b w:val="0"/>
                <w:bCs/>
                <w:iCs/>
                <w:szCs w:val="20"/>
                <w:lang w:val="en-AU"/>
              </w:rPr>
              <w:t>1.1495</w:t>
            </w:r>
          </w:p>
        </w:tc>
        <w:tc>
          <w:tcPr>
            <w:tcW w:w="1268" w:type="dxa"/>
            <w:vAlign w:val="center"/>
          </w:tcPr>
          <w:p w14:paraId="3C33CB61" w14:textId="2394A352" w:rsidR="00C0310A" w:rsidRPr="00471DDD" w:rsidRDefault="00C0310A">
            <w:pPr>
              <w:pStyle w:val="COMTableheadingrow"/>
              <w:keepNext w:val="0"/>
              <w:jc w:val="center"/>
              <w:rPr>
                <w:rFonts w:eastAsia="Times New Roman" w:cs="Calibri"/>
                <w:b w:val="0"/>
                <w:bCs/>
                <w:iCs/>
                <w:color w:val="000000"/>
                <w:szCs w:val="20"/>
                <w:vertAlign w:val="superscript"/>
                <w:lang w:val="en-AU"/>
              </w:rPr>
            </w:pPr>
            <w:r w:rsidRPr="003967D3">
              <w:rPr>
                <w:rFonts w:cs="Calibri"/>
                <w:b w:val="0"/>
                <w:bCs/>
                <w:iCs/>
                <w:color w:val="000000"/>
                <w:szCs w:val="20"/>
                <w:lang w:val="en-AU"/>
              </w:rPr>
              <w:t>$</w:t>
            </w:r>
            <w:r w:rsidR="00C52D99" w:rsidRPr="00120BCB">
              <w:rPr>
                <w:rFonts w:cs="Calibri"/>
                <w:b w:val="0"/>
                <w:bCs/>
                <w:iCs/>
                <w:color w:val="000000"/>
                <w:spacing w:val="204"/>
                <w:szCs w:val="20"/>
                <w:shd w:val="solid" w:color="000000" w:fill="000000"/>
                <w:fitText w:val="290" w:id="-1280060150"/>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90" w:id="-1280060150"/>
                <w:lang w:val="en-AU"/>
                <w14:textFill>
                  <w14:solidFill>
                    <w14:srgbClr w14:val="000000">
                      <w14:alpha w14:val="100000"/>
                    </w14:srgbClr>
                  </w14:solidFill>
                </w14:textFill>
              </w:rPr>
              <w:t>|</w:t>
            </w:r>
            <w:r w:rsidR="009D15AD">
              <w:rPr>
                <w:rFonts w:cs="Calibri"/>
                <w:b w:val="0"/>
                <w:bCs/>
                <w:iCs/>
                <w:color w:val="000000"/>
                <w:szCs w:val="20"/>
                <w:vertAlign w:val="superscript"/>
                <w:lang w:val="en-AU"/>
              </w:rPr>
              <w:t>1</w:t>
            </w:r>
          </w:p>
        </w:tc>
        <w:tc>
          <w:tcPr>
            <w:tcW w:w="1269" w:type="dxa"/>
            <w:vAlign w:val="center"/>
          </w:tcPr>
          <w:p w14:paraId="2A0E2BE5" w14:textId="77777777" w:rsidR="00C0310A" w:rsidRPr="003967D3" w:rsidRDefault="00C0310A">
            <w:pPr>
              <w:pStyle w:val="COMTableheadingrow"/>
              <w:keepNext w:val="0"/>
              <w:jc w:val="center"/>
              <w:rPr>
                <w:rFonts w:eastAsia="Times New Roman" w:cs="Calibri"/>
                <w:b w:val="0"/>
                <w:bCs/>
                <w:iCs/>
                <w:color w:val="000000"/>
                <w:szCs w:val="20"/>
                <w:lang w:val="en-AU"/>
              </w:rPr>
            </w:pPr>
            <w:r w:rsidRPr="003967D3">
              <w:rPr>
                <w:rFonts w:cs="Calibri"/>
                <w:b w:val="0"/>
                <w:bCs/>
                <w:iCs/>
                <w:color w:val="000000"/>
                <w:szCs w:val="20"/>
                <w:lang w:val="en-AU"/>
              </w:rPr>
              <w:t>+5%</w:t>
            </w:r>
          </w:p>
        </w:tc>
      </w:tr>
      <w:tr w:rsidR="00C0310A" w:rsidRPr="00C52646" w14:paraId="699C908D" w14:textId="77777777" w:rsidTr="006D7940">
        <w:tc>
          <w:tcPr>
            <w:tcW w:w="9017" w:type="dxa"/>
            <w:gridSpan w:val="5"/>
          </w:tcPr>
          <w:p w14:paraId="090A4242" w14:textId="77777777" w:rsidR="00C0310A" w:rsidRPr="00C52646" w:rsidRDefault="00C0310A">
            <w:pPr>
              <w:pStyle w:val="COMTableheadingrow"/>
              <w:keepNext w:val="0"/>
              <w:rPr>
                <w:lang w:val="en-AU"/>
              </w:rPr>
            </w:pPr>
            <w:r w:rsidRPr="00C52646">
              <w:rPr>
                <w:lang w:val="en-AU"/>
              </w:rPr>
              <w:t>QALYs in progressive disease (base case 3.559)</w:t>
            </w:r>
          </w:p>
        </w:tc>
      </w:tr>
      <w:tr w:rsidR="00C0310A" w:rsidRPr="003967D3" w14:paraId="6E967AB8" w14:textId="77777777" w:rsidTr="00E36967">
        <w:tc>
          <w:tcPr>
            <w:tcW w:w="3944" w:type="dxa"/>
          </w:tcPr>
          <w:p w14:paraId="3662625E" w14:textId="41352FFD" w:rsidR="00C0310A" w:rsidRPr="00E36967" w:rsidRDefault="00C0310A">
            <w:pPr>
              <w:pStyle w:val="COMTableheadingrow"/>
              <w:keepNext w:val="0"/>
              <w:rPr>
                <w:iCs/>
                <w:lang w:val="en-AU"/>
              </w:rPr>
            </w:pPr>
            <w:r w:rsidRPr="003967D3">
              <w:rPr>
                <w:b w:val="0"/>
                <w:bCs/>
                <w:iCs/>
                <w:lang w:val="en-AU"/>
              </w:rPr>
              <w:t>- increase by 50%</w:t>
            </w:r>
            <w:r w:rsidR="006A64B5">
              <w:rPr>
                <w:b w:val="0"/>
                <w:bCs/>
                <w:iCs/>
                <w:lang w:val="en-AU"/>
              </w:rPr>
              <w:t xml:space="preserve"> </w:t>
            </w:r>
            <w:r w:rsidR="006A64B5">
              <w:rPr>
                <w:iCs/>
                <w:lang w:val="en-AU"/>
              </w:rPr>
              <w:t>[B]</w:t>
            </w:r>
          </w:p>
        </w:tc>
        <w:tc>
          <w:tcPr>
            <w:tcW w:w="1268" w:type="dxa"/>
            <w:vAlign w:val="center"/>
          </w:tcPr>
          <w:p w14:paraId="77646E43" w14:textId="6C0D6000"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w:t>
            </w:r>
            <w:r w:rsidR="00C52D99" w:rsidRPr="00120BCB">
              <w:rPr>
                <w:rFonts w:cs="Calibri"/>
                <w:b w:val="0"/>
                <w:bCs/>
                <w:iCs/>
                <w:color w:val="000000"/>
                <w:spacing w:val="174"/>
                <w:szCs w:val="20"/>
                <w:shd w:val="solid" w:color="000000" w:fill="000000"/>
                <w:fitText w:val="260" w:id="-1280060149"/>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60" w:id="-1280060149"/>
                <w:lang w:val="en-AU"/>
                <w14:textFill>
                  <w14:solidFill>
                    <w14:srgbClr w14:val="000000">
                      <w14:alpha w14:val="100000"/>
                    </w14:srgbClr>
                  </w14:solidFill>
                </w14:textFill>
              </w:rPr>
              <w:t>|</w:t>
            </w:r>
          </w:p>
        </w:tc>
        <w:tc>
          <w:tcPr>
            <w:tcW w:w="1268" w:type="dxa"/>
            <w:vAlign w:val="center"/>
          </w:tcPr>
          <w:p w14:paraId="62E6F06E" w14:textId="77777777" w:rsidR="00C0310A" w:rsidRPr="003967D3" w:rsidRDefault="00C0310A">
            <w:pPr>
              <w:pStyle w:val="COMTableheadingrow"/>
              <w:keepNext w:val="0"/>
              <w:jc w:val="center"/>
              <w:rPr>
                <w:b w:val="0"/>
                <w:bCs/>
                <w:iCs/>
                <w:lang w:val="en-AU"/>
              </w:rPr>
            </w:pPr>
            <w:r w:rsidRPr="003967D3">
              <w:rPr>
                <w:rFonts w:cs="Calibri"/>
                <w:b w:val="0"/>
                <w:bCs/>
                <w:iCs/>
                <w:szCs w:val="20"/>
                <w:lang w:val="en-AU"/>
              </w:rPr>
              <w:t>0.9493</w:t>
            </w:r>
          </w:p>
        </w:tc>
        <w:tc>
          <w:tcPr>
            <w:tcW w:w="1268" w:type="dxa"/>
            <w:vAlign w:val="center"/>
          </w:tcPr>
          <w:p w14:paraId="50A2A1F9" w14:textId="25CFC4AC" w:rsidR="00C0310A" w:rsidRPr="00471DDD" w:rsidRDefault="00C0310A">
            <w:pPr>
              <w:pStyle w:val="COMTableheadingrow"/>
              <w:keepNext w:val="0"/>
              <w:jc w:val="center"/>
              <w:rPr>
                <w:b w:val="0"/>
                <w:bCs/>
                <w:iCs/>
                <w:vertAlign w:val="superscript"/>
                <w:lang w:val="en-AU"/>
              </w:rPr>
            </w:pPr>
            <w:r w:rsidRPr="003967D3">
              <w:rPr>
                <w:rFonts w:cs="Calibri"/>
                <w:b w:val="0"/>
                <w:bCs/>
                <w:iCs/>
                <w:color w:val="000000"/>
                <w:szCs w:val="20"/>
                <w:lang w:val="en-AU"/>
              </w:rPr>
              <w:t>$</w:t>
            </w:r>
            <w:r w:rsidR="00C52D99" w:rsidRPr="00120BCB">
              <w:rPr>
                <w:rFonts w:cs="Calibri"/>
                <w:b w:val="0"/>
                <w:bCs/>
                <w:iCs/>
                <w:color w:val="000000"/>
                <w:spacing w:val="204"/>
                <w:szCs w:val="20"/>
                <w:shd w:val="solid" w:color="000000" w:fill="000000"/>
                <w:fitText w:val="290" w:id="-1280060148"/>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90" w:id="-1280060148"/>
                <w:lang w:val="en-AU"/>
                <w14:textFill>
                  <w14:solidFill>
                    <w14:srgbClr w14:val="000000">
                      <w14:alpha w14:val="100000"/>
                    </w14:srgbClr>
                  </w14:solidFill>
                </w14:textFill>
              </w:rPr>
              <w:t>|</w:t>
            </w:r>
            <w:r w:rsidR="009D15AD">
              <w:rPr>
                <w:rFonts w:cs="Calibri"/>
                <w:b w:val="0"/>
                <w:bCs/>
                <w:iCs/>
                <w:color w:val="000000"/>
                <w:szCs w:val="20"/>
                <w:vertAlign w:val="superscript"/>
                <w:lang w:val="en-AU"/>
              </w:rPr>
              <w:t>5</w:t>
            </w:r>
          </w:p>
        </w:tc>
        <w:tc>
          <w:tcPr>
            <w:tcW w:w="1269" w:type="dxa"/>
            <w:vAlign w:val="center"/>
          </w:tcPr>
          <w:p w14:paraId="0A2CAA86" w14:textId="77777777"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+27%</w:t>
            </w:r>
          </w:p>
        </w:tc>
      </w:tr>
      <w:tr w:rsidR="00C0310A" w:rsidRPr="003967D3" w14:paraId="41693A1D" w14:textId="77777777" w:rsidTr="00E36967">
        <w:tc>
          <w:tcPr>
            <w:tcW w:w="3944" w:type="dxa"/>
          </w:tcPr>
          <w:p w14:paraId="1DEECCD9" w14:textId="4AD7ABBF" w:rsidR="00C0310A" w:rsidRPr="003967D3" w:rsidRDefault="00C0310A">
            <w:pPr>
              <w:pStyle w:val="COMTableheadingrow"/>
              <w:keepNext w:val="0"/>
              <w:rPr>
                <w:b w:val="0"/>
                <w:bCs/>
                <w:iCs/>
                <w:lang w:val="en-AU"/>
              </w:rPr>
            </w:pPr>
            <w:r w:rsidRPr="003967D3">
              <w:rPr>
                <w:b w:val="0"/>
                <w:bCs/>
                <w:iCs/>
                <w:lang w:val="en-AU"/>
              </w:rPr>
              <w:t>- decrease by 50%</w:t>
            </w:r>
            <w:r w:rsidR="006A64B5">
              <w:rPr>
                <w:b w:val="0"/>
                <w:bCs/>
                <w:iCs/>
                <w:lang w:val="en-AU"/>
              </w:rPr>
              <w:t xml:space="preserve"> </w:t>
            </w:r>
            <w:r w:rsidR="006A64B5" w:rsidRPr="00E36967">
              <w:rPr>
                <w:iCs/>
                <w:lang w:val="en-AU"/>
              </w:rPr>
              <w:t>[C]</w:t>
            </w:r>
          </w:p>
        </w:tc>
        <w:tc>
          <w:tcPr>
            <w:tcW w:w="1268" w:type="dxa"/>
            <w:vAlign w:val="center"/>
          </w:tcPr>
          <w:p w14:paraId="6D3558CD" w14:textId="67427DAD"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w:t>
            </w:r>
            <w:r w:rsidR="00C52D99" w:rsidRPr="00120BCB">
              <w:rPr>
                <w:rFonts w:cs="Calibri"/>
                <w:b w:val="0"/>
                <w:bCs/>
                <w:iCs/>
                <w:color w:val="000000"/>
                <w:spacing w:val="174"/>
                <w:szCs w:val="20"/>
                <w:shd w:val="solid" w:color="000000" w:fill="000000"/>
                <w:fitText w:val="260" w:id="-1280060147"/>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60" w:id="-1280060147"/>
                <w:lang w:val="en-AU"/>
                <w14:textFill>
                  <w14:solidFill>
                    <w14:srgbClr w14:val="000000">
                      <w14:alpha w14:val="100000"/>
                    </w14:srgbClr>
                  </w14:solidFill>
                </w14:textFill>
              </w:rPr>
              <w:t>|</w:t>
            </w:r>
          </w:p>
        </w:tc>
        <w:tc>
          <w:tcPr>
            <w:tcW w:w="1268" w:type="dxa"/>
            <w:vAlign w:val="center"/>
          </w:tcPr>
          <w:p w14:paraId="329CA49D" w14:textId="77777777" w:rsidR="00C0310A" w:rsidRPr="003967D3" w:rsidRDefault="00C0310A">
            <w:pPr>
              <w:pStyle w:val="COMTableheadingrow"/>
              <w:keepNext w:val="0"/>
              <w:jc w:val="center"/>
              <w:rPr>
                <w:b w:val="0"/>
                <w:bCs/>
                <w:iCs/>
                <w:lang w:val="en-AU"/>
              </w:rPr>
            </w:pPr>
            <w:r w:rsidRPr="003967D3">
              <w:rPr>
                <w:rFonts w:cs="Calibri"/>
                <w:b w:val="0"/>
                <w:bCs/>
                <w:iCs/>
                <w:szCs w:val="20"/>
                <w:lang w:val="en-AU"/>
              </w:rPr>
              <w:t>1.4629</w:t>
            </w:r>
          </w:p>
        </w:tc>
        <w:tc>
          <w:tcPr>
            <w:tcW w:w="1268" w:type="dxa"/>
            <w:vAlign w:val="center"/>
          </w:tcPr>
          <w:p w14:paraId="3E63E37E" w14:textId="254C2704" w:rsidR="00C0310A" w:rsidRPr="00471DDD" w:rsidRDefault="00C0310A">
            <w:pPr>
              <w:pStyle w:val="COMTableheadingrow"/>
              <w:keepNext w:val="0"/>
              <w:jc w:val="center"/>
              <w:rPr>
                <w:b w:val="0"/>
                <w:bCs/>
                <w:iCs/>
                <w:vertAlign w:val="superscript"/>
                <w:lang w:val="en-AU"/>
              </w:rPr>
            </w:pPr>
            <w:r w:rsidRPr="003967D3">
              <w:rPr>
                <w:rFonts w:cs="Calibri"/>
                <w:b w:val="0"/>
                <w:bCs/>
                <w:iCs/>
                <w:color w:val="000000"/>
                <w:szCs w:val="20"/>
                <w:lang w:val="en-AU"/>
              </w:rPr>
              <w:t>$</w:t>
            </w:r>
            <w:r w:rsidR="00C52D99" w:rsidRPr="00120BCB">
              <w:rPr>
                <w:rFonts w:cs="Calibri"/>
                <w:b w:val="0"/>
                <w:bCs/>
                <w:iCs/>
                <w:color w:val="000000"/>
                <w:spacing w:val="204"/>
                <w:szCs w:val="20"/>
                <w:shd w:val="solid" w:color="000000" w:fill="000000"/>
                <w:fitText w:val="290" w:id="-1280060146"/>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90" w:id="-1280060146"/>
                <w:lang w:val="en-AU"/>
                <w14:textFill>
                  <w14:solidFill>
                    <w14:srgbClr w14:val="000000">
                      <w14:alpha w14:val="100000"/>
                    </w14:srgbClr>
                  </w14:solidFill>
                </w14:textFill>
              </w:rPr>
              <w:t>|</w:t>
            </w:r>
            <w:r w:rsidR="009D15AD">
              <w:rPr>
                <w:rFonts w:cs="Calibri"/>
                <w:b w:val="0"/>
                <w:bCs/>
                <w:iCs/>
                <w:color w:val="000000"/>
                <w:szCs w:val="20"/>
                <w:vertAlign w:val="superscript"/>
                <w:lang w:val="en-AU"/>
              </w:rPr>
              <w:t>3</w:t>
            </w:r>
          </w:p>
        </w:tc>
        <w:tc>
          <w:tcPr>
            <w:tcW w:w="1269" w:type="dxa"/>
            <w:vAlign w:val="center"/>
          </w:tcPr>
          <w:p w14:paraId="191B250E" w14:textId="77777777"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-18%</w:t>
            </w:r>
          </w:p>
        </w:tc>
      </w:tr>
      <w:tr w:rsidR="00C0310A" w:rsidRPr="00C52646" w14:paraId="51B22BF7" w14:textId="77777777" w:rsidTr="006D7940">
        <w:tc>
          <w:tcPr>
            <w:tcW w:w="9017" w:type="dxa"/>
            <w:gridSpan w:val="5"/>
          </w:tcPr>
          <w:p w14:paraId="7CE754EE" w14:textId="77777777" w:rsidR="00C0310A" w:rsidRPr="00C52646" w:rsidRDefault="00C0310A">
            <w:pPr>
              <w:pStyle w:val="COMTableheadingrow"/>
              <w:keepNext w:val="0"/>
              <w:rPr>
                <w:lang w:val="en-AU"/>
              </w:rPr>
            </w:pPr>
            <w:r w:rsidRPr="00C52646">
              <w:rPr>
                <w:lang w:val="en-AU"/>
              </w:rPr>
              <w:t>Costs in progressive disease (base case $62,760)</w:t>
            </w:r>
          </w:p>
        </w:tc>
      </w:tr>
      <w:tr w:rsidR="00C0310A" w:rsidRPr="003967D3" w14:paraId="1BF0F432" w14:textId="77777777" w:rsidTr="00E36967">
        <w:tc>
          <w:tcPr>
            <w:tcW w:w="3944" w:type="dxa"/>
          </w:tcPr>
          <w:p w14:paraId="3B4D8629" w14:textId="77777777" w:rsidR="00C0310A" w:rsidRPr="003967D3" w:rsidRDefault="00C0310A">
            <w:pPr>
              <w:pStyle w:val="COMTableheadingrow"/>
              <w:keepNext w:val="0"/>
              <w:rPr>
                <w:b w:val="0"/>
                <w:bCs/>
                <w:iCs/>
                <w:lang w:val="en-AU"/>
              </w:rPr>
            </w:pPr>
            <w:r w:rsidRPr="003967D3">
              <w:rPr>
                <w:b w:val="0"/>
                <w:bCs/>
                <w:iCs/>
                <w:lang w:val="en-AU"/>
              </w:rPr>
              <w:t>- increase by 50%</w:t>
            </w:r>
          </w:p>
        </w:tc>
        <w:tc>
          <w:tcPr>
            <w:tcW w:w="1268" w:type="dxa"/>
            <w:vAlign w:val="center"/>
          </w:tcPr>
          <w:p w14:paraId="2820AE29" w14:textId="4DB5A3AC"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w:t>
            </w:r>
            <w:r w:rsidR="00C52D99" w:rsidRPr="00120BCB">
              <w:rPr>
                <w:rFonts w:cs="Calibri"/>
                <w:b w:val="0"/>
                <w:bCs/>
                <w:iCs/>
                <w:color w:val="000000"/>
                <w:spacing w:val="174"/>
                <w:szCs w:val="20"/>
                <w:shd w:val="solid" w:color="000000" w:fill="000000"/>
                <w:fitText w:val="260" w:id="-1280060145"/>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60" w:id="-1280060145"/>
                <w:lang w:val="en-AU"/>
                <w14:textFill>
                  <w14:solidFill>
                    <w14:srgbClr w14:val="000000">
                      <w14:alpha w14:val="100000"/>
                    </w14:srgbClr>
                  </w14:solidFill>
                </w14:textFill>
              </w:rPr>
              <w:t>|</w:t>
            </w:r>
          </w:p>
        </w:tc>
        <w:tc>
          <w:tcPr>
            <w:tcW w:w="1268" w:type="dxa"/>
            <w:vAlign w:val="center"/>
          </w:tcPr>
          <w:p w14:paraId="08C61784" w14:textId="77777777" w:rsidR="00C0310A" w:rsidRPr="003967D3" w:rsidRDefault="00C0310A">
            <w:pPr>
              <w:pStyle w:val="COMTableheadingrow"/>
              <w:keepNext w:val="0"/>
              <w:jc w:val="center"/>
              <w:rPr>
                <w:b w:val="0"/>
                <w:bCs/>
                <w:iCs/>
                <w:lang w:val="en-AU"/>
              </w:rPr>
            </w:pPr>
            <w:r w:rsidRPr="003967D3">
              <w:rPr>
                <w:rFonts w:cs="Calibri"/>
                <w:b w:val="0"/>
                <w:bCs/>
                <w:iCs/>
                <w:szCs w:val="20"/>
                <w:lang w:val="en-AU"/>
              </w:rPr>
              <w:t>1.2061</w:t>
            </w:r>
          </w:p>
        </w:tc>
        <w:tc>
          <w:tcPr>
            <w:tcW w:w="1268" w:type="dxa"/>
            <w:vAlign w:val="center"/>
          </w:tcPr>
          <w:p w14:paraId="3280D468" w14:textId="3DC52528" w:rsidR="00C0310A" w:rsidRPr="00471DDD" w:rsidRDefault="00C0310A">
            <w:pPr>
              <w:pStyle w:val="COMTableheadingrow"/>
              <w:keepNext w:val="0"/>
              <w:jc w:val="center"/>
              <w:rPr>
                <w:b w:val="0"/>
                <w:bCs/>
                <w:iCs/>
                <w:vertAlign w:val="superscript"/>
                <w:lang w:val="en-AU"/>
              </w:rPr>
            </w:pPr>
            <w:r w:rsidRPr="003967D3">
              <w:rPr>
                <w:rFonts w:cs="Calibri"/>
                <w:b w:val="0"/>
                <w:bCs/>
                <w:iCs/>
                <w:color w:val="000000"/>
                <w:szCs w:val="20"/>
                <w:lang w:val="en-AU"/>
              </w:rPr>
              <w:t>$</w:t>
            </w:r>
            <w:r w:rsidR="00C52D99" w:rsidRPr="00120BCB">
              <w:rPr>
                <w:rFonts w:cs="Calibri"/>
                <w:b w:val="0"/>
                <w:bCs/>
                <w:iCs/>
                <w:color w:val="000000"/>
                <w:spacing w:val="204"/>
                <w:szCs w:val="20"/>
                <w:shd w:val="solid" w:color="000000" w:fill="000000"/>
                <w:fitText w:val="290" w:id="-1280060144"/>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90" w:id="-1280060144"/>
                <w:lang w:val="en-AU"/>
                <w14:textFill>
                  <w14:solidFill>
                    <w14:srgbClr w14:val="000000">
                      <w14:alpha w14:val="100000"/>
                    </w14:srgbClr>
                  </w14:solidFill>
                </w14:textFill>
              </w:rPr>
              <w:t>|</w:t>
            </w:r>
            <w:r w:rsidR="009D15AD">
              <w:rPr>
                <w:rFonts w:cs="Calibri"/>
                <w:b w:val="0"/>
                <w:bCs/>
                <w:iCs/>
                <w:color w:val="000000"/>
                <w:szCs w:val="20"/>
                <w:vertAlign w:val="superscript"/>
                <w:lang w:val="en-AU"/>
              </w:rPr>
              <w:t>1</w:t>
            </w:r>
          </w:p>
        </w:tc>
        <w:tc>
          <w:tcPr>
            <w:tcW w:w="1269" w:type="dxa"/>
            <w:vAlign w:val="center"/>
          </w:tcPr>
          <w:p w14:paraId="13616F21" w14:textId="77777777"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-9%</w:t>
            </w:r>
          </w:p>
        </w:tc>
      </w:tr>
      <w:tr w:rsidR="00C0310A" w:rsidRPr="003967D3" w14:paraId="32703310" w14:textId="77777777" w:rsidTr="00E36967">
        <w:tc>
          <w:tcPr>
            <w:tcW w:w="3944" w:type="dxa"/>
          </w:tcPr>
          <w:p w14:paraId="05D4E647" w14:textId="77777777" w:rsidR="00C0310A" w:rsidRPr="003967D3" w:rsidRDefault="00C0310A">
            <w:pPr>
              <w:pStyle w:val="COMTableheadingrow"/>
              <w:keepNext w:val="0"/>
              <w:rPr>
                <w:b w:val="0"/>
                <w:bCs/>
                <w:iCs/>
                <w:lang w:val="en-AU"/>
              </w:rPr>
            </w:pPr>
            <w:r w:rsidRPr="003967D3">
              <w:rPr>
                <w:b w:val="0"/>
                <w:bCs/>
                <w:iCs/>
                <w:lang w:val="en-AU"/>
              </w:rPr>
              <w:t>- decrease by 50%</w:t>
            </w:r>
          </w:p>
        </w:tc>
        <w:tc>
          <w:tcPr>
            <w:tcW w:w="1268" w:type="dxa"/>
            <w:vAlign w:val="center"/>
          </w:tcPr>
          <w:p w14:paraId="5392E98A" w14:textId="4271BA97"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w:t>
            </w:r>
            <w:r w:rsidR="00C52D99" w:rsidRPr="00120BCB">
              <w:rPr>
                <w:rFonts w:cs="Calibri"/>
                <w:b w:val="0"/>
                <w:bCs/>
                <w:iCs/>
                <w:color w:val="000000"/>
                <w:spacing w:val="174"/>
                <w:szCs w:val="20"/>
                <w:shd w:val="solid" w:color="000000" w:fill="000000"/>
                <w:fitText w:val="260" w:id="-1280060160"/>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60" w:id="-1280060160"/>
                <w:lang w:val="en-AU"/>
                <w14:textFill>
                  <w14:solidFill>
                    <w14:srgbClr w14:val="000000">
                      <w14:alpha w14:val="100000"/>
                    </w14:srgbClr>
                  </w14:solidFill>
                </w14:textFill>
              </w:rPr>
              <w:t>|</w:t>
            </w:r>
          </w:p>
        </w:tc>
        <w:tc>
          <w:tcPr>
            <w:tcW w:w="1268" w:type="dxa"/>
            <w:vAlign w:val="center"/>
          </w:tcPr>
          <w:p w14:paraId="4616325E" w14:textId="77777777" w:rsidR="00C0310A" w:rsidRPr="003967D3" w:rsidRDefault="00C0310A">
            <w:pPr>
              <w:pStyle w:val="COMTableheadingrow"/>
              <w:keepNext w:val="0"/>
              <w:jc w:val="center"/>
              <w:rPr>
                <w:b w:val="0"/>
                <w:bCs/>
                <w:iCs/>
                <w:lang w:val="en-AU"/>
              </w:rPr>
            </w:pPr>
            <w:r w:rsidRPr="003967D3">
              <w:rPr>
                <w:rFonts w:cs="Calibri"/>
                <w:b w:val="0"/>
                <w:bCs/>
                <w:iCs/>
                <w:szCs w:val="20"/>
                <w:lang w:val="en-AU"/>
              </w:rPr>
              <w:t>1.2061</w:t>
            </w:r>
          </w:p>
        </w:tc>
        <w:tc>
          <w:tcPr>
            <w:tcW w:w="1268" w:type="dxa"/>
            <w:vAlign w:val="center"/>
          </w:tcPr>
          <w:p w14:paraId="5C9714D1" w14:textId="00151368" w:rsidR="00C0310A" w:rsidRPr="00471DDD" w:rsidRDefault="00C0310A">
            <w:pPr>
              <w:pStyle w:val="COMTableheadingrow"/>
              <w:keepNext w:val="0"/>
              <w:jc w:val="center"/>
              <w:rPr>
                <w:b w:val="0"/>
                <w:bCs/>
                <w:iCs/>
                <w:vertAlign w:val="superscript"/>
                <w:lang w:val="en-AU"/>
              </w:rPr>
            </w:pPr>
            <w:r w:rsidRPr="003967D3">
              <w:rPr>
                <w:rFonts w:cs="Calibri"/>
                <w:b w:val="0"/>
                <w:bCs/>
                <w:iCs/>
                <w:color w:val="000000"/>
                <w:szCs w:val="20"/>
                <w:lang w:val="en-AU"/>
              </w:rPr>
              <w:t>$</w:t>
            </w:r>
            <w:r w:rsidR="00C52D99" w:rsidRPr="00120BCB">
              <w:rPr>
                <w:rFonts w:cs="Calibri"/>
                <w:b w:val="0"/>
                <w:bCs/>
                <w:iCs/>
                <w:color w:val="000000"/>
                <w:spacing w:val="204"/>
                <w:szCs w:val="20"/>
                <w:shd w:val="solid" w:color="000000" w:fill="000000"/>
                <w:fitText w:val="290" w:id="-1280060159"/>
                <w:lang w:val="en-AU"/>
                <w14:textFill>
                  <w14:solidFill>
                    <w14:srgbClr w14:val="000000">
                      <w14:alpha w14:val="100000"/>
                    </w14:srgbClr>
                  </w14:solidFill>
                </w14:textFill>
              </w:rPr>
              <w:t>|</w:t>
            </w:r>
            <w:r w:rsidR="00C52D99" w:rsidRPr="00120BCB">
              <w:rPr>
                <w:rFonts w:cs="Calibri"/>
                <w:b w:val="0"/>
                <w:bCs/>
                <w:iCs/>
                <w:color w:val="000000"/>
                <w:szCs w:val="20"/>
                <w:shd w:val="solid" w:color="000000" w:fill="000000"/>
                <w:fitText w:val="290" w:id="-1280060159"/>
                <w:lang w:val="en-AU"/>
                <w14:textFill>
                  <w14:solidFill>
                    <w14:srgbClr w14:val="000000">
                      <w14:alpha w14:val="100000"/>
                    </w14:srgbClr>
                  </w14:solidFill>
                </w14:textFill>
              </w:rPr>
              <w:t>|</w:t>
            </w:r>
            <w:r w:rsidR="009D15AD">
              <w:rPr>
                <w:rFonts w:cs="Calibri"/>
                <w:b w:val="0"/>
                <w:bCs/>
                <w:iCs/>
                <w:color w:val="000000"/>
                <w:szCs w:val="20"/>
                <w:vertAlign w:val="superscript"/>
                <w:lang w:val="en-AU"/>
              </w:rPr>
              <w:t>1</w:t>
            </w:r>
          </w:p>
        </w:tc>
        <w:tc>
          <w:tcPr>
            <w:tcW w:w="1269" w:type="dxa"/>
            <w:vAlign w:val="center"/>
          </w:tcPr>
          <w:p w14:paraId="2B067982" w14:textId="77777777" w:rsidR="00C0310A" w:rsidRPr="003967D3" w:rsidRDefault="00C0310A">
            <w:pPr>
              <w:pStyle w:val="COMTableheadingrow"/>
              <w:keepNext w:val="0"/>
              <w:jc w:val="center"/>
              <w:rPr>
                <w:b w:val="0"/>
                <w:bCs/>
                <w:iCs/>
                <w:lang w:val="en-AU"/>
              </w:rPr>
            </w:pPr>
            <w:r w:rsidRPr="003967D3">
              <w:rPr>
                <w:rFonts w:cs="Calibri"/>
                <w:b w:val="0"/>
                <w:bCs/>
                <w:iCs/>
                <w:color w:val="000000"/>
                <w:szCs w:val="20"/>
                <w:lang w:val="en-AU"/>
              </w:rPr>
              <w:t>+9%</w:t>
            </w:r>
          </w:p>
        </w:tc>
      </w:tr>
      <w:tr w:rsidR="00E4788E" w:rsidRPr="00E36967" w14:paraId="0BFC6A61" w14:textId="77777777" w:rsidTr="003A7A54">
        <w:tc>
          <w:tcPr>
            <w:tcW w:w="9017" w:type="dxa"/>
            <w:gridSpan w:val="5"/>
          </w:tcPr>
          <w:p w14:paraId="40801041" w14:textId="1732E74D" w:rsidR="00E4788E" w:rsidRPr="001434A1" w:rsidRDefault="00E4788E" w:rsidP="003A7A54">
            <w:pPr>
              <w:pStyle w:val="COMTableheadingrow"/>
              <w:keepNext w:val="0"/>
              <w:rPr>
                <w:lang w:val="en-AU"/>
              </w:rPr>
            </w:pPr>
            <w:r w:rsidRPr="001434A1">
              <w:rPr>
                <w:lang w:val="en-AU"/>
              </w:rPr>
              <w:t>Multivariate analyses</w:t>
            </w:r>
          </w:p>
        </w:tc>
      </w:tr>
      <w:tr w:rsidR="00E4788E" w:rsidRPr="00E36967" w14:paraId="5AFA6857" w14:textId="77777777" w:rsidTr="00E36967">
        <w:tc>
          <w:tcPr>
            <w:tcW w:w="3944" w:type="dxa"/>
          </w:tcPr>
          <w:p w14:paraId="306C32A8" w14:textId="69F600B2" w:rsidR="00E4788E" w:rsidRPr="001434A1" w:rsidRDefault="00E4788E" w:rsidP="00E4788E">
            <w:pPr>
              <w:pStyle w:val="COMTableheadingrow"/>
              <w:keepNext w:val="0"/>
              <w:rPr>
                <w:b w:val="0"/>
                <w:bCs/>
                <w:lang w:val="en-AU"/>
              </w:rPr>
            </w:pPr>
            <w:bookmarkStart w:id="70" w:name="_Hlk116287236"/>
            <w:r w:rsidRPr="001434A1">
              <w:rPr>
                <w:b w:val="0"/>
                <w:bCs/>
                <w:lang w:val="en-AU"/>
              </w:rPr>
              <w:t xml:space="preserve">- </w:t>
            </w:r>
            <w:r w:rsidR="006A64B5" w:rsidRPr="001434A1">
              <w:rPr>
                <w:lang w:val="en-AU"/>
              </w:rPr>
              <w:t xml:space="preserve">A:  </w:t>
            </w:r>
            <w:r w:rsidRPr="001434A1">
              <w:rPr>
                <w:b w:val="0"/>
                <w:bCs/>
                <w:lang w:val="en-AU"/>
              </w:rPr>
              <w:t>Progression-free survival - generalised gamma; adjust treatment covariate (×50%)</w:t>
            </w:r>
          </w:p>
          <w:p w14:paraId="6D89B9C4" w14:textId="65DE8E05" w:rsidR="00E4788E" w:rsidRPr="001434A1" w:rsidRDefault="00E4788E" w:rsidP="00E4788E">
            <w:pPr>
              <w:pStyle w:val="COMTableheadingrow"/>
              <w:keepNext w:val="0"/>
              <w:rPr>
                <w:b w:val="0"/>
                <w:bCs/>
                <w:lang w:val="en-AU"/>
              </w:rPr>
            </w:pPr>
            <w:r w:rsidRPr="001434A1">
              <w:rPr>
                <w:b w:val="0"/>
                <w:bCs/>
                <w:lang w:val="en-AU"/>
              </w:rPr>
              <w:t>-</w:t>
            </w:r>
            <w:r w:rsidR="0051352D">
              <w:rPr>
                <w:b w:val="0"/>
                <w:bCs/>
                <w:lang w:val="en-AU"/>
              </w:rPr>
              <w:t xml:space="preserve"> </w:t>
            </w:r>
            <w:r w:rsidR="006A64B5" w:rsidRPr="001434A1">
              <w:rPr>
                <w:lang w:val="en-AU"/>
              </w:rPr>
              <w:t xml:space="preserve">B: </w:t>
            </w:r>
            <w:r w:rsidRPr="001434A1">
              <w:rPr>
                <w:b w:val="0"/>
                <w:bCs/>
                <w:lang w:val="en-AU"/>
              </w:rPr>
              <w:t xml:space="preserve"> QALYs in progressive disease</w:t>
            </w:r>
            <w:r w:rsidR="00790C8E" w:rsidRPr="001434A1">
              <w:rPr>
                <w:b w:val="0"/>
                <w:bCs/>
                <w:lang w:val="en-AU"/>
              </w:rPr>
              <w:t>:</w:t>
            </w:r>
            <w:r w:rsidRPr="001434A1">
              <w:rPr>
                <w:b w:val="0"/>
                <w:bCs/>
                <w:lang w:val="en-AU"/>
              </w:rPr>
              <w:t xml:space="preserve"> increase by 50%</w:t>
            </w:r>
          </w:p>
        </w:tc>
        <w:tc>
          <w:tcPr>
            <w:tcW w:w="1268" w:type="dxa"/>
          </w:tcPr>
          <w:p w14:paraId="57A88CB0" w14:textId="490448D8" w:rsidR="00E4788E" w:rsidRPr="001434A1" w:rsidRDefault="00E4788E" w:rsidP="00E4788E">
            <w:pPr>
              <w:pStyle w:val="COMTableheadingrow"/>
              <w:keepNext w:val="0"/>
              <w:jc w:val="center"/>
              <w:rPr>
                <w:b w:val="0"/>
                <w:bCs/>
                <w:lang w:val="en-AU"/>
              </w:rPr>
            </w:pPr>
            <w:r w:rsidRPr="001434A1">
              <w:rPr>
                <w:b w:val="0"/>
                <w:bCs/>
              </w:rPr>
              <w:t>$</w:t>
            </w:r>
            <w:r w:rsidR="00C52D99" w:rsidRPr="00120BCB">
              <w:rPr>
                <w:b w:val="0"/>
                <w:bCs/>
                <w:color w:val="000000"/>
                <w:spacing w:val="174"/>
                <w:shd w:val="solid" w:color="000000" w:fill="000000"/>
                <w:fitText w:val="260" w:id="-1280060158"/>
                <w14:textFill>
                  <w14:solidFill>
                    <w14:srgbClr w14:val="000000">
                      <w14:alpha w14:val="100000"/>
                    </w14:srgbClr>
                  </w14:solidFill>
                </w14:textFill>
              </w:rPr>
              <w:t>|</w:t>
            </w:r>
            <w:r w:rsidR="00C52D99" w:rsidRPr="00120BCB">
              <w:rPr>
                <w:b w:val="0"/>
                <w:bCs/>
                <w:color w:val="000000"/>
                <w:shd w:val="solid" w:color="000000" w:fill="000000"/>
                <w:fitText w:val="260" w:id="-1280060158"/>
                <w14:textFill>
                  <w14:solidFill>
                    <w14:srgbClr w14:val="000000">
                      <w14:alpha w14:val="100000"/>
                    </w14:srgbClr>
                  </w14:solidFill>
                </w14:textFill>
              </w:rPr>
              <w:t>|</w:t>
            </w:r>
          </w:p>
        </w:tc>
        <w:tc>
          <w:tcPr>
            <w:tcW w:w="1268" w:type="dxa"/>
          </w:tcPr>
          <w:p w14:paraId="782A18C5" w14:textId="776B8FAC" w:rsidR="00E4788E" w:rsidRPr="001434A1" w:rsidRDefault="00E4788E" w:rsidP="00E4788E">
            <w:pPr>
              <w:pStyle w:val="COMTableheadingrow"/>
              <w:keepNext w:val="0"/>
              <w:jc w:val="center"/>
              <w:rPr>
                <w:b w:val="0"/>
                <w:bCs/>
                <w:lang w:val="en-AU"/>
              </w:rPr>
            </w:pPr>
            <w:r w:rsidRPr="001434A1">
              <w:rPr>
                <w:b w:val="0"/>
                <w:bCs/>
              </w:rPr>
              <w:t>0.7062</w:t>
            </w:r>
          </w:p>
        </w:tc>
        <w:tc>
          <w:tcPr>
            <w:tcW w:w="1268" w:type="dxa"/>
          </w:tcPr>
          <w:p w14:paraId="02053FCC" w14:textId="724F5430" w:rsidR="00E4788E" w:rsidRPr="00471DDD" w:rsidRDefault="00E4788E" w:rsidP="00E4788E">
            <w:pPr>
              <w:pStyle w:val="COMTableheadingrow"/>
              <w:keepNext w:val="0"/>
              <w:jc w:val="center"/>
              <w:rPr>
                <w:b w:val="0"/>
                <w:bCs/>
                <w:vertAlign w:val="superscript"/>
                <w:lang w:val="en-AU"/>
              </w:rPr>
            </w:pPr>
            <w:r w:rsidRPr="001434A1">
              <w:rPr>
                <w:b w:val="0"/>
                <w:bCs/>
              </w:rPr>
              <w:t>$</w:t>
            </w:r>
            <w:r w:rsidR="00C52D99" w:rsidRPr="00120BCB">
              <w:rPr>
                <w:b w:val="0"/>
                <w:bCs/>
                <w:color w:val="000000"/>
                <w:spacing w:val="204"/>
                <w:shd w:val="solid" w:color="000000" w:fill="000000"/>
                <w:fitText w:val="290" w:id="-1280060157"/>
                <w14:textFill>
                  <w14:solidFill>
                    <w14:srgbClr w14:val="000000">
                      <w14:alpha w14:val="100000"/>
                    </w14:srgbClr>
                  </w14:solidFill>
                </w14:textFill>
              </w:rPr>
              <w:t>|</w:t>
            </w:r>
            <w:r w:rsidR="00C52D99" w:rsidRPr="00120BCB">
              <w:rPr>
                <w:b w:val="0"/>
                <w:bCs/>
                <w:color w:val="000000"/>
                <w:shd w:val="solid" w:color="000000" w:fill="000000"/>
                <w:fitText w:val="290" w:id="-1280060157"/>
                <w14:textFill>
                  <w14:solidFill>
                    <w14:srgbClr w14:val="000000">
                      <w14:alpha w14:val="100000"/>
                    </w14:srgbClr>
                  </w14:solidFill>
                </w14:textFill>
              </w:rPr>
              <w:t>|</w:t>
            </w:r>
            <w:r w:rsidR="009D15AD">
              <w:rPr>
                <w:b w:val="0"/>
                <w:bCs/>
                <w:vertAlign w:val="superscript"/>
              </w:rPr>
              <w:t>6</w:t>
            </w:r>
          </w:p>
        </w:tc>
        <w:tc>
          <w:tcPr>
            <w:tcW w:w="1269" w:type="dxa"/>
          </w:tcPr>
          <w:p w14:paraId="1E6D1CE6" w14:textId="15BBB14B" w:rsidR="00E4788E" w:rsidRPr="00AC1609" w:rsidRDefault="00E4788E" w:rsidP="00E4788E">
            <w:pPr>
              <w:pStyle w:val="COMTableheadingrow"/>
              <w:keepNext w:val="0"/>
              <w:jc w:val="center"/>
              <w:rPr>
                <w:b w:val="0"/>
                <w:bCs/>
                <w:lang w:val="en-AU"/>
              </w:rPr>
            </w:pPr>
            <w:r w:rsidRPr="00AC1609">
              <w:rPr>
                <w:b w:val="0"/>
                <w:bCs/>
              </w:rPr>
              <w:t>82%</w:t>
            </w:r>
          </w:p>
        </w:tc>
      </w:tr>
      <w:tr w:rsidR="00E4788E" w:rsidRPr="00E36967" w14:paraId="6E7FA7FB" w14:textId="77777777" w:rsidTr="00E36967">
        <w:tc>
          <w:tcPr>
            <w:tcW w:w="3944" w:type="dxa"/>
          </w:tcPr>
          <w:p w14:paraId="53FA87C7" w14:textId="51C5390B" w:rsidR="00E4788E" w:rsidRPr="001434A1" w:rsidRDefault="00E4788E" w:rsidP="00E4788E">
            <w:pPr>
              <w:pStyle w:val="COMTableheadingrow"/>
              <w:keepNext w:val="0"/>
              <w:rPr>
                <w:b w:val="0"/>
                <w:bCs/>
                <w:lang w:val="en-AU"/>
              </w:rPr>
            </w:pPr>
            <w:r w:rsidRPr="001434A1">
              <w:rPr>
                <w:b w:val="0"/>
                <w:bCs/>
                <w:lang w:val="en-AU"/>
              </w:rPr>
              <w:t>-</w:t>
            </w:r>
            <w:r w:rsidR="006A64B5" w:rsidRPr="001434A1">
              <w:rPr>
                <w:b w:val="0"/>
                <w:bCs/>
                <w:lang w:val="en-AU"/>
              </w:rPr>
              <w:t xml:space="preserve"> </w:t>
            </w:r>
            <w:r w:rsidR="006A64B5" w:rsidRPr="001434A1">
              <w:rPr>
                <w:lang w:val="en-AU"/>
              </w:rPr>
              <w:t>A</w:t>
            </w:r>
            <w:r w:rsidR="006A64B5" w:rsidRPr="001434A1">
              <w:rPr>
                <w:b w:val="0"/>
                <w:bCs/>
                <w:lang w:val="en-AU"/>
              </w:rPr>
              <w:t>:</w:t>
            </w:r>
            <w:r w:rsidRPr="001434A1">
              <w:rPr>
                <w:b w:val="0"/>
                <w:bCs/>
                <w:lang w:val="en-AU"/>
              </w:rPr>
              <w:t xml:space="preserve"> Progression-free survival - generalised gamma; adjust treatment covariate (×50%)</w:t>
            </w:r>
          </w:p>
          <w:p w14:paraId="5381B8B5" w14:textId="30AC26B4" w:rsidR="00E4788E" w:rsidRPr="001434A1" w:rsidRDefault="00E4788E" w:rsidP="00E4788E">
            <w:pPr>
              <w:pStyle w:val="COMTableheadingrow"/>
              <w:keepNext w:val="0"/>
              <w:rPr>
                <w:b w:val="0"/>
                <w:bCs/>
                <w:lang w:val="en-AU"/>
              </w:rPr>
            </w:pPr>
            <w:r w:rsidRPr="001434A1">
              <w:rPr>
                <w:b w:val="0"/>
                <w:bCs/>
                <w:lang w:val="en-AU"/>
              </w:rPr>
              <w:t xml:space="preserve">- </w:t>
            </w:r>
            <w:r w:rsidR="006A64B5" w:rsidRPr="001434A1">
              <w:rPr>
                <w:lang w:val="en-AU"/>
              </w:rPr>
              <w:t>C:</w:t>
            </w:r>
            <w:r w:rsidR="006A64B5" w:rsidRPr="001434A1">
              <w:rPr>
                <w:b w:val="0"/>
                <w:bCs/>
                <w:lang w:val="en-AU"/>
              </w:rPr>
              <w:t xml:space="preserve"> </w:t>
            </w:r>
            <w:r w:rsidRPr="001434A1">
              <w:rPr>
                <w:b w:val="0"/>
                <w:bCs/>
                <w:lang w:val="en-AU"/>
              </w:rPr>
              <w:t>QALYs in progressive disease</w:t>
            </w:r>
            <w:r w:rsidR="00790C8E" w:rsidRPr="001434A1">
              <w:rPr>
                <w:b w:val="0"/>
                <w:bCs/>
                <w:lang w:val="en-AU"/>
              </w:rPr>
              <w:t>:</w:t>
            </w:r>
            <w:r w:rsidRPr="001434A1">
              <w:rPr>
                <w:b w:val="0"/>
                <w:bCs/>
                <w:lang w:val="en-AU"/>
              </w:rPr>
              <w:t xml:space="preserve"> decrease by 50%</w:t>
            </w:r>
          </w:p>
        </w:tc>
        <w:tc>
          <w:tcPr>
            <w:tcW w:w="1268" w:type="dxa"/>
          </w:tcPr>
          <w:p w14:paraId="3297CF32" w14:textId="46590DA9" w:rsidR="00E4788E" w:rsidRPr="001434A1" w:rsidRDefault="00E4788E" w:rsidP="00E4788E">
            <w:pPr>
              <w:pStyle w:val="COMTableheadingrow"/>
              <w:keepNext w:val="0"/>
              <w:jc w:val="center"/>
              <w:rPr>
                <w:b w:val="0"/>
                <w:bCs/>
                <w:lang w:val="en-AU"/>
              </w:rPr>
            </w:pPr>
            <w:r w:rsidRPr="001434A1">
              <w:rPr>
                <w:b w:val="0"/>
                <w:bCs/>
              </w:rPr>
              <w:t>$</w:t>
            </w:r>
            <w:r w:rsidR="00C52D99" w:rsidRPr="00120BCB">
              <w:rPr>
                <w:b w:val="0"/>
                <w:bCs/>
                <w:color w:val="000000"/>
                <w:spacing w:val="174"/>
                <w:shd w:val="solid" w:color="000000" w:fill="000000"/>
                <w:fitText w:val="260" w:id="-1280060156"/>
                <w14:textFill>
                  <w14:solidFill>
                    <w14:srgbClr w14:val="000000">
                      <w14:alpha w14:val="100000"/>
                    </w14:srgbClr>
                  </w14:solidFill>
                </w14:textFill>
              </w:rPr>
              <w:t>|</w:t>
            </w:r>
            <w:r w:rsidR="00C52D99" w:rsidRPr="00120BCB">
              <w:rPr>
                <w:b w:val="0"/>
                <w:bCs/>
                <w:color w:val="000000"/>
                <w:shd w:val="solid" w:color="000000" w:fill="000000"/>
                <w:fitText w:val="260" w:id="-1280060156"/>
                <w14:textFill>
                  <w14:solidFill>
                    <w14:srgbClr w14:val="000000">
                      <w14:alpha w14:val="100000"/>
                    </w14:srgbClr>
                  </w14:solidFill>
                </w14:textFill>
              </w:rPr>
              <w:t>|</w:t>
            </w:r>
          </w:p>
        </w:tc>
        <w:tc>
          <w:tcPr>
            <w:tcW w:w="1268" w:type="dxa"/>
          </w:tcPr>
          <w:p w14:paraId="04F48A08" w14:textId="53A55EAA" w:rsidR="00E4788E" w:rsidRPr="001434A1" w:rsidRDefault="00E4788E" w:rsidP="00E4788E">
            <w:pPr>
              <w:pStyle w:val="COMTableheadingrow"/>
              <w:keepNext w:val="0"/>
              <w:jc w:val="center"/>
              <w:rPr>
                <w:b w:val="0"/>
                <w:bCs/>
                <w:lang w:val="en-AU"/>
              </w:rPr>
            </w:pPr>
            <w:r w:rsidRPr="001434A1">
              <w:rPr>
                <w:b w:val="0"/>
                <w:bCs/>
              </w:rPr>
              <w:t>1.0307</w:t>
            </w:r>
          </w:p>
        </w:tc>
        <w:tc>
          <w:tcPr>
            <w:tcW w:w="1268" w:type="dxa"/>
          </w:tcPr>
          <w:p w14:paraId="346018B8" w14:textId="79AA3F6B" w:rsidR="00E4788E" w:rsidRPr="00471DDD" w:rsidRDefault="00E4788E" w:rsidP="00E4788E">
            <w:pPr>
              <w:pStyle w:val="COMTableheadingrow"/>
              <w:keepNext w:val="0"/>
              <w:jc w:val="center"/>
              <w:rPr>
                <w:b w:val="0"/>
                <w:bCs/>
                <w:vertAlign w:val="superscript"/>
                <w:lang w:val="en-AU"/>
              </w:rPr>
            </w:pPr>
            <w:r w:rsidRPr="001434A1">
              <w:rPr>
                <w:b w:val="0"/>
                <w:bCs/>
              </w:rPr>
              <w:t>$</w:t>
            </w:r>
            <w:r w:rsidR="00C52D99" w:rsidRPr="00120BCB">
              <w:rPr>
                <w:b w:val="0"/>
                <w:bCs/>
                <w:color w:val="000000"/>
                <w:spacing w:val="204"/>
                <w:shd w:val="solid" w:color="000000" w:fill="000000"/>
                <w:fitText w:val="290" w:id="-1280060155"/>
                <w14:textFill>
                  <w14:solidFill>
                    <w14:srgbClr w14:val="000000">
                      <w14:alpha w14:val="100000"/>
                    </w14:srgbClr>
                  </w14:solidFill>
                </w14:textFill>
              </w:rPr>
              <w:t>|</w:t>
            </w:r>
            <w:r w:rsidR="00C52D99" w:rsidRPr="00120BCB">
              <w:rPr>
                <w:b w:val="0"/>
                <w:bCs/>
                <w:color w:val="000000"/>
                <w:shd w:val="solid" w:color="000000" w:fill="000000"/>
                <w:fitText w:val="290" w:id="-1280060155"/>
                <w14:textFill>
                  <w14:solidFill>
                    <w14:srgbClr w14:val="000000">
                      <w14:alpha w14:val="100000"/>
                    </w14:srgbClr>
                  </w14:solidFill>
                </w14:textFill>
              </w:rPr>
              <w:t>|</w:t>
            </w:r>
            <w:r w:rsidR="009D15AD">
              <w:rPr>
                <w:b w:val="0"/>
                <w:bCs/>
                <w:vertAlign w:val="superscript"/>
              </w:rPr>
              <w:t>5</w:t>
            </w:r>
          </w:p>
        </w:tc>
        <w:tc>
          <w:tcPr>
            <w:tcW w:w="1269" w:type="dxa"/>
          </w:tcPr>
          <w:p w14:paraId="65A10D14" w14:textId="0EA7285C" w:rsidR="00E4788E" w:rsidRPr="00AC1609" w:rsidRDefault="00E4788E" w:rsidP="00E4788E">
            <w:pPr>
              <w:pStyle w:val="COMTableheadingrow"/>
              <w:keepNext w:val="0"/>
              <w:jc w:val="center"/>
              <w:rPr>
                <w:b w:val="0"/>
                <w:bCs/>
                <w:lang w:val="en-AU"/>
              </w:rPr>
            </w:pPr>
            <w:r w:rsidRPr="00AC1609">
              <w:rPr>
                <w:b w:val="0"/>
                <w:bCs/>
              </w:rPr>
              <w:t>25%</w:t>
            </w:r>
          </w:p>
        </w:tc>
      </w:tr>
      <w:bookmarkEnd w:id="70"/>
      <w:tr w:rsidR="00E4788E" w:rsidRPr="00E36967" w14:paraId="39FD52F5" w14:textId="77777777" w:rsidTr="00E36967">
        <w:tc>
          <w:tcPr>
            <w:tcW w:w="3944" w:type="dxa"/>
          </w:tcPr>
          <w:p w14:paraId="7C20A973" w14:textId="659ADC47" w:rsidR="00E4788E" w:rsidRPr="001434A1" w:rsidRDefault="00E4788E" w:rsidP="00E4788E">
            <w:pPr>
              <w:pStyle w:val="COMTableheadingrow"/>
              <w:keepNext w:val="0"/>
              <w:rPr>
                <w:b w:val="0"/>
                <w:bCs/>
                <w:lang w:val="en-AU"/>
              </w:rPr>
            </w:pPr>
            <w:r w:rsidRPr="001434A1">
              <w:rPr>
                <w:b w:val="0"/>
                <w:bCs/>
                <w:lang w:val="en-AU"/>
              </w:rPr>
              <w:t>- 15-year time horizon</w:t>
            </w:r>
          </w:p>
          <w:p w14:paraId="663F3543" w14:textId="5C34C960" w:rsidR="00E4788E" w:rsidRPr="001434A1" w:rsidRDefault="00E4788E" w:rsidP="00E4788E">
            <w:pPr>
              <w:pStyle w:val="COMTableheadingrow"/>
              <w:keepNext w:val="0"/>
              <w:rPr>
                <w:b w:val="0"/>
                <w:bCs/>
                <w:lang w:val="en-AU"/>
              </w:rPr>
            </w:pPr>
            <w:r w:rsidRPr="001434A1">
              <w:rPr>
                <w:b w:val="0"/>
                <w:bCs/>
                <w:lang w:val="en-AU"/>
              </w:rPr>
              <w:t xml:space="preserve">- </w:t>
            </w:r>
            <w:r w:rsidR="002D79EF" w:rsidRPr="001434A1">
              <w:rPr>
                <w:lang w:val="en-AU"/>
              </w:rPr>
              <w:t>A</w:t>
            </w:r>
            <w:r w:rsidR="002D79EF" w:rsidRPr="001434A1">
              <w:rPr>
                <w:b w:val="0"/>
                <w:bCs/>
                <w:lang w:val="en-AU"/>
              </w:rPr>
              <w:t xml:space="preserve"> </w:t>
            </w:r>
            <w:r w:rsidRPr="001434A1">
              <w:rPr>
                <w:b w:val="0"/>
                <w:bCs/>
                <w:lang w:val="en-AU"/>
              </w:rPr>
              <w:t>Progression-free survival - generalised gamma; adjust treatment covariate (×50%)</w:t>
            </w:r>
          </w:p>
          <w:p w14:paraId="21EB4553" w14:textId="57558BE0" w:rsidR="00E4788E" w:rsidRPr="001434A1" w:rsidRDefault="00E4788E" w:rsidP="00E4788E">
            <w:pPr>
              <w:pStyle w:val="COMTableheadingrow"/>
              <w:keepNext w:val="0"/>
              <w:rPr>
                <w:b w:val="0"/>
                <w:bCs/>
                <w:lang w:val="en-AU"/>
              </w:rPr>
            </w:pPr>
            <w:r w:rsidRPr="001434A1">
              <w:rPr>
                <w:b w:val="0"/>
                <w:bCs/>
                <w:lang w:val="en-AU"/>
              </w:rPr>
              <w:t xml:space="preserve">- </w:t>
            </w:r>
            <w:r w:rsidR="002D79EF" w:rsidRPr="001434A1">
              <w:rPr>
                <w:lang w:val="en-AU"/>
              </w:rPr>
              <w:t xml:space="preserve">B: </w:t>
            </w:r>
            <w:r w:rsidR="002D79EF" w:rsidRPr="001434A1">
              <w:rPr>
                <w:b w:val="0"/>
                <w:bCs/>
                <w:lang w:val="en-AU"/>
              </w:rPr>
              <w:t xml:space="preserve"> </w:t>
            </w:r>
            <w:r w:rsidRPr="001434A1">
              <w:rPr>
                <w:b w:val="0"/>
                <w:bCs/>
                <w:lang w:val="en-AU"/>
              </w:rPr>
              <w:t>QALYs in progressive disease</w:t>
            </w:r>
            <w:r w:rsidR="00790C8E" w:rsidRPr="001434A1">
              <w:rPr>
                <w:b w:val="0"/>
                <w:bCs/>
                <w:lang w:val="en-AU"/>
              </w:rPr>
              <w:t>:</w:t>
            </w:r>
            <w:r w:rsidRPr="001434A1">
              <w:rPr>
                <w:b w:val="0"/>
                <w:bCs/>
                <w:lang w:val="en-AU"/>
              </w:rPr>
              <w:t xml:space="preserve"> increase by 50%</w:t>
            </w:r>
          </w:p>
        </w:tc>
        <w:tc>
          <w:tcPr>
            <w:tcW w:w="1268" w:type="dxa"/>
          </w:tcPr>
          <w:p w14:paraId="59CF4FE7" w14:textId="3E0F305A" w:rsidR="00E4788E" w:rsidRPr="001434A1" w:rsidRDefault="00E4788E" w:rsidP="00E4788E">
            <w:pPr>
              <w:pStyle w:val="COMTableheadingrow"/>
              <w:keepNext w:val="0"/>
              <w:jc w:val="center"/>
              <w:rPr>
                <w:b w:val="0"/>
                <w:bCs/>
                <w:lang w:val="en-AU"/>
              </w:rPr>
            </w:pPr>
            <w:r w:rsidRPr="001434A1">
              <w:rPr>
                <w:b w:val="0"/>
                <w:bCs/>
              </w:rPr>
              <w:t>$</w:t>
            </w:r>
            <w:r w:rsidR="00C52D99" w:rsidRPr="00120BCB">
              <w:rPr>
                <w:b w:val="0"/>
                <w:bCs/>
                <w:color w:val="000000"/>
                <w:spacing w:val="174"/>
                <w:shd w:val="solid" w:color="000000" w:fill="000000"/>
                <w:fitText w:val="260" w:id="-1280060154"/>
                <w14:textFill>
                  <w14:solidFill>
                    <w14:srgbClr w14:val="000000">
                      <w14:alpha w14:val="100000"/>
                    </w14:srgbClr>
                  </w14:solidFill>
                </w14:textFill>
              </w:rPr>
              <w:t>|</w:t>
            </w:r>
            <w:r w:rsidR="00C52D99" w:rsidRPr="00120BCB">
              <w:rPr>
                <w:b w:val="0"/>
                <w:bCs/>
                <w:color w:val="000000"/>
                <w:shd w:val="solid" w:color="000000" w:fill="000000"/>
                <w:fitText w:val="260" w:id="-1280060154"/>
                <w14:textFill>
                  <w14:solidFill>
                    <w14:srgbClr w14:val="000000">
                      <w14:alpha w14:val="100000"/>
                    </w14:srgbClr>
                  </w14:solidFill>
                </w14:textFill>
              </w:rPr>
              <w:t>|</w:t>
            </w:r>
          </w:p>
        </w:tc>
        <w:tc>
          <w:tcPr>
            <w:tcW w:w="1268" w:type="dxa"/>
          </w:tcPr>
          <w:p w14:paraId="01392717" w14:textId="6F711F8C" w:rsidR="00E4788E" w:rsidRPr="001434A1" w:rsidRDefault="00E4788E" w:rsidP="00E4788E">
            <w:pPr>
              <w:pStyle w:val="COMTableheadingrow"/>
              <w:keepNext w:val="0"/>
              <w:jc w:val="center"/>
              <w:rPr>
                <w:b w:val="0"/>
                <w:bCs/>
                <w:lang w:val="en-AU"/>
              </w:rPr>
            </w:pPr>
            <w:r w:rsidRPr="001434A1">
              <w:rPr>
                <w:b w:val="0"/>
                <w:bCs/>
              </w:rPr>
              <w:t>0.5482</w:t>
            </w:r>
          </w:p>
        </w:tc>
        <w:tc>
          <w:tcPr>
            <w:tcW w:w="1268" w:type="dxa"/>
          </w:tcPr>
          <w:p w14:paraId="089D4C7D" w14:textId="75AE1DC7" w:rsidR="00E4788E" w:rsidRPr="00471DDD" w:rsidRDefault="00E4788E" w:rsidP="00E4788E">
            <w:pPr>
              <w:pStyle w:val="COMTableheadingrow"/>
              <w:keepNext w:val="0"/>
              <w:jc w:val="center"/>
              <w:rPr>
                <w:b w:val="0"/>
                <w:bCs/>
                <w:vertAlign w:val="superscript"/>
                <w:lang w:val="en-AU"/>
              </w:rPr>
            </w:pPr>
            <w:r w:rsidRPr="001434A1">
              <w:rPr>
                <w:b w:val="0"/>
                <w:bCs/>
              </w:rPr>
              <w:t>$</w:t>
            </w:r>
            <w:r w:rsidR="00C52D99" w:rsidRPr="00120BCB">
              <w:rPr>
                <w:b w:val="0"/>
                <w:bCs/>
                <w:color w:val="000000"/>
                <w:spacing w:val="204"/>
                <w:shd w:val="solid" w:color="000000" w:fill="000000"/>
                <w:fitText w:val="290" w:id="-1280060153"/>
                <w14:textFill>
                  <w14:solidFill>
                    <w14:srgbClr w14:val="000000">
                      <w14:alpha w14:val="100000"/>
                    </w14:srgbClr>
                  </w14:solidFill>
                </w14:textFill>
              </w:rPr>
              <w:t>|</w:t>
            </w:r>
            <w:r w:rsidR="00C52D99" w:rsidRPr="00120BCB">
              <w:rPr>
                <w:b w:val="0"/>
                <w:bCs/>
                <w:color w:val="000000"/>
                <w:shd w:val="solid" w:color="000000" w:fill="000000"/>
                <w:fitText w:val="290" w:id="-1280060153"/>
                <w14:textFill>
                  <w14:solidFill>
                    <w14:srgbClr w14:val="000000">
                      <w14:alpha w14:val="100000"/>
                    </w14:srgbClr>
                  </w14:solidFill>
                </w14:textFill>
              </w:rPr>
              <w:t>|</w:t>
            </w:r>
            <w:r w:rsidR="009D15AD">
              <w:rPr>
                <w:b w:val="0"/>
                <w:bCs/>
                <w:vertAlign w:val="superscript"/>
              </w:rPr>
              <w:t>7</w:t>
            </w:r>
          </w:p>
        </w:tc>
        <w:tc>
          <w:tcPr>
            <w:tcW w:w="1269" w:type="dxa"/>
          </w:tcPr>
          <w:p w14:paraId="158C148E" w14:textId="60439C8A" w:rsidR="00E4788E" w:rsidRPr="00AC1609" w:rsidRDefault="00E4788E" w:rsidP="00E4788E">
            <w:pPr>
              <w:pStyle w:val="COMTableheadingrow"/>
              <w:keepNext w:val="0"/>
              <w:jc w:val="center"/>
              <w:rPr>
                <w:b w:val="0"/>
                <w:bCs/>
                <w:lang w:val="en-AU"/>
              </w:rPr>
            </w:pPr>
            <w:r w:rsidRPr="00AC1609">
              <w:rPr>
                <w:b w:val="0"/>
                <w:bCs/>
              </w:rPr>
              <w:t>+130%</w:t>
            </w:r>
          </w:p>
        </w:tc>
      </w:tr>
      <w:tr w:rsidR="00E4788E" w:rsidRPr="00E36967" w14:paraId="4EBDDF38" w14:textId="77777777" w:rsidTr="00E36967">
        <w:tc>
          <w:tcPr>
            <w:tcW w:w="3944" w:type="dxa"/>
          </w:tcPr>
          <w:p w14:paraId="143A50C8" w14:textId="5B5B8934" w:rsidR="00E4788E" w:rsidRPr="001434A1" w:rsidRDefault="00E4788E" w:rsidP="00E4788E">
            <w:pPr>
              <w:pStyle w:val="COMTableheadingrow"/>
              <w:keepNext w:val="0"/>
              <w:rPr>
                <w:b w:val="0"/>
                <w:bCs/>
                <w:lang w:val="en-AU"/>
              </w:rPr>
            </w:pPr>
            <w:r w:rsidRPr="001434A1">
              <w:rPr>
                <w:b w:val="0"/>
                <w:bCs/>
                <w:lang w:val="en-AU"/>
              </w:rPr>
              <w:t>- 15-year time horizon</w:t>
            </w:r>
          </w:p>
          <w:p w14:paraId="46644826" w14:textId="76D016CD" w:rsidR="00E4788E" w:rsidRPr="001434A1" w:rsidRDefault="00E4788E" w:rsidP="00E4788E">
            <w:pPr>
              <w:pStyle w:val="COMTableheadingrow"/>
              <w:keepNext w:val="0"/>
              <w:rPr>
                <w:b w:val="0"/>
                <w:bCs/>
                <w:lang w:val="en-AU"/>
              </w:rPr>
            </w:pPr>
            <w:r w:rsidRPr="001434A1">
              <w:rPr>
                <w:b w:val="0"/>
                <w:bCs/>
                <w:lang w:val="en-AU"/>
              </w:rPr>
              <w:t xml:space="preserve">- </w:t>
            </w:r>
            <w:r w:rsidR="002D79EF" w:rsidRPr="001434A1">
              <w:rPr>
                <w:lang w:val="en-AU"/>
              </w:rPr>
              <w:t>A</w:t>
            </w:r>
            <w:r w:rsidR="002D79EF" w:rsidRPr="001434A1">
              <w:rPr>
                <w:b w:val="0"/>
                <w:bCs/>
                <w:lang w:val="en-AU"/>
              </w:rPr>
              <w:t xml:space="preserve">: </w:t>
            </w:r>
            <w:r w:rsidRPr="001434A1">
              <w:rPr>
                <w:b w:val="0"/>
                <w:bCs/>
                <w:lang w:val="en-AU"/>
              </w:rPr>
              <w:t>Progression-free survival - generalised gamma; adjust treatment covariate (×50%)</w:t>
            </w:r>
          </w:p>
          <w:p w14:paraId="1030B260" w14:textId="2C1E7DA8" w:rsidR="00E4788E" w:rsidRPr="001434A1" w:rsidRDefault="00E4788E" w:rsidP="00E4788E">
            <w:pPr>
              <w:pStyle w:val="COMTableheadingrow"/>
              <w:keepNext w:val="0"/>
              <w:rPr>
                <w:b w:val="0"/>
                <w:bCs/>
                <w:lang w:val="en-AU"/>
              </w:rPr>
            </w:pPr>
            <w:r w:rsidRPr="001434A1">
              <w:rPr>
                <w:b w:val="0"/>
                <w:bCs/>
                <w:lang w:val="en-AU"/>
              </w:rPr>
              <w:t xml:space="preserve">- </w:t>
            </w:r>
            <w:r w:rsidR="002D79EF" w:rsidRPr="001434A1">
              <w:rPr>
                <w:lang w:val="en-AU"/>
              </w:rPr>
              <w:t>C</w:t>
            </w:r>
            <w:r w:rsidR="002D79EF" w:rsidRPr="001434A1">
              <w:rPr>
                <w:b w:val="0"/>
                <w:bCs/>
                <w:lang w:val="en-AU"/>
              </w:rPr>
              <w:t xml:space="preserve"> </w:t>
            </w:r>
            <w:r w:rsidRPr="001434A1">
              <w:rPr>
                <w:b w:val="0"/>
                <w:bCs/>
                <w:lang w:val="en-AU"/>
              </w:rPr>
              <w:t>QALYs in progressive disease - decrease by 50%</w:t>
            </w:r>
          </w:p>
        </w:tc>
        <w:tc>
          <w:tcPr>
            <w:tcW w:w="1268" w:type="dxa"/>
          </w:tcPr>
          <w:p w14:paraId="3737B4D0" w14:textId="5D4E7480" w:rsidR="00E4788E" w:rsidRPr="001434A1" w:rsidRDefault="00E4788E" w:rsidP="00E4788E">
            <w:pPr>
              <w:pStyle w:val="COMTableheadingrow"/>
              <w:keepNext w:val="0"/>
              <w:jc w:val="center"/>
              <w:rPr>
                <w:b w:val="0"/>
                <w:bCs/>
                <w:lang w:val="en-AU"/>
              </w:rPr>
            </w:pPr>
            <w:r w:rsidRPr="001434A1">
              <w:rPr>
                <w:b w:val="0"/>
                <w:bCs/>
              </w:rPr>
              <w:t>$</w:t>
            </w:r>
            <w:r w:rsidR="00C52D99" w:rsidRPr="00120BCB">
              <w:rPr>
                <w:b w:val="0"/>
                <w:bCs/>
                <w:color w:val="000000"/>
                <w:spacing w:val="174"/>
                <w:shd w:val="solid" w:color="000000" w:fill="000000"/>
                <w:fitText w:val="260" w:id="-1280060152"/>
                <w14:textFill>
                  <w14:solidFill>
                    <w14:srgbClr w14:val="000000">
                      <w14:alpha w14:val="100000"/>
                    </w14:srgbClr>
                  </w14:solidFill>
                </w14:textFill>
              </w:rPr>
              <w:t>|</w:t>
            </w:r>
            <w:r w:rsidR="00C52D99" w:rsidRPr="00120BCB">
              <w:rPr>
                <w:b w:val="0"/>
                <w:bCs/>
                <w:color w:val="000000"/>
                <w:shd w:val="solid" w:color="000000" w:fill="000000"/>
                <w:fitText w:val="260" w:id="-1280060152"/>
                <w14:textFill>
                  <w14:solidFill>
                    <w14:srgbClr w14:val="000000">
                      <w14:alpha w14:val="100000"/>
                    </w14:srgbClr>
                  </w14:solidFill>
                </w14:textFill>
              </w:rPr>
              <w:t>|</w:t>
            </w:r>
          </w:p>
        </w:tc>
        <w:tc>
          <w:tcPr>
            <w:tcW w:w="1268" w:type="dxa"/>
          </w:tcPr>
          <w:p w14:paraId="6F206248" w14:textId="34E95AFB" w:rsidR="00E4788E" w:rsidRPr="001434A1" w:rsidRDefault="00E4788E" w:rsidP="00E4788E">
            <w:pPr>
              <w:pStyle w:val="COMTableheadingrow"/>
              <w:keepNext w:val="0"/>
              <w:jc w:val="center"/>
              <w:rPr>
                <w:b w:val="0"/>
                <w:bCs/>
                <w:lang w:val="en-AU"/>
              </w:rPr>
            </w:pPr>
            <w:r w:rsidRPr="001434A1">
              <w:rPr>
                <w:b w:val="0"/>
                <w:bCs/>
              </w:rPr>
              <w:t>0.9307</w:t>
            </w:r>
          </w:p>
        </w:tc>
        <w:tc>
          <w:tcPr>
            <w:tcW w:w="1268" w:type="dxa"/>
          </w:tcPr>
          <w:p w14:paraId="48675260" w14:textId="2BF52E27" w:rsidR="00E4788E" w:rsidRPr="00471DDD" w:rsidRDefault="00E4788E" w:rsidP="00E4788E">
            <w:pPr>
              <w:pStyle w:val="COMTableheadingrow"/>
              <w:keepNext w:val="0"/>
              <w:jc w:val="center"/>
              <w:rPr>
                <w:b w:val="0"/>
                <w:bCs/>
                <w:vertAlign w:val="superscript"/>
                <w:lang w:val="en-AU"/>
              </w:rPr>
            </w:pPr>
            <w:r w:rsidRPr="001434A1">
              <w:rPr>
                <w:b w:val="0"/>
                <w:bCs/>
              </w:rPr>
              <w:t>$</w:t>
            </w:r>
            <w:r w:rsidR="00C52D99" w:rsidRPr="00120BCB">
              <w:rPr>
                <w:b w:val="0"/>
                <w:bCs/>
                <w:color w:val="000000"/>
                <w:spacing w:val="204"/>
                <w:shd w:val="solid" w:color="000000" w:fill="000000"/>
                <w:fitText w:val="290" w:id="-1280060151"/>
                <w14:textFill>
                  <w14:solidFill>
                    <w14:srgbClr w14:val="000000">
                      <w14:alpha w14:val="100000"/>
                    </w14:srgbClr>
                  </w14:solidFill>
                </w14:textFill>
              </w:rPr>
              <w:t>|</w:t>
            </w:r>
            <w:r w:rsidR="00C52D99" w:rsidRPr="00120BCB">
              <w:rPr>
                <w:b w:val="0"/>
                <w:bCs/>
                <w:color w:val="000000"/>
                <w:shd w:val="solid" w:color="000000" w:fill="000000"/>
                <w:fitText w:val="290" w:id="-1280060151"/>
                <w14:textFill>
                  <w14:solidFill>
                    <w14:srgbClr w14:val="000000">
                      <w14:alpha w14:val="100000"/>
                    </w14:srgbClr>
                  </w14:solidFill>
                </w14:textFill>
              </w:rPr>
              <w:t>|</w:t>
            </w:r>
            <w:r w:rsidR="009D15AD">
              <w:rPr>
                <w:b w:val="0"/>
                <w:bCs/>
                <w:vertAlign w:val="superscript"/>
              </w:rPr>
              <w:t>5</w:t>
            </w:r>
          </w:p>
        </w:tc>
        <w:tc>
          <w:tcPr>
            <w:tcW w:w="1269" w:type="dxa"/>
          </w:tcPr>
          <w:p w14:paraId="3ED00E35" w14:textId="6CB6F059" w:rsidR="00E4788E" w:rsidRPr="00AC1609" w:rsidRDefault="00E4788E" w:rsidP="00E4788E">
            <w:pPr>
              <w:pStyle w:val="COMTableheadingrow"/>
              <w:keepNext w:val="0"/>
              <w:jc w:val="center"/>
              <w:rPr>
                <w:b w:val="0"/>
                <w:bCs/>
                <w:lang w:val="en-AU"/>
              </w:rPr>
            </w:pPr>
            <w:r w:rsidRPr="00AC1609">
              <w:rPr>
                <w:b w:val="0"/>
                <w:bCs/>
              </w:rPr>
              <w:t>+35%</w:t>
            </w:r>
          </w:p>
        </w:tc>
      </w:tr>
    </w:tbl>
    <w:p w14:paraId="1563C78E" w14:textId="16C46BC9" w:rsidR="00C0310A" w:rsidRPr="00C52646" w:rsidRDefault="00C0310A" w:rsidP="00C0310A">
      <w:pPr>
        <w:pStyle w:val="COMTablefooter"/>
      </w:pPr>
      <w:r w:rsidRPr="00C52646">
        <w:t>Source: Table 3-9, p191 of the submission; ‘I plus V - 1L CLL-SLL model’ TreeAge model provided with the submission</w:t>
      </w:r>
      <w:r w:rsidR="00155719">
        <w:t>.</w:t>
      </w:r>
    </w:p>
    <w:p w14:paraId="2FEB44CA" w14:textId="77777777" w:rsidR="00C0310A" w:rsidRPr="00C52646" w:rsidRDefault="00C0310A" w:rsidP="00C0310A">
      <w:pPr>
        <w:pStyle w:val="COMTablefooter"/>
      </w:pPr>
      <w:r w:rsidRPr="00C52646">
        <w:t>Abbreviations: ICER, incremental cost-effectiveness ratio; QALYs, quality adjusted life years</w:t>
      </w:r>
    </w:p>
    <w:p w14:paraId="6B8B574B" w14:textId="456911D1" w:rsidR="00C0310A" w:rsidRDefault="00C07E73" w:rsidP="00C0310A">
      <w:pPr>
        <w:pStyle w:val="COMTablefooter"/>
        <w:rPr>
          <w:snapToGrid/>
        </w:rPr>
      </w:pPr>
      <w:r>
        <w:rPr>
          <w:vertAlign w:val="superscript"/>
        </w:rPr>
        <w:t>a</w:t>
      </w:r>
      <w:r w:rsidR="00C0310A" w:rsidRPr="00C52646">
        <w:t xml:space="preserve"> </w:t>
      </w:r>
      <w:r w:rsidR="00C0310A" w:rsidRPr="00C52646">
        <w:rPr>
          <w:snapToGrid/>
        </w:rPr>
        <w:t>0.71 in the ibrutinib + venetoclax arm for 15 cycles; 0.67 in the FCR arm for 6 cycles; 0.82 in subsequent cycles</w:t>
      </w:r>
    </w:p>
    <w:p w14:paraId="24C979EA" w14:textId="77777777" w:rsidR="009D15AD" w:rsidRPr="009D15AD" w:rsidRDefault="009D15AD" w:rsidP="009D15AD">
      <w:pPr>
        <w:rPr>
          <w:rFonts w:ascii="Arial Narrow" w:hAnsi="Arial Narrow"/>
          <w:i/>
          <w:sz w:val="18"/>
          <w:szCs w:val="18"/>
        </w:rPr>
      </w:pPr>
      <w:r w:rsidRPr="009D15AD">
        <w:rPr>
          <w:rFonts w:ascii="Arial Narrow" w:hAnsi="Arial Narrow"/>
          <w:i/>
          <w:sz w:val="18"/>
          <w:szCs w:val="18"/>
        </w:rPr>
        <w:t xml:space="preserve">The redacted values correspond to the following ranges: </w:t>
      </w:r>
    </w:p>
    <w:p w14:paraId="7F5E3C37" w14:textId="5864A237" w:rsidR="009D15AD" w:rsidRPr="00471DDD" w:rsidRDefault="009D15AD" w:rsidP="009D15AD">
      <w:pPr>
        <w:ind w:right="147"/>
        <w:rPr>
          <w:rFonts w:ascii="Arial Narrow" w:hAnsi="Arial Narrow"/>
          <w:b/>
          <w:i/>
          <w:color w:val="333333"/>
          <w:sz w:val="18"/>
          <w:szCs w:val="18"/>
        </w:rPr>
      </w:pPr>
      <w:r w:rsidRPr="00471DDD">
        <w:rPr>
          <w:rFonts w:ascii="Arial Narrow" w:hAnsi="Arial Narrow"/>
          <w:i/>
          <w:color w:val="333333"/>
          <w:sz w:val="18"/>
          <w:szCs w:val="18"/>
          <w:vertAlign w:val="superscript"/>
        </w:rPr>
        <w:t>1</w:t>
      </w:r>
      <w:r w:rsidRPr="00471DDD">
        <w:rPr>
          <w:rFonts w:ascii="Arial Narrow" w:hAnsi="Arial Narrow"/>
          <w:i/>
          <w:color w:val="333333"/>
          <w:sz w:val="18"/>
          <w:szCs w:val="18"/>
        </w:rPr>
        <w:t>$35,000 to &lt; $45,000</w:t>
      </w:r>
    </w:p>
    <w:p w14:paraId="15234513" w14:textId="138A87D9" w:rsidR="009D15AD" w:rsidRPr="00471DDD" w:rsidRDefault="009D15AD" w:rsidP="009D15AD">
      <w:pPr>
        <w:ind w:right="147"/>
        <w:rPr>
          <w:rFonts w:ascii="Arial Narrow" w:hAnsi="Arial Narrow"/>
          <w:i/>
          <w:color w:val="333333"/>
          <w:sz w:val="18"/>
          <w:szCs w:val="18"/>
        </w:rPr>
      </w:pPr>
      <w:r w:rsidRPr="00471DDD">
        <w:rPr>
          <w:rFonts w:ascii="Arial Narrow" w:hAnsi="Arial Narrow"/>
          <w:i/>
          <w:color w:val="333333"/>
          <w:sz w:val="18"/>
          <w:szCs w:val="18"/>
          <w:vertAlign w:val="superscript"/>
        </w:rPr>
        <w:lastRenderedPageBreak/>
        <w:t>2</w:t>
      </w:r>
      <w:r w:rsidRPr="00471DDD">
        <w:rPr>
          <w:rFonts w:ascii="Arial Narrow" w:hAnsi="Arial Narrow"/>
          <w:i/>
          <w:color w:val="333333"/>
          <w:sz w:val="18"/>
          <w:szCs w:val="18"/>
        </w:rPr>
        <w:t>$15,000 to &lt; $25,000</w:t>
      </w:r>
    </w:p>
    <w:p w14:paraId="00B463ED" w14:textId="683622D3" w:rsidR="009D15AD" w:rsidRPr="00471DDD" w:rsidRDefault="009D15AD" w:rsidP="009D15AD">
      <w:pPr>
        <w:ind w:right="147"/>
        <w:rPr>
          <w:rFonts w:ascii="Arial Narrow" w:hAnsi="Arial Narrow"/>
          <w:i/>
          <w:color w:val="333333"/>
          <w:sz w:val="18"/>
          <w:szCs w:val="18"/>
        </w:rPr>
      </w:pPr>
      <w:r w:rsidRPr="00471DDD">
        <w:rPr>
          <w:rFonts w:ascii="Arial Narrow" w:hAnsi="Arial Narrow"/>
          <w:i/>
          <w:color w:val="333333"/>
          <w:sz w:val="18"/>
          <w:szCs w:val="18"/>
          <w:vertAlign w:val="superscript"/>
        </w:rPr>
        <w:t>3</w:t>
      </w:r>
      <w:r w:rsidRPr="00471DDD">
        <w:rPr>
          <w:rFonts w:ascii="Arial Narrow" w:hAnsi="Arial Narrow"/>
          <w:i/>
          <w:color w:val="333333"/>
          <w:sz w:val="18"/>
          <w:szCs w:val="18"/>
        </w:rPr>
        <w:t>$25,000 to &lt; $35,000</w:t>
      </w:r>
    </w:p>
    <w:p w14:paraId="245D078F" w14:textId="7431E899" w:rsidR="009D15AD" w:rsidRPr="00471DDD" w:rsidRDefault="009D15AD" w:rsidP="009D15AD">
      <w:pPr>
        <w:ind w:right="147"/>
        <w:rPr>
          <w:rFonts w:ascii="Arial Narrow" w:hAnsi="Arial Narrow"/>
          <w:i/>
          <w:color w:val="333333"/>
          <w:sz w:val="18"/>
          <w:szCs w:val="18"/>
        </w:rPr>
      </w:pPr>
      <w:r w:rsidRPr="00471DDD">
        <w:rPr>
          <w:rFonts w:ascii="Arial Narrow" w:hAnsi="Arial Narrow"/>
          <w:i/>
          <w:color w:val="333333"/>
          <w:sz w:val="18"/>
          <w:szCs w:val="18"/>
          <w:vertAlign w:val="superscript"/>
        </w:rPr>
        <w:t>4</w:t>
      </w:r>
      <w:r w:rsidRPr="00471DDD">
        <w:rPr>
          <w:rFonts w:ascii="Arial Narrow" w:hAnsi="Arial Narrow"/>
          <w:i/>
          <w:color w:val="333333"/>
          <w:sz w:val="18"/>
          <w:szCs w:val="18"/>
        </w:rPr>
        <w:t xml:space="preserve">$95,000 to &lt; $115,000 </w:t>
      </w:r>
    </w:p>
    <w:p w14:paraId="63806AE0" w14:textId="669DBCFB" w:rsidR="009D15AD" w:rsidRPr="00471DDD" w:rsidRDefault="009D15AD" w:rsidP="009D15AD">
      <w:pPr>
        <w:ind w:right="147"/>
        <w:rPr>
          <w:rFonts w:ascii="Arial Narrow" w:hAnsi="Arial Narrow"/>
          <w:i/>
          <w:color w:val="333333"/>
          <w:sz w:val="18"/>
          <w:szCs w:val="18"/>
        </w:rPr>
      </w:pPr>
      <w:r w:rsidRPr="00471DDD">
        <w:rPr>
          <w:rFonts w:ascii="Arial Narrow" w:hAnsi="Arial Narrow"/>
          <w:i/>
          <w:color w:val="333333"/>
          <w:sz w:val="18"/>
          <w:szCs w:val="18"/>
          <w:vertAlign w:val="superscript"/>
        </w:rPr>
        <w:t>5</w:t>
      </w:r>
      <w:r w:rsidRPr="00471DDD">
        <w:rPr>
          <w:rFonts w:ascii="Arial Narrow" w:hAnsi="Arial Narrow"/>
          <w:i/>
          <w:color w:val="333333"/>
          <w:sz w:val="18"/>
          <w:szCs w:val="18"/>
        </w:rPr>
        <w:t>$45,000 to &lt; $55,000</w:t>
      </w:r>
    </w:p>
    <w:p w14:paraId="0D45A629" w14:textId="6893DD3B" w:rsidR="009D15AD" w:rsidRPr="00471DDD" w:rsidRDefault="009D15AD" w:rsidP="009D15AD">
      <w:pPr>
        <w:ind w:right="147"/>
        <w:rPr>
          <w:rFonts w:ascii="Arial Narrow" w:hAnsi="Arial Narrow"/>
          <w:i/>
          <w:color w:val="333333"/>
          <w:sz w:val="18"/>
          <w:szCs w:val="18"/>
        </w:rPr>
      </w:pPr>
      <w:r w:rsidRPr="00471DDD">
        <w:rPr>
          <w:rFonts w:ascii="Arial Narrow" w:hAnsi="Arial Narrow"/>
          <w:i/>
          <w:color w:val="333333"/>
          <w:sz w:val="18"/>
          <w:szCs w:val="18"/>
          <w:vertAlign w:val="superscript"/>
        </w:rPr>
        <w:t>6</w:t>
      </w:r>
      <w:r w:rsidRPr="00471DDD">
        <w:rPr>
          <w:rFonts w:ascii="Arial Narrow" w:hAnsi="Arial Narrow"/>
          <w:i/>
          <w:color w:val="333333"/>
          <w:sz w:val="18"/>
          <w:szCs w:val="18"/>
        </w:rPr>
        <w:t xml:space="preserve">$55,000 to &lt; $75,000 </w:t>
      </w:r>
    </w:p>
    <w:p w14:paraId="27AFF472" w14:textId="74D05C48" w:rsidR="009D15AD" w:rsidRPr="00471DDD" w:rsidRDefault="009D15AD" w:rsidP="009D15AD">
      <w:pPr>
        <w:ind w:right="147"/>
        <w:rPr>
          <w:rFonts w:ascii="Arial Narrow" w:hAnsi="Arial Narrow"/>
          <w:i/>
          <w:color w:val="333333"/>
          <w:sz w:val="18"/>
          <w:szCs w:val="18"/>
        </w:rPr>
      </w:pPr>
      <w:r w:rsidRPr="00471DDD">
        <w:rPr>
          <w:rFonts w:ascii="Arial Narrow" w:hAnsi="Arial Narrow"/>
          <w:i/>
          <w:color w:val="333333"/>
          <w:sz w:val="18"/>
          <w:szCs w:val="18"/>
          <w:vertAlign w:val="superscript"/>
        </w:rPr>
        <w:t>7</w:t>
      </w:r>
      <w:r w:rsidRPr="00471DDD">
        <w:rPr>
          <w:rFonts w:ascii="Arial Narrow" w:hAnsi="Arial Narrow"/>
          <w:i/>
          <w:color w:val="333333"/>
          <w:sz w:val="18"/>
          <w:szCs w:val="18"/>
        </w:rPr>
        <w:t>$75,000 to &lt; $95,000</w:t>
      </w:r>
    </w:p>
    <w:p w14:paraId="6ADD53F8" w14:textId="77777777" w:rsidR="009D15AD" w:rsidRPr="009D15AD" w:rsidRDefault="009D15AD" w:rsidP="00471DDD"/>
    <w:p w14:paraId="330264F0" w14:textId="77777777" w:rsidR="00CB2A7A" w:rsidRDefault="00C0310A" w:rsidP="00E255C7">
      <w:pPr>
        <w:pStyle w:val="COMexecsumnumberedpara"/>
        <w:rPr>
          <w:iCs/>
        </w:rPr>
      </w:pPr>
      <w:r w:rsidRPr="003967D3">
        <w:rPr>
          <w:iCs/>
        </w:rPr>
        <w:t>The model was most sensitive to the time horizon, the discount rate, the treatment effect for progression-free survival, and QALYs applied to patients on disease progression. The model generates higher QALYs in the FCR arm than in the ibrutinib + venetoclax arm over short time horizons (≤7 years) due to the higher probability of progression and subsequent transition to the progressed/dead health state in the FCR arm, which results in the attribution of multiple QALYs upfront at the time of progression, which would otherwise be accrued beyond the time horizon.</w:t>
      </w:r>
      <w:r w:rsidR="00EA6626" w:rsidRPr="003967D3">
        <w:rPr>
          <w:iCs/>
        </w:rPr>
        <w:t xml:space="preserve"> </w:t>
      </w:r>
    </w:p>
    <w:p w14:paraId="480A75FF" w14:textId="5C7A8AE1" w:rsidR="00CB2A7A" w:rsidRPr="00E36967" w:rsidRDefault="00CB2A7A" w:rsidP="00CB2A7A">
      <w:pPr>
        <w:pStyle w:val="COMexecsumnumberedpara"/>
        <w:rPr>
          <w:iCs/>
        </w:rPr>
      </w:pPr>
      <w:r w:rsidRPr="00205AC4">
        <w:t>The ESC considered that multivariate analyses varying both the treatment covariate and the number of QALYs due to disease progression were informative</w:t>
      </w:r>
      <w:r w:rsidR="00C72550">
        <w:t xml:space="preserve"> in demonstrating the sensitivity of the model to these parameters</w:t>
      </w:r>
      <w:r w:rsidRPr="00205AC4">
        <w:t>.</w:t>
      </w:r>
      <w:r w:rsidR="00CE4A84" w:rsidRPr="00205AC4">
        <w:t xml:space="preserve"> In particular, the ESC noted that a multivariate sensitivity analysis which made the following changes:</w:t>
      </w:r>
    </w:p>
    <w:p w14:paraId="1D4D6849" w14:textId="6A0EFF1F" w:rsidR="00CE4A84" w:rsidRPr="00205AC4" w:rsidRDefault="00CE4A84" w:rsidP="001104CE">
      <w:pPr>
        <w:pStyle w:val="COMexecsumnumberedpara"/>
        <w:numPr>
          <w:ilvl w:val="0"/>
          <w:numId w:val="7"/>
        </w:numPr>
        <w:spacing w:after="0"/>
        <w:ind w:left="1276" w:hanging="425"/>
      </w:pPr>
      <w:r w:rsidRPr="00205AC4">
        <w:t>adjusted the treatment covariate for progression-free survival by 50%; and</w:t>
      </w:r>
    </w:p>
    <w:p w14:paraId="4AFF2AC2" w14:textId="3A83DC75" w:rsidR="00E9181B" w:rsidRPr="00205AC4" w:rsidRDefault="00CE4A84" w:rsidP="001104CE">
      <w:pPr>
        <w:pStyle w:val="COMexecsumnumberedpara"/>
        <w:numPr>
          <w:ilvl w:val="0"/>
          <w:numId w:val="7"/>
        </w:numPr>
        <w:spacing w:after="0"/>
        <w:ind w:left="1276" w:hanging="425"/>
      </w:pPr>
      <w:r w:rsidRPr="00205AC4">
        <w:t xml:space="preserve">increased the QALYs in progressive disease by 50% </w:t>
      </w:r>
    </w:p>
    <w:p w14:paraId="28FF26AA" w14:textId="2D0BD8AB" w:rsidR="00CE4A84" w:rsidRPr="00E9181B" w:rsidRDefault="00CE4A84" w:rsidP="00471DDD">
      <w:pPr>
        <w:pStyle w:val="COMexecsumnumberedpara"/>
        <w:numPr>
          <w:ilvl w:val="0"/>
          <w:numId w:val="7"/>
        </w:numPr>
        <w:spacing w:after="0"/>
        <w:ind w:left="1276" w:hanging="425"/>
        <w:rPr>
          <w:iCs/>
        </w:rPr>
      </w:pPr>
      <w:r w:rsidRPr="00205AC4">
        <w:t xml:space="preserve">increased the ICER to </w:t>
      </w:r>
      <w:r w:rsidR="00E9181B" w:rsidRPr="00E9181B">
        <w:t xml:space="preserve">$55,000 to &lt; $75,000 </w:t>
      </w:r>
      <w:r w:rsidRPr="00205AC4">
        <w:t xml:space="preserve">per QALY. </w:t>
      </w:r>
    </w:p>
    <w:p w14:paraId="49E21308" w14:textId="349EBE8E" w:rsidR="00281D10" w:rsidRDefault="00EA6626" w:rsidP="00E255C7">
      <w:pPr>
        <w:pStyle w:val="COMexecsumnumberedpara"/>
        <w:rPr>
          <w:iCs/>
        </w:rPr>
      </w:pPr>
      <w:r w:rsidRPr="003967D3">
        <w:rPr>
          <w:iCs/>
        </w:rPr>
        <w:t xml:space="preserve">The impact of key issues with the </w:t>
      </w:r>
      <w:r w:rsidR="00F56385" w:rsidRPr="003967D3">
        <w:rPr>
          <w:iCs/>
        </w:rPr>
        <w:t>model (such as the underlying clinical data and model structure) was unable to be tested in sensitivity analyses.</w:t>
      </w:r>
      <w:r w:rsidR="00052E29">
        <w:rPr>
          <w:iCs/>
        </w:rPr>
        <w:t xml:space="preserve"> </w:t>
      </w:r>
      <w:r w:rsidR="00CB2A7A" w:rsidRPr="00205AC4">
        <w:t>The ESC considered this made it difficult to assess the sensitivity of the model to these key areas of uncertainty.</w:t>
      </w:r>
    </w:p>
    <w:p w14:paraId="35C70D1E" w14:textId="52FD3B5C" w:rsidR="00CB2A7A" w:rsidRPr="00205AC4" w:rsidRDefault="00CB2A7A" w:rsidP="00922AE0">
      <w:pPr>
        <w:pStyle w:val="COMexecsumnumberedpara"/>
      </w:pPr>
      <w:bookmarkStart w:id="71" w:name="_Ref116359762"/>
      <w:r w:rsidRPr="00CB2A7A">
        <w:rPr>
          <w:iCs/>
        </w:rPr>
        <w:t xml:space="preserve">The economic model included offsets for reduced use of ibrutinib in subsequent lines. Removal of these offsets increased the ICER/QALY from </w:t>
      </w:r>
      <w:r w:rsidR="00E9181B" w:rsidRPr="00E9181B">
        <w:rPr>
          <w:iCs/>
        </w:rPr>
        <w:t>$35,000 to &lt; $45,000</w:t>
      </w:r>
      <w:r w:rsidR="00471DDD">
        <w:rPr>
          <w:iCs/>
        </w:rPr>
        <w:t xml:space="preserve"> </w:t>
      </w:r>
      <w:r w:rsidRPr="00CB2A7A">
        <w:rPr>
          <w:iCs/>
        </w:rPr>
        <w:t xml:space="preserve">to </w:t>
      </w:r>
      <w:r w:rsidR="00E9181B" w:rsidRPr="00E9181B">
        <w:rPr>
          <w:iCs/>
        </w:rPr>
        <w:t>$45,000 to &lt; $55,000</w:t>
      </w:r>
      <w:r w:rsidR="005C5420" w:rsidRPr="00205AC4">
        <w:t>, which indicates the importance of these costs in the submission’s assessment of cost-effectiveness</w:t>
      </w:r>
      <w:r w:rsidRPr="00CB2A7A">
        <w:rPr>
          <w:iCs/>
        </w:rPr>
        <w:t>.</w:t>
      </w:r>
      <w:r w:rsidR="005C5420">
        <w:rPr>
          <w:iCs/>
        </w:rPr>
        <w:t xml:space="preserve"> </w:t>
      </w:r>
      <w:r w:rsidR="005C5420" w:rsidRPr="00205AC4">
        <w:t>While the PSCR stated that removal of the costs associated with subsequent lines but not the benefits would bias in favour of FCR, the ESC noted that these costs were</w:t>
      </w:r>
      <w:r w:rsidR="00666480" w:rsidRPr="00205AC4">
        <w:t>,</w:t>
      </w:r>
      <w:r w:rsidR="005C5420" w:rsidRPr="00205AC4">
        <w:t xml:space="preserve"> </w:t>
      </w:r>
      <w:r w:rsidR="00666480" w:rsidRPr="00205AC4">
        <w:t xml:space="preserve">inappropriately, </w:t>
      </w:r>
      <w:r w:rsidR="005C5420" w:rsidRPr="00205AC4">
        <w:t>not included in the financial estimates</w:t>
      </w:r>
      <w:r w:rsidR="00666480" w:rsidRPr="00205AC4">
        <w:t xml:space="preserve"> </w:t>
      </w:r>
      <w:r w:rsidR="002E469A" w:rsidRPr="00205AC4">
        <w:t>or an RSA proposal</w:t>
      </w:r>
      <w:r w:rsidR="00666480" w:rsidRPr="00205AC4">
        <w:t>.</w:t>
      </w:r>
      <w:bookmarkEnd w:id="71"/>
    </w:p>
    <w:p w14:paraId="41EAA490" w14:textId="77777777" w:rsidR="00C0310A" w:rsidRPr="00C52646" w:rsidRDefault="00C0310A" w:rsidP="00C0310A">
      <w:pPr>
        <w:pStyle w:val="COMH2-non-numbered"/>
      </w:pPr>
      <w:bookmarkStart w:id="72" w:name="_Toc22897646"/>
      <w:bookmarkStart w:id="73" w:name="_Toc113983803"/>
      <w:r w:rsidRPr="00C52646">
        <w:t>Drug cost/patient/course</w:t>
      </w:r>
      <w:bookmarkEnd w:id="72"/>
      <w:bookmarkEnd w:id="73"/>
    </w:p>
    <w:p w14:paraId="61B80047" w14:textId="30E483A2" w:rsidR="00C0310A" w:rsidRPr="00800E22" w:rsidRDefault="00C0310A" w:rsidP="00E255C7">
      <w:pPr>
        <w:pStyle w:val="COMexecsumnumberedpara"/>
      </w:pPr>
      <w:bookmarkStart w:id="74" w:name="_Ref104805102"/>
      <w:r w:rsidRPr="00800E22">
        <w:t xml:space="preserve">There were differences between the economic model and financial estimates in the number of scripts per patient per course. In the economic model, script numbers were based on the duration of treatment derived from individual patient data from CAPTIVATE and ECOG1912, whereas, in the financial estimates, script numbers were derived from time to treatment discontinuation Kaplan Meier curves and dose intensity estimates from individual patient data from CAPTIVATE for ibrutinib and venetoclax, and from estimates of persistence and dose intensity from individual patient data from ECOG1912 for FCR. There were also differences in the unit costs of fludarabine, cyclophosphamide and rituximab, based on average dispensed price in the economic model and DPMA in the financial estimates. </w:t>
      </w:r>
      <w:r w:rsidRPr="003967D3">
        <w:rPr>
          <w:iCs/>
        </w:rPr>
        <w:t xml:space="preserve">No justification was </w:t>
      </w:r>
      <w:r w:rsidRPr="003967D3">
        <w:rPr>
          <w:iCs/>
        </w:rPr>
        <w:lastRenderedPageBreak/>
        <w:t>provided for the different approaches used</w:t>
      </w:r>
      <w:r w:rsidRPr="00205AC4">
        <w:t>.</w:t>
      </w:r>
      <w:r w:rsidR="00B1266C" w:rsidRPr="00205AC4">
        <w:t xml:space="preserve"> The ESC considered there should be greater consistency between the economic model and financials estimates in estimating script numbers and unit costs.</w:t>
      </w:r>
      <w:r w:rsidR="0067506D">
        <w:t xml:space="preserve"> </w:t>
      </w:r>
      <w:bookmarkStart w:id="75" w:name="_Hlk121130145"/>
      <w:r w:rsidR="0067506D">
        <w:t xml:space="preserve">The revised economic model submitted with the pre-PBAC response </w:t>
      </w:r>
      <w:r w:rsidR="001947F7">
        <w:t>incorporated</w:t>
      </w:r>
      <w:r w:rsidR="00766516">
        <w:t>: (a)</w:t>
      </w:r>
      <w:r w:rsidR="001947F7">
        <w:t xml:space="preserve"> </w:t>
      </w:r>
      <w:r w:rsidR="0067506D">
        <w:t xml:space="preserve">adjustments </w:t>
      </w:r>
      <w:r w:rsidR="001947F7">
        <w:t>to the dose intensity for ibrutinib and venetoclax,</w:t>
      </w:r>
      <w:r w:rsidR="0067506D">
        <w:t xml:space="preserve"> aligning the</w:t>
      </w:r>
      <w:r w:rsidR="001947F7">
        <w:t xml:space="preserve"> dose intensity used in the economic model with th</w:t>
      </w:r>
      <w:r w:rsidR="00766516">
        <w:t>at</w:t>
      </w:r>
      <w:r w:rsidR="001947F7">
        <w:t xml:space="preserve"> used </w:t>
      </w:r>
      <w:r w:rsidR="0067506D">
        <w:t>in the financial estimates</w:t>
      </w:r>
      <w:r w:rsidR="00766516">
        <w:t xml:space="preserve">; and (b) </w:t>
      </w:r>
      <w:bookmarkEnd w:id="75"/>
      <w:r w:rsidR="00766516" w:rsidRPr="00766516">
        <w:t>a 5% reduction in the ibrutinib price due to the 5-year statutory price reduction that is expected to be applied from 1 April 2023</w:t>
      </w:r>
      <w:r w:rsidR="00766516">
        <w:t>. Neither of these changes are incorporated in the table below.</w:t>
      </w:r>
    </w:p>
    <w:p w14:paraId="6AEF8712" w14:textId="7D93BD30" w:rsidR="00C0310A" w:rsidRPr="00C52646" w:rsidRDefault="00C0310A" w:rsidP="00C0310A">
      <w:pPr>
        <w:pStyle w:val="COMtablefigcaption"/>
      </w:pPr>
      <w:bookmarkStart w:id="76" w:name="_Hlk121130102"/>
      <w:r w:rsidRPr="00C52646">
        <w:lastRenderedPageBreak/>
        <w:t xml:space="preserve">Table </w:t>
      </w:r>
      <w:fldSimple w:instr=" SEQ Table \* ARABIC " w:fldLock="1">
        <w:r w:rsidR="00B22386">
          <w:rPr>
            <w:noProof/>
          </w:rPr>
          <w:t>12</w:t>
        </w:r>
      </w:fldSimple>
      <w:bookmarkEnd w:id="74"/>
      <w:r w:rsidRPr="00C52646">
        <w:t>: Drug cost per patient for proposed and comparator drugs</w:t>
      </w:r>
      <w:r w:rsidR="00C72550">
        <w:t xml:space="preserve"> (based on submission)</w:t>
      </w:r>
    </w:p>
    <w:tbl>
      <w:tblPr>
        <w:tblStyle w:val="TableGrid"/>
        <w:tblW w:w="5000" w:type="pct"/>
        <w:tblCellMar>
          <w:left w:w="28" w:type="dxa"/>
          <w:right w:w="28" w:type="dxa"/>
        </w:tblCellMar>
        <w:tblLook w:val="04A0" w:firstRow="1" w:lastRow="0" w:firstColumn="1" w:lastColumn="0" w:noHBand="0" w:noVBand="1"/>
      </w:tblPr>
      <w:tblGrid>
        <w:gridCol w:w="2123"/>
        <w:gridCol w:w="2268"/>
        <w:gridCol w:w="2268"/>
        <w:gridCol w:w="2358"/>
      </w:tblGrid>
      <w:tr w:rsidR="00C0310A" w:rsidRPr="00C52646" w14:paraId="6939A27D" w14:textId="77777777">
        <w:tc>
          <w:tcPr>
            <w:tcW w:w="2123" w:type="dxa"/>
          </w:tcPr>
          <w:p w14:paraId="021DB13C" w14:textId="77777777" w:rsidR="00C0310A" w:rsidRPr="00C52646" w:rsidRDefault="00C0310A">
            <w:pPr>
              <w:keepNext/>
              <w:rPr>
                <w:rFonts w:ascii="Arial Narrow" w:hAnsi="Arial Narrow"/>
                <w:sz w:val="20"/>
                <w:szCs w:val="20"/>
              </w:rPr>
            </w:pPr>
          </w:p>
        </w:tc>
        <w:tc>
          <w:tcPr>
            <w:tcW w:w="2268" w:type="dxa"/>
            <w:vAlign w:val="center"/>
          </w:tcPr>
          <w:p w14:paraId="4824E94B" w14:textId="77777777" w:rsidR="00C0310A" w:rsidRPr="00C52646" w:rsidRDefault="00C0310A">
            <w:pPr>
              <w:keepNext/>
              <w:jc w:val="center"/>
              <w:rPr>
                <w:rFonts w:ascii="Arial Narrow" w:hAnsi="Arial Narrow"/>
                <w:b/>
                <w:bCs/>
                <w:sz w:val="20"/>
                <w:szCs w:val="20"/>
              </w:rPr>
            </w:pPr>
            <w:r w:rsidRPr="00C52646">
              <w:rPr>
                <w:rFonts w:ascii="Arial Narrow" w:hAnsi="Arial Narrow"/>
                <w:b/>
                <w:bCs/>
                <w:sz w:val="20"/>
                <w:szCs w:val="20"/>
              </w:rPr>
              <w:t>Clinical study</w:t>
            </w:r>
          </w:p>
        </w:tc>
        <w:tc>
          <w:tcPr>
            <w:tcW w:w="2268" w:type="dxa"/>
            <w:vAlign w:val="center"/>
          </w:tcPr>
          <w:p w14:paraId="4B16B951" w14:textId="77777777" w:rsidR="00C0310A" w:rsidRPr="00C52646" w:rsidRDefault="00C0310A">
            <w:pPr>
              <w:keepNext/>
              <w:jc w:val="center"/>
              <w:rPr>
                <w:rFonts w:ascii="Arial Narrow" w:hAnsi="Arial Narrow"/>
                <w:b/>
                <w:bCs/>
                <w:sz w:val="20"/>
                <w:szCs w:val="20"/>
              </w:rPr>
            </w:pPr>
            <w:r w:rsidRPr="00C52646">
              <w:rPr>
                <w:rFonts w:ascii="Arial Narrow" w:hAnsi="Arial Narrow"/>
                <w:b/>
                <w:bCs/>
                <w:sz w:val="20"/>
                <w:szCs w:val="20"/>
              </w:rPr>
              <w:t>Economic model</w:t>
            </w:r>
          </w:p>
        </w:tc>
        <w:tc>
          <w:tcPr>
            <w:tcW w:w="2358" w:type="dxa"/>
            <w:vAlign w:val="center"/>
          </w:tcPr>
          <w:p w14:paraId="41D02574" w14:textId="77777777" w:rsidR="00C0310A" w:rsidRPr="00C52646" w:rsidRDefault="00C0310A">
            <w:pPr>
              <w:keepNext/>
              <w:jc w:val="center"/>
              <w:rPr>
                <w:rFonts w:ascii="Arial Narrow" w:hAnsi="Arial Narrow"/>
                <w:b/>
                <w:bCs/>
                <w:sz w:val="20"/>
                <w:szCs w:val="20"/>
              </w:rPr>
            </w:pPr>
            <w:r w:rsidRPr="00C52646">
              <w:rPr>
                <w:rFonts w:ascii="Arial Narrow" w:hAnsi="Arial Narrow"/>
                <w:b/>
                <w:bCs/>
                <w:sz w:val="20"/>
                <w:szCs w:val="20"/>
              </w:rPr>
              <w:t>Financial estimates</w:t>
            </w:r>
          </w:p>
        </w:tc>
      </w:tr>
      <w:tr w:rsidR="00C0310A" w:rsidRPr="00C52646" w14:paraId="3095C442" w14:textId="77777777">
        <w:tc>
          <w:tcPr>
            <w:tcW w:w="9017" w:type="dxa"/>
            <w:gridSpan w:val="4"/>
            <w:vAlign w:val="center"/>
          </w:tcPr>
          <w:p w14:paraId="631B7CF6" w14:textId="77777777" w:rsidR="00C0310A" w:rsidRPr="00C52646" w:rsidRDefault="00C0310A">
            <w:pPr>
              <w:keepNext/>
              <w:jc w:val="left"/>
              <w:rPr>
                <w:rFonts w:ascii="Arial Narrow" w:hAnsi="Arial Narrow"/>
                <w:b/>
                <w:bCs/>
                <w:sz w:val="20"/>
                <w:szCs w:val="20"/>
              </w:rPr>
            </w:pPr>
            <w:r w:rsidRPr="00C52646">
              <w:rPr>
                <w:rFonts w:ascii="Arial Narrow" w:hAnsi="Arial Narrow"/>
                <w:b/>
                <w:bCs/>
                <w:sz w:val="20"/>
                <w:szCs w:val="20"/>
              </w:rPr>
              <w:t>Ibrutinib + venetoclax (CAPTIVATE FD cohort)</w:t>
            </w:r>
          </w:p>
        </w:tc>
      </w:tr>
      <w:tr w:rsidR="00C0310A" w:rsidRPr="00C52646" w14:paraId="41EDBCF5" w14:textId="77777777">
        <w:tc>
          <w:tcPr>
            <w:tcW w:w="9017" w:type="dxa"/>
            <w:gridSpan w:val="4"/>
            <w:vAlign w:val="center"/>
          </w:tcPr>
          <w:p w14:paraId="7C96D81D" w14:textId="77777777" w:rsidR="00C0310A" w:rsidRPr="00C52646" w:rsidRDefault="00C0310A">
            <w:pPr>
              <w:keepNext/>
              <w:jc w:val="left"/>
              <w:rPr>
                <w:rFonts w:ascii="Arial Narrow" w:hAnsi="Arial Narrow"/>
                <w:b/>
                <w:bCs/>
                <w:smallCaps/>
                <w:sz w:val="20"/>
                <w:szCs w:val="20"/>
              </w:rPr>
            </w:pPr>
            <w:r w:rsidRPr="00C52646">
              <w:rPr>
                <w:rFonts w:ascii="Arial Narrow" w:hAnsi="Arial Narrow"/>
                <w:b/>
                <w:bCs/>
                <w:smallCaps/>
                <w:sz w:val="20"/>
                <w:szCs w:val="20"/>
              </w:rPr>
              <w:t>Ibrutinib</w:t>
            </w:r>
          </w:p>
        </w:tc>
      </w:tr>
      <w:tr w:rsidR="00C0310A" w:rsidRPr="00C52646" w14:paraId="4672D80C" w14:textId="77777777">
        <w:tc>
          <w:tcPr>
            <w:tcW w:w="2123" w:type="dxa"/>
            <w:vAlign w:val="center"/>
          </w:tcPr>
          <w:p w14:paraId="5876D68C"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proposed effective DPMQ</w:t>
            </w:r>
          </w:p>
        </w:tc>
        <w:tc>
          <w:tcPr>
            <w:tcW w:w="2268" w:type="dxa"/>
            <w:vAlign w:val="center"/>
          </w:tcPr>
          <w:p w14:paraId="6211A701"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5A40ABA7" w14:textId="0EB63F0B"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C52D99">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7E05FAC8" w14:textId="44FD0C8F"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C52D99">
              <w:rPr>
                <w:rFonts w:ascii="Arial Narrow" w:hAnsi="Arial Narrow"/>
                <w:color w:val="000000"/>
                <w:sz w:val="20"/>
                <w:szCs w:val="20"/>
                <w:shd w:val="solid" w:color="000000" w:fill="000000"/>
                <w14:textFill>
                  <w14:solidFill>
                    <w14:srgbClr w14:val="000000">
                      <w14:alpha w14:val="100000"/>
                    </w14:srgbClr>
                  </w14:solidFill>
                </w14:textFill>
              </w:rPr>
              <w:t>|</w:t>
            </w:r>
          </w:p>
        </w:tc>
      </w:tr>
      <w:tr w:rsidR="00C0310A" w:rsidRPr="00C52646" w14:paraId="6D122994" w14:textId="77777777">
        <w:tc>
          <w:tcPr>
            <w:tcW w:w="2123" w:type="dxa"/>
            <w:vAlign w:val="center"/>
          </w:tcPr>
          <w:p w14:paraId="3ED714E8"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compliance</w:t>
            </w:r>
          </w:p>
        </w:tc>
        <w:tc>
          <w:tcPr>
            <w:tcW w:w="2268" w:type="dxa"/>
            <w:vAlign w:val="center"/>
          </w:tcPr>
          <w:p w14:paraId="5C49EC3C"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duration of treatment 13.3 months; relative dose intensity 95.4%</w:t>
            </w:r>
          </w:p>
        </w:tc>
        <w:tc>
          <w:tcPr>
            <w:tcW w:w="2268" w:type="dxa"/>
            <w:vAlign w:val="center"/>
          </w:tcPr>
          <w:p w14:paraId="1AF89F7A"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13.38 scripts</w:t>
            </w:r>
            <w:r w:rsidRPr="00C52646">
              <w:rPr>
                <w:rFonts w:ascii="Arial Narrow" w:hAnsi="Arial Narrow"/>
                <w:sz w:val="20"/>
                <w:szCs w:val="20"/>
                <w:vertAlign w:val="superscript"/>
              </w:rPr>
              <w:t>a</w:t>
            </w:r>
          </w:p>
        </w:tc>
        <w:tc>
          <w:tcPr>
            <w:tcW w:w="2358" w:type="dxa"/>
            <w:vAlign w:val="center"/>
          </w:tcPr>
          <w:p w14:paraId="4F0AD174"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12.76 scripts (13.38 scripts × 95.4% dose intensity)</w:t>
            </w:r>
            <w:r w:rsidRPr="00C52646">
              <w:rPr>
                <w:rFonts w:ascii="Arial Narrow" w:hAnsi="Arial Narrow"/>
                <w:sz w:val="20"/>
                <w:szCs w:val="20"/>
                <w:vertAlign w:val="superscript"/>
              </w:rPr>
              <w:t>b</w:t>
            </w:r>
          </w:p>
        </w:tc>
      </w:tr>
      <w:tr w:rsidR="00C0310A" w:rsidRPr="00C52646" w14:paraId="7AEF5AEC" w14:textId="77777777">
        <w:tc>
          <w:tcPr>
            <w:tcW w:w="2123" w:type="dxa"/>
            <w:vAlign w:val="center"/>
          </w:tcPr>
          <w:p w14:paraId="6CD1F5D2"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course</w:t>
            </w:r>
          </w:p>
        </w:tc>
        <w:tc>
          <w:tcPr>
            <w:tcW w:w="2268" w:type="dxa"/>
            <w:vAlign w:val="center"/>
          </w:tcPr>
          <w:p w14:paraId="4DD05839"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4CD561F1" w14:textId="47C9EB0B"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C52D99">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311B2F39" w14:textId="67154F7D"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C52D99">
              <w:rPr>
                <w:rFonts w:ascii="Arial Narrow" w:hAnsi="Arial Narrow"/>
                <w:color w:val="000000"/>
                <w:sz w:val="20"/>
                <w:szCs w:val="20"/>
                <w:shd w:val="solid" w:color="000000" w:fill="000000"/>
                <w14:textFill>
                  <w14:solidFill>
                    <w14:srgbClr w14:val="000000">
                      <w14:alpha w14:val="100000"/>
                    </w14:srgbClr>
                  </w14:solidFill>
                </w14:textFill>
              </w:rPr>
              <w:t>|</w:t>
            </w:r>
          </w:p>
        </w:tc>
      </w:tr>
      <w:tr w:rsidR="00C0310A" w:rsidRPr="00C52646" w14:paraId="077DC391" w14:textId="77777777">
        <w:tc>
          <w:tcPr>
            <w:tcW w:w="9017" w:type="dxa"/>
            <w:gridSpan w:val="4"/>
            <w:vAlign w:val="center"/>
          </w:tcPr>
          <w:p w14:paraId="4B7FF8EF" w14:textId="77777777" w:rsidR="00C0310A" w:rsidRPr="00C52646" w:rsidRDefault="00C0310A">
            <w:pPr>
              <w:keepNext/>
              <w:jc w:val="left"/>
              <w:rPr>
                <w:rFonts w:ascii="Arial Narrow" w:hAnsi="Arial Narrow"/>
                <w:sz w:val="20"/>
                <w:szCs w:val="20"/>
              </w:rPr>
            </w:pPr>
            <w:r w:rsidRPr="00C52646">
              <w:rPr>
                <w:rFonts w:ascii="Arial Narrow" w:hAnsi="Arial Narrow"/>
                <w:b/>
                <w:bCs/>
                <w:smallCaps/>
                <w:sz w:val="20"/>
                <w:szCs w:val="20"/>
              </w:rPr>
              <w:t>Venetoclax</w:t>
            </w:r>
          </w:p>
        </w:tc>
      </w:tr>
      <w:tr w:rsidR="00C0310A" w:rsidRPr="00C52646" w14:paraId="60B08DF2" w14:textId="77777777">
        <w:tc>
          <w:tcPr>
            <w:tcW w:w="2123" w:type="dxa"/>
            <w:vAlign w:val="center"/>
          </w:tcPr>
          <w:p w14:paraId="7EC443E0"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assumed effective DPMQ</w:t>
            </w:r>
            <w:r w:rsidRPr="00C52646">
              <w:rPr>
                <w:rFonts w:ascii="Arial Narrow" w:hAnsi="Arial Narrow"/>
                <w:sz w:val="20"/>
                <w:szCs w:val="20"/>
                <w:vertAlign w:val="superscript"/>
              </w:rPr>
              <w:t>c</w:t>
            </w:r>
          </w:p>
        </w:tc>
        <w:tc>
          <w:tcPr>
            <w:tcW w:w="2268" w:type="dxa"/>
            <w:vAlign w:val="center"/>
          </w:tcPr>
          <w:p w14:paraId="4A6CDD0A"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4D689B6E" w14:textId="680832A8"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120BCB">
              <w:rPr>
                <w:rFonts w:ascii="Arial Narrow" w:hAnsi="Arial Narrow" w:hint="eastAsia"/>
                <w:color w:val="000000"/>
                <w:w w:val="15"/>
                <w:sz w:val="20"/>
                <w:szCs w:val="20"/>
                <w:shd w:val="solid" w:color="000000" w:fill="000000"/>
                <w:fitText w:val="60" w:id="-1280060150"/>
                <w14:textFill>
                  <w14:solidFill>
                    <w14:srgbClr w14:val="000000">
                      <w14:alpha w14:val="100000"/>
                    </w14:srgbClr>
                  </w14:solidFill>
                </w14:textFill>
              </w:rPr>
              <w:t xml:space="preserve">　</w:t>
            </w:r>
            <w:r w:rsidR="00C52D99" w:rsidRPr="00120BCB">
              <w:rPr>
                <w:rFonts w:ascii="Arial Narrow" w:hAnsi="Arial Narrow"/>
                <w:color w:val="000000"/>
                <w:w w:val="15"/>
                <w:sz w:val="20"/>
                <w:szCs w:val="20"/>
                <w:shd w:val="solid" w:color="000000" w:fill="000000"/>
                <w:fitText w:val="60" w:id="-1280060150"/>
                <w14:textFill>
                  <w14:solidFill>
                    <w14:srgbClr w14:val="000000">
                      <w14:alpha w14:val="100000"/>
                    </w14:srgbClr>
                  </w14:solidFill>
                </w14:textFill>
              </w:rPr>
              <w:t>|</w:t>
            </w:r>
            <w:r w:rsidR="00C52D99" w:rsidRPr="00120BCB">
              <w:rPr>
                <w:rFonts w:ascii="Arial Narrow" w:hAnsi="Arial Narrow" w:hint="eastAsia"/>
                <w:color w:val="000000"/>
                <w:w w:val="15"/>
                <w:sz w:val="20"/>
                <w:szCs w:val="20"/>
                <w:shd w:val="solid" w:color="000000" w:fill="000000"/>
                <w:fitText w:val="60" w:id="-1280060150"/>
                <w14:textFill>
                  <w14:solidFill>
                    <w14:srgbClr w14:val="000000">
                      <w14:alpha w14:val="100000"/>
                    </w14:srgbClr>
                  </w14:solidFill>
                </w14:textFill>
              </w:rPr>
              <w:t xml:space="preserve">　</w:t>
            </w:r>
            <w:r w:rsidRPr="00C52646">
              <w:rPr>
                <w:rFonts w:ascii="Arial Narrow" w:hAnsi="Arial Narrow"/>
                <w:sz w:val="20"/>
                <w:szCs w:val="20"/>
              </w:rPr>
              <w:t xml:space="preserve"> (initial)/</w:t>
            </w:r>
          </w:p>
          <w:p w14:paraId="411F99C9" w14:textId="5A299D10"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120BCB">
              <w:rPr>
                <w:rFonts w:ascii="Arial Narrow" w:hAnsi="Arial Narrow"/>
                <w:color w:val="000000"/>
                <w:spacing w:val="46"/>
                <w:sz w:val="20"/>
                <w:szCs w:val="20"/>
                <w:shd w:val="solid" w:color="000000" w:fill="000000"/>
                <w:fitText w:val="220" w:id="-1280060149"/>
                <w14:textFill>
                  <w14:solidFill>
                    <w14:srgbClr w14:val="000000">
                      <w14:alpha w14:val="100000"/>
                    </w14:srgbClr>
                  </w14:solidFill>
                </w14:textFill>
              </w:rPr>
              <w:t>||</w:t>
            </w:r>
            <w:r w:rsidR="00C52D99" w:rsidRPr="00120BCB">
              <w:rPr>
                <w:rFonts w:ascii="Arial Narrow" w:hAnsi="Arial Narrow"/>
                <w:color w:val="000000"/>
                <w:spacing w:val="1"/>
                <w:sz w:val="20"/>
                <w:szCs w:val="20"/>
                <w:shd w:val="solid" w:color="000000" w:fill="000000"/>
                <w:fitText w:val="220" w:id="-1280060149"/>
                <w14:textFill>
                  <w14:solidFill>
                    <w14:srgbClr w14:val="000000">
                      <w14:alpha w14:val="100000"/>
                    </w14:srgbClr>
                  </w14:solidFill>
                </w14:textFill>
              </w:rPr>
              <w:t>|</w:t>
            </w:r>
            <w:r w:rsidRPr="00C52646">
              <w:rPr>
                <w:rFonts w:ascii="Arial Narrow" w:hAnsi="Arial Narrow"/>
                <w:sz w:val="20"/>
                <w:szCs w:val="20"/>
              </w:rPr>
              <w:t xml:space="preserve"> (continuing)</w:t>
            </w:r>
          </w:p>
        </w:tc>
        <w:tc>
          <w:tcPr>
            <w:tcW w:w="2358" w:type="dxa"/>
            <w:vAlign w:val="center"/>
          </w:tcPr>
          <w:p w14:paraId="745B9127" w14:textId="6741DB7D"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1217F8">
              <w:rPr>
                <w:rFonts w:ascii="Arial Narrow" w:hAnsi="Arial Narrow" w:hint="eastAsia"/>
                <w:color w:val="000000"/>
                <w:w w:val="15"/>
                <w:sz w:val="20"/>
                <w:szCs w:val="20"/>
                <w:shd w:val="solid" w:color="000000" w:fill="000000"/>
                <w:fitText w:val="10" w:id="-1280060148"/>
                <w14:textFill>
                  <w14:solidFill>
                    <w14:srgbClr w14:val="000000">
                      <w14:alpha w14:val="100000"/>
                    </w14:srgbClr>
                  </w14:solidFill>
                </w14:textFill>
              </w:rPr>
              <w:t xml:space="preserve">　</w:t>
            </w:r>
            <w:r w:rsidR="00C52D99" w:rsidRPr="001217F8">
              <w:rPr>
                <w:rFonts w:ascii="Arial Narrow" w:hAnsi="Arial Narrow"/>
                <w:color w:val="000000"/>
                <w:w w:val="15"/>
                <w:sz w:val="20"/>
                <w:szCs w:val="20"/>
                <w:shd w:val="solid" w:color="000000" w:fill="000000"/>
                <w:fitText w:val="10" w:id="-1280060148"/>
                <w14:textFill>
                  <w14:solidFill>
                    <w14:srgbClr w14:val="000000">
                      <w14:alpha w14:val="100000"/>
                    </w14:srgbClr>
                  </w14:solidFill>
                </w14:textFill>
              </w:rPr>
              <w:t>|</w:t>
            </w:r>
            <w:r w:rsidR="00C52D99" w:rsidRPr="001217F8">
              <w:rPr>
                <w:rFonts w:ascii="Arial Narrow" w:hAnsi="Arial Narrow" w:hint="eastAsia"/>
                <w:color w:val="000000"/>
                <w:spacing w:val="-56"/>
                <w:w w:val="15"/>
                <w:sz w:val="20"/>
                <w:szCs w:val="20"/>
                <w:shd w:val="solid" w:color="000000" w:fill="000000"/>
                <w:fitText w:val="10" w:id="-1280060148"/>
                <w14:textFill>
                  <w14:solidFill>
                    <w14:srgbClr w14:val="000000">
                      <w14:alpha w14:val="100000"/>
                    </w14:srgbClr>
                  </w14:solidFill>
                </w14:textFill>
              </w:rPr>
              <w:t xml:space="preserve">　</w:t>
            </w:r>
            <w:r w:rsidRPr="00C52646">
              <w:rPr>
                <w:rFonts w:ascii="Arial Narrow" w:hAnsi="Arial Narrow"/>
                <w:sz w:val="20"/>
                <w:szCs w:val="20"/>
              </w:rPr>
              <w:t xml:space="preserve"> (initial)/</w:t>
            </w:r>
          </w:p>
          <w:p w14:paraId="77DC7CE6" w14:textId="4822AF1F"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120BCB">
              <w:rPr>
                <w:rFonts w:ascii="Arial Narrow" w:hAnsi="Arial Narrow"/>
                <w:color w:val="000000"/>
                <w:spacing w:val="94"/>
                <w:sz w:val="20"/>
                <w:szCs w:val="20"/>
                <w:shd w:val="solid" w:color="000000" w:fill="000000"/>
                <w:fitText w:val="180" w:id="-1280060147"/>
                <w14:textFill>
                  <w14:solidFill>
                    <w14:srgbClr w14:val="000000">
                      <w14:alpha w14:val="100000"/>
                    </w14:srgbClr>
                  </w14:solidFill>
                </w14:textFill>
              </w:rPr>
              <w:t>|</w:t>
            </w:r>
            <w:r w:rsidR="00C52D99" w:rsidRPr="00120BCB">
              <w:rPr>
                <w:rFonts w:ascii="Arial Narrow" w:hAnsi="Arial Narrow"/>
                <w:color w:val="000000"/>
                <w:sz w:val="20"/>
                <w:szCs w:val="20"/>
                <w:shd w:val="solid" w:color="000000" w:fill="000000"/>
                <w:fitText w:val="180" w:id="-1280060147"/>
                <w14:textFill>
                  <w14:solidFill>
                    <w14:srgbClr w14:val="000000">
                      <w14:alpha w14:val="100000"/>
                    </w14:srgbClr>
                  </w14:solidFill>
                </w14:textFill>
              </w:rPr>
              <w:t>|</w:t>
            </w:r>
            <w:r w:rsidRPr="00C52646">
              <w:rPr>
                <w:rFonts w:ascii="Arial Narrow" w:hAnsi="Arial Narrow"/>
                <w:sz w:val="20"/>
                <w:szCs w:val="20"/>
              </w:rPr>
              <w:t xml:space="preserve"> (continuing)</w:t>
            </w:r>
          </w:p>
        </w:tc>
      </w:tr>
      <w:tr w:rsidR="00C0310A" w:rsidRPr="00C52646" w14:paraId="45EC8CE5" w14:textId="77777777">
        <w:tc>
          <w:tcPr>
            <w:tcW w:w="2123" w:type="dxa"/>
            <w:vAlign w:val="center"/>
          </w:tcPr>
          <w:p w14:paraId="704269A2"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compliance</w:t>
            </w:r>
          </w:p>
        </w:tc>
        <w:tc>
          <w:tcPr>
            <w:tcW w:w="2268" w:type="dxa"/>
            <w:vAlign w:val="center"/>
          </w:tcPr>
          <w:p w14:paraId="3EDB5B32"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duration of treatment 11.1 months; relative dose intensity 93.1%</w:t>
            </w:r>
          </w:p>
        </w:tc>
        <w:tc>
          <w:tcPr>
            <w:tcW w:w="2268" w:type="dxa"/>
            <w:vAlign w:val="center"/>
          </w:tcPr>
          <w:p w14:paraId="00466403"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 xml:space="preserve">0.96 initial scripts; </w:t>
            </w:r>
          </w:p>
          <w:p w14:paraId="27776836"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10.47 continuing scripts</w:t>
            </w:r>
            <w:r w:rsidRPr="00C52646">
              <w:rPr>
                <w:rFonts w:ascii="Arial Narrow" w:hAnsi="Arial Narrow"/>
                <w:sz w:val="20"/>
                <w:szCs w:val="20"/>
                <w:vertAlign w:val="superscript"/>
              </w:rPr>
              <w:t>a</w:t>
            </w:r>
          </w:p>
        </w:tc>
        <w:tc>
          <w:tcPr>
            <w:tcW w:w="2358" w:type="dxa"/>
            <w:vAlign w:val="center"/>
          </w:tcPr>
          <w:p w14:paraId="2AE59E09"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 initial script × assumed 100% dose intensity; 9.70 continuing scripts (10.42 scripts × 93.1% dose intensity)</w:t>
            </w:r>
            <w:r w:rsidRPr="00C52646">
              <w:rPr>
                <w:rFonts w:ascii="Arial Narrow" w:hAnsi="Arial Narrow"/>
                <w:sz w:val="20"/>
                <w:szCs w:val="20"/>
                <w:vertAlign w:val="superscript"/>
              </w:rPr>
              <w:t>b</w:t>
            </w:r>
          </w:p>
        </w:tc>
      </w:tr>
      <w:tr w:rsidR="00C0310A" w:rsidRPr="00C52646" w14:paraId="6DC48A1F" w14:textId="77777777">
        <w:tc>
          <w:tcPr>
            <w:tcW w:w="2123" w:type="dxa"/>
            <w:vAlign w:val="center"/>
          </w:tcPr>
          <w:p w14:paraId="1EE60DED"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course</w:t>
            </w:r>
          </w:p>
        </w:tc>
        <w:tc>
          <w:tcPr>
            <w:tcW w:w="2268" w:type="dxa"/>
            <w:vAlign w:val="center"/>
          </w:tcPr>
          <w:p w14:paraId="7AB103AD"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73E70818" w14:textId="3BB355DC"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C52D99">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012E717D" w14:textId="21AAFD28" w:rsidR="00C0310A" w:rsidRPr="00C52646" w:rsidRDefault="00C0310A">
            <w:pPr>
              <w:keepNext/>
              <w:jc w:val="center"/>
              <w:rPr>
                <w:rFonts w:ascii="Arial Narrow" w:hAnsi="Arial Narrow"/>
                <w:sz w:val="20"/>
                <w:szCs w:val="20"/>
              </w:rPr>
            </w:pPr>
            <w:r w:rsidRPr="00C52646">
              <w:rPr>
                <w:rFonts w:ascii="Arial Narrow" w:hAnsi="Arial Narrow"/>
                <w:sz w:val="20"/>
                <w:szCs w:val="20"/>
              </w:rPr>
              <w:t>$</w:t>
            </w:r>
            <w:r w:rsidR="00C52D99" w:rsidRPr="00C52D99">
              <w:rPr>
                <w:rFonts w:ascii="Arial Narrow" w:hAnsi="Arial Narrow"/>
                <w:color w:val="000000"/>
                <w:sz w:val="20"/>
                <w:szCs w:val="20"/>
                <w:shd w:val="solid" w:color="000000" w:fill="000000"/>
                <w14:textFill>
                  <w14:solidFill>
                    <w14:srgbClr w14:val="000000">
                      <w14:alpha w14:val="100000"/>
                    </w14:srgbClr>
                  </w14:solidFill>
                </w14:textFill>
              </w:rPr>
              <w:t>|</w:t>
            </w:r>
          </w:p>
        </w:tc>
      </w:tr>
      <w:tr w:rsidR="00C0310A" w:rsidRPr="00C52646" w14:paraId="5655419B" w14:textId="77777777">
        <w:tc>
          <w:tcPr>
            <w:tcW w:w="2123" w:type="dxa"/>
            <w:vAlign w:val="center"/>
          </w:tcPr>
          <w:p w14:paraId="27F3AC91" w14:textId="77777777" w:rsidR="00C0310A" w:rsidRPr="00C52646" w:rsidRDefault="00C0310A">
            <w:pPr>
              <w:keepNext/>
              <w:jc w:val="left"/>
              <w:rPr>
                <w:rFonts w:ascii="Arial Narrow" w:hAnsi="Arial Narrow"/>
                <w:b/>
                <w:bCs/>
                <w:sz w:val="20"/>
                <w:szCs w:val="20"/>
              </w:rPr>
            </w:pPr>
            <w:r w:rsidRPr="00C52646">
              <w:rPr>
                <w:rFonts w:ascii="Arial Narrow" w:hAnsi="Arial Narrow"/>
                <w:b/>
                <w:bCs/>
                <w:sz w:val="20"/>
                <w:szCs w:val="20"/>
              </w:rPr>
              <w:t>Total cost per course</w:t>
            </w:r>
          </w:p>
        </w:tc>
        <w:tc>
          <w:tcPr>
            <w:tcW w:w="2268" w:type="dxa"/>
            <w:vAlign w:val="center"/>
          </w:tcPr>
          <w:p w14:paraId="4A300BDE"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304431A5" w14:textId="0CD0D69C" w:rsidR="00C0310A" w:rsidRPr="00C52646" w:rsidRDefault="00C0310A">
            <w:pPr>
              <w:keepNext/>
              <w:jc w:val="center"/>
              <w:rPr>
                <w:rFonts w:ascii="Arial Narrow" w:hAnsi="Arial Narrow"/>
                <w:b/>
                <w:bCs/>
                <w:sz w:val="20"/>
                <w:szCs w:val="20"/>
              </w:rPr>
            </w:pPr>
            <w:r w:rsidRPr="00C52646">
              <w:rPr>
                <w:rFonts w:ascii="Arial Narrow" w:hAnsi="Arial Narrow"/>
                <w:b/>
                <w:bCs/>
                <w:sz w:val="20"/>
                <w:szCs w:val="20"/>
              </w:rPr>
              <w:t>$</w:t>
            </w:r>
            <w:r w:rsidR="00C52D99" w:rsidRPr="00C52D99">
              <w:rPr>
                <w:rFonts w:ascii="Arial Narrow" w:hAnsi="Arial Narrow"/>
                <w:b/>
                <w:bCs/>
                <w:color w:val="000000"/>
                <w:sz w:val="20"/>
                <w:szCs w:val="20"/>
                <w:shd w:val="solid" w:color="000000" w:fill="000000"/>
                <w14:textFill>
                  <w14:solidFill>
                    <w14:srgbClr w14:val="000000">
                      <w14:alpha w14:val="100000"/>
                    </w14:srgbClr>
                  </w14:solidFill>
                </w14:textFill>
              </w:rPr>
              <w:t>|</w:t>
            </w:r>
          </w:p>
        </w:tc>
        <w:tc>
          <w:tcPr>
            <w:tcW w:w="2358" w:type="dxa"/>
            <w:vAlign w:val="center"/>
          </w:tcPr>
          <w:p w14:paraId="4331534B" w14:textId="764FB619" w:rsidR="00C0310A" w:rsidRPr="00C52646" w:rsidRDefault="00C0310A">
            <w:pPr>
              <w:keepNext/>
              <w:jc w:val="center"/>
              <w:rPr>
                <w:rFonts w:ascii="Arial Narrow" w:hAnsi="Arial Narrow"/>
                <w:b/>
                <w:bCs/>
                <w:sz w:val="20"/>
                <w:szCs w:val="20"/>
              </w:rPr>
            </w:pPr>
            <w:r w:rsidRPr="00C52646">
              <w:rPr>
                <w:rFonts w:ascii="Arial Narrow" w:hAnsi="Arial Narrow"/>
                <w:b/>
                <w:bCs/>
                <w:sz w:val="20"/>
                <w:szCs w:val="20"/>
              </w:rPr>
              <w:t>$</w:t>
            </w:r>
            <w:r w:rsidR="00C52D99" w:rsidRPr="00C52D99">
              <w:rPr>
                <w:rFonts w:ascii="Arial Narrow" w:hAnsi="Arial Narrow"/>
                <w:b/>
                <w:bCs/>
                <w:color w:val="000000"/>
                <w:sz w:val="20"/>
                <w:szCs w:val="20"/>
                <w:shd w:val="solid" w:color="000000" w:fill="000000"/>
                <w14:textFill>
                  <w14:solidFill>
                    <w14:srgbClr w14:val="000000">
                      <w14:alpha w14:val="100000"/>
                    </w14:srgbClr>
                  </w14:solidFill>
                </w14:textFill>
              </w:rPr>
              <w:t>|</w:t>
            </w:r>
          </w:p>
        </w:tc>
      </w:tr>
      <w:bookmarkEnd w:id="76"/>
      <w:tr w:rsidR="00C0310A" w:rsidRPr="00C52646" w14:paraId="0CEFFB03" w14:textId="77777777">
        <w:tc>
          <w:tcPr>
            <w:tcW w:w="9017" w:type="dxa"/>
            <w:gridSpan w:val="4"/>
            <w:vAlign w:val="center"/>
          </w:tcPr>
          <w:p w14:paraId="1FC2BD97" w14:textId="77777777" w:rsidR="00C0310A" w:rsidRPr="00C52646" w:rsidRDefault="00C0310A">
            <w:pPr>
              <w:keepNext/>
              <w:jc w:val="left"/>
              <w:rPr>
                <w:rFonts w:ascii="Arial Narrow" w:hAnsi="Arial Narrow"/>
                <w:b/>
                <w:bCs/>
                <w:sz w:val="20"/>
                <w:szCs w:val="20"/>
              </w:rPr>
            </w:pPr>
            <w:r w:rsidRPr="00C52646">
              <w:rPr>
                <w:rFonts w:ascii="Arial Narrow" w:hAnsi="Arial Narrow"/>
                <w:b/>
                <w:bCs/>
                <w:sz w:val="20"/>
                <w:szCs w:val="20"/>
              </w:rPr>
              <w:t>FCR (ECOG1912)</w:t>
            </w:r>
          </w:p>
        </w:tc>
      </w:tr>
      <w:tr w:rsidR="00C0310A" w:rsidRPr="00C52646" w14:paraId="7D2E6300" w14:textId="77777777">
        <w:tc>
          <w:tcPr>
            <w:tcW w:w="9017" w:type="dxa"/>
            <w:gridSpan w:val="4"/>
            <w:vAlign w:val="center"/>
          </w:tcPr>
          <w:p w14:paraId="6D7D5B8F" w14:textId="77777777" w:rsidR="00C0310A" w:rsidRPr="00C52646" w:rsidRDefault="00C0310A">
            <w:pPr>
              <w:keepNext/>
              <w:jc w:val="left"/>
              <w:rPr>
                <w:rFonts w:ascii="Arial Narrow" w:hAnsi="Arial Narrow"/>
                <w:b/>
                <w:bCs/>
                <w:smallCaps/>
                <w:sz w:val="20"/>
                <w:szCs w:val="20"/>
              </w:rPr>
            </w:pPr>
            <w:r w:rsidRPr="00C52646">
              <w:rPr>
                <w:rFonts w:ascii="Arial Narrow" w:hAnsi="Arial Narrow"/>
                <w:b/>
                <w:bCs/>
                <w:smallCaps/>
                <w:sz w:val="20"/>
                <w:szCs w:val="20"/>
              </w:rPr>
              <w:t>Fludarabine</w:t>
            </w:r>
          </w:p>
        </w:tc>
      </w:tr>
      <w:tr w:rsidR="00C0310A" w:rsidRPr="00C52646" w14:paraId="283BA8BF" w14:textId="77777777">
        <w:tc>
          <w:tcPr>
            <w:tcW w:w="2123" w:type="dxa"/>
            <w:vAlign w:val="center"/>
          </w:tcPr>
          <w:p w14:paraId="7798E01F"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pack</w:t>
            </w:r>
          </w:p>
        </w:tc>
        <w:tc>
          <w:tcPr>
            <w:tcW w:w="2268" w:type="dxa"/>
            <w:vAlign w:val="center"/>
          </w:tcPr>
          <w:p w14:paraId="3EDAFF78"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72878252"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dispensed price per administration: $150.08</w:t>
            </w:r>
            <w:r w:rsidRPr="00C52646">
              <w:rPr>
                <w:rFonts w:ascii="Arial Narrow" w:hAnsi="Arial Narrow"/>
                <w:sz w:val="20"/>
                <w:szCs w:val="20"/>
                <w:vertAlign w:val="superscript"/>
              </w:rPr>
              <w:t>d</w:t>
            </w:r>
          </w:p>
        </w:tc>
        <w:tc>
          <w:tcPr>
            <w:tcW w:w="2358" w:type="dxa"/>
            <w:vAlign w:val="center"/>
          </w:tcPr>
          <w:p w14:paraId="539F7AED"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Weighted DPMA: $177.33</w:t>
            </w:r>
            <w:r w:rsidRPr="00C52646">
              <w:rPr>
                <w:rFonts w:ascii="Arial Narrow" w:hAnsi="Arial Narrow"/>
                <w:sz w:val="20"/>
                <w:szCs w:val="20"/>
                <w:vertAlign w:val="superscript"/>
              </w:rPr>
              <w:t>e</w:t>
            </w:r>
          </w:p>
        </w:tc>
      </w:tr>
      <w:tr w:rsidR="00C0310A" w:rsidRPr="00C52646" w14:paraId="18822802" w14:textId="77777777">
        <w:tc>
          <w:tcPr>
            <w:tcW w:w="2123" w:type="dxa"/>
            <w:vAlign w:val="center"/>
          </w:tcPr>
          <w:p w14:paraId="13C56847"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compliance</w:t>
            </w:r>
          </w:p>
        </w:tc>
        <w:tc>
          <w:tcPr>
            <w:tcW w:w="2268" w:type="dxa"/>
            <w:vAlign w:val="center"/>
          </w:tcPr>
          <w:p w14:paraId="173E2ACF"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no. cycles: 5</w:t>
            </w:r>
          </w:p>
          <w:p w14:paraId="46FD17D2"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67.1% pts received 6 cycles</w:t>
            </w:r>
          </w:p>
        </w:tc>
        <w:tc>
          <w:tcPr>
            <w:tcW w:w="2268" w:type="dxa"/>
            <w:vAlign w:val="center"/>
          </w:tcPr>
          <w:p w14:paraId="7687BE35"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15.06 scripts</w:t>
            </w:r>
            <w:r w:rsidRPr="00C52646">
              <w:rPr>
                <w:rFonts w:ascii="Arial Narrow" w:hAnsi="Arial Narrow"/>
                <w:sz w:val="20"/>
                <w:szCs w:val="20"/>
                <w:vertAlign w:val="superscript"/>
              </w:rPr>
              <w:t>a</w:t>
            </w:r>
          </w:p>
        </w:tc>
        <w:tc>
          <w:tcPr>
            <w:tcW w:w="2358" w:type="dxa"/>
            <w:vAlign w:val="center"/>
          </w:tcPr>
          <w:p w14:paraId="5098FF2C"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13.74 scripts (18 scripts × 83.6% persistence × 91.3% dose intensity)</w:t>
            </w:r>
            <w:r w:rsidRPr="00C52646">
              <w:rPr>
                <w:rFonts w:ascii="Arial Narrow" w:hAnsi="Arial Narrow"/>
                <w:sz w:val="20"/>
                <w:szCs w:val="20"/>
                <w:vertAlign w:val="superscript"/>
              </w:rPr>
              <w:t>f</w:t>
            </w:r>
          </w:p>
        </w:tc>
      </w:tr>
      <w:tr w:rsidR="00C0310A" w:rsidRPr="00C52646" w14:paraId="35C11865" w14:textId="77777777">
        <w:tc>
          <w:tcPr>
            <w:tcW w:w="2123" w:type="dxa"/>
            <w:vAlign w:val="center"/>
          </w:tcPr>
          <w:p w14:paraId="54459337"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course</w:t>
            </w:r>
          </w:p>
        </w:tc>
        <w:tc>
          <w:tcPr>
            <w:tcW w:w="2268" w:type="dxa"/>
            <w:vAlign w:val="center"/>
          </w:tcPr>
          <w:p w14:paraId="0C2D918E"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4B35AFA1"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$2,260</w:t>
            </w:r>
          </w:p>
        </w:tc>
        <w:tc>
          <w:tcPr>
            <w:tcW w:w="2358" w:type="dxa"/>
            <w:vAlign w:val="center"/>
          </w:tcPr>
          <w:p w14:paraId="659F926C"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$2,436</w:t>
            </w:r>
          </w:p>
        </w:tc>
      </w:tr>
      <w:tr w:rsidR="00C0310A" w:rsidRPr="00C52646" w14:paraId="4535EC07" w14:textId="77777777">
        <w:tc>
          <w:tcPr>
            <w:tcW w:w="9017" w:type="dxa"/>
            <w:gridSpan w:val="4"/>
            <w:vAlign w:val="center"/>
          </w:tcPr>
          <w:p w14:paraId="4BD1A864" w14:textId="77777777" w:rsidR="00C0310A" w:rsidRPr="00C52646" w:rsidRDefault="00C0310A">
            <w:pPr>
              <w:keepNext/>
              <w:jc w:val="left"/>
              <w:rPr>
                <w:rFonts w:ascii="Arial Narrow" w:hAnsi="Arial Narrow"/>
                <w:b/>
                <w:bCs/>
                <w:smallCaps/>
                <w:sz w:val="20"/>
                <w:szCs w:val="20"/>
              </w:rPr>
            </w:pPr>
            <w:r w:rsidRPr="00C52646">
              <w:rPr>
                <w:rFonts w:ascii="Arial Narrow" w:hAnsi="Arial Narrow"/>
                <w:b/>
                <w:bCs/>
                <w:smallCaps/>
                <w:sz w:val="20"/>
                <w:szCs w:val="20"/>
              </w:rPr>
              <w:t>Cyclophosphamide</w:t>
            </w:r>
          </w:p>
        </w:tc>
      </w:tr>
      <w:tr w:rsidR="00C0310A" w:rsidRPr="00C52646" w14:paraId="3D829081" w14:textId="77777777">
        <w:tc>
          <w:tcPr>
            <w:tcW w:w="2123" w:type="dxa"/>
            <w:vAlign w:val="center"/>
          </w:tcPr>
          <w:p w14:paraId="40ACB15E"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pack</w:t>
            </w:r>
          </w:p>
        </w:tc>
        <w:tc>
          <w:tcPr>
            <w:tcW w:w="2268" w:type="dxa"/>
            <w:vAlign w:val="center"/>
          </w:tcPr>
          <w:p w14:paraId="3C1D4169"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49631FF4"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dispensed price per administration: $130.07</w:t>
            </w:r>
            <w:r w:rsidRPr="00C52646">
              <w:rPr>
                <w:rFonts w:ascii="Arial Narrow" w:hAnsi="Arial Narrow"/>
                <w:sz w:val="20"/>
                <w:szCs w:val="20"/>
                <w:vertAlign w:val="superscript"/>
              </w:rPr>
              <w:t>d</w:t>
            </w:r>
          </w:p>
        </w:tc>
        <w:tc>
          <w:tcPr>
            <w:tcW w:w="2358" w:type="dxa"/>
            <w:vAlign w:val="center"/>
          </w:tcPr>
          <w:p w14:paraId="7ACDA010"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Weighted DPMA: $185.40</w:t>
            </w:r>
            <w:r w:rsidRPr="00C52646">
              <w:rPr>
                <w:rFonts w:ascii="Arial Narrow" w:hAnsi="Arial Narrow"/>
                <w:sz w:val="20"/>
                <w:szCs w:val="20"/>
                <w:vertAlign w:val="superscript"/>
              </w:rPr>
              <w:t>e</w:t>
            </w:r>
          </w:p>
        </w:tc>
      </w:tr>
      <w:tr w:rsidR="00C0310A" w:rsidRPr="00C52646" w14:paraId="2248B72B" w14:textId="77777777">
        <w:tc>
          <w:tcPr>
            <w:tcW w:w="2123" w:type="dxa"/>
            <w:vAlign w:val="center"/>
          </w:tcPr>
          <w:p w14:paraId="54EE8718"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compliance</w:t>
            </w:r>
          </w:p>
        </w:tc>
        <w:tc>
          <w:tcPr>
            <w:tcW w:w="2268" w:type="dxa"/>
            <w:vAlign w:val="center"/>
          </w:tcPr>
          <w:p w14:paraId="5DC18294"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no. cycles: 5</w:t>
            </w:r>
          </w:p>
          <w:p w14:paraId="63BB3FF4"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67.1% pts received 6 cycles</w:t>
            </w:r>
          </w:p>
        </w:tc>
        <w:tc>
          <w:tcPr>
            <w:tcW w:w="2268" w:type="dxa"/>
            <w:vAlign w:val="center"/>
          </w:tcPr>
          <w:p w14:paraId="21916BD4"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15.06 scripts</w:t>
            </w:r>
            <w:r w:rsidRPr="00C52646">
              <w:rPr>
                <w:rFonts w:ascii="Arial Narrow" w:hAnsi="Arial Narrow"/>
                <w:sz w:val="20"/>
                <w:szCs w:val="20"/>
                <w:vertAlign w:val="superscript"/>
              </w:rPr>
              <w:t>a</w:t>
            </w:r>
          </w:p>
        </w:tc>
        <w:tc>
          <w:tcPr>
            <w:tcW w:w="2358" w:type="dxa"/>
            <w:vAlign w:val="center"/>
          </w:tcPr>
          <w:p w14:paraId="62E264FA"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13.94 scripts (18 scripts × 83.6% persistence × 92.6% dose intensity)</w:t>
            </w:r>
            <w:r w:rsidRPr="00C52646">
              <w:rPr>
                <w:rFonts w:ascii="Arial Narrow" w:hAnsi="Arial Narrow"/>
                <w:sz w:val="20"/>
                <w:szCs w:val="20"/>
                <w:vertAlign w:val="superscript"/>
              </w:rPr>
              <w:t>f</w:t>
            </w:r>
          </w:p>
        </w:tc>
      </w:tr>
      <w:tr w:rsidR="00C0310A" w:rsidRPr="00C52646" w14:paraId="2213EF3A" w14:textId="77777777">
        <w:tc>
          <w:tcPr>
            <w:tcW w:w="2123" w:type="dxa"/>
            <w:vAlign w:val="center"/>
          </w:tcPr>
          <w:p w14:paraId="5AA7B91F"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course</w:t>
            </w:r>
          </w:p>
        </w:tc>
        <w:tc>
          <w:tcPr>
            <w:tcW w:w="2268" w:type="dxa"/>
            <w:vAlign w:val="center"/>
          </w:tcPr>
          <w:p w14:paraId="6F75C58E"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1428DCFD"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$1,959</w:t>
            </w:r>
          </w:p>
        </w:tc>
        <w:tc>
          <w:tcPr>
            <w:tcW w:w="2358" w:type="dxa"/>
            <w:vAlign w:val="center"/>
          </w:tcPr>
          <w:p w14:paraId="7EB287E2"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$2,584</w:t>
            </w:r>
          </w:p>
        </w:tc>
      </w:tr>
      <w:tr w:rsidR="00C0310A" w:rsidRPr="00C52646" w14:paraId="69A7BE38" w14:textId="77777777">
        <w:tc>
          <w:tcPr>
            <w:tcW w:w="9017" w:type="dxa"/>
            <w:gridSpan w:val="4"/>
            <w:vAlign w:val="center"/>
          </w:tcPr>
          <w:p w14:paraId="71CD3CF0" w14:textId="77777777" w:rsidR="00C0310A" w:rsidRPr="00C52646" w:rsidRDefault="00C0310A">
            <w:pPr>
              <w:keepNext/>
              <w:jc w:val="left"/>
              <w:rPr>
                <w:rFonts w:ascii="Arial Narrow" w:hAnsi="Arial Narrow"/>
                <w:b/>
                <w:bCs/>
                <w:smallCaps/>
                <w:sz w:val="20"/>
                <w:szCs w:val="20"/>
              </w:rPr>
            </w:pPr>
            <w:r w:rsidRPr="00C52646">
              <w:rPr>
                <w:rFonts w:ascii="Arial Narrow" w:hAnsi="Arial Narrow"/>
                <w:b/>
                <w:bCs/>
                <w:smallCaps/>
                <w:sz w:val="20"/>
                <w:szCs w:val="20"/>
              </w:rPr>
              <w:t>Rituximab</w:t>
            </w:r>
          </w:p>
        </w:tc>
      </w:tr>
      <w:tr w:rsidR="00C0310A" w:rsidRPr="00C52646" w14:paraId="1CD2EEC7" w14:textId="77777777">
        <w:tc>
          <w:tcPr>
            <w:tcW w:w="2123" w:type="dxa"/>
            <w:vAlign w:val="center"/>
          </w:tcPr>
          <w:p w14:paraId="63394E12"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pack</w:t>
            </w:r>
          </w:p>
        </w:tc>
        <w:tc>
          <w:tcPr>
            <w:tcW w:w="2268" w:type="dxa"/>
            <w:vAlign w:val="center"/>
          </w:tcPr>
          <w:p w14:paraId="2874FFAD"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2B816258"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dispensed price per administration: $195.97 for Cycle 1 Day 1; $597.90 for Cycle 1 Day 2; $845.31 for Cycles 2-6</w:t>
            </w:r>
          </w:p>
        </w:tc>
        <w:tc>
          <w:tcPr>
            <w:tcW w:w="2358" w:type="dxa"/>
            <w:vAlign w:val="center"/>
          </w:tcPr>
          <w:p w14:paraId="1DA6A349"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Weighted DPMA: $661.70</w:t>
            </w:r>
            <w:r w:rsidRPr="00C52646">
              <w:rPr>
                <w:rFonts w:ascii="Arial Narrow" w:hAnsi="Arial Narrow"/>
                <w:sz w:val="20"/>
                <w:szCs w:val="20"/>
                <w:vertAlign w:val="superscript"/>
              </w:rPr>
              <w:t>e</w:t>
            </w:r>
          </w:p>
        </w:tc>
      </w:tr>
      <w:tr w:rsidR="00C0310A" w:rsidRPr="00C52646" w14:paraId="363DA3CC" w14:textId="77777777">
        <w:tc>
          <w:tcPr>
            <w:tcW w:w="2123" w:type="dxa"/>
            <w:vAlign w:val="center"/>
          </w:tcPr>
          <w:p w14:paraId="631F182A"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compliance</w:t>
            </w:r>
          </w:p>
        </w:tc>
        <w:tc>
          <w:tcPr>
            <w:tcW w:w="2268" w:type="dxa"/>
            <w:vAlign w:val="center"/>
          </w:tcPr>
          <w:p w14:paraId="3AEEF539"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Average no. cycles: 5</w:t>
            </w:r>
          </w:p>
          <w:p w14:paraId="7C42701C"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67.1% pts received 6 cycles</w:t>
            </w:r>
          </w:p>
        </w:tc>
        <w:tc>
          <w:tcPr>
            <w:tcW w:w="2268" w:type="dxa"/>
            <w:vAlign w:val="center"/>
          </w:tcPr>
          <w:p w14:paraId="1BD3CB4C"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6.03 scripts (1 administration on Cycle 1 Day 1; 1 on Cycle 1 Day 2; 4.03 for Cycles 2-6)</w:t>
            </w:r>
            <w:r w:rsidRPr="00C52646">
              <w:rPr>
                <w:rFonts w:ascii="Arial Narrow" w:hAnsi="Arial Narrow"/>
                <w:sz w:val="20"/>
                <w:szCs w:val="20"/>
                <w:vertAlign w:val="superscript"/>
              </w:rPr>
              <w:t>a</w:t>
            </w:r>
          </w:p>
        </w:tc>
        <w:tc>
          <w:tcPr>
            <w:tcW w:w="2358" w:type="dxa"/>
            <w:vAlign w:val="center"/>
          </w:tcPr>
          <w:p w14:paraId="272AF675" w14:textId="77777777" w:rsidR="00C0310A" w:rsidRPr="00C52646" w:rsidRDefault="00C0310A">
            <w:pPr>
              <w:keepNext/>
              <w:jc w:val="center"/>
            </w:pPr>
            <w:r w:rsidRPr="00C52646">
              <w:rPr>
                <w:rFonts w:ascii="Arial Narrow" w:hAnsi="Arial Narrow"/>
                <w:sz w:val="20"/>
                <w:szCs w:val="20"/>
              </w:rPr>
              <w:t>4.98 scripts (6 scripts × 83.8% persistence × 99.1% dose intensity)</w:t>
            </w:r>
            <w:r w:rsidRPr="00C52646">
              <w:rPr>
                <w:rFonts w:ascii="Arial Narrow" w:hAnsi="Arial Narrow"/>
                <w:sz w:val="20"/>
                <w:szCs w:val="20"/>
                <w:vertAlign w:val="superscript"/>
              </w:rPr>
              <w:t>f</w:t>
            </w:r>
          </w:p>
        </w:tc>
      </w:tr>
      <w:tr w:rsidR="00C0310A" w:rsidRPr="00C52646" w14:paraId="4166131F" w14:textId="77777777">
        <w:tc>
          <w:tcPr>
            <w:tcW w:w="2123" w:type="dxa"/>
            <w:vAlign w:val="center"/>
          </w:tcPr>
          <w:p w14:paraId="75C192E9" w14:textId="77777777" w:rsidR="00C0310A" w:rsidRPr="00C52646" w:rsidRDefault="00C0310A">
            <w:pPr>
              <w:keepNext/>
              <w:jc w:val="left"/>
              <w:rPr>
                <w:rFonts w:ascii="Arial Narrow" w:hAnsi="Arial Narrow"/>
                <w:sz w:val="20"/>
                <w:szCs w:val="20"/>
              </w:rPr>
            </w:pPr>
            <w:r w:rsidRPr="00C52646">
              <w:rPr>
                <w:rFonts w:ascii="Arial Narrow" w:hAnsi="Arial Narrow"/>
                <w:sz w:val="20"/>
                <w:szCs w:val="20"/>
              </w:rPr>
              <w:t>- cost per course</w:t>
            </w:r>
          </w:p>
        </w:tc>
        <w:tc>
          <w:tcPr>
            <w:tcW w:w="2268" w:type="dxa"/>
            <w:vAlign w:val="center"/>
          </w:tcPr>
          <w:p w14:paraId="1E2DF1A1"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639B6010"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$4,197</w:t>
            </w:r>
          </w:p>
        </w:tc>
        <w:tc>
          <w:tcPr>
            <w:tcW w:w="2358" w:type="dxa"/>
            <w:vAlign w:val="center"/>
          </w:tcPr>
          <w:p w14:paraId="5AC136F4" w14:textId="77777777" w:rsidR="00C0310A" w:rsidRPr="00C52646" w:rsidRDefault="00C0310A">
            <w:pPr>
              <w:keepNext/>
              <w:jc w:val="center"/>
              <w:rPr>
                <w:rFonts w:ascii="Arial Narrow" w:hAnsi="Arial Narrow"/>
                <w:sz w:val="20"/>
                <w:szCs w:val="20"/>
              </w:rPr>
            </w:pPr>
            <w:r w:rsidRPr="00C52646">
              <w:rPr>
                <w:rFonts w:ascii="Arial Narrow" w:hAnsi="Arial Narrow"/>
                <w:sz w:val="20"/>
                <w:szCs w:val="20"/>
              </w:rPr>
              <w:t>$3,294</w:t>
            </w:r>
          </w:p>
        </w:tc>
      </w:tr>
      <w:tr w:rsidR="00C0310A" w:rsidRPr="00C52646" w14:paraId="7E5F3F96" w14:textId="77777777">
        <w:tc>
          <w:tcPr>
            <w:tcW w:w="2123" w:type="dxa"/>
            <w:vAlign w:val="center"/>
          </w:tcPr>
          <w:p w14:paraId="03F855FF" w14:textId="77777777" w:rsidR="00C0310A" w:rsidRPr="00C52646" w:rsidRDefault="00C0310A">
            <w:pPr>
              <w:jc w:val="left"/>
              <w:rPr>
                <w:rFonts w:ascii="Arial Narrow" w:hAnsi="Arial Narrow"/>
                <w:b/>
                <w:bCs/>
                <w:sz w:val="20"/>
                <w:szCs w:val="20"/>
              </w:rPr>
            </w:pPr>
            <w:r w:rsidRPr="00C52646">
              <w:rPr>
                <w:rFonts w:ascii="Arial Narrow" w:hAnsi="Arial Narrow"/>
                <w:b/>
                <w:bCs/>
                <w:sz w:val="20"/>
                <w:szCs w:val="20"/>
              </w:rPr>
              <w:t>Total cost per course</w:t>
            </w:r>
          </w:p>
        </w:tc>
        <w:tc>
          <w:tcPr>
            <w:tcW w:w="2268" w:type="dxa"/>
            <w:vAlign w:val="center"/>
          </w:tcPr>
          <w:p w14:paraId="6907C0EC" w14:textId="77777777" w:rsidR="00C0310A" w:rsidRPr="00C52646" w:rsidRDefault="00C0310A">
            <w:pPr>
              <w:jc w:val="center"/>
              <w:rPr>
                <w:rFonts w:ascii="Arial Narrow" w:hAnsi="Arial Narrow"/>
                <w:sz w:val="20"/>
                <w:szCs w:val="20"/>
              </w:rPr>
            </w:pPr>
            <w:r w:rsidRPr="00C52646">
              <w:rPr>
                <w:rFonts w:ascii="Arial Narrow" w:hAnsi="Arial Narrow"/>
                <w:sz w:val="20"/>
                <w:szCs w:val="20"/>
              </w:rPr>
              <w:t>-</w:t>
            </w:r>
          </w:p>
        </w:tc>
        <w:tc>
          <w:tcPr>
            <w:tcW w:w="2268" w:type="dxa"/>
            <w:vAlign w:val="center"/>
          </w:tcPr>
          <w:p w14:paraId="6980FACB" w14:textId="77777777" w:rsidR="00C0310A" w:rsidRPr="00C52646" w:rsidRDefault="00C0310A">
            <w:pPr>
              <w:jc w:val="center"/>
              <w:rPr>
                <w:rFonts w:ascii="Arial Narrow" w:hAnsi="Arial Narrow"/>
                <w:b/>
                <w:bCs/>
                <w:sz w:val="20"/>
                <w:szCs w:val="20"/>
              </w:rPr>
            </w:pPr>
            <w:r w:rsidRPr="00C52646">
              <w:rPr>
                <w:rFonts w:ascii="Arial Narrow" w:hAnsi="Arial Narrow"/>
                <w:b/>
                <w:bCs/>
                <w:sz w:val="20"/>
                <w:szCs w:val="20"/>
              </w:rPr>
              <w:t>$8,415</w:t>
            </w:r>
          </w:p>
        </w:tc>
        <w:tc>
          <w:tcPr>
            <w:tcW w:w="2358" w:type="dxa"/>
            <w:vAlign w:val="center"/>
          </w:tcPr>
          <w:p w14:paraId="14222E84" w14:textId="77777777" w:rsidR="00C0310A" w:rsidRPr="00C52646" w:rsidRDefault="00C0310A">
            <w:pPr>
              <w:jc w:val="center"/>
              <w:rPr>
                <w:rFonts w:ascii="Arial Narrow" w:hAnsi="Arial Narrow"/>
                <w:b/>
                <w:bCs/>
                <w:sz w:val="20"/>
                <w:szCs w:val="20"/>
              </w:rPr>
            </w:pPr>
            <w:r w:rsidRPr="00C52646">
              <w:rPr>
                <w:rFonts w:ascii="Arial Narrow" w:hAnsi="Arial Narrow"/>
                <w:b/>
                <w:bCs/>
                <w:sz w:val="20"/>
                <w:szCs w:val="20"/>
              </w:rPr>
              <w:t>$8,314</w:t>
            </w:r>
          </w:p>
        </w:tc>
      </w:tr>
    </w:tbl>
    <w:p w14:paraId="27176231" w14:textId="0867C91A" w:rsidR="00C0310A" w:rsidRPr="00C52646" w:rsidRDefault="00C0310A" w:rsidP="00C0310A">
      <w:pPr>
        <w:pStyle w:val="COMTablefooter"/>
      </w:pPr>
      <w:r w:rsidRPr="00C52646">
        <w:t>Source: Table 22, p80 of the CAPTIVATE CSR; Shanafelt 2019; ‘I plus V - 1L CLL-SLL bilinks’ spreadsheet provided with the submission; ‘Utilisation cost workbook – ibrutinib FL CLL SLL fit FINAL’ spreadsheet provided with the submission</w:t>
      </w:r>
      <w:r w:rsidR="00155719">
        <w:t>.</w:t>
      </w:r>
    </w:p>
    <w:p w14:paraId="471EBFA7" w14:textId="77777777" w:rsidR="00C0310A" w:rsidRPr="00C52646" w:rsidRDefault="00C0310A" w:rsidP="00C0310A">
      <w:pPr>
        <w:pStyle w:val="COMTablefooter"/>
      </w:pPr>
      <w:r w:rsidRPr="00C52646">
        <w:t>Abbreviations: DPMA, dispensed price for maximum amount; DPMQ, dispensed price for maximum quantity; FD, fixed duration; pts, patients</w:t>
      </w:r>
    </w:p>
    <w:p w14:paraId="01AB38F2" w14:textId="77777777" w:rsidR="00C0310A" w:rsidRPr="00C52646" w:rsidRDefault="00C0310A" w:rsidP="00C0310A">
      <w:pPr>
        <w:pStyle w:val="COMTablefooter"/>
      </w:pPr>
      <w:bookmarkStart w:id="77" w:name="_Hlk121130129"/>
      <w:r w:rsidRPr="00C52646">
        <w:rPr>
          <w:vertAlign w:val="superscript"/>
        </w:rPr>
        <w:t>a</w:t>
      </w:r>
      <w:r w:rsidRPr="00C52646">
        <w:t xml:space="preserve"> Numbers of scripts per year in the economic model were derived from average treatment duration estimated individual patient data from CAPTIVATE AND ECOG1912, rounded up for each patient to the nearest whole number.</w:t>
      </w:r>
    </w:p>
    <w:p w14:paraId="20B45623" w14:textId="77777777" w:rsidR="00C0310A" w:rsidRPr="00C52646" w:rsidRDefault="00C0310A" w:rsidP="00C0310A">
      <w:pPr>
        <w:pStyle w:val="COMTablefooter"/>
      </w:pPr>
      <w:r w:rsidRPr="00C52646">
        <w:rPr>
          <w:vertAlign w:val="superscript"/>
        </w:rPr>
        <w:t>b</w:t>
      </w:r>
      <w:r w:rsidRPr="00C52646">
        <w:t xml:space="preserve"> Numbers of scripts per year for ibrutinib and venetoclax in the financial estimates were derived from the number of scripts required per patient per year (12.175) multiplied by the proportion of patients on treatment from time to treatment discontinuation Kaplan Meier curves; dose intensity based on individual patient data from CAPTIVATE.</w:t>
      </w:r>
    </w:p>
    <w:p w14:paraId="4159355D" w14:textId="7D594F56" w:rsidR="00C0310A" w:rsidRPr="00C52646" w:rsidRDefault="00C0310A" w:rsidP="00C0310A">
      <w:pPr>
        <w:pStyle w:val="COMTablefooter"/>
      </w:pPr>
      <w:r w:rsidRPr="00C52646">
        <w:rPr>
          <w:vertAlign w:val="superscript"/>
        </w:rPr>
        <w:t>c</w:t>
      </w:r>
      <w:r w:rsidRPr="00C52646">
        <w:t xml:space="preserve"> Estimated effective prices for initial and continuing venetoclax scripts based on the effective price of venetoclax in the </w:t>
      </w:r>
      <w:r w:rsidR="00307C5B">
        <w:t xml:space="preserve">R/R </w:t>
      </w:r>
      <w:r w:rsidRPr="00C52646">
        <w:t>setting</w:t>
      </w:r>
    </w:p>
    <w:bookmarkEnd w:id="77"/>
    <w:p w14:paraId="1661078E" w14:textId="77777777" w:rsidR="00C0310A" w:rsidRPr="00C52646" w:rsidRDefault="00C0310A" w:rsidP="00C0310A">
      <w:pPr>
        <w:pStyle w:val="COMTablefooter"/>
      </w:pPr>
      <w:r w:rsidRPr="00C52646">
        <w:rPr>
          <w:vertAlign w:val="superscript"/>
        </w:rPr>
        <w:lastRenderedPageBreak/>
        <w:t>d</w:t>
      </w:r>
      <w:r w:rsidRPr="00C52646">
        <w:t xml:space="preserve"> Average dispensed price per administration based on AEMP multiplied by number of vials per administration from ECOG1912 individual patient data with markups weighted based on 34.74%/65.25% public/private split derived from PBS dispensing data for rituximab January 2021 to March 2022</w:t>
      </w:r>
    </w:p>
    <w:p w14:paraId="236B931A" w14:textId="77777777" w:rsidR="00C0310A" w:rsidRPr="00C52646" w:rsidRDefault="00C0310A" w:rsidP="00C0310A">
      <w:pPr>
        <w:pStyle w:val="COMTablefooter"/>
      </w:pPr>
      <w:r w:rsidRPr="00C52646">
        <w:rPr>
          <w:vertAlign w:val="superscript"/>
        </w:rPr>
        <w:t>e</w:t>
      </w:r>
      <w:r w:rsidRPr="00C52646">
        <w:t xml:space="preserve"> Weighted DPMA based on 34.74%/65.25% public/private split derived from PBS dispensing data for rituximab January 2021 to March 2022</w:t>
      </w:r>
    </w:p>
    <w:p w14:paraId="70F70EFB" w14:textId="77777777" w:rsidR="00C0310A" w:rsidRPr="00C52646" w:rsidRDefault="00C0310A" w:rsidP="00C0310A">
      <w:pPr>
        <w:pStyle w:val="COMTablefooter"/>
      </w:pPr>
      <w:r w:rsidRPr="00C52646">
        <w:rPr>
          <w:vertAlign w:val="superscript"/>
        </w:rPr>
        <w:t>f</w:t>
      </w:r>
      <w:r w:rsidRPr="00C52646">
        <w:t xml:space="preserve"> Number of scripts per year for fludarabine, cyclophosphamide and rituximab in the financial estimates were derived from the maximum number of scripts (18 for fludarabine and cyclophosphamide; 6 for rituximab) multiplied by persistence (number of administrations/maximum administrations) and dose intensity derived from individual patient data from ECOG1912.</w:t>
      </w:r>
    </w:p>
    <w:p w14:paraId="268768EF" w14:textId="65FAB21F" w:rsidR="00B60939" w:rsidRPr="00C52646" w:rsidRDefault="00B60939" w:rsidP="002B05A1">
      <w:pPr>
        <w:pStyle w:val="COMH2-non-numbered"/>
      </w:pPr>
      <w:bookmarkStart w:id="78" w:name="_Toc113983804"/>
      <w:r w:rsidRPr="00C52646">
        <w:t>Estimated PBS usage &amp; financial implications</w:t>
      </w:r>
      <w:bookmarkEnd w:id="61"/>
      <w:bookmarkEnd w:id="78"/>
    </w:p>
    <w:p w14:paraId="3AF9E2E7" w14:textId="562468BC" w:rsidR="00DF02BC" w:rsidRPr="009660FD" w:rsidRDefault="00DF02BC" w:rsidP="00E255C7">
      <w:pPr>
        <w:pStyle w:val="COMexecsumnumberedpara"/>
      </w:pPr>
      <w:r w:rsidRPr="009660FD">
        <w:t xml:space="preserve">This submission </w:t>
      </w:r>
      <w:r w:rsidR="003967D3">
        <w:t>was not</w:t>
      </w:r>
      <w:r w:rsidRPr="009660FD">
        <w:t xml:space="preserve"> considered </w:t>
      </w:r>
      <w:r w:rsidR="003D3E82">
        <w:t>by DUSC</w:t>
      </w:r>
      <w:r w:rsidRPr="009660FD">
        <w:t>. The submission used an epidemiological approach to estimate the utilisation and financial impacts associated with the PBS listing of ibrutinib, for use in combination with venetoclax, for the treatment of patients with previously untreated CLL/SLL who would otherwise be suitable for fludarabine-based chemoimmunotherapy.</w:t>
      </w:r>
    </w:p>
    <w:p w14:paraId="1F827A9B" w14:textId="485020D0" w:rsidR="00DF02BC" w:rsidRPr="00C52646" w:rsidRDefault="00DF02BC" w:rsidP="00E255C7">
      <w:pPr>
        <w:pStyle w:val="COMexecsumnumberedpara"/>
      </w:pPr>
      <w:r w:rsidRPr="00C52646">
        <w:t xml:space="preserve">The sources of data used in the financial estimates are presented in </w:t>
      </w:r>
      <w:r w:rsidRPr="00C52646">
        <w:fldChar w:fldCharType="begin" w:fldLock="1"/>
      </w:r>
      <w:r w:rsidRPr="00C52646">
        <w:instrText xml:space="preserve"> REF _Ref112917908 \h </w:instrText>
      </w:r>
      <w:r w:rsidRPr="00C52646">
        <w:fldChar w:fldCharType="separate"/>
      </w:r>
      <w:r w:rsidR="00B22386" w:rsidRPr="00C52646">
        <w:t xml:space="preserve">Table </w:t>
      </w:r>
      <w:r w:rsidR="00B22386">
        <w:rPr>
          <w:noProof/>
        </w:rPr>
        <w:t>13</w:t>
      </w:r>
      <w:r w:rsidRPr="00C52646">
        <w:fldChar w:fldCharType="end"/>
      </w:r>
      <w:r w:rsidRPr="00C52646">
        <w:t>.</w:t>
      </w:r>
    </w:p>
    <w:p w14:paraId="6BA6591C" w14:textId="1143C1C6" w:rsidR="00DF02BC" w:rsidRPr="00C52646" w:rsidRDefault="00DF02BC" w:rsidP="009660FD">
      <w:pPr>
        <w:pStyle w:val="Caption"/>
      </w:pPr>
      <w:bookmarkStart w:id="79" w:name="_Ref112917908"/>
      <w:r w:rsidRPr="00C52646">
        <w:t xml:space="preserve">Table </w:t>
      </w:r>
      <w:fldSimple w:instr=" SEQ Table \* ARABIC " w:fldLock="1">
        <w:r w:rsidR="00B22386">
          <w:rPr>
            <w:noProof/>
          </w:rPr>
          <w:t>13</w:t>
        </w:r>
      </w:fldSimple>
      <w:bookmarkEnd w:id="79"/>
      <w:r w:rsidRPr="00C52646">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inputs for financial estimates"/>
      </w:tblPr>
      <w:tblGrid>
        <w:gridCol w:w="1295"/>
        <w:gridCol w:w="3940"/>
        <w:gridCol w:w="3782"/>
      </w:tblGrid>
      <w:tr w:rsidR="00DF02BC" w:rsidRPr="00C52646" w14:paraId="5CB49B84" w14:textId="77777777">
        <w:trPr>
          <w:tblHeader/>
        </w:trPr>
        <w:tc>
          <w:tcPr>
            <w:tcW w:w="718" w:type="pct"/>
            <w:shd w:val="clear" w:color="auto" w:fill="auto"/>
          </w:tcPr>
          <w:p w14:paraId="67B567FA" w14:textId="77777777" w:rsidR="00DF02BC" w:rsidRPr="009660FD" w:rsidRDefault="00DF02BC">
            <w:pPr>
              <w:pStyle w:val="COMTableheadingrow"/>
              <w:keepNext w:val="0"/>
              <w:rPr>
                <w:lang w:val="en-AU"/>
              </w:rPr>
            </w:pPr>
            <w:r w:rsidRPr="009660FD">
              <w:rPr>
                <w:lang w:val="en-AU"/>
              </w:rPr>
              <w:t>Parameter</w:t>
            </w:r>
          </w:p>
        </w:tc>
        <w:tc>
          <w:tcPr>
            <w:tcW w:w="2185" w:type="pct"/>
            <w:shd w:val="clear" w:color="auto" w:fill="auto"/>
          </w:tcPr>
          <w:p w14:paraId="3562D5BC" w14:textId="77777777" w:rsidR="00DF02BC" w:rsidRPr="009660FD" w:rsidRDefault="00DF02BC">
            <w:pPr>
              <w:pStyle w:val="COMTableheadingrow"/>
              <w:keepNext w:val="0"/>
              <w:rPr>
                <w:lang w:val="en-AU"/>
              </w:rPr>
            </w:pPr>
            <w:r w:rsidRPr="009660FD">
              <w:rPr>
                <w:lang w:val="en-AU"/>
              </w:rPr>
              <w:t>Value applied and source</w:t>
            </w:r>
          </w:p>
        </w:tc>
        <w:tc>
          <w:tcPr>
            <w:tcW w:w="2097" w:type="pct"/>
            <w:shd w:val="clear" w:color="auto" w:fill="auto"/>
          </w:tcPr>
          <w:p w14:paraId="2BAE6710" w14:textId="77777777" w:rsidR="00DF02BC" w:rsidRPr="009660FD" w:rsidRDefault="00DF02BC">
            <w:pPr>
              <w:pStyle w:val="COMTableheadingrow"/>
              <w:keepNext w:val="0"/>
              <w:rPr>
                <w:lang w:val="en-AU"/>
              </w:rPr>
            </w:pPr>
            <w:r w:rsidRPr="009660FD">
              <w:rPr>
                <w:lang w:val="en-AU"/>
              </w:rPr>
              <w:t>Comment</w:t>
            </w:r>
          </w:p>
        </w:tc>
      </w:tr>
      <w:tr w:rsidR="00DF02BC" w:rsidRPr="00C52646" w14:paraId="15F2E181" w14:textId="77777777">
        <w:tc>
          <w:tcPr>
            <w:tcW w:w="718" w:type="pct"/>
            <w:shd w:val="clear" w:color="auto" w:fill="auto"/>
          </w:tcPr>
          <w:p w14:paraId="17BEF477" w14:textId="77777777" w:rsidR="00DF02BC" w:rsidRPr="009660FD" w:rsidRDefault="00DF02BC">
            <w:pPr>
              <w:pStyle w:val="COMTabletext"/>
              <w:keepNext w:val="0"/>
            </w:pPr>
            <w:r w:rsidRPr="009660FD">
              <w:t>Incident CLL patients</w:t>
            </w:r>
          </w:p>
        </w:tc>
        <w:tc>
          <w:tcPr>
            <w:tcW w:w="2185" w:type="pct"/>
            <w:shd w:val="clear" w:color="auto" w:fill="auto"/>
          </w:tcPr>
          <w:p w14:paraId="13B54716" w14:textId="77777777" w:rsidR="00DF02BC" w:rsidRPr="009660FD" w:rsidRDefault="00DF02BC">
            <w:pPr>
              <w:pStyle w:val="COMTabletext"/>
              <w:keepNext w:val="0"/>
            </w:pPr>
            <w:r w:rsidRPr="009660FD">
              <w:t>Incident CLL patients reported by AIHW (actual: 2011-2017; projected 2018-2021). Excel polynomial function used to extrapolate incident patient numbers over the initial six years of listing (2023 to 2028).</w:t>
            </w:r>
          </w:p>
        </w:tc>
        <w:tc>
          <w:tcPr>
            <w:tcW w:w="2097" w:type="pct"/>
            <w:shd w:val="clear" w:color="auto" w:fill="auto"/>
          </w:tcPr>
          <w:p w14:paraId="2C74BFE8" w14:textId="77777777" w:rsidR="00DF02BC" w:rsidRPr="009660FD" w:rsidRDefault="00DF02BC">
            <w:pPr>
              <w:pStyle w:val="COMTabletext"/>
              <w:keepNext w:val="0"/>
            </w:pPr>
            <w:r w:rsidRPr="003967D3">
              <w:t>This appeared reasonable.</w:t>
            </w:r>
          </w:p>
        </w:tc>
      </w:tr>
      <w:tr w:rsidR="00DF02BC" w:rsidRPr="003967D3" w14:paraId="7F68AC49" w14:textId="77777777">
        <w:tc>
          <w:tcPr>
            <w:tcW w:w="718" w:type="pct"/>
            <w:shd w:val="clear" w:color="auto" w:fill="auto"/>
          </w:tcPr>
          <w:p w14:paraId="21C1CA83" w14:textId="77777777" w:rsidR="00DF02BC" w:rsidRPr="003967D3" w:rsidRDefault="00DF02BC">
            <w:pPr>
              <w:pStyle w:val="COMTabletext"/>
              <w:keepNext w:val="0"/>
            </w:pPr>
            <w:r w:rsidRPr="003967D3">
              <w:t>Incident SLL patients</w:t>
            </w:r>
          </w:p>
        </w:tc>
        <w:tc>
          <w:tcPr>
            <w:tcW w:w="2185" w:type="pct"/>
            <w:shd w:val="clear" w:color="auto" w:fill="auto"/>
          </w:tcPr>
          <w:p w14:paraId="2282C35B" w14:textId="77777777" w:rsidR="00DF02BC" w:rsidRPr="003967D3" w:rsidRDefault="00DF02BC">
            <w:pPr>
              <w:pStyle w:val="COMTabletext"/>
              <w:keepNext w:val="0"/>
            </w:pPr>
            <w:r w:rsidRPr="003967D3">
              <w:t>SLL incidence reported by AIHW (2008-2012). Average SLL incidence for 2008-2012 for each 5-year age cohort used to derive incident patient numbers over the initial six years of listing (2023 to 2028).</w:t>
            </w:r>
          </w:p>
        </w:tc>
        <w:tc>
          <w:tcPr>
            <w:tcW w:w="2097" w:type="pct"/>
            <w:shd w:val="clear" w:color="auto" w:fill="auto"/>
          </w:tcPr>
          <w:p w14:paraId="0D8D43A4" w14:textId="77777777" w:rsidR="00DF02BC" w:rsidRPr="003967D3" w:rsidRDefault="00DF02BC">
            <w:pPr>
              <w:pStyle w:val="COMTabletext"/>
              <w:keepNext w:val="0"/>
            </w:pPr>
            <w:r w:rsidRPr="003967D3">
              <w:t>Assumed no growth in SLL incidence from 2008-2012. It is unclear whether the incidence of SLL is increasing over time given the limited available incidence data for SLL.</w:t>
            </w:r>
          </w:p>
        </w:tc>
      </w:tr>
      <w:tr w:rsidR="00DF02BC" w:rsidRPr="003967D3" w14:paraId="4077B21C" w14:textId="77777777">
        <w:tc>
          <w:tcPr>
            <w:tcW w:w="718" w:type="pct"/>
            <w:shd w:val="clear" w:color="auto" w:fill="auto"/>
          </w:tcPr>
          <w:p w14:paraId="6DA6782F" w14:textId="0491E961" w:rsidR="00DF02BC" w:rsidRPr="003967D3" w:rsidRDefault="00DF02BC">
            <w:pPr>
              <w:pStyle w:val="COMTabletext"/>
              <w:keepNext w:val="0"/>
            </w:pPr>
            <w:r w:rsidRPr="003967D3">
              <w:t xml:space="preserve">Proportion fit for fludarabine-based </w:t>
            </w:r>
            <w:r w:rsidR="00EE4C95">
              <w:t>chemoimmunotherapy</w:t>
            </w:r>
          </w:p>
        </w:tc>
        <w:tc>
          <w:tcPr>
            <w:tcW w:w="2185" w:type="pct"/>
            <w:shd w:val="clear" w:color="auto" w:fill="auto"/>
          </w:tcPr>
          <w:p w14:paraId="265D9318" w14:textId="3567867E" w:rsidR="00DF02BC" w:rsidRPr="003967D3" w:rsidRDefault="00DF02BC">
            <w:pPr>
              <w:pStyle w:val="COMTabletext"/>
              <w:keepNext w:val="0"/>
            </w:pPr>
            <w:r w:rsidRPr="003967D3">
              <w:t xml:space="preserve">35%. Based on the July 2020 venetoclax resubmission, which assumed that 65% of patients were unsuitable for fludarabine-based </w:t>
            </w:r>
            <w:r w:rsidR="00EE4C95">
              <w:t>chemoimmunotherapy</w:t>
            </w:r>
            <w:r w:rsidRPr="003967D3">
              <w:t xml:space="preserve">.  </w:t>
            </w:r>
          </w:p>
        </w:tc>
        <w:tc>
          <w:tcPr>
            <w:tcW w:w="2097" w:type="pct"/>
            <w:shd w:val="clear" w:color="auto" w:fill="auto"/>
          </w:tcPr>
          <w:p w14:paraId="6EE0C879" w14:textId="30187C56" w:rsidR="00831B89" w:rsidRPr="003967D3" w:rsidRDefault="00831B89">
            <w:pPr>
              <w:pStyle w:val="COMTabletext"/>
              <w:keepNext w:val="0"/>
            </w:pPr>
            <w:r>
              <w:t>The evaluation and the ESC considered that this proportion may be underestimated as s</w:t>
            </w:r>
            <w:r w:rsidRPr="00831B89">
              <w:t>ome patients who are considered unsuitable for fludarabine-based chemoimmunotherapy may qualify for ibrutinib + venetoclax based on the proposed CIRS score and creatinine clearance criteria</w:t>
            </w:r>
            <w:r>
              <w:t>.</w:t>
            </w:r>
            <w:r w:rsidRPr="00831B89">
              <w:t xml:space="preserve"> </w:t>
            </w:r>
            <w:r>
              <w:t xml:space="preserve">The PBAC considered that in clinical practice, </w:t>
            </w:r>
            <w:r w:rsidRPr="00F97CD4">
              <w:t xml:space="preserve">almost all patients </w:t>
            </w:r>
            <w:r>
              <w:t xml:space="preserve">would </w:t>
            </w:r>
            <w:r w:rsidR="00522F32">
              <w:t>be</w:t>
            </w:r>
            <w:r w:rsidRPr="00F97CD4">
              <w:t xml:space="preserve"> </w:t>
            </w:r>
            <w:r>
              <w:t>u</w:t>
            </w:r>
            <w:r w:rsidRPr="00E44776">
              <w:t>nsuitable for fludarabine-based chemoimmunotherapy</w:t>
            </w:r>
            <w:r w:rsidRPr="00F97CD4">
              <w:t xml:space="preserve"> given FCR is poorly tolerated and associated with a risk of cytopenia and secondary malignancies</w:t>
            </w:r>
            <w:r>
              <w:t>.</w:t>
            </w:r>
          </w:p>
        </w:tc>
      </w:tr>
      <w:tr w:rsidR="00DF02BC" w:rsidRPr="003967D3" w14:paraId="5D016C20" w14:textId="77777777">
        <w:tc>
          <w:tcPr>
            <w:tcW w:w="718" w:type="pct"/>
            <w:shd w:val="clear" w:color="auto" w:fill="auto"/>
          </w:tcPr>
          <w:p w14:paraId="4AF8A23B" w14:textId="77777777" w:rsidR="00DF02BC" w:rsidRPr="003967D3" w:rsidRDefault="00DF02BC">
            <w:pPr>
              <w:pStyle w:val="COMTabletext"/>
              <w:keepNext w:val="0"/>
            </w:pPr>
            <w:r w:rsidRPr="003967D3">
              <w:t>Proportion of patients ever treated for CLL/SLL</w:t>
            </w:r>
          </w:p>
        </w:tc>
        <w:tc>
          <w:tcPr>
            <w:tcW w:w="2185" w:type="pct"/>
            <w:shd w:val="clear" w:color="auto" w:fill="auto"/>
          </w:tcPr>
          <w:p w14:paraId="3F7484E7" w14:textId="77777777" w:rsidR="00DF02BC" w:rsidRPr="003967D3" w:rsidRDefault="00DF02BC">
            <w:pPr>
              <w:pStyle w:val="COMTabletext"/>
              <w:keepNext w:val="0"/>
            </w:pPr>
            <w:r w:rsidRPr="003967D3">
              <w:t>74%. Based on the results of a 2021 survey of 30 haematologists commissioned by the sponsor. An estimated 32% of patients were considered to be fit, and of these patients, 26% were estimated to never receive treatment.</w:t>
            </w:r>
          </w:p>
        </w:tc>
        <w:tc>
          <w:tcPr>
            <w:tcW w:w="2097" w:type="pct"/>
            <w:shd w:val="clear" w:color="auto" w:fill="auto"/>
          </w:tcPr>
          <w:p w14:paraId="741B7917" w14:textId="77777777" w:rsidR="00DF02BC" w:rsidRPr="003967D3" w:rsidRDefault="00DF02BC">
            <w:pPr>
              <w:pStyle w:val="COMTabletext"/>
              <w:keepNext w:val="0"/>
            </w:pPr>
            <w:r w:rsidRPr="003967D3">
              <w:t>The proportion of ‘fit’ patients ever treated was considered to be uncertain, given that patients who are considered ‘fit’ may be reclassified as ‘unfit’ in later life.</w:t>
            </w:r>
          </w:p>
        </w:tc>
      </w:tr>
      <w:tr w:rsidR="00DF02BC" w:rsidRPr="003967D3" w14:paraId="54D7B4F4" w14:textId="77777777">
        <w:tc>
          <w:tcPr>
            <w:tcW w:w="718" w:type="pct"/>
            <w:shd w:val="clear" w:color="auto" w:fill="auto"/>
          </w:tcPr>
          <w:p w14:paraId="1A9E02BC" w14:textId="77777777" w:rsidR="00DF02BC" w:rsidRPr="003967D3" w:rsidRDefault="00DF02BC">
            <w:pPr>
              <w:pStyle w:val="COMTabletext"/>
              <w:keepNext w:val="0"/>
            </w:pPr>
            <w:r w:rsidRPr="003967D3">
              <w:t>Uptake of ibrutinib + venetoclax</w:t>
            </w:r>
          </w:p>
        </w:tc>
        <w:tc>
          <w:tcPr>
            <w:tcW w:w="2185" w:type="pct"/>
            <w:shd w:val="clear" w:color="auto" w:fill="auto"/>
          </w:tcPr>
          <w:p w14:paraId="7A23B0A7" w14:textId="77777777" w:rsidR="00DF02BC" w:rsidRDefault="00DF02BC">
            <w:pPr>
              <w:pStyle w:val="COMTabletext"/>
              <w:keepNext w:val="0"/>
            </w:pPr>
            <w:r w:rsidRPr="003967D3">
              <w:t>Year 1: 70%; Years 2-6: 90%. Sponsor assumption, based on the uptake assumptions included for venetoclax in the July 2020 venetoclax resubmission and expert clinical opinion.</w:t>
            </w:r>
          </w:p>
          <w:p w14:paraId="3ADBAA7B" w14:textId="710C0143" w:rsidR="00766516" w:rsidRPr="003967D3" w:rsidRDefault="00766516">
            <w:pPr>
              <w:pStyle w:val="COMTabletext"/>
              <w:keepNext w:val="0"/>
            </w:pPr>
            <w:r>
              <w:t xml:space="preserve">In the pre-PBAC response, </w:t>
            </w:r>
            <w:r w:rsidR="000963F0">
              <w:t xml:space="preserve">revised </w:t>
            </w:r>
            <w:r>
              <w:t xml:space="preserve">uptake </w:t>
            </w:r>
            <w:r w:rsidR="000963F0">
              <w:t>rates were proposed: Year 1: 60%; Year 2: 75%; Year 3: 80%; Year 4: 85%; Years 5-6: 90%.</w:t>
            </w:r>
          </w:p>
        </w:tc>
        <w:tc>
          <w:tcPr>
            <w:tcW w:w="2097" w:type="pct"/>
            <w:shd w:val="clear" w:color="auto" w:fill="auto"/>
          </w:tcPr>
          <w:p w14:paraId="182815C4" w14:textId="4C0758C4" w:rsidR="00DF02BC" w:rsidRPr="003967D3" w:rsidRDefault="00C73AB1">
            <w:pPr>
              <w:pStyle w:val="COMTabletext"/>
              <w:keepNext w:val="0"/>
            </w:pPr>
            <w:r>
              <w:t>The evaluation considered that u</w:t>
            </w:r>
            <w:r w:rsidR="00DF02BC" w:rsidRPr="003967D3">
              <w:t xml:space="preserve">ptake may be overestimated given </w:t>
            </w:r>
            <w:r>
              <w:t>limited clinical evidence to support use of the regimen.</w:t>
            </w:r>
          </w:p>
        </w:tc>
      </w:tr>
      <w:tr w:rsidR="00DF02BC" w:rsidRPr="003967D3" w14:paraId="3B2D0ED8" w14:textId="77777777">
        <w:tc>
          <w:tcPr>
            <w:tcW w:w="718" w:type="pct"/>
            <w:shd w:val="clear" w:color="auto" w:fill="auto"/>
          </w:tcPr>
          <w:p w14:paraId="7245C9AE" w14:textId="77777777" w:rsidR="00DF02BC" w:rsidRPr="003967D3" w:rsidRDefault="00DF02BC">
            <w:pPr>
              <w:pStyle w:val="COMTabletext"/>
              <w:keepNext w:val="0"/>
            </w:pPr>
            <w:r w:rsidRPr="003967D3">
              <w:lastRenderedPageBreak/>
              <w:t>Ibrutinib scripts</w:t>
            </w:r>
          </w:p>
        </w:tc>
        <w:tc>
          <w:tcPr>
            <w:tcW w:w="2185" w:type="pct"/>
            <w:shd w:val="clear" w:color="auto" w:fill="auto"/>
          </w:tcPr>
          <w:p w14:paraId="7A571EA1" w14:textId="77777777" w:rsidR="00DF02BC" w:rsidRPr="003967D3" w:rsidRDefault="00DF02BC">
            <w:pPr>
              <w:pStyle w:val="COMTabletext"/>
              <w:keepNext w:val="0"/>
            </w:pPr>
            <w:r w:rsidRPr="003967D3">
              <w:t>First year: 11.13/patient; second year: 1.63/patient. Based on 12.175 scripts per year multiplied by the average proportion of patients on treatment and dose intensity in the CAPTIVATE study.</w:t>
            </w:r>
          </w:p>
        </w:tc>
        <w:tc>
          <w:tcPr>
            <w:tcW w:w="2097" w:type="pct"/>
            <w:shd w:val="clear" w:color="auto" w:fill="auto"/>
          </w:tcPr>
          <w:p w14:paraId="7B3F0198" w14:textId="77777777" w:rsidR="00DF02BC" w:rsidRPr="003967D3" w:rsidRDefault="00DF02BC">
            <w:pPr>
              <w:pStyle w:val="COMTabletext"/>
              <w:keepNext w:val="0"/>
            </w:pPr>
            <w:r w:rsidRPr="003967D3">
              <w:t>It is unclear whether treatment persistence and adherence in the CAPTIVATE study will reflect persistence and adherence in Australian clinical practice.</w:t>
            </w:r>
          </w:p>
        </w:tc>
      </w:tr>
      <w:tr w:rsidR="00DF02BC" w:rsidRPr="003967D3" w14:paraId="0BB084CE" w14:textId="77777777">
        <w:tc>
          <w:tcPr>
            <w:tcW w:w="718" w:type="pct"/>
            <w:shd w:val="clear" w:color="auto" w:fill="auto"/>
          </w:tcPr>
          <w:p w14:paraId="4A9F3A3A" w14:textId="77777777" w:rsidR="00DF02BC" w:rsidRPr="003967D3" w:rsidRDefault="00DF02BC">
            <w:pPr>
              <w:pStyle w:val="COMTabletext"/>
              <w:keepNext w:val="0"/>
            </w:pPr>
            <w:r w:rsidRPr="003967D3">
              <w:t>Venetoclax scripts</w:t>
            </w:r>
          </w:p>
        </w:tc>
        <w:tc>
          <w:tcPr>
            <w:tcW w:w="2185" w:type="pct"/>
            <w:shd w:val="clear" w:color="auto" w:fill="auto"/>
          </w:tcPr>
          <w:p w14:paraId="5989A107" w14:textId="77777777" w:rsidR="00DF02BC" w:rsidRPr="003967D3" w:rsidRDefault="00DF02BC">
            <w:pPr>
              <w:pStyle w:val="COMTabletext"/>
              <w:keepNext w:val="0"/>
            </w:pPr>
            <w:r w:rsidRPr="003967D3">
              <w:t>First year: 1 starter pack script/patient + 7.51 continuing scripts/patient; second year: 2.19 continuing scripts/patient. Based on 12.175 scripts per year multiplied by the average proportion of patients on treatment and dose intensity in the CAPTIVATE study.</w:t>
            </w:r>
          </w:p>
        </w:tc>
        <w:tc>
          <w:tcPr>
            <w:tcW w:w="2097" w:type="pct"/>
            <w:shd w:val="clear" w:color="auto" w:fill="auto"/>
          </w:tcPr>
          <w:p w14:paraId="0FF38135" w14:textId="77777777" w:rsidR="00DF02BC" w:rsidRPr="003967D3" w:rsidRDefault="00DF02BC">
            <w:pPr>
              <w:pStyle w:val="COMTabletext"/>
              <w:keepNext w:val="0"/>
            </w:pPr>
            <w:r w:rsidRPr="003967D3">
              <w:t>It is unclear whether treatment persistence and adherence in the CAPTIVATE study will reflect persistence and adherence in Australian clinical practice.</w:t>
            </w:r>
          </w:p>
        </w:tc>
      </w:tr>
      <w:tr w:rsidR="00DF02BC" w:rsidRPr="003967D3" w14:paraId="5C42F391" w14:textId="77777777">
        <w:tc>
          <w:tcPr>
            <w:tcW w:w="718" w:type="pct"/>
            <w:shd w:val="clear" w:color="auto" w:fill="auto"/>
          </w:tcPr>
          <w:p w14:paraId="0DE38F4E" w14:textId="77777777" w:rsidR="00DF02BC" w:rsidRPr="003967D3" w:rsidRDefault="00DF02BC">
            <w:pPr>
              <w:pStyle w:val="COMTabletext"/>
              <w:keepNext w:val="0"/>
            </w:pPr>
            <w:r w:rsidRPr="003967D3">
              <w:t>Fludarabine, cyclo-phosphamide and rituximab scripts</w:t>
            </w:r>
          </w:p>
        </w:tc>
        <w:tc>
          <w:tcPr>
            <w:tcW w:w="2185" w:type="pct"/>
            <w:shd w:val="clear" w:color="auto" w:fill="auto"/>
          </w:tcPr>
          <w:p w14:paraId="6DFD6D36" w14:textId="77777777" w:rsidR="00DF02BC" w:rsidRPr="003967D3" w:rsidRDefault="00DF02BC">
            <w:pPr>
              <w:pStyle w:val="COMTabletext"/>
              <w:keepNext w:val="0"/>
            </w:pPr>
            <w:r w:rsidRPr="003967D3">
              <w:t>Fludarabine 13.74/patient; cyclophosphamide: 13.94/patient; rituximab: 4.98/patient. Based on assumed 6 cycles of FCR treatment, with rituximab administered intravenously on Day 0/1 of Cycles 1-6, and fludarabine and cyclophosphamide administered intravenously on Days 1-3 of each cycle. Treatment utilisation adjusted for persistence and dose intensity in the ECOG1912 trial.</w:t>
            </w:r>
          </w:p>
        </w:tc>
        <w:tc>
          <w:tcPr>
            <w:tcW w:w="2097" w:type="pct"/>
            <w:shd w:val="clear" w:color="auto" w:fill="auto"/>
          </w:tcPr>
          <w:p w14:paraId="2E53B491" w14:textId="77777777" w:rsidR="00DF02BC" w:rsidRPr="003967D3" w:rsidRDefault="00DF02BC">
            <w:pPr>
              <w:pStyle w:val="COMTabletext"/>
              <w:keepNext w:val="0"/>
            </w:pPr>
            <w:r w:rsidRPr="003967D3">
              <w:t>It is unclear whether treatment persistence and adherence in the ECOG1912 trial will reflect persistence and adherence in Australian clinical practice.</w:t>
            </w:r>
          </w:p>
        </w:tc>
      </w:tr>
      <w:tr w:rsidR="00DF02BC" w:rsidRPr="003967D3" w14:paraId="6206C81C" w14:textId="77777777">
        <w:tc>
          <w:tcPr>
            <w:tcW w:w="718" w:type="pct"/>
            <w:shd w:val="clear" w:color="auto" w:fill="auto"/>
          </w:tcPr>
          <w:p w14:paraId="0F86FA2A" w14:textId="77777777" w:rsidR="00DF02BC" w:rsidRPr="003967D3" w:rsidRDefault="00DF02BC">
            <w:pPr>
              <w:pStyle w:val="COMTabletext"/>
              <w:keepNext w:val="0"/>
            </w:pPr>
            <w:r w:rsidRPr="003967D3">
              <w:t>Apixaban scripts</w:t>
            </w:r>
          </w:p>
        </w:tc>
        <w:tc>
          <w:tcPr>
            <w:tcW w:w="2185" w:type="pct"/>
            <w:shd w:val="clear" w:color="auto" w:fill="auto"/>
          </w:tcPr>
          <w:p w14:paraId="4837D3BB" w14:textId="77777777" w:rsidR="00DF02BC" w:rsidRPr="003967D3" w:rsidRDefault="00DF02BC">
            <w:pPr>
              <w:pStyle w:val="COMTabletext"/>
              <w:keepNext w:val="0"/>
            </w:pPr>
            <w:r w:rsidRPr="003967D3">
              <w:t>First year: 0.51/patient; second year: 0.08/patient. Based on 12.175 scripts per year multiplied by the average proportion of patients experiencing atrial fibrillation in the CAPTIVATE study (4.4%; 7/159), multiplied by the proportion of patients on ibrutinib treatment in the CAPTIVATE study.</w:t>
            </w:r>
          </w:p>
        </w:tc>
        <w:tc>
          <w:tcPr>
            <w:tcW w:w="2097" w:type="pct"/>
            <w:shd w:val="clear" w:color="auto" w:fill="auto"/>
          </w:tcPr>
          <w:p w14:paraId="20C288CC" w14:textId="77777777" w:rsidR="00DF02BC" w:rsidRPr="003967D3" w:rsidRDefault="00DF02BC">
            <w:pPr>
              <w:pStyle w:val="COMTabletext"/>
              <w:keepNext w:val="0"/>
            </w:pPr>
            <w:r w:rsidRPr="003967D3">
              <w:t>Apixaban treatment was restricted to the period of ibrutinib treatment. However, anticoagulant therapy may be required beyond the ibrutinib treatment period.  Patients may also require additional medications for the management of fibrillation (e.g., medications to control heart rate/rhythm).</w:t>
            </w:r>
          </w:p>
        </w:tc>
      </w:tr>
      <w:tr w:rsidR="00DF02BC" w:rsidRPr="003967D3" w14:paraId="0FC930C9" w14:textId="77777777">
        <w:tc>
          <w:tcPr>
            <w:tcW w:w="718" w:type="pct"/>
            <w:shd w:val="clear" w:color="auto" w:fill="auto"/>
          </w:tcPr>
          <w:p w14:paraId="3937B762" w14:textId="77777777" w:rsidR="00DF02BC" w:rsidRPr="003967D3" w:rsidRDefault="00DF02BC">
            <w:pPr>
              <w:pStyle w:val="COMTabletext"/>
              <w:keepNext w:val="0"/>
            </w:pPr>
            <w:r w:rsidRPr="003967D3">
              <w:t>Drug prices</w:t>
            </w:r>
          </w:p>
        </w:tc>
        <w:tc>
          <w:tcPr>
            <w:tcW w:w="2185" w:type="pct"/>
            <w:shd w:val="clear" w:color="auto" w:fill="auto"/>
          </w:tcPr>
          <w:p w14:paraId="298302F2" w14:textId="2B63BD62" w:rsidR="00DF02BC" w:rsidRPr="003967D3" w:rsidRDefault="00DF02BC">
            <w:pPr>
              <w:pStyle w:val="COMTabletext"/>
              <w:keepNext w:val="0"/>
            </w:pPr>
            <w:r w:rsidRPr="003967D3">
              <w:t xml:space="preserve">Based on published prices for fludarabine, cyclophosphamide, fludarabine and apixaban. The effective price of venetoclax for previously untreated CLL/SLL was estimated based on the effective price of venetoclax in the </w:t>
            </w:r>
            <w:r w:rsidR="00307C5B">
              <w:t xml:space="preserve">R/R </w:t>
            </w:r>
            <w:r w:rsidRPr="003967D3">
              <w:t>setting.</w:t>
            </w:r>
          </w:p>
        </w:tc>
        <w:tc>
          <w:tcPr>
            <w:tcW w:w="2097" w:type="pct"/>
            <w:shd w:val="clear" w:color="auto" w:fill="auto"/>
          </w:tcPr>
          <w:p w14:paraId="2214B750" w14:textId="27F7D0E7" w:rsidR="00DF02BC" w:rsidRPr="003967D3" w:rsidRDefault="00DF02BC">
            <w:pPr>
              <w:pStyle w:val="COMTabletext"/>
              <w:keepNext w:val="0"/>
            </w:pPr>
            <w:r w:rsidRPr="003967D3">
              <w:t xml:space="preserve">Drug costs for FCR were inappropriately derived based on the published DPMAs rather than the doses required for the FCR treatment regimen. </w:t>
            </w:r>
          </w:p>
        </w:tc>
      </w:tr>
      <w:tr w:rsidR="00DF02BC" w:rsidRPr="003967D3" w14:paraId="6A504430" w14:textId="77777777">
        <w:tc>
          <w:tcPr>
            <w:tcW w:w="718" w:type="pct"/>
            <w:shd w:val="clear" w:color="auto" w:fill="auto"/>
          </w:tcPr>
          <w:p w14:paraId="346155C1" w14:textId="77777777" w:rsidR="00DF02BC" w:rsidRPr="003967D3" w:rsidRDefault="00DF02BC">
            <w:pPr>
              <w:pStyle w:val="COMTabletext"/>
              <w:keepNext w:val="0"/>
            </w:pPr>
            <w:r w:rsidRPr="003967D3">
              <w:t>MBS costs</w:t>
            </w:r>
          </w:p>
        </w:tc>
        <w:tc>
          <w:tcPr>
            <w:tcW w:w="2185" w:type="pct"/>
            <w:shd w:val="clear" w:color="auto" w:fill="auto"/>
          </w:tcPr>
          <w:p w14:paraId="15239293" w14:textId="77777777" w:rsidR="00DF02BC" w:rsidRPr="003967D3" w:rsidRDefault="00DF02BC">
            <w:pPr>
              <w:pStyle w:val="COMTabletext"/>
              <w:keepNext w:val="0"/>
            </w:pPr>
            <w:r w:rsidRPr="003967D3">
              <w:t>Included costs associated with the performance of an ECG at baseline for patients treated with ibrutinib (MBS Item 11723), and cost savings associated with a reduction in chemotherapy administrations (MBS Item 13950).</w:t>
            </w:r>
          </w:p>
        </w:tc>
        <w:tc>
          <w:tcPr>
            <w:tcW w:w="2097" w:type="pct"/>
            <w:shd w:val="clear" w:color="auto" w:fill="auto"/>
          </w:tcPr>
          <w:p w14:paraId="10BAD37E" w14:textId="77777777" w:rsidR="00DF02BC" w:rsidRPr="003967D3" w:rsidRDefault="00DF02BC">
            <w:pPr>
              <w:pStyle w:val="COMTabletext"/>
              <w:keepNext w:val="0"/>
            </w:pPr>
            <w:r w:rsidRPr="003967D3">
              <w:t>MBS costs were appropriately based on 80% of the schedule fee.</w:t>
            </w:r>
          </w:p>
        </w:tc>
      </w:tr>
    </w:tbl>
    <w:p w14:paraId="2454E737" w14:textId="77777777" w:rsidR="00DF02BC" w:rsidRPr="00C52646" w:rsidRDefault="00DF02BC" w:rsidP="00DF02BC">
      <w:pPr>
        <w:pStyle w:val="COMTablefooter"/>
      </w:pPr>
      <w:r w:rsidRPr="00C52646">
        <w:t>Source: Section 4, pp194-218 of the submission.</w:t>
      </w:r>
    </w:p>
    <w:p w14:paraId="6836F388" w14:textId="77777777" w:rsidR="00DF02BC" w:rsidRPr="00C52646" w:rsidRDefault="00DF02BC" w:rsidP="00DF02BC">
      <w:pPr>
        <w:pStyle w:val="COMTablefooter"/>
      </w:pPr>
      <w:r w:rsidRPr="00C52646">
        <w:t>Abbreviations: AIHW, Australian Institute of Health and Welfare; CLL, chronic lymphocytic leukaemia; FCR, fludarabine + cyclophosphamide + rituximab; SLL, small lymphocytic lymphoma.</w:t>
      </w:r>
    </w:p>
    <w:p w14:paraId="1F299E59" w14:textId="70A08214" w:rsidR="00DF02BC" w:rsidRPr="00C52646" w:rsidRDefault="00DF02BC" w:rsidP="00E255C7">
      <w:pPr>
        <w:pStyle w:val="COMexecsumnumberedpara"/>
      </w:pPr>
      <w:r w:rsidRPr="00C52646">
        <w:fldChar w:fldCharType="begin" w:fldLock="1"/>
      </w:r>
      <w:r w:rsidRPr="00C52646">
        <w:instrText xml:space="preserve"> REF _Ref112923149 \h </w:instrText>
      </w:r>
      <w:r w:rsidRPr="00C52646">
        <w:fldChar w:fldCharType="separate"/>
      </w:r>
      <w:r w:rsidR="00B22386" w:rsidRPr="00C52646">
        <w:t xml:space="preserve">Table </w:t>
      </w:r>
      <w:r w:rsidR="00B22386">
        <w:rPr>
          <w:noProof/>
        </w:rPr>
        <w:t>14</w:t>
      </w:r>
      <w:r w:rsidRPr="00C52646">
        <w:fldChar w:fldCharType="end"/>
      </w:r>
      <w:r w:rsidRPr="00C52646">
        <w:t xml:space="preserve"> presents the estimated net cost to the PBS/RPBS of listing ibrutinib + venetoclax.</w:t>
      </w:r>
    </w:p>
    <w:p w14:paraId="1AAC6C10" w14:textId="73E62658" w:rsidR="00DF02BC" w:rsidRPr="00C52646" w:rsidRDefault="00DF02BC" w:rsidP="00DF02BC">
      <w:pPr>
        <w:pStyle w:val="TableHeading"/>
        <w:spacing w:before="0" w:after="0" w:line="240" w:lineRule="auto"/>
      </w:pPr>
      <w:bookmarkStart w:id="80" w:name="_Ref112923149"/>
      <w:r w:rsidRPr="00C52646">
        <w:lastRenderedPageBreak/>
        <w:t xml:space="preserve">Table </w:t>
      </w:r>
      <w:fldSimple w:instr=" SEQ Table \* ARABIC " w:fldLock="1">
        <w:r w:rsidR="00B22386">
          <w:rPr>
            <w:noProof/>
          </w:rPr>
          <w:t>14</w:t>
        </w:r>
      </w:fldSimple>
      <w:bookmarkEnd w:id="80"/>
      <w:r w:rsidRPr="00C52646">
        <w:t>: Estimated number of treated patients and the cost of ibrutinib + venetoclax to the PBS/RPBS</w:t>
      </w:r>
    </w:p>
    <w:tbl>
      <w:tblPr>
        <w:tblStyle w:val="TableGrid"/>
        <w:tblW w:w="5000" w:type="pct"/>
        <w:tblLayout w:type="fixed"/>
        <w:tblCellMar>
          <w:left w:w="28" w:type="dxa"/>
          <w:right w:w="28" w:type="dxa"/>
        </w:tblCellMar>
        <w:tblLook w:val="04A0" w:firstRow="1" w:lastRow="0" w:firstColumn="1" w:lastColumn="0" w:noHBand="0" w:noVBand="1"/>
      </w:tblPr>
      <w:tblGrid>
        <w:gridCol w:w="2562"/>
        <w:gridCol w:w="1075"/>
        <w:gridCol w:w="1076"/>
        <w:gridCol w:w="1076"/>
        <w:gridCol w:w="1076"/>
        <w:gridCol w:w="1076"/>
        <w:gridCol w:w="1076"/>
      </w:tblGrid>
      <w:tr w:rsidR="00DF02BC" w:rsidRPr="00C52646" w14:paraId="552A09F7" w14:textId="77777777" w:rsidTr="00766516">
        <w:tc>
          <w:tcPr>
            <w:tcW w:w="2562" w:type="dxa"/>
          </w:tcPr>
          <w:p w14:paraId="63BA7056" w14:textId="77777777" w:rsidR="00DF02BC" w:rsidRPr="00C52646" w:rsidRDefault="00DF02BC">
            <w:pPr>
              <w:pStyle w:val="TableHeading"/>
              <w:spacing w:before="0" w:after="0" w:line="240" w:lineRule="auto"/>
              <w:rPr>
                <w:b w:val="0"/>
                <w:bCs/>
              </w:rPr>
            </w:pPr>
          </w:p>
        </w:tc>
        <w:tc>
          <w:tcPr>
            <w:tcW w:w="1075" w:type="dxa"/>
            <w:vAlign w:val="center"/>
          </w:tcPr>
          <w:p w14:paraId="02747ADF" w14:textId="77777777" w:rsidR="00DF02BC" w:rsidRPr="00C52646" w:rsidRDefault="00DF02BC">
            <w:pPr>
              <w:pStyle w:val="TableHeading"/>
              <w:spacing w:before="0" w:after="0" w:line="240" w:lineRule="auto"/>
              <w:jc w:val="center"/>
            </w:pPr>
            <w:r w:rsidRPr="00C52646">
              <w:rPr>
                <w:snapToGrid w:val="0"/>
              </w:rPr>
              <w:t>Year 1</w:t>
            </w:r>
          </w:p>
        </w:tc>
        <w:tc>
          <w:tcPr>
            <w:tcW w:w="1076" w:type="dxa"/>
            <w:vAlign w:val="center"/>
          </w:tcPr>
          <w:p w14:paraId="499A7881" w14:textId="77777777" w:rsidR="00DF02BC" w:rsidRPr="00C52646" w:rsidRDefault="00DF02BC">
            <w:pPr>
              <w:pStyle w:val="TableHeading"/>
              <w:spacing w:before="0" w:after="0" w:line="240" w:lineRule="auto"/>
              <w:jc w:val="center"/>
            </w:pPr>
            <w:r w:rsidRPr="00C52646">
              <w:rPr>
                <w:snapToGrid w:val="0"/>
              </w:rPr>
              <w:t>Year 2</w:t>
            </w:r>
          </w:p>
        </w:tc>
        <w:tc>
          <w:tcPr>
            <w:tcW w:w="1076" w:type="dxa"/>
            <w:vAlign w:val="center"/>
          </w:tcPr>
          <w:p w14:paraId="460DCF3F" w14:textId="77777777" w:rsidR="00DF02BC" w:rsidRPr="00C52646" w:rsidRDefault="00DF02BC">
            <w:pPr>
              <w:pStyle w:val="TableHeading"/>
              <w:spacing w:before="0" w:after="0" w:line="240" w:lineRule="auto"/>
              <w:jc w:val="center"/>
            </w:pPr>
            <w:r w:rsidRPr="00C52646">
              <w:rPr>
                <w:snapToGrid w:val="0"/>
                <w:lang w:eastAsia="en-US"/>
              </w:rPr>
              <w:t>Year 3</w:t>
            </w:r>
          </w:p>
        </w:tc>
        <w:tc>
          <w:tcPr>
            <w:tcW w:w="1076" w:type="dxa"/>
            <w:vAlign w:val="center"/>
          </w:tcPr>
          <w:p w14:paraId="1AD48153" w14:textId="77777777" w:rsidR="00DF02BC" w:rsidRPr="00C52646" w:rsidRDefault="00DF02BC">
            <w:pPr>
              <w:pStyle w:val="TableHeading"/>
              <w:spacing w:before="0" w:after="0" w:line="240" w:lineRule="auto"/>
              <w:jc w:val="center"/>
            </w:pPr>
            <w:r w:rsidRPr="00C52646">
              <w:rPr>
                <w:snapToGrid w:val="0"/>
              </w:rPr>
              <w:t>Year 4</w:t>
            </w:r>
          </w:p>
        </w:tc>
        <w:tc>
          <w:tcPr>
            <w:tcW w:w="1076" w:type="dxa"/>
            <w:vAlign w:val="center"/>
          </w:tcPr>
          <w:p w14:paraId="65721408" w14:textId="77777777" w:rsidR="00DF02BC" w:rsidRPr="00C52646" w:rsidRDefault="00DF02BC">
            <w:pPr>
              <w:pStyle w:val="TableHeading"/>
              <w:spacing w:before="0" w:after="0" w:line="240" w:lineRule="auto"/>
              <w:jc w:val="center"/>
            </w:pPr>
            <w:r w:rsidRPr="00C52646">
              <w:rPr>
                <w:snapToGrid w:val="0"/>
              </w:rPr>
              <w:t>Year 5</w:t>
            </w:r>
          </w:p>
        </w:tc>
        <w:tc>
          <w:tcPr>
            <w:tcW w:w="1076" w:type="dxa"/>
            <w:vAlign w:val="center"/>
          </w:tcPr>
          <w:p w14:paraId="647770AA" w14:textId="77777777" w:rsidR="00DF02BC" w:rsidRPr="00C52646" w:rsidRDefault="00DF02BC">
            <w:pPr>
              <w:pStyle w:val="TableHeading"/>
              <w:spacing w:before="0" w:after="0" w:line="240" w:lineRule="auto"/>
              <w:jc w:val="center"/>
            </w:pPr>
            <w:r w:rsidRPr="00C52646">
              <w:rPr>
                <w:snapToGrid w:val="0"/>
              </w:rPr>
              <w:t>Year 6</w:t>
            </w:r>
          </w:p>
        </w:tc>
      </w:tr>
      <w:tr w:rsidR="00DF02BC" w:rsidRPr="00C52646" w14:paraId="02017DB7" w14:textId="77777777" w:rsidTr="00766516">
        <w:tc>
          <w:tcPr>
            <w:tcW w:w="9017" w:type="dxa"/>
            <w:gridSpan w:val="7"/>
          </w:tcPr>
          <w:p w14:paraId="48CD2B43" w14:textId="77777777" w:rsidR="00DF02BC" w:rsidRPr="00C52646" w:rsidRDefault="00DF02BC">
            <w:pPr>
              <w:pStyle w:val="TableHeading"/>
              <w:spacing w:before="0" w:after="0" w:line="240" w:lineRule="auto"/>
            </w:pPr>
            <w:r w:rsidRPr="00C52646">
              <w:rPr>
                <w:lang w:eastAsia="en-US"/>
              </w:rPr>
              <w:t>Estimated extent of use</w:t>
            </w:r>
          </w:p>
        </w:tc>
      </w:tr>
      <w:tr w:rsidR="00DF02BC" w:rsidRPr="00C52646" w14:paraId="04CFC965" w14:textId="77777777" w:rsidTr="00766516">
        <w:tc>
          <w:tcPr>
            <w:tcW w:w="2562" w:type="dxa"/>
          </w:tcPr>
          <w:p w14:paraId="0E4076D4" w14:textId="77777777" w:rsidR="00DF02BC" w:rsidRPr="00C52646" w:rsidRDefault="00DF02BC">
            <w:pPr>
              <w:pStyle w:val="TableHeading"/>
              <w:spacing w:before="0" w:after="0" w:line="240" w:lineRule="auto"/>
              <w:rPr>
                <w:b w:val="0"/>
                <w:bCs/>
              </w:rPr>
            </w:pPr>
            <w:r w:rsidRPr="00C52646">
              <w:rPr>
                <w:b w:val="0"/>
                <w:bCs/>
                <w:lang w:eastAsia="en-US"/>
              </w:rPr>
              <w:t>Total patients initiating IBR + VEN</w:t>
            </w:r>
          </w:p>
        </w:tc>
        <w:tc>
          <w:tcPr>
            <w:tcW w:w="1075" w:type="dxa"/>
            <w:vAlign w:val="center"/>
          </w:tcPr>
          <w:p w14:paraId="5A1B4FF9" w14:textId="3E6A0AD3"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46"/>
                <w:lang w:eastAsia="en-US"/>
                <w14:textFill>
                  <w14:solidFill>
                    <w14:srgbClr w14:val="000000">
                      <w14:alpha w14:val="100000"/>
                    </w14:srgbClr>
                  </w14:solidFill>
                </w14:textFill>
              </w:rPr>
              <w:t>|||</w:t>
            </w:r>
            <w:r w:rsidRPr="00120BCB">
              <w:rPr>
                <w:b w:val="0"/>
                <w:bCs/>
                <w:color w:val="000000"/>
                <w:spacing w:val="3"/>
                <w:shd w:val="solid" w:color="000000" w:fill="000000"/>
                <w:fitText w:val="350" w:id="-1280060146"/>
                <w:lang w:eastAsia="en-US"/>
                <w14:textFill>
                  <w14:solidFill>
                    <w14:srgbClr w14:val="000000">
                      <w14:alpha w14:val="100000"/>
                    </w14:srgbClr>
                  </w14:solidFill>
                </w14:textFill>
              </w:rPr>
              <w:t>|</w:t>
            </w:r>
            <w:r w:rsidR="000B077C">
              <w:rPr>
                <w:b w:val="0"/>
                <w:bCs/>
                <w:vertAlign w:val="superscript"/>
                <w:lang w:eastAsia="en-US"/>
              </w:rPr>
              <w:t>1</w:t>
            </w:r>
          </w:p>
        </w:tc>
        <w:tc>
          <w:tcPr>
            <w:tcW w:w="1076" w:type="dxa"/>
            <w:vAlign w:val="center"/>
          </w:tcPr>
          <w:p w14:paraId="64D7F3B3" w14:textId="554D7AC3"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45"/>
                <w:lang w:eastAsia="en-US"/>
                <w14:textFill>
                  <w14:solidFill>
                    <w14:srgbClr w14:val="000000">
                      <w14:alpha w14:val="100000"/>
                    </w14:srgbClr>
                  </w14:solidFill>
                </w14:textFill>
              </w:rPr>
              <w:t>|||</w:t>
            </w:r>
            <w:r w:rsidRPr="00120BCB">
              <w:rPr>
                <w:b w:val="0"/>
                <w:bCs/>
                <w:color w:val="000000"/>
                <w:spacing w:val="3"/>
                <w:shd w:val="solid" w:color="000000" w:fill="000000"/>
                <w:fitText w:val="350" w:id="-1280060145"/>
                <w:lang w:eastAsia="en-US"/>
                <w14:textFill>
                  <w14:solidFill>
                    <w14:srgbClr w14:val="000000">
                      <w14:alpha w14:val="100000"/>
                    </w14:srgbClr>
                  </w14:solidFill>
                </w14:textFill>
              </w:rPr>
              <w:t>|</w:t>
            </w:r>
            <w:r w:rsidR="000B077C">
              <w:rPr>
                <w:b w:val="0"/>
                <w:bCs/>
                <w:vertAlign w:val="superscript"/>
                <w:lang w:eastAsia="en-US"/>
              </w:rPr>
              <w:t>2</w:t>
            </w:r>
          </w:p>
        </w:tc>
        <w:tc>
          <w:tcPr>
            <w:tcW w:w="1076" w:type="dxa"/>
            <w:vAlign w:val="center"/>
          </w:tcPr>
          <w:p w14:paraId="4BACF79D" w14:textId="163920E8"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44"/>
                <w:lang w:eastAsia="en-US"/>
                <w14:textFill>
                  <w14:solidFill>
                    <w14:srgbClr w14:val="000000">
                      <w14:alpha w14:val="100000"/>
                    </w14:srgbClr>
                  </w14:solidFill>
                </w14:textFill>
              </w:rPr>
              <w:t>|||</w:t>
            </w:r>
            <w:r w:rsidRPr="00120BCB">
              <w:rPr>
                <w:b w:val="0"/>
                <w:bCs/>
                <w:color w:val="000000"/>
                <w:spacing w:val="3"/>
                <w:shd w:val="solid" w:color="000000" w:fill="000000"/>
                <w:fitText w:val="350" w:id="-1280060144"/>
                <w:lang w:eastAsia="en-US"/>
                <w14:textFill>
                  <w14:solidFill>
                    <w14:srgbClr w14:val="000000">
                      <w14:alpha w14:val="100000"/>
                    </w14:srgbClr>
                  </w14:solidFill>
                </w14:textFill>
              </w:rPr>
              <w:t>|</w:t>
            </w:r>
            <w:r w:rsidR="000B077C">
              <w:rPr>
                <w:b w:val="0"/>
                <w:bCs/>
                <w:vertAlign w:val="superscript"/>
                <w:lang w:eastAsia="en-US"/>
              </w:rPr>
              <w:t>2</w:t>
            </w:r>
          </w:p>
        </w:tc>
        <w:tc>
          <w:tcPr>
            <w:tcW w:w="1076" w:type="dxa"/>
            <w:vAlign w:val="center"/>
          </w:tcPr>
          <w:p w14:paraId="45A416DB" w14:textId="7AEE4BCF"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60"/>
                <w:lang w:eastAsia="en-US"/>
                <w14:textFill>
                  <w14:solidFill>
                    <w14:srgbClr w14:val="000000">
                      <w14:alpha w14:val="100000"/>
                    </w14:srgbClr>
                  </w14:solidFill>
                </w14:textFill>
              </w:rPr>
              <w:t>|||</w:t>
            </w:r>
            <w:r w:rsidRPr="00120BCB">
              <w:rPr>
                <w:b w:val="0"/>
                <w:bCs/>
                <w:color w:val="000000"/>
                <w:spacing w:val="3"/>
                <w:shd w:val="solid" w:color="000000" w:fill="000000"/>
                <w:fitText w:val="350" w:id="-1280060160"/>
                <w:lang w:eastAsia="en-US"/>
                <w14:textFill>
                  <w14:solidFill>
                    <w14:srgbClr w14:val="000000">
                      <w14:alpha w14:val="100000"/>
                    </w14:srgbClr>
                  </w14:solidFill>
                </w14:textFill>
              </w:rPr>
              <w:t>|</w:t>
            </w:r>
            <w:r w:rsidR="000B077C">
              <w:rPr>
                <w:b w:val="0"/>
                <w:bCs/>
                <w:vertAlign w:val="superscript"/>
                <w:lang w:eastAsia="en-US"/>
              </w:rPr>
              <w:t>2</w:t>
            </w:r>
          </w:p>
        </w:tc>
        <w:tc>
          <w:tcPr>
            <w:tcW w:w="1076" w:type="dxa"/>
            <w:vAlign w:val="center"/>
          </w:tcPr>
          <w:p w14:paraId="430D9AB6" w14:textId="5374D2F6"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9"/>
                <w:lang w:eastAsia="en-US"/>
                <w14:textFill>
                  <w14:solidFill>
                    <w14:srgbClr w14:val="000000">
                      <w14:alpha w14:val="100000"/>
                    </w14:srgbClr>
                  </w14:solidFill>
                </w14:textFill>
              </w:rPr>
              <w:t>|||</w:t>
            </w:r>
            <w:r w:rsidRPr="00120BCB">
              <w:rPr>
                <w:b w:val="0"/>
                <w:bCs/>
                <w:color w:val="000000"/>
                <w:spacing w:val="3"/>
                <w:shd w:val="solid" w:color="000000" w:fill="000000"/>
                <w:fitText w:val="350" w:id="-1280060159"/>
                <w:lang w:eastAsia="en-US"/>
                <w14:textFill>
                  <w14:solidFill>
                    <w14:srgbClr w14:val="000000">
                      <w14:alpha w14:val="100000"/>
                    </w14:srgbClr>
                  </w14:solidFill>
                </w14:textFill>
              </w:rPr>
              <w:t>|</w:t>
            </w:r>
            <w:r w:rsidR="000B077C">
              <w:rPr>
                <w:b w:val="0"/>
                <w:bCs/>
                <w:vertAlign w:val="superscript"/>
                <w:lang w:eastAsia="en-US"/>
              </w:rPr>
              <w:t>2</w:t>
            </w:r>
          </w:p>
        </w:tc>
        <w:tc>
          <w:tcPr>
            <w:tcW w:w="1076" w:type="dxa"/>
            <w:vAlign w:val="center"/>
          </w:tcPr>
          <w:p w14:paraId="7BF51912" w14:textId="3DDB5684"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8"/>
                <w:lang w:eastAsia="en-US"/>
                <w14:textFill>
                  <w14:solidFill>
                    <w14:srgbClr w14:val="000000">
                      <w14:alpha w14:val="100000"/>
                    </w14:srgbClr>
                  </w14:solidFill>
                </w14:textFill>
              </w:rPr>
              <w:t>|||</w:t>
            </w:r>
            <w:r w:rsidRPr="00120BCB">
              <w:rPr>
                <w:b w:val="0"/>
                <w:bCs/>
                <w:color w:val="000000"/>
                <w:spacing w:val="3"/>
                <w:shd w:val="solid" w:color="000000" w:fill="000000"/>
                <w:fitText w:val="350" w:id="-1280060158"/>
                <w:lang w:eastAsia="en-US"/>
                <w14:textFill>
                  <w14:solidFill>
                    <w14:srgbClr w14:val="000000">
                      <w14:alpha w14:val="100000"/>
                    </w14:srgbClr>
                  </w14:solidFill>
                </w14:textFill>
              </w:rPr>
              <w:t>|</w:t>
            </w:r>
            <w:r w:rsidR="000B077C">
              <w:rPr>
                <w:b w:val="0"/>
                <w:bCs/>
                <w:vertAlign w:val="superscript"/>
                <w:lang w:eastAsia="en-US"/>
              </w:rPr>
              <w:t>2</w:t>
            </w:r>
          </w:p>
        </w:tc>
      </w:tr>
      <w:tr w:rsidR="00DF02BC" w:rsidRPr="00C52646" w14:paraId="59CA1BD3" w14:textId="77777777" w:rsidTr="00766516">
        <w:tc>
          <w:tcPr>
            <w:tcW w:w="2562" w:type="dxa"/>
          </w:tcPr>
          <w:p w14:paraId="326DD2ED" w14:textId="77777777" w:rsidR="00DF02BC" w:rsidRPr="00C52646" w:rsidRDefault="00DF02BC">
            <w:pPr>
              <w:pStyle w:val="TableHeading"/>
              <w:spacing w:before="0" w:after="0" w:line="240" w:lineRule="auto"/>
              <w:rPr>
                <w:b w:val="0"/>
                <w:bCs/>
              </w:rPr>
            </w:pPr>
            <w:r w:rsidRPr="00C52646">
              <w:rPr>
                <w:b w:val="0"/>
                <w:bCs/>
                <w:lang w:eastAsia="en-US"/>
              </w:rPr>
              <w:t>Number of IBR scripts</w:t>
            </w:r>
          </w:p>
        </w:tc>
        <w:tc>
          <w:tcPr>
            <w:tcW w:w="1075" w:type="dxa"/>
            <w:vAlign w:val="center"/>
          </w:tcPr>
          <w:p w14:paraId="3A41A085" w14:textId="66AA70D8"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7"/>
                <w14:textFill>
                  <w14:solidFill>
                    <w14:srgbClr w14:val="000000">
                      <w14:alpha w14:val="100000"/>
                    </w14:srgbClr>
                  </w14:solidFill>
                </w14:textFill>
              </w:rPr>
              <w:t>|||</w:t>
            </w:r>
            <w:r w:rsidRPr="00120BCB">
              <w:rPr>
                <w:b w:val="0"/>
                <w:bCs/>
                <w:color w:val="000000"/>
                <w:spacing w:val="3"/>
                <w:shd w:val="solid" w:color="000000" w:fill="000000"/>
                <w:fitText w:val="350" w:id="-1280060157"/>
                <w14:textFill>
                  <w14:solidFill>
                    <w14:srgbClr w14:val="000000">
                      <w14:alpha w14:val="100000"/>
                    </w14:srgbClr>
                  </w14:solidFill>
                </w14:textFill>
              </w:rPr>
              <w:t>|</w:t>
            </w:r>
            <w:r w:rsidR="000B077C">
              <w:rPr>
                <w:b w:val="0"/>
                <w:bCs/>
                <w:vertAlign w:val="superscript"/>
              </w:rPr>
              <w:t>3</w:t>
            </w:r>
          </w:p>
        </w:tc>
        <w:tc>
          <w:tcPr>
            <w:tcW w:w="1076" w:type="dxa"/>
            <w:vAlign w:val="center"/>
          </w:tcPr>
          <w:p w14:paraId="02B7E0AB" w14:textId="2D195B86"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6"/>
                <w14:textFill>
                  <w14:solidFill>
                    <w14:srgbClr w14:val="000000">
                      <w14:alpha w14:val="100000"/>
                    </w14:srgbClr>
                  </w14:solidFill>
                </w14:textFill>
              </w:rPr>
              <w:t>|||</w:t>
            </w:r>
            <w:r w:rsidRPr="00120BCB">
              <w:rPr>
                <w:b w:val="0"/>
                <w:bCs/>
                <w:color w:val="000000"/>
                <w:spacing w:val="3"/>
                <w:shd w:val="solid" w:color="000000" w:fill="000000"/>
                <w:fitText w:val="350" w:id="-1280060156"/>
                <w14:textFill>
                  <w14:solidFill>
                    <w14:srgbClr w14:val="000000">
                      <w14:alpha w14:val="100000"/>
                    </w14:srgbClr>
                  </w14:solidFill>
                </w14:textFill>
              </w:rPr>
              <w:t>|</w:t>
            </w:r>
            <w:r w:rsidR="000B077C">
              <w:rPr>
                <w:b w:val="0"/>
                <w:bCs/>
                <w:vertAlign w:val="superscript"/>
              </w:rPr>
              <w:t>3</w:t>
            </w:r>
          </w:p>
        </w:tc>
        <w:tc>
          <w:tcPr>
            <w:tcW w:w="1076" w:type="dxa"/>
            <w:vAlign w:val="center"/>
          </w:tcPr>
          <w:p w14:paraId="6332A522" w14:textId="49F238A7"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5"/>
                <w14:textFill>
                  <w14:solidFill>
                    <w14:srgbClr w14:val="000000">
                      <w14:alpha w14:val="100000"/>
                    </w14:srgbClr>
                  </w14:solidFill>
                </w14:textFill>
              </w:rPr>
              <w:t>|||</w:t>
            </w:r>
            <w:r w:rsidRPr="00120BCB">
              <w:rPr>
                <w:b w:val="0"/>
                <w:bCs/>
                <w:color w:val="000000"/>
                <w:spacing w:val="3"/>
                <w:shd w:val="solid" w:color="000000" w:fill="000000"/>
                <w:fitText w:val="350" w:id="-1280060155"/>
                <w14:textFill>
                  <w14:solidFill>
                    <w14:srgbClr w14:val="000000">
                      <w14:alpha w14:val="100000"/>
                    </w14:srgbClr>
                  </w14:solidFill>
                </w14:textFill>
              </w:rPr>
              <w:t>|</w:t>
            </w:r>
            <w:r w:rsidR="000B077C">
              <w:rPr>
                <w:b w:val="0"/>
                <w:bCs/>
                <w:vertAlign w:val="superscript"/>
              </w:rPr>
              <w:t>3</w:t>
            </w:r>
          </w:p>
        </w:tc>
        <w:tc>
          <w:tcPr>
            <w:tcW w:w="1076" w:type="dxa"/>
            <w:vAlign w:val="center"/>
          </w:tcPr>
          <w:p w14:paraId="28F5FF38" w14:textId="45D21802"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4"/>
                <w14:textFill>
                  <w14:solidFill>
                    <w14:srgbClr w14:val="000000">
                      <w14:alpha w14:val="100000"/>
                    </w14:srgbClr>
                  </w14:solidFill>
                </w14:textFill>
              </w:rPr>
              <w:t>|||</w:t>
            </w:r>
            <w:r w:rsidRPr="00120BCB">
              <w:rPr>
                <w:b w:val="0"/>
                <w:bCs/>
                <w:color w:val="000000"/>
                <w:spacing w:val="3"/>
                <w:shd w:val="solid" w:color="000000" w:fill="000000"/>
                <w:fitText w:val="350" w:id="-1280060154"/>
                <w14:textFill>
                  <w14:solidFill>
                    <w14:srgbClr w14:val="000000">
                      <w14:alpha w14:val="100000"/>
                    </w14:srgbClr>
                  </w14:solidFill>
                </w14:textFill>
              </w:rPr>
              <w:t>|</w:t>
            </w:r>
            <w:r w:rsidR="000B077C">
              <w:rPr>
                <w:b w:val="0"/>
                <w:bCs/>
                <w:vertAlign w:val="superscript"/>
              </w:rPr>
              <w:t>3</w:t>
            </w:r>
          </w:p>
        </w:tc>
        <w:tc>
          <w:tcPr>
            <w:tcW w:w="1076" w:type="dxa"/>
            <w:vAlign w:val="center"/>
          </w:tcPr>
          <w:p w14:paraId="004CC71D" w14:textId="32467D7A"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3"/>
                <w14:textFill>
                  <w14:solidFill>
                    <w14:srgbClr w14:val="000000">
                      <w14:alpha w14:val="100000"/>
                    </w14:srgbClr>
                  </w14:solidFill>
                </w14:textFill>
              </w:rPr>
              <w:t>|||</w:t>
            </w:r>
            <w:r w:rsidRPr="00120BCB">
              <w:rPr>
                <w:b w:val="0"/>
                <w:bCs/>
                <w:color w:val="000000"/>
                <w:spacing w:val="3"/>
                <w:shd w:val="solid" w:color="000000" w:fill="000000"/>
                <w:fitText w:val="350" w:id="-1280060153"/>
                <w14:textFill>
                  <w14:solidFill>
                    <w14:srgbClr w14:val="000000">
                      <w14:alpha w14:val="100000"/>
                    </w14:srgbClr>
                  </w14:solidFill>
                </w14:textFill>
              </w:rPr>
              <w:t>|</w:t>
            </w:r>
            <w:r w:rsidR="000B077C">
              <w:rPr>
                <w:b w:val="0"/>
                <w:bCs/>
                <w:vertAlign w:val="superscript"/>
              </w:rPr>
              <w:t>3</w:t>
            </w:r>
          </w:p>
        </w:tc>
        <w:tc>
          <w:tcPr>
            <w:tcW w:w="1076" w:type="dxa"/>
            <w:vAlign w:val="center"/>
          </w:tcPr>
          <w:p w14:paraId="1C7F46C1" w14:textId="2F6F7D21"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2"/>
                <w14:textFill>
                  <w14:solidFill>
                    <w14:srgbClr w14:val="000000">
                      <w14:alpha w14:val="100000"/>
                    </w14:srgbClr>
                  </w14:solidFill>
                </w14:textFill>
              </w:rPr>
              <w:t>|||</w:t>
            </w:r>
            <w:r w:rsidRPr="00120BCB">
              <w:rPr>
                <w:b w:val="0"/>
                <w:bCs/>
                <w:color w:val="000000"/>
                <w:spacing w:val="3"/>
                <w:shd w:val="solid" w:color="000000" w:fill="000000"/>
                <w:fitText w:val="350" w:id="-1280060152"/>
                <w14:textFill>
                  <w14:solidFill>
                    <w14:srgbClr w14:val="000000">
                      <w14:alpha w14:val="100000"/>
                    </w14:srgbClr>
                  </w14:solidFill>
                </w14:textFill>
              </w:rPr>
              <w:t>|</w:t>
            </w:r>
            <w:r w:rsidR="000B077C">
              <w:rPr>
                <w:b w:val="0"/>
                <w:bCs/>
                <w:vertAlign w:val="superscript"/>
              </w:rPr>
              <w:t>3</w:t>
            </w:r>
          </w:p>
        </w:tc>
      </w:tr>
      <w:tr w:rsidR="00DF02BC" w:rsidRPr="00C52646" w14:paraId="5209A5F4" w14:textId="77777777" w:rsidTr="00766516">
        <w:tc>
          <w:tcPr>
            <w:tcW w:w="2562" w:type="dxa"/>
          </w:tcPr>
          <w:p w14:paraId="399A6158" w14:textId="77777777" w:rsidR="00DF02BC" w:rsidRPr="00C52646" w:rsidRDefault="00DF02BC">
            <w:pPr>
              <w:pStyle w:val="TableHeading"/>
              <w:spacing w:before="0" w:after="0" w:line="240" w:lineRule="auto"/>
              <w:rPr>
                <w:b w:val="0"/>
                <w:bCs/>
              </w:rPr>
            </w:pPr>
            <w:r w:rsidRPr="00C52646">
              <w:rPr>
                <w:b w:val="0"/>
                <w:bCs/>
                <w:lang w:eastAsia="en-US"/>
              </w:rPr>
              <w:t>Number of VEN scripts</w:t>
            </w:r>
          </w:p>
        </w:tc>
        <w:tc>
          <w:tcPr>
            <w:tcW w:w="1075" w:type="dxa"/>
            <w:vAlign w:val="center"/>
          </w:tcPr>
          <w:p w14:paraId="729531D3" w14:textId="5106D8B8"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1"/>
                <w14:textFill>
                  <w14:solidFill>
                    <w14:srgbClr w14:val="000000">
                      <w14:alpha w14:val="100000"/>
                    </w14:srgbClr>
                  </w14:solidFill>
                </w14:textFill>
              </w:rPr>
              <w:t>|||</w:t>
            </w:r>
            <w:r w:rsidRPr="00120BCB">
              <w:rPr>
                <w:b w:val="0"/>
                <w:bCs/>
                <w:color w:val="000000"/>
                <w:spacing w:val="3"/>
                <w:shd w:val="solid" w:color="000000" w:fill="000000"/>
                <w:fitText w:val="350" w:id="-1280060151"/>
                <w14:textFill>
                  <w14:solidFill>
                    <w14:srgbClr w14:val="000000">
                      <w14:alpha w14:val="100000"/>
                    </w14:srgbClr>
                  </w14:solidFill>
                </w14:textFill>
              </w:rPr>
              <w:t>|</w:t>
            </w:r>
            <w:r w:rsidR="000B077C">
              <w:rPr>
                <w:b w:val="0"/>
                <w:bCs/>
                <w:vertAlign w:val="superscript"/>
              </w:rPr>
              <w:t>2</w:t>
            </w:r>
          </w:p>
        </w:tc>
        <w:tc>
          <w:tcPr>
            <w:tcW w:w="1076" w:type="dxa"/>
            <w:vAlign w:val="center"/>
          </w:tcPr>
          <w:p w14:paraId="60A56915" w14:textId="4BBEAE33"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50"/>
                <w14:textFill>
                  <w14:solidFill>
                    <w14:srgbClr w14:val="000000">
                      <w14:alpha w14:val="100000"/>
                    </w14:srgbClr>
                  </w14:solidFill>
                </w14:textFill>
              </w:rPr>
              <w:t>|||</w:t>
            </w:r>
            <w:r w:rsidRPr="00120BCB">
              <w:rPr>
                <w:b w:val="0"/>
                <w:bCs/>
                <w:color w:val="000000"/>
                <w:spacing w:val="3"/>
                <w:shd w:val="solid" w:color="000000" w:fill="000000"/>
                <w:fitText w:val="350" w:id="-1280060150"/>
                <w14:textFill>
                  <w14:solidFill>
                    <w14:srgbClr w14:val="000000">
                      <w14:alpha w14:val="100000"/>
                    </w14:srgbClr>
                  </w14:solidFill>
                </w14:textFill>
              </w:rPr>
              <w:t>|</w:t>
            </w:r>
            <w:r w:rsidR="000B077C">
              <w:rPr>
                <w:b w:val="0"/>
                <w:bCs/>
                <w:vertAlign w:val="superscript"/>
              </w:rPr>
              <w:t>3</w:t>
            </w:r>
          </w:p>
        </w:tc>
        <w:tc>
          <w:tcPr>
            <w:tcW w:w="1076" w:type="dxa"/>
            <w:vAlign w:val="center"/>
          </w:tcPr>
          <w:p w14:paraId="44BD272A" w14:textId="348EC35D"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49"/>
                <w14:textFill>
                  <w14:solidFill>
                    <w14:srgbClr w14:val="000000">
                      <w14:alpha w14:val="100000"/>
                    </w14:srgbClr>
                  </w14:solidFill>
                </w14:textFill>
              </w:rPr>
              <w:t>|||</w:t>
            </w:r>
            <w:r w:rsidRPr="00120BCB">
              <w:rPr>
                <w:b w:val="0"/>
                <w:bCs/>
                <w:color w:val="000000"/>
                <w:spacing w:val="3"/>
                <w:shd w:val="solid" w:color="000000" w:fill="000000"/>
                <w:fitText w:val="350" w:id="-1280060149"/>
                <w14:textFill>
                  <w14:solidFill>
                    <w14:srgbClr w14:val="000000">
                      <w14:alpha w14:val="100000"/>
                    </w14:srgbClr>
                  </w14:solidFill>
                </w14:textFill>
              </w:rPr>
              <w:t>|</w:t>
            </w:r>
            <w:r w:rsidR="000B077C">
              <w:rPr>
                <w:b w:val="0"/>
                <w:bCs/>
                <w:vertAlign w:val="superscript"/>
              </w:rPr>
              <w:t>3</w:t>
            </w:r>
          </w:p>
        </w:tc>
        <w:tc>
          <w:tcPr>
            <w:tcW w:w="1076" w:type="dxa"/>
            <w:vAlign w:val="center"/>
          </w:tcPr>
          <w:p w14:paraId="27945C9D" w14:textId="0839B51C"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48"/>
                <w14:textFill>
                  <w14:solidFill>
                    <w14:srgbClr w14:val="000000">
                      <w14:alpha w14:val="100000"/>
                    </w14:srgbClr>
                  </w14:solidFill>
                </w14:textFill>
              </w:rPr>
              <w:t>|||</w:t>
            </w:r>
            <w:r w:rsidRPr="00120BCB">
              <w:rPr>
                <w:b w:val="0"/>
                <w:bCs/>
                <w:color w:val="000000"/>
                <w:spacing w:val="3"/>
                <w:shd w:val="solid" w:color="000000" w:fill="000000"/>
                <w:fitText w:val="350" w:id="-1280060148"/>
                <w14:textFill>
                  <w14:solidFill>
                    <w14:srgbClr w14:val="000000">
                      <w14:alpha w14:val="100000"/>
                    </w14:srgbClr>
                  </w14:solidFill>
                </w14:textFill>
              </w:rPr>
              <w:t>|</w:t>
            </w:r>
            <w:r w:rsidR="000B077C">
              <w:rPr>
                <w:b w:val="0"/>
                <w:bCs/>
                <w:vertAlign w:val="superscript"/>
              </w:rPr>
              <w:t>3</w:t>
            </w:r>
          </w:p>
        </w:tc>
        <w:tc>
          <w:tcPr>
            <w:tcW w:w="1076" w:type="dxa"/>
            <w:vAlign w:val="center"/>
          </w:tcPr>
          <w:p w14:paraId="01B1AB29" w14:textId="2D9E019C"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47"/>
                <w14:textFill>
                  <w14:solidFill>
                    <w14:srgbClr w14:val="000000">
                      <w14:alpha w14:val="100000"/>
                    </w14:srgbClr>
                  </w14:solidFill>
                </w14:textFill>
              </w:rPr>
              <w:t>|||</w:t>
            </w:r>
            <w:r w:rsidRPr="00120BCB">
              <w:rPr>
                <w:b w:val="0"/>
                <w:bCs/>
                <w:color w:val="000000"/>
                <w:spacing w:val="3"/>
                <w:shd w:val="solid" w:color="000000" w:fill="000000"/>
                <w:fitText w:val="350" w:id="-1280060147"/>
                <w14:textFill>
                  <w14:solidFill>
                    <w14:srgbClr w14:val="000000">
                      <w14:alpha w14:val="100000"/>
                    </w14:srgbClr>
                  </w14:solidFill>
                </w14:textFill>
              </w:rPr>
              <w:t>|</w:t>
            </w:r>
            <w:r w:rsidR="000B077C">
              <w:rPr>
                <w:b w:val="0"/>
                <w:bCs/>
                <w:vertAlign w:val="superscript"/>
              </w:rPr>
              <w:t>3</w:t>
            </w:r>
          </w:p>
        </w:tc>
        <w:tc>
          <w:tcPr>
            <w:tcW w:w="1076" w:type="dxa"/>
            <w:vAlign w:val="center"/>
          </w:tcPr>
          <w:p w14:paraId="17FFF93F" w14:textId="5DBDE867" w:rsidR="00DF02BC" w:rsidRPr="009528DA" w:rsidRDefault="00C52D99">
            <w:pPr>
              <w:pStyle w:val="TableHeading"/>
              <w:spacing w:before="0" w:after="0" w:line="240" w:lineRule="auto"/>
              <w:jc w:val="center"/>
              <w:rPr>
                <w:b w:val="0"/>
                <w:bCs/>
                <w:vertAlign w:val="superscript"/>
              </w:rPr>
            </w:pPr>
            <w:r w:rsidRPr="00120BCB">
              <w:rPr>
                <w:b w:val="0"/>
                <w:bCs/>
                <w:color w:val="000000"/>
                <w:spacing w:val="59"/>
                <w:shd w:val="solid" w:color="000000" w:fill="000000"/>
                <w:fitText w:val="350" w:id="-1280060146"/>
                <w14:textFill>
                  <w14:solidFill>
                    <w14:srgbClr w14:val="000000">
                      <w14:alpha w14:val="100000"/>
                    </w14:srgbClr>
                  </w14:solidFill>
                </w14:textFill>
              </w:rPr>
              <w:t>|||</w:t>
            </w:r>
            <w:r w:rsidRPr="00120BCB">
              <w:rPr>
                <w:b w:val="0"/>
                <w:bCs/>
                <w:color w:val="000000"/>
                <w:spacing w:val="3"/>
                <w:shd w:val="solid" w:color="000000" w:fill="000000"/>
                <w:fitText w:val="350" w:id="-1280060146"/>
                <w14:textFill>
                  <w14:solidFill>
                    <w14:srgbClr w14:val="000000">
                      <w14:alpha w14:val="100000"/>
                    </w14:srgbClr>
                  </w14:solidFill>
                </w14:textFill>
              </w:rPr>
              <w:t>|</w:t>
            </w:r>
            <w:r w:rsidR="000B077C">
              <w:rPr>
                <w:b w:val="0"/>
                <w:bCs/>
                <w:vertAlign w:val="superscript"/>
              </w:rPr>
              <w:t>3</w:t>
            </w:r>
          </w:p>
        </w:tc>
      </w:tr>
      <w:tr w:rsidR="00DF02BC" w:rsidRPr="00C52646" w14:paraId="74A295D2" w14:textId="77777777" w:rsidTr="00766516">
        <w:tc>
          <w:tcPr>
            <w:tcW w:w="9017" w:type="dxa"/>
            <w:gridSpan w:val="7"/>
          </w:tcPr>
          <w:p w14:paraId="573057BB" w14:textId="77777777" w:rsidR="00DF02BC" w:rsidRPr="00C52646" w:rsidRDefault="00DF02BC">
            <w:pPr>
              <w:pStyle w:val="TableHeading"/>
              <w:spacing w:before="0" w:after="0" w:line="240" w:lineRule="auto"/>
            </w:pPr>
            <w:r w:rsidRPr="00C52646">
              <w:rPr>
                <w:lang w:eastAsia="en-US"/>
              </w:rPr>
              <w:t>Estimated financial implications for ibrutinib + venetoclax</w:t>
            </w:r>
          </w:p>
        </w:tc>
      </w:tr>
      <w:tr w:rsidR="00DF02BC" w:rsidRPr="00C52646" w14:paraId="5EBEB7FD" w14:textId="77777777" w:rsidTr="00766516">
        <w:tc>
          <w:tcPr>
            <w:tcW w:w="2562" w:type="dxa"/>
          </w:tcPr>
          <w:p w14:paraId="1C5A80EB" w14:textId="77777777" w:rsidR="00DF02BC" w:rsidRPr="00C52646" w:rsidRDefault="00DF02BC">
            <w:pPr>
              <w:pStyle w:val="TableHeading"/>
              <w:spacing w:before="0" w:after="0" w:line="240" w:lineRule="auto"/>
              <w:rPr>
                <w:b w:val="0"/>
                <w:bCs/>
              </w:rPr>
            </w:pPr>
            <w:r w:rsidRPr="00C52646">
              <w:rPr>
                <w:b w:val="0"/>
                <w:bCs/>
                <w:lang w:eastAsia="en-US"/>
              </w:rPr>
              <w:t>Total cost of IBR</w:t>
            </w:r>
          </w:p>
        </w:tc>
        <w:tc>
          <w:tcPr>
            <w:tcW w:w="1075" w:type="dxa"/>
            <w:vAlign w:val="center"/>
          </w:tcPr>
          <w:p w14:paraId="571072F0" w14:textId="107A4FF9"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5"/>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5"/>
                <w:lang w:eastAsia="en-US"/>
                <w14:textFill>
                  <w14:solidFill>
                    <w14:srgbClr w14:val="000000">
                      <w14:alpha w14:val="100000"/>
                    </w14:srgbClr>
                  </w14:solidFill>
                </w14:textFill>
              </w:rPr>
              <w:t>|</w:t>
            </w:r>
            <w:r w:rsidR="009528DA">
              <w:rPr>
                <w:b w:val="0"/>
                <w:bCs/>
                <w:vertAlign w:val="superscript"/>
                <w:lang w:eastAsia="en-US"/>
              </w:rPr>
              <w:t>4</w:t>
            </w:r>
          </w:p>
        </w:tc>
        <w:tc>
          <w:tcPr>
            <w:tcW w:w="1076" w:type="dxa"/>
            <w:vAlign w:val="center"/>
          </w:tcPr>
          <w:p w14:paraId="2D164A8A" w14:textId="7BF31363"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4"/>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4"/>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4B365272" w14:textId="60283AF6"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60"/>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60"/>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7E05AFBC" w14:textId="29D38C23"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9"/>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9"/>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3B33B4B6" w14:textId="64AF8A5D"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8"/>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8"/>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49A875DF" w14:textId="74423D30"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7"/>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7"/>
                <w:lang w:eastAsia="en-US"/>
                <w14:textFill>
                  <w14:solidFill>
                    <w14:srgbClr w14:val="000000">
                      <w14:alpha w14:val="100000"/>
                    </w14:srgbClr>
                  </w14:solidFill>
                </w14:textFill>
              </w:rPr>
              <w:t>|</w:t>
            </w:r>
            <w:r w:rsidR="009528DA">
              <w:rPr>
                <w:b w:val="0"/>
                <w:bCs/>
                <w:vertAlign w:val="superscript"/>
                <w:lang w:eastAsia="en-US"/>
              </w:rPr>
              <w:t>5</w:t>
            </w:r>
          </w:p>
        </w:tc>
      </w:tr>
      <w:tr w:rsidR="00DF02BC" w:rsidRPr="00C52646" w14:paraId="0E9D1201" w14:textId="77777777" w:rsidTr="00766516">
        <w:tc>
          <w:tcPr>
            <w:tcW w:w="2562" w:type="dxa"/>
          </w:tcPr>
          <w:p w14:paraId="55A545CB" w14:textId="77777777" w:rsidR="00DF02BC" w:rsidRPr="00C52646" w:rsidRDefault="00DF02BC">
            <w:pPr>
              <w:pStyle w:val="TableHeading"/>
              <w:spacing w:before="0" w:after="0" w:line="240" w:lineRule="auto"/>
              <w:rPr>
                <w:b w:val="0"/>
                <w:bCs/>
              </w:rPr>
            </w:pPr>
            <w:r w:rsidRPr="00C52646">
              <w:rPr>
                <w:b w:val="0"/>
                <w:bCs/>
                <w:lang w:eastAsia="en-US"/>
              </w:rPr>
              <w:t>Total cost of VEN</w:t>
            </w:r>
          </w:p>
        </w:tc>
        <w:tc>
          <w:tcPr>
            <w:tcW w:w="1075" w:type="dxa"/>
            <w:vAlign w:val="center"/>
          </w:tcPr>
          <w:p w14:paraId="40735144" w14:textId="770FA458"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6"/>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6"/>
                <w:lang w:eastAsia="en-US"/>
                <w14:textFill>
                  <w14:solidFill>
                    <w14:srgbClr w14:val="000000">
                      <w14:alpha w14:val="100000"/>
                    </w14:srgbClr>
                  </w14:solidFill>
                </w14:textFill>
              </w:rPr>
              <w:t>|</w:t>
            </w:r>
            <w:r w:rsidR="009528DA">
              <w:rPr>
                <w:b w:val="0"/>
                <w:bCs/>
                <w:vertAlign w:val="superscript"/>
                <w:lang w:eastAsia="en-US"/>
              </w:rPr>
              <w:t>4</w:t>
            </w:r>
          </w:p>
        </w:tc>
        <w:tc>
          <w:tcPr>
            <w:tcW w:w="1076" w:type="dxa"/>
            <w:vAlign w:val="center"/>
          </w:tcPr>
          <w:p w14:paraId="23017359" w14:textId="3F104E45"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5"/>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5"/>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09B2E86A" w14:textId="2B7346DA"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4"/>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4"/>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2F8ADE22" w14:textId="07733E08"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3"/>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3"/>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7D789DF5" w14:textId="75161E7F"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2"/>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2"/>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1750B784" w14:textId="6838CA76"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1"/>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1"/>
                <w:lang w:eastAsia="en-US"/>
                <w14:textFill>
                  <w14:solidFill>
                    <w14:srgbClr w14:val="000000">
                      <w14:alpha w14:val="100000"/>
                    </w14:srgbClr>
                  </w14:solidFill>
                </w14:textFill>
              </w:rPr>
              <w:t>|</w:t>
            </w:r>
            <w:r w:rsidR="009528DA">
              <w:rPr>
                <w:b w:val="0"/>
                <w:bCs/>
                <w:vertAlign w:val="superscript"/>
                <w:lang w:eastAsia="en-US"/>
              </w:rPr>
              <w:t>5</w:t>
            </w:r>
          </w:p>
        </w:tc>
      </w:tr>
      <w:tr w:rsidR="00DF02BC" w:rsidRPr="00C52646" w14:paraId="1276E535" w14:textId="77777777" w:rsidTr="00766516">
        <w:tc>
          <w:tcPr>
            <w:tcW w:w="2562" w:type="dxa"/>
          </w:tcPr>
          <w:p w14:paraId="3AC87C0B" w14:textId="77777777" w:rsidR="00DF02BC" w:rsidRPr="00C52646" w:rsidRDefault="00DF02BC">
            <w:pPr>
              <w:pStyle w:val="TableHeading"/>
              <w:spacing w:before="0" w:after="0" w:line="240" w:lineRule="auto"/>
              <w:rPr>
                <w:b w:val="0"/>
                <w:bCs/>
              </w:rPr>
            </w:pPr>
            <w:r w:rsidRPr="00C52646">
              <w:rPr>
                <w:b w:val="0"/>
                <w:bCs/>
                <w:lang w:eastAsia="en-US"/>
              </w:rPr>
              <w:t>Total cost of IBR + VEN</w:t>
            </w:r>
          </w:p>
        </w:tc>
        <w:tc>
          <w:tcPr>
            <w:tcW w:w="1075" w:type="dxa"/>
            <w:vAlign w:val="center"/>
          </w:tcPr>
          <w:p w14:paraId="384B7701" w14:textId="26D6C244"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0"/>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0"/>
                <w:lang w:eastAsia="en-US"/>
                <w14:textFill>
                  <w14:solidFill>
                    <w14:srgbClr w14:val="000000">
                      <w14:alpha w14:val="100000"/>
                    </w14:srgbClr>
                  </w14:solidFill>
                </w14:textFill>
              </w:rPr>
              <w:t>|</w:t>
            </w:r>
            <w:r w:rsidR="009528DA">
              <w:rPr>
                <w:b w:val="0"/>
                <w:bCs/>
                <w:vertAlign w:val="superscript"/>
                <w:lang w:eastAsia="en-US"/>
              </w:rPr>
              <w:t>5</w:t>
            </w:r>
          </w:p>
        </w:tc>
        <w:tc>
          <w:tcPr>
            <w:tcW w:w="1076" w:type="dxa"/>
            <w:vAlign w:val="center"/>
          </w:tcPr>
          <w:p w14:paraId="4221465E" w14:textId="61F1B524"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9"/>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9"/>
                <w:lang w:eastAsia="en-US"/>
                <w14:textFill>
                  <w14:solidFill>
                    <w14:srgbClr w14:val="000000">
                      <w14:alpha w14:val="100000"/>
                    </w14:srgbClr>
                  </w14:solidFill>
                </w14:textFill>
              </w:rPr>
              <w:t>|</w:t>
            </w:r>
            <w:r w:rsidR="009528DA">
              <w:rPr>
                <w:b w:val="0"/>
                <w:bCs/>
                <w:vertAlign w:val="superscript"/>
                <w:lang w:eastAsia="en-US"/>
              </w:rPr>
              <w:t>6</w:t>
            </w:r>
          </w:p>
        </w:tc>
        <w:tc>
          <w:tcPr>
            <w:tcW w:w="1076" w:type="dxa"/>
            <w:vAlign w:val="center"/>
          </w:tcPr>
          <w:p w14:paraId="1195584C" w14:textId="2D6C718D"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8"/>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8"/>
                <w:lang w:eastAsia="en-US"/>
                <w14:textFill>
                  <w14:solidFill>
                    <w14:srgbClr w14:val="000000">
                      <w14:alpha w14:val="100000"/>
                    </w14:srgbClr>
                  </w14:solidFill>
                </w14:textFill>
              </w:rPr>
              <w:t>|</w:t>
            </w:r>
            <w:r w:rsidR="009528DA">
              <w:rPr>
                <w:b w:val="0"/>
                <w:bCs/>
                <w:vertAlign w:val="superscript"/>
                <w:lang w:eastAsia="en-US"/>
              </w:rPr>
              <w:t>6</w:t>
            </w:r>
          </w:p>
        </w:tc>
        <w:tc>
          <w:tcPr>
            <w:tcW w:w="1076" w:type="dxa"/>
            <w:vAlign w:val="center"/>
          </w:tcPr>
          <w:p w14:paraId="29690E6A" w14:textId="48CB8999"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7"/>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7"/>
                <w:lang w:eastAsia="en-US"/>
                <w14:textFill>
                  <w14:solidFill>
                    <w14:srgbClr w14:val="000000">
                      <w14:alpha w14:val="100000"/>
                    </w14:srgbClr>
                  </w14:solidFill>
                </w14:textFill>
              </w:rPr>
              <w:t>|</w:t>
            </w:r>
            <w:r w:rsidR="009528DA">
              <w:rPr>
                <w:b w:val="0"/>
                <w:bCs/>
                <w:vertAlign w:val="superscript"/>
                <w:lang w:eastAsia="en-US"/>
              </w:rPr>
              <w:t>6</w:t>
            </w:r>
          </w:p>
        </w:tc>
        <w:tc>
          <w:tcPr>
            <w:tcW w:w="1076" w:type="dxa"/>
            <w:vAlign w:val="center"/>
          </w:tcPr>
          <w:p w14:paraId="3E5AB1D4" w14:textId="43211C28"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6"/>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6"/>
                <w:lang w:eastAsia="en-US"/>
                <w14:textFill>
                  <w14:solidFill>
                    <w14:srgbClr w14:val="000000">
                      <w14:alpha w14:val="100000"/>
                    </w14:srgbClr>
                  </w14:solidFill>
                </w14:textFill>
              </w:rPr>
              <w:t>|</w:t>
            </w:r>
            <w:r w:rsidR="009528DA">
              <w:rPr>
                <w:b w:val="0"/>
                <w:bCs/>
                <w:vertAlign w:val="superscript"/>
                <w:lang w:eastAsia="en-US"/>
              </w:rPr>
              <w:t>7</w:t>
            </w:r>
          </w:p>
        </w:tc>
        <w:tc>
          <w:tcPr>
            <w:tcW w:w="1076" w:type="dxa"/>
            <w:vAlign w:val="center"/>
          </w:tcPr>
          <w:p w14:paraId="3864EA22" w14:textId="533778F0"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5"/>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5"/>
                <w:lang w:eastAsia="en-US"/>
                <w14:textFill>
                  <w14:solidFill>
                    <w14:srgbClr w14:val="000000">
                      <w14:alpha w14:val="100000"/>
                    </w14:srgbClr>
                  </w14:solidFill>
                </w14:textFill>
              </w:rPr>
              <w:t>|</w:t>
            </w:r>
            <w:r w:rsidR="009528DA">
              <w:rPr>
                <w:b w:val="0"/>
                <w:bCs/>
                <w:vertAlign w:val="superscript"/>
                <w:lang w:eastAsia="en-US"/>
              </w:rPr>
              <w:t>7</w:t>
            </w:r>
          </w:p>
        </w:tc>
      </w:tr>
      <w:tr w:rsidR="00DF02BC" w:rsidRPr="00C52646" w14:paraId="260EBA37" w14:textId="77777777" w:rsidTr="00766516">
        <w:tc>
          <w:tcPr>
            <w:tcW w:w="9017" w:type="dxa"/>
            <w:gridSpan w:val="7"/>
          </w:tcPr>
          <w:p w14:paraId="7643E756" w14:textId="77777777" w:rsidR="00DF02BC" w:rsidRPr="00C52646" w:rsidRDefault="00DF02BC">
            <w:pPr>
              <w:pStyle w:val="TableHeading"/>
              <w:spacing w:before="0" w:after="0" w:line="240" w:lineRule="auto"/>
            </w:pPr>
            <w:r w:rsidRPr="00C52646">
              <w:rPr>
                <w:lang w:eastAsia="en-US"/>
              </w:rPr>
              <w:t>Estimated financial implications for other medicines</w:t>
            </w:r>
          </w:p>
        </w:tc>
      </w:tr>
      <w:tr w:rsidR="00DF02BC" w:rsidRPr="00C52646" w14:paraId="084219B5" w14:textId="77777777" w:rsidTr="00766516">
        <w:tc>
          <w:tcPr>
            <w:tcW w:w="2562" w:type="dxa"/>
          </w:tcPr>
          <w:p w14:paraId="1E0AA015" w14:textId="77777777" w:rsidR="00DF02BC" w:rsidRPr="00C52646" w:rsidRDefault="00DF02BC">
            <w:pPr>
              <w:pStyle w:val="TableHeading"/>
              <w:spacing w:before="0" w:after="0" w:line="240" w:lineRule="auto"/>
              <w:rPr>
                <w:b w:val="0"/>
                <w:bCs/>
              </w:rPr>
            </w:pPr>
            <w:r w:rsidRPr="00C52646">
              <w:rPr>
                <w:b w:val="0"/>
                <w:bCs/>
                <w:lang w:eastAsia="en-US"/>
              </w:rPr>
              <w:t>Total saving to the PBS/RPBS</w:t>
            </w:r>
            <w:r w:rsidRPr="00C52646">
              <w:rPr>
                <w:b w:val="0"/>
                <w:bCs/>
                <w:vertAlign w:val="superscript"/>
                <w:lang w:eastAsia="en-US"/>
              </w:rPr>
              <w:t>a</w:t>
            </w:r>
          </w:p>
        </w:tc>
        <w:tc>
          <w:tcPr>
            <w:tcW w:w="1075" w:type="dxa"/>
            <w:vAlign w:val="center"/>
          </w:tcPr>
          <w:p w14:paraId="18ABFFC7" w14:textId="7C692C37"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4"/>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4"/>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198026F9" w14:textId="6AFDF632"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60"/>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60"/>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6463E257" w14:textId="502E6265"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9"/>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9"/>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66EF132C" w14:textId="6AD1313C"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8"/>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8"/>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7CBF6A94" w14:textId="11F37201"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7"/>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7"/>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5668A9AC" w14:textId="40331A9B"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6"/>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6"/>
                <w:lang w:eastAsia="en-US"/>
                <w14:textFill>
                  <w14:solidFill>
                    <w14:srgbClr w14:val="000000">
                      <w14:alpha w14:val="100000"/>
                    </w14:srgbClr>
                  </w14:solidFill>
                </w14:textFill>
              </w:rPr>
              <w:t>|</w:t>
            </w:r>
            <w:r w:rsidR="00B2292B">
              <w:rPr>
                <w:b w:val="0"/>
                <w:bCs/>
                <w:vertAlign w:val="superscript"/>
                <w:lang w:eastAsia="en-US"/>
              </w:rPr>
              <w:t>8</w:t>
            </w:r>
          </w:p>
        </w:tc>
      </w:tr>
      <w:tr w:rsidR="00DF02BC" w:rsidRPr="00C52646" w14:paraId="5256844D" w14:textId="77777777" w:rsidTr="00766516">
        <w:tc>
          <w:tcPr>
            <w:tcW w:w="9017" w:type="dxa"/>
            <w:gridSpan w:val="7"/>
          </w:tcPr>
          <w:p w14:paraId="6AE0EFA5" w14:textId="77777777" w:rsidR="00DF02BC" w:rsidRPr="00C52646" w:rsidRDefault="00DF02BC">
            <w:pPr>
              <w:pStyle w:val="TableHeading"/>
              <w:spacing w:before="0" w:after="0" w:line="240" w:lineRule="auto"/>
            </w:pPr>
            <w:r w:rsidRPr="00C52646">
              <w:rPr>
                <w:lang w:eastAsia="en-US"/>
              </w:rPr>
              <w:t>Net financial implications</w:t>
            </w:r>
          </w:p>
        </w:tc>
      </w:tr>
      <w:tr w:rsidR="00DF02BC" w:rsidRPr="00C52646" w14:paraId="5AAB8179" w14:textId="77777777" w:rsidTr="00766516">
        <w:tc>
          <w:tcPr>
            <w:tcW w:w="2562" w:type="dxa"/>
          </w:tcPr>
          <w:p w14:paraId="5C1E6572" w14:textId="77777777" w:rsidR="00DF02BC" w:rsidRPr="00C52646" w:rsidRDefault="00DF02BC">
            <w:pPr>
              <w:pStyle w:val="TableHeading"/>
              <w:spacing w:before="0" w:after="0" w:line="240" w:lineRule="auto"/>
              <w:rPr>
                <w:b w:val="0"/>
                <w:bCs/>
              </w:rPr>
            </w:pPr>
            <w:r w:rsidRPr="00C52646">
              <w:rPr>
                <w:b w:val="0"/>
                <w:bCs/>
                <w:lang w:eastAsia="en-US"/>
              </w:rPr>
              <w:t xml:space="preserve">Net cost to the PBS/RPBS </w:t>
            </w:r>
          </w:p>
        </w:tc>
        <w:tc>
          <w:tcPr>
            <w:tcW w:w="1075" w:type="dxa"/>
            <w:vAlign w:val="center"/>
          </w:tcPr>
          <w:p w14:paraId="1526C0B3" w14:textId="26E43CB0"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5"/>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5"/>
                <w:lang w:eastAsia="en-US"/>
                <w14:textFill>
                  <w14:solidFill>
                    <w14:srgbClr w14:val="000000">
                      <w14:alpha w14:val="100000"/>
                    </w14:srgbClr>
                  </w14:solidFill>
                </w14:textFill>
              </w:rPr>
              <w:t>|</w:t>
            </w:r>
            <w:r w:rsidR="00B2292B">
              <w:rPr>
                <w:b w:val="0"/>
                <w:bCs/>
                <w:vertAlign w:val="superscript"/>
                <w:lang w:eastAsia="en-US"/>
              </w:rPr>
              <w:t>5</w:t>
            </w:r>
          </w:p>
        </w:tc>
        <w:tc>
          <w:tcPr>
            <w:tcW w:w="1076" w:type="dxa"/>
            <w:vAlign w:val="center"/>
          </w:tcPr>
          <w:p w14:paraId="0ABB574A" w14:textId="66A5711F"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4"/>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4"/>
                <w:lang w:eastAsia="en-US"/>
                <w14:textFill>
                  <w14:solidFill>
                    <w14:srgbClr w14:val="000000">
                      <w14:alpha w14:val="100000"/>
                    </w14:srgbClr>
                  </w14:solidFill>
                </w14:textFill>
              </w:rPr>
              <w:t>|</w:t>
            </w:r>
            <w:r w:rsidR="00B2292B">
              <w:rPr>
                <w:b w:val="0"/>
                <w:bCs/>
                <w:vertAlign w:val="superscript"/>
                <w:lang w:eastAsia="en-US"/>
              </w:rPr>
              <w:t>9</w:t>
            </w:r>
          </w:p>
        </w:tc>
        <w:tc>
          <w:tcPr>
            <w:tcW w:w="1076" w:type="dxa"/>
            <w:vAlign w:val="center"/>
          </w:tcPr>
          <w:p w14:paraId="50107791" w14:textId="7903A56E"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3"/>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3"/>
                <w:lang w:eastAsia="en-US"/>
                <w14:textFill>
                  <w14:solidFill>
                    <w14:srgbClr w14:val="000000">
                      <w14:alpha w14:val="100000"/>
                    </w14:srgbClr>
                  </w14:solidFill>
                </w14:textFill>
              </w:rPr>
              <w:t>|</w:t>
            </w:r>
            <w:r w:rsidR="00B2292B">
              <w:rPr>
                <w:b w:val="0"/>
                <w:bCs/>
                <w:vertAlign w:val="superscript"/>
                <w:lang w:eastAsia="en-US"/>
              </w:rPr>
              <w:t>6</w:t>
            </w:r>
          </w:p>
        </w:tc>
        <w:tc>
          <w:tcPr>
            <w:tcW w:w="1076" w:type="dxa"/>
            <w:vAlign w:val="center"/>
          </w:tcPr>
          <w:p w14:paraId="22C7CCAB" w14:textId="6618631B"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2"/>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2"/>
                <w:lang w:eastAsia="en-US"/>
                <w14:textFill>
                  <w14:solidFill>
                    <w14:srgbClr w14:val="000000">
                      <w14:alpha w14:val="100000"/>
                    </w14:srgbClr>
                  </w14:solidFill>
                </w14:textFill>
              </w:rPr>
              <w:t>|</w:t>
            </w:r>
            <w:r w:rsidR="00B2292B">
              <w:rPr>
                <w:b w:val="0"/>
                <w:bCs/>
                <w:vertAlign w:val="superscript"/>
                <w:lang w:eastAsia="en-US"/>
              </w:rPr>
              <w:t>6</w:t>
            </w:r>
          </w:p>
        </w:tc>
        <w:tc>
          <w:tcPr>
            <w:tcW w:w="1076" w:type="dxa"/>
            <w:vAlign w:val="center"/>
          </w:tcPr>
          <w:p w14:paraId="6603918A" w14:textId="0A3C7880"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1"/>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1"/>
                <w:lang w:eastAsia="en-US"/>
                <w14:textFill>
                  <w14:solidFill>
                    <w14:srgbClr w14:val="000000">
                      <w14:alpha w14:val="100000"/>
                    </w14:srgbClr>
                  </w14:solidFill>
                </w14:textFill>
              </w:rPr>
              <w:t>|</w:t>
            </w:r>
            <w:r w:rsidR="00B2292B">
              <w:rPr>
                <w:b w:val="0"/>
                <w:bCs/>
                <w:vertAlign w:val="superscript"/>
                <w:lang w:eastAsia="en-US"/>
              </w:rPr>
              <w:t>6</w:t>
            </w:r>
          </w:p>
        </w:tc>
        <w:tc>
          <w:tcPr>
            <w:tcW w:w="1076" w:type="dxa"/>
            <w:vAlign w:val="center"/>
          </w:tcPr>
          <w:p w14:paraId="31F337AC" w14:textId="54DADCDA"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0"/>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0"/>
                <w:lang w:eastAsia="en-US"/>
                <w14:textFill>
                  <w14:solidFill>
                    <w14:srgbClr w14:val="000000">
                      <w14:alpha w14:val="100000"/>
                    </w14:srgbClr>
                  </w14:solidFill>
                </w14:textFill>
              </w:rPr>
              <w:t>|</w:t>
            </w:r>
            <w:r w:rsidR="00B2292B">
              <w:rPr>
                <w:b w:val="0"/>
                <w:bCs/>
                <w:vertAlign w:val="superscript"/>
                <w:lang w:eastAsia="en-US"/>
              </w:rPr>
              <w:t>6</w:t>
            </w:r>
          </w:p>
        </w:tc>
      </w:tr>
      <w:tr w:rsidR="00DF02BC" w:rsidRPr="00C52646" w14:paraId="701E7E93" w14:textId="77777777" w:rsidTr="00766516">
        <w:tc>
          <w:tcPr>
            <w:tcW w:w="2562" w:type="dxa"/>
          </w:tcPr>
          <w:p w14:paraId="0092DD72" w14:textId="77777777" w:rsidR="00DF02BC" w:rsidRPr="00C52646" w:rsidRDefault="00DF02BC">
            <w:pPr>
              <w:pStyle w:val="TableHeading"/>
              <w:spacing w:before="0" w:after="0" w:line="240" w:lineRule="auto"/>
              <w:rPr>
                <w:b w:val="0"/>
                <w:bCs/>
              </w:rPr>
            </w:pPr>
            <w:r w:rsidRPr="00C52646">
              <w:rPr>
                <w:b w:val="0"/>
                <w:bCs/>
                <w:lang w:eastAsia="en-US"/>
              </w:rPr>
              <w:t>Net saving to MBS</w:t>
            </w:r>
            <w:r w:rsidRPr="00C52646">
              <w:rPr>
                <w:b w:val="0"/>
                <w:bCs/>
                <w:vertAlign w:val="superscript"/>
                <w:lang w:eastAsia="en-US"/>
              </w:rPr>
              <w:t>b</w:t>
            </w:r>
          </w:p>
        </w:tc>
        <w:tc>
          <w:tcPr>
            <w:tcW w:w="1075" w:type="dxa"/>
            <w:vAlign w:val="center"/>
          </w:tcPr>
          <w:p w14:paraId="1D4613C4" w14:textId="4CCE6DE1"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9"/>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9"/>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24710645" w14:textId="375455D1"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8"/>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8"/>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1F0A4FA9" w14:textId="2A79F45F"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7"/>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7"/>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699EC645" w14:textId="743B90A4"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6"/>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6"/>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0B292C49" w14:textId="0F00AD34"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5"/>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5"/>
                <w:lang w:eastAsia="en-US"/>
                <w14:textFill>
                  <w14:solidFill>
                    <w14:srgbClr w14:val="000000">
                      <w14:alpha w14:val="100000"/>
                    </w14:srgbClr>
                  </w14:solidFill>
                </w14:textFill>
              </w:rPr>
              <w:t>|</w:t>
            </w:r>
            <w:r w:rsidR="00B2292B">
              <w:rPr>
                <w:b w:val="0"/>
                <w:bCs/>
                <w:vertAlign w:val="superscript"/>
                <w:lang w:eastAsia="en-US"/>
              </w:rPr>
              <w:t>8</w:t>
            </w:r>
          </w:p>
        </w:tc>
        <w:tc>
          <w:tcPr>
            <w:tcW w:w="1076" w:type="dxa"/>
            <w:vAlign w:val="center"/>
          </w:tcPr>
          <w:p w14:paraId="459494D5" w14:textId="03B59B93"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44"/>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44"/>
                <w:lang w:eastAsia="en-US"/>
                <w14:textFill>
                  <w14:solidFill>
                    <w14:srgbClr w14:val="000000">
                      <w14:alpha w14:val="100000"/>
                    </w14:srgbClr>
                  </w14:solidFill>
                </w14:textFill>
              </w:rPr>
              <w:t>|</w:t>
            </w:r>
            <w:r w:rsidR="00B2292B">
              <w:rPr>
                <w:b w:val="0"/>
                <w:bCs/>
                <w:vertAlign w:val="superscript"/>
                <w:lang w:eastAsia="en-US"/>
              </w:rPr>
              <w:t>8</w:t>
            </w:r>
          </w:p>
        </w:tc>
      </w:tr>
      <w:tr w:rsidR="00DF02BC" w:rsidRPr="00C52646" w14:paraId="2DF6D95A" w14:textId="77777777" w:rsidTr="00766516">
        <w:tc>
          <w:tcPr>
            <w:tcW w:w="2562" w:type="dxa"/>
          </w:tcPr>
          <w:p w14:paraId="5CEACD61" w14:textId="66A46465" w:rsidR="00DF02BC" w:rsidRPr="00C52646" w:rsidRDefault="00DF02BC">
            <w:pPr>
              <w:pStyle w:val="TableHeading"/>
              <w:spacing w:before="0" w:after="0" w:line="240" w:lineRule="auto"/>
              <w:rPr>
                <w:b w:val="0"/>
                <w:bCs/>
              </w:rPr>
            </w:pPr>
            <w:r w:rsidRPr="00C52646">
              <w:rPr>
                <w:b w:val="0"/>
                <w:bCs/>
                <w:lang w:eastAsia="en-US"/>
              </w:rPr>
              <w:t xml:space="preserve">Net cost to </w:t>
            </w:r>
            <w:r w:rsidR="00FD6F93">
              <w:rPr>
                <w:b w:val="0"/>
                <w:bCs/>
                <w:lang w:eastAsia="en-US"/>
              </w:rPr>
              <w:t>PBS/RPBS + MBS</w:t>
            </w:r>
          </w:p>
        </w:tc>
        <w:tc>
          <w:tcPr>
            <w:tcW w:w="1075" w:type="dxa"/>
            <w:vAlign w:val="center"/>
          </w:tcPr>
          <w:p w14:paraId="36D5E55F" w14:textId="5CD858B0"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60"/>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60"/>
                <w:lang w:eastAsia="en-US"/>
                <w14:textFill>
                  <w14:solidFill>
                    <w14:srgbClr w14:val="000000">
                      <w14:alpha w14:val="100000"/>
                    </w14:srgbClr>
                  </w14:solidFill>
                </w14:textFill>
              </w:rPr>
              <w:t>|</w:t>
            </w:r>
            <w:r w:rsidR="00B2292B">
              <w:rPr>
                <w:b w:val="0"/>
                <w:bCs/>
                <w:vertAlign w:val="superscript"/>
                <w:lang w:eastAsia="en-US"/>
              </w:rPr>
              <w:t>5</w:t>
            </w:r>
          </w:p>
        </w:tc>
        <w:tc>
          <w:tcPr>
            <w:tcW w:w="1076" w:type="dxa"/>
            <w:vAlign w:val="center"/>
          </w:tcPr>
          <w:p w14:paraId="46CD2CE7" w14:textId="0809DCA8"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9"/>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9"/>
                <w:lang w:eastAsia="en-US"/>
                <w14:textFill>
                  <w14:solidFill>
                    <w14:srgbClr w14:val="000000">
                      <w14:alpha w14:val="100000"/>
                    </w14:srgbClr>
                  </w14:solidFill>
                </w14:textFill>
              </w:rPr>
              <w:t>|</w:t>
            </w:r>
            <w:r w:rsidR="00B2292B">
              <w:rPr>
                <w:b w:val="0"/>
                <w:bCs/>
                <w:vertAlign w:val="superscript"/>
                <w:lang w:eastAsia="en-US"/>
              </w:rPr>
              <w:t>9</w:t>
            </w:r>
          </w:p>
        </w:tc>
        <w:tc>
          <w:tcPr>
            <w:tcW w:w="1076" w:type="dxa"/>
            <w:vAlign w:val="center"/>
          </w:tcPr>
          <w:p w14:paraId="48406705" w14:textId="5E395218"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8"/>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8"/>
                <w:lang w:eastAsia="en-US"/>
                <w14:textFill>
                  <w14:solidFill>
                    <w14:srgbClr w14:val="000000">
                      <w14:alpha w14:val="100000"/>
                    </w14:srgbClr>
                  </w14:solidFill>
                </w14:textFill>
              </w:rPr>
              <w:t>|</w:t>
            </w:r>
            <w:r w:rsidR="00B2292B">
              <w:rPr>
                <w:b w:val="0"/>
                <w:bCs/>
                <w:vertAlign w:val="superscript"/>
                <w:lang w:eastAsia="en-US"/>
              </w:rPr>
              <w:t>6</w:t>
            </w:r>
          </w:p>
        </w:tc>
        <w:tc>
          <w:tcPr>
            <w:tcW w:w="1076" w:type="dxa"/>
            <w:vAlign w:val="center"/>
          </w:tcPr>
          <w:p w14:paraId="69BD0122" w14:textId="373B2BE1"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7"/>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7"/>
                <w:lang w:eastAsia="en-US"/>
                <w14:textFill>
                  <w14:solidFill>
                    <w14:srgbClr w14:val="000000">
                      <w14:alpha w14:val="100000"/>
                    </w14:srgbClr>
                  </w14:solidFill>
                </w14:textFill>
              </w:rPr>
              <w:t>|</w:t>
            </w:r>
            <w:r w:rsidR="00B2292B">
              <w:rPr>
                <w:b w:val="0"/>
                <w:bCs/>
                <w:vertAlign w:val="superscript"/>
                <w:lang w:eastAsia="en-US"/>
              </w:rPr>
              <w:t>6</w:t>
            </w:r>
          </w:p>
        </w:tc>
        <w:tc>
          <w:tcPr>
            <w:tcW w:w="1076" w:type="dxa"/>
            <w:vAlign w:val="center"/>
          </w:tcPr>
          <w:p w14:paraId="12E158C9" w14:textId="315F6144"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6"/>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6"/>
                <w:lang w:eastAsia="en-US"/>
                <w14:textFill>
                  <w14:solidFill>
                    <w14:srgbClr w14:val="000000">
                      <w14:alpha w14:val="100000"/>
                    </w14:srgbClr>
                  </w14:solidFill>
                </w14:textFill>
              </w:rPr>
              <w:t>|</w:t>
            </w:r>
            <w:r w:rsidR="00B2292B">
              <w:rPr>
                <w:b w:val="0"/>
                <w:bCs/>
                <w:vertAlign w:val="superscript"/>
                <w:lang w:eastAsia="en-US"/>
              </w:rPr>
              <w:t>6</w:t>
            </w:r>
          </w:p>
        </w:tc>
        <w:tc>
          <w:tcPr>
            <w:tcW w:w="1076" w:type="dxa"/>
            <w:vAlign w:val="center"/>
          </w:tcPr>
          <w:p w14:paraId="6A17CBEB" w14:textId="1A49EAC4" w:rsidR="00DF02BC" w:rsidRPr="0056512C" w:rsidRDefault="00DF02BC">
            <w:pPr>
              <w:pStyle w:val="TableHeading"/>
              <w:spacing w:before="0" w:after="0" w:line="240" w:lineRule="auto"/>
              <w:jc w:val="center"/>
              <w:rPr>
                <w:b w:val="0"/>
                <w:bCs/>
                <w:vertAlign w:val="superscript"/>
              </w:rPr>
            </w:pPr>
            <w:r w:rsidRPr="00C52646">
              <w:rPr>
                <w:b w:val="0"/>
                <w:bCs/>
                <w:lang w:eastAsia="en-US"/>
              </w:rPr>
              <w:t>$</w:t>
            </w:r>
            <w:r w:rsidR="00C52D99" w:rsidRPr="00120BCB">
              <w:rPr>
                <w:b w:val="0"/>
                <w:bCs/>
                <w:color w:val="000000"/>
                <w:spacing w:val="76"/>
                <w:shd w:val="solid" w:color="000000" w:fill="000000"/>
                <w:fitText w:val="400" w:id="-1280060155"/>
                <w:lang w:eastAsia="en-US"/>
                <w14:textFill>
                  <w14:solidFill>
                    <w14:srgbClr w14:val="000000">
                      <w14:alpha w14:val="100000"/>
                    </w14:srgbClr>
                  </w14:solidFill>
                </w14:textFill>
              </w:rPr>
              <w:t>|||</w:t>
            </w:r>
            <w:r w:rsidR="00C52D99" w:rsidRPr="00120BCB">
              <w:rPr>
                <w:b w:val="0"/>
                <w:bCs/>
                <w:color w:val="000000"/>
                <w:spacing w:val="2"/>
                <w:shd w:val="solid" w:color="000000" w:fill="000000"/>
                <w:fitText w:val="400" w:id="-1280060155"/>
                <w:lang w:eastAsia="en-US"/>
                <w14:textFill>
                  <w14:solidFill>
                    <w14:srgbClr w14:val="000000">
                      <w14:alpha w14:val="100000"/>
                    </w14:srgbClr>
                  </w14:solidFill>
                </w14:textFill>
              </w:rPr>
              <w:t>|</w:t>
            </w:r>
            <w:r w:rsidR="00B2292B">
              <w:rPr>
                <w:b w:val="0"/>
                <w:bCs/>
                <w:vertAlign w:val="superscript"/>
                <w:lang w:eastAsia="en-US"/>
              </w:rPr>
              <w:t>6</w:t>
            </w:r>
          </w:p>
        </w:tc>
      </w:tr>
      <w:tr w:rsidR="00766516" w:rsidRPr="00C52646" w14:paraId="4DAEC7B2" w14:textId="77777777" w:rsidTr="00230B18">
        <w:tc>
          <w:tcPr>
            <w:tcW w:w="9017" w:type="dxa"/>
            <w:gridSpan w:val="7"/>
          </w:tcPr>
          <w:p w14:paraId="6C85377E" w14:textId="36A29F81" w:rsidR="00766516" w:rsidRPr="00990CDE" w:rsidRDefault="00766516" w:rsidP="00766516">
            <w:pPr>
              <w:pStyle w:val="TableHeading"/>
              <w:spacing w:before="0" w:after="0" w:line="240" w:lineRule="auto"/>
              <w:rPr>
                <w:lang w:eastAsia="en-US"/>
              </w:rPr>
            </w:pPr>
            <w:r w:rsidRPr="00990CDE">
              <w:rPr>
                <w:lang w:eastAsia="en-US"/>
              </w:rPr>
              <w:t>Pre-PBAC response</w:t>
            </w:r>
          </w:p>
        </w:tc>
      </w:tr>
      <w:tr w:rsidR="00074A72" w:rsidRPr="00C52646" w14:paraId="763B1BF3" w14:textId="77777777" w:rsidTr="00990CDE">
        <w:tc>
          <w:tcPr>
            <w:tcW w:w="2562" w:type="dxa"/>
          </w:tcPr>
          <w:p w14:paraId="30616BFE" w14:textId="341273B4" w:rsidR="00074A72" w:rsidRPr="00C52646" w:rsidRDefault="00074A72" w:rsidP="00074A72">
            <w:pPr>
              <w:pStyle w:val="TableHeading"/>
              <w:spacing w:before="0" w:after="0" w:line="240" w:lineRule="auto"/>
              <w:rPr>
                <w:b w:val="0"/>
                <w:bCs/>
                <w:lang w:eastAsia="en-US"/>
              </w:rPr>
            </w:pPr>
            <w:r w:rsidRPr="00C52646">
              <w:rPr>
                <w:b w:val="0"/>
                <w:bCs/>
                <w:lang w:eastAsia="en-US"/>
              </w:rPr>
              <w:t>Net cost to the PBS/RPBS</w:t>
            </w:r>
          </w:p>
        </w:tc>
        <w:tc>
          <w:tcPr>
            <w:tcW w:w="1075" w:type="dxa"/>
          </w:tcPr>
          <w:p w14:paraId="2478B988" w14:textId="3E1CBBAA" w:rsidR="00074A72" w:rsidRPr="0056512C" w:rsidRDefault="00074A72" w:rsidP="00074A72">
            <w:pPr>
              <w:pStyle w:val="TableHeading"/>
              <w:spacing w:before="0" w:after="0" w:line="240" w:lineRule="auto"/>
              <w:jc w:val="center"/>
              <w:rPr>
                <w:b w:val="0"/>
                <w:bCs/>
                <w:vertAlign w:val="superscript"/>
                <w:lang w:eastAsia="en-US"/>
              </w:rPr>
            </w:pPr>
            <w:r w:rsidRPr="00990CDE">
              <w:rPr>
                <w:b w:val="0"/>
                <w:bCs/>
              </w:rPr>
              <w:t>$</w:t>
            </w:r>
            <w:r w:rsidR="00C52D99" w:rsidRPr="00120BCB">
              <w:rPr>
                <w:b w:val="0"/>
                <w:bCs/>
                <w:color w:val="000000"/>
                <w:spacing w:val="76"/>
                <w:shd w:val="solid" w:color="000000" w:fill="000000"/>
                <w:fitText w:val="400" w:id="-1280060154"/>
                <w14:textFill>
                  <w14:solidFill>
                    <w14:srgbClr w14:val="000000">
                      <w14:alpha w14:val="100000"/>
                    </w14:srgbClr>
                  </w14:solidFill>
                </w14:textFill>
              </w:rPr>
              <w:t>|||</w:t>
            </w:r>
            <w:r w:rsidR="00C52D99" w:rsidRPr="00120BCB">
              <w:rPr>
                <w:b w:val="0"/>
                <w:bCs/>
                <w:color w:val="000000"/>
                <w:spacing w:val="2"/>
                <w:shd w:val="solid" w:color="000000" w:fill="000000"/>
                <w:fitText w:val="400" w:id="-1280060154"/>
                <w14:textFill>
                  <w14:solidFill>
                    <w14:srgbClr w14:val="000000">
                      <w14:alpha w14:val="100000"/>
                    </w14:srgbClr>
                  </w14:solidFill>
                </w14:textFill>
              </w:rPr>
              <w:t>|</w:t>
            </w:r>
            <w:r w:rsidR="00B2292B">
              <w:rPr>
                <w:b w:val="0"/>
                <w:bCs/>
                <w:vertAlign w:val="superscript"/>
              </w:rPr>
              <w:t>5</w:t>
            </w:r>
          </w:p>
        </w:tc>
        <w:tc>
          <w:tcPr>
            <w:tcW w:w="1076" w:type="dxa"/>
          </w:tcPr>
          <w:p w14:paraId="46724A1B" w14:textId="45F7286E" w:rsidR="00074A72" w:rsidRPr="0056512C" w:rsidRDefault="00074A72" w:rsidP="00074A72">
            <w:pPr>
              <w:pStyle w:val="TableHeading"/>
              <w:spacing w:before="0" w:after="0" w:line="240" w:lineRule="auto"/>
              <w:jc w:val="center"/>
              <w:rPr>
                <w:b w:val="0"/>
                <w:bCs/>
                <w:vertAlign w:val="superscript"/>
                <w:lang w:eastAsia="en-US"/>
              </w:rPr>
            </w:pPr>
            <w:r w:rsidRPr="00990CDE">
              <w:rPr>
                <w:b w:val="0"/>
                <w:bCs/>
              </w:rPr>
              <w:t>$</w:t>
            </w:r>
            <w:r w:rsidR="00C52D99" w:rsidRPr="00120BCB">
              <w:rPr>
                <w:b w:val="0"/>
                <w:bCs/>
                <w:color w:val="000000"/>
                <w:spacing w:val="76"/>
                <w:shd w:val="solid" w:color="000000" w:fill="000000"/>
                <w:fitText w:val="400" w:id="-1280060153"/>
                <w14:textFill>
                  <w14:solidFill>
                    <w14:srgbClr w14:val="000000">
                      <w14:alpha w14:val="100000"/>
                    </w14:srgbClr>
                  </w14:solidFill>
                </w14:textFill>
              </w:rPr>
              <w:t>|||</w:t>
            </w:r>
            <w:r w:rsidR="00C52D99" w:rsidRPr="00120BCB">
              <w:rPr>
                <w:b w:val="0"/>
                <w:bCs/>
                <w:color w:val="000000"/>
                <w:spacing w:val="2"/>
                <w:shd w:val="solid" w:color="000000" w:fill="000000"/>
                <w:fitText w:val="400" w:id="-1280060153"/>
                <w14:textFill>
                  <w14:solidFill>
                    <w14:srgbClr w14:val="000000">
                      <w14:alpha w14:val="100000"/>
                    </w14:srgbClr>
                  </w14:solidFill>
                </w14:textFill>
              </w:rPr>
              <w:t>|</w:t>
            </w:r>
            <w:r w:rsidR="00B2292B">
              <w:rPr>
                <w:b w:val="0"/>
                <w:bCs/>
                <w:vertAlign w:val="superscript"/>
              </w:rPr>
              <w:t>9</w:t>
            </w:r>
          </w:p>
        </w:tc>
        <w:tc>
          <w:tcPr>
            <w:tcW w:w="1076" w:type="dxa"/>
          </w:tcPr>
          <w:p w14:paraId="2991D463" w14:textId="592FF16C" w:rsidR="00074A72" w:rsidRPr="0056512C" w:rsidRDefault="00074A72" w:rsidP="00074A72">
            <w:pPr>
              <w:pStyle w:val="TableHeading"/>
              <w:spacing w:before="0" w:after="0" w:line="240" w:lineRule="auto"/>
              <w:jc w:val="center"/>
              <w:rPr>
                <w:b w:val="0"/>
                <w:bCs/>
                <w:vertAlign w:val="superscript"/>
                <w:lang w:eastAsia="en-US"/>
              </w:rPr>
            </w:pPr>
            <w:r w:rsidRPr="00990CDE">
              <w:rPr>
                <w:b w:val="0"/>
                <w:bCs/>
              </w:rPr>
              <w:t>$</w:t>
            </w:r>
            <w:r w:rsidR="00C52D99" w:rsidRPr="00120BCB">
              <w:rPr>
                <w:b w:val="0"/>
                <w:bCs/>
                <w:color w:val="000000"/>
                <w:spacing w:val="76"/>
                <w:shd w:val="solid" w:color="000000" w:fill="000000"/>
                <w:fitText w:val="400" w:id="-1280060152"/>
                <w14:textFill>
                  <w14:solidFill>
                    <w14:srgbClr w14:val="000000">
                      <w14:alpha w14:val="100000"/>
                    </w14:srgbClr>
                  </w14:solidFill>
                </w14:textFill>
              </w:rPr>
              <w:t>|||</w:t>
            </w:r>
            <w:r w:rsidR="00C52D99" w:rsidRPr="00120BCB">
              <w:rPr>
                <w:b w:val="0"/>
                <w:bCs/>
                <w:color w:val="000000"/>
                <w:spacing w:val="2"/>
                <w:shd w:val="solid" w:color="000000" w:fill="000000"/>
                <w:fitText w:val="400" w:id="-1280060152"/>
                <w14:textFill>
                  <w14:solidFill>
                    <w14:srgbClr w14:val="000000">
                      <w14:alpha w14:val="100000"/>
                    </w14:srgbClr>
                  </w14:solidFill>
                </w14:textFill>
              </w:rPr>
              <w:t>|</w:t>
            </w:r>
            <w:r w:rsidR="00B2292B">
              <w:rPr>
                <w:b w:val="0"/>
                <w:bCs/>
                <w:vertAlign w:val="superscript"/>
              </w:rPr>
              <w:t>9</w:t>
            </w:r>
          </w:p>
        </w:tc>
        <w:tc>
          <w:tcPr>
            <w:tcW w:w="1076" w:type="dxa"/>
          </w:tcPr>
          <w:p w14:paraId="5A8DA6FD" w14:textId="4BFCB0D3" w:rsidR="00074A72" w:rsidRPr="0056512C" w:rsidRDefault="00074A72" w:rsidP="00074A72">
            <w:pPr>
              <w:pStyle w:val="TableHeading"/>
              <w:spacing w:before="0" w:after="0" w:line="240" w:lineRule="auto"/>
              <w:jc w:val="center"/>
              <w:rPr>
                <w:b w:val="0"/>
                <w:bCs/>
                <w:vertAlign w:val="superscript"/>
                <w:lang w:eastAsia="en-US"/>
              </w:rPr>
            </w:pPr>
            <w:r w:rsidRPr="00990CDE">
              <w:rPr>
                <w:b w:val="0"/>
                <w:bCs/>
              </w:rPr>
              <w:t>$</w:t>
            </w:r>
            <w:r w:rsidR="00C52D99" w:rsidRPr="00120BCB">
              <w:rPr>
                <w:b w:val="0"/>
                <w:bCs/>
                <w:color w:val="000000"/>
                <w:spacing w:val="76"/>
                <w:shd w:val="solid" w:color="000000" w:fill="000000"/>
                <w:fitText w:val="400" w:id="-1280060151"/>
                <w14:textFill>
                  <w14:solidFill>
                    <w14:srgbClr w14:val="000000">
                      <w14:alpha w14:val="100000"/>
                    </w14:srgbClr>
                  </w14:solidFill>
                </w14:textFill>
              </w:rPr>
              <w:t>|||</w:t>
            </w:r>
            <w:r w:rsidR="00C52D99" w:rsidRPr="00120BCB">
              <w:rPr>
                <w:b w:val="0"/>
                <w:bCs/>
                <w:color w:val="000000"/>
                <w:spacing w:val="2"/>
                <w:shd w:val="solid" w:color="000000" w:fill="000000"/>
                <w:fitText w:val="400" w:id="-1280060151"/>
                <w14:textFill>
                  <w14:solidFill>
                    <w14:srgbClr w14:val="000000">
                      <w14:alpha w14:val="100000"/>
                    </w14:srgbClr>
                  </w14:solidFill>
                </w14:textFill>
              </w:rPr>
              <w:t>|</w:t>
            </w:r>
            <w:r w:rsidR="00B2292B">
              <w:rPr>
                <w:b w:val="0"/>
                <w:bCs/>
                <w:vertAlign w:val="superscript"/>
              </w:rPr>
              <w:t>9</w:t>
            </w:r>
          </w:p>
        </w:tc>
        <w:tc>
          <w:tcPr>
            <w:tcW w:w="1076" w:type="dxa"/>
          </w:tcPr>
          <w:p w14:paraId="074C2DA0" w14:textId="326102C2" w:rsidR="00074A72" w:rsidRPr="0056512C" w:rsidRDefault="00074A72" w:rsidP="00074A72">
            <w:pPr>
              <w:pStyle w:val="TableHeading"/>
              <w:spacing w:before="0" w:after="0" w:line="240" w:lineRule="auto"/>
              <w:jc w:val="center"/>
              <w:rPr>
                <w:b w:val="0"/>
                <w:bCs/>
                <w:vertAlign w:val="superscript"/>
                <w:lang w:eastAsia="en-US"/>
              </w:rPr>
            </w:pPr>
            <w:r w:rsidRPr="00990CDE">
              <w:rPr>
                <w:b w:val="0"/>
                <w:bCs/>
              </w:rPr>
              <w:t>$</w:t>
            </w:r>
            <w:r w:rsidR="00C52D99" w:rsidRPr="00120BCB">
              <w:rPr>
                <w:b w:val="0"/>
                <w:bCs/>
                <w:color w:val="000000"/>
                <w:spacing w:val="76"/>
                <w:shd w:val="solid" w:color="000000" w:fill="000000"/>
                <w:fitText w:val="400" w:id="-1280060150"/>
                <w14:textFill>
                  <w14:solidFill>
                    <w14:srgbClr w14:val="000000">
                      <w14:alpha w14:val="100000"/>
                    </w14:srgbClr>
                  </w14:solidFill>
                </w14:textFill>
              </w:rPr>
              <w:t>|||</w:t>
            </w:r>
            <w:r w:rsidR="00C52D99" w:rsidRPr="00120BCB">
              <w:rPr>
                <w:b w:val="0"/>
                <w:bCs/>
                <w:color w:val="000000"/>
                <w:spacing w:val="2"/>
                <w:shd w:val="solid" w:color="000000" w:fill="000000"/>
                <w:fitText w:val="400" w:id="-1280060150"/>
                <w14:textFill>
                  <w14:solidFill>
                    <w14:srgbClr w14:val="000000">
                      <w14:alpha w14:val="100000"/>
                    </w14:srgbClr>
                  </w14:solidFill>
                </w14:textFill>
              </w:rPr>
              <w:t>|</w:t>
            </w:r>
            <w:r w:rsidR="00B2292B">
              <w:rPr>
                <w:b w:val="0"/>
                <w:bCs/>
                <w:vertAlign w:val="superscript"/>
              </w:rPr>
              <w:t>6</w:t>
            </w:r>
          </w:p>
        </w:tc>
        <w:tc>
          <w:tcPr>
            <w:tcW w:w="1076" w:type="dxa"/>
          </w:tcPr>
          <w:p w14:paraId="107F1451" w14:textId="606FA7E7" w:rsidR="00074A72" w:rsidRPr="0056512C" w:rsidRDefault="00074A72" w:rsidP="00074A72">
            <w:pPr>
              <w:pStyle w:val="TableHeading"/>
              <w:spacing w:before="0" w:after="0" w:line="240" w:lineRule="auto"/>
              <w:jc w:val="center"/>
              <w:rPr>
                <w:b w:val="0"/>
                <w:bCs/>
                <w:vertAlign w:val="superscript"/>
                <w:lang w:eastAsia="en-US"/>
              </w:rPr>
            </w:pPr>
            <w:r w:rsidRPr="00990CDE">
              <w:rPr>
                <w:b w:val="0"/>
                <w:bCs/>
              </w:rPr>
              <w:t>$</w:t>
            </w:r>
            <w:r w:rsidR="00C52D99" w:rsidRPr="00120BCB">
              <w:rPr>
                <w:b w:val="0"/>
                <w:bCs/>
                <w:color w:val="000000"/>
                <w:spacing w:val="76"/>
                <w:shd w:val="solid" w:color="000000" w:fill="000000"/>
                <w:fitText w:val="400" w:id="-1280060149"/>
                <w14:textFill>
                  <w14:solidFill>
                    <w14:srgbClr w14:val="000000">
                      <w14:alpha w14:val="100000"/>
                    </w14:srgbClr>
                  </w14:solidFill>
                </w14:textFill>
              </w:rPr>
              <w:t>|||</w:t>
            </w:r>
            <w:r w:rsidR="00C52D99" w:rsidRPr="00120BCB">
              <w:rPr>
                <w:b w:val="0"/>
                <w:bCs/>
                <w:color w:val="000000"/>
                <w:spacing w:val="2"/>
                <w:shd w:val="solid" w:color="000000" w:fill="000000"/>
                <w:fitText w:val="400" w:id="-1280060149"/>
                <w14:textFill>
                  <w14:solidFill>
                    <w14:srgbClr w14:val="000000">
                      <w14:alpha w14:val="100000"/>
                    </w14:srgbClr>
                  </w14:solidFill>
                </w14:textFill>
              </w:rPr>
              <w:t>|</w:t>
            </w:r>
            <w:r w:rsidR="00B2292B">
              <w:rPr>
                <w:b w:val="0"/>
                <w:bCs/>
                <w:vertAlign w:val="superscript"/>
              </w:rPr>
              <w:t>6</w:t>
            </w:r>
          </w:p>
        </w:tc>
      </w:tr>
    </w:tbl>
    <w:p w14:paraId="71FD2982" w14:textId="2813485F" w:rsidR="00DF02BC" w:rsidRPr="00C52646" w:rsidRDefault="00DF02BC" w:rsidP="00DF02BC">
      <w:pPr>
        <w:pStyle w:val="COMTablefooter"/>
        <w:rPr>
          <w:rFonts w:eastAsiaTheme="minorHAnsi" w:cs="Times New Roman"/>
          <w:sz w:val="20"/>
          <w:szCs w:val="20"/>
        </w:rPr>
      </w:pPr>
      <w:r w:rsidRPr="00C52646">
        <w:t>Source: Financial impacts Excel workbook, Attachment 4.4 of the submission</w:t>
      </w:r>
      <w:r w:rsidR="00074A72">
        <w:t xml:space="preserve">; and </w:t>
      </w:r>
      <w:r w:rsidR="00074A72" w:rsidRPr="00C52646">
        <w:t>Financial impacts Excel workbook,</w:t>
      </w:r>
      <w:r w:rsidR="00074A72">
        <w:t xml:space="preserve"> pre-PBAC response.</w:t>
      </w:r>
      <w:r w:rsidRPr="00C52646">
        <w:t xml:space="preserve"> </w:t>
      </w:r>
    </w:p>
    <w:p w14:paraId="182E5BF0" w14:textId="77777777" w:rsidR="00DF02BC" w:rsidRPr="00C52646" w:rsidRDefault="00DF02BC" w:rsidP="00DF02BC">
      <w:pPr>
        <w:pStyle w:val="COMTablefooter"/>
      </w:pPr>
      <w:r w:rsidRPr="00C52646">
        <w:t>Abbreviations: FCR, fludarabine + cyclophosphamide + rituximab; IBR, ibrutinib; MBS, Medicare Benefits Schedule; PBS, Pharmaceutical Benefits Scheme; RPBS, Repatriation Pharmaceutical Benefits Scheme; VEN, venetoclax.</w:t>
      </w:r>
    </w:p>
    <w:p w14:paraId="4589B578" w14:textId="77777777" w:rsidR="00DF02BC" w:rsidRPr="00C52646" w:rsidRDefault="00DF02BC" w:rsidP="00DF02BC">
      <w:pPr>
        <w:pStyle w:val="COMTablefooter"/>
      </w:pPr>
      <w:r w:rsidRPr="00C52646">
        <w:rPr>
          <w:vertAlign w:val="superscript"/>
        </w:rPr>
        <w:t>a</w:t>
      </w:r>
      <w:r w:rsidRPr="00C52646">
        <w:t xml:space="preserve"> Includes cost savings associated with displacement of fludarabine, cyclophosphamide and rituximab scripts, and additional costs associated with apixaban scripts for the management of atrial fibrillation. </w:t>
      </w:r>
    </w:p>
    <w:p w14:paraId="4F0387AC" w14:textId="6FE9BF42" w:rsidR="00DF02BC" w:rsidRDefault="00DF02BC" w:rsidP="00DF02BC">
      <w:pPr>
        <w:pStyle w:val="COMTablefooter"/>
      </w:pPr>
      <w:r w:rsidRPr="00C52646">
        <w:rPr>
          <w:vertAlign w:val="superscript"/>
        </w:rPr>
        <w:t>b</w:t>
      </w:r>
      <w:r w:rsidRPr="00C52646">
        <w:t xml:space="preserve"> Includes cost savings associated with a reduction in chemotherapy administrations, and additional costs associated with a baseline ECG for patients treated with ibrutinib + venetoclax.</w:t>
      </w:r>
    </w:p>
    <w:p w14:paraId="45D13F15" w14:textId="77777777" w:rsidR="000B077C" w:rsidRPr="00180E72" w:rsidRDefault="000B077C" w:rsidP="00180E72">
      <w:pPr>
        <w:pStyle w:val="TableFigureFooter"/>
        <w:rPr>
          <w:i/>
          <w:iCs/>
        </w:rPr>
      </w:pPr>
      <w:r w:rsidRPr="00180E72">
        <w:rPr>
          <w:i/>
          <w:iCs/>
        </w:rPr>
        <w:t xml:space="preserve">The redacted values correspond to the following ranges: </w:t>
      </w:r>
    </w:p>
    <w:p w14:paraId="31441008" w14:textId="21D89F30" w:rsidR="000B077C" w:rsidRPr="00180E72" w:rsidRDefault="000B077C" w:rsidP="00180E72">
      <w:pPr>
        <w:pStyle w:val="TableFigureFooter"/>
        <w:rPr>
          <w:i/>
          <w:iCs/>
          <w:color w:val="333333"/>
        </w:rPr>
      </w:pPr>
      <w:r w:rsidRPr="00180E72">
        <w:rPr>
          <w:i/>
          <w:iCs/>
          <w:color w:val="333333"/>
          <w:vertAlign w:val="superscript"/>
        </w:rPr>
        <w:t>1</w:t>
      </w:r>
      <w:r w:rsidRPr="00180E72">
        <w:rPr>
          <w:i/>
          <w:iCs/>
          <w:color w:val="333333"/>
        </w:rPr>
        <w:t>&lt; 500</w:t>
      </w:r>
    </w:p>
    <w:p w14:paraId="3A92FA80" w14:textId="4ACF6BE8" w:rsidR="000B077C" w:rsidRPr="00180E72" w:rsidRDefault="000B077C" w:rsidP="00180E72">
      <w:pPr>
        <w:pStyle w:val="TableFigureFooter"/>
        <w:rPr>
          <w:i/>
          <w:iCs/>
          <w:color w:val="333333"/>
        </w:rPr>
      </w:pPr>
      <w:r w:rsidRPr="00180E72">
        <w:rPr>
          <w:i/>
          <w:iCs/>
          <w:color w:val="333333"/>
          <w:vertAlign w:val="superscript"/>
        </w:rPr>
        <w:t>2</w:t>
      </w:r>
      <w:r w:rsidRPr="00180E72">
        <w:rPr>
          <w:i/>
          <w:iCs/>
          <w:color w:val="333333"/>
        </w:rPr>
        <w:t>500 to &lt; 5,000</w:t>
      </w:r>
    </w:p>
    <w:p w14:paraId="48990635" w14:textId="762A24FA" w:rsidR="000B077C" w:rsidRPr="00180E72" w:rsidRDefault="000B077C" w:rsidP="00180E72">
      <w:pPr>
        <w:pStyle w:val="TableFigureFooter"/>
        <w:rPr>
          <w:i/>
          <w:iCs/>
          <w:color w:val="333333"/>
        </w:rPr>
      </w:pPr>
      <w:r w:rsidRPr="00180E72">
        <w:rPr>
          <w:i/>
          <w:iCs/>
          <w:color w:val="333333"/>
          <w:vertAlign w:val="superscript"/>
        </w:rPr>
        <w:t>3</w:t>
      </w:r>
      <w:r w:rsidRPr="00180E72">
        <w:rPr>
          <w:i/>
          <w:iCs/>
          <w:color w:val="333333"/>
        </w:rPr>
        <w:t>5,000 to &lt; 10,000</w:t>
      </w:r>
    </w:p>
    <w:p w14:paraId="68BDAB6E" w14:textId="69CF2584" w:rsidR="009528DA" w:rsidRPr="00180E72" w:rsidRDefault="009528DA" w:rsidP="00180E72">
      <w:pPr>
        <w:pStyle w:val="TableFigureFooter"/>
        <w:rPr>
          <w:b/>
          <w:i/>
          <w:iCs/>
          <w:color w:val="333333"/>
        </w:rPr>
      </w:pPr>
      <w:r w:rsidRPr="00180E72">
        <w:rPr>
          <w:i/>
          <w:iCs/>
          <w:color w:val="333333"/>
          <w:vertAlign w:val="superscript"/>
        </w:rPr>
        <w:t>4</w:t>
      </w:r>
      <w:r w:rsidRPr="00180E72">
        <w:rPr>
          <w:i/>
          <w:iCs/>
          <w:color w:val="333333"/>
        </w:rPr>
        <w:t>$10 million to &lt; $20 million</w:t>
      </w:r>
    </w:p>
    <w:p w14:paraId="4ADF1A36" w14:textId="394576F2" w:rsidR="009528DA" w:rsidRPr="00180E72" w:rsidRDefault="009528DA" w:rsidP="00180E72">
      <w:pPr>
        <w:pStyle w:val="TableFigureFooter"/>
        <w:rPr>
          <w:b/>
          <w:i/>
          <w:iCs/>
          <w:color w:val="333333"/>
        </w:rPr>
      </w:pPr>
      <w:r w:rsidRPr="00180E72">
        <w:rPr>
          <w:i/>
          <w:iCs/>
          <w:color w:val="333333"/>
          <w:vertAlign w:val="superscript"/>
        </w:rPr>
        <w:t>5</w:t>
      </w:r>
      <w:r w:rsidRPr="00180E72">
        <w:rPr>
          <w:i/>
          <w:iCs/>
          <w:color w:val="333333"/>
        </w:rPr>
        <w:t>$20 million to &lt; $30 million</w:t>
      </w:r>
    </w:p>
    <w:p w14:paraId="02695DE3" w14:textId="3EB08D41" w:rsidR="009528DA" w:rsidRPr="00180E72" w:rsidRDefault="009528DA" w:rsidP="00180E72">
      <w:pPr>
        <w:pStyle w:val="TableFigureFooter"/>
        <w:rPr>
          <w:b/>
          <w:i/>
          <w:iCs/>
          <w:color w:val="333333"/>
        </w:rPr>
      </w:pPr>
      <w:r w:rsidRPr="00180E72">
        <w:rPr>
          <w:i/>
          <w:iCs/>
          <w:color w:val="333333"/>
          <w:vertAlign w:val="superscript"/>
        </w:rPr>
        <w:t>6</w:t>
      </w:r>
      <w:r w:rsidRPr="00180E72">
        <w:rPr>
          <w:i/>
          <w:iCs/>
          <w:color w:val="333333"/>
        </w:rPr>
        <w:t>$40 million to &lt; $50 million</w:t>
      </w:r>
    </w:p>
    <w:p w14:paraId="41187F6C" w14:textId="22FD8902" w:rsidR="009528DA" w:rsidRPr="00180E72" w:rsidRDefault="009528DA" w:rsidP="00180E72">
      <w:pPr>
        <w:pStyle w:val="TableFigureFooter"/>
        <w:rPr>
          <w:i/>
          <w:iCs/>
          <w:color w:val="333333"/>
        </w:rPr>
      </w:pPr>
      <w:r w:rsidRPr="00180E72">
        <w:rPr>
          <w:i/>
          <w:iCs/>
          <w:color w:val="333333"/>
          <w:vertAlign w:val="superscript"/>
        </w:rPr>
        <w:t>7</w:t>
      </w:r>
      <w:r w:rsidRPr="00180E72">
        <w:rPr>
          <w:i/>
          <w:iCs/>
          <w:color w:val="333333"/>
        </w:rPr>
        <w:t>$50 million to &lt; $60 million</w:t>
      </w:r>
    </w:p>
    <w:p w14:paraId="10CBADBD" w14:textId="361573AA" w:rsidR="00B2292B" w:rsidRPr="00180E72" w:rsidRDefault="00B2292B" w:rsidP="00180E72">
      <w:pPr>
        <w:pStyle w:val="TableFigureFooter"/>
        <w:rPr>
          <w:i/>
          <w:iCs/>
          <w:color w:val="333333"/>
        </w:rPr>
      </w:pPr>
      <w:r w:rsidRPr="00180E72">
        <w:rPr>
          <w:i/>
          <w:iCs/>
          <w:color w:val="333333"/>
          <w:vertAlign w:val="superscript"/>
        </w:rPr>
        <w:t>8</w:t>
      </w:r>
      <w:r w:rsidRPr="00180E72">
        <w:rPr>
          <w:i/>
          <w:iCs/>
          <w:color w:val="333333"/>
        </w:rPr>
        <w:t>$0 to &lt; $10 million</w:t>
      </w:r>
    </w:p>
    <w:p w14:paraId="76D51553" w14:textId="5BE83025" w:rsidR="000B077C" w:rsidRPr="00180E72" w:rsidRDefault="00B2292B" w:rsidP="00180E72">
      <w:pPr>
        <w:pStyle w:val="TableFigureFooter"/>
        <w:rPr>
          <w:i/>
          <w:iCs/>
        </w:rPr>
      </w:pPr>
      <w:r w:rsidRPr="00180E72">
        <w:rPr>
          <w:i/>
          <w:iCs/>
          <w:color w:val="333333"/>
          <w:vertAlign w:val="superscript"/>
        </w:rPr>
        <w:t>9</w:t>
      </w:r>
      <w:r w:rsidRPr="00180E72">
        <w:rPr>
          <w:i/>
          <w:iCs/>
          <w:color w:val="333333"/>
        </w:rPr>
        <w:t>$30 million to &lt; $40 million</w:t>
      </w:r>
    </w:p>
    <w:p w14:paraId="4023C468" w14:textId="001AACE9" w:rsidR="000963F0" w:rsidRDefault="00DF02BC" w:rsidP="00E255C7">
      <w:pPr>
        <w:pStyle w:val="COMexecsumnumberedpara"/>
      </w:pPr>
      <w:r w:rsidRPr="00C52646">
        <w:t xml:space="preserve">Based on the proposed effective price of ibrutinib and the estimated price of venetoclax, the </w:t>
      </w:r>
      <w:r w:rsidR="00766516">
        <w:t xml:space="preserve">submission </w:t>
      </w:r>
      <w:r w:rsidRPr="00C52646">
        <w:t xml:space="preserve">estimated </w:t>
      </w:r>
      <w:r w:rsidR="00766516">
        <w:t xml:space="preserve">the </w:t>
      </w:r>
      <w:r w:rsidRPr="00C52646">
        <w:t>net cost to the PBS/RPBS w</w:t>
      </w:r>
      <w:r w:rsidR="00766516">
        <w:t>ould be</w:t>
      </w:r>
      <w:r w:rsidRPr="00C52646">
        <w:t xml:space="preserve"> </w:t>
      </w:r>
      <w:r w:rsidR="00B2292B" w:rsidRPr="00B2292B">
        <w:t>$20</w:t>
      </w:r>
      <w:r w:rsidR="00B2292B">
        <w:t> </w:t>
      </w:r>
      <w:r w:rsidR="00B2292B" w:rsidRPr="00B2292B">
        <w:t>million to &lt; $30 million</w:t>
      </w:r>
      <w:r w:rsidR="00B2292B">
        <w:t xml:space="preserve"> </w:t>
      </w:r>
      <w:r w:rsidRPr="00C52646">
        <w:t xml:space="preserve">in Year 1 of listing, increasing to </w:t>
      </w:r>
      <w:r w:rsidR="00B2292B" w:rsidRPr="00B2292B">
        <w:t>$40 million to &lt; $50 million</w:t>
      </w:r>
      <w:r w:rsidR="00B2292B" w:rsidRPr="00B2292B" w:rsidDel="00B2292B">
        <w:t xml:space="preserve"> </w:t>
      </w:r>
      <w:r w:rsidRPr="00C52646">
        <w:t xml:space="preserve">in Year 6, an estimated net cost of </w:t>
      </w:r>
      <w:r w:rsidR="00B2292B" w:rsidRPr="00B2292B">
        <w:t>$200 million to &lt; $300</w:t>
      </w:r>
      <w:r w:rsidR="00B2292B">
        <w:t> </w:t>
      </w:r>
      <w:r w:rsidR="00B2292B" w:rsidRPr="00B2292B">
        <w:t>million</w:t>
      </w:r>
      <w:r w:rsidR="00B2292B">
        <w:t xml:space="preserve"> </w:t>
      </w:r>
      <w:r w:rsidRPr="00C52646">
        <w:t>over the first six years of listing.</w:t>
      </w:r>
      <w:r w:rsidR="000963F0">
        <w:t xml:space="preserve"> </w:t>
      </w:r>
    </w:p>
    <w:p w14:paraId="5578AB79" w14:textId="02B7339A" w:rsidR="00DF02BC" w:rsidRPr="00C52646" w:rsidRDefault="000963F0" w:rsidP="00FA0609">
      <w:pPr>
        <w:pStyle w:val="COMexecsumnumberedpara"/>
      </w:pPr>
      <w:r>
        <w:t xml:space="preserve">The pre-PBAC response proposed revised financial estimates which applied (a) lower uptake rates in Years 1 to 4; and (b) </w:t>
      </w:r>
      <w:r w:rsidRPr="000963F0">
        <w:t xml:space="preserve">a 5% reduction in the ibrutinib price due to the 5-year statutory price reduction that is expected to be applied from 1 April 2023. </w:t>
      </w:r>
      <w:r>
        <w:t>In the pre-PBAC response</w:t>
      </w:r>
      <w:r w:rsidRPr="00610A0D">
        <w:t xml:space="preserve">, the </w:t>
      </w:r>
      <w:r w:rsidR="00990CDE" w:rsidRPr="006C64C0">
        <w:t xml:space="preserve">estimated </w:t>
      </w:r>
      <w:r w:rsidRPr="00610A0D">
        <w:t xml:space="preserve">net cost to the PBS was </w:t>
      </w:r>
      <w:r w:rsidR="00A13222" w:rsidRPr="00A13222">
        <w:t>$40 million to &lt; $50 million</w:t>
      </w:r>
      <w:r w:rsidR="00A13222">
        <w:t xml:space="preserve"> </w:t>
      </w:r>
      <w:r w:rsidR="00990CDE" w:rsidRPr="006C64C0">
        <w:t xml:space="preserve">in Year 6 and </w:t>
      </w:r>
      <w:r w:rsidR="00A13222" w:rsidRPr="00A13222">
        <w:t>$200 million to &lt; $300 million</w:t>
      </w:r>
      <w:r w:rsidR="00A13222">
        <w:t xml:space="preserve"> </w:t>
      </w:r>
      <w:r w:rsidR="00990CDE" w:rsidRPr="00610A0D">
        <w:t xml:space="preserve">over </w:t>
      </w:r>
      <w:r w:rsidR="00990CDE" w:rsidRPr="00BC6838">
        <w:t>the first six years of listing</w:t>
      </w:r>
      <w:r w:rsidRPr="00BC6838">
        <w:t>.</w:t>
      </w:r>
      <w:r w:rsidR="00DF02BC" w:rsidRPr="00C52646">
        <w:t xml:space="preserve"> </w:t>
      </w:r>
    </w:p>
    <w:p w14:paraId="11572092" w14:textId="1160E640" w:rsidR="00DF02BC" w:rsidRPr="00C52646" w:rsidRDefault="00DF02BC" w:rsidP="007B434A">
      <w:pPr>
        <w:pStyle w:val="COMexecsumnumberedpara"/>
        <w:spacing w:after="0"/>
      </w:pPr>
      <w:bookmarkStart w:id="81" w:name="_Ref116375046"/>
      <w:r w:rsidRPr="003967D3">
        <w:rPr>
          <w:iCs/>
        </w:rPr>
        <w:t xml:space="preserve">The </w:t>
      </w:r>
      <w:r w:rsidR="00FF34FC">
        <w:rPr>
          <w:iCs/>
        </w:rPr>
        <w:t xml:space="preserve">evaluation </w:t>
      </w:r>
      <w:r w:rsidR="00FF34FC" w:rsidRPr="00205AC4">
        <w:t>and the ESC</w:t>
      </w:r>
      <w:r w:rsidR="00FF34FC">
        <w:rPr>
          <w:iCs/>
        </w:rPr>
        <w:t xml:space="preserve"> considered that the </w:t>
      </w:r>
      <w:r w:rsidRPr="003967D3">
        <w:rPr>
          <w:iCs/>
        </w:rPr>
        <w:t>utilisation and financial impacts of listing ibrutinib + venetoclax were uncertain due to the following reasons</w:t>
      </w:r>
      <w:r w:rsidRPr="00C52646">
        <w:t>:</w:t>
      </w:r>
      <w:bookmarkEnd w:id="81"/>
    </w:p>
    <w:p w14:paraId="56892BD2" w14:textId="31B452F4" w:rsidR="00DF02BC" w:rsidRPr="003967D3" w:rsidRDefault="00DF02BC" w:rsidP="001104CE">
      <w:pPr>
        <w:pStyle w:val="COMexecsumnumberedpara"/>
        <w:numPr>
          <w:ilvl w:val="0"/>
          <w:numId w:val="8"/>
        </w:numPr>
        <w:spacing w:after="0"/>
        <w:ind w:left="1077" w:hanging="357"/>
        <w:rPr>
          <w:iCs/>
        </w:rPr>
      </w:pPr>
      <w:r w:rsidRPr="003967D3">
        <w:rPr>
          <w:iCs/>
        </w:rPr>
        <w:t>It is unclear whether the sponsor for venetoclax would agree to the proposed price of venetoclax for the new indication</w:t>
      </w:r>
      <w:r w:rsidR="00FD6F93" w:rsidRPr="003967D3">
        <w:rPr>
          <w:iCs/>
        </w:rPr>
        <w:t xml:space="preserve"> and any </w:t>
      </w:r>
      <w:r w:rsidR="0044211E" w:rsidRPr="003967D3">
        <w:rPr>
          <w:iCs/>
        </w:rPr>
        <w:t xml:space="preserve">consequent </w:t>
      </w:r>
      <w:r w:rsidR="00FD6F93" w:rsidRPr="003967D3">
        <w:rPr>
          <w:iCs/>
        </w:rPr>
        <w:t>changes to existing RSAs</w:t>
      </w:r>
      <w:r w:rsidRPr="003967D3">
        <w:rPr>
          <w:iCs/>
        </w:rPr>
        <w:t>.</w:t>
      </w:r>
    </w:p>
    <w:p w14:paraId="25D37108" w14:textId="4742CDA4" w:rsidR="00FC4F6E" w:rsidRPr="003967D3" w:rsidRDefault="00FC4F6E" w:rsidP="001104CE">
      <w:pPr>
        <w:pStyle w:val="COMexecsumnumberedpara"/>
        <w:numPr>
          <w:ilvl w:val="0"/>
          <w:numId w:val="8"/>
        </w:numPr>
        <w:spacing w:after="0"/>
        <w:ind w:left="1077" w:hanging="357"/>
        <w:rPr>
          <w:iCs/>
        </w:rPr>
      </w:pPr>
      <w:r w:rsidRPr="003967D3">
        <w:rPr>
          <w:iCs/>
        </w:rPr>
        <w:lastRenderedPageBreak/>
        <w:t xml:space="preserve">The submission did not consider the impact of treatment with venetoclax + ibrutinib in the </w:t>
      </w:r>
      <w:proofErr w:type="gramStart"/>
      <w:r w:rsidRPr="003967D3">
        <w:rPr>
          <w:iCs/>
        </w:rPr>
        <w:t>first-line</w:t>
      </w:r>
      <w:proofErr w:type="gramEnd"/>
      <w:r w:rsidRPr="003967D3">
        <w:rPr>
          <w:iCs/>
        </w:rPr>
        <w:t xml:space="preserve"> setting on later-line treatment utilisation</w:t>
      </w:r>
      <w:r w:rsidR="002E469A">
        <w:rPr>
          <w:iCs/>
        </w:rPr>
        <w:t xml:space="preserve"> </w:t>
      </w:r>
      <w:r w:rsidR="002E469A" w:rsidRPr="00205AC4">
        <w:t xml:space="preserve">(refer to </w:t>
      </w:r>
      <w:r w:rsidR="0051352D">
        <w:t>p</w:t>
      </w:r>
      <w:r w:rsidR="002E469A" w:rsidRPr="00205AC4">
        <w:t xml:space="preserve">aragraphs </w:t>
      </w:r>
      <w:r w:rsidR="009850C1">
        <w:fldChar w:fldCharType="begin" w:fldLock="1"/>
      </w:r>
      <w:r w:rsidR="009850C1">
        <w:instrText xml:space="preserve"> REF _Ref116360009 \r \h </w:instrText>
      </w:r>
      <w:r w:rsidR="009850C1">
        <w:fldChar w:fldCharType="separate"/>
      </w:r>
      <w:r w:rsidR="00B22386">
        <w:t>6.72</w:t>
      </w:r>
      <w:r w:rsidR="009850C1">
        <w:fldChar w:fldCharType="end"/>
      </w:r>
      <w:r w:rsidR="002E469A" w:rsidRPr="00205AC4">
        <w:t xml:space="preserve"> and</w:t>
      </w:r>
      <w:r w:rsidR="009850C1">
        <w:t xml:space="preserve"> </w:t>
      </w:r>
      <w:r w:rsidR="009850C1">
        <w:fldChar w:fldCharType="begin" w:fldLock="1"/>
      </w:r>
      <w:r w:rsidR="009850C1">
        <w:instrText xml:space="preserve"> REF _Ref116360019 \r \h </w:instrText>
      </w:r>
      <w:r w:rsidR="009850C1">
        <w:fldChar w:fldCharType="separate"/>
      </w:r>
      <w:r w:rsidR="00B22386">
        <w:t>6.73</w:t>
      </w:r>
      <w:r w:rsidR="009850C1">
        <w:fldChar w:fldCharType="end"/>
      </w:r>
      <w:r w:rsidR="002E469A" w:rsidRPr="00205AC4">
        <w:t>)</w:t>
      </w:r>
      <w:r w:rsidRPr="003967D3">
        <w:rPr>
          <w:iCs/>
        </w:rPr>
        <w:t xml:space="preserve">. </w:t>
      </w:r>
    </w:p>
    <w:p w14:paraId="67630CA0" w14:textId="62A675D1" w:rsidR="00DF02BC" w:rsidRPr="003967D3" w:rsidRDefault="00DF02BC" w:rsidP="001104CE">
      <w:pPr>
        <w:pStyle w:val="COMexecsumnumberedpara"/>
        <w:numPr>
          <w:ilvl w:val="0"/>
          <w:numId w:val="8"/>
        </w:numPr>
        <w:spacing w:after="0"/>
        <w:ind w:left="1077" w:hanging="357"/>
        <w:rPr>
          <w:iCs/>
        </w:rPr>
      </w:pPr>
      <w:r w:rsidRPr="003967D3">
        <w:rPr>
          <w:iCs/>
        </w:rPr>
        <w:t xml:space="preserve">There may be potential for use outside of the </w:t>
      </w:r>
      <w:r w:rsidR="00C44B3A">
        <w:rPr>
          <w:iCs/>
        </w:rPr>
        <w:t>intended</w:t>
      </w:r>
      <w:r w:rsidRPr="003967D3">
        <w:rPr>
          <w:iCs/>
        </w:rPr>
        <w:t xml:space="preserve"> restriction</w:t>
      </w:r>
      <w:r w:rsidR="00C44B3A">
        <w:rPr>
          <w:iCs/>
        </w:rPr>
        <w:t>, including in patients who commence combination therapy but cease one component</w:t>
      </w:r>
      <w:r w:rsidR="00831B89">
        <w:rPr>
          <w:iCs/>
        </w:rPr>
        <w:t xml:space="preserve"> early in treatment</w:t>
      </w:r>
      <w:r w:rsidR="00C44B3A">
        <w:rPr>
          <w:iCs/>
        </w:rPr>
        <w:t>.</w:t>
      </w:r>
    </w:p>
    <w:p w14:paraId="5DE84132" w14:textId="64D049A8" w:rsidR="00DF02BC" w:rsidRPr="003967D3" w:rsidRDefault="00FF34FC" w:rsidP="001104CE">
      <w:pPr>
        <w:pStyle w:val="COMexecsumnumberedpara"/>
        <w:numPr>
          <w:ilvl w:val="0"/>
          <w:numId w:val="8"/>
        </w:numPr>
        <w:spacing w:after="0"/>
        <w:ind w:left="1077" w:hanging="357"/>
        <w:rPr>
          <w:iCs/>
        </w:rPr>
      </w:pPr>
      <w:r w:rsidRPr="00205AC4">
        <w:t xml:space="preserve">The ESC considered that </w:t>
      </w:r>
      <w:r w:rsidR="000963F0">
        <w:t xml:space="preserve">the </w:t>
      </w:r>
      <w:r w:rsidRPr="00205AC4">
        <w:t>u</w:t>
      </w:r>
      <w:r w:rsidR="00DF02BC" w:rsidRPr="00205AC4">
        <w:t xml:space="preserve">ptake </w:t>
      </w:r>
      <w:r w:rsidR="000963F0">
        <w:t>rate wa</w:t>
      </w:r>
      <w:r w:rsidR="003D3E82" w:rsidRPr="00205AC4">
        <w:t>s uncertain and</w:t>
      </w:r>
      <w:r w:rsidR="003D3E82">
        <w:rPr>
          <w:iCs/>
        </w:rPr>
        <w:t xml:space="preserve"> </w:t>
      </w:r>
      <w:r w:rsidR="00DF02BC" w:rsidRPr="003967D3">
        <w:rPr>
          <w:iCs/>
        </w:rPr>
        <w:t xml:space="preserve">may be overestimated given the </w:t>
      </w:r>
      <w:r w:rsidR="00C73AB1">
        <w:t xml:space="preserve">limited clinical evidence to support use of the regimen and the adverse event profile. </w:t>
      </w:r>
      <w:r w:rsidR="00990CDE">
        <w:rPr>
          <w:iCs/>
        </w:rPr>
        <w:t>T</w:t>
      </w:r>
      <w:r w:rsidR="000963F0">
        <w:rPr>
          <w:iCs/>
        </w:rPr>
        <w:t xml:space="preserve">he pre-PBAC response </w:t>
      </w:r>
      <w:r w:rsidR="000963F0" w:rsidRPr="000963F0">
        <w:rPr>
          <w:iCs/>
        </w:rPr>
        <w:t xml:space="preserve">provided revised financial estimates that </w:t>
      </w:r>
      <w:r w:rsidR="000963F0">
        <w:rPr>
          <w:iCs/>
        </w:rPr>
        <w:t xml:space="preserve">applied </w:t>
      </w:r>
      <w:r w:rsidR="000963F0" w:rsidRPr="000963F0">
        <w:rPr>
          <w:iCs/>
        </w:rPr>
        <w:t xml:space="preserve">lower </w:t>
      </w:r>
      <w:r w:rsidR="000963F0">
        <w:rPr>
          <w:iCs/>
        </w:rPr>
        <w:t xml:space="preserve">uptake </w:t>
      </w:r>
      <w:r w:rsidR="000963F0" w:rsidRPr="000963F0">
        <w:rPr>
          <w:iCs/>
        </w:rPr>
        <w:t xml:space="preserve">rates in </w:t>
      </w:r>
      <w:r w:rsidR="000963F0">
        <w:rPr>
          <w:iCs/>
        </w:rPr>
        <w:t>Y</w:t>
      </w:r>
      <w:r w:rsidR="000963F0" w:rsidRPr="000963F0">
        <w:rPr>
          <w:iCs/>
        </w:rPr>
        <w:t>ears 1 to 4</w:t>
      </w:r>
      <w:r w:rsidR="00B137E7">
        <w:rPr>
          <w:iCs/>
        </w:rPr>
        <w:t>, of 60% in Year 1 increasing to 90% in Year 5</w:t>
      </w:r>
      <w:r w:rsidR="00610A0D">
        <w:rPr>
          <w:iCs/>
        </w:rPr>
        <w:t xml:space="preserve">, however, </w:t>
      </w:r>
      <w:r w:rsidR="00F14444">
        <w:rPr>
          <w:iCs/>
        </w:rPr>
        <w:t xml:space="preserve">the PBAC considered </w:t>
      </w:r>
      <w:r w:rsidR="00F14444">
        <w:t>that the uptake potentially remained overestimated given the limited clinical data for use of ibrutinib + venetoclax.</w:t>
      </w:r>
    </w:p>
    <w:p w14:paraId="2C17B3A9" w14:textId="77777777" w:rsidR="00DF02BC" w:rsidRPr="00C52646" w:rsidRDefault="00DF02BC" w:rsidP="001104CE">
      <w:pPr>
        <w:pStyle w:val="COMexecsumnumberedpara"/>
        <w:numPr>
          <w:ilvl w:val="0"/>
          <w:numId w:val="8"/>
        </w:numPr>
        <w:ind w:left="1077" w:hanging="357"/>
      </w:pPr>
      <w:r w:rsidRPr="003967D3">
        <w:rPr>
          <w:iCs/>
        </w:rPr>
        <w:t>The proportion of patients who are considered suitable for ibrutinib + venetoclax may be underestimated given that some patients who are considered unsuitable for fludarabine-based chemoimmunotherapy may qualify for ibrutinib + venetoclax based on the proposed CIRS score and creatinine clearance criteria.</w:t>
      </w:r>
    </w:p>
    <w:p w14:paraId="24543210" w14:textId="77777777" w:rsidR="00DF02BC" w:rsidRPr="00C52646" w:rsidRDefault="00DF02BC" w:rsidP="00DF02BC">
      <w:pPr>
        <w:pStyle w:val="COMH2-non-numbered"/>
      </w:pPr>
      <w:bookmarkStart w:id="82" w:name="_Toc22897648"/>
      <w:bookmarkStart w:id="83" w:name="_Toc113983805"/>
      <w:r w:rsidRPr="00C52646">
        <w:t>Quality Use of Medicines</w:t>
      </w:r>
      <w:bookmarkEnd w:id="82"/>
      <w:bookmarkEnd w:id="83"/>
    </w:p>
    <w:p w14:paraId="4D115738" w14:textId="54464EFA" w:rsidR="00DF02BC" w:rsidRPr="009660FD" w:rsidRDefault="00DF02BC" w:rsidP="00E255C7">
      <w:pPr>
        <w:pStyle w:val="COMexecsumnumberedpara"/>
      </w:pPr>
      <w:r w:rsidRPr="009660FD">
        <w:t xml:space="preserve">The submission stated that patients, </w:t>
      </w:r>
      <w:r w:rsidR="00937EBF" w:rsidRPr="009660FD">
        <w:t>prescribers,</w:t>
      </w:r>
      <w:r w:rsidRPr="009660FD">
        <w:t xml:space="preserve"> and dispensers will be provided with appropriate education, </w:t>
      </w:r>
      <w:r w:rsidR="00937EBF" w:rsidRPr="009660FD">
        <w:t>resources,</w:t>
      </w:r>
      <w:r w:rsidRPr="009660FD">
        <w:t xml:space="preserve"> and support from the sponsor to promote appropriate prescribing and use of ibrutinib when used as a fixed duration treatment with venetoclax.</w:t>
      </w:r>
    </w:p>
    <w:p w14:paraId="2D4BDD28" w14:textId="77777777" w:rsidR="00DF02BC" w:rsidRPr="00C52646" w:rsidRDefault="00DF02BC" w:rsidP="00DF02BC">
      <w:pPr>
        <w:pStyle w:val="COMH2-non-numbered"/>
      </w:pPr>
      <w:bookmarkStart w:id="84" w:name="_Toc22897649"/>
      <w:bookmarkStart w:id="85" w:name="_Toc113983806"/>
      <w:r w:rsidRPr="00C52646">
        <w:t>Financial Management – Risk Sharing Arrangements</w:t>
      </w:r>
      <w:bookmarkEnd w:id="84"/>
      <w:bookmarkEnd w:id="85"/>
    </w:p>
    <w:p w14:paraId="41378409" w14:textId="3BDE5A01" w:rsidR="00BB67E6" w:rsidRDefault="00E66F8A" w:rsidP="00E255C7">
      <w:pPr>
        <w:pStyle w:val="COMexecsumnumberedpara"/>
        <w:rPr>
          <w:iCs/>
        </w:rPr>
      </w:pPr>
      <w:bookmarkStart w:id="86" w:name="_Ref116360009"/>
      <w:r w:rsidRPr="003967D3">
        <w:rPr>
          <w:iCs/>
        </w:rPr>
        <w:t xml:space="preserve">Ibrutinib is currently included in an RSA for </w:t>
      </w:r>
      <w:r w:rsidR="00307C5B">
        <w:rPr>
          <w:iCs/>
        </w:rPr>
        <w:t xml:space="preserve">R/R </w:t>
      </w:r>
      <w:r w:rsidRPr="003967D3">
        <w:rPr>
          <w:iCs/>
        </w:rPr>
        <w:t>CLL/SLL, which is a combined cap with venetoclax and acalabrutinib. Listing</w:t>
      </w:r>
      <w:r w:rsidR="0044211E" w:rsidRPr="003967D3">
        <w:rPr>
          <w:iCs/>
        </w:rPr>
        <w:t xml:space="preserve"> of</w:t>
      </w:r>
      <w:r w:rsidRPr="003967D3">
        <w:rPr>
          <w:iCs/>
        </w:rPr>
        <w:t xml:space="preserve"> ibrutinib </w:t>
      </w:r>
      <w:r w:rsidR="001D3243" w:rsidRPr="003967D3">
        <w:rPr>
          <w:iCs/>
        </w:rPr>
        <w:t>+</w:t>
      </w:r>
      <w:r w:rsidRPr="003967D3">
        <w:rPr>
          <w:iCs/>
        </w:rPr>
        <w:t xml:space="preserve"> venetoclax in the first-line setting would be expected to reduce or delay later-line use of these treatments for </w:t>
      </w:r>
      <w:r w:rsidR="00C0238B">
        <w:rPr>
          <w:iCs/>
        </w:rPr>
        <w:t>R/R</w:t>
      </w:r>
      <w:r w:rsidRPr="003967D3">
        <w:rPr>
          <w:iCs/>
        </w:rPr>
        <w:t xml:space="preserve"> CLL/SLL.</w:t>
      </w:r>
      <w:r w:rsidR="00AD029F" w:rsidRPr="003967D3">
        <w:rPr>
          <w:iCs/>
        </w:rPr>
        <w:t xml:space="preserve"> </w:t>
      </w:r>
      <w:r w:rsidRPr="003967D3">
        <w:rPr>
          <w:iCs/>
        </w:rPr>
        <w:t>In its November 2019 consideration of ibrutinib for the first-line treatment of del17p patients</w:t>
      </w:r>
      <w:r w:rsidR="0012028E" w:rsidRPr="003967D3">
        <w:rPr>
          <w:iCs/>
        </w:rPr>
        <w:t>,</w:t>
      </w:r>
      <w:r w:rsidRPr="003967D3">
        <w:rPr>
          <w:iCs/>
        </w:rPr>
        <w:t xml:space="preserve"> </w:t>
      </w:r>
      <w:r w:rsidR="0012028E" w:rsidRPr="003967D3">
        <w:rPr>
          <w:iCs/>
        </w:rPr>
        <w:t>“t</w:t>
      </w:r>
      <w:r w:rsidRPr="003967D3">
        <w:rPr>
          <w:bCs/>
          <w:iCs/>
          <w:lang w:val="en-GB"/>
        </w:rPr>
        <w:t xml:space="preserve">he PBAC noted that the cost-effectiveness of ibrutinib in the first-line treatment of del17p patients relied on cost-offsets for ibrutinib and venetoclax as </w:t>
      </w:r>
      <w:r w:rsidR="00937EBF" w:rsidRPr="003967D3">
        <w:rPr>
          <w:bCs/>
          <w:iCs/>
          <w:lang w:val="en-GB"/>
        </w:rPr>
        <w:t>second- and third-line</w:t>
      </w:r>
      <w:r w:rsidRPr="003967D3">
        <w:rPr>
          <w:bCs/>
          <w:iCs/>
          <w:lang w:val="en-GB"/>
        </w:rPr>
        <w:t xml:space="preserve"> treatments. The PBAC advised that for these cost-offsets to be realised a combined RSA across the first-line and R/R settings was required</w:t>
      </w:r>
      <w:r w:rsidR="00FC4F6E" w:rsidRPr="003967D3">
        <w:rPr>
          <w:bCs/>
          <w:iCs/>
          <w:lang w:val="en-GB"/>
        </w:rPr>
        <w:t>”</w:t>
      </w:r>
      <w:r w:rsidR="00236F78" w:rsidRPr="003967D3">
        <w:rPr>
          <w:bCs/>
          <w:iCs/>
          <w:lang w:val="en-GB"/>
        </w:rPr>
        <w:t xml:space="preserve"> </w:t>
      </w:r>
      <w:r w:rsidRPr="003967D3">
        <w:rPr>
          <w:iCs/>
        </w:rPr>
        <w:t xml:space="preserve">(paragraph 7.17, ibrutinib </w:t>
      </w:r>
      <w:r w:rsidR="00AE1B6B">
        <w:rPr>
          <w:iCs/>
        </w:rPr>
        <w:t>PSD</w:t>
      </w:r>
      <w:r w:rsidRPr="003967D3">
        <w:rPr>
          <w:iCs/>
        </w:rPr>
        <w:t xml:space="preserve">, November 2019 PBAC Meeting). </w:t>
      </w:r>
      <w:r w:rsidR="00FC4F6E" w:rsidRPr="003967D3">
        <w:rPr>
          <w:iCs/>
        </w:rPr>
        <w:t xml:space="preserve">In this case, the ICER/QALY for ibrutinib is moderately sensitive to the inclusion of cost-offsets for subsequent line treatments </w:t>
      </w:r>
      <w:r w:rsidR="00FC4F6E" w:rsidRPr="00205AC4">
        <w:t xml:space="preserve">(refer to </w:t>
      </w:r>
      <w:r w:rsidR="0051352D">
        <w:t>p</w:t>
      </w:r>
      <w:r w:rsidR="00FC4F6E" w:rsidRPr="00205AC4">
        <w:t xml:space="preserve">aragraph </w:t>
      </w:r>
      <w:r w:rsidR="004C4155" w:rsidRPr="00205AC4">
        <w:fldChar w:fldCharType="begin" w:fldLock="1"/>
      </w:r>
      <w:r w:rsidR="004C4155" w:rsidRPr="00205AC4">
        <w:instrText xml:space="preserve"> REF _Ref116359762 \r \h  \* MERGEFORMAT </w:instrText>
      </w:r>
      <w:r w:rsidR="004C4155" w:rsidRPr="00205AC4">
        <w:fldChar w:fldCharType="separate"/>
      </w:r>
      <w:r w:rsidR="00B22386">
        <w:t>6.63</w:t>
      </w:r>
      <w:r w:rsidR="004C4155" w:rsidRPr="00205AC4">
        <w:fldChar w:fldCharType="end"/>
      </w:r>
      <w:r w:rsidR="00FC4F6E" w:rsidRPr="00205AC4">
        <w:t>),</w:t>
      </w:r>
      <w:r w:rsidR="00FC4F6E" w:rsidRPr="003967D3">
        <w:rPr>
          <w:iCs/>
        </w:rPr>
        <w:t xml:space="preserve"> however the submission did not consider the impact of subsequent line treatments in the financial estimates, or an RSA proposal.</w:t>
      </w:r>
      <w:bookmarkEnd w:id="86"/>
      <w:r w:rsidR="00FC4F6E" w:rsidRPr="003967D3">
        <w:rPr>
          <w:iCs/>
        </w:rPr>
        <w:t xml:space="preserve"> </w:t>
      </w:r>
    </w:p>
    <w:p w14:paraId="5ECCBEDD" w14:textId="156F948B" w:rsidR="00FF34FC" w:rsidRPr="00EE3442" w:rsidRDefault="00FF34FC" w:rsidP="00E255C7">
      <w:pPr>
        <w:pStyle w:val="COMexecsumnumberedpara"/>
        <w:rPr>
          <w:iCs/>
        </w:rPr>
      </w:pPr>
      <w:bookmarkStart w:id="87" w:name="_Ref116360019"/>
      <w:r w:rsidRPr="00205AC4">
        <w:t xml:space="preserve">The PSCR stated ‘as treatment with ibrutinib + venetoclax provides superior PFS over FCR, it is expected that the use of ibrutinib, venetoclax and acalabrutinib in the R/R CLL setting will be delayed as opposed to replaced (i.e., will not be a true offset) by the ibrutinib + venetoclax listing’. The ESC </w:t>
      </w:r>
      <w:r w:rsidR="002E469A" w:rsidRPr="00205AC4">
        <w:t xml:space="preserve">re-iterated its previous advice (for ibrutinib monotherapy in del17p patients) that, as the cost-effectiveness assessment includes cost-offsets for ibrutinib and venetoclax as subsequent treatments (refer to </w:t>
      </w:r>
      <w:r w:rsidR="0051352D">
        <w:t>p</w:t>
      </w:r>
      <w:r w:rsidR="002E469A" w:rsidRPr="00205AC4">
        <w:t>aragraph</w:t>
      </w:r>
      <w:r w:rsidR="00993BEF">
        <w:t xml:space="preserve"> </w:t>
      </w:r>
      <w:r w:rsidR="00993BEF">
        <w:lastRenderedPageBreak/>
        <w:fldChar w:fldCharType="begin" w:fldLock="1"/>
      </w:r>
      <w:r w:rsidR="00993BEF">
        <w:instrText xml:space="preserve"> REF _Ref116359762 \r \h </w:instrText>
      </w:r>
      <w:r w:rsidR="00993BEF">
        <w:fldChar w:fldCharType="separate"/>
      </w:r>
      <w:r w:rsidR="00B22386">
        <w:t>6.63</w:t>
      </w:r>
      <w:r w:rsidR="00993BEF">
        <w:fldChar w:fldCharType="end"/>
      </w:r>
      <w:r w:rsidR="002E469A" w:rsidRPr="00205AC4">
        <w:t>), the impact of this should be considered in the financial estimates and RSA.</w:t>
      </w:r>
      <w:bookmarkEnd w:id="87"/>
      <w:r w:rsidR="002E469A" w:rsidRPr="00205AC4">
        <w:t xml:space="preserve"> </w:t>
      </w:r>
    </w:p>
    <w:p w14:paraId="77D1605C" w14:textId="4D466905" w:rsidR="00EE3442" w:rsidRPr="007C365A" w:rsidRDefault="00990CDE" w:rsidP="00E255C7">
      <w:pPr>
        <w:pStyle w:val="COMexecsumnumberedpara"/>
        <w:rPr>
          <w:iCs/>
        </w:rPr>
      </w:pPr>
      <w:r>
        <w:t>The</w:t>
      </w:r>
      <w:r w:rsidR="00F05842">
        <w:t xml:space="preserve"> </w:t>
      </w:r>
      <w:r w:rsidR="00EE3442">
        <w:t>pre-PBAC response</w:t>
      </w:r>
      <w:r w:rsidR="00AF1D9B">
        <w:t xml:space="preserve"> proposed </w:t>
      </w:r>
      <w:r w:rsidR="00EE3442">
        <w:t>a</w:t>
      </w:r>
      <w:r w:rsidR="00495672">
        <w:t>n</w:t>
      </w:r>
      <w:r w:rsidR="00EE3442">
        <w:t xml:space="preserve"> RSA for ibrutinib (when used with venetoclax first-line in fit patients with CLL) </w:t>
      </w:r>
      <w:r>
        <w:t xml:space="preserve">based on </w:t>
      </w:r>
      <w:r w:rsidR="003E0962">
        <w:t xml:space="preserve">the revised level of utilisation </w:t>
      </w:r>
      <w:r>
        <w:t>estimated in the pre-PBAC response</w:t>
      </w:r>
      <w:r w:rsidR="003E0962">
        <w:t xml:space="preserve"> with a </w:t>
      </w:r>
      <w:r w:rsidR="00EE3442">
        <w:t xml:space="preserve">rebate of </w:t>
      </w:r>
      <w:r w:rsidR="00C52D99" w:rsidRPr="001217F8">
        <w:rPr>
          <w:color w:val="000000"/>
          <w:w w:val="15"/>
          <w:shd w:val="solid" w:color="000000" w:fill="000000"/>
          <w:fitText w:val="-20" w:id="-1280060148"/>
          <w14:textFill>
            <w14:solidFill>
              <w14:srgbClr w14:val="000000">
                <w14:alpha w14:val="100000"/>
              </w14:srgbClr>
            </w14:solidFill>
          </w14:textFill>
        </w:rPr>
        <w:t xml:space="preserve">|  </w:t>
      </w:r>
      <w:r w:rsidR="00C52D99" w:rsidRPr="001217F8">
        <w:rPr>
          <w:color w:val="000000"/>
          <w:spacing w:val="-69"/>
          <w:w w:val="15"/>
          <w:shd w:val="solid" w:color="000000" w:fill="000000"/>
          <w:fitText w:val="-20" w:id="-1280060148"/>
          <w14:textFill>
            <w14:solidFill>
              <w14:srgbClr w14:val="000000">
                <w14:alpha w14:val="100000"/>
              </w14:srgbClr>
            </w14:solidFill>
          </w14:textFill>
        </w:rPr>
        <w:t>|</w:t>
      </w:r>
      <w:r w:rsidR="00EE3442">
        <w:t xml:space="preserve"> </w:t>
      </w:r>
      <w:r w:rsidR="003E0962">
        <w:t xml:space="preserve">to apply </w:t>
      </w:r>
      <w:r w:rsidR="00EE3442">
        <w:t xml:space="preserve">for </w:t>
      </w:r>
      <w:r w:rsidR="003E0962">
        <w:t xml:space="preserve">any </w:t>
      </w:r>
      <w:r w:rsidR="00EE3442">
        <w:t>use above the cap.</w:t>
      </w:r>
    </w:p>
    <w:p w14:paraId="7702C83A" w14:textId="73E02525" w:rsidR="007C365A" w:rsidRDefault="007C365A" w:rsidP="007C365A">
      <w:pPr>
        <w:pStyle w:val="COMexecsumnumberedpara"/>
        <w:numPr>
          <w:ilvl w:val="0"/>
          <w:numId w:val="0"/>
        </w:numPr>
        <w:ind w:left="720"/>
        <w:rPr>
          <w:i/>
        </w:rPr>
      </w:pPr>
      <w:r w:rsidRPr="007C365A">
        <w:rPr>
          <w:i/>
        </w:rPr>
        <w:t>For more detail on PBAC’s view, see section 7 PBAC outcome.</w:t>
      </w:r>
    </w:p>
    <w:p w14:paraId="0DD6BBEB" w14:textId="77777777" w:rsidR="001104CE" w:rsidRPr="001104CE" w:rsidRDefault="001104CE" w:rsidP="00180E72">
      <w:pPr>
        <w:pStyle w:val="COMH1numbered"/>
      </w:pPr>
      <w:r w:rsidRPr="001104CE">
        <w:t>PBAC Outcome</w:t>
      </w:r>
    </w:p>
    <w:p w14:paraId="210B8489" w14:textId="7FEBB17E" w:rsidR="0093154D" w:rsidRPr="00247450" w:rsidRDefault="0093154D" w:rsidP="00A337F9">
      <w:pPr>
        <w:widowControl w:val="0"/>
        <w:numPr>
          <w:ilvl w:val="1"/>
          <w:numId w:val="1"/>
        </w:numPr>
        <w:spacing w:after="120"/>
        <w:rPr>
          <w:rFonts w:asciiTheme="minorHAnsi" w:hAnsiTheme="minorHAnsi"/>
          <w:snapToGrid w:val="0"/>
          <w:lang w:val="en-GB" w:eastAsia="en-US"/>
        </w:rPr>
      </w:pPr>
      <w:r w:rsidRPr="00EE16E0">
        <w:rPr>
          <w:rFonts w:asciiTheme="minorHAnsi" w:hAnsiTheme="minorHAnsi"/>
          <w:snapToGrid w:val="0"/>
          <w:lang w:val="en-GB" w:eastAsia="en-US"/>
        </w:rPr>
        <w:t>The PBAC did not recommend ibrutinib</w:t>
      </w:r>
      <w:r w:rsidRPr="00E255C7">
        <w:t>, for use in combination with venetoclax, for the treatment of previously untreated chronic lymphocytic leukaemia (CLL) or small lymphocytic lymphoma (SLL)</w:t>
      </w:r>
      <w:r w:rsidRPr="00EE16E0">
        <w:rPr>
          <w:rFonts w:asciiTheme="minorHAnsi" w:hAnsiTheme="minorHAnsi"/>
          <w:snapToGrid w:val="0"/>
          <w:lang w:val="en-GB" w:eastAsia="en-US"/>
        </w:rPr>
        <w:t>.</w:t>
      </w:r>
      <w:r>
        <w:rPr>
          <w:rFonts w:asciiTheme="minorHAnsi" w:hAnsiTheme="minorHAnsi"/>
          <w:snapToGrid w:val="0"/>
          <w:lang w:val="en-GB" w:eastAsia="en-US"/>
        </w:rPr>
        <w:t xml:space="preserve"> The PBAC considered the nominated comparator of </w:t>
      </w:r>
      <w:r w:rsidRPr="003C16FE">
        <w:t>fludarabine, cyclophosphamide and rituximab (FCR)</w:t>
      </w:r>
      <w:r>
        <w:t xml:space="preserve">, although of historical relevance, is no longer the therapy most likely to be replaced in clinical practice given its limited use. The PBAC </w:t>
      </w:r>
      <w:r w:rsidR="00BD09F3">
        <w:t xml:space="preserve">noted </w:t>
      </w:r>
      <w:r>
        <w:t>that</w:t>
      </w:r>
      <w:r w:rsidR="00BD09F3">
        <w:t>, while</w:t>
      </w:r>
      <w:r>
        <w:t xml:space="preserve"> the </w:t>
      </w:r>
      <w:r w:rsidR="00A12EA4">
        <w:t>existing</w:t>
      </w:r>
      <w:r>
        <w:t xml:space="preserve"> PBS restriction criteria define the patient populations on </w:t>
      </w:r>
      <w:r w:rsidR="007D7342">
        <w:t xml:space="preserve">the </w:t>
      </w:r>
      <w:r>
        <w:t xml:space="preserve">basis of </w:t>
      </w:r>
      <w:r w:rsidR="00BD09F3">
        <w:t xml:space="preserve">patient suitability for </w:t>
      </w:r>
      <w:r>
        <w:t>fludarabine</w:t>
      </w:r>
      <w:r w:rsidR="00BD09F3">
        <w:t xml:space="preserve">-based </w:t>
      </w:r>
      <w:r w:rsidR="00EE4C95">
        <w:t>chemoimmunotherapy</w:t>
      </w:r>
      <w:r>
        <w:t xml:space="preserve">, the advice from the clinical consultation </w:t>
      </w:r>
      <w:r w:rsidR="00BD09F3">
        <w:t xml:space="preserve">was </w:t>
      </w:r>
      <w:r>
        <w:t xml:space="preserve">that these criteria are no longer relevant to clinical practice. </w:t>
      </w:r>
      <w:r w:rsidR="00922D2E">
        <w:t xml:space="preserve">The PBAC further noted </w:t>
      </w:r>
      <w:r w:rsidR="007D7342">
        <w:t xml:space="preserve">that, </w:t>
      </w:r>
      <w:r w:rsidR="00922D2E">
        <w:t xml:space="preserve">based </w:t>
      </w:r>
      <w:r w:rsidR="007D7342">
        <w:t xml:space="preserve">on </w:t>
      </w:r>
      <w:r w:rsidR="00922D2E">
        <w:t>the available evidence</w:t>
      </w:r>
      <w:r w:rsidR="007D7342">
        <w:t>,</w:t>
      </w:r>
      <w:r w:rsidR="00BD29D6" w:rsidRPr="00BD29D6">
        <w:t xml:space="preserve"> </w:t>
      </w:r>
      <w:r w:rsidR="00BD29D6">
        <w:t>it was not possible to determine the magnitude of clinical benefit with ibrutinib + venetoclax versus FCR due to the comparison being based on</w:t>
      </w:r>
      <w:r w:rsidR="00922D2E">
        <w:t xml:space="preserve"> an un</w:t>
      </w:r>
      <w:r w:rsidR="00BD29D6">
        <w:t>adjusted</w:t>
      </w:r>
      <w:r w:rsidR="00922D2E">
        <w:t xml:space="preserve"> (naïve) comparison of single arms of different trials, and the </w:t>
      </w:r>
      <w:r w:rsidR="00BD29D6">
        <w:t xml:space="preserve">limited </w:t>
      </w:r>
      <w:r w:rsidR="00922D2E">
        <w:t xml:space="preserve">follow-up of the ibrutinib + venetoclax (CAPTIVATE) trial. </w:t>
      </w:r>
      <w:r>
        <w:t xml:space="preserve">Overall, the PBAC considered the comparison presented in </w:t>
      </w:r>
      <w:r w:rsidRPr="00247450">
        <w:t xml:space="preserve">the submission versus FCR </w:t>
      </w:r>
      <w:r w:rsidR="00E35E49" w:rsidRPr="00247450">
        <w:t>was</w:t>
      </w:r>
      <w:r w:rsidRPr="00247450">
        <w:t xml:space="preserve"> not an informative basis for the </w:t>
      </w:r>
      <w:r w:rsidR="00922D2E" w:rsidRPr="00247450">
        <w:t xml:space="preserve">listing of ibrutinib + venetoclax. </w:t>
      </w:r>
    </w:p>
    <w:p w14:paraId="72296CEF" w14:textId="396F98FD" w:rsidR="00996920" w:rsidRPr="00247450" w:rsidRDefault="00F26B63" w:rsidP="00037B68">
      <w:pPr>
        <w:pStyle w:val="ListParagraph"/>
        <w:numPr>
          <w:ilvl w:val="1"/>
          <w:numId w:val="1"/>
        </w:numPr>
      </w:pPr>
      <w:r w:rsidRPr="00247450">
        <w:rPr>
          <w:lang w:val="en-GB" w:eastAsia="en-US"/>
        </w:rPr>
        <w:t xml:space="preserve">The PBAC noted the </w:t>
      </w:r>
      <w:r w:rsidR="00B145D5" w:rsidRPr="00247450">
        <w:rPr>
          <w:lang w:val="en-GB" w:eastAsia="en-US"/>
        </w:rPr>
        <w:t>input from individuals,</w:t>
      </w:r>
      <w:r w:rsidR="004E5533" w:rsidRPr="00247450">
        <w:rPr>
          <w:lang w:val="en-GB" w:eastAsia="en-US"/>
        </w:rPr>
        <w:t xml:space="preserve"> health professionals</w:t>
      </w:r>
      <w:r w:rsidR="00B145D5" w:rsidRPr="00247450">
        <w:rPr>
          <w:lang w:val="en-GB" w:eastAsia="en-US"/>
        </w:rPr>
        <w:t xml:space="preserve"> and organisations </w:t>
      </w:r>
      <w:r w:rsidR="00B137E7" w:rsidRPr="00247450">
        <w:rPr>
          <w:lang w:val="en-GB" w:eastAsia="en-US"/>
        </w:rPr>
        <w:t>regarding the</w:t>
      </w:r>
      <w:r w:rsidR="00274285" w:rsidRPr="00247450">
        <w:rPr>
          <w:lang w:val="en-GB" w:eastAsia="en-US"/>
        </w:rPr>
        <w:t xml:space="preserve"> high</w:t>
      </w:r>
      <w:r w:rsidR="00B145D5" w:rsidRPr="00247450">
        <w:rPr>
          <w:lang w:val="en-GB" w:eastAsia="en-US"/>
        </w:rPr>
        <w:t xml:space="preserve"> </w:t>
      </w:r>
      <w:r w:rsidRPr="00247450">
        <w:rPr>
          <w:lang w:val="en-GB" w:eastAsia="en-US"/>
        </w:rPr>
        <w:t>clinical need for alternative treatments for CLL/SLL in the first-line setting</w:t>
      </w:r>
      <w:r w:rsidR="00B44BB1" w:rsidRPr="00247450">
        <w:rPr>
          <w:lang w:val="en-GB" w:eastAsia="en-US"/>
        </w:rPr>
        <w:t xml:space="preserve">. </w:t>
      </w:r>
      <w:r w:rsidR="00996920" w:rsidRPr="00247450">
        <w:rPr>
          <w:lang w:val="en-GB" w:eastAsia="en-US"/>
        </w:rPr>
        <w:t xml:space="preserve">The </w:t>
      </w:r>
      <w:r w:rsidR="00996920" w:rsidRPr="00247450">
        <w:t xml:space="preserve">PBAC considered that it would be ideal </w:t>
      </w:r>
      <w:r w:rsidR="00247450" w:rsidRPr="00247450">
        <w:t>to have a</w:t>
      </w:r>
      <w:r w:rsidR="00996920" w:rsidRPr="00247450">
        <w:t xml:space="preserve"> range of first-line subsidised treatment options available to patients</w:t>
      </w:r>
      <w:r w:rsidR="00247450" w:rsidRPr="00247450">
        <w:t xml:space="preserve">, with treatment able to be tailored to the needs of an </w:t>
      </w:r>
      <w:r w:rsidR="00996920" w:rsidRPr="00247450">
        <w:t>individual patient</w:t>
      </w:r>
      <w:r w:rsidR="00247450" w:rsidRPr="00247450">
        <w:t>.</w:t>
      </w:r>
      <w:r w:rsidR="00996920" w:rsidRPr="00247450">
        <w:t xml:space="preserve"> Factors considered could include co</w:t>
      </w:r>
      <w:r w:rsidR="00247450" w:rsidRPr="00247450">
        <w:noBreakHyphen/>
      </w:r>
      <w:r w:rsidR="00996920" w:rsidRPr="00247450">
        <w:t xml:space="preserve">existing disease, the extent of lymph node involvement, the goals of treatment, a preference for fixed duration or continuous treatment, and the acceptability of an initial period of </w:t>
      </w:r>
      <w:r w:rsidR="00247450" w:rsidRPr="00247450">
        <w:t>intravenous</w:t>
      </w:r>
      <w:r w:rsidR="00996920" w:rsidRPr="00247450">
        <w:t xml:space="preserve"> treatment. The </w:t>
      </w:r>
      <w:r w:rsidR="00247450" w:rsidRPr="00247450">
        <w:t>PBAC noted advice from the clinician consultation that there are a lack of clinical trial data available to differentiate between regimens or determine which particular regimen would be preferable in a particular patient group/setting.</w:t>
      </w:r>
    </w:p>
    <w:p w14:paraId="19600CFC" w14:textId="4FC1B379" w:rsidR="006F3DFB" w:rsidRDefault="006F3DFB" w:rsidP="00037B68">
      <w:pPr>
        <w:pStyle w:val="ListParagraph"/>
        <w:numPr>
          <w:ilvl w:val="1"/>
          <w:numId w:val="1"/>
        </w:numPr>
        <w:rPr>
          <w:iCs/>
        </w:rPr>
      </w:pPr>
      <w:r w:rsidRPr="0092172C">
        <w:t xml:space="preserve">The PBAC noted </w:t>
      </w:r>
      <w:r>
        <w:t xml:space="preserve">that the </w:t>
      </w:r>
      <w:r w:rsidRPr="00996920">
        <w:rPr>
          <w:iCs/>
        </w:rPr>
        <w:t>restrictions</w:t>
      </w:r>
      <w:r>
        <w:t xml:space="preserve"> for venetoclax + obinutuzumab </w:t>
      </w:r>
      <w:r w:rsidRPr="00996920">
        <w:rPr>
          <w:iCs/>
        </w:rPr>
        <w:t xml:space="preserve">in first-line CLL/SLL require patients to be inappropriate for fludarabine based </w:t>
      </w:r>
      <w:r w:rsidR="00EE4C95">
        <w:rPr>
          <w:iCs/>
        </w:rPr>
        <w:t>chemoimmunotherapy</w:t>
      </w:r>
      <w:r w:rsidRPr="00996920">
        <w:rPr>
          <w:iCs/>
        </w:rPr>
        <w:t xml:space="preserve"> and have a cumulative illness rating scale (CIRS) score &gt; 6 (excluding CLL-induced illness or organ damage) or a creatinine clearance &lt; 70 mL/min, and that the complement</w:t>
      </w:r>
      <w:r w:rsidR="00663FC9">
        <w:rPr>
          <w:iCs/>
        </w:rPr>
        <w:t xml:space="preserve"> of each </w:t>
      </w:r>
      <w:r w:rsidRPr="00996920">
        <w:rPr>
          <w:iCs/>
        </w:rPr>
        <w:t>had been proposed for inclusion in the ibrutinib + venetoclax restrictions (</w:t>
      </w:r>
      <w:r w:rsidR="00512F71">
        <w:rPr>
          <w:iCs/>
        </w:rPr>
        <w:t xml:space="preserve">i.e. </w:t>
      </w:r>
      <w:r w:rsidRPr="00996920">
        <w:rPr>
          <w:iCs/>
        </w:rPr>
        <w:t>C</w:t>
      </w:r>
      <w:r w:rsidR="00512F71">
        <w:rPr>
          <w:iCs/>
        </w:rPr>
        <w:t>I</w:t>
      </w:r>
      <w:r w:rsidRPr="00996920">
        <w:rPr>
          <w:iCs/>
        </w:rPr>
        <w:t xml:space="preserve">RS </w:t>
      </w:r>
      <w:r w:rsidRPr="00996920">
        <w:rPr>
          <w:rFonts w:cstheme="minorHAnsi"/>
          <w:iCs/>
        </w:rPr>
        <w:t>≤</w:t>
      </w:r>
      <w:r w:rsidRPr="00996920">
        <w:rPr>
          <w:iCs/>
        </w:rPr>
        <w:t xml:space="preserve">6 and creatinine clearance </w:t>
      </w:r>
      <w:r w:rsidRPr="00996920">
        <w:rPr>
          <w:rFonts w:cstheme="minorHAnsi"/>
          <w:iCs/>
        </w:rPr>
        <w:t>≥</w:t>
      </w:r>
      <w:r w:rsidRPr="00996920">
        <w:rPr>
          <w:iCs/>
        </w:rPr>
        <w:t xml:space="preserve"> 70 mL/min). </w:t>
      </w:r>
      <w:r w:rsidR="00941E77">
        <w:rPr>
          <w:iCs/>
        </w:rPr>
        <w:t>However, t</w:t>
      </w:r>
      <w:r w:rsidRPr="00996920">
        <w:rPr>
          <w:iCs/>
        </w:rPr>
        <w:t xml:space="preserve">he PBAC considered that it </w:t>
      </w:r>
      <w:r w:rsidR="00FA52C9">
        <w:rPr>
          <w:iCs/>
        </w:rPr>
        <w:t>was no</w:t>
      </w:r>
      <w:r w:rsidR="00941E77">
        <w:rPr>
          <w:iCs/>
        </w:rPr>
        <w:t xml:space="preserve"> longer</w:t>
      </w:r>
      <w:r w:rsidR="00FA52C9">
        <w:rPr>
          <w:iCs/>
        </w:rPr>
        <w:t xml:space="preserve"> </w:t>
      </w:r>
      <w:r w:rsidRPr="00996920">
        <w:rPr>
          <w:iCs/>
        </w:rPr>
        <w:t xml:space="preserve">clinically </w:t>
      </w:r>
      <w:r w:rsidR="00941E77">
        <w:rPr>
          <w:iCs/>
        </w:rPr>
        <w:t>relevant</w:t>
      </w:r>
      <w:r w:rsidR="00941E77" w:rsidRPr="00996920">
        <w:rPr>
          <w:iCs/>
        </w:rPr>
        <w:t xml:space="preserve"> </w:t>
      </w:r>
      <w:r w:rsidRPr="00996920">
        <w:rPr>
          <w:iCs/>
        </w:rPr>
        <w:t xml:space="preserve">to include the </w:t>
      </w:r>
      <w:r w:rsidRPr="00996920">
        <w:rPr>
          <w:iCs/>
        </w:rPr>
        <w:lastRenderedPageBreak/>
        <w:t xml:space="preserve">CIRS score in restrictions for first-line CLL/SLL therapies </w:t>
      </w:r>
      <w:bookmarkStart w:id="88" w:name="_Hlk124343081"/>
      <w:r w:rsidRPr="00996920">
        <w:rPr>
          <w:iCs/>
        </w:rPr>
        <w:t xml:space="preserve">given it </w:t>
      </w:r>
      <w:r w:rsidR="00C44B3A">
        <w:rPr>
          <w:iCs/>
        </w:rPr>
        <w:t xml:space="preserve">was developed to assess the ability of a patient to tolerate </w:t>
      </w:r>
      <w:r w:rsidR="00EE4C95">
        <w:rPr>
          <w:iCs/>
        </w:rPr>
        <w:t>chemoimmunotherapy</w:t>
      </w:r>
      <w:r w:rsidR="00C44B3A">
        <w:rPr>
          <w:iCs/>
        </w:rPr>
        <w:t xml:space="preserve"> and was less relevant for targeted</w:t>
      </w:r>
      <w:bookmarkEnd w:id="88"/>
      <w:r w:rsidR="00C44B3A">
        <w:rPr>
          <w:iCs/>
        </w:rPr>
        <w:t xml:space="preserve"> </w:t>
      </w:r>
      <w:r w:rsidRPr="00996920">
        <w:rPr>
          <w:iCs/>
        </w:rPr>
        <w:t>agents. The PBAC considered that, rather than relying on the CIRS score</w:t>
      </w:r>
      <w:r w:rsidR="00FA52C9" w:rsidRPr="00FA52C9">
        <w:rPr>
          <w:lang w:val="en-GB" w:eastAsia="en-US"/>
        </w:rPr>
        <w:t xml:space="preserve"> </w:t>
      </w:r>
      <w:bookmarkStart w:id="89" w:name="_Hlk125091950"/>
      <w:r w:rsidR="00FA52C9">
        <w:rPr>
          <w:lang w:val="en-GB" w:eastAsia="en-US"/>
        </w:rPr>
        <w:t xml:space="preserve">and/or </w:t>
      </w:r>
      <w:r w:rsidR="00FA52C9" w:rsidRPr="007E462B">
        <w:rPr>
          <w:lang w:val="en-GB" w:eastAsia="en-US"/>
        </w:rPr>
        <w:t>creatinine clearance &lt; 70 mL/min</w:t>
      </w:r>
      <w:bookmarkEnd w:id="89"/>
      <w:r w:rsidRPr="00996920">
        <w:rPr>
          <w:iCs/>
        </w:rPr>
        <w:t xml:space="preserve">, it </w:t>
      </w:r>
      <w:r w:rsidR="00FA52C9">
        <w:rPr>
          <w:iCs/>
        </w:rPr>
        <w:t>would</w:t>
      </w:r>
      <w:r w:rsidR="00FA52C9" w:rsidRPr="00996920">
        <w:rPr>
          <w:iCs/>
        </w:rPr>
        <w:t xml:space="preserve"> </w:t>
      </w:r>
      <w:r w:rsidRPr="00996920">
        <w:rPr>
          <w:iCs/>
        </w:rPr>
        <w:t xml:space="preserve">be more clinically appropriate </w:t>
      </w:r>
      <w:r w:rsidR="0094528D">
        <w:rPr>
          <w:iCs/>
        </w:rPr>
        <w:t>for</w:t>
      </w:r>
      <w:r w:rsidRPr="00996920">
        <w:rPr>
          <w:iCs/>
        </w:rPr>
        <w:t xml:space="preserve"> clinicians</w:t>
      </w:r>
      <w:r w:rsidR="00815965">
        <w:rPr>
          <w:iCs/>
        </w:rPr>
        <w:t>/patients</w:t>
      </w:r>
      <w:r w:rsidRPr="00996920">
        <w:rPr>
          <w:iCs/>
        </w:rPr>
        <w:t xml:space="preserve"> </w:t>
      </w:r>
      <w:r w:rsidR="0094528D">
        <w:rPr>
          <w:iCs/>
        </w:rPr>
        <w:t xml:space="preserve">to </w:t>
      </w:r>
      <w:r w:rsidRPr="00996920">
        <w:rPr>
          <w:iCs/>
        </w:rPr>
        <w:t xml:space="preserve">decide the most appropriate treatment regimen for a particular patient, which may involve consideration of a broader range of factors including biological characteristics of the disease and an individual’s specific organ sensitivities (e.g. cardiac or renal risk). </w:t>
      </w:r>
      <w:r w:rsidR="009E674A" w:rsidRPr="00996920">
        <w:rPr>
          <w:iCs/>
        </w:rPr>
        <w:t xml:space="preserve">The PBAC noted that there is clinical evidence for ibrutinib + venetoclax in less fit patients (those aged 65 years or older and/or with comorbidities) and that this evidence (a randomised, open-label, Phase 3 study versus chlorambucil + obinutuzumab) </w:t>
      </w:r>
      <w:r w:rsidR="00B22386">
        <w:rPr>
          <w:iCs/>
        </w:rPr>
        <w:t>was included in</w:t>
      </w:r>
      <w:r w:rsidR="009E674A" w:rsidRPr="00996920">
        <w:rPr>
          <w:iCs/>
        </w:rPr>
        <w:t xml:space="preserve"> the application to the TGA.</w:t>
      </w:r>
    </w:p>
    <w:p w14:paraId="297683D5" w14:textId="4BCEC98B" w:rsidR="004E5533" w:rsidRDefault="00733BF3">
      <w:pPr>
        <w:pStyle w:val="COMexecsumnumberedpara"/>
        <w:widowControl w:val="0"/>
        <w:numPr>
          <w:ilvl w:val="1"/>
          <w:numId w:val="1"/>
        </w:numPr>
      </w:pPr>
      <w:r w:rsidRPr="00C52646">
        <w:t>The</w:t>
      </w:r>
      <w:r>
        <w:t xml:space="preserve"> submission </w:t>
      </w:r>
      <w:r w:rsidRPr="00C52646">
        <w:t>nominated FCR as the main comparator</w:t>
      </w:r>
      <w:r>
        <w:t xml:space="preserve"> as it</w:t>
      </w:r>
      <w:r w:rsidRPr="00C52646">
        <w:t xml:space="preserve"> is the only </w:t>
      </w:r>
      <w:r>
        <w:t>PBS-listed treatment</w:t>
      </w:r>
      <w:r w:rsidRPr="00C52646">
        <w:t xml:space="preserve"> for th</w:t>
      </w:r>
      <w:r>
        <w:t>e requested</w:t>
      </w:r>
      <w:r w:rsidRPr="00C52646">
        <w:t xml:space="preserve"> population</w:t>
      </w:r>
      <w:r>
        <w:t xml:space="preserve">. </w:t>
      </w:r>
      <w:r w:rsidR="004E1E91">
        <w:t xml:space="preserve">The PBAC </w:t>
      </w:r>
      <w:r>
        <w:t>acknowledg</w:t>
      </w:r>
      <w:r w:rsidR="004E1E91">
        <w:t>ed</w:t>
      </w:r>
      <w:r>
        <w:t xml:space="preserve"> that the </w:t>
      </w:r>
      <w:r w:rsidR="00A12EA4">
        <w:t>existing</w:t>
      </w:r>
      <w:r>
        <w:t xml:space="preserve"> PBS criteria </w:t>
      </w:r>
      <w:r w:rsidR="00A12EA4">
        <w:t xml:space="preserve">in the first-line CLL/SLL restrictions </w:t>
      </w:r>
      <w:r>
        <w:t xml:space="preserve">define the patient populations on </w:t>
      </w:r>
      <w:r w:rsidR="00A12EA4">
        <w:t xml:space="preserve">the </w:t>
      </w:r>
      <w:r>
        <w:t xml:space="preserve">basis </w:t>
      </w:r>
      <w:r w:rsidR="00A12EA4">
        <w:t>of</w:t>
      </w:r>
      <w:r w:rsidR="00151175" w:rsidRPr="00E0117E">
        <w:t xml:space="preserve"> ‘inappropriate for fludarabine-based </w:t>
      </w:r>
      <w:r w:rsidR="00EE4C95">
        <w:t>chemoimmunotherapy</w:t>
      </w:r>
      <w:r w:rsidR="00151175" w:rsidRPr="00E0117E">
        <w:t>’</w:t>
      </w:r>
      <w:r w:rsidR="00EB290C">
        <w:t>,</w:t>
      </w:r>
      <w:r w:rsidR="00151175" w:rsidRPr="00E0117E">
        <w:t xml:space="preserve"> and</w:t>
      </w:r>
      <w:r w:rsidR="00EB290C">
        <w:t xml:space="preserve"> in the relapsed/refractory CLL/SLL restrictions on the basis of</w:t>
      </w:r>
      <w:r w:rsidR="00151175" w:rsidRPr="00E0117E">
        <w:t xml:space="preserve"> ‘unsuitable for treatment with a purine analogue’</w:t>
      </w:r>
      <w:r w:rsidR="00B22386">
        <w:t>. Ho</w:t>
      </w:r>
      <w:r w:rsidR="004E1E91">
        <w:t>wever t</w:t>
      </w:r>
      <w:r w:rsidR="004E1E91" w:rsidRPr="00996920">
        <w:rPr>
          <w:lang w:val="en-GB" w:eastAsia="en-US"/>
        </w:rPr>
        <w:t xml:space="preserve">he PBAC agreed with the ESC and the </w:t>
      </w:r>
      <w:r w:rsidR="004E1E91">
        <w:t xml:space="preserve">expert advice received at the clinician consultation (paragraphs </w:t>
      </w:r>
      <w:r w:rsidR="004E1E91">
        <w:fldChar w:fldCharType="begin" w:fldLock="1"/>
      </w:r>
      <w:r w:rsidR="004E1E91">
        <w:instrText xml:space="preserve"> REF _Ref122332462 \r \h </w:instrText>
      </w:r>
      <w:r w:rsidR="004E1E91">
        <w:fldChar w:fldCharType="separate"/>
      </w:r>
      <w:r w:rsidR="00B22386">
        <w:t>4.8</w:t>
      </w:r>
      <w:r w:rsidR="004E1E91">
        <w:fldChar w:fldCharType="end"/>
      </w:r>
      <w:r w:rsidR="004E1E91">
        <w:t xml:space="preserve"> and </w:t>
      </w:r>
      <w:r w:rsidR="004E1E91">
        <w:fldChar w:fldCharType="begin" w:fldLock="1"/>
      </w:r>
      <w:r w:rsidR="004E1E91">
        <w:instrText xml:space="preserve"> REF _Ref122331618 \r \h </w:instrText>
      </w:r>
      <w:r w:rsidR="004E1E91">
        <w:fldChar w:fldCharType="separate"/>
      </w:r>
      <w:r w:rsidR="00B22386">
        <w:t>6.3</w:t>
      </w:r>
      <w:r w:rsidR="004E1E91">
        <w:fldChar w:fldCharType="end"/>
      </w:r>
      <w:r w:rsidR="004E1E91">
        <w:t xml:space="preserve">) </w:t>
      </w:r>
      <w:r w:rsidR="00EB290C">
        <w:t xml:space="preserve">that these </w:t>
      </w:r>
      <w:r w:rsidR="00B4577C">
        <w:t>criteria</w:t>
      </w:r>
      <w:r w:rsidR="00203F75">
        <w:t xml:space="preserve"> </w:t>
      </w:r>
      <w:r w:rsidR="00151175" w:rsidRPr="00E0117E">
        <w:t>are no longer relevant to clinical practice</w:t>
      </w:r>
      <w:r w:rsidR="00BD29D6">
        <w:t xml:space="preserve"> </w:t>
      </w:r>
      <w:bookmarkStart w:id="90" w:name="_Hlk122578214"/>
      <w:r w:rsidR="00B4577C">
        <w:t>as</w:t>
      </w:r>
      <w:r w:rsidR="00151175" w:rsidRPr="00996920">
        <w:rPr>
          <w:iCs/>
        </w:rPr>
        <w:t xml:space="preserve"> almost all patients </w:t>
      </w:r>
      <w:r w:rsidR="00496D70" w:rsidRPr="00996920">
        <w:rPr>
          <w:iCs/>
        </w:rPr>
        <w:t>are</w:t>
      </w:r>
      <w:r w:rsidR="00151175" w:rsidRPr="00996920">
        <w:rPr>
          <w:iCs/>
        </w:rPr>
        <w:t xml:space="preserve"> ‘i</w:t>
      </w:r>
      <w:r w:rsidR="00151175" w:rsidRPr="00151175">
        <w:t xml:space="preserve">nappropriate for </w:t>
      </w:r>
      <w:r w:rsidR="003B1A83" w:rsidRPr="00151175">
        <w:t xml:space="preserve">fludarabine-based </w:t>
      </w:r>
      <w:r w:rsidR="00EE4C95">
        <w:t>chemoimmunotherapy</w:t>
      </w:r>
      <w:r w:rsidR="00151175">
        <w:t>’</w:t>
      </w:r>
      <w:r w:rsidR="00BC6838" w:rsidRPr="00BC6838">
        <w:t xml:space="preserve"> </w:t>
      </w:r>
      <w:r w:rsidR="00BC6838">
        <w:t xml:space="preserve">given </w:t>
      </w:r>
      <w:r w:rsidR="00BC6838" w:rsidRPr="00996920">
        <w:rPr>
          <w:lang w:val="en-GB" w:eastAsia="en-US"/>
        </w:rPr>
        <w:t xml:space="preserve">FCR is </w:t>
      </w:r>
      <w:r w:rsidR="00BC6838" w:rsidRPr="00996920">
        <w:rPr>
          <w:iCs/>
        </w:rPr>
        <w:t>poorly tolerated and associated with a risk of cytopenia and secondary malignancies</w:t>
      </w:r>
      <w:r w:rsidR="00151175">
        <w:t xml:space="preserve">. </w:t>
      </w:r>
      <w:bookmarkEnd w:id="90"/>
      <w:r w:rsidR="004E1E91">
        <w:t xml:space="preserve">The PBAC noted that FCR is </w:t>
      </w:r>
      <w:r w:rsidR="004E1E91" w:rsidRPr="00151175">
        <w:t xml:space="preserve">no longer a preferred regimen in any patient </w:t>
      </w:r>
      <w:r w:rsidR="004E1E91">
        <w:t>group and is no longer commonly used in clinical practice. The PBAC therefore considered that FCR is no longer the therapy most likely to be replaced in clinical practice and its usefulness as a comparator was limited.</w:t>
      </w:r>
    </w:p>
    <w:p w14:paraId="6470D42D" w14:textId="3BEA4BF4" w:rsidR="0019340F" w:rsidRPr="0019340F" w:rsidRDefault="005A3797" w:rsidP="00996920">
      <w:pPr>
        <w:pStyle w:val="COMexecsumnumberedpara"/>
        <w:widowControl w:val="0"/>
        <w:numPr>
          <w:ilvl w:val="1"/>
          <w:numId w:val="1"/>
        </w:numPr>
      </w:pPr>
      <w:r w:rsidRPr="009C5088">
        <w:rPr>
          <w:lang w:val="en-GB" w:eastAsia="en-US"/>
        </w:rPr>
        <w:t>The PBAC noted that t</w:t>
      </w:r>
      <w:r w:rsidRPr="005A3797">
        <w:t>he comparative efficacy of ibrutinib + venetoclax versus FCR was based on a</w:t>
      </w:r>
      <w:r w:rsidR="00F40AC5">
        <w:t>n</w:t>
      </w:r>
      <w:r w:rsidRPr="005A3797">
        <w:t xml:space="preserve"> </w:t>
      </w:r>
      <w:r w:rsidR="00D02DC7" w:rsidRPr="009C5088">
        <w:rPr>
          <w:snapToGrid/>
        </w:rPr>
        <w:t xml:space="preserve">unanchored, unadjusted indirect treatment comparison of </w:t>
      </w:r>
      <w:r w:rsidR="00D02DC7" w:rsidRPr="005F6175">
        <w:t xml:space="preserve">the fixed duration cohort of </w:t>
      </w:r>
      <w:r w:rsidR="00D02DC7" w:rsidRPr="009C5088">
        <w:rPr>
          <w:snapToGrid/>
        </w:rPr>
        <w:t>CAPTIVATE</w:t>
      </w:r>
      <w:r w:rsidR="005A25FA">
        <w:t xml:space="preserve"> (ibrutinib + venetoclax)</w:t>
      </w:r>
      <w:r w:rsidR="00D02DC7" w:rsidRPr="009C5088">
        <w:rPr>
          <w:snapToGrid/>
        </w:rPr>
        <w:t xml:space="preserve"> </w:t>
      </w:r>
      <w:r w:rsidR="00D02DC7" w:rsidRPr="005F6175">
        <w:t>and the</w:t>
      </w:r>
      <w:r w:rsidR="00D02DC7" w:rsidRPr="009C5088">
        <w:rPr>
          <w:snapToGrid/>
        </w:rPr>
        <w:t xml:space="preserve"> FCR </w:t>
      </w:r>
      <w:r w:rsidR="00D02DC7" w:rsidRPr="005F6175">
        <w:t xml:space="preserve">arm </w:t>
      </w:r>
      <w:r w:rsidR="00D02DC7">
        <w:t>of</w:t>
      </w:r>
      <w:r w:rsidR="00D02DC7" w:rsidRPr="005F6175">
        <w:t xml:space="preserve"> </w:t>
      </w:r>
      <w:r w:rsidR="00D02DC7" w:rsidRPr="009C5088">
        <w:rPr>
          <w:snapToGrid/>
        </w:rPr>
        <w:t xml:space="preserve">ECOG1912. </w:t>
      </w:r>
      <w:r w:rsidR="0019340F" w:rsidRPr="009C5088">
        <w:rPr>
          <w:snapToGrid/>
        </w:rPr>
        <w:t>The PBAC considered that, while the</w:t>
      </w:r>
      <w:r w:rsidR="0019340F" w:rsidRPr="0019340F">
        <w:t xml:space="preserve"> </w:t>
      </w:r>
      <w:r w:rsidR="0019340F">
        <w:t>estimated hazard ratios for progression</w:t>
      </w:r>
      <w:r w:rsidR="0051352D">
        <w:t>-</w:t>
      </w:r>
      <w:r w:rsidR="0019340F">
        <w:t>free survival</w:t>
      </w:r>
      <w:r w:rsidR="0019340F" w:rsidRPr="009C5088">
        <w:rPr>
          <w:snapToGrid/>
        </w:rPr>
        <w:t xml:space="preserve"> and overall survival </w:t>
      </w:r>
      <w:r w:rsidR="007D422B" w:rsidRPr="009C5088">
        <w:rPr>
          <w:snapToGrid/>
        </w:rPr>
        <w:t xml:space="preserve">appeared highly favourable towards </w:t>
      </w:r>
      <w:r w:rsidR="0019340F">
        <w:t>ibrutinib + venetoclax</w:t>
      </w:r>
      <w:r w:rsidR="0019340F" w:rsidRPr="009C5088">
        <w:rPr>
          <w:snapToGrid/>
        </w:rPr>
        <w:t>, the magnitude of the benefit was highly uncertain due to</w:t>
      </w:r>
      <w:r w:rsidR="009E674A" w:rsidRPr="009C5088">
        <w:rPr>
          <w:snapToGrid/>
        </w:rPr>
        <w:t xml:space="preserve"> the </w:t>
      </w:r>
      <w:r w:rsidR="00BD29D6">
        <w:rPr>
          <w:snapToGrid/>
        </w:rPr>
        <w:t xml:space="preserve">naïve </w:t>
      </w:r>
      <w:r w:rsidR="009E674A" w:rsidRPr="009C5088">
        <w:rPr>
          <w:snapToGrid/>
        </w:rPr>
        <w:t>nature of the comparison as well as</w:t>
      </w:r>
      <w:r w:rsidR="0019340F" w:rsidRPr="009C5088">
        <w:rPr>
          <w:snapToGrid/>
        </w:rPr>
        <w:t>:</w:t>
      </w:r>
    </w:p>
    <w:p w14:paraId="164698AC" w14:textId="54D87644" w:rsidR="00B137E7" w:rsidRDefault="00B137E7" w:rsidP="00B137E7">
      <w:pPr>
        <w:pStyle w:val="COMexecsumnumberedpara"/>
        <w:numPr>
          <w:ilvl w:val="0"/>
          <w:numId w:val="12"/>
        </w:numPr>
        <w:ind w:left="1418"/>
      </w:pPr>
      <w:r>
        <w:t xml:space="preserve">The follow-up data </w:t>
      </w:r>
      <w:r w:rsidR="00BC6838">
        <w:t xml:space="preserve">for ibrutinib + venetoclax </w:t>
      </w:r>
      <w:r w:rsidR="009C5088">
        <w:t xml:space="preserve">from CAPTIVATE </w:t>
      </w:r>
      <w:r>
        <w:t>were immature</w:t>
      </w:r>
      <w:r w:rsidR="001C11E4">
        <w:t xml:space="preserve"> in the context of an indolent </w:t>
      </w:r>
      <w:r w:rsidR="009C5088">
        <w:t>condition</w:t>
      </w:r>
      <w:r w:rsidR="001C11E4">
        <w:t xml:space="preserve"> and </w:t>
      </w:r>
      <w:r w:rsidR="003C2A9A">
        <w:t xml:space="preserve">the unknown long-term benefit following </w:t>
      </w:r>
      <w:r w:rsidR="001C11E4">
        <w:t xml:space="preserve">a </w:t>
      </w:r>
      <w:r w:rsidR="003C2A9A">
        <w:t>fixed duration regimen with a maximum of 15 cycles of treatment</w:t>
      </w:r>
      <w:r>
        <w:t>.</w:t>
      </w:r>
      <w:r w:rsidR="00552583">
        <w:t xml:space="preserve"> The PBAC noted </w:t>
      </w:r>
      <w:r w:rsidR="00E05363">
        <w:t xml:space="preserve">with a median follow-up of 38.7 months </w:t>
      </w:r>
      <w:r w:rsidR="00552583">
        <w:t>there were only a small number of PFS events (28) and OS events (3).</w:t>
      </w:r>
      <w:r>
        <w:t xml:space="preserve"> </w:t>
      </w:r>
      <w:r w:rsidRPr="007D422B">
        <w:t>Overall, the PBAC considered any incremen</w:t>
      </w:r>
      <w:r w:rsidRPr="004F5A74">
        <w:t xml:space="preserve">tal benefit in terms of </w:t>
      </w:r>
      <w:r w:rsidR="003C2A9A">
        <w:t xml:space="preserve">progression-free or </w:t>
      </w:r>
      <w:r w:rsidRPr="004F5A74">
        <w:t xml:space="preserve">overall survival was not able to be quantified, </w:t>
      </w:r>
      <w:r w:rsidR="00D8364B" w:rsidRPr="004F5A74">
        <w:rPr>
          <w:lang w:val="en-GB" w:eastAsia="en-US"/>
        </w:rPr>
        <w:t xml:space="preserve">and that a longer duration of follow-up </w:t>
      </w:r>
      <w:r w:rsidR="00D8364B" w:rsidRPr="004F5A74">
        <w:t xml:space="preserve">from the CAPTIVATE study, which </w:t>
      </w:r>
      <w:r w:rsidR="00C022FB">
        <w:t xml:space="preserve">the PSCR stated </w:t>
      </w:r>
      <w:r w:rsidR="00D8364B" w:rsidRPr="004F5A74">
        <w:t xml:space="preserve">is expected in late 2023, </w:t>
      </w:r>
      <w:r w:rsidR="00C44B3A">
        <w:rPr>
          <w:lang w:val="en-GB" w:eastAsia="en-US"/>
        </w:rPr>
        <w:t>may</w:t>
      </w:r>
      <w:r w:rsidR="00D8364B" w:rsidRPr="004F5A74">
        <w:rPr>
          <w:lang w:val="en-GB" w:eastAsia="en-US"/>
        </w:rPr>
        <w:t xml:space="preserve"> help to determine the magnitude of the clinical benefit </w:t>
      </w:r>
      <w:r w:rsidR="00C44B3A">
        <w:rPr>
          <w:lang w:val="en-GB" w:eastAsia="en-US"/>
        </w:rPr>
        <w:t>in terms of PFS with</w:t>
      </w:r>
      <w:r w:rsidR="00D8364B" w:rsidRPr="004F5A74">
        <w:rPr>
          <w:lang w:val="en-GB" w:eastAsia="en-US"/>
        </w:rPr>
        <w:t xml:space="preserve"> fixed duration ibrutinib + venetoclax.</w:t>
      </w:r>
      <w:r w:rsidR="00D8364B">
        <w:rPr>
          <w:lang w:val="en-GB" w:eastAsia="en-US"/>
        </w:rPr>
        <w:t xml:space="preserve"> </w:t>
      </w:r>
    </w:p>
    <w:p w14:paraId="3CC0F359" w14:textId="5A7E5888" w:rsidR="0019340F" w:rsidRPr="0019340F" w:rsidRDefault="0037631F" w:rsidP="0019340F">
      <w:pPr>
        <w:pStyle w:val="COMexecsumnumberedpara"/>
        <w:numPr>
          <w:ilvl w:val="0"/>
          <w:numId w:val="12"/>
        </w:numPr>
        <w:ind w:left="1418"/>
      </w:pPr>
      <w:r>
        <w:rPr>
          <w:snapToGrid/>
        </w:rPr>
        <w:lastRenderedPageBreak/>
        <w:t>N</w:t>
      </w:r>
      <w:r w:rsidRPr="0037631F">
        <w:rPr>
          <w:snapToGrid/>
        </w:rPr>
        <w:t xml:space="preserve">o statistical adjustments </w:t>
      </w:r>
      <w:r>
        <w:rPr>
          <w:snapToGrid/>
        </w:rPr>
        <w:t xml:space="preserve">were conducted </w:t>
      </w:r>
      <w:r w:rsidRPr="0037631F">
        <w:rPr>
          <w:snapToGrid/>
        </w:rPr>
        <w:t>to account for differences in study population or circumstances of use</w:t>
      </w:r>
      <w:r w:rsidRPr="0019340F">
        <w:rPr>
          <w:snapToGrid/>
        </w:rPr>
        <w:t xml:space="preserve">. </w:t>
      </w:r>
      <w:r w:rsidR="0019340F" w:rsidRPr="0019340F">
        <w:rPr>
          <w:snapToGrid/>
        </w:rPr>
        <w:t>T</w:t>
      </w:r>
      <w:r w:rsidRPr="0019340F">
        <w:rPr>
          <w:snapToGrid/>
        </w:rPr>
        <w:t>he PBAC considered this approach inherently underestimated the statistical uncertainty associated with other unknown confounders.</w:t>
      </w:r>
      <w:r w:rsidR="006A29CB" w:rsidRPr="0019340F">
        <w:t xml:space="preserve"> </w:t>
      </w:r>
    </w:p>
    <w:p w14:paraId="4DAAED0D" w14:textId="277DC275" w:rsidR="008D127B" w:rsidRDefault="008D127B" w:rsidP="0019340F">
      <w:pPr>
        <w:pStyle w:val="COMexecsumnumberedpara"/>
        <w:numPr>
          <w:ilvl w:val="0"/>
          <w:numId w:val="12"/>
        </w:numPr>
        <w:ind w:left="1418"/>
      </w:pPr>
      <w:r w:rsidRPr="008D127B">
        <w:t xml:space="preserve">The </w:t>
      </w:r>
      <w:r>
        <w:t>PBA</w:t>
      </w:r>
      <w:r w:rsidRPr="008D127B">
        <w:t xml:space="preserve">C considered that it was unclear whether the combination of ibrutinib + venetoclax offers a superior risk-benefit profile compared with single agent ibrutinib or venetoclax in the first-line setting, and that the contribution of each medicine to the combined treatment effect was unclear. </w:t>
      </w:r>
      <w:r>
        <w:t>In particular, the PBAC considered the b</w:t>
      </w:r>
      <w:r w:rsidRPr="008D127B">
        <w:t xml:space="preserve">enefit of </w:t>
      </w:r>
      <w:r>
        <w:t xml:space="preserve">ibrutinib + venetoclax (fixed duration) versus internationally accepted current standard treatments such as </w:t>
      </w:r>
      <w:r w:rsidRPr="008D127B">
        <w:t>BTKi monotherapy</w:t>
      </w:r>
      <w:r>
        <w:t xml:space="preserve"> (treat to progression)</w:t>
      </w:r>
      <w:r w:rsidRPr="008D127B">
        <w:t xml:space="preserve"> is unclear</w:t>
      </w:r>
      <w:r>
        <w:t>.</w:t>
      </w:r>
    </w:p>
    <w:p w14:paraId="25D5A6F7" w14:textId="0B6C1D41" w:rsidR="005A25FA" w:rsidRDefault="008D127B" w:rsidP="0019340F">
      <w:pPr>
        <w:pStyle w:val="COMexecsumnumberedpara"/>
        <w:numPr>
          <w:ilvl w:val="0"/>
          <w:numId w:val="12"/>
        </w:numPr>
        <w:ind w:left="1418"/>
      </w:pPr>
      <w:r>
        <w:t xml:space="preserve">The PBAC considered that the outcome of subsequent treatment with BTK inhibitors or venetoclax was unclear, noting that </w:t>
      </w:r>
      <w:r>
        <w:rPr>
          <w:lang w:val="en-GB" w:eastAsia="en-US"/>
        </w:rPr>
        <w:t>only nine</w:t>
      </w:r>
      <w:r w:rsidRPr="004715E3">
        <w:rPr>
          <w:lang w:val="en-GB" w:eastAsia="en-US"/>
        </w:rPr>
        <w:t xml:space="preserve"> patients </w:t>
      </w:r>
      <w:r>
        <w:rPr>
          <w:lang w:val="en-GB" w:eastAsia="en-US"/>
        </w:rPr>
        <w:t>in the CAPTIVATE study were</w:t>
      </w:r>
      <w:r w:rsidRPr="004715E3">
        <w:rPr>
          <w:lang w:val="en-GB" w:eastAsia="en-US"/>
        </w:rPr>
        <w:t xml:space="preserve"> re-treated with </w:t>
      </w:r>
      <w:r>
        <w:rPr>
          <w:lang w:val="en-GB" w:eastAsia="en-US"/>
        </w:rPr>
        <w:t xml:space="preserve">single-agent </w:t>
      </w:r>
      <w:r w:rsidRPr="004715E3">
        <w:rPr>
          <w:lang w:val="en-GB" w:eastAsia="en-US"/>
        </w:rPr>
        <w:t>ibrutinib following disease progressio</w:t>
      </w:r>
      <w:r>
        <w:rPr>
          <w:lang w:val="en-GB" w:eastAsia="en-US"/>
        </w:rPr>
        <w:t>n</w:t>
      </w:r>
      <w:r w:rsidR="005A3797" w:rsidRPr="005A3797">
        <w:t>.</w:t>
      </w:r>
      <w:r w:rsidR="00CC3539">
        <w:t xml:space="preserve"> </w:t>
      </w:r>
    </w:p>
    <w:p w14:paraId="40890B9C" w14:textId="0586D25D" w:rsidR="001104CE" w:rsidRPr="001326B0" w:rsidRDefault="001326B0" w:rsidP="00B87845">
      <w:pPr>
        <w:widowControl w:val="0"/>
        <w:numPr>
          <w:ilvl w:val="1"/>
          <w:numId w:val="1"/>
        </w:numPr>
        <w:spacing w:after="120"/>
        <w:rPr>
          <w:rFonts w:asciiTheme="minorHAnsi" w:hAnsiTheme="minorHAnsi"/>
          <w:snapToGrid w:val="0"/>
          <w:lang w:val="en-GB" w:eastAsia="en-US"/>
        </w:rPr>
      </w:pPr>
      <w:r w:rsidRPr="001326B0">
        <w:rPr>
          <w:rFonts w:asciiTheme="minorHAnsi" w:hAnsiTheme="minorHAnsi"/>
          <w:snapToGrid w:val="0"/>
          <w:lang w:val="en-GB" w:eastAsia="en-US"/>
        </w:rPr>
        <w:t xml:space="preserve">The PBAC </w:t>
      </w:r>
      <w:r w:rsidR="003C58ED">
        <w:rPr>
          <w:rFonts w:asciiTheme="minorHAnsi" w:hAnsiTheme="minorHAnsi"/>
          <w:snapToGrid w:val="0"/>
          <w:lang w:val="en-GB" w:eastAsia="en-US"/>
        </w:rPr>
        <w:t xml:space="preserve">noted </w:t>
      </w:r>
      <w:r w:rsidR="00FC5B3C">
        <w:rPr>
          <w:rFonts w:asciiTheme="minorHAnsi" w:hAnsiTheme="minorHAnsi"/>
          <w:snapToGrid w:val="0"/>
          <w:lang w:val="en-GB" w:eastAsia="en-US"/>
        </w:rPr>
        <w:t xml:space="preserve">that </w:t>
      </w:r>
      <w:r w:rsidR="00FC5B3C" w:rsidRPr="005B7A62">
        <w:t>cardiac adverse events including atrial fibrillation and cardiac failure, and haemorrhagic events were reported with ibrutinib + venetoclax</w:t>
      </w:r>
      <w:r w:rsidR="0037103B">
        <w:t xml:space="preserve">. </w:t>
      </w:r>
      <w:r w:rsidR="0005624F">
        <w:t xml:space="preserve">The PBAC also noted that the TGA Delegate’s Overview </w:t>
      </w:r>
      <w:r w:rsidR="00B26163">
        <w:t>stated,</w:t>
      </w:r>
      <w:r w:rsidR="0005624F">
        <w:t xml:space="preserve"> “t</w:t>
      </w:r>
      <w:r w:rsidR="0005624F" w:rsidRPr="0005624F">
        <w:t>here is an increasing strength in the signal for cardiovascular risk for ibrutinib, a known risk with this medicine</w:t>
      </w:r>
      <w:r w:rsidR="0005624F">
        <w:t>”</w:t>
      </w:r>
      <w:r w:rsidRPr="001326B0">
        <w:rPr>
          <w:rFonts w:asciiTheme="minorHAnsi" w:hAnsiTheme="minorHAnsi"/>
          <w:snapToGrid w:val="0"/>
          <w:lang w:val="en-GB" w:eastAsia="en-US"/>
        </w:rPr>
        <w:t>.</w:t>
      </w:r>
    </w:p>
    <w:p w14:paraId="4A67F9B7" w14:textId="3285FDD6" w:rsidR="004245CD" w:rsidRPr="004245CD" w:rsidRDefault="004F5A74" w:rsidP="004245CD">
      <w:pPr>
        <w:pStyle w:val="ListParagraph"/>
        <w:numPr>
          <w:ilvl w:val="1"/>
          <w:numId w:val="1"/>
        </w:numPr>
        <w:rPr>
          <w:snapToGrid/>
        </w:rPr>
      </w:pPr>
      <w:bookmarkStart w:id="91" w:name="_Ref121469202"/>
      <w:r w:rsidRPr="004245CD">
        <w:rPr>
          <w:snapToGrid/>
          <w:lang w:val="en-GB"/>
        </w:rPr>
        <w:t>The PBAC considered that the cost</w:t>
      </w:r>
      <w:r w:rsidRPr="00044EF6">
        <w:t xml:space="preserve">-effectiveness of </w:t>
      </w:r>
      <w:r>
        <w:t xml:space="preserve">ibrutinib + venetoclax </w:t>
      </w:r>
      <w:r w:rsidRPr="00044EF6">
        <w:t xml:space="preserve">was unable to be reliably assessed </w:t>
      </w:r>
      <w:r w:rsidRPr="00044EF6">
        <w:rPr>
          <w:snapToGrid/>
        </w:rPr>
        <w:t xml:space="preserve">due to the uncertain magnitude of benefit, </w:t>
      </w:r>
      <w:r>
        <w:rPr>
          <w:snapToGrid/>
        </w:rPr>
        <w:t>which relied on</w:t>
      </w:r>
      <w:r w:rsidRPr="00044EF6">
        <w:rPr>
          <w:snapToGrid/>
        </w:rPr>
        <w:t xml:space="preserve"> </w:t>
      </w:r>
      <w:r>
        <w:rPr>
          <w:snapToGrid/>
        </w:rPr>
        <w:t xml:space="preserve">immature data from the CAPTIVATE study, and </w:t>
      </w:r>
      <w:r w:rsidR="004245CD">
        <w:rPr>
          <w:snapToGrid/>
        </w:rPr>
        <w:t xml:space="preserve">an </w:t>
      </w:r>
      <w:r w:rsidRPr="004F5A74">
        <w:rPr>
          <w:snapToGrid/>
        </w:rPr>
        <w:t xml:space="preserve">unanchored, unadjusted indirect </w:t>
      </w:r>
      <w:r w:rsidR="004245CD">
        <w:rPr>
          <w:snapToGrid/>
        </w:rPr>
        <w:t>comparison versus FCR</w:t>
      </w:r>
      <w:r w:rsidRPr="00044EF6">
        <w:rPr>
          <w:snapToGrid/>
        </w:rPr>
        <w:t>.</w:t>
      </w:r>
      <w:r w:rsidR="004245CD">
        <w:rPr>
          <w:snapToGrid/>
        </w:rPr>
        <w:t xml:space="preserve"> T</w:t>
      </w:r>
      <w:r w:rsidR="004245CD" w:rsidRPr="004245CD">
        <w:rPr>
          <w:snapToGrid/>
        </w:rPr>
        <w:t xml:space="preserve">he submission’s extrapolation of the naïve comparison of PFS curves resulted in large differences between treatment arms over the 20-year time horizon, which may not be realised in clinical practice. </w:t>
      </w:r>
    </w:p>
    <w:p w14:paraId="124FEB30" w14:textId="5CF3088D" w:rsidR="004245CD" w:rsidRPr="00096308" w:rsidRDefault="004245CD" w:rsidP="00096308">
      <w:pPr>
        <w:widowControl w:val="0"/>
        <w:numPr>
          <w:ilvl w:val="1"/>
          <w:numId w:val="1"/>
        </w:numPr>
        <w:spacing w:after="120"/>
      </w:pPr>
      <w:r w:rsidRPr="004245CD">
        <w:t>The submission and PSCR indicated that</w:t>
      </w:r>
      <w:r>
        <w:t xml:space="preserve">, given the immaturity of the overall survival data from CAPTIVATE, </w:t>
      </w:r>
      <w:r w:rsidRPr="004245CD">
        <w:t xml:space="preserve">a more traditional partitioned survival </w:t>
      </w:r>
      <w:r>
        <w:t>model</w:t>
      </w:r>
      <w:r w:rsidRPr="004245CD">
        <w:t xml:space="preserve"> could not be developed.</w:t>
      </w:r>
      <w:r>
        <w:t xml:space="preserve"> Instead, a</w:t>
      </w:r>
      <w:r w:rsidRPr="004245CD">
        <w:t xml:space="preserve"> two-state model structure (progression-free and a combined progressed/dead state)</w:t>
      </w:r>
      <w:r>
        <w:t xml:space="preserve"> was used </w:t>
      </w:r>
      <w:r w:rsidR="00E92B13" w:rsidRPr="00E92B13">
        <w:t xml:space="preserve">in which </w:t>
      </w:r>
      <w:r w:rsidRPr="009C5088">
        <w:t xml:space="preserve">patients who progressed were assigned costs and outcomes based on the results of the model for ibrutinib in the R/R setting. The PBAC considered it was unclear whether the health outcomes associated with ibrutinib in the BTK inhibitor-naïve R/R setting of the ibrutinib R/R model will be the same as the proposed population </w:t>
      </w:r>
      <w:r w:rsidRPr="00096308">
        <w:t>of patients who would already have been treated with ibrutinib + venetoclax</w:t>
      </w:r>
      <w:r w:rsidRPr="009C5088">
        <w:t>.</w:t>
      </w:r>
      <w:r w:rsidR="00E92B13" w:rsidRPr="009C5088">
        <w:t xml:space="preserve"> The PBAC further noted that</w:t>
      </w:r>
      <w:r w:rsidR="009C5088">
        <w:t xml:space="preserve"> </w:t>
      </w:r>
      <w:r w:rsidRPr="00096308">
        <w:t>none of the parametric models appeared to be a good visual fit for the ibrutinib + venetoclax Kaplan Meier data</w:t>
      </w:r>
      <w:r w:rsidR="00E92B13" w:rsidRPr="00096308">
        <w:t>.</w:t>
      </w:r>
    </w:p>
    <w:p w14:paraId="3FFE5768" w14:textId="48CEF1F9" w:rsidR="003A3CA8" w:rsidRPr="003A3CA8" w:rsidRDefault="00D75ECE" w:rsidP="003A3CA8">
      <w:pPr>
        <w:widowControl w:val="0"/>
        <w:numPr>
          <w:ilvl w:val="1"/>
          <w:numId w:val="1"/>
        </w:numPr>
        <w:spacing w:after="120"/>
        <w:rPr>
          <w:rFonts w:ascii="Times New Roman" w:hAnsi="Times New Roman" w:cs="Times New Roman"/>
          <w:lang w:eastAsia="en-US"/>
        </w:rPr>
      </w:pPr>
      <w:bookmarkStart w:id="92" w:name="_Ref122443488"/>
      <w:bookmarkEnd w:id="91"/>
      <w:r w:rsidRPr="0037631F">
        <w:t xml:space="preserve">The PBAC </w:t>
      </w:r>
      <w:r w:rsidR="00B137E7" w:rsidRPr="0037631F">
        <w:t>noted that</w:t>
      </w:r>
      <w:r w:rsidR="00B137E7">
        <w:t xml:space="preserve"> </w:t>
      </w:r>
      <w:r w:rsidR="00B137E7" w:rsidRPr="00D75ECE">
        <w:t xml:space="preserve">the </w:t>
      </w:r>
      <w:r w:rsidR="00F85E0B">
        <w:t xml:space="preserve">submission used an epidemiological approach to estimate the use and financial implications of listing ibrutinib + venetoclax on the PBS. The PBAC noted </w:t>
      </w:r>
      <w:r w:rsidR="009C5088">
        <w:t xml:space="preserve">that </w:t>
      </w:r>
      <w:r w:rsidR="00F85E0B">
        <w:t xml:space="preserve">the </w:t>
      </w:r>
      <w:r w:rsidR="009C5088">
        <w:t xml:space="preserve">estimated </w:t>
      </w:r>
      <w:r w:rsidR="00F85E0B">
        <w:t xml:space="preserve">number of patients for which treatment with ibrutinib + venetoclax </w:t>
      </w:r>
      <w:r w:rsidR="0029614F">
        <w:t>was assumed</w:t>
      </w:r>
      <w:r w:rsidR="00F85E0B">
        <w:t xml:space="preserve"> </w:t>
      </w:r>
      <w:r w:rsidR="005B50A9">
        <w:t xml:space="preserve">to </w:t>
      </w:r>
      <w:r w:rsidR="00F85E0B">
        <w:t>replace FCR far exceeded the current use of FCR (</w:t>
      </w:r>
      <w:r w:rsidR="007466A9" w:rsidRPr="007466A9">
        <w:t>500 to &lt; 5,000</w:t>
      </w:r>
      <w:r w:rsidR="00F85E0B">
        <w:t xml:space="preserve"> patients in </w:t>
      </w:r>
      <w:r w:rsidR="00F14444">
        <w:t>Y</w:t>
      </w:r>
      <w:r w:rsidR="00F85E0B">
        <w:t>ear 6 versus less than 150 patients</w:t>
      </w:r>
      <w:r w:rsidR="0069707C">
        <w:t xml:space="preserve">, per </w:t>
      </w:r>
      <w:r w:rsidR="00F14444">
        <w:fldChar w:fldCharType="begin" w:fldLock="1"/>
      </w:r>
      <w:r w:rsidR="00F14444">
        <w:instrText xml:space="preserve"> REF _Ref112923149 \h </w:instrText>
      </w:r>
      <w:r w:rsidR="00F14444">
        <w:fldChar w:fldCharType="separate"/>
      </w:r>
      <w:r w:rsidR="00B22386" w:rsidRPr="00C52646">
        <w:t xml:space="preserve">Table </w:t>
      </w:r>
      <w:r w:rsidR="00B22386">
        <w:rPr>
          <w:noProof/>
        </w:rPr>
        <w:t>14</w:t>
      </w:r>
      <w:r w:rsidR="00F14444">
        <w:fldChar w:fldCharType="end"/>
      </w:r>
      <w:r w:rsidR="00F14444">
        <w:t xml:space="preserve"> </w:t>
      </w:r>
      <w:r w:rsidR="00F14444">
        <w:lastRenderedPageBreak/>
        <w:t xml:space="preserve">and </w:t>
      </w:r>
      <w:r w:rsidR="0069707C">
        <w:t xml:space="preserve">paragraph </w:t>
      </w:r>
      <w:r w:rsidR="0069707C">
        <w:fldChar w:fldCharType="begin" w:fldLock="1"/>
      </w:r>
      <w:r w:rsidR="0069707C">
        <w:instrText xml:space="preserve"> REF _Ref124245174 \r \h </w:instrText>
      </w:r>
      <w:r w:rsidR="0069707C">
        <w:fldChar w:fldCharType="separate"/>
      </w:r>
      <w:r w:rsidR="00B22386">
        <w:t>4.9</w:t>
      </w:r>
      <w:r w:rsidR="0069707C">
        <w:fldChar w:fldCharType="end"/>
      </w:r>
      <w:r w:rsidR="00F85E0B">
        <w:t>). The PBAC considered</w:t>
      </w:r>
      <w:r w:rsidR="009C5088">
        <w:t xml:space="preserve"> that</w:t>
      </w:r>
      <w:r w:rsidR="00F85E0B">
        <w:t xml:space="preserve"> this discrepancy reflected that FCR is no longer the </w:t>
      </w:r>
      <w:r w:rsidR="009C5088">
        <w:t xml:space="preserve">appropriate </w:t>
      </w:r>
      <w:r w:rsidR="00F85E0B">
        <w:t xml:space="preserve">main comparator. </w:t>
      </w:r>
      <w:r w:rsidR="0029614F">
        <w:t xml:space="preserve">The PBAC noted the </w:t>
      </w:r>
      <w:r w:rsidR="00B137E7">
        <w:t xml:space="preserve">revised </w:t>
      </w:r>
      <w:r w:rsidR="00B137E7" w:rsidRPr="00D75ECE">
        <w:t>financial estimates presented in the</w:t>
      </w:r>
      <w:r w:rsidR="002800AA">
        <w:t xml:space="preserve"> </w:t>
      </w:r>
      <w:r w:rsidR="00B137E7">
        <w:t>pre-PBAC response had applied a lower uptake rate but considered that the</w:t>
      </w:r>
      <w:r w:rsidR="00422824">
        <w:t xml:space="preserve"> uptake potentially remained overestimated given the limited clinical data for use of ibrutinib + venetoclax</w:t>
      </w:r>
      <w:r w:rsidR="007524E3">
        <w:t>,</w:t>
      </w:r>
      <w:r w:rsidR="00422824">
        <w:t xml:space="preserve"> and further that the</w:t>
      </w:r>
      <w:r w:rsidR="00B137E7">
        <w:t xml:space="preserve"> financial estimates </w:t>
      </w:r>
      <w:r w:rsidR="00610A0D">
        <w:t>remained</w:t>
      </w:r>
      <w:r w:rsidR="00B137E7">
        <w:t xml:space="preserve"> uncertain as outlined in</w:t>
      </w:r>
      <w:r w:rsidR="00B137E7" w:rsidRPr="00D75ECE">
        <w:t xml:space="preserve"> </w:t>
      </w:r>
      <w:r w:rsidR="0051352D">
        <w:t>p</w:t>
      </w:r>
      <w:r w:rsidR="00B137E7" w:rsidRPr="00D75ECE">
        <w:t xml:space="preserve">aragraph </w:t>
      </w:r>
      <w:r w:rsidR="00B137E7">
        <w:fldChar w:fldCharType="begin" w:fldLock="1"/>
      </w:r>
      <w:r w:rsidR="00B137E7">
        <w:instrText xml:space="preserve"> REF _Ref116375046 \r \h </w:instrText>
      </w:r>
      <w:r w:rsidR="00B137E7">
        <w:fldChar w:fldCharType="separate"/>
      </w:r>
      <w:r w:rsidR="00B22386">
        <w:t>6.70</w:t>
      </w:r>
      <w:r w:rsidR="00B137E7">
        <w:fldChar w:fldCharType="end"/>
      </w:r>
      <w:r w:rsidR="00B137E7" w:rsidRPr="00D75ECE">
        <w:t xml:space="preserve"> and</w:t>
      </w:r>
      <w:r w:rsidR="00B137E7">
        <w:t xml:space="preserve"> </w:t>
      </w:r>
      <w:r w:rsidR="00B137E7">
        <w:fldChar w:fldCharType="begin" w:fldLock="1"/>
      </w:r>
      <w:r w:rsidR="00B137E7">
        <w:instrText xml:space="preserve"> REF _Ref116360019 \r \h </w:instrText>
      </w:r>
      <w:r w:rsidR="00B137E7">
        <w:fldChar w:fldCharType="separate"/>
      </w:r>
      <w:r w:rsidR="00B22386">
        <w:t>6.73</w:t>
      </w:r>
      <w:r w:rsidR="00B137E7">
        <w:fldChar w:fldCharType="end"/>
      </w:r>
      <w:r w:rsidR="00610A0D">
        <w:t xml:space="preserve">. </w:t>
      </w:r>
      <w:bookmarkEnd w:id="92"/>
    </w:p>
    <w:p w14:paraId="7CF9AC0C" w14:textId="7A04E4BB" w:rsidR="00204991" w:rsidRPr="002830F6" w:rsidRDefault="00204991" w:rsidP="00204991">
      <w:pPr>
        <w:widowControl w:val="0"/>
        <w:numPr>
          <w:ilvl w:val="1"/>
          <w:numId w:val="1"/>
        </w:numPr>
        <w:spacing w:after="120"/>
        <w:rPr>
          <w:rFonts w:asciiTheme="minorHAnsi" w:hAnsiTheme="minorHAnsi" w:cstheme="minorHAnsi"/>
          <w:lang w:eastAsia="en-US"/>
        </w:rPr>
      </w:pPr>
      <w:r w:rsidRPr="00204991">
        <w:rPr>
          <w:rFonts w:asciiTheme="minorHAnsi" w:hAnsiTheme="minorHAnsi" w:cstheme="minorHAnsi"/>
          <w:lang w:eastAsia="en-US"/>
        </w:rPr>
        <w:t xml:space="preserve">The PBAC </w:t>
      </w:r>
      <w:r w:rsidRPr="002830F6">
        <w:rPr>
          <w:rFonts w:asciiTheme="minorHAnsi" w:hAnsiTheme="minorHAnsi" w:cstheme="minorHAnsi"/>
          <w:lang w:eastAsia="en-US"/>
        </w:rPr>
        <w:t xml:space="preserve">considered </w:t>
      </w:r>
      <w:bookmarkStart w:id="93" w:name="_Hlk124346559"/>
      <w:r w:rsidRPr="002830F6">
        <w:rPr>
          <w:rFonts w:asciiTheme="minorHAnsi" w:hAnsiTheme="minorHAnsi" w:cstheme="minorHAnsi"/>
          <w:lang w:eastAsia="en-US"/>
        </w:rPr>
        <w:t xml:space="preserve">a resubmission for </w:t>
      </w:r>
      <w:bookmarkEnd w:id="93"/>
      <w:r w:rsidRPr="002830F6">
        <w:rPr>
          <w:rFonts w:asciiTheme="minorHAnsi" w:hAnsiTheme="minorHAnsi" w:cstheme="minorHAnsi"/>
          <w:lang w:eastAsia="en-US"/>
        </w:rPr>
        <w:t>ibrutinib + venetoclax should address the following issues:</w:t>
      </w:r>
    </w:p>
    <w:p w14:paraId="73183433" w14:textId="534DB681" w:rsidR="004B3E49" w:rsidRDefault="004B3E49" w:rsidP="004E1E91">
      <w:pPr>
        <w:pStyle w:val="ListParagraph"/>
        <w:widowControl w:val="0"/>
        <w:numPr>
          <w:ilvl w:val="0"/>
          <w:numId w:val="14"/>
        </w:numPr>
        <w:ind w:left="1037" w:hanging="357"/>
        <w:rPr>
          <w:rFonts w:cstheme="minorHAnsi"/>
          <w:lang w:eastAsia="en-US"/>
        </w:rPr>
      </w:pPr>
      <w:r>
        <w:rPr>
          <w:rFonts w:cstheme="minorHAnsi"/>
          <w:lang w:eastAsia="en-US"/>
        </w:rPr>
        <w:t>The proposed PBS restriction criteria</w:t>
      </w:r>
      <w:r w:rsidR="00862914">
        <w:rPr>
          <w:rFonts w:cstheme="minorHAnsi"/>
          <w:lang w:eastAsia="en-US"/>
        </w:rPr>
        <w:t>,</w:t>
      </w:r>
      <w:r w:rsidR="00862914" w:rsidRPr="00862914">
        <w:rPr>
          <w:rFonts w:cstheme="minorHAnsi"/>
          <w:lang w:eastAsia="en-US"/>
        </w:rPr>
        <w:t xml:space="preserve"> </w:t>
      </w:r>
      <w:r w:rsidR="00862914">
        <w:rPr>
          <w:rFonts w:cstheme="minorHAnsi"/>
          <w:lang w:eastAsia="en-US"/>
        </w:rPr>
        <w:t xml:space="preserve">noting the </w:t>
      </w:r>
      <w:r w:rsidR="00862914" w:rsidRPr="00BD09F3">
        <w:rPr>
          <w:rFonts w:cstheme="minorHAnsi"/>
          <w:lang w:eastAsia="en-US"/>
        </w:rPr>
        <w:t xml:space="preserve">PBAC advice in paragraph </w:t>
      </w:r>
      <w:r w:rsidR="00BD09F3" w:rsidRPr="00BD09F3">
        <w:rPr>
          <w:rFonts w:cstheme="minorHAnsi"/>
          <w:lang w:eastAsia="en-US"/>
        </w:rPr>
        <w:fldChar w:fldCharType="begin" w:fldLock="1"/>
      </w:r>
      <w:r w:rsidR="00BD09F3" w:rsidRPr="00BD09F3">
        <w:rPr>
          <w:rFonts w:cstheme="minorHAnsi"/>
          <w:lang w:eastAsia="en-US"/>
        </w:rPr>
        <w:instrText xml:space="preserve"> REF _Ref124354943 \r \h </w:instrText>
      </w:r>
      <w:r w:rsidR="00BD09F3">
        <w:rPr>
          <w:rFonts w:cstheme="minorHAnsi"/>
          <w:lang w:eastAsia="en-US"/>
        </w:rPr>
        <w:instrText xml:space="preserve"> \* MERGEFORMAT </w:instrText>
      </w:r>
      <w:r w:rsidR="00BD09F3" w:rsidRPr="00BD09F3">
        <w:rPr>
          <w:rFonts w:cstheme="minorHAnsi"/>
          <w:lang w:eastAsia="en-US"/>
        </w:rPr>
      </w:r>
      <w:r w:rsidR="00BD09F3" w:rsidRPr="00BD09F3">
        <w:rPr>
          <w:rFonts w:cstheme="minorHAnsi"/>
          <w:lang w:eastAsia="en-US"/>
        </w:rPr>
        <w:fldChar w:fldCharType="separate"/>
      </w:r>
      <w:r w:rsidR="00B22386">
        <w:rPr>
          <w:rFonts w:cstheme="minorHAnsi"/>
          <w:lang w:eastAsia="en-US"/>
        </w:rPr>
        <w:t>7.13</w:t>
      </w:r>
      <w:r w:rsidR="00BD09F3" w:rsidRPr="00BD09F3">
        <w:rPr>
          <w:rFonts w:cstheme="minorHAnsi"/>
          <w:lang w:eastAsia="en-US"/>
        </w:rPr>
        <w:fldChar w:fldCharType="end"/>
      </w:r>
      <w:r w:rsidR="00BD09F3">
        <w:rPr>
          <w:rFonts w:cstheme="minorHAnsi"/>
          <w:lang w:eastAsia="en-US"/>
        </w:rPr>
        <w:t xml:space="preserve"> </w:t>
      </w:r>
      <w:r w:rsidR="000F4423">
        <w:rPr>
          <w:rFonts w:cstheme="minorHAnsi"/>
          <w:lang w:eastAsia="en-US"/>
        </w:rPr>
        <w:t>below</w:t>
      </w:r>
      <w:r w:rsidR="00862914">
        <w:rPr>
          <w:rFonts w:cstheme="minorHAnsi"/>
          <w:lang w:eastAsia="en-US"/>
        </w:rPr>
        <w:t xml:space="preserve"> regarding revisions to the existing CLL/SLL PBS restrictions.</w:t>
      </w:r>
    </w:p>
    <w:p w14:paraId="613F9968" w14:textId="1E12CE99" w:rsidR="001D4330" w:rsidRDefault="001D4330" w:rsidP="004E1E91">
      <w:pPr>
        <w:pStyle w:val="ListParagraph"/>
        <w:widowControl w:val="0"/>
        <w:numPr>
          <w:ilvl w:val="0"/>
          <w:numId w:val="14"/>
        </w:numPr>
        <w:ind w:left="1037" w:hanging="357"/>
        <w:rPr>
          <w:rFonts w:cstheme="minorHAnsi"/>
          <w:lang w:eastAsia="en-US"/>
        </w:rPr>
      </w:pPr>
      <w:r>
        <w:rPr>
          <w:rFonts w:cstheme="minorHAnsi"/>
          <w:lang w:eastAsia="en-US"/>
        </w:rPr>
        <w:t>The appropriate main comparator</w:t>
      </w:r>
      <w:r w:rsidR="00862914">
        <w:rPr>
          <w:rFonts w:cstheme="minorHAnsi"/>
          <w:lang w:eastAsia="en-US"/>
        </w:rPr>
        <w:t>,</w:t>
      </w:r>
      <w:r>
        <w:rPr>
          <w:rFonts w:cstheme="minorHAnsi"/>
          <w:lang w:eastAsia="en-US"/>
        </w:rPr>
        <w:t xml:space="preserve"> noting the PBAC advice in </w:t>
      </w:r>
      <w:r w:rsidR="00BD09F3" w:rsidRPr="00BD09F3">
        <w:rPr>
          <w:rFonts w:cstheme="minorHAnsi"/>
          <w:lang w:eastAsia="en-US"/>
        </w:rPr>
        <w:t xml:space="preserve">paragraph </w:t>
      </w:r>
      <w:r w:rsidR="00BD09F3" w:rsidRPr="00BD09F3">
        <w:rPr>
          <w:rFonts w:cstheme="minorHAnsi"/>
          <w:lang w:eastAsia="en-US"/>
        </w:rPr>
        <w:fldChar w:fldCharType="begin" w:fldLock="1"/>
      </w:r>
      <w:r w:rsidR="00BD09F3" w:rsidRPr="00BD09F3">
        <w:rPr>
          <w:rFonts w:cstheme="minorHAnsi"/>
          <w:lang w:eastAsia="en-US"/>
        </w:rPr>
        <w:instrText xml:space="preserve"> REF _Ref124354943 \r \h </w:instrText>
      </w:r>
      <w:r w:rsidR="00BD09F3">
        <w:rPr>
          <w:rFonts w:cstheme="minorHAnsi"/>
          <w:lang w:eastAsia="en-US"/>
        </w:rPr>
        <w:instrText xml:space="preserve"> \* MERGEFORMAT </w:instrText>
      </w:r>
      <w:r w:rsidR="00BD09F3" w:rsidRPr="00BD09F3">
        <w:rPr>
          <w:rFonts w:cstheme="minorHAnsi"/>
          <w:lang w:eastAsia="en-US"/>
        </w:rPr>
      </w:r>
      <w:r w:rsidR="00BD09F3" w:rsidRPr="00BD09F3">
        <w:rPr>
          <w:rFonts w:cstheme="minorHAnsi"/>
          <w:lang w:eastAsia="en-US"/>
        </w:rPr>
        <w:fldChar w:fldCharType="separate"/>
      </w:r>
      <w:r w:rsidR="00B22386">
        <w:rPr>
          <w:rFonts w:cstheme="minorHAnsi"/>
          <w:lang w:eastAsia="en-US"/>
        </w:rPr>
        <w:t>7.13</w:t>
      </w:r>
      <w:r w:rsidR="00BD09F3" w:rsidRPr="00BD09F3">
        <w:rPr>
          <w:rFonts w:cstheme="minorHAnsi"/>
          <w:lang w:eastAsia="en-US"/>
        </w:rPr>
        <w:fldChar w:fldCharType="end"/>
      </w:r>
      <w:r w:rsidR="00BD09F3">
        <w:rPr>
          <w:rFonts w:cstheme="minorHAnsi"/>
          <w:lang w:eastAsia="en-US"/>
        </w:rPr>
        <w:t xml:space="preserve"> </w:t>
      </w:r>
      <w:r>
        <w:rPr>
          <w:rFonts w:cstheme="minorHAnsi"/>
          <w:lang w:eastAsia="en-US"/>
        </w:rPr>
        <w:t>regarding revisions to the existing CLL/SLL PBS restrictions</w:t>
      </w:r>
      <w:r w:rsidR="00F356BE">
        <w:rPr>
          <w:rFonts w:cstheme="minorHAnsi"/>
          <w:lang w:eastAsia="en-US"/>
        </w:rPr>
        <w:t>.</w:t>
      </w:r>
      <w:r>
        <w:rPr>
          <w:rFonts w:cstheme="minorHAnsi"/>
          <w:lang w:eastAsia="en-US"/>
        </w:rPr>
        <w:t xml:space="preserve"> </w:t>
      </w:r>
      <w:r w:rsidR="00F356BE">
        <w:t xml:space="preserve">Should venetoclax + obinutuzumab be listed for all patients regardless of suitability for </w:t>
      </w:r>
      <w:r w:rsidR="00F356BE" w:rsidRPr="00151175">
        <w:t xml:space="preserve">fludarabine-based </w:t>
      </w:r>
      <w:r w:rsidR="00EE4C95">
        <w:t>chemoimmunotherapy</w:t>
      </w:r>
      <w:r w:rsidR="00F356BE">
        <w:t xml:space="preserve"> and regardless of CIRS score, the PBAC noted that there may be a degree of overlap with the likely patient population for ibrutinib + venetoclax.</w:t>
      </w:r>
    </w:p>
    <w:p w14:paraId="369837D9" w14:textId="2FFE6F2C" w:rsidR="005365B7" w:rsidRPr="002830F6" w:rsidRDefault="001D4330" w:rsidP="004E1E91">
      <w:pPr>
        <w:pStyle w:val="ListParagraph"/>
        <w:widowControl w:val="0"/>
        <w:numPr>
          <w:ilvl w:val="0"/>
          <w:numId w:val="14"/>
        </w:numPr>
        <w:ind w:left="1037" w:hanging="357"/>
        <w:rPr>
          <w:rFonts w:cstheme="minorHAnsi"/>
          <w:lang w:eastAsia="en-US"/>
        </w:rPr>
      </w:pPr>
      <w:r>
        <w:rPr>
          <w:rFonts w:cstheme="minorHAnsi"/>
          <w:lang w:eastAsia="en-US"/>
        </w:rPr>
        <w:t>The limited clinical evidence</w:t>
      </w:r>
      <w:r w:rsidR="00862914">
        <w:rPr>
          <w:rFonts w:cstheme="minorHAnsi"/>
          <w:lang w:eastAsia="en-US"/>
        </w:rPr>
        <w:t xml:space="preserve"> presented for ibrutinib + vene</w:t>
      </w:r>
      <w:r w:rsidR="000F4423">
        <w:rPr>
          <w:rFonts w:cstheme="minorHAnsi"/>
          <w:lang w:eastAsia="en-US"/>
        </w:rPr>
        <w:t>t</w:t>
      </w:r>
      <w:r w:rsidR="00862914">
        <w:rPr>
          <w:rFonts w:cstheme="minorHAnsi"/>
          <w:lang w:eastAsia="en-US"/>
        </w:rPr>
        <w:t>oclax. The PBAC noted further follow-up</w:t>
      </w:r>
      <w:r w:rsidR="005365B7" w:rsidRPr="002830F6">
        <w:rPr>
          <w:rFonts w:cstheme="minorHAnsi"/>
          <w:lang w:eastAsia="en-US"/>
        </w:rPr>
        <w:t xml:space="preserve"> data from the CAPTIVATE study</w:t>
      </w:r>
      <w:r w:rsidR="00862914">
        <w:rPr>
          <w:rFonts w:cstheme="minorHAnsi"/>
          <w:lang w:eastAsia="en-US"/>
        </w:rPr>
        <w:t xml:space="preserve"> and/or information from the GLOW trial would potentially be informative</w:t>
      </w:r>
      <w:r w:rsidR="005365B7" w:rsidRPr="002830F6">
        <w:rPr>
          <w:rFonts w:cstheme="minorHAnsi"/>
          <w:lang w:eastAsia="en-US"/>
        </w:rPr>
        <w:t>.</w:t>
      </w:r>
    </w:p>
    <w:p w14:paraId="7032C5CB" w14:textId="760061B3" w:rsidR="00862914" w:rsidRDefault="00862914" w:rsidP="004E1E91">
      <w:pPr>
        <w:pStyle w:val="ListParagraph"/>
        <w:widowControl w:val="0"/>
        <w:numPr>
          <w:ilvl w:val="0"/>
          <w:numId w:val="14"/>
        </w:numPr>
        <w:ind w:left="1037" w:hanging="357"/>
        <w:rPr>
          <w:rFonts w:cstheme="minorHAnsi"/>
          <w:lang w:eastAsia="en-US"/>
        </w:rPr>
      </w:pPr>
      <w:r>
        <w:rPr>
          <w:rFonts w:cstheme="minorHAnsi"/>
          <w:lang w:eastAsia="en-US"/>
        </w:rPr>
        <w:t>The PBAC noted the proposed restrictions and comparator in any resubmission will inform the approach for the economic model and financial forecasts.</w:t>
      </w:r>
      <w:r w:rsidR="00F356BE">
        <w:rPr>
          <w:rFonts w:cstheme="minorHAnsi"/>
          <w:lang w:eastAsia="en-US"/>
        </w:rPr>
        <w:t xml:space="preserve"> </w:t>
      </w:r>
      <w:r w:rsidR="00BC5DB9">
        <w:rPr>
          <w:rFonts w:cstheme="minorHAnsi"/>
          <w:lang w:eastAsia="en-US"/>
        </w:rPr>
        <w:t>However, t</w:t>
      </w:r>
      <w:r w:rsidR="00F356BE">
        <w:rPr>
          <w:rFonts w:cstheme="minorHAnsi"/>
          <w:lang w:eastAsia="en-US"/>
        </w:rPr>
        <w:t xml:space="preserve">he PBAC </w:t>
      </w:r>
      <w:r w:rsidR="00BC5DB9">
        <w:rPr>
          <w:rFonts w:cstheme="minorHAnsi"/>
          <w:lang w:eastAsia="en-US"/>
        </w:rPr>
        <w:t xml:space="preserve">also </w:t>
      </w:r>
      <w:r w:rsidR="00F356BE">
        <w:rPr>
          <w:rFonts w:cstheme="minorHAnsi"/>
          <w:lang w:eastAsia="en-US"/>
        </w:rPr>
        <w:t xml:space="preserve">noted that the </w:t>
      </w:r>
      <w:r w:rsidR="00BC5DB9">
        <w:rPr>
          <w:rFonts w:cstheme="minorHAnsi"/>
          <w:lang w:eastAsia="en-US"/>
        </w:rPr>
        <w:t xml:space="preserve">economic model informing the PBS listing for </w:t>
      </w:r>
      <w:r w:rsidR="00BC5DB9">
        <w:t xml:space="preserve">venetoclax + obinutuzumab for the first-line treatment of CLL/SLL was based on a randomised head-to-head trial versus the accepted comparator (chlorambucil + obinutuzumab) and hence the pricing was informed by relatively robust data. On this </w:t>
      </w:r>
      <w:r w:rsidR="00B26163">
        <w:t>basis and</w:t>
      </w:r>
      <w:r w:rsidR="00BC5DB9">
        <w:t xml:space="preserve"> given the potential overlap in the patient populations treated with venetoclax + ibrutinib and venetoclax + obinutuzumab, the PBAC considered a cost comparison of the two regimens would be informative in any resubmission.</w:t>
      </w:r>
    </w:p>
    <w:p w14:paraId="664B8DFE" w14:textId="02FD9E61" w:rsidR="00204991" w:rsidRPr="00204991" w:rsidRDefault="00204991" w:rsidP="00204991">
      <w:pPr>
        <w:widowControl w:val="0"/>
        <w:numPr>
          <w:ilvl w:val="1"/>
          <w:numId w:val="1"/>
        </w:numPr>
        <w:spacing w:after="120"/>
        <w:rPr>
          <w:rFonts w:asciiTheme="minorHAnsi" w:hAnsiTheme="minorHAnsi" w:cstheme="minorHAnsi"/>
          <w:lang w:eastAsia="en-US"/>
        </w:rPr>
      </w:pPr>
      <w:bookmarkStart w:id="94" w:name="_Hlk124346645"/>
      <w:r w:rsidRPr="00204991">
        <w:rPr>
          <w:rFonts w:asciiTheme="minorHAnsi" w:hAnsiTheme="minorHAnsi" w:cstheme="minorHAnsi"/>
          <w:lang w:eastAsia="en-US"/>
        </w:rPr>
        <w:t>The resubmission may be lodged at any future standard due date for PBAC submissions using the standard re-entry pathway.</w:t>
      </w:r>
    </w:p>
    <w:bookmarkEnd w:id="94"/>
    <w:p w14:paraId="4C81339B" w14:textId="432A79B1" w:rsidR="00536666" w:rsidRDefault="001104CE" w:rsidP="00B87845">
      <w:pPr>
        <w:widowControl w:val="0"/>
        <w:numPr>
          <w:ilvl w:val="1"/>
          <w:numId w:val="1"/>
        </w:numPr>
        <w:spacing w:after="120"/>
        <w:rPr>
          <w:rFonts w:asciiTheme="minorHAnsi" w:hAnsiTheme="minorHAnsi"/>
          <w:bCs/>
          <w:snapToGrid w:val="0"/>
          <w:lang w:val="en-GB" w:eastAsia="en-US"/>
        </w:rPr>
      </w:pPr>
      <w:r w:rsidRPr="001104CE">
        <w:rPr>
          <w:rFonts w:asciiTheme="minorHAnsi" w:hAnsiTheme="minorHAnsi"/>
          <w:bCs/>
          <w:snapToGrid w:val="0"/>
          <w:lang w:val="en-GB" w:eastAsia="en-US"/>
        </w:rPr>
        <w:t xml:space="preserve">The PBAC noted that this submission is eligible for an Independent Review. </w:t>
      </w:r>
    </w:p>
    <w:p w14:paraId="4F8B61A7" w14:textId="0D0D2CBB" w:rsidR="00B4577C" w:rsidRDefault="00926D58" w:rsidP="00B87845">
      <w:pPr>
        <w:widowControl w:val="0"/>
        <w:numPr>
          <w:ilvl w:val="1"/>
          <w:numId w:val="1"/>
        </w:numPr>
        <w:spacing w:after="120"/>
        <w:rPr>
          <w:rFonts w:asciiTheme="minorHAnsi" w:hAnsiTheme="minorHAnsi"/>
          <w:bCs/>
          <w:snapToGrid w:val="0"/>
          <w:lang w:val="en-GB" w:eastAsia="en-US"/>
        </w:rPr>
      </w:pPr>
      <w:bookmarkStart w:id="95" w:name="_Ref124354943"/>
      <w:r>
        <w:rPr>
          <w:rFonts w:asciiTheme="minorHAnsi" w:hAnsiTheme="minorHAnsi"/>
          <w:bCs/>
          <w:snapToGrid w:val="0"/>
          <w:lang w:val="en-GB" w:eastAsia="en-US"/>
        </w:rPr>
        <w:t xml:space="preserve">Based on the advice received as part of the clinical </w:t>
      </w:r>
      <w:r w:rsidRPr="00E0117E">
        <w:rPr>
          <w:bCs/>
        </w:rPr>
        <w:t>consultation held on 1 December 2022</w:t>
      </w:r>
      <w:r>
        <w:rPr>
          <w:bCs/>
        </w:rPr>
        <w:t xml:space="preserve"> (</w:t>
      </w:r>
      <w:r w:rsidR="00F14444">
        <w:rPr>
          <w:bCs/>
        </w:rPr>
        <w:t xml:space="preserve">paragraph </w:t>
      </w:r>
      <w:r w:rsidR="00F14444">
        <w:rPr>
          <w:bCs/>
        </w:rPr>
        <w:fldChar w:fldCharType="begin" w:fldLock="1"/>
      </w:r>
      <w:r w:rsidR="00F14444">
        <w:rPr>
          <w:bCs/>
        </w:rPr>
        <w:instrText xml:space="preserve"> REF _Ref122331618 \r \h </w:instrText>
      </w:r>
      <w:r w:rsidR="00F14444">
        <w:rPr>
          <w:bCs/>
        </w:rPr>
      </w:r>
      <w:r w:rsidR="00F14444">
        <w:rPr>
          <w:bCs/>
        </w:rPr>
        <w:fldChar w:fldCharType="separate"/>
      </w:r>
      <w:r w:rsidR="00B22386">
        <w:rPr>
          <w:bCs/>
        </w:rPr>
        <w:t>6.3</w:t>
      </w:r>
      <w:r w:rsidR="00F14444">
        <w:rPr>
          <w:bCs/>
        </w:rPr>
        <w:fldChar w:fldCharType="end"/>
      </w:r>
      <w:r>
        <w:rPr>
          <w:bCs/>
        </w:rPr>
        <w:t xml:space="preserve">) the PBAC advised that the </w:t>
      </w:r>
      <w:r w:rsidR="00B4577C">
        <w:rPr>
          <w:rFonts w:asciiTheme="minorHAnsi" w:hAnsiTheme="minorHAnsi"/>
          <w:bCs/>
          <w:snapToGrid w:val="0"/>
          <w:lang w:val="en-GB" w:eastAsia="en-US"/>
        </w:rPr>
        <w:t>existing PBS criteria</w:t>
      </w:r>
      <w:r>
        <w:rPr>
          <w:rFonts w:asciiTheme="minorHAnsi" w:hAnsiTheme="minorHAnsi"/>
          <w:bCs/>
          <w:snapToGrid w:val="0"/>
          <w:lang w:val="en-GB" w:eastAsia="en-US"/>
        </w:rPr>
        <w:t xml:space="preserve"> for CLL/SLL treatments be amended as follows</w:t>
      </w:r>
      <w:r w:rsidR="00B4577C">
        <w:rPr>
          <w:rFonts w:asciiTheme="minorHAnsi" w:hAnsiTheme="minorHAnsi"/>
          <w:bCs/>
          <w:snapToGrid w:val="0"/>
          <w:lang w:val="en-GB" w:eastAsia="en-US"/>
        </w:rPr>
        <w:t>:</w:t>
      </w:r>
      <w:bookmarkEnd w:id="95"/>
    </w:p>
    <w:p w14:paraId="4FBA5036" w14:textId="3F15B950" w:rsidR="00B4577C" w:rsidRDefault="00926D58" w:rsidP="004E1E91">
      <w:pPr>
        <w:pStyle w:val="ListParagraph"/>
        <w:widowControl w:val="0"/>
        <w:numPr>
          <w:ilvl w:val="0"/>
          <w:numId w:val="14"/>
        </w:numPr>
        <w:ind w:left="1037" w:hanging="357"/>
        <w:rPr>
          <w:rFonts w:cstheme="minorHAnsi"/>
          <w:lang w:eastAsia="en-US"/>
        </w:rPr>
      </w:pPr>
      <w:r>
        <w:rPr>
          <w:rFonts w:cstheme="minorHAnsi"/>
          <w:lang w:eastAsia="en-US"/>
        </w:rPr>
        <w:t>T</w:t>
      </w:r>
      <w:r w:rsidR="00B4577C" w:rsidRPr="00996920">
        <w:rPr>
          <w:rFonts w:cstheme="minorHAnsi"/>
          <w:lang w:eastAsia="en-US"/>
        </w:rPr>
        <w:t>he venetoclax + obinutuzumab restriction</w:t>
      </w:r>
      <w:r w:rsidR="00B22386">
        <w:rPr>
          <w:rFonts w:cstheme="minorHAnsi"/>
          <w:lang w:eastAsia="en-US"/>
        </w:rPr>
        <w:t>s</w:t>
      </w:r>
      <w:r w:rsidR="00B4577C" w:rsidRPr="00996920">
        <w:rPr>
          <w:rFonts w:cstheme="minorHAnsi"/>
          <w:lang w:eastAsia="en-US"/>
        </w:rPr>
        <w:t xml:space="preserve"> for first-line CLL/SLL should be updated to remove </w:t>
      </w:r>
      <w:r>
        <w:rPr>
          <w:rFonts w:cstheme="minorHAnsi"/>
          <w:lang w:eastAsia="en-US"/>
        </w:rPr>
        <w:t xml:space="preserve">the criterion </w:t>
      </w:r>
      <w:r w:rsidRPr="00E0117E">
        <w:t xml:space="preserve">‘inappropriate for fludarabine-based </w:t>
      </w:r>
      <w:r w:rsidR="00EE4C95">
        <w:t>chemoimmunotherapy</w:t>
      </w:r>
      <w:r w:rsidRPr="00E0117E">
        <w:t>’</w:t>
      </w:r>
      <w:r w:rsidR="00941E77">
        <w:t xml:space="preserve"> and r</w:t>
      </w:r>
      <w:r w:rsidR="00941E77" w:rsidRPr="00941E77">
        <w:rPr>
          <w:rFonts w:cstheme="minorHAnsi"/>
          <w:lang w:eastAsia="en-US"/>
        </w:rPr>
        <w:t xml:space="preserve">emove reference to the requirement for patients to </w:t>
      </w:r>
      <w:r w:rsidR="00941E77" w:rsidRPr="00941E77">
        <w:rPr>
          <w:rFonts w:cstheme="minorHAnsi"/>
          <w:lang w:eastAsia="en-US"/>
        </w:rPr>
        <w:lastRenderedPageBreak/>
        <w:t>have a CIRS score &gt; 6 or creatinine clearance &lt; 70 mL/min given the CIRS score was designed to predict toxicity with chemoimmunotherapy rather than targeted agents</w:t>
      </w:r>
      <w:r w:rsidR="00941E77">
        <w:rPr>
          <w:rFonts w:cstheme="minorHAnsi"/>
          <w:lang w:eastAsia="en-US"/>
        </w:rPr>
        <w:t>.</w:t>
      </w:r>
    </w:p>
    <w:p w14:paraId="13A5AA5C" w14:textId="32A352E9" w:rsidR="001104CE" w:rsidRPr="00E00A32" w:rsidRDefault="00B4577C" w:rsidP="00B87845">
      <w:pPr>
        <w:pStyle w:val="ListParagraph"/>
        <w:widowControl w:val="0"/>
        <w:numPr>
          <w:ilvl w:val="0"/>
          <w:numId w:val="14"/>
        </w:numPr>
        <w:ind w:left="1037" w:hanging="357"/>
        <w:rPr>
          <w:rFonts w:cstheme="minorHAnsi"/>
          <w:lang w:eastAsia="en-US"/>
        </w:rPr>
      </w:pPr>
      <w:r w:rsidRPr="00996920">
        <w:t>The requirement for patients to be considered unsuitable for treatment or retreatment with a purine analogue should be removed from the restrictions for all PBS listed drugs for CLL/SLL in the relapsed or refractory setting. The PBAC noted this would remove the notes defining this criterion (which include criteria around factors like age and/or CIRS score and del17p).</w:t>
      </w:r>
    </w:p>
    <w:p w14:paraId="55855839" w14:textId="77777777" w:rsidR="001104CE" w:rsidRPr="001104CE" w:rsidRDefault="001104CE" w:rsidP="00B87845">
      <w:pPr>
        <w:spacing w:before="240"/>
        <w:rPr>
          <w:rFonts w:asciiTheme="minorHAnsi" w:hAnsiTheme="minorHAnsi"/>
          <w:b/>
          <w:bCs/>
          <w:snapToGrid w:val="0"/>
          <w:lang w:val="en-GB" w:eastAsia="en-US"/>
        </w:rPr>
      </w:pPr>
      <w:r w:rsidRPr="001104CE">
        <w:rPr>
          <w:rFonts w:asciiTheme="minorHAnsi" w:hAnsiTheme="minorHAnsi"/>
          <w:b/>
          <w:bCs/>
          <w:snapToGrid w:val="0"/>
          <w:lang w:val="en-GB" w:eastAsia="en-US"/>
        </w:rPr>
        <w:t>Outcome:</w:t>
      </w:r>
    </w:p>
    <w:p w14:paraId="779A96C6" w14:textId="4BCDDBA6" w:rsidR="00852FC6" w:rsidRDefault="001104CE" w:rsidP="00E00A32">
      <w:pPr>
        <w:spacing w:after="120"/>
        <w:rPr>
          <w:rFonts w:asciiTheme="minorHAnsi" w:hAnsiTheme="minorHAnsi"/>
          <w:bCs/>
          <w:snapToGrid w:val="0"/>
          <w:lang w:val="en-GB" w:eastAsia="en-US"/>
        </w:rPr>
      </w:pPr>
      <w:r w:rsidRPr="001104CE">
        <w:rPr>
          <w:rFonts w:asciiTheme="minorHAnsi" w:hAnsiTheme="minorHAnsi"/>
          <w:bCs/>
          <w:snapToGrid w:val="0"/>
          <w:lang w:val="en-GB" w:eastAsia="en-US"/>
        </w:rPr>
        <w:t>Not recommended</w:t>
      </w:r>
    </w:p>
    <w:p w14:paraId="54C4A33E" w14:textId="7197773F" w:rsidR="00852FC6" w:rsidRDefault="00852FC6" w:rsidP="00180E72">
      <w:pPr>
        <w:pStyle w:val="COMH1numbered"/>
        <w:rPr>
          <w:bCs/>
          <w:lang w:val="en-GB"/>
        </w:rPr>
      </w:pPr>
      <w:r w:rsidRPr="00C07617">
        <w:t>Context for Decision</w:t>
      </w:r>
    </w:p>
    <w:p w14:paraId="16B7578B" w14:textId="77777777" w:rsidR="00852FC6" w:rsidRPr="007129F2" w:rsidRDefault="00852FC6" w:rsidP="00180E7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A6370E" w14:textId="27B81ADA" w:rsidR="00852FC6" w:rsidRPr="00C07617" w:rsidRDefault="00852FC6" w:rsidP="00180E72">
      <w:pPr>
        <w:pStyle w:val="COMH1numbered"/>
      </w:pPr>
      <w:r>
        <w:t>Sponsor’s Comment</w:t>
      </w:r>
    </w:p>
    <w:p w14:paraId="41B841E4" w14:textId="67B3C9B7" w:rsidR="00852FC6" w:rsidRPr="00E00A32" w:rsidRDefault="00852FC6" w:rsidP="00180E72">
      <w:pPr>
        <w:spacing w:after="120"/>
        <w:ind w:left="426" w:firstLine="294"/>
        <w:rPr>
          <w:rFonts w:asciiTheme="minorHAnsi" w:hAnsiTheme="minorHAnsi"/>
          <w:bCs/>
          <w:snapToGrid w:val="0"/>
          <w:lang w:val="en-GB" w:eastAsia="en-US"/>
        </w:rPr>
      </w:pPr>
      <w:r w:rsidRPr="00C07617">
        <w:rPr>
          <w:rFonts w:asciiTheme="minorHAnsi" w:hAnsiTheme="minorHAnsi"/>
          <w:bCs/>
        </w:rPr>
        <w:t>The sponsor had no comment.</w:t>
      </w:r>
    </w:p>
    <w:sectPr w:rsidR="00852FC6" w:rsidRPr="00E00A32" w:rsidSect="003967D3">
      <w:headerReference w:type="default" r:id="rId13"/>
      <w:footerReference w:type="defaul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DB8B" w14:textId="77777777" w:rsidR="00B023DA" w:rsidRDefault="00B023DA" w:rsidP="00124A51">
      <w:r>
        <w:separator/>
      </w:r>
    </w:p>
    <w:p w14:paraId="38A50776" w14:textId="77777777" w:rsidR="00B023DA" w:rsidRDefault="00B023DA"/>
    <w:p w14:paraId="2E1C1AE7" w14:textId="77777777" w:rsidR="00B023DA" w:rsidRDefault="00B023DA"/>
  </w:endnote>
  <w:endnote w:type="continuationSeparator" w:id="0">
    <w:p w14:paraId="5E0743A9" w14:textId="77777777" w:rsidR="00B023DA" w:rsidRDefault="00B023DA" w:rsidP="00124A51">
      <w:r>
        <w:continuationSeparator/>
      </w:r>
    </w:p>
    <w:p w14:paraId="57BB849B" w14:textId="77777777" w:rsidR="00B023DA" w:rsidRDefault="00B023DA"/>
    <w:p w14:paraId="4FDB22D2" w14:textId="77777777" w:rsidR="00B023DA" w:rsidRDefault="00B023DA"/>
  </w:endnote>
  <w:endnote w:type="continuationNotice" w:id="1">
    <w:p w14:paraId="6A1741C9" w14:textId="77777777" w:rsidR="00B023DA" w:rsidRDefault="00B02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4888506D" w:rsidR="00D843F2" w:rsidRDefault="00D843F2" w:rsidP="00753B29">
    <w:pPr>
      <w:jc w:val="center"/>
    </w:pPr>
  </w:p>
  <w:p w14:paraId="37484CD3" w14:textId="10E454A9" w:rsidR="00D843F2" w:rsidRPr="005E6627" w:rsidRDefault="001217F8" w:rsidP="00753B29">
    <w:pPr>
      <w:jc w:val="center"/>
      <w:rPr>
        <w:b/>
        <w:bCs/>
      </w:rPr>
    </w:pPr>
    <w:sdt>
      <w:sdtPr>
        <w:rPr>
          <w:b/>
          <w:bCs/>
        </w:rPr>
        <w:id w:val="1036156457"/>
        <w:docPartObj>
          <w:docPartGallery w:val="Page Numbers (Bottom of Page)"/>
          <w:docPartUnique/>
        </w:docPartObj>
      </w:sdtPr>
      <w:sdtEndPr>
        <w:rPr>
          <w:noProof/>
        </w:rPr>
      </w:sdtEndPr>
      <w:sdtContent>
        <w:r w:rsidR="00D843F2" w:rsidRPr="005E6627">
          <w:rPr>
            <w:b/>
            <w:bCs/>
          </w:rPr>
          <w:fldChar w:fldCharType="begin"/>
        </w:r>
        <w:r w:rsidR="00D843F2" w:rsidRPr="005E6627">
          <w:rPr>
            <w:b/>
            <w:bCs/>
          </w:rPr>
          <w:instrText xml:space="preserve"> PAGE   \* MERGEFORMAT </w:instrText>
        </w:r>
        <w:r w:rsidR="00D843F2" w:rsidRPr="005E6627">
          <w:rPr>
            <w:b/>
            <w:bCs/>
          </w:rPr>
          <w:fldChar w:fldCharType="separate"/>
        </w:r>
        <w:r w:rsidR="00D843F2" w:rsidRPr="005E6627">
          <w:rPr>
            <w:b/>
            <w:bCs/>
            <w:noProof/>
          </w:rPr>
          <w:t>2</w:t>
        </w:r>
        <w:r w:rsidR="00D843F2" w:rsidRPr="005E6627">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E0CA3" w14:textId="77777777" w:rsidR="00B023DA" w:rsidRDefault="00B023DA" w:rsidP="00124A51">
      <w:r>
        <w:separator/>
      </w:r>
    </w:p>
    <w:p w14:paraId="0967A335" w14:textId="77777777" w:rsidR="00B023DA" w:rsidRDefault="00B023DA"/>
    <w:p w14:paraId="67ECE17F" w14:textId="77777777" w:rsidR="00B023DA" w:rsidRDefault="00B023DA"/>
  </w:footnote>
  <w:footnote w:type="continuationSeparator" w:id="0">
    <w:p w14:paraId="0FB8FB48" w14:textId="77777777" w:rsidR="00B023DA" w:rsidRDefault="00B023DA" w:rsidP="00124A51">
      <w:r>
        <w:continuationSeparator/>
      </w:r>
    </w:p>
    <w:p w14:paraId="468CBDDE" w14:textId="77777777" w:rsidR="00B023DA" w:rsidRDefault="00B023DA"/>
    <w:p w14:paraId="205CB6C8" w14:textId="77777777" w:rsidR="00B023DA" w:rsidRDefault="00B023DA"/>
  </w:footnote>
  <w:footnote w:type="continuationNotice" w:id="1">
    <w:p w14:paraId="75E13966" w14:textId="77777777" w:rsidR="00B023DA" w:rsidRDefault="00B023DA"/>
  </w:footnote>
  <w:footnote w:id="2">
    <w:p w14:paraId="135341AD" w14:textId="3F53E7EB" w:rsidR="00E51263" w:rsidRPr="0069707C" w:rsidRDefault="00E51263" w:rsidP="00E51263">
      <w:pPr>
        <w:pStyle w:val="FootnoteText"/>
        <w:rPr>
          <w:rFonts w:ascii="Arial Narrow" w:hAnsi="Arial Narrow"/>
        </w:rPr>
      </w:pPr>
      <w:r>
        <w:rPr>
          <w:rStyle w:val="FootnoteReference"/>
        </w:rPr>
        <w:footnoteRef/>
      </w:r>
      <w:r>
        <w:t xml:space="preserve"> </w:t>
      </w:r>
      <w:r w:rsidR="0069707C" w:rsidRPr="0069707C">
        <w:rPr>
          <w:rFonts w:ascii="Arial Narrow" w:hAnsi="Arial Narrow"/>
        </w:rPr>
        <w:t>Services Australia</w:t>
      </w:r>
      <w:r w:rsidR="0069707C">
        <w:rPr>
          <w:rFonts w:ascii="Arial Narrow" w:hAnsi="Arial Narrow"/>
        </w:rPr>
        <w:t xml:space="preserve"> statistics,</w:t>
      </w:r>
      <w:r w:rsidR="0069707C">
        <w:t xml:space="preserve"> </w:t>
      </w:r>
      <w:r w:rsidR="0083617A" w:rsidRPr="0069707C">
        <w:rPr>
          <w:rFonts w:ascii="Arial Narrow" w:hAnsi="Arial Narrow"/>
        </w:rPr>
        <w:t xml:space="preserve">Pharmaceutical Benefits Scheme Item Reports, </w:t>
      </w:r>
      <w:r w:rsidR="0083617A" w:rsidRPr="0069707C">
        <w:rPr>
          <w:rFonts w:ascii="Arial Narrow" w:hAnsi="Arial Narrow"/>
          <w:i/>
          <w:iCs/>
        </w:rPr>
        <w:t>Requested PBS and RPBS Items processed from January 2017 to October 2022 for Items</w:t>
      </w:r>
      <w:r w:rsidR="0069707C" w:rsidRPr="0069707C">
        <w:rPr>
          <w:rFonts w:ascii="Arial Narrow" w:hAnsi="Arial Narrow"/>
          <w:i/>
          <w:iCs/>
        </w:rPr>
        <w:t xml:space="preserve"> 4393F, 7233Q and 9184J</w:t>
      </w:r>
      <w:r w:rsidR="0069707C" w:rsidRPr="0069707C">
        <w:rPr>
          <w:rFonts w:ascii="Arial Narrow" w:hAnsi="Arial Narrow"/>
        </w:rPr>
        <w:t>. Accessed at</w:t>
      </w:r>
      <w:r w:rsidR="0083617A" w:rsidRPr="0069707C">
        <w:rPr>
          <w:rFonts w:ascii="Arial Narrow" w:hAnsi="Arial Narrow"/>
        </w:rPr>
        <w:t xml:space="preserve"> </w:t>
      </w:r>
      <w:hyperlink r:id="rId1" w:history="1">
        <w:r w:rsidRPr="0069707C">
          <w:rPr>
            <w:rStyle w:val="Hyperlink"/>
            <w:rFonts w:ascii="Arial Narrow" w:hAnsi="Arial Narrow"/>
          </w:rPr>
          <w:t>Medicare Australia - Statistics - Pharmaceutical Benefits Schedule Item Statistics (humanservices.gov.au)</w:t>
        </w:r>
      </w:hyperlink>
    </w:p>
  </w:footnote>
  <w:footnote w:id="3">
    <w:p w14:paraId="768CC62C" w14:textId="27D7F3EB" w:rsidR="00B05073" w:rsidRDefault="00B05073">
      <w:pPr>
        <w:pStyle w:val="FootnoteText"/>
      </w:pPr>
      <w:r>
        <w:rPr>
          <w:rStyle w:val="FootnoteReference"/>
        </w:rPr>
        <w:footnoteRef/>
      </w:r>
      <w:r>
        <w:t xml:space="preserve"> </w:t>
      </w:r>
      <w:r w:rsidRPr="00B05073">
        <w:t>Note that the results presented are derived from post-hoc analyses conducted by the applicant specifically for the purposes of informing the PBAC consideration. These analyses were not part of the pre-specified statistical plan for CAPTIVATE.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F64412D" w:rsidR="00D843F2" w:rsidRPr="005E6627" w:rsidRDefault="00852FC6" w:rsidP="005E6627">
    <w:pPr>
      <w:tabs>
        <w:tab w:val="center" w:pos="4153"/>
        <w:tab w:val="right" w:pos="8306"/>
      </w:tabs>
      <w:autoSpaceDE w:val="0"/>
      <w:autoSpaceDN w:val="0"/>
      <w:adjustRightInd w:val="0"/>
      <w:ind w:left="360"/>
      <w:jc w:val="center"/>
      <w:rPr>
        <w:rFonts w:ascii="Times New Roman" w:hAnsi="Times New Roman" w:cs="Times New Roman"/>
        <w:i/>
        <w:iCs/>
      </w:rPr>
    </w:pPr>
    <w:r>
      <w:rPr>
        <w:rFonts w:asciiTheme="minorHAnsi" w:hAnsiTheme="minorHAnsi"/>
        <w:i/>
        <w:color w:val="808080"/>
      </w:rPr>
      <w:t xml:space="preserve">Public Summary Document </w:t>
    </w:r>
    <w:r>
      <w:rPr>
        <w:rFonts w:cs="Calibri"/>
      </w:rPr>
      <w:t>–</w:t>
    </w:r>
    <w:r w:rsidR="001005E3">
      <w:rPr>
        <w:rFonts w:asciiTheme="minorHAnsi" w:hAnsiTheme="minorHAnsi"/>
        <w:i/>
        <w:color w:val="808080"/>
      </w:rPr>
      <w:t xml:space="preserve"> </w:t>
    </w:r>
    <w:r w:rsidR="005E6627">
      <w:rPr>
        <w:rFonts w:asciiTheme="minorHAnsi" w:hAnsiTheme="minorHAnsi"/>
        <w:i/>
        <w:color w:val="808080"/>
      </w:rPr>
      <w:t>December</w:t>
    </w:r>
    <w:r w:rsidR="00BC6926">
      <w:rPr>
        <w:rFonts w:asciiTheme="minorHAnsi" w:hAnsiTheme="minorHAnsi"/>
        <w:i/>
        <w:color w:val="808080"/>
      </w:rPr>
      <w:t xml:space="preserve"> 2022</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AA6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72B34"/>
    <w:multiLevelType w:val="hybridMultilevel"/>
    <w:tmpl w:val="BC884C30"/>
    <w:lvl w:ilvl="0" w:tplc="358EE8D2">
      <w:numFmt w:val="bullet"/>
      <w:lvlText w:val="-"/>
      <w:lvlJc w:val="left"/>
      <w:pPr>
        <w:ind w:left="227" w:hanging="114"/>
      </w:pPr>
      <w:rPr>
        <w:rFonts w:ascii="Calibri" w:eastAsia="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D32A7B"/>
    <w:multiLevelType w:val="hybridMultilevel"/>
    <w:tmpl w:val="A804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929EF"/>
    <w:multiLevelType w:val="hybridMultilevel"/>
    <w:tmpl w:val="8A240C4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15:restartNumberingAfterBreak="0">
    <w:nsid w:val="15784592"/>
    <w:multiLevelType w:val="hybridMultilevel"/>
    <w:tmpl w:val="6240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21C68"/>
    <w:multiLevelType w:val="hybridMultilevel"/>
    <w:tmpl w:val="0EB20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B6BFC"/>
    <w:multiLevelType w:val="hybridMultilevel"/>
    <w:tmpl w:val="66DEDE64"/>
    <w:lvl w:ilvl="0" w:tplc="C000592C">
      <w:start w:val="1"/>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FB64C090"/>
    <w:lvl w:ilvl="0" w:tplc="D8F60A24">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20DE8"/>
    <w:multiLevelType w:val="hybridMultilevel"/>
    <w:tmpl w:val="571069C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3D2756"/>
    <w:multiLevelType w:val="multilevel"/>
    <w:tmpl w:val="2CCABA24"/>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hint="default"/>
        <w:b w:val="0"/>
        <w:bCs w:val="0"/>
        <w:i w:val="0"/>
        <w:iCs w:val="0"/>
        <w:color w:val="auto"/>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95C6F"/>
    <w:multiLevelType w:val="hybridMultilevel"/>
    <w:tmpl w:val="9E9C4C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67185015"/>
    <w:multiLevelType w:val="hybridMultilevel"/>
    <w:tmpl w:val="FF66715C"/>
    <w:lvl w:ilvl="0" w:tplc="C2A83EE6">
      <w:numFmt w:val="bullet"/>
      <w:lvlText w:val="-"/>
      <w:lvlJc w:val="left"/>
      <w:pPr>
        <w:ind w:left="720" w:hanging="360"/>
      </w:pPr>
      <w:rPr>
        <w:rFonts w:ascii="Arial Narrow" w:eastAsiaTheme="majorEastAsia"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3E32A3"/>
    <w:multiLevelType w:val="hybridMultilevel"/>
    <w:tmpl w:val="AC52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32FE989C"/>
    <w:lvl w:ilvl="0">
      <w:start w:val="7"/>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0"/>
  </w:num>
  <w:num w:numId="3">
    <w:abstractNumId w:val="11"/>
  </w:num>
  <w:num w:numId="4">
    <w:abstractNumId w:val="0"/>
  </w:num>
  <w:num w:numId="5">
    <w:abstractNumId w:val="7"/>
  </w:num>
  <w:num w:numId="6">
    <w:abstractNumId w:val="1"/>
  </w:num>
  <w:num w:numId="7">
    <w:abstractNumId w:val="4"/>
  </w:num>
  <w:num w:numId="8">
    <w:abstractNumId w:val="8"/>
  </w:num>
  <w:num w:numId="9">
    <w:abstractNumId w:val="15"/>
  </w:num>
  <w:num w:numId="10">
    <w:abstractNumId w:val="14"/>
  </w:num>
  <w:num w:numId="11">
    <w:abstractNumId w:val="9"/>
  </w:num>
  <w:num w:numId="12">
    <w:abstractNumId w:val="2"/>
  </w:num>
  <w:num w:numId="13">
    <w:abstractNumId w:val="13"/>
  </w:num>
  <w:num w:numId="14">
    <w:abstractNumId w:val="5"/>
  </w:num>
  <w:num w:numId="15">
    <w:abstractNumId w:val="12"/>
  </w:num>
  <w:num w:numId="16">
    <w:abstractNumId w:val="3"/>
  </w:num>
  <w:num w:numId="17">
    <w:abstractNumId w:val="9"/>
  </w:num>
  <w:num w:numId="18">
    <w:abstractNumId w:val="9"/>
  </w:num>
  <w:num w:numId="19">
    <w:abstractNumId w:val="9"/>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692"/>
    <w:rsid w:val="00000790"/>
    <w:rsid w:val="0000087C"/>
    <w:rsid w:val="000008A5"/>
    <w:rsid w:val="0000110B"/>
    <w:rsid w:val="00001444"/>
    <w:rsid w:val="0000226F"/>
    <w:rsid w:val="000026CD"/>
    <w:rsid w:val="00002F45"/>
    <w:rsid w:val="00003499"/>
    <w:rsid w:val="000039B7"/>
    <w:rsid w:val="000056B9"/>
    <w:rsid w:val="00005E1E"/>
    <w:rsid w:val="0000639A"/>
    <w:rsid w:val="00006A36"/>
    <w:rsid w:val="00010178"/>
    <w:rsid w:val="00010FF1"/>
    <w:rsid w:val="00011425"/>
    <w:rsid w:val="00011893"/>
    <w:rsid w:val="00012620"/>
    <w:rsid w:val="000127F1"/>
    <w:rsid w:val="0001288C"/>
    <w:rsid w:val="00013247"/>
    <w:rsid w:val="000137BB"/>
    <w:rsid w:val="00013E6A"/>
    <w:rsid w:val="00014437"/>
    <w:rsid w:val="000149B9"/>
    <w:rsid w:val="00015886"/>
    <w:rsid w:val="000162EF"/>
    <w:rsid w:val="0001647C"/>
    <w:rsid w:val="000179EB"/>
    <w:rsid w:val="000207C9"/>
    <w:rsid w:val="0002097C"/>
    <w:rsid w:val="00021025"/>
    <w:rsid w:val="00021D9F"/>
    <w:rsid w:val="0002206B"/>
    <w:rsid w:val="0002225F"/>
    <w:rsid w:val="000227FD"/>
    <w:rsid w:val="00023763"/>
    <w:rsid w:val="00023A5E"/>
    <w:rsid w:val="00023AB6"/>
    <w:rsid w:val="00023DD1"/>
    <w:rsid w:val="00023E74"/>
    <w:rsid w:val="00024032"/>
    <w:rsid w:val="000248CF"/>
    <w:rsid w:val="00024BCA"/>
    <w:rsid w:val="00024EB5"/>
    <w:rsid w:val="00025585"/>
    <w:rsid w:val="00025FAD"/>
    <w:rsid w:val="000274B8"/>
    <w:rsid w:val="0002758A"/>
    <w:rsid w:val="000279D9"/>
    <w:rsid w:val="00027BC3"/>
    <w:rsid w:val="000305A0"/>
    <w:rsid w:val="00030F28"/>
    <w:rsid w:val="00030FED"/>
    <w:rsid w:val="000315BE"/>
    <w:rsid w:val="000326B7"/>
    <w:rsid w:val="00033863"/>
    <w:rsid w:val="00033EC8"/>
    <w:rsid w:val="0003437E"/>
    <w:rsid w:val="00034C73"/>
    <w:rsid w:val="00035086"/>
    <w:rsid w:val="00035DC0"/>
    <w:rsid w:val="00036829"/>
    <w:rsid w:val="00036E53"/>
    <w:rsid w:val="00036F3E"/>
    <w:rsid w:val="00037F87"/>
    <w:rsid w:val="00040109"/>
    <w:rsid w:val="000407FA"/>
    <w:rsid w:val="00040895"/>
    <w:rsid w:val="00040AB7"/>
    <w:rsid w:val="000410A0"/>
    <w:rsid w:val="000413B3"/>
    <w:rsid w:val="00041F7D"/>
    <w:rsid w:val="000435EE"/>
    <w:rsid w:val="0004398D"/>
    <w:rsid w:val="00043C37"/>
    <w:rsid w:val="00044D82"/>
    <w:rsid w:val="00044F44"/>
    <w:rsid w:val="00045017"/>
    <w:rsid w:val="000454C3"/>
    <w:rsid w:val="00045543"/>
    <w:rsid w:val="00045A2B"/>
    <w:rsid w:val="00045D88"/>
    <w:rsid w:val="0004698F"/>
    <w:rsid w:val="0004699E"/>
    <w:rsid w:val="000469D5"/>
    <w:rsid w:val="00046D64"/>
    <w:rsid w:val="00046E18"/>
    <w:rsid w:val="00047093"/>
    <w:rsid w:val="00047163"/>
    <w:rsid w:val="000473F7"/>
    <w:rsid w:val="00047EEF"/>
    <w:rsid w:val="000508C2"/>
    <w:rsid w:val="00051A41"/>
    <w:rsid w:val="0005215B"/>
    <w:rsid w:val="00052E29"/>
    <w:rsid w:val="000535C5"/>
    <w:rsid w:val="000539D0"/>
    <w:rsid w:val="00054621"/>
    <w:rsid w:val="000546D7"/>
    <w:rsid w:val="0005498A"/>
    <w:rsid w:val="00054A8D"/>
    <w:rsid w:val="00054D47"/>
    <w:rsid w:val="00055E6E"/>
    <w:rsid w:val="00056103"/>
    <w:rsid w:val="0005624F"/>
    <w:rsid w:val="00056273"/>
    <w:rsid w:val="000564BF"/>
    <w:rsid w:val="000566E0"/>
    <w:rsid w:val="00056CCF"/>
    <w:rsid w:val="00056ECF"/>
    <w:rsid w:val="0005795D"/>
    <w:rsid w:val="00057A30"/>
    <w:rsid w:val="00057AE1"/>
    <w:rsid w:val="000604DF"/>
    <w:rsid w:val="00060B06"/>
    <w:rsid w:val="00061279"/>
    <w:rsid w:val="00061A29"/>
    <w:rsid w:val="00062324"/>
    <w:rsid w:val="000625B8"/>
    <w:rsid w:val="0006278A"/>
    <w:rsid w:val="00063073"/>
    <w:rsid w:val="00063113"/>
    <w:rsid w:val="00063E04"/>
    <w:rsid w:val="00063FB2"/>
    <w:rsid w:val="00064B9F"/>
    <w:rsid w:val="0006510B"/>
    <w:rsid w:val="000653B5"/>
    <w:rsid w:val="00065F8D"/>
    <w:rsid w:val="0006622D"/>
    <w:rsid w:val="000662FE"/>
    <w:rsid w:val="00066360"/>
    <w:rsid w:val="00066744"/>
    <w:rsid w:val="00066AF8"/>
    <w:rsid w:val="00066EF8"/>
    <w:rsid w:val="00067025"/>
    <w:rsid w:val="00067D6B"/>
    <w:rsid w:val="00067F15"/>
    <w:rsid w:val="0007003D"/>
    <w:rsid w:val="00071248"/>
    <w:rsid w:val="00071428"/>
    <w:rsid w:val="0007209C"/>
    <w:rsid w:val="000720B9"/>
    <w:rsid w:val="000725BD"/>
    <w:rsid w:val="000726C6"/>
    <w:rsid w:val="00072BD8"/>
    <w:rsid w:val="00072D04"/>
    <w:rsid w:val="000735E0"/>
    <w:rsid w:val="000737F7"/>
    <w:rsid w:val="00074A72"/>
    <w:rsid w:val="00074A80"/>
    <w:rsid w:val="00074FCE"/>
    <w:rsid w:val="000758C7"/>
    <w:rsid w:val="00075EEC"/>
    <w:rsid w:val="0007672F"/>
    <w:rsid w:val="00076B54"/>
    <w:rsid w:val="000774F0"/>
    <w:rsid w:val="00077D78"/>
    <w:rsid w:val="00077E03"/>
    <w:rsid w:val="00080500"/>
    <w:rsid w:val="00080909"/>
    <w:rsid w:val="00081237"/>
    <w:rsid w:val="000812CA"/>
    <w:rsid w:val="00081E63"/>
    <w:rsid w:val="000823BE"/>
    <w:rsid w:val="0008258D"/>
    <w:rsid w:val="00082A44"/>
    <w:rsid w:val="00082FAB"/>
    <w:rsid w:val="00083451"/>
    <w:rsid w:val="00083E99"/>
    <w:rsid w:val="00084180"/>
    <w:rsid w:val="000844CA"/>
    <w:rsid w:val="00084FA8"/>
    <w:rsid w:val="000856C5"/>
    <w:rsid w:val="00085A3B"/>
    <w:rsid w:val="00085C31"/>
    <w:rsid w:val="00085DF0"/>
    <w:rsid w:val="00086DB8"/>
    <w:rsid w:val="00086FB9"/>
    <w:rsid w:val="00087767"/>
    <w:rsid w:val="000902D9"/>
    <w:rsid w:val="000908BB"/>
    <w:rsid w:val="00090C7E"/>
    <w:rsid w:val="00090EAF"/>
    <w:rsid w:val="000911AC"/>
    <w:rsid w:val="0009152D"/>
    <w:rsid w:val="00091E20"/>
    <w:rsid w:val="00092255"/>
    <w:rsid w:val="00092600"/>
    <w:rsid w:val="0009262B"/>
    <w:rsid w:val="00093145"/>
    <w:rsid w:val="00093310"/>
    <w:rsid w:val="0009354A"/>
    <w:rsid w:val="00093A97"/>
    <w:rsid w:val="00093F18"/>
    <w:rsid w:val="0009445C"/>
    <w:rsid w:val="00094750"/>
    <w:rsid w:val="00094907"/>
    <w:rsid w:val="00095200"/>
    <w:rsid w:val="000953FF"/>
    <w:rsid w:val="00095B86"/>
    <w:rsid w:val="00095C84"/>
    <w:rsid w:val="00095FE5"/>
    <w:rsid w:val="00096284"/>
    <w:rsid w:val="00096308"/>
    <w:rsid w:val="000963F0"/>
    <w:rsid w:val="00096D23"/>
    <w:rsid w:val="00097AC2"/>
    <w:rsid w:val="000A05EB"/>
    <w:rsid w:val="000A0633"/>
    <w:rsid w:val="000A084D"/>
    <w:rsid w:val="000A0A85"/>
    <w:rsid w:val="000A0E1D"/>
    <w:rsid w:val="000A0E22"/>
    <w:rsid w:val="000A0E92"/>
    <w:rsid w:val="000A1710"/>
    <w:rsid w:val="000A1BC0"/>
    <w:rsid w:val="000A2540"/>
    <w:rsid w:val="000A260C"/>
    <w:rsid w:val="000A27CD"/>
    <w:rsid w:val="000A2BB7"/>
    <w:rsid w:val="000A2CD6"/>
    <w:rsid w:val="000A2F9E"/>
    <w:rsid w:val="000A3415"/>
    <w:rsid w:val="000A3D97"/>
    <w:rsid w:val="000A3E47"/>
    <w:rsid w:val="000A4EAC"/>
    <w:rsid w:val="000A522B"/>
    <w:rsid w:val="000A6039"/>
    <w:rsid w:val="000A7070"/>
    <w:rsid w:val="000A7453"/>
    <w:rsid w:val="000A749E"/>
    <w:rsid w:val="000A7D08"/>
    <w:rsid w:val="000B0121"/>
    <w:rsid w:val="000B02A3"/>
    <w:rsid w:val="000B03C9"/>
    <w:rsid w:val="000B0670"/>
    <w:rsid w:val="000B077C"/>
    <w:rsid w:val="000B0DA2"/>
    <w:rsid w:val="000B0DBB"/>
    <w:rsid w:val="000B0DC3"/>
    <w:rsid w:val="000B0E2B"/>
    <w:rsid w:val="000B0E75"/>
    <w:rsid w:val="000B1D0C"/>
    <w:rsid w:val="000B1EFB"/>
    <w:rsid w:val="000B2022"/>
    <w:rsid w:val="000B2489"/>
    <w:rsid w:val="000B27C2"/>
    <w:rsid w:val="000B2DCB"/>
    <w:rsid w:val="000B2DFC"/>
    <w:rsid w:val="000B3754"/>
    <w:rsid w:val="000B3AB8"/>
    <w:rsid w:val="000B43EC"/>
    <w:rsid w:val="000B52F2"/>
    <w:rsid w:val="000B5B2E"/>
    <w:rsid w:val="000B5CE0"/>
    <w:rsid w:val="000B5CFA"/>
    <w:rsid w:val="000B6086"/>
    <w:rsid w:val="000B6CAC"/>
    <w:rsid w:val="000B70F5"/>
    <w:rsid w:val="000B7612"/>
    <w:rsid w:val="000B78AE"/>
    <w:rsid w:val="000C06F0"/>
    <w:rsid w:val="000C08BD"/>
    <w:rsid w:val="000C0F11"/>
    <w:rsid w:val="000C137B"/>
    <w:rsid w:val="000C1EE1"/>
    <w:rsid w:val="000C1F14"/>
    <w:rsid w:val="000C212B"/>
    <w:rsid w:val="000C2311"/>
    <w:rsid w:val="000C3595"/>
    <w:rsid w:val="000C35F7"/>
    <w:rsid w:val="000C3DF9"/>
    <w:rsid w:val="000C3F32"/>
    <w:rsid w:val="000C4323"/>
    <w:rsid w:val="000C4CF2"/>
    <w:rsid w:val="000C5C8C"/>
    <w:rsid w:val="000C6713"/>
    <w:rsid w:val="000C6C4A"/>
    <w:rsid w:val="000C7C2D"/>
    <w:rsid w:val="000C7D8C"/>
    <w:rsid w:val="000D0112"/>
    <w:rsid w:val="000D082B"/>
    <w:rsid w:val="000D100B"/>
    <w:rsid w:val="000D12E1"/>
    <w:rsid w:val="000D15D0"/>
    <w:rsid w:val="000D1BFC"/>
    <w:rsid w:val="000D1D5D"/>
    <w:rsid w:val="000D1E02"/>
    <w:rsid w:val="000D203E"/>
    <w:rsid w:val="000D2661"/>
    <w:rsid w:val="000D2717"/>
    <w:rsid w:val="000D281A"/>
    <w:rsid w:val="000D2848"/>
    <w:rsid w:val="000D2A15"/>
    <w:rsid w:val="000D326A"/>
    <w:rsid w:val="000D4CE0"/>
    <w:rsid w:val="000D51FB"/>
    <w:rsid w:val="000D52DD"/>
    <w:rsid w:val="000D55DC"/>
    <w:rsid w:val="000D5B15"/>
    <w:rsid w:val="000D61DA"/>
    <w:rsid w:val="000D64C5"/>
    <w:rsid w:val="000D781D"/>
    <w:rsid w:val="000E0056"/>
    <w:rsid w:val="000E0640"/>
    <w:rsid w:val="000E0C96"/>
    <w:rsid w:val="000E135D"/>
    <w:rsid w:val="000E18AE"/>
    <w:rsid w:val="000E2C46"/>
    <w:rsid w:val="000E33A3"/>
    <w:rsid w:val="000E42AD"/>
    <w:rsid w:val="000E4773"/>
    <w:rsid w:val="000E5CB1"/>
    <w:rsid w:val="000E6376"/>
    <w:rsid w:val="000E6456"/>
    <w:rsid w:val="000E67E6"/>
    <w:rsid w:val="000E6EC9"/>
    <w:rsid w:val="000E76F5"/>
    <w:rsid w:val="000F00BA"/>
    <w:rsid w:val="000F00E9"/>
    <w:rsid w:val="000F0218"/>
    <w:rsid w:val="000F1132"/>
    <w:rsid w:val="000F11CB"/>
    <w:rsid w:val="000F13DB"/>
    <w:rsid w:val="000F14D2"/>
    <w:rsid w:val="000F316A"/>
    <w:rsid w:val="000F38F7"/>
    <w:rsid w:val="000F3906"/>
    <w:rsid w:val="000F3983"/>
    <w:rsid w:val="000F3C63"/>
    <w:rsid w:val="000F3C74"/>
    <w:rsid w:val="000F400E"/>
    <w:rsid w:val="000F4423"/>
    <w:rsid w:val="000F4BB8"/>
    <w:rsid w:val="000F4FA9"/>
    <w:rsid w:val="000F53FB"/>
    <w:rsid w:val="000F5F06"/>
    <w:rsid w:val="000F5F9A"/>
    <w:rsid w:val="000F7127"/>
    <w:rsid w:val="000F7422"/>
    <w:rsid w:val="000F7B54"/>
    <w:rsid w:val="000F7B60"/>
    <w:rsid w:val="001000B3"/>
    <w:rsid w:val="001005E3"/>
    <w:rsid w:val="00100A56"/>
    <w:rsid w:val="00100C5B"/>
    <w:rsid w:val="00100F8A"/>
    <w:rsid w:val="00101825"/>
    <w:rsid w:val="001026C9"/>
    <w:rsid w:val="00102EE0"/>
    <w:rsid w:val="0010423E"/>
    <w:rsid w:val="001044A0"/>
    <w:rsid w:val="0010452E"/>
    <w:rsid w:val="001045B2"/>
    <w:rsid w:val="00104DB9"/>
    <w:rsid w:val="00105ABB"/>
    <w:rsid w:val="00105AE2"/>
    <w:rsid w:val="00105B1D"/>
    <w:rsid w:val="001060C6"/>
    <w:rsid w:val="00106750"/>
    <w:rsid w:val="00106B80"/>
    <w:rsid w:val="0010716C"/>
    <w:rsid w:val="0010718F"/>
    <w:rsid w:val="001076ED"/>
    <w:rsid w:val="00107874"/>
    <w:rsid w:val="0011032E"/>
    <w:rsid w:val="00110459"/>
    <w:rsid w:val="001104CE"/>
    <w:rsid w:val="001107CB"/>
    <w:rsid w:val="00111041"/>
    <w:rsid w:val="00111351"/>
    <w:rsid w:val="00111943"/>
    <w:rsid w:val="00112656"/>
    <w:rsid w:val="001128D6"/>
    <w:rsid w:val="00113483"/>
    <w:rsid w:val="0011348B"/>
    <w:rsid w:val="00113660"/>
    <w:rsid w:val="00113801"/>
    <w:rsid w:val="0011513F"/>
    <w:rsid w:val="001151A4"/>
    <w:rsid w:val="0011529A"/>
    <w:rsid w:val="00115982"/>
    <w:rsid w:val="00116341"/>
    <w:rsid w:val="00116A6D"/>
    <w:rsid w:val="00116B48"/>
    <w:rsid w:val="00116C53"/>
    <w:rsid w:val="00116E84"/>
    <w:rsid w:val="00116F65"/>
    <w:rsid w:val="001200E5"/>
    <w:rsid w:val="00120159"/>
    <w:rsid w:val="0012028E"/>
    <w:rsid w:val="00120B11"/>
    <w:rsid w:val="00120BCB"/>
    <w:rsid w:val="00121553"/>
    <w:rsid w:val="00121799"/>
    <w:rsid w:val="001217F8"/>
    <w:rsid w:val="00121E61"/>
    <w:rsid w:val="001221B7"/>
    <w:rsid w:val="0012220A"/>
    <w:rsid w:val="00122245"/>
    <w:rsid w:val="001222FC"/>
    <w:rsid w:val="00122B92"/>
    <w:rsid w:val="00123902"/>
    <w:rsid w:val="001244F3"/>
    <w:rsid w:val="0012470A"/>
    <w:rsid w:val="00124A51"/>
    <w:rsid w:val="00125114"/>
    <w:rsid w:val="001259B1"/>
    <w:rsid w:val="00126621"/>
    <w:rsid w:val="00126B1D"/>
    <w:rsid w:val="00126F38"/>
    <w:rsid w:val="0012747C"/>
    <w:rsid w:val="001301E9"/>
    <w:rsid w:val="00130338"/>
    <w:rsid w:val="001305F5"/>
    <w:rsid w:val="001309D4"/>
    <w:rsid w:val="00131054"/>
    <w:rsid w:val="00131C15"/>
    <w:rsid w:val="00131D22"/>
    <w:rsid w:val="00131D82"/>
    <w:rsid w:val="001326B0"/>
    <w:rsid w:val="00132B22"/>
    <w:rsid w:val="001333FD"/>
    <w:rsid w:val="001334CC"/>
    <w:rsid w:val="0013353B"/>
    <w:rsid w:val="00133CA8"/>
    <w:rsid w:val="00133D36"/>
    <w:rsid w:val="001365EF"/>
    <w:rsid w:val="00136854"/>
    <w:rsid w:val="00136CB6"/>
    <w:rsid w:val="00137645"/>
    <w:rsid w:val="0014015A"/>
    <w:rsid w:val="00140324"/>
    <w:rsid w:val="0014069C"/>
    <w:rsid w:val="00140E99"/>
    <w:rsid w:val="001413D0"/>
    <w:rsid w:val="00141BD5"/>
    <w:rsid w:val="00141BE3"/>
    <w:rsid w:val="0014253F"/>
    <w:rsid w:val="001434A1"/>
    <w:rsid w:val="00143BE1"/>
    <w:rsid w:val="00143F67"/>
    <w:rsid w:val="00144698"/>
    <w:rsid w:val="001447BC"/>
    <w:rsid w:val="0014503D"/>
    <w:rsid w:val="00145055"/>
    <w:rsid w:val="00145234"/>
    <w:rsid w:val="00145540"/>
    <w:rsid w:val="001456B0"/>
    <w:rsid w:val="00146D51"/>
    <w:rsid w:val="00146EB6"/>
    <w:rsid w:val="00147006"/>
    <w:rsid w:val="0014749D"/>
    <w:rsid w:val="001477E8"/>
    <w:rsid w:val="00147884"/>
    <w:rsid w:val="00147A08"/>
    <w:rsid w:val="0015076A"/>
    <w:rsid w:val="00150A90"/>
    <w:rsid w:val="00151175"/>
    <w:rsid w:val="00151A89"/>
    <w:rsid w:val="00151E88"/>
    <w:rsid w:val="00151ED7"/>
    <w:rsid w:val="001521E0"/>
    <w:rsid w:val="0015284D"/>
    <w:rsid w:val="00152A90"/>
    <w:rsid w:val="00152F31"/>
    <w:rsid w:val="00154529"/>
    <w:rsid w:val="001547AB"/>
    <w:rsid w:val="00155719"/>
    <w:rsid w:val="00156A1F"/>
    <w:rsid w:val="00156BDF"/>
    <w:rsid w:val="00156CB8"/>
    <w:rsid w:val="00156F8F"/>
    <w:rsid w:val="00157130"/>
    <w:rsid w:val="0015736F"/>
    <w:rsid w:val="001576B1"/>
    <w:rsid w:val="00157773"/>
    <w:rsid w:val="0016047B"/>
    <w:rsid w:val="00160A4C"/>
    <w:rsid w:val="001615A8"/>
    <w:rsid w:val="001618F9"/>
    <w:rsid w:val="00162913"/>
    <w:rsid w:val="001634B8"/>
    <w:rsid w:val="00163E81"/>
    <w:rsid w:val="00163EFF"/>
    <w:rsid w:val="00163F66"/>
    <w:rsid w:val="001642C8"/>
    <w:rsid w:val="00164375"/>
    <w:rsid w:val="0016478E"/>
    <w:rsid w:val="00165EB2"/>
    <w:rsid w:val="00165EC4"/>
    <w:rsid w:val="001661FB"/>
    <w:rsid w:val="00166203"/>
    <w:rsid w:val="00166397"/>
    <w:rsid w:val="00166D46"/>
    <w:rsid w:val="00166EBE"/>
    <w:rsid w:val="001671A0"/>
    <w:rsid w:val="0016767F"/>
    <w:rsid w:val="00167F04"/>
    <w:rsid w:val="0017114B"/>
    <w:rsid w:val="0017186F"/>
    <w:rsid w:val="001718DE"/>
    <w:rsid w:val="00171EB6"/>
    <w:rsid w:val="001729BE"/>
    <w:rsid w:val="0017343C"/>
    <w:rsid w:val="0017345F"/>
    <w:rsid w:val="00173565"/>
    <w:rsid w:val="00173921"/>
    <w:rsid w:val="00173A5D"/>
    <w:rsid w:val="00173B07"/>
    <w:rsid w:val="001742D4"/>
    <w:rsid w:val="00174954"/>
    <w:rsid w:val="00174ADF"/>
    <w:rsid w:val="00174F17"/>
    <w:rsid w:val="001751FA"/>
    <w:rsid w:val="0017737A"/>
    <w:rsid w:val="001774B7"/>
    <w:rsid w:val="001779A3"/>
    <w:rsid w:val="0018077D"/>
    <w:rsid w:val="00180E72"/>
    <w:rsid w:val="0018146A"/>
    <w:rsid w:val="00181C10"/>
    <w:rsid w:val="00181D9C"/>
    <w:rsid w:val="00182020"/>
    <w:rsid w:val="001820ED"/>
    <w:rsid w:val="00182285"/>
    <w:rsid w:val="001822D5"/>
    <w:rsid w:val="0018243F"/>
    <w:rsid w:val="00182594"/>
    <w:rsid w:val="00182F12"/>
    <w:rsid w:val="001837FF"/>
    <w:rsid w:val="00183F16"/>
    <w:rsid w:val="0018418A"/>
    <w:rsid w:val="001843F7"/>
    <w:rsid w:val="00184B0E"/>
    <w:rsid w:val="00185F92"/>
    <w:rsid w:val="00186215"/>
    <w:rsid w:val="00186450"/>
    <w:rsid w:val="00187317"/>
    <w:rsid w:val="001874C2"/>
    <w:rsid w:val="0018752F"/>
    <w:rsid w:val="00187B0D"/>
    <w:rsid w:val="00191344"/>
    <w:rsid w:val="001927F6"/>
    <w:rsid w:val="00192D4F"/>
    <w:rsid w:val="0019340F"/>
    <w:rsid w:val="0019359F"/>
    <w:rsid w:val="00193838"/>
    <w:rsid w:val="0019434A"/>
    <w:rsid w:val="001947F7"/>
    <w:rsid w:val="00194A5B"/>
    <w:rsid w:val="00194AD8"/>
    <w:rsid w:val="00195222"/>
    <w:rsid w:val="00195452"/>
    <w:rsid w:val="00195D27"/>
    <w:rsid w:val="001975A6"/>
    <w:rsid w:val="001975D8"/>
    <w:rsid w:val="0019790E"/>
    <w:rsid w:val="00197C2C"/>
    <w:rsid w:val="001A010D"/>
    <w:rsid w:val="001A04C2"/>
    <w:rsid w:val="001A0DF0"/>
    <w:rsid w:val="001A15B1"/>
    <w:rsid w:val="001A178E"/>
    <w:rsid w:val="001A1870"/>
    <w:rsid w:val="001A23A4"/>
    <w:rsid w:val="001A28C6"/>
    <w:rsid w:val="001A28EB"/>
    <w:rsid w:val="001A31C9"/>
    <w:rsid w:val="001A3687"/>
    <w:rsid w:val="001A3D15"/>
    <w:rsid w:val="001A43FA"/>
    <w:rsid w:val="001A47C5"/>
    <w:rsid w:val="001A4BF6"/>
    <w:rsid w:val="001A4D9D"/>
    <w:rsid w:val="001A4DDA"/>
    <w:rsid w:val="001A59FB"/>
    <w:rsid w:val="001A5D00"/>
    <w:rsid w:val="001A5E9E"/>
    <w:rsid w:val="001A6354"/>
    <w:rsid w:val="001A6366"/>
    <w:rsid w:val="001A67C7"/>
    <w:rsid w:val="001A71E7"/>
    <w:rsid w:val="001A7AE8"/>
    <w:rsid w:val="001A7DD6"/>
    <w:rsid w:val="001B02D1"/>
    <w:rsid w:val="001B0A62"/>
    <w:rsid w:val="001B204E"/>
    <w:rsid w:val="001B2372"/>
    <w:rsid w:val="001B273A"/>
    <w:rsid w:val="001B3443"/>
    <w:rsid w:val="001B37FC"/>
    <w:rsid w:val="001B4508"/>
    <w:rsid w:val="001B4D20"/>
    <w:rsid w:val="001B5D8F"/>
    <w:rsid w:val="001B61CE"/>
    <w:rsid w:val="001B651D"/>
    <w:rsid w:val="001B7E46"/>
    <w:rsid w:val="001B7F63"/>
    <w:rsid w:val="001B7F84"/>
    <w:rsid w:val="001C0B6B"/>
    <w:rsid w:val="001C0FDC"/>
    <w:rsid w:val="001C11E4"/>
    <w:rsid w:val="001C1458"/>
    <w:rsid w:val="001C2176"/>
    <w:rsid w:val="001C21AA"/>
    <w:rsid w:val="001C27CC"/>
    <w:rsid w:val="001C2A9B"/>
    <w:rsid w:val="001C2C3F"/>
    <w:rsid w:val="001C383E"/>
    <w:rsid w:val="001C3DD6"/>
    <w:rsid w:val="001C40B3"/>
    <w:rsid w:val="001C413E"/>
    <w:rsid w:val="001C4299"/>
    <w:rsid w:val="001C4524"/>
    <w:rsid w:val="001C4874"/>
    <w:rsid w:val="001C4C43"/>
    <w:rsid w:val="001C5525"/>
    <w:rsid w:val="001C57F5"/>
    <w:rsid w:val="001C5AF2"/>
    <w:rsid w:val="001C5C96"/>
    <w:rsid w:val="001C5F94"/>
    <w:rsid w:val="001C63B6"/>
    <w:rsid w:val="001C64A7"/>
    <w:rsid w:val="001C6E66"/>
    <w:rsid w:val="001C7099"/>
    <w:rsid w:val="001C71CB"/>
    <w:rsid w:val="001C7EC4"/>
    <w:rsid w:val="001D1100"/>
    <w:rsid w:val="001D1391"/>
    <w:rsid w:val="001D151F"/>
    <w:rsid w:val="001D198C"/>
    <w:rsid w:val="001D1A47"/>
    <w:rsid w:val="001D1E9C"/>
    <w:rsid w:val="001D1FD5"/>
    <w:rsid w:val="001D1FF5"/>
    <w:rsid w:val="001D2490"/>
    <w:rsid w:val="001D25D7"/>
    <w:rsid w:val="001D3243"/>
    <w:rsid w:val="001D3F09"/>
    <w:rsid w:val="001D419F"/>
    <w:rsid w:val="001D4330"/>
    <w:rsid w:val="001D47B6"/>
    <w:rsid w:val="001D5083"/>
    <w:rsid w:val="001D50B2"/>
    <w:rsid w:val="001D5B16"/>
    <w:rsid w:val="001D61A0"/>
    <w:rsid w:val="001D67EE"/>
    <w:rsid w:val="001D6A2E"/>
    <w:rsid w:val="001D6BCC"/>
    <w:rsid w:val="001D6F7C"/>
    <w:rsid w:val="001D71F4"/>
    <w:rsid w:val="001D7645"/>
    <w:rsid w:val="001D7BBF"/>
    <w:rsid w:val="001E02E2"/>
    <w:rsid w:val="001E03C6"/>
    <w:rsid w:val="001E0490"/>
    <w:rsid w:val="001E0609"/>
    <w:rsid w:val="001E075A"/>
    <w:rsid w:val="001E1050"/>
    <w:rsid w:val="001E19D4"/>
    <w:rsid w:val="001E1E86"/>
    <w:rsid w:val="001E238E"/>
    <w:rsid w:val="001E2483"/>
    <w:rsid w:val="001E2873"/>
    <w:rsid w:val="001E2B1E"/>
    <w:rsid w:val="001E2CFF"/>
    <w:rsid w:val="001E2F24"/>
    <w:rsid w:val="001E30C3"/>
    <w:rsid w:val="001E30D4"/>
    <w:rsid w:val="001E3386"/>
    <w:rsid w:val="001E34DF"/>
    <w:rsid w:val="001E3910"/>
    <w:rsid w:val="001E3F84"/>
    <w:rsid w:val="001E4385"/>
    <w:rsid w:val="001E44A8"/>
    <w:rsid w:val="001E52EB"/>
    <w:rsid w:val="001E5FCB"/>
    <w:rsid w:val="001E61D2"/>
    <w:rsid w:val="001E6D8E"/>
    <w:rsid w:val="001E715D"/>
    <w:rsid w:val="001E740C"/>
    <w:rsid w:val="001F0904"/>
    <w:rsid w:val="001F0CD9"/>
    <w:rsid w:val="001F0EC0"/>
    <w:rsid w:val="001F1235"/>
    <w:rsid w:val="001F179C"/>
    <w:rsid w:val="001F1CB3"/>
    <w:rsid w:val="001F2842"/>
    <w:rsid w:val="001F38B5"/>
    <w:rsid w:val="001F3B5B"/>
    <w:rsid w:val="001F4081"/>
    <w:rsid w:val="001F4118"/>
    <w:rsid w:val="001F4468"/>
    <w:rsid w:val="001F4897"/>
    <w:rsid w:val="001F549F"/>
    <w:rsid w:val="001F55FE"/>
    <w:rsid w:val="001F570B"/>
    <w:rsid w:val="001F5E4B"/>
    <w:rsid w:val="001F6A7A"/>
    <w:rsid w:val="001F6CAA"/>
    <w:rsid w:val="001F7361"/>
    <w:rsid w:val="001F79FB"/>
    <w:rsid w:val="001F7D0F"/>
    <w:rsid w:val="001F7DB0"/>
    <w:rsid w:val="00200103"/>
    <w:rsid w:val="002011B0"/>
    <w:rsid w:val="002013F5"/>
    <w:rsid w:val="002017D5"/>
    <w:rsid w:val="00201CA3"/>
    <w:rsid w:val="002027CE"/>
    <w:rsid w:val="0020299E"/>
    <w:rsid w:val="00203181"/>
    <w:rsid w:val="00203783"/>
    <w:rsid w:val="00203790"/>
    <w:rsid w:val="0020385F"/>
    <w:rsid w:val="00203B36"/>
    <w:rsid w:val="00203BC0"/>
    <w:rsid w:val="00203F39"/>
    <w:rsid w:val="00203F75"/>
    <w:rsid w:val="0020409F"/>
    <w:rsid w:val="00204130"/>
    <w:rsid w:val="002042D0"/>
    <w:rsid w:val="00204991"/>
    <w:rsid w:val="00204F38"/>
    <w:rsid w:val="0020598E"/>
    <w:rsid w:val="00205AC4"/>
    <w:rsid w:val="002068A0"/>
    <w:rsid w:val="002069D7"/>
    <w:rsid w:val="00206B9D"/>
    <w:rsid w:val="00206CCE"/>
    <w:rsid w:val="00207021"/>
    <w:rsid w:val="00207210"/>
    <w:rsid w:val="0020732F"/>
    <w:rsid w:val="00207A39"/>
    <w:rsid w:val="00207BD7"/>
    <w:rsid w:val="00207D00"/>
    <w:rsid w:val="00207F6B"/>
    <w:rsid w:val="002105C1"/>
    <w:rsid w:val="00210983"/>
    <w:rsid w:val="002112D8"/>
    <w:rsid w:val="002116FD"/>
    <w:rsid w:val="0021205B"/>
    <w:rsid w:val="00212A7F"/>
    <w:rsid w:val="00212D5B"/>
    <w:rsid w:val="00213645"/>
    <w:rsid w:val="00213DBC"/>
    <w:rsid w:val="00213EF5"/>
    <w:rsid w:val="002143A2"/>
    <w:rsid w:val="002143EB"/>
    <w:rsid w:val="00214C68"/>
    <w:rsid w:val="002156FD"/>
    <w:rsid w:val="0021689C"/>
    <w:rsid w:val="00216BF5"/>
    <w:rsid w:val="00216FB5"/>
    <w:rsid w:val="00216FBE"/>
    <w:rsid w:val="00217701"/>
    <w:rsid w:val="00217F55"/>
    <w:rsid w:val="002215E6"/>
    <w:rsid w:val="00221FE7"/>
    <w:rsid w:val="002230D3"/>
    <w:rsid w:val="002235BE"/>
    <w:rsid w:val="00223B49"/>
    <w:rsid w:val="00223D5A"/>
    <w:rsid w:val="00224296"/>
    <w:rsid w:val="00224DD4"/>
    <w:rsid w:val="002250AF"/>
    <w:rsid w:val="00226086"/>
    <w:rsid w:val="00226FBD"/>
    <w:rsid w:val="002278A0"/>
    <w:rsid w:val="00227CE0"/>
    <w:rsid w:val="0023040F"/>
    <w:rsid w:val="002309CC"/>
    <w:rsid w:val="00231215"/>
    <w:rsid w:val="0023162E"/>
    <w:rsid w:val="00231BA9"/>
    <w:rsid w:val="0023209F"/>
    <w:rsid w:val="002324D1"/>
    <w:rsid w:val="002325C1"/>
    <w:rsid w:val="0023304E"/>
    <w:rsid w:val="00233612"/>
    <w:rsid w:val="00233806"/>
    <w:rsid w:val="00233C01"/>
    <w:rsid w:val="0023413C"/>
    <w:rsid w:val="0023433C"/>
    <w:rsid w:val="002346F0"/>
    <w:rsid w:val="002347DB"/>
    <w:rsid w:val="00234BA2"/>
    <w:rsid w:val="002353F6"/>
    <w:rsid w:val="00236294"/>
    <w:rsid w:val="0023629D"/>
    <w:rsid w:val="00236F78"/>
    <w:rsid w:val="00237255"/>
    <w:rsid w:val="002403DA"/>
    <w:rsid w:val="00240594"/>
    <w:rsid w:val="0024205C"/>
    <w:rsid w:val="002424AF"/>
    <w:rsid w:val="002425DB"/>
    <w:rsid w:val="00242D18"/>
    <w:rsid w:val="002439DC"/>
    <w:rsid w:val="00244038"/>
    <w:rsid w:val="002441D2"/>
    <w:rsid w:val="00244DC8"/>
    <w:rsid w:val="00245497"/>
    <w:rsid w:val="002456B8"/>
    <w:rsid w:val="002458BA"/>
    <w:rsid w:val="00245CE9"/>
    <w:rsid w:val="0024636C"/>
    <w:rsid w:val="00246BD4"/>
    <w:rsid w:val="00246DED"/>
    <w:rsid w:val="00247450"/>
    <w:rsid w:val="00247925"/>
    <w:rsid w:val="00250160"/>
    <w:rsid w:val="00250782"/>
    <w:rsid w:val="00250A66"/>
    <w:rsid w:val="00251006"/>
    <w:rsid w:val="002512EE"/>
    <w:rsid w:val="002513AC"/>
    <w:rsid w:val="002517B7"/>
    <w:rsid w:val="00251BD6"/>
    <w:rsid w:val="00251F77"/>
    <w:rsid w:val="002524D5"/>
    <w:rsid w:val="00252756"/>
    <w:rsid w:val="00252FD5"/>
    <w:rsid w:val="00253853"/>
    <w:rsid w:val="00253B1D"/>
    <w:rsid w:val="00254030"/>
    <w:rsid w:val="002541BA"/>
    <w:rsid w:val="002546E1"/>
    <w:rsid w:val="00254AA3"/>
    <w:rsid w:val="00254B3D"/>
    <w:rsid w:val="00254DCF"/>
    <w:rsid w:val="0025534B"/>
    <w:rsid w:val="002558B8"/>
    <w:rsid w:val="002559EE"/>
    <w:rsid w:val="00255A07"/>
    <w:rsid w:val="00255BB7"/>
    <w:rsid w:val="00255DA4"/>
    <w:rsid w:val="00255F40"/>
    <w:rsid w:val="00255FC3"/>
    <w:rsid w:val="002564A5"/>
    <w:rsid w:val="00257541"/>
    <w:rsid w:val="002576B4"/>
    <w:rsid w:val="00257A39"/>
    <w:rsid w:val="00257AC4"/>
    <w:rsid w:val="00257BBE"/>
    <w:rsid w:val="00260BA7"/>
    <w:rsid w:val="00260C68"/>
    <w:rsid w:val="00261EEF"/>
    <w:rsid w:val="002622FF"/>
    <w:rsid w:val="00262620"/>
    <w:rsid w:val="00262945"/>
    <w:rsid w:val="00262A1A"/>
    <w:rsid w:val="00262A87"/>
    <w:rsid w:val="00262DB0"/>
    <w:rsid w:val="00262E04"/>
    <w:rsid w:val="00263A21"/>
    <w:rsid w:val="00264001"/>
    <w:rsid w:val="00264078"/>
    <w:rsid w:val="00264D26"/>
    <w:rsid w:val="00265422"/>
    <w:rsid w:val="0026544A"/>
    <w:rsid w:val="00265545"/>
    <w:rsid w:val="00265742"/>
    <w:rsid w:val="00265C81"/>
    <w:rsid w:val="002663E4"/>
    <w:rsid w:val="00266B0F"/>
    <w:rsid w:val="00266E07"/>
    <w:rsid w:val="0026702C"/>
    <w:rsid w:val="00267642"/>
    <w:rsid w:val="00267AB9"/>
    <w:rsid w:val="00267AEA"/>
    <w:rsid w:val="002700E6"/>
    <w:rsid w:val="00270424"/>
    <w:rsid w:val="002712D0"/>
    <w:rsid w:val="0027264B"/>
    <w:rsid w:val="0027294B"/>
    <w:rsid w:val="00273096"/>
    <w:rsid w:val="00273EB4"/>
    <w:rsid w:val="00274285"/>
    <w:rsid w:val="00274682"/>
    <w:rsid w:val="00275158"/>
    <w:rsid w:val="00275C5A"/>
    <w:rsid w:val="0027673F"/>
    <w:rsid w:val="002767C3"/>
    <w:rsid w:val="00277643"/>
    <w:rsid w:val="002800AA"/>
    <w:rsid w:val="00280EF3"/>
    <w:rsid w:val="00281014"/>
    <w:rsid w:val="002812FF"/>
    <w:rsid w:val="00281829"/>
    <w:rsid w:val="00281A3A"/>
    <w:rsid w:val="00281D10"/>
    <w:rsid w:val="00281D96"/>
    <w:rsid w:val="00282046"/>
    <w:rsid w:val="0028264E"/>
    <w:rsid w:val="002828E5"/>
    <w:rsid w:val="002829BC"/>
    <w:rsid w:val="00282DA3"/>
    <w:rsid w:val="002830F6"/>
    <w:rsid w:val="002832D0"/>
    <w:rsid w:val="00284AF7"/>
    <w:rsid w:val="00285BCE"/>
    <w:rsid w:val="00285BD5"/>
    <w:rsid w:val="00285DF0"/>
    <w:rsid w:val="0028653B"/>
    <w:rsid w:val="00286606"/>
    <w:rsid w:val="0028665D"/>
    <w:rsid w:val="002903F1"/>
    <w:rsid w:val="00290BA5"/>
    <w:rsid w:val="0029122B"/>
    <w:rsid w:val="00291F4C"/>
    <w:rsid w:val="00292631"/>
    <w:rsid w:val="00292716"/>
    <w:rsid w:val="002940BE"/>
    <w:rsid w:val="002950D5"/>
    <w:rsid w:val="00295D3C"/>
    <w:rsid w:val="0029614F"/>
    <w:rsid w:val="00296CDC"/>
    <w:rsid w:val="002976B0"/>
    <w:rsid w:val="0029787B"/>
    <w:rsid w:val="00297DE2"/>
    <w:rsid w:val="002A00B5"/>
    <w:rsid w:val="002A0D8D"/>
    <w:rsid w:val="002A116A"/>
    <w:rsid w:val="002A14AB"/>
    <w:rsid w:val="002A1F6B"/>
    <w:rsid w:val="002A20A4"/>
    <w:rsid w:val="002A2A8C"/>
    <w:rsid w:val="002A2ADE"/>
    <w:rsid w:val="002A2D30"/>
    <w:rsid w:val="002A2F50"/>
    <w:rsid w:val="002A4C5E"/>
    <w:rsid w:val="002A4EF6"/>
    <w:rsid w:val="002A536F"/>
    <w:rsid w:val="002A5753"/>
    <w:rsid w:val="002A64F7"/>
    <w:rsid w:val="002A6705"/>
    <w:rsid w:val="002A69D4"/>
    <w:rsid w:val="002A73C3"/>
    <w:rsid w:val="002A7943"/>
    <w:rsid w:val="002A7B2E"/>
    <w:rsid w:val="002B01CE"/>
    <w:rsid w:val="002B05A1"/>
    <w:rsid w:val="002B09A4"/>
    <w:rsid w:val="002B133E"/>
    <w:rsid w:val="002B14AE"/>
    <w:rsid w:val="002B160F"/>
    <w:rsid w:val="002B1C1F"/>
    <w:rsid w:val="002B2194"/>
    <w:rsid w:val="002B26EA"/>
    <w:rsid w:val="002B27BE"/>
    <w:rsid w:val="002B2A38"/>
    <w:rsid w:val="002B2EA8"/>
    <w:rsid w:val="002B3304"/>
    <w:rsid w:val="002B3386"/>
    <w:rsid w:val="002B41B7"/>
    <w:rsid w:val="002B432F"/>
    <w:rsid w:val="002B44CC"/>
    <w:rsid w:val="002B62B3"/>
    <w:rsid w:val="002B6754"/>
    <w:rsid w:val="002B69F2"/>
    <w:rsid w:val="002B6CCE"/>
    <w:rsid w:val="002B6E8D"/>
    <w:rsid w:val="002B6F0B"/>
    <w:rsid w:val="002B7BE2"/>
    <w:rsid w:val="002C1313"/>
    <w:rsid w:val="002C135E"/>
    <w:rsid w:val="002C2510"/>
    <w:rsid w:val="002C2564"/>
    <w:rsid w:val="002C25E2"/>
    <w:rsid w:val="002C2775"/>
    <w:rsid w:val="002C27C1"/>
    <w:rsid w:val="002C36E3"/>
    <w:rsid w:val="002C39E6"/>
    <w:rsid w:val="002C3DF5"/>
    <w:rsid w:val="002C410C"/>
    <w:rsid w:val="002C5099"/>
    <w:rsid w:val="002C5889"/>
    <w:rsid w:val="002C58B0"/>
    <w:rsid w:val="002C5C4C"/>
    <w:rsid w:val="002C6168"/>
    <w:rsid w:val="002C62ED"/>
    <w:rsid w:val="002C65E3"/>
    <w:rsid w:val="002C71CE"/>
    <w:rsid w:val="002D08F8"/>
    <w:rsid w:val="002D0C58"/>
    <w:rsid w:val="002D0FC6"/>
    <w:rsid w:val="002D1A18"/>
    <w:rsid w:val="002D2905"/>
    <w:rsid w:val="002D2DE7"/>
    <w:rsid w:val="002D2E30"/>
    <w:rsid w:val="002D3578"/>
    <w:rsid w:val="002D392D"/>
    <w:rsid w:val="002D48BD"/>
    <w:rsid w:val="002D48F2"/>
    <w:rsid w:val="002D4957"/>
    <w:rsid w:val="002D49C3"/>
    <w:rsid w:val="002D54AB"/>
    <w:rsid w:val="002D56F9"/>
    <w:rsid w:val="002D577C"/>
    <w:rsid w:val="002D585F"/>
    <w:rsid w:val="002D6950"/>
    <w:rsid w:val="002D6B2D"/>
    <w:rsid w:val="002D6C0B"/>
    <w:rsid w:val="002D7832"/>
    <w:rsid w:val="002D79EF"/>
    <w:rsid w:val="002D7BA2"/>
    <w:rsid w:val="002E08D2"/>
    <w:rsid w:val="002E0B33"/>
    <w:rsid w:val="002E0C64"/>
    <w:rsid w:val="002E1017"/>
    <w:rsid w:val="002E1071"/>
    <w:rsid w:val="002E1248"/>
    <w:rsid w:val="002E1363"/>
    <w:rsid w:val="002E150B"/>
    <w:rsid w:val="002E15B9"/>
    <w:rsid w:val="002E2158"/>
    <w:rsid w:val="002E3E13"/>
    <w:rsid w:val="002E3EB4"/>
    <w:rsid w:val="002E42DC"/>
    <w:rsid w:val="002E469A"/>
    <w:rsid w:val="002E498B"/>
    <w:rsid w:val="002E4AB0"/>
    <w:rsid w:val="002E4F02"/>
    <w:rsid w:val="002E5453"/>
    <w:rsid w:val="002E5CF7"/>
    <w:rsid w:val="002E6562"/>
    <w:rsid w:val="002E6A9A"/>
    <w:rsid w:val="002E7722"/>
    <w:rsid w:val="002E79E4"/>
    <w:rsid w:val="002E7CA1"/>
    <w:rsid w:val="002F07BA"/>
    <w:rsid w:val="002F0DA9"/>
    <w:rsid w:val="002F1014"/>
    <w:rsid w:val="002F138B"/>
    <w:rsid w:val="002F1E3B"/>
    <w:rsid w:val="002F20FF"/>
    <w:rsid w:val="002F216E"/>
    <w:rsid w:val="002F2696"/>
    <w:rsid w:val="002F340C"/>
    <w:rsid w:val="002F4661"/>
    <w:rsid w:val="002F4A11"/>
    <w:rsid w:val="002F5377"/>
    <w:rsid w:val="002F5490"/>
    <w:rsid w:val="002F5736"/>
    <w:rsid w:val="002F5F1F"/>
    <w:rsid w:val="002F643C"/>
    <w:rsid w:val="002F71C0"/>
    <w:rsid w:val="002F74F1"/>
    <w:rsid w:val="003008E2"/>
    <w:rsid w:val="00301017"/>
    <w:rsid w:val="0030142E"/>
    <w:rsid w:val="0030155F"/>
    <w:rsid w:val="00301B91"/>
    <w:rsid w:val="00302C5E"/>
    <w:rsid w:val="003030DF"/>
    <w:rsid w:val="003036B5"/>
    <w:rsid w:val="00303B70"/>
    <w:rsid w:val="0030517E"/>
    <w:rsid w:val="0030587B"/>
    <w:rsid w:val="003060E4"/>
    <w:rsid w:val="00306B21"/>
    <w:rsid w:val="00306D98"/>
    <w:rsid w:val="003072C6"/>
    <w:rsid w:val="003076DD"/>
    <w:rsid w:val="0030786C"/>
    <w:rsid w:val="0030796A"/>
    <w:rsid w:val="00307C5B"/>
    <w:rsid w:val="0031031A"/>
    <w:rsid w:val="003103DF"/>
    <w:rsid w:val="003105CB"/>
    <w:rsid w:val="00310981"/>
    <w:rsid w:val="00310C67"/>
    <w:rsid w:val="003114BA"/>
    <w:rsid w:val="00311D9B"/>
    <w:rsid w:val="00311FA9"/>
    <w:rsid w:val="00312097"/>
    <w:rsid w:val="003124A1"/>
    <w:rsid w:val="003124D9"/>
    <w:rsid w:val="00312594"/>
    <w:rsid w:val="00313244"/>
    <w:rsid w:val="00313407"/>
    <w:rsid w:val="00313791"/>
    <w:rsid w:val="00313CFB"/>
    <w:rsid w:val="00313D07"/>
    <w:rsid w:val="00313FA6"/>
    <w:rsid w:val="00314A0D"/>
    <w:rsid w:val="00314D36"/>
    <w:rsid w:val="0031508B"/>
    <w:rsid w:val="003150A0"/>
    <w:rsid w:val="00315498"/>
    <w:rsid w:val="00316071"/>
    <w:rsid w:val="00316474"/>
    <w:rsid w:val="0031677F"/>
    <w:rsid w:val="00316BDD"/>
    <w:rsid w:val="00317418"/>
    <w:rsid w:val="003200F2"/>
    <w:rsid w:val="00320FD5"/>
    <w:rsid w:val="00321242"/>
    <w:rsid w:val="00322107"/>
    <w:rsid w:val="003222C7"/>
    <w:rsid w:val="00322355"/>
    <w:rsid w:val="00322610"/>
    <w:rsid w:val="00322846"/>
    <w:rsid w:val="00322B8A"/>
    <w:rsid w:val="00322BD6"/>
    <w:rsid w:val="00322E37"/>
    <w:rsid w:val="00322FCC"/>
    <w:rsid w:val="003230C4"/>
    <w:rsid w:val="0032381F"/>
    <w:rsid w:val="00324F4E"/>
    <w:rsid w:val="003257A6"/>
    <w:rsid w:val="00326A7C"/>
    <w:rsid w:val="00326DA7"/>
    <w:rsid w:val="00326F95"/>
    <w:rsid w:val="003270E4"/>
    <w:rsid w:val="00327506"/>
    <w:rsid w:val="003275E4"/>
    <w:rsid w:val="00327EA5"/>
    <w:rsid w:val="0033006B"/>
    <w:rsid w:val="00330A90"/>
    <w:rsid w:val="00330DAA"/>
    <w:rsid w:val="00330F5C"/>
    <w:rsid w:val="0033142B"/>
    <w:rsid w:val="003316AF"/>
    <w:rsid w:val="00331703"/>
    <w:rsid w:val="0033202D"/>
    <w:rsid w:val="0033295F"/>
    <w:rsid w:val="00332A7C"/>
    <w:rsid w:val="00332D4B"/>
    <w:rsid w:val="00333975"/>
    <w:rsid w:val="0033443F"/>
    <w:rsid w:val="003346CE"/>
    <w:rsid w:val="003347D6"/>
    <w:rsid w:val="00334FD9"/>
    <w:rsid w:val="00336606"/>
    <w:rsid w:val="003366C9"/>
    <w:rsid w:val="00336E7D"/>
    <w:rsid w:val="003371B0"/>
    <w:rsid w:val="00337D1B"/>
    <w:rsid w:val="00340DF1"/>
    <w:rsid w:val="00341C52"/>
    <w:rsid w:val="00342768"/>
    <w:rsid w:val="003429DA"/>
    <w:rsid w:val="00342E49"/>
    <w:rsid w:val="00343086"/>
    <w:rsid w:val="003431A4"/>
    <w:rsid w:val="00345480"/>
    <w:rsid w:val="00345DD8"/>
    <w:rsid w:val="003460C9"/>
    <w:rsid w:val="00346E78"/>
    <w:rsid w:val="00346FD0"/>
    <w:rsid w:val="00347B64"/>
    <w:rsid w:val="00347F48"/>
    <w:rsid w:val="0035044B"/>
    <w:rsid w:val="00350777"/>
    <w:rsid w:val="00350EB6"/>
    <w:rsid w:val="003517F9"/>
    <w:rsid w:val="00351BA9"/>
    <w:rsid w:val="0035325C"/>
    <w:rsid w:val="0035485E"/>
    <w:rsid w:val="00354F64"/>
    <w:rsid w:val="00355282"/>
    <w:rsid w:val="0035551B"/>
    <w:rsid w:val="0035592A"/>
    <w:rsid w:val="00355CD5"/>
    <w:rsid w:val="0035600B"/>
    <w:rsid w:val="0035620E"/>
    <w:rsid w:val="003575BE"/>
    <w:rsid w:val="00360124"/>
    <w:rsid w:val="00360345"/>
    <w:rsid w:val="00361889"/>
    <w:rsid w:val="00361A05"/>
    <w:rsid w:val="00362101"/>
    <w:rsid w:val="003624C4"/>
    <w:rsid w:val="00362824"/>
    <w:rsid w:val="00362E56"/>
    <w:rsid w:val="00363382"/>
    <w:rsid w:val="00363B00"/>
    <w:rsid w:val="0036443F"/>
    <w:rsid w:val="003654AC"/>
    <w:rsid w:val="00365AD5"/>
    <w:rsid w:val="0036622B"/>
    <w:rsid w:val="0036650E"/>
    <w:rsid w:val="0036773B"/>
    <w:rsid w:val="00367DBE"/>
    <w:rsid w:val="00367F30"/>
    <w:rsid w:val="00370002"/>
    <w:rsid w:val="003701D0"/>
    <w:rsid w:val="003705B5"/>
    <w:rsid w:val="0037103B"/>
    <w:rsid w:val="003710CF"/>
    <w:rsid w:val="00371676"/>
    <w:rsid w:val="00371B9F"/>
    <w:rsid w:val="00372402"/>
    <w:rsid w:val="003728EE"/>
    <w:rsid w:val="00372D9F"/>
    <w:rsid w:val="00372E0C"/>
    <w:rsid w:val="0037358A"/>
    <w:rsid w:val="00373B1D"/>
    <w:rsid w:val="003749ED"/>
    <w:rsid w:val="003750F6"/>
    <w:rsid w:val="00375359"/>
    <w:rsid w:val="003760FC"/>
    <w:rsid w:val="003762B2"/>
    <w:rsid w:val="0037631F"/>
    <w:rsid w:val="003763F0"/>
    <w:rsid w:val="003772DD"/>
    <w:rsid w:val="00377874"/>
    <w:rsid w:val="00380CB6"/>
    <w:rsid w:val="00380D63"/>
    <w:rsid w:val="0038161A"/>
    <w:rsid w:val="00382D47"/>
    <w:rsid w:val="003834EB"/>
    <w:rsid w:val="0038365C"/>
    <w:rsid w:val="0038369B"/>
    <w:rsid w:val="00383B78"/>
    <w:rsid w:val="00383D1D"/>
    <w:rsid w:val="00384103"/>
    <w:rsid w:val="003841A4"/>
    <w:rsid w:val="00384E59"/>
    <w:rsid w:val="00384F7D"/>
    <w:rsid w:val="00385A9D"/>
    <w:rsid w:val="00387121"/>
    <w:rsid w:val="0038741C"/>
    <w:rsid w:val="0038758C"/>
    <w:rsid w:val="00387762"/>
    <w:rsid w:val="003902B1"/>
    <w:rsid w:val="00390AF0"/>
    <w:rsid w:val="00390EC7"/>
    <w:rsid w:val="003912B3"/>
    <w:rsid w:val="0039173A"/>
    <w:rsid w:val="0039179C"/>
    <w:rsid w:val="00391F79"/>
    <w:rsid w:val="0039263A"/>
    <w:rsid w:val="00393B90"/>
    <w:rsid w:val="00393BED"/>
    <w:rsid w:val="00393BEE"/>
    <w:rsid w:val="00393F9B"/>
    <w:rsid w:val="003940E3"/>
    <w:rsid w:val="00394A8A"/>
    <w:rsid w:val="0039564D"/>
    <w:rsid w:val="0039574C"/>
    <w:rsid w:val="00395878"/>
    <w:rsid w:val="00395A89"/>
    <w:rsid w:val="003967D3"/>
    <w:rsid w:val="00396896"/>
    <w:rsid w:val="00396FD0"/>
    <w:rsid w:val="0039700A"/>
    <w:rsid w:val="003971E6"/>
    <w:rsid w:val="003A0A5E"/>
    <w:rsid w:val="003A0CA5"/>
    <w:rsid w:val="003A1A7A"/>
    <w:rsid w:val="003A2392"/>
    <w:rsid w:val="003A23D3"/>
    <w:rsid w:val="003A2447"/>
    <w:rsid w:val="003A2831"/>
    <w:rsid w:val="003A2AE2"/>
    <w:rsid w:val="003A2D0C"/>
    <w:rsid w:val="003A2D47"/>
    <w:rsid w:val="003A2E4D"/>
    <w:rsid w:val="003A38A9"/>
    <w:rsid w:val="003A3BB8"/>
    <w:rsid w:val="003A3CA8"/>
    <w:rsid w:val="003A3CB6"/>
    <w:rsid w:val="003A3ED1"/>
    <w:rsid w:val="003A42AA"/>
    <w:rsid w:val="003A4323"/>
    <w:rsid w:val="003A44DB"/>
    <w:rsid w:val="003A477C"/>
    <w:rsid w:val="003A4C14"/>
    <w:rsid w:val="003A4EDF"/>
    <w:rsid w:val="003A4F3E"/>
    <w:rsid w:val="003A6861"/>
    <w:rsid w:val="003A7D08"/>
    <w:rsid w:val="003A7D58"/>
    <w:rsid w:val="003B00D4"/>
    <w:rsid w:val="003B02B6"/>
    <w:rsid w:val="003B09B4"/>
    <w:rsid w:val="003B1A83"/>
    <w:rsid w:val="003B35F7"/>
    <w:rsid w:val="003B3971"/>
    <w:rsid w:val="003B41AA"/>
    <w:rsid w:val="003B427E"/>
    <w:rsid w:val="003B5595"/>
    <w:rsid w:val="003B55D1"/>
    <w:rsid w:val="003B5B61"/>
    <w:rsid w:val="003B737B"/>
    <w:rsid w:val="003C02E4"/>
    <w:rsid w:val="003C0369"/>
    <w:rsid w:val="003C0435"/>
    <w:rsid w:val="003C05F7"/>
    <w:rsid w:val="003C0D55"/>
    <w:rsid w:val="003C105B"/>
    <w:rsid w:val="003C1176"/>
    <w:rsid w:val="003C1185"/>
    <w:rsid w:val="003C12B1"/>
    <w:rsid w:val="003C15B7"/>
    <w:rsid w:val="003C1654"/>
    <w:rsid w:val="003C16FE"/>
    <w:rsid w:val="003C171E"/>
    <w:rsid w:val="003C1FB5"/>
    <w:rsid w:val="003C270E"/>
    <w:rsid w:val="003C284E"/>
    <w:rsid w:val="003C285E"/>
    <w:rsid w:val="003C2954"/>
    <w:rsid w:val="003C2A0C"/>
    <w:rsid w:val="003C2A9A"/>
    <w:rsid w:val="003C2DE2"/>
    <w:rsid w:val="003C3F52"/>
    <w:rsid w:val="003C4999"/>
    <w:rsid w:val="003C49AC"/>
    <w:rsid w:val="003C5542"/>
    <w:rsid w:val="003C58ED"/>
    <w:rsid w:val="003C5E5D"/>
    <w:rsid w:val="003C6484"/>
    <w:rsid w:val="003C6C8E"/>
    <w:rsid w:val="003C70C1"/>
    <w:rsid w:val="003C72F5"/>
    <w:rsid w:val="003C7C15"/>
    <w:rsid w:val="003C7D19"/>
    <w:rsid w:val="003C7D2F"/>
    <w:rsid w:val="003C7D73"/>
    <w:rsid w:val="003D0717"/>
    <w:rsid w:val="003D0C5A"/>
    <w:rsid w:val="003D0D9E"/>
    <w:rsid w:val="003D1179"/>
    <w:rsid w:val="003D1783"/>
    <w:rsid w:val="003D1828"/>
    <w:rsid w:val="003D1DE4"/>
    <w:rsid w:val="003D1E9A"/>
    <w:rsid w:val="003D2422"/>
    <w:rsid w:val="003D24D2"/>
    <w:rsid w:val="003D2745"/>
    <w:rsid w:val="003D2CE1"/>
    <w:rsid w:val="003D39A1"/>
    <w:rsid w:val="003D3E82"/>
    <w:rsid w:val="003D3F95"/>
    <w:rsid w:val="003D3FBF"/>
    <w:rsid w:val="003D4438"/>
    <w:rsid w:val="003D4A30"/>
    <w:rsid w:val="003D4ED2"/>
    <w:rsid w:val="003D51D4"/>
    <w:rsid w:val="003D5AD5"/>
    <w:rsid w:val="003D703D"/>
    <w:rsid w:val="003D7386"/>
    <w:rsid w:val="003D7452"/>
    <w:rsid w:val="003D79BB"/>
    <w:rsid w:val="003D7C98"/>
    <w:rsid w:val="003D7D9D"/>
    <w:rsid w:val="003E00AB"/>
    <w:rsid w:val="003E0481"/>
    <w:rsid w:val="003E0543"/>
    <w:rsid w:val="003E0962"/>
    <w:rsid w:val="003E1B6D"/>
    <w:rsid w:val="003E25ED"/>
    <w:rsid w:val="003E3265"/>
    <w:rsid w:val="003E3763"/>
    <w:rsid w:val="003E3B3E"/>
    <w:rsid w:val="003E443B"/>
    <w:rsid w:val="003E4D35"/>
    <w:rsid w:val="003E5603"/>
    <w:rsid w:val="003E6CE3"/>
    <w:rsid w:val="003E7056"/>
    <w:rsid w:val="003E749E"/>
    <w:rsid w:val="003E776B"/>
    <w:rsid w:val="003E7B84"/>
    <w:rsid w:val="003E7F34"/>
    <w:rsid w:val="003F08D5"/>
    <w:rsid w:val="003F0CF2"/>
    <w:rsid w:val="003F0CF4"/>
    <w:rsid w:val="003F0E73"/>
    <w:rsid w:val="003F12DA"/>
    <w:rsid w:val="003F2ABC"/>
    <w:rsid w:val="003F2E3C"/>
    <w:rsid w:val="003F4156"/>
    <w:rsid w:val="003F4315"/>
    <w:rsid w:val="003F4B4B"/>
    <w:rsid w:val="003F5ADF"/>
    <w:rsid w:val="003F5D9A"/>
    <w:rsid w:val="003F6BAB"/>
    <w:rsid w:val="003F7F3D"/>
    <w:rsid w:val="0040072E"/>
    <w:rsid w:val="00400B29"/>
    <w:rsid w:val="00400F43"/>
    <w:rsid w:val="00401654"/>
    <w:rsid w:val="00401B48"/>
    <w:rsid w:val="00402812"/>
    <w:rsid w:val="00402B46"/>
    <w:rsid w:val="00402CF0"/>
    <w:rsid w:val="004030BB"/>
    <w:rsid w:val="00403B12"/>
    <w:rsid w:val="00405004"/>
    <w:rsid w:val="0040504B"/>
    <w:rsid w:val="004059F4"/>
    <w:rsid w:val="00405E03"/>
    <w:rsid w:val="0040715D"/>
    <w:rsid w:val="00407FE5"/>
    <w:rsid w:val="00410125"/>
    <w:rsid w:val="004101B0"/>
    <w:rsid w:val="00410326"/>
    <w:rsid w:val="004104AE"/>
    <w:rsid w:val="00410708"/>
    <w:rsid w:val="00410EC7"/>
    <w:rsid w:val="004115AF"/>
    <w:rsid w:val="0041169C"/>
    <w:rsid w:val="00411B39"/>
    <w:rsid w:val="00412544"/>
    <w:rsid w:val="004127A7"/>
    <w:rsid w:val="00412A0F"/>
    <w:rsid w:val="00413A1E"/>
    <w:rsid w:val="00413B2D"/>
    <w:rsid w:val="004141C9"/>
    <w:rsid w:val="00414360"/>
    <w:rsid w:val="00414472"/>
    <w:rsid w:val="00414476"/>
    <w:rsid w:val="0041450D"/>
    <w:rsid w:val="00414C2E"/>
    <w:rsid w:val="004151CF"/>
    <w:rsid w:val="004151EC"/>
    <w:rsid w:val="004151F2"/>
    <w:rsid w:val="00415678"/>
    <w:rsid w:val="00415E60"/>
    <w:rsid w:val="00416364"/>
    <w:rsid w:val="00416503"/>
    <w:rsid w:val="0041699E"/>
    <w:rsid w:val="00416D57"/>
    <w:rsid w:val="00417446"/>
    <w:rsid w:val="0042047F"/>
    <w:rsid w:val="00420AA6"/>
    <w:rsid w:val="00420B0A"/>
    <w:rsid w:val="00420B9F"/>
    <w:rsid w:val="00420F27"/>
    <w:rsid w:val="004218ED"/>
    <w:rsid w:val="0042192C"/>
    <w:rsid w:val="00421F0F"/>
    <w:rsid w:val="00422260"/>
    <w:rsid w:val="00422657"/>
    <w:rsid w:val="00422824"/>
    <w:rsid w:val="00422F3C"/>
    <w:rsid w:val="004233F1"/>
    <w:rsid w:val="00423877"/>
    <w:rsid w:val="0042413F"/>
    <w:rsid w:val="004245BF"/>
    <w:rsid w:val="004245CD"/>
    <w:rsid w:val="0042556B"/>
    <w:rsid w:val="0042593F"/>
    <w:rsid w:val="00425A1D"/>
    <w:rsid w:val="00425BEF"/>
    <w:rsid w:val="00426006"/>
    <w:rsid w:val="004262A6"/>
    <w:rsid w:val="0042668F"/>
    <w:rsid w:val="00426857"/>
    <w:rsid w:val="0042695B"/>
    <w:rsid w:val="00426AAD"/>
    <w:rsid w:val="00430597"/>
    <w:rsid w:val="00431801"/>
    <w:rsid w:val="004319F8"/>
    <w:rsid w:val="00431BE1"/>
    <w:rsid w:val="00431DCA"/>
    <w:rsid w:val="00431E55"/>
    <w:rsid w:val="004321F6"/>
    <w:rsid w:val="00433044"/>
    <w:rsid w:val="0043341A"/>
    <w:rsid w:val="004335CA"/>
    <w:rsid w:val="00433D10"/>
    <w:rsid w:val="00434088"/>
    <w:rsid w:val="004340F8"/>
    <w:rsid w:val="0043438F"/>
    <w:rsid w:val="00434984"/>
    <w:rsid w:val="00434D99"/>
    <w:rsid w:val="00434E1D"/>
    <w:rsid w:val="00434E5F"/>
    <w:rsid w:val="0043587E"/>
    <w:rsid w:val="00436359"/>
    <w:rsid w:val="004364F8"/>
    <w:rsid w:val="00436AA4"/>
    <w:rsid w:val="0043750A"/>
    <w:rsid w:val="004375B9"/>
    <w:rsid w:val="00437772"/>
    <w:rsid w:val="00437F3C"/>
    <w:rsid w:val="00440BCB"/>
    <w:rsid w:val="00440DF3"/>
    <w:rsid w:val="0044141F"/>
    <w:rsid w:val="0044211E"/>
    <w:rsid w:val="0044228A"/>
    <w:rsid w:val="004428D0"/>
    <w:rsid w:val="00443550"/>
    <w:rsid w:val="004438B3"/>
    <w:rsid w:val="00444185"/>
    <w:rsid w:val="004443A7"/>
    <w:rsid w:val="0044442C"/>
    <w:rsid w:val="00445188"/>
    <w:rsid w:val="00445941"/>
    <w:rsid w:val="004459FC"/>
    <w:rsid w:val="004464EB"/>
    <w:rsid w:val="00446656"/>
    <w:rsid w:val="004474ED"/>
    <w:rsid w:val="0044773B"/>
    <w:rsid w:val="00447D26"/>
    <w:rsid w:val="00447DFC"/>
    <w:rsid w:val="00447F0D"/>
    <w:rsid w:val="00450AD5"/>
    <w:rsid w:val="004516C3"/>
    <w:rsid w:val="00451A72"/>
    <w:rsid w:val="00451BB6"/>
    <w:rsid w:val="00453515"/>
    <w:rsid w:val="00453786"/>
    <w:rsid w:val="00453B82"/>
    <w:rsid w:val="0045405D"/>
    <w:rsid w:val="00454198"/>
    <w:rsid w:val="00454F92"/>
    <w:rsid w:val="004552A1"/>
    <w:rsid w:val="0045567F"/>
    <w:rsid w:val="00455D45"/>
    <w:rsid w:val="00457062"/>
    <w:rsid w:val="0045736B"/>
    <w:rsid w:val="0045769C"/>
    <w:rsid w:val="00460B96"/>
    <w:rsid w:val="00460EEF"/>
    <w:rsid w:val="004610F4"/>
    <w:rsid w:val="00461707"/>
    <w:rsid w:val="004618D4"/>
    <w:rsid w:val="00462C52"/>
    <w:rsid w:val="0046378B"/>
    <w:rsid w:val="004642D1"/>
    <w:rsid w:val="00464595"/>
    <w:rsid w:val="0046522F"/>
    <w:rsid w:val="0046580E"/>
    <w:rsid w:val="004658A1"/>
    <w:rsid w:val="004658B5"/>
    <w:rsid w:val="00465B4D"/>
    <w:rsid w:val="00465F3C"/>
    <w:rsid w:val="00466546"/>
    <w:rsid w:val="00466933"/>
    <w:rsid w:val="0046704C"/>
    <w:rsid w:val="00471117"/>
    <w:rsid w:val="00471133"/>
    <w:rsid w:val="004715E3"/>
    <w:rsid w:val="00471BC3"/>
    <w:rsid w:val="00471D18"/>
    <w:rsid w:val="00471DDD"/>
    <w:rsid w:val="00471EA5"/>
    <w:rsid w:val="00471F10"/>
    <w:rsid w:val="0047215C"/>
    <w:rsid w:val="00472A79"/>
    <w:rsid w:val="00472D32"/>
    <w:rsid w:val="00473785"/>
    <w:rsid w:val="00473D0F"/>
    <w:rsid w:val="00473F19"/>
    <w:rsid w:val="004749ED"/>
    <w:rsid w:val="00474D28"/>
    <w:rsid w:val="00475E22"/>
    <w:rsid w:val="00476552"/>
    <w:rsid w:val="00476B0C"/>
    <w:rsid w:val="0047753A"/>
    <w:rsid w:val="00477CC4"/>
    <w:rsid w:val="00480549"/>
    <w:rsid w:val="0048063F"/>
    <w:rsid w:val="0048088E"/>
    <w:rsid w:val="004809C2"/>
    <w:rsid w:val="00480F2B"/>
    <w:rsid w:val="004810D9"/>
    <w:rsid w:val="00481960"/>
    <w:rsid w:val="0048204B"/>
    <w:rsid w:val="004822AA"/>
    <w:rsid w:val="00482720"/>
    <w:rsid w:val="004829AF"/>
    <w:rsid w:val="00483097"/>
    <w:rsid w:val="004830C2"/>
    <w:rsid w:val="004835E7"/>
    <w:rsid w:val="0048461E"/>
    <w:rsid w:val="0048473A"/>
    <w:rsid w:val="00485343"/>
    <w:rsid w:val="004855DE"/>
    <w:rsid w:val="004859E1"/>
    <w:rsid w:val="004867E2"/>
    <w:rsid w:val="0048711D"/>
    <w:rsid w:val="00487366"/>
    <w:rsid w:val="00487F80"/>
    <w:rsid w:val="004901B8"/>
    <w:rsid w:val="00490AA1"/>
    <w:rsid w:val="00490B17"/>
    <w:rsid w:val="00490F89"/>
    <w:rsid w:val="004913E9"/>
    <w:rsid w:val="00491AA9"/>
    <w:rsid w:val="00491B3A"/>
    <w:rsid w:val="00491BE3"/>
    <w:rsid w:val="0049253B"/>
    <w:rsid w:val="00492A59"/>
    <w:rsid w:val="00492CFD"/>
    <w:rsid w:val="00492FD3"/>
    <w:rsid w:val="004933A0"/>
    <w:rsid w:val="004938FD"/>
    <w:rsid w:val="00493D03"/>
    <w:rsid w:val="00493F63"/>
    <w:rsid w:val="00494207"/>
    <w:rsid w:val="00494525"/>
    <w:rsid w:val="0049485E"/>
    <w:rsid w:val="00494DD5"/>
    <w:rsid w:val="00495133"/>
    <w:rsid w:val="004951A6"/>
    <w:rsid w:val="00495672"/>
    <w:rsid w:val="004962D2"/>
    <w:rsid w:val="00496D70"/>
    <w:rsid w:val="004972E4"/>
    <w:rsid w:val="00497624"/>
    <w:rsid w:val="004978BC"/>
    <w:rsid w:val="00497CC2"/>
    <w:rsid w:val="00497CD0"/>
    <w:rsid w:val="004A09C0"/>
    <w:rsid w:val="004A0DA1"/>
    <w:rsid w:val="004A0F5B"/>
    <w:rsid w:val="004A0FB3"/>
    <w:rsid w:val="004A112E"/>
    <w:rsid w:val="004A13D6"/>
    <w:rsid w:val="004A2A27"/>
    <w:rsid w:val="004A2B2E"/>
    <w:rsid w:val="004A3262"/>
    <w:rsid w:val="004A338C"/>
    <w:rsid w:val="004A3D8A"/>
    <w:rsid w:val="004A4477"/>
    <w:rsid w:val="004A52E9"/>
    <w:rsid w:val="004A6040"/>
    <w:rsid w:val="004A605A"/>
    <w:rsid w:val="004A6597"/>
    <w:rsid w:val="004A686D"/>
    <w:rsid w:val="004A68DB"/>
    <w:rsid w:val="004A7178"/>
    <w:rsid w:val="004A717A"/>
    <w:rsid w:val="004A73A0"/>
    <w:rsid w:val="004A7660"/>
    <w:rsid w:val="004A7848"/>
    <w:rsid w:val="004A793B"/>
    <w:rsid w:val="004A7C96"/>
    <w:rsid w:val="004A7E49"/>
    <w:rsid w:val="004B0349"/>
    <w:rsid w:val="004B08FB"/>
    <w:rsid w:val="004B1CB4"/>
    <w:rsid w:val="004B1FA7"/>
    <w:rsid w:val="004B20F7"/>
    <w:rsid w:val="004B2F18"/>
    <w:rsid w:val="004B31B0"/>
    <w:rsid w:val="004B3DDB"/>
    <w:rsid w:val="004B3E48"/>
    <w:rsid w:val="004B3E49"/>
    <w:rsid w:val="004B44FD"/>
    <w:rsid w:val="004B477B"/>
    <w:rsid w:val="004B5C82"/>
    <w:rsid w:val="004B5CFC"/>
    <w:rsid w:val="004B64C7"/>
    <w:rsid w:val="004B6899"/>
    <w:rsid w:val="004B6F79"/>
    <w:rsid w:val="004B774D"/>
    <w:rsid w:val="004C004A"/>
    <w:rsid w:val="004C03D1"/>
    <w:rsid w:val="004C0D08"/>
    <w:rsid w:val="004C132A"/>
    <w:rsid w:val="004C15E6"/>
    <w:rsid w:val="004C29CE"/>
    <w:rsid w:val="004C2AC2"/>
    <w:rsid w:val="004C2C14"/>
    <w:rsid w:val="004C2DF9"/>
    <w:rsid w:val="004C39AA"/>
    <w:rsid w:val="004C4155"/>
    <w:rsid w:val="004C4AED"/>
    <w:rsid w:val="004C5138"/>
    <w:rsid w:val="004C5AAB"/>
    <w:rsid w:val="004C64FA"/>
    <w:rsid w:val="004C6F1A"/>
    <w:rsid w:val="004C71B1"/>
    <w:rsid w:val="004C79DE"/>
    <w:rsid w:val="004C7F80"/>
    <w:rsid w:val="004D0093"/>
    <w:rsid w:val="004D202D"/>
    <w:rsid w:val="004D272A"/>
    <w:rsid w:val="004D2C2D"/>
    <w:rsid w:val="004D3002"/>
    <w:rsid w:val="004D317E"/>
    <w:rsid w:val="004D3370"/>
    <w:rsid w:val="004D3C32"/>
    <w:rsid w:val="004D412C"/>
    <w:rsid w:val="004D4938"/>
    <w:rsid w:val="004D52DA"/>
    <w:rsid w:val="004D6032"/>
    <w:rsid w:val="004D69B5"/>
    <w:rsid w:val="004D6AFB"/>
    <w:rsid w:val="004D6DDA"/>
    <w:rsid w:val="004D7137"/>
    <w:rsid w:val="004D7227"/>
    <w:rsid w:val="004D7358"/>
    <w:rsid w:val="004D7B5E"/>
    <w:rsid w:val="004E07CB"/>
    <w:rsid w:val="004E09A8"/>
    <w:rsid w:val="004E0A41"/>
    <w:rsid w:val="004E0AAA"/>
    <w:rsid w:val="004E0E7F"/>
    <w:rsid w:val="004E0EB8"/>
    <w:rsid w:val="004E1459"/>
    <w:rsid w:val="004E18E9"/>
    <w:rsid w:val="004E1E91"/>
    <w:rsid w:val="004E2ADC"/>
    <w:rsid w:val="004E4141"/>
    <w:rsid w:val="004E43B2"/>
    <w:rsid w:val="004E4C99"/>
    <w:rsid w:val="004E4CD3"/>
    <w:rsid w:val="004E520D"/>
    <w:rsid w:val="004E5533"/>
    <w:rsid w:val="004E5715"/>
    <w:rsid w:val="004E5725"/>
    <w:rsid w:val="004E5B15"/>
    <w:rsid w:val="004E6FDF"/>
    <w:rsid w:val="004E7514"/>
    <w:rsid w:val="004E7644"/>
    <w:rsid w:val="004E7934"/>
    <w:rsid w:val="004E7A7C"/>
    <w:rsid w:val="004E7E8A"/>
    <w:rsid w:val="004F014C"/>
    <w:rsid w:val="004F1A6E"/>
    <w:rsid w:val="004F1D02"/>
    <w:rsid w:val="004F233F"/>
    <w:rsid w:val="004F2679"/>
    <w:rsid w:val="004F2F21"/>
    <w:rsid w:val="004F30C4"/>
    <w:rsid w:val="004F3230"/>
    <w:rsid w:val="004F3A8E"/>
    <w:rsid w:val="004F3BD8"/>
    <w:rsid w:val="004F3DE5"/>
    <w:rsid w:val="004F4E07"/>
    <w:rsid w:val="004F4F20"/>
    <w:rsid w:val="004F544E"/>
    <w:rsid w:val="004F57F6"/>
    <w:rsid w:val="004F5A74"/>
    <w:rsid w:val="004F6476"/>
    <w:rsid w:val="004F67AC"/>
    <w:rsid w:val="004F6913"/>
    <w:rsid w:val="004F751A"/>
    <w:rsid w:val="004F7865"/>
    <w:rsid w:val="00500411"/>
    <w:rsid w:val="00500E99"/>
    <w:rsid w:val="00500EBE"/>
    <w:rsid w:val="0050153C"/>
    <w:rsid w:val="005016ED"/>
    <w:rsid w:val="0050174E"/>
    <w:rsid w:val="00501854"/>
    <w:rsid w:val="005018E8"/>
    <w:rsid w:val="005019D4"/>
    <w:rsid w:val="005020F1"/>
    <w:rsid w:val="0050219B"/>
    <w:rsid w:val="00502A62"/>
    <w:rsid w:val="0050311E"/>
    <w:rsid w:val="00503DA2"/>
    <w:rsid w:val="00503E2A"/>
    <w:rsid w:val="00503F17"/>
    <w:rsid w:val="00503F3A"/>
    <w:rsid w:val="0050452A"/>
    <w:rsid w:val="005050D9"/>
    <w:rsid w:val="00505FB6"/>
    <w:rsid w:val="00506928"/>
    <w:rsid w:val="005077EF"/>
    <w:rsid w:val="0050782A"/>
    <w:rsid w:val="005115AD"/>
    <w:rsid w:val="00511AD5"/>
    <w:rsid w:val="00511D79"/>
    <w:rsid w:val="00511DC7"/>
    <w:rsid w:val="005120E0"/>
    <w:rsid w:val="00512516"/>
    <w:rsid w:val="00512F71"/>
    <w:rsid w:val="0051352D"/>
    <w:rsid w:val="00513618"/>
    <w:rsid w:val="00514254"/>
    <w:rsid w:val="005142C5"/>
    <w:rsid w:val="00514C70"/>
    <w:rsid w:val="00514FB1"/>
    <w:rsid w:val="0051501B"/>
    <w:rsid w:val="005152B5"/>
    <w:rsid w:val="00515485"/>
    <w:rsid w:val="00515731"/>
    <w:rsid w:val="00515886"/>
    <w:rsid w:val="00515AE8"/>
    <w:rsid w:val="00516199"/>
    <w:rsid w:val="00516C38"/>
    <w:rsid w:val="0051755F"/>
    <w:rsid w:val="00517677"/>
    <w:rsid w:val="00517E14"/>
    <w:rsid w:val="0052092E"/>
    <w:rsid w:val="00520B00"/>
    <w:rsid w:val="0052123C"/>
    <w:rsid w:val="00521319"/>
    <w:rsid w:val="005216E6"/>
    <w:rsid w:val="005218F1"/>
    <w:rsid w:val="005218F4"/>
    <w:rsid w:val="0052206A"/>
    <w:rsid w:val="00522912"/>
    <w:rsid w:val="00522BC8"/>
    <w:rsid w:val="00522EBC"/>
    <w:rsid w:val="00522F32"/>
    <w:rsid w:val="005233A0"/>
    <w:rsid w:val="00523C28"/>
    <w:rsid w:val="005241BA"/>
    <w:rsid w:val="0052477D"/>
    <w:rsid w:val="00524C87"/>
    <w:rsid w:val="00524E59"/>
    <w:rsid w:val="005255B5"/>
    <w:rsid w:val="005269F0"/>
    <w:rsid w:val="00526A5E"/>
    <w:rsid w:val="00527D95"/>
    <w:rsid w:val="0053020E"/>
    <w:rsid w:val="00530E34"/>
    <w:rsid w:val="00530EF3"/>
    <w:rsid w:val="00531209"/>
    <w:rsid w:val="0053176B"/>
    <w:rsid w:val="00532279"/>
    <w:rsid w:val="00532288"/>
    <w:rsid w:val="0053241C"/>
    <w:rsid w:val="005329C3"/>
    <w:rsid w:val="00532ACB"/>
    <w:rsid w:val="00532C20"/>
    <w:rsid w:val="00532CBB"/>
    <w:rsid w:val="00533AAC"/>
    <w:rsid w:val="00533ABC"/>
    <w:rsid w:val="00533BCB"/>
    <w:rsid w:val="005341B3"/>
    <w:rsid w:val="005344B5"/>
    <w:rsid w:val="00534AEB"/>
    <w:rsid w:val="00534B2E"/>
    <w:rsid w:val="005363CE"/>
    <w:rsid w:val="005365B7"/>
    <w:rsid w:val="00536666"/>
    <w:rsid w:val="00536F42"/>
    <w:rsid w:val="00537182"/>
    <w:rsid w:val="00537696"/>
    <w:rsid w:val="005378CE"/>
    <w:rsid w:val="0054087D"/>
    <w:rsid w:val="00541EDD"/>
    <w:rsid w:val="00542743"/>
    <w:rsid w:val="00542C2D"/>
    <w:rsid w:val="00542D92"/>
    <w:rsid w:val="005439F0"/>
    <w:rsid w:val="00543D2B"/>
    <w:rsid w:val="00544AE9"/>
    <w:rsid w:val="00546069"/>
    <w:rsid w:val="00546221"/>
    <w:rsid w:val="00546544"/>
    <w:rsid w:val="00546A5D"/>
    <w:rsid w:val="00546D0F"/>
    <w:rsid w:val="00547787"/>
    <w:rsid w:val="005478BD"/>
    <w:rsid w:val="005479E3"/>
    <w:rsid w:val="00547AF7"/>
    <w:rsid w:val="00547AFE"/>
    <w:rsid w:val="00550D9D"/>
    <w:rsid w:val="00551844"/>
    <w:rsid w:val="00551985"/>
    <w:rsid w:val="00551B37"/>
    <w:rsid w:val="00551BDA"/>
    <w:rsid w:val="00552583"/>
    <w:rsid w:val="00552BD3"/>
    <w:rsid w:val="005532A0"/>
    <w:rsid w:val="005536C1"/>
    <w:rsid w:val="00553FDF"/>
    <w:rsid w:val="00554A56"/>
    <w:rsid w:val="00555109"/>
    <w:rsid w:val="005551C5"/>
    <w:rsid w:val="005551D0"/>
    <w:rsid w:val="0055542B"/>
    <w:rsid w:val="0055597C"/>
    <w:rsid w:val="00556B35"/>
    <w:rsid w:val="00556CF0"/>
    <w:rsid w:val="0055741A"/>
    <w:rsid w:val="0055754E"/>
    <w:rsid w:val="00557C4F"/>
    <w:rsid w:val="00557E30"/>
    <w:rsid w:val="00560273"/>
    <w:rsid w:val="00560B54"/>
    <w:rsid w:val="00560CB4"/>
    <w:rsid w:val="005611A1"/>
    <w:rsid w:val="005611B7"/>
    <w:rsid w:val="0056177E"/>
    <w:rsid w:val="005618D4"/>
    <w:rsid w:val="00563156"/>
    <w:rsid w:val="005631AC"/>
    <w:rsid w:val="00563359"/>
    <w:rsid w:val="005637FC"/>
    <w:rsid w:val="00563BA4"/>
    <w:rsid w:val="005641D7"/>
    <w:rsid w:val="00564867"/>
    <w:rsid w:val="00564C8E"/>
    <w:rsid w:val="0056512C"/>
    <w:rsid w:val="00565A46"/>
    <w:rsid w:val="00565C79"/>
    <w:rsid w:val="00565DF0"/>
    <w:rsid w:val="00565F70"/>
    <w:rsid w:val="00566305"/>
    <w:rsid w:val="0056696F"/>
    <w:rsid w:val="00566F7A"/>
    <w:rsid w:val="005676B5"/>
    <w:rsid w:val="00567808"/>
    <w:rsid w:val="00567AF4"/>
    <w:rsid w:val="00570400"/>
    <w:rsid w:val="0057085A"/>
    <w:rsid w:val="00570D7C"/>
    <w:rsid w:val="00571004"/>
    <w:rsid w:val="005712B5"/>
    <w:rsid w:val="0057199E"/>
    <w:rsid w:val="0057202C"/>
    <w:rsid w:val="00572269"/>
    <w:rsid w:val="0057244A"/>
    <w:rsid w:val="005724E3"/>
    <w:rsid w:val="0057260B"/>
    <w:rsid w:val="00572CC4"/>
    <w:rsid w:val="00572F26"/>
    <w:rsid w:val="00573419"/>
    <w:rsid w:val="00573AB6"/>
    <w:rsid w:val="00573E6E"/>
    <w:rsid w:val="0057446C"/>
    <w:rsid w:val="005750C5"/>
    <w:rsid w:val="005752DE"/>
    <w:rsid w:val="00575A34"/>
    <w:rsid w:val="00575D60"/>
    <w:rsid w:val="00575D8D"/>
    <w:rsid w:val="00576972"/>
    <w:rsid w:val="00577248"/>
    <w:rsid w:val="005807DC"/>
    <w:rsid w:val="005809B2"/>
    <w:rsid w:val="00580FC5"/>
    <w:rsid w:val="00581055"/>
    <w:rsid w:val="00581D9E"/>
    <w:rsid w:val="005826DB"/>
    <w:rsid w:val="00582948"/>
    <w:rsid w:val="00582CCA"/>
    <w:rsid w:val="00582D03"/>
    <w:rsid w:val="00582D91"/>
    <w:rsid w:val="0058338D"/>
    <w:rsid w:val="00583699"/>
    <w:rsid w:val="00583E07"/>
    <w:rsid w:val="0058406D"/>
    <w:rsid w:val="00584A61"/>
    <w:rsid w:val="00584A7E"/>
    <w:rsid w:val="00585CDD"/>
    <w:rsid w:val="0058626D"/>
    <w:rsid w:val="005864EA"/>
    <w:rsid w:val="005868FF"/>
    <w:rsid w:val="00586B0F"/>
    <w:rsid w:val="00587058"/>
    <w:rsid w:val="00587DDF"/>
    <w:rsid w:val="0059078C"/>
    <w:rsid w:val="0059103C"/>
    <w:rsid w:val="005917E5"/>
    <w:rsid w:val="00591867"/>
    <w:rsid w:val="00591957"/>
    <w:rsid w:val="00591B91"/>
    <w:rsid w:val="005920D2"/>
    <w:rsid w:val="00592209"/>
    <w:rsid w:val="00592D1D"/>
    <w:rsid w:val="0059335D"/>
    <w:rsid w:val="0059338F"/>
    <w:rsid w:val="005933B2"/>
    <w:rsid w:val="00593C39"/>
    <w:rsid w:val="0059401F"/>
    <w:rsid w:val="005940AD"/>
    <w:rsid w:val="00594348"/>
    <w:rsid w:val="0059523E"/>
    <w:rsid w:val="0059595C"/>
    <w:rsid w:val="00595A9C"/>
    <w:rsid w:val="00596396"/>
    <w:rsid w:val="005963FF"/>
    <w:rsid w:val="005966CF"/>
    <w:rsid w:val="005973D9"/>
    <w:rsid w:val="00597BF9"/>
    <w:rsid w:val="005A000D"/>
    <w:rsid w:val="005A021A"/>
    <w:rsid w:val="005A0494"/>
    <w:rsid w:val="005A0C11"/>
    <w:rsid w:val="005A0D22"/>
    <w:rsid w:val="005A1FF2"/>
    <w:rsid w:val="005A23A9"/>
    <w:rsid w:val="005A24DF"/>
    <w:rsid w:val="005A25FA"/>
    <w:rsid w:val="005A2E53"/>
    <w:rsid w:val="005A2F76"/>
    <w:rsid w:val="005A309A"/>
    <w:rsid w:val="005A373D"/>
    <w:rsid w:val="005A3797"/>
    <w:rsid w:val="005A4199"/>
    <w:rsid w:val="005A459D"/>
    <w:rsid w:val="005A516B"/>
    <w:rsid w:val="005A5E0A"/>
    <w:rsid w:val="005B00EE"/>
    <w:rsid w:val="005B04E2"/>
    <w:rsid w:val="005B0B58"/>
    <w:rsid w:val="005B0DC0"/>
    <w:rsid w:val="005B0E23"/>
    <w:rsid w:val="005B0FE0"/>
    <w:rsid w:val="005B22FA"/>
    <w:rsid w:val="005B2957"/>
    <w:rsid w:val="005B2DC5"/>
    <w:rsid w:val="005B3874"/>
    <w:rsid w:val="005B44B7"/>
    <w:rsid w:val="005B4877"/>
    <w:rsid w:val="005B4A30"/>
    <w:rsid w:val="005B4E53"/>
    <w:rsid w:val="005B50A9"/>
    <w:rsid w:val="005B5857"/>
    <w:rsid w:val="005B6099"/>
    <w:rsid w:val="005B7A62"/>
    <w:rsid w:val="005B7EA7"/>
    <w:rsid w:val="005C0191"/>
    <w:rsid w:val="005C10E4"/>
    <w:rsid w:val="005C19C4"/>
    <w:rsid w:val="005C1A8B"/>
    <w:rsid w:val="005C1B83"/>
    <w:rsid w:val="005C25FF"/>
    <w:rsid w:val="005C2D55"/>
    <w:rsid w:val="005C346B"/>
    <w:rsid w:val="005C45F9"/>
    <w:rsid w:val="005C5420"/>
    <w:rsid w:val="005C5A42"/>
    <w:rsid w:val="005C5ABC"/>
    <w:rsid w:val="005C684B"/>
    <w:rsid w:val="005D044D"/>
    <w:rsid w:val="005D0ABD"/>
    <w:rsid w:val="005D18AD"/>
    <w:rsid w:val="005D1962"/>
    <w:rsid w:val="005D1F52"/>
    <w:rsid w:val="005D26B4"/>
    <w:rsid w:val="005D27AC"/>
    <w:rsid w:val="005D2CB4"/>
    <w:rsid w:val="005D2DB8"/>
    <w:rsid w:val="005D3EE7"/>
    <w:rsid w:val="005D4385"/>
    <w:rsid w:val="005D459D"/>
    <w:rsid w:val="005D5181"/>
    <w:rsid w:val="005D55AC"/>
    <w:rsid w:val="005D5B7A"/>
    <w:rsid w:val="005D5F87"/>
    <w:rsid w:val="005D6A6E"/>
    <w:rsid w:val="005D7322"/>
    <w:rsid w:val="005D764F"/>
    <w:rsid w:val="005D7F61"/>
    <w:rsid w:val="005E0C26"/>
    <w:rsid w:val="005E0DB2"/>
    <w:rsid w:val="005E0FBF"/>
    <w:rsid w:val="005E1396"/>
    <w:rsid w:val="005E1995"/>
    <w:rsid w:val="005E1CE6"/>
    <w:rsid w:val="005E2036"/>
    <w:rsid w:val="005E2470"/>
    <w:rsid w:val="005E2720"/>
    <w:rsid w:val="005E31EA"/>
    <w:rsid w:val="005E363E"/>
    <w:rsid w:val="005E376E"/>
    <w:rsid w:val="005E3BBE"/>
    <w:rsid w:val="005E3C07"/>
    <w:rsid w:val="005E3EE2"/>
    <w:rsid w:val="005E545E"/>
    <w:rsid w:val="005E5A28"/>
    <w:rsid w:val="005E627E"/>
    <w:rsid w:val="005E6627"/>
    <w:rsid w:val="005E687D"/>
    <w:rsid w:val="005E6BBF"/>
    <w:rsid w:val="005E6CBC"/>
    <w:rsid w:val="005E72FF"/>
    <w:rsid w:val="005E73C0"/>
    <w:rsid w:val="005E7F11"/>
    <w:rsid w:val="005F07ED"/>
    <w:rsid w:val="005F0B2C"/>
    <w:rsid w:val="005F1512"/>
    <w:rsid w:val="005F2706"/>
    <w:rsid w:val="005F3113"/>
    <w:rsid w:val="005F335B"/>
    <w:rsid w:val="005F344D"/>
    <w:rsid w:val="005F40F9"/>
    <w:rsid w:val="005F4412"/>
    <w:rsid w:val="005F49F0"/>
    <w:rsid w:val="005F5137"/>
    <w:rsid w:val="005F5D17"/>
    <w:rsid w:val="005F6175"/>
    <w:rsid w:val="005F6314"/>
    <w:rsid w:val="005F6675"/>
    <w:rsid w:val="005F6A8F"/>
    <w:rsid w:val="005F6BB7"/>
    <w:rsid w:val="005F6D94"/>
    <w:rsid w:val="005F6FEF"/>
    <w:rsid w:val="005F7588"/>
    <w:rsid w:val="005F79E4"/>
    <w:rsid w:val="005F7A40"/>
    <w:rsid w:val="00600B7B"/>
    <w:rsid w:val="0060244D"/>
    <w:rsid w:val="006028F4"/>
    <w:rsid w:val="00602FD1"/>
    <w:rsid w:val="006031D7"/>
    <w:rsid w:val="00603248"/>
    <w:rsid w:val="006035A2"/>
    <w:rsid w:val="00603DB9"/>
    <w:rsid w:val="00605253"/>
    <w:rsid w:val="006053B4"/>
    <w:rsid w:val="006055D2"/>
    <w:rsid w:val="00605766"/>
    <w:rsid w:val="00605C19"/>
    <w:rsid w:val="00606FBA"/>
    <w:rsid w:val="006074C8"/>
    <w:rsid w:val="00607669"/>
    <w:rsid w:val="006076F4"/>
    <w:rsid w:val="00607AFD"/>
    <w:rsid w:val="00607E70"/>
    <w:rsid w:val="00610584"/>
    <w:rsid w:val="00610A0D"/>
    <w:rsid w:val="00611610"/>
    <w:rsid w:val="00611B12"/>
    <w:rsid w:val="00612F97"/>
    <w:rsid w:val="006133FE"/>
    <w:rsid w:val="0061345D"/>
    <w:rsid w:val="00613842"/>
    <w:rsid w:val="00613A60"/>
    <w:rsid w:val="0061475E"/>
    <w:rsid w:val="00614A3C"/>
    <w:rsid w:val="00614FC3"/>
    <w:rsid w:val="00615141"/>
    <w:rsid w:val="006151D5"/>
    <w:rsid w:val="00615407"/>
    <w:rsid w:val="0061549B"/>
    <w:rsid w:val="00615513"/>
    <w:rsid w:val="006157A1"/>
    <w:rsid w:val="00615A97"/>
    <w:rsid w:val="00615F8E"/>
    <w:rsid w:val="006163D6"/>
    <w:rsid w:val="00616536"/>
    <w:rsid w:val="00616802"/>
    <w:rsid w:val="00616939"/>
    <w:rsid w:val="006177D8"/>
    <w:rsid w:val="00617E12"/>
    <w:rsid w:val="00620C25"/>
    <w:rsid w:val="006213E2"/>
    <w:rsid w:val="00621477"/>
    <w:rsid w:val="00621ADA"/>
    <w:rsid w:val="00621C3E"/>
    <w:rsid w:val="006228AE"/>
    <w:rsid w:val="00622ED3"/>
    <w:rsid w:val="00623F7B"/>
    <w:rsid w:val="006240BD"/>
    <w:rsid w:val="00624890"/>
    <w:rsid w:val="00624B77"/>
    <w:rsid w:val="00624BD4"/>
    <w:rsid w:val="00624F5A"/>
    <w:rsid w:val="00625631"/>
    <w:rsid w:val="00625A65"/>
    <w:rsid w:val="00626039"/>
    <w:rsid w:val="00626842"/>
    <w:rsid w:val="00627186"/>
    <w:rsid w:val="00627AB3"/>
    <w:rsid w:val="00630118"/>
    <w:rsid w:val="00630847"/>
    <w:rsid w:val="00631001"/>
    <w:rsid w:val="0063158F"/>
    <w:rsid w:val="00631D25"/>
    <w:rsid w:val="00631D6B"/>
    <w:rsid w:val="00631DAA"/>
    <w:rsid w:val="00632183"/>
    <w:rsid w:val="0063252C"/>
    <w:rsid w:val="00632920"/>
    <w:rsid w:val="0063295C"/>
    <w:rsid w:val="00632A2F"/>
    <w:rsid w:val="006330A1"/>
    <w:rsid w:val="0063369E"/>
    <w:rsid w:val="00633A00"/>
    <w:rsid w:val="00633ADA"/>
    <w:rsid w:val="00634685"/>
    <w:rsid w:val="0063479F"/>
    <w:rsid w:val="00634CAB"/>
    <w:rsid w:val="006353F0"/>
    <w:rsid w:val="006357B5"/>
    <w:rsid w:val="006357CA"/>
    <w:rsid w:val="006364A1"/>
    <w:rsid w:val="006365CF"/>
    <w:rsid w:val="0063678E"/>
    <w:rsid w:val="00636B65"/>
    <w:rsid w:val="006373F3"/>
    <w:rsid w:val="00637BFD"/>
    <w:rsid w:val="00637C5C"/>
    <w:rsid w:val="00637FC2"/>
    <w:rsid w:val="006403FE"/>
    <w:rsid w:val="00640E79"/>
    <w:rsid w:val="006413C6"/>
    <w:rsid w:val="006414E2"/>
    <w:rsid w:val="00641C4E"/>
    <w:rsid w:val="00641FB3"/>
    <w:rsid w:val="0064315F"/>
    <w:rsid w:val="00643633"/>
    <w:rsid w:val="0064406E"/>
    <w:rsid w:val="00644308"/>
    <w:rsid w:val="0064434C"/>
    <w:rsid w:val="00644BD9"/>
    <w:rsid w:val="006458AF"/>
    <w:rsid w:val="006471CC"/>
    <w:rsid w:val="00647201"/>
    <w:rsid w:val="006472FE"/>
    <w:rsid w:val="00647516"/>
    <w:rsid w:val="00647A29"/>
    <w:rsid w:val="00650023"/>
    <w:rsid w:val="0065079F"/>
    <w:rsid w:val="006509E4"/>
    <w:rsid w:val="006515E7"/>
    <w:rsid w:val="00651D42"/>
    <w:rsid w:val="00652884"/>
    <w:rsid w:val="00652A28"/>
    <w:rsid w:val="00652C67"/>
    <w:rsid w:val="00652CF2"/>
    <w:rsid w:val="00652D3F"/>
    <w:rsid w:val="00652F37"/>
    <w:rsid w:val="0065379F"/>
    <w:rsid w:val="00653BB9"/>
    <w:rsid w:val="00653D16"/>
    <w:rsid w:val="00654107"/>
    <w:rsid w:val="00654DD5"/>
    <w:rsid w:val="00654F92"/>
    <w:rsid w:val="00655DD2"/>
    <w:rsid w:val="00656188"/>
    <w:rsid w:val="0065715A"/>
    <w:rsid w:val="0065747D"/>
    <w:rsid w:val="006575B9"/>
    <w:rsid w:val="00660505"/>
    <w:rsid w:val="00660553"/>
    <w:rsid w:val="006610F1"/>
    <w:rsid w:val="00661C6B"/>
    <w:rsid w:val="00662005"/>
    <w:rsid w:val="006620B8"/>
    <w:rsid w:val="00662D3E"/>
    <w:rsid w:val="00663FC9"/>
    <w:rsid w:val="006640AF"/>
    <w:rsid w:val="00664C89"/>
    <w:rsid w:val="0066514F"/>
    <w:rsid w:val="00665560"/>
    <w:rsid w:val="00666386"/>
    <w:rsid w:val="00666480"/>
    <w:rsid w:val="00666EBB"/>
    <w:rsid w:val="00667B1B"/>
    <w:rsid w:val="00667BE3"/>
    <w:rsid w:val="00667C51"/>
    <w:rsid w:val="00667CF9"/>
    <w:rsid w:val="006700E2"/>
    <w:rsid w:val="00670C83"/>
    <w:rsid w:val="00671004"/>
    <w:rsid w:val="006721A9"/>
    <w:rsid w:val="006723A7"/>
    <w:rsid w:val="00672415"/>
    <w:rsid w:val="00672646"/>
    <w:rsid w:val="0067311F"/>
    <w:rsid w:val="0067327F"/>
    <w:rsid w:val="006733E4"/>
    <w:rsid w:val="00674B89"/>
    <w:rsid w:val="00674E42"/>
    <w:rsid w:val="0067506D"/>
    <w:rsid w:val="00675900"/>
    <w:rsid w:val="00676563"/>
    <w:rsid w:val="00676759"/>
    <w:rsid w:val="00676768"/>
    <w:rsid w:val="0067777A"/>
    <w:rsid w:val="00677A64"/>
    <w:rsid w:val="006803B3"/>
    <w:rsid w:val="006805CA"/>
    <w:rsid w:val="00680BBC"/>
    <w:rsid w:val="006813F8"/>
    <w:rsid w:val="006819A2"/>
    <w:rsid w:val="00681A46"/>
    <w:rsid w:val="00681D3A"/>
    <w:rsid w:val="00682112"/>
    <w:rsid w:val="00682ABA"/>
    <w:rsid w:val="00682BA6"/>
    <w:rsid w:val="00682E49"/>
    <w:rsid w:val="00682F0C"/>
    <w:rsid w:val="00683942"/>
    <w:rsid w:val="0068456B"/>
    <w:rsid w:val="00684649"/>
    <w:rsid w:val="00686416"/>
    <w:rsid w:val="00686957"/>
    <w:rsid w:val="006872BA"/>
    <w:rsid w:val="00687376"/>
    <w:rsid w:val="006878A6"/>
    <w:rsid w:val="00687C32"/>
    <w:rsid w:val="00690795"/>
    <w:rsid w:val="00690953"/>
    <w:rsid w:val="00690EA0"/>
    <w:rsid w:val="0069100E"/>
    <w:rsid w:val="00691648"/>
    <w:rsid w:val="006917D7"/>
    <w:rsid w:val="00691F5E"/>
    <w:rsid w:val="006920D5"/>
    <w:rsid w:val="0069215C"/>
    <w:rsid w:val="00692A26"/>
    <w:rsid w:val="00692E83"/>
    <w:rsid w:val="006933DE"/>
    <w:rsid w:val="00693CDD"/>
    <w:rsid w:val="0069434C"/>
    <w:rsid w:val="0069437E"/>
    <w:rsid w:val="00694F06"/>
    <w:rsid w:val="00694F44"/>
    <w:rsid w:val="006957B9"/>
    <w:rsid w:val="00695857"/>
    <w:rsid w:val="00695D90"/>
    <w:rsid w:val="00696EF9"/>
    <w:rsid w:val="00696F51"/>
    <w:rsid w:val="0069707C"/>
    <w:rsid w:val="0069784A"/>
    <w:rsid w:val="006979A5"/>
    <w:rsid w:val="00697A9A"/>
    <w:rsid w:val="006A016F"/>
    <w:rsid w:val="006A0280"/>
    <w:rsid w:val="006A0424"/>
    <w:rsid w:val="006A0DF7"/>
    <w:rsid w:val="006A12DE"/>
    <w:rsid w:val="006A29CB"/>
    <w:rsid w:val="006A29DB"/>
    <w:rsid w:val="006A2A83"/>
    <w:rsid w:val="006A3799"/>
    <w:rsid w:val="006A3EF1"/>
    <w:rsid w:val="006A4321"/>
    <w:rsid w:val="006A43D9"/>
    <w:rsid w:val="006A43F9"/>
    <w:rsid w:val="006A5706"/>
    <w:rsid w:val="006A57B2"/>
    <w:rsid w:val="006A5C55"/>
    <w:rsid w:val="006A5FFD"/>
    <w:rsid w:val="006A64B5"/>
    <w:rsid w:val="006A6782"/>
    <w:rsid w:val="006A68EB"/>
    <w:rsid w:val="006A6B99"/>
    <w:rsid w:val="006A71A9"/>
    <w:rsid w:val="006A7430"/>
    <w:rsid w:val="006A7E5F"/>
    <w:rsid w:val="006A7F2F"/>
    <w:rsid w:val="006B1543"/>
    <w:rsid w:val="006B1685"/>
    <w:rsid w:val="006B1A2B"/>
    <w:rsid w:val="006B1F0E"/>
    <w:rsid w:val="006B232D"/>
    <w:rsid w:val="006B261B"/>
    <w:rsid w:val="006B2C90"/>
    <w:rsid w:val="006B2D5D"/>
    <w:rsid w:val="006B35DA"/>
    <w:rsid w:val="006B35E6"/>
    <w:rsid w:val="006B3642"/>
    <w:rsid w:val="006B397C"/>
    <w:rsid w:val="006B465A"/>
    <w:rsid w:val="006B4703"/>
    <w:rsid w:val="006B520B"/>
    <w:rsid w:val="006B5B18"/>
    <w:rsid w:val="006B6556"/>
    <w:rsid w:val="006B6DD0"/>
    <w:rsid w:val="006B6E6D"/>
    <w:rsid w:val="006B738E"/>
    <w:rsid w:val="006C01D4"/>
    <w:rsid w:val="006C0399"/>
    <w:rsid w:val="006C04C8"/>
    <w:rsid w:val="006C0EBF"/>
    <w:rsid w:val="006C129F"/>
    <w:rsid w:val="006C16F3"/>
    <w:rsid w:val="006C1924"/>
    <w:rsid w:val="006C2464"/>
    <w:rsid w:val="006C2A8E"/>
    <w:rsid w:val="006C3255"/>
    <w:rsid w:val="006C3F26"/>
    <w:rsid w:val="006C4421"/>
    <w:rsid w:val="006C4B30"/>
    <w:rsid w:val="006C4D1D"/>
    <w:rsid w:val="006C4ECF"/>
    <w:rsid w:val="006C4F6D"/>
    <w:rsid w:val="006C5995"/>
    <w:rsid w:val="006C6074"/>
    <w:rsid w:val="006C6388"/>
    <w:rsid w:val="006C64C0"/>
    <w:rsid w:val="006C69AC"/>
    <w:rsid w:val="006C7DDA"/>
    <w:rsid w:val="006D016C"/>
    <w:rsid w:val="006D0769"/>
    <w:rsid w:val="006D08A6"/>
    <w:rsid w:val="006D0D17"/>
    <w:rsid w:val="006D1297"/>
    <w:rsid w:val="006D179B"/>
    <w:rsid w:val="006D2170"/>
    <w:rsid w:val="006D2CFB"/>
    <w:rsid w:val="006D34BB"/>
    <w:rsid w:val="006D3C7D"/>
    <w:rsid w:val="006D4659"/>
    <w:rsid w:val="006D585F"/>
    <w:rsid w:val="006D5D5F"/>
    <w:rsid w:val="006D68FB"/>
    <w:rsid w:val="006D6CFB"/>
    <w:rsid w:val="006D6FD2"/>
    <w:rsid w:val="006D70F6"/>
    <w:rsid w:val="006D76A9"/>
    <w:rsid w:val="006D7940"/>
    <w:rsid w:val="006D7EB7"/>
    <w:rsid w:val="006E00C2"/>
    <w:rsid w:val="006E022F"/>
    <w:rsid w:val="006E0CF9"/>
    <w:rsid w:val="006E0FB4"/>
    <w:rsid w:val="006E1534"/>
    <w:rsid w:val="006E1567"/>
    <w:rsid w:val="006E1E6D"/>
    <w:rsid w:val="006E25B1"/>
    <w:rsid w:val="006E2868"/>
    <w:rsid w:val="006E2B19"/>
    <w:rsid w:val="006E2CCE"/>
    <w:rsid w:val="006E2F20"/>
    <w:rsid w:val="006E3888"/>
    <w:rsid w:val="006E3CDB"/>
    <w:rsid w:val="006E5EED"/>
    <w:rsid w:val="006E6E53"/>
    <w:rsid w:val="006E79C0"/>
    <w:rsid w:val="006E7A44"/>
    <w:rsid w:val="006E7C56"/>
    <w:rsid w:val="006E7EF1"/>
    <w:rsid w:val="006F048C"/>
    <w:rsid w:val="006F0750"/>
    <w:rsid w:val="006F07C9"/>
    <w:rsid w:val="006F0CE1"/>
    <w:rsid w:val="006F0E44"/>
    <w:rsid w:val="006F1632"/>
    <w:rsid w:val="006F1845"/>
    <w:rsid w:val="006F2E2E"/>
    <w:rsid w:val="006F306C"/>
    <w:rsid w:val="006F3DFB"/>
    <w:rsid w:val="006F4140"/>
    <w:rsid w:val="006F44D4"/>
    <w:rsid w:val="006F484E"/>
    <w:rsid w:val="006F4AEC"/>
    <w:rsid w:val="006F4D9A"/>
    <w:rsid w:val="006F5700"/>
    <w:rsid w:val="006F6045"/>
    <w:rsid w:val="006F63A5"/>
    <w:rsid w:val="006F76F6"/>
    <w:rsid w:val="0070082D"/>
    <w:rsid w:val="00701201"/>
    <w:rsid w:val="0070127B"/>
    <w:rsid w:val="0070142B"/>
    <w:rsid w:val="007018DB"/>
    <w:rsid w:val="00701CB2"/>
    <w:rsid w:val="007023D2"/>
    <w:rsid w:val="007026CB"/>
    <w:rsid w:val="0070276E"/>
    <w:rsid w:val="00702868"/>
    <w:rsid w:val="0070298F"/>
    <w:rsid w:val="00702F8F"/>
    <w:rsid w:val="00703B31"/>
    <w:rsid w:val="00703B40"/>
    <w:rsid w:val="007049B9"/>
    <w:rsid w:val="00704C3C"/>
    <w:rsid w:val="00705088"/>
    <w:rsid w:val="007052CD"/>
    <w:rsid w:val="0070532E"/>
    <w:rsid w:val="00705974"/>
    <w:rsid w:val="00705DA7"/>
    <w:rsid w:val="0070616C"/>
    <w:rsid w:val="0070619F"/>
    <w:rsid w:val="00706464"/>
    <w:rsid w:val="0070652F"/>
    <w:rsid w:val="007068B0"/>
    <w:rsid w:val="007079FC"/>
    <w:rsid w:val="0071037C"/>
    <w:rsid w:val="0071150B"/>
    <w:rsid w:val="0071152E"/>
    <w:rsid w:val="007115BF"/>
    <w:rsid w:val="00711A36"/>
    <w:rsid w:val="00711B02"/>
    <w:rsid w:val="00711B90"/>
    <w:rsid w:val="00711C66"/>
    <w:rsid w:val="007125D3"/>
    <w:rsid w:val="0071300F"/>
    <w:rsid w:val="00714164"/>
    <w:rsid w:val="00714C26"/>
    <w:rsid w:val="0071529C"/>
    <w:rsid w:val="0071560B"/>
    <w:rsid w:val="00715942"/>
    <w:rsid w:val="00716900"/>
    <w:rsid w:val="007170DA"/>
    <w:rsid w:val="007172AD"/>
    <w:rsid w:val="00717546"/>
    <w:rsid w:val="0071782F"/>
    <w:rsid w:val="007203E8"/>
    <w:rsid w:val="00720801"/>
    <w:rsid w:val="00721CB1"/>
    <w:rsid w:val="00721E98"/>
    <w:rsid w:val="00721EA3"/>
    <w:rsid w:val="00722017"/>
    <w:rsid w:val="00722B1B"/>
    <w:rsid w:val="00723140"/>
    <w:rsid w:val="007237D5"/>
    <w:rsid w:val="0072416F"/>
    <w:rsid w:val="00725FDF"/>
    <w:rsid w:val="007263C4"/>
    <w:rsid w:val="00727C94"/>
    <w:rsid w:val="00730E89"/>
    <w:rsid w:val="00731234"/>
    <w:rsid w:val="00731979"/>
    <w:rsid w:val="00731B0A"/>
    <w:rsid w:val="00731EAE"/>
    <w:rsid w:val="00731F09"/>
    <w:rsid w:val="007320F9"/>
    <w:rsid w:val="007329CA"/>
    <w:rsid w:val="00732B05"/>
    <w:rsid w:val="00733073"/>
    <w:rsid w:val="00733837"/>
    <w:rsid w:val="0073384E"/>
    <w:rsid w:val="00733BF3"/>
    <w:rsid w:val="0073448B"/>
    <w:rsid w:val="00735033"/>
    <w:rsid w:val="00735328"/>
    <w:rsid w:val="007354D4"/>
    <w:rsid w:val="0073558B"/>
    <w:rsid w:val="0073587B"/>
    <w:rsid w:val="00735B7B"/>
    <w:rsid w:val="00735FF1"/>
    <w:rsid w:val="00736640"/>
    <w:rsid w:val="00736809"/>
    <w:rsid w:val="0073685B"/>
    <w:rsid w:val="00736BAC"/>
    <w:rsid w:val="00736BE2"/>
    <w:rsid w:val="00736C1C"/>
    <w:rsid w:val="00737451"/>
    <w:rsid w:val="00740317"/>
    <w:rsid w:val="007409D5"/>
    <w:rsid w:val="007409F1"/>
    <w:rsid w:val="007428E7"/>
    <w:rsid w:val="00743ECD"/>
    <w:rsid w:val="007446DF"/>
    <w:rsid w:val="00744866"/>
    <w:rsid w:val="007449BF"/>
    <w:rsid w:val="00745E21"/>
    <w:rsid w:val="007463FE"/>
    <w:rsid w:val="007466A9"/>
    <w:rsid w:val="007469A7"/>
    <w:rsid w:val="00746BC0"/>
    <w:rsid w:val="00747BA4"/>
    <w:rsid w:val="00747E5C"/>
    <w:rsid w:val="0075021F"/>
    <w:rsid w:val="007504C3"/>
    <w:rsid w:val="00750E83"/>
    <w:rsid w:val="00751086"/>
    <w:rsid w:val="007510B4"/>
    <w:rsid w:val="0075172D"/>
    <w:rsid w:val="00752101"/>
    <w:rsid w:val="00752142"/>
    <w:rsid w:val="007522BE"/>
    <w:rsid w:val="007523B9"/>
    <w:rsid w:val="007523F9"/>
    <w:rsid w:val="007524E3"/>
    <w:rsid w:val="0075297A"/>
    <w:rsid w:val="0075357E"/>
    <w:rsid w:val="007535EC"/>
    <w:rsid w:val="00753B29"/>
    <w:rsid w:val="00753E8C"/>
    <w:rsid w:val="00754240"/>
    <w:rsid w:val="0075631F"/>
    <w:rsid w:val="007564FC"/>
    <w:rsid w:val="007568B3"/>
    <w:rsid w:val="00756A51"/>
    <w:rsid w:val="007573E8"/>
    <w:rsid w:val="00757EC4"/>
    <w:rsid w:val="00760C4E"/>
    <w:rsid w:val="00760F9E"/>
    <w:rsid w:val="00761128"/>
    <w:rsid w:val="007616E6"/>
    <w:rsid w:val="007618CA"/>
    <w:rsid w:val="00761E16"/>
    <w:rsid w:val="00761E80"/>
    <w:rsid w:val="0076277B"/>
    <w:rsid w:val="007627BE"/>
    <w:rsid w:val="0076282B"/>
    <w:rsid w:val="007628A1"/>
    <w:rsid w:val="007646A5"/>
    <w:rsid w:val="00764F03"/>
    <w:rsid w:val="00765049"/>
    <w:rsid w:val="00765630"/>
    <w:rsid w:val="007656B3"/>
    <w:rsid w:val="007658DF"/>
    <w:rsid w:val="00765916"/>
    <w:rsid w:val="00765B1A"/>
    <w:rsid w:val="00765DBC"/>
    <w:rsid w:val="00765DC1"/>
    <w:rsid w:val="00766324"/>
    <w:rsid w:val="00766516"/>
    <w:rsid w:val="00766B8B"/>
    <w:rsid w:val="00770603"/>
    <w:rsid w:val="007709AC"/>
    <w:rsid w:val="00770A42"/>
    <w:rsid w:val="00771869"/>
    <w:rsid w:val="0077268E"/>
    <w:rsid w:val="00772860"/>
    <w:rsid w:val="00772DA5"/>
    <w:rsid w:val="00773C05"/>
    <w:rsid w:val="007747A0"/>
    <w:rsid w:val="00774E5A"/>
    <w:rsid w:val="00774F69"/>
    <w:rsid w:val="0077581A"/>
    <w:rsid w:val="007758CF"/>
    <w:rsid w:val="00777335"/>
    <w:rsid w:val="00780993"/>
    <w:rsid w:val="00781369"/>
    <w:rsid w:val="007815F2"/>
    <w:rsid w:val="007835BA"/>
    <w:rsid w:val="00784388"/>
    <w:rsid w:val="007843F2"/>
    <w:rsid w:val="007845BD"/>
    <w:rsid w:val="007846FA"/>
    <w:rsid w:val="00784801"/>
    <w:rsid w:val="0078513B"/>
    <w:rsid w:val="00785A9F"/>
    <w:rsid w:val="00785C4B"/>
    <w:rsid w:val="00786084"/>
    <w:rsid w:val="00787319"/>
    <w:rsid w:val="00787672"/>
    <w:rsid w:val="00787771"/>
    <w:rsid w:val="00787D98"/>
    <w:rsid w:val="00790C8E"/>
    <w:rsid w:val="00791A60"/>
    <w:rsid w:val="00791AA3"/>
    <w:rsid w:val="007924BE"/>
    <w:rsid w:val="007925DF"/>
    <w:rsid w:val="007927CC"/>
    <w:rsid w:val="007929E7"/>
    <w:rsid w:val="0079304A"/>
    <w:rsid w:val="0079318D"/>
    <w:rsid w:val="007934C7"/>
    <w:rsid w:val="00793753"/>
    <w:rsid w:val="00794574"/>
    <w:rsid w:val="00794767"/>
    <w:rsid w:val="0079554D"/>
    <w:rsid w:val="00795B26"/>
    <w:rsid w:val="0079607F"/>
    <w:rsid w:val="00796526"/>
    <w:rsid w:val="007971B2"/>
    <w:rsid w:val="00797B85"/>
    <w:rsid w:val="00797BEC"/>
    <w:rsid w:val="00797CD1"/>
    <w:rsid w:val="00797D84"/>
    <w:rsid w:val="007A0055"/>
    <w:rsid w:val="007A0509"/>
    <w:rsid w:val="007A066E"/>
    <w:rsid w:val="007A08AA"/>
    <w:rsid w:val="007A0A12"/>
    <w:rsid w:val="007A0B12"/>
    <w:rsid w:val="007A132D"/>
    <w:rsid w:val="007A1345"/>
    <w:rsid w:val="007A19D1"/>
    <w:rsid w:val="007A1AF9"/>
    <w:rsid w:val="007A212D"/>
    <w:rsid w:val="007A2DDB"/>
    <w:rsid w:val="007A407F"/>
    <w:rsid w:val="007A60FB"/>
    <w:rsid w:val="007A70BA"/>
    <w:rsid w:val="007A7642"/>
    <w:rsid w:val="007B009D"/>
    <w:rsid w:val="007B0D12"/>
    <w:rsid w:val="007B0D68"/>
    <w:rsid w:val="007B19D7"/>
    <w:rsid w:val="007B1A34"/>
    <w:rsid w:val="007B1AF3"/>
    <w:rsid w:val="007B1B82"/>
    <w:rsid w:val="007B251D"/>
    <w:rsid w:val="007B2A5E"/>
    <w:rsid w:val="007B3533"/>
    <w:rsid w:val="007B3D02"/>
    <w:rsid w:val="007B3FB0"/>
    <w:rsid w:val="007B434A"/>
    <w:rsid w:val="007B4D46"/>
    <w:rsid w:val="007B4D8F"/>
    <w:rsid w:val="007B4F58"/>
    <w:rsid w:val="007B4FD7"/>
    <w:rsid w:val="007B528D"/>
    <w:rsid w:val="007B53B9"/>
    <w:rsid w:val="007B63CA"/>
    <w:rsid w:val="007B673E"/>
    <w:rsid w:val="007B6BA8"/>
    <w:rsid w:val="007B7277"/>
    <w:rsid w:val="007B7531"/>
    <w:rsid w:val="007B7729"/>
    <w:rsid w:val="007B77D1"/>
    <w:rsid w:val="007C07C7"/>
    <w:rsid w:val="007C110D"/>
    <w:rsid w:val="007C1CD9"/>
    <w:rsid w:val="007C1D4F"/>
    <w:rsid w:val="007C2505"/>
    <w:rsid w:val="007C32EF"/>
    <w:rsid w:val="007C361D"/>
    <w:rsid w:val="007C365A"/>
    <w:rsid w:val="007C398B"/>
    <w:rsid w:val="007C3A6F"/>
    <w:rsid w:val="007C3ED8"/>
    <w:rsid w:val="007C4B84"/>
    <w:rsid w:val="007C5C7F"/>
    <w:rsid w:val="007C60AF"/>
    <w:rsid w:val="007C66E7"/>
    <w:rsid w:val="007C6CBA"/>
    <w:rsid w:val="007C70FF"/>
    <w:rsid w:val="007C71F4"/>
    <w:rsid w:val="007C777A"/>
    <w:rsid w:val="007C7C25"/>
    <w:rsid w:val="007D004F"/>
    <w:rsid w:val="007D032B"/>
    <w:rsid w:val="007D035F"/>
    <w:rsid w:val="007D05B0"/>
    <w:rsid w:val="007D06B2"/>
    <w:rsid w:val="007D0B38"/>
    <w:rsid w:val="007D24AC"/>
    <w:rsid w:val="007D271B"/>
    <w:rsid w:val="007D3A1B"/>
    <w:rsid w:val="007D3D00"/>
    <w:rsid w:val="007D3EF2"/>
    <w:rsid w:val="007D3F07"/>
    <w:rsid w:val="007D422B"/>
    <w:rsid w:val="007D48FD"/>
    <w:rsid w:val="007D4FC8"/>
    <w:rsid w:val="007D5346"/>
    <w:rsid w:val="007D5440"/>
    <w:rsid w:val="007D5901"/>
    <w:rsid w:val="007D5A41"/>
    <w:rsid w:val="007D69EB"/>
    <w:rsid w:val="007D6AC2"/>
    <w:rsid w:val="007D6B0C"/>
    <w:rsid w:val="007D6CF4"/>
    <w:rsid w:val="007D7342"/>
    <w:rsid w:val="007D759B"/>
    <w:rsid w:val="007D7D3A"/>
    <w:rsid w:val="007E062D"/>
    <w:rsid w:val="007E088D"/>
    <w:rsid w:val="007E0940"/>
    <w:rsid w:val="007E09C4"/>
    <w:rsid w:val="007E128F"/>
    <w:rsid w:val="007E15B6"/>
    <w:rsid w:val="007E18D4"/>
    <w:rsid w:val="007E2064"/>
    <w:rsid w:val="007E3BF3"/>
    <w:rsid w:val="007E3D66"/>
    <w:rsid w:val="007E3DAF"/>
    <w:rsid w:val="007E66CE"/>
    <w:rsid w:val="007E66F5"/>
    <w:rsid w:val="007E6736"/>
    <w:rsid w:val="007E725D"/>
    <w:rsid w:val="007E7763"/>
    <w:rsid w:val="007F06FD"/>
    <w:rsid w:val="007F0939"/>
    <w:rsid w:val="007F0A57"/>
    <w:rsid w:val="007F0AA8"/>
    <w:rsid w:val="007F1017"/>
    <w:rsid w:val="007F158D"/>
    <w:rsid w:val="007F1857"/>
    <w:rsid w:val="007F211B"/>
    <w:rsid w:val="007F2249"/>
    <w:rsid w:val="007F2A5A"/>
    <w:rsid w:val="007F3CDB"/>
    <w:rsid w:val="007F3F32"/>
    <w:rsid w:val="007F409F"/>
    <w:rsid w:val="007F419A"/>
    <w:rsid w:val="007F42AB"/>
    <w:rsid w:val="007F44C0"/>
    <w:rsid w:val="007F49B5"/>
    <w:rsid w:val="007F4A3F"/>
    <w:rsid w:val="007F4A61"/>
    <w:rsid w:val="007F4D32"/>
    <w:rsid w:val="007F5255"/>
    <w:rsid w:val="007F56CC"/>
    <w:rsid w:val="007F5861"/>
    <w:rsid w:val="007F588F"/>
    <w:rsid w:val="007F5FEA"/>
    <w:rsid w:val="007F61C2"/>
    <w:rsid w:val="007F63C1"/>
    <w:rsid w:val="007F756A"/>
    <w:rsid w:val="00800046"/>
    <w:rsid w:val="00800E22"/>
    <w:rsid w:val="00802DFC"/>
    <w:rsid w:val="00803621"/>
    <w:rsid w:val="00803E36"/>
    <w:rsid w:val="00803E40"/>
    <w:rsid w:val="00804765"/>
    <w:rsid w:val="00804A75"/>
    <w:rsid w:val="00804FF9"/>
    <w:rsid w:val="00805142"/>
    <w:rsid w:val="00805393"/>
    <w:rsid w:val="00805879"/>
    <w:rsid w:val="00805FCE"/>
    <w:rsid w:val="0080630F"/>
    <w:rsid w:val="00806C4F"/>
    <w:rsid w:val="00807A8B"/>
    <w:rsid w:val="0081013C"/>
    <w:rsid w:val="0081026C"/>
    <w:rsid w:val="008112B7"/>
    <w:rsid w:val="00811383"/>
    <w:rsid w:val="008114DB"/>
    <w:rsid w:val="00812149"/>
    <w:rsid w:val="00812CAC"/>
    <w:rsid w:val="00812D22"/>
    <w:rsid w:val="0081402D"/>
    <w:rsid w:val="00815084"/>
    <w:rsid w:val="008157F1"/>
    <w:rsid w:val="008158F1"/>
    <w:rsid w:val="00815965"/>
    <w:rsid w:val="00816361"/>
    <w:rsid w:val="008166EF"/>
    <w:rsid w:val="00816972"/>
    <w:rsid w:val="00816FEF"/>
    <w:rsid w:val="00817041"/>
    <w:rsid w:val="00817722"/>
    <w:rsid w:val="00817BAD"/>
    <w:rsid w:val="0082033D"/>
    <w:rsid w:val="00820A8C"/>
    <w:rsid w:val="00821505"/>
    <w:rsid w:val="008215FB"/>
    <w:rsid w:val="00821E89"/>
    <w:rsid w:val="008220CC"/>
    <w:rsid w:val="00822888"/>
    <w:rsid w:val="00823174"/>
    <w:rsid w:val="00823DB0"/>
    <w:rsid w:val="00824561"/>
    <w:rsid w:val="0082469E"/>
    <w:rsid w:val="00824816"/>
    <w:rsid w:val="008249EB"/>
    <w:rsid w:val="00824FA3"/>
    <w:rsid w:val="00825751"/>
    <w:rsid w:val="00825E7E"/>
    <w:rsid w:val="008263F2"/>
    <w:rsid w:val="008264EB"/>
    <w:rsid w:val="008268CE"/>
    <w:rsid w:val="00827C23"/>
    <w:rsid w:val="00827E50"/>
    <w:rsid w:val="00827EF7"/>
    <w:rsid w:val="00827F3B"/>
    <w:rsid w:val="0083082C"/>
    <w:rsid w:val="00831700"/>
    <w:rsid w:val="00831B86"/>
    <w:rsid w:val="00831B89"/>
    <w:rsid w:val="00833019"/>
    <w:rsid w:val="008331CB"/>
    <w:rsid w:val="00833B05"/>
    <w:rsid w:val="008348A5"/>
    <w:rsid w:val="00834A0B"/>
    <w:rsid w:val="00834BCE"/>
    <w:rsid w:val="00834C6E"/>
    <w:rsid w:val="00834C81"/>
    <w:rsid w:val="0083572B"/>
    <w:rsid w:val="0083617A"/>
    <w:rsid w:val="008362B4"/>
    <w:rsid w:val="00836F58"/>
    <w:rsid w:val="00840CA2"/>
    <w:rsid w:val="00840F10"/>
    <w:rsid w:val="00842FCD"/>
    <w:rsid w:val="0084374F"/>
    <w:rsid w:val="00843E49"/>
    <w:rsid w:val="00843F24"/>
    <w:rsid w:val="0084431D"/>
    <w:rsid w:val="0084433E"/>
    <w:rsid w:val="00844A22"/>
    <w:rsid w:val="00844D99"/>
    <w:rsid w:val="00844F76"/>
    <w:rsid w:val="00844FFA"/>
    <w:rsid w:val="00845881"/>
    <w:rsid w:val="00845B72"/>
    <w:rsid w:val="00845D7F"/>
    <w:rsid w:val="00846658"/>
    <w:rsid w:val="00846FE0"/>
    <w:rsid w:val="0084717B"/>
    <w:rsid w:val="00847703"/>
    <w:rsid w:val="00847DF5"/>
    <w:rsid w:val="00847FAC"/>
    <w:rsid w:val="00850483"/>
    <w:rsid w:val="0085144D"/>
    <w:rsid w:val="0085252F"/>
    <w:rsid w:val="00852C9E"/>
    <w:rsid w:val="00852DDB"/>
    <w:rsid w:val="00852FA3"/>
    <w:rsid w:val="00852FC6"/>
    <w:rsid w:val="0085309D"/>
    <w:rsid w:val="00853140"/>
    <w:rsid w:val="008533D3"/>
    <w:rsid w:val="00853E01"/>
    <w:rsid w:val="008543F9"/>
    <w:rsid w:val="008548CE"/>
    <w:rsid w:val="00854980"/>
    <w:rsid w:val="00855D3B"/>
    <w:rsid w:val="00855DAA"/>
    <w:rsid w:val="00855EEC"/>
    <w:rsid w:val="00855F88"/>
    <w:rsid w:val="00856897"/>
    <w:rsid w:val="00856E9A"/>
    <w:rsid w:val="00857BAE"/>
    <w:rsid w:val="008604B0"/>
    <w:rsid w:val="0086075D"/>
    <w:rsid w:val="00861378"/>
    <w:rsid w:val="0086151F"/>
    <w:rsid w:val="00861FED"/>
    <w:rsid w:val="00862502"/>
    <w:rsid w:val="00862914"/>
    <w:rsid w:val="008629B1"/>
    <w:rsid w:val="00862CC1"/>
    <w:rsid w:val="00863132"/>
    <w:rsid w:val="00863B22"/>
    <w:rsid w:val="0086400A"/>
    <w:rsid w:val="008642A7"/>
    <w:rsid w:val="00864651"/>
    <w:rsid w:val="008649FB"/>
    <w:rsid w:val="00864E64"/>
    <w:rsid w:val="00865B84"/>
    <w:rsid w:val="008660D4"/>
    <w:rsid w:val="00871523"/>
    <w:rsid w:val="00871A40"/>
    <w:rsid w:val="00871D56"/>
    <w:rsid w:val="00871FA9"/>
    <w:rsid w:val="008728E9"/>
    <w:rsid w:val="00872C56"/>
    <w:rsid w:val="00872FCB"/>
    <w:rsid w:val="00874329"/>
    <w:rsid w:val="00875792"/>
    <w:rsid w:val="008779B0"/>
    <w:rsid w:val="0088006A"/>
    <w:rsid w:val="00880630"/>
    <w:rsid w:val="008809D7"/>
    <w:rsid w:val="00880F7A"/>
    <w:rsid w:val="0088198C"/>
    <w:rsid w:val="00881D2B"/>
    <w:rsid w:val="00882046"/>
    <w:rsid w:val="00882221"/>
    <w:rsid w:val="00882874"/>
    <w:rsid w:val="00882BE8"/>
    <w:rsid w:val="00882E3C"/>
    <w:rsid w:val="0088308A"/>
    <w:rsid w:val="00883787"/>
    <w:rsid w:val="00883C20"/>
    <w:rsid w:val="008845A7"/>
    <w:rsid w:val="00884A96"/>
    <w:rsid w:val="008855E4"/>
    <w:rsid w:val="008859E9"/>
    <w:rsid w:val="00886297"/>
    <w:rsid w:val="008863EB"/>
    <w:rsid w:val="00886445"/>
    <w:rsid w:val="00886CD2"/>
    <w:rsid w:val="00886E74"/>
    <w:rsid w:val="008874C8"/>
    <w:rsid w:val="008876B5"/>
    <w:rsid w:val="00887733"/>
    <w:rsid w:val="00887C27"/>
    <w:rsid w:val="00890A4E"/>
    <w:rsid w:val="008915DA"/>
    <w:rsid w:val="0089198A"/>
    <w:rsid w:val="00891E6F"/>
    <w:rsid w:val="0089206F"/>
    <w:rsid w:val="008923E7"/>
    <w:rsid w:val="0089275D"/>
    <w:rsid w:val="00892A36"/>
    <w:rsid w:val="00893195"/>
    <w:rsid w:val="00893239"/>
    <w:rsid w:val="008934B8"/>
    <w:rsid w:val="00894489"/>
    <w:rsid w:val="00894A9F"/>
    <w:rsid w:val="00894CD6"/>
    <w:rsid w:val="00894D0F"/>
    <w:rsid w:val="00894E87"/>
    <w:rsid w:val="00894FE0"/>
    <w:rsid w:val="0089529A"/>
    <w:rsid w:val="008956AD"/>
    <w:rsid w:val="0089593E"/>
    <w:rsid w:val="00895D7A"/>
    <w:rsid w:val="008963A5"/>
    <w:rsid w:val="008965A8"/>
    <w:rsid w:val="00896612"/>
    <w:rsid w:val="00896D02"/>
    <w:rsid w:val="00896D5D"/>
    <w:rsid w:val="008975A7"/>
    <w:rsid w:val="008A0706"/>
    <w:rsid w:val="008A1DC4"/>
    <w:rsid w:val="008A1EAF"/>
    <w:rsid w:val="008A2540"/>
    <w:rsid w:val="008A27EC"/>
    <w:rsid w:val="008A3158"/>
    <w:rsid w:val="008A3347"/>
    <w:rsid w:val="008A3363"/>
    <w:rsid w:val="008A3371"/>
    <w:rsid w:val="008A3C3E"/>
    <w:rsid w:val="008A40E8"/>
    <w:rsid w:val="008A472B"/>
    <w:rsid w:val="008A4D22"/>
    <w:rsid w:val="008A4D33"/>
    <w:rsid w:val="008A4E48"/>
    <w:rsid w:val="008A4EA9"/>
    <w:rsid w:val="008A5936"/>
    <w:rsid w:val="008A5CA3"/>
    <w:rsid w:val="008A5EC0"/>
    <w:rsid w:val="008A6573"/>
    <w:rsid w:val="008A79DE"/>
    <w:rsid w:val="008A7CFE"/>
    <w:rsid w:val="008A7DB5"/>
    <w:rsid w:val="008B14E6"/>
    <w:rsid w:val="008B153D"/>
    <w:rsid w:val="008B1757"/>
    <w:rsid w:val="008B1C33"/>
    <w:rsid w:val="008B1E89"/>
    <w:rsid w:val="008B27EC"/>
    <w:rsid w:val="008B2E03"/>
    <w:rsid w:val="008B2F78"/>
    <w:rsid w:val="008B3C3A"/>
    <w:rsid w:val="008B3E15"/>
    <w:rsid w:val="008B4B6F"/>
    <w:rsid w:val="008B5C57"/>
    <w:rsid w:val="008B6C81"/>
    <w:rsid w:val="008B71D8"/>
    <w:rsid w:val="008B72DD"/>
    <w:rsid w:val="008B72EE"/>
    <w:rsid w:val="008B7992"/>
    <w:rsid w:val="008B7D7E"/>
    <w:rsid w:val="008B7DDF"/>
    <w:rsid w:val="008C0432"/>
    <w:rsid w:val="008C0489"/>
    <w:rsid w:val="008C0E93"/>
    <w:rsid w:val="008C2043"/>
    <w:rsid w:val="008C24FA"/>
    <w:rsid w:val="008C279C"/>
    <w:rsid w:val="008C320A"/>
    <w:rsid w:val="008C4B6C"/>
    <w:rsid w:val="008C4F52"/>
    <w:rsid w:val="008C5295"/>
    <w:rsid w:val="008C5566"/>
    <w:rsid w:val="008C5610"/>
    <w:rsid w:val="008C5739"/>
    <w:rsid w:val="008C599F"/>
    <w:rsid w:val="008C6593"/>
    <w:rsid w:val="008C6B6C"/>
    <w:rsid w:val="008C710F"/>
    <w:rsid w:val="008C7282"/>
    <w:rsid w:val="008C7ABF"/>
    <w:rsid w:val="008C7B8A"/>
    <w:rsid w:val="008C7D90"/>
    <w:rsid w:val="008C7E74"/>
    <w:rsid w:val="008C7ECB"/>
    <w:rsid w:val="008D0173"/>
    <w:rsid w:val="008D127B"/>
    <w:rsid w:val="008D145F"/>
    <w:rsid w:val="008D186E"/>
    <w:rsid w:val="008D18CE"/>
    <w:rsid w:val="008D2492"/>
    <w:rsid w:val="008D37D3"/>
    <w:rsid w:val="008D3B86"/>
    <w:rsid w:val="008D43FD"/>
    <w:rsid w:val="008D4755"/>
    <w:rsid w:val="008D4A16"/>
    <w:rsid w:val="008D4BD0"/>
    <w:rsid w:val="008D4C3D"/>
    <w:rsid w:val="008D5969"/>
    <w:rsid w:val="008D59A0"/>
    <w:rsid w:val="008D6EE3"/>
    <w:rsid w:val="008D7376"/>
    <w:rsid w:val="008D743C"/>
    <w:rsid w:val="008E0158"/>
    <w:rsid w:val="008E0A86"/>
    <w:rsid w:val="008E0D3C"/>
    <w:rsid w:val="008E1562"/>
    <w:rsid w:val="008E1B9E"/>
    <w:rsid w:val="008E1F30"/>
    <w:rsid w:val="008E2FE9"/>
    <w:rsid w:val="008E38B0"/>
    <w:rsid w:val="008E39E9"/>
    <w:rsid w:val="008E3D8F"/>
    <w:rsid w:val="008E4B99"/>
    <w:rsid w:val="008E4F8B"/>
    <w:rsid w:val="008E5026"/>
    <w:rsid w:val="008E5340"/>
    <w:rsid w:val="008E55AB"/>
    <w:rsid w:val="008E60AB"/>
    <w:rsid w:val="008E6AE0"/>
    <w:rsid w:val="008E702C"/>
    <w:rsid w:val="008E707B"/>
    <w:rsid w:val="008E75E2"/>
    <w:rsid w:val="008E7956"/>
    <w:rsid w:val="008F0213"/>
    <w:rsid w:val="008F0F70"/>
    <w:rsid w:val="008F0F79"/>
    <w:rsid w:val="008F1028"/>
    <w:rsid w:val="008F120A"/>
    <w:rsid w:val="008F167A"/>
    <w:rsid w:val="008F2087"/>
    <w:rsid w:val="008F22F6"/>
    <w:rsid w:val="008F24DC"/>
    <w:rsid w:val="008F27E0"/>
    <w:rsid w:val="008F3223"/>
    <w:rsid w:val="008F3AF3"/>
    <w:rsid w:val="008F48EB"/>
    <w:rsid w:val="008F4F0B"/>
    <w:rsid w:val="008F551F"/>
    <w:rsid w:val="008F5F05"/>
    <w:rsid w:val="008F6EF2"/>
    <w:rsid w:val="008F74FD"/>
    <w:rsid w:val="00901502"/>
    <w:rsid w:val="00901808"/>
    <w:rsid w:val="00901F27"/>
    <w:rsid w:val="00902405"/>
    <w:rsid w:val="00902655"/>
    <w:rsid w:val="00902EAA"/>
    <w:rsid w:val="009039C7"/>
    <w:rsid w:val="00903B5B"/>
    <w:rsid w:val="00903D33"/>
    <w:rsid w:val="009046C4"/>
    <w:rsid w:val="009059C4"/>
    <w:rsid w:val="00905F0D"/>
    <w:rsid w:val="009062A5"/>
    <w:rsid w:val="00906346"/>
    <w:rsid w:val="00906845"/>
    <w:rsid w:val="00906FEE"/>
    <w:rsid w:val="009073CB"/>
    <w:rsid w:val="00907699"/>
    <w:rsid w:val="00907988"/>
    <w:rsid w:val="00907A7B"/>
    <w:rsid w:val="00910380"/>
    <w:rsid w:val="009108B1"/>
    <w:rsid w:val="00910B1D"/>
    <w:rsid w:val="00910CFD"/>
    <w:rsid w:val="00910FA7"/>
    <w:rsid w:val="009111B0"/>
    <w:rsid w:val="00911272"/>
    <w:rsid w:val="00911339"/>
    <w:rsid w:val="009115B5"/>
    <w:rsid w:val="00912706"/>
    <w:rsid w:val="009127A6"/>
    <w:rsid w:val="00913247"/>
    <w:rsid w:val="009135D6"/>
    <w:rsid w:val="00913B90"/>
    <w:rsid w:val="00913CAD"/>
    <w:rsid w:val="00914C77"/>
    <w:rsid w:val="009150FE"/>
    <w:rsid w:val="0091541D"/>
    <w:rsid w:val="009166F5"/>
    <w:rsid w:val="0091685B"/>
    <w:rsid w:val="009176D9"/>
    <w:rsid w:val="00920153"/>
    <w:rsid w:val="0092067A"/>
    <w:rsid w:val="0092172C"/>
    <w:rsid w:val="00921ACB"/>
    <w:rsid w:val="00921E21"/>
    <w:rsid w:val="00922A89"/>
    <w:rsid w:val="00922D2E"/>
    <w:rsid w:val="0092369B"/>
    <w:rsid w:val="0092471C"/>
    <w:rsid w:val="00924B1A"/>
    <w:rsid w:val="00925CBC"/>
    <w:rsid w:val="009266BA"/>
    <w:rsid w:val="00926C1A"/>
    <w:rsid w:val="00926D58"/>
    <w:rsid w:val="00926DA5"/>
    <w:rsid w:val="00927C44"/>
    <w:rsid w:val="00930A8E"/>
    <w:rsid w:val="009311FD"/>
    <w:rsid w:val="0093154D"/>
    <w:rsid w:val="009319E9"/>
    <w:rsid w:val="00931B5E"/>
    <w:rsid w:val="0093238E"/>
    <w:rsid w:val="00932DF1"/>
    <w:rsid w:val="0093364F"/>
    <w:rsid w:val="00934704"/>
    <w:rsid w:val="00934988"/>
    <w:rsid w:val="009351FD"/>
    <w:rsid w:val="0093536E"/>
    <w:rsid w:val="00935432"/>
    <w:rsid w:val="00936A92"/>
    <w:rsid w:val="00936CBA"/>
    <w:rsid w:val="00937089"/>
    <w:rsid w:val="00937B61"/>
    <w:rsid w:val="00937C31"/>
    <w:rsid w:val="00937EBF"/>
    <w:rsid w:val="00940008"/>
    <w:rsid w:val="0094005C"/>
    <w:rsid w:val="00940710"/>
    <w:rsid w:val="00941E77"/>
    <w:rsid w:val="009422CE"/>
    <w:rsid w:val="0094262B"/>
    <w:rsid w:val="00942DC7"/>
    <w:rsid w:val="009435E4"/>
    <w:rsid w:val="0094449B"/>
    <w:rsid w:val="0094456E"/>
    <w:rsid w:val="00944746"/>
    <w:rsid w:val="00944DCB"/>
    <w:rsid w:val="00944F8A"/>
    <w:rsid w:val="0094528D"/>
    <w:rsid w:val="00945296"/>
    <w:rsid w:val="0094533D"/>
    <w:rsid w:val="00945CEB"/>
    <w:rsid w:val="00945EBA"/>
    <w:rsid w:val="00946467"/>
    <w:rsid w:val="00950576"/>
    <w:rsid w:val="009510A2"/>
    <w:rsid w:val="009528DA"/>
    <w:rsid w:val="00953257"/>
    <w:rsid w:val="0095325A"/>
    <w:rsid w:val="00953DF1"/>
    <w:rsid w:val="0095400E"/>
    <w:rsid w:val="00954358"/>
    <w:rsid w:val="0095474C"/>
    <w:rsid w:val="009549FE"/>
    <w:rsid w:val="00955634"/>
    <w:rsid w:val="00955A83"/>
    <w:rsid w:val="00955F72"/>
    <w:rsid w:val="0095622E"/>
    <w:rsid w:val="00956C9D"/>
    <w:rsid w:val="00956E4A"/>
    <w:rsid w:val="009574BA"/>
    <w:rsid w:val="00957D92"/>
    <w:rsid w:val="00957DF2"/>
    <w:rsid w:val="0096037C"/>
    <w:rsid w:val="00961A22"/>
    <w:rsid w:val="00962CB9"/>
    <w:rsid w:val="009631BD"/>
    <w:rsid w:val="00963991"/>
    <w:rsid w:val="00964312"/>
    <w:rsid w:val="0096442F"/>
    <w:rsid w:val="009644D0"/>
    <w:rsid w:val="00964549"/>
    <w:rsid w:val="009652AA"/>
    <w:rsid w:val="00965B8A"/>
    <w:rsid w:val="009660FD"/>
    <w:rsid w:val="00967E61"/>
    <w:rsid w:val="0097050F"/>
    <w:rsid w:val="0097071F"/>
    <w:rsid w:val="009711E8"/>
    <w:rsid w:val="00971543"/>
    <w:rsid w:val="00971761"/>
    <w:rsid w:val="009717AC"/>
    <w:rsid w:val="0097282A"/>
    <w:rsid w:val="00972960"/>
    <w:rsid w:val="00972D73"/>
    <w:rsid w:val="00972DBE"/>
    <w:rsid w:val="00973259"/>
    <w:rsid w:val="00973754"/>
    <w:rsid w:val="00974960"/>
    <w:rsid w:val="00974BF4"/>
    <w:rsid w:val="00974EA8"/>
    <w:rsid w:val="00974F22"/>
    <w:rsid w:val="009751C1"/>
    <w:rsid w:val="00976725"/>
    <w:rsid w:val="009772D2"/>
    <w:rsid w:val="009776A7"/>
    <w:rsid w:val="00980EBE"/>
    <w:rsid w:val="009811F1"/>
    <w:rsid w:val="00981D29"/>
    <w:rsid w:val="0098232B"/>
    <w:rsid w:val="00982AC0"/>
    <w:rsid w:val="00983A24"/>
    <w:rsid w:val="00983E57"/>
    <w:rsid w:val="00983F07"/>
    <w:rsid w:val="009840A3"/>
    <w:rsid w:val="009850C1"/>
    <w:rsid w:val="009858FB"/>
    <w:rsid w:val="0098598A"/>
    <w:rsid w:val="00985DE2"/>
    <w:rsid w:val="0098675D"/>
    <w:rsid w:val="00986A27"/>
    <w:rsid w:val="00987050"/>
    <w:rsid w:val="00987BA4"/>
    <w:rsid w:val="00990CDE"/>
    <w:rsid w:val="00991E4E"/>
    <w:rsid w:val="009920C1"/>
    <w:rsid w:val="009925A4"/>
    <w:rsid w:val="009926E0"/>
    <w:rsid w:val="00992B07"/>
    <w:rsid w:val="00993153"/>
    <w:rsid w:val="00993248"/>
    <w:rsid w:val="009936A2"/>
    <w:rsid w:val="00993BEF"/>
    <w:rsid w:val="0099451E"/>
    <w:rsid w:val="009954B1"/>
    <w:rsid w:val="00995E98"/>
    <w:rsid w:val="009962A2"/>
    <w:rsid w:val="00996920"/>
    <w:rsid w:val="00996B1A"/>
    <w:rsid w:val="009974FB"/>
    <w:rsid w:val="0099785E"/>
    <w:rsid w:val="009A1284"/>
    <w:rsid w:val="009A18F6"/>
    <w:rsid w:val="009A1A56"/>
    <w:rsid w:val="009A2DCC"/>
    <w:rsid w:val="009A35E6"/>
    <w:rsid w:val="009A46F8"/>
    <w:rsid w:val="009A5ABC"/>
    <w:rsid w:val="009A6F10"/>
    <w:rsid w:val="009A719C"/>
    <w:rsid w:val="009A74BD"/>
    <w:rsid w:val="009A7F10"/>
    <w:rsid w:val="009B0F0B"/>
    <w:rsid w:val="009B0F57"/>
    <w:rsid w:val="009B11E4"/>
    <w:rsid w:val="009B1747"/>
    <w:rsid w:val="009B18AD"/>
    <w:rsid w:val="009B2457"/>
    <w:rsid w:val="009B2E49"/>
    <w:rsid w:val="009B33DE"/>
    <w:rsid w:val="009B3A70"/>
    <w:rsid w:val="009B3AA8"/>
    <w:rsid w:val="009B3E26"/>
    <w:rsid w:val="009B43BB"/>
    <w:rsid w:val="009B47BB"/>
    <w:rsid w:val="009B574E"/>
    <w:rsid w:val="009B5B96"/>
    <w:rsid w:val="009B6BA5"/>
    <w:rsid w:val="009B73B7"/>
    <w:rsid w:val="009B7F8A"/>
    <w:rsid w:val="009C0BBC"/>
    <w:rsid w:val="009C0C7C"/>
    <w:rsid w:val="009C0F7D"/>
    <w:rsid w:val="009C1271"/>
    <w:rsid w:val="009C19D8"/>
    <w:rsid w:val="009C1D6E"/>
    <w:rsid w:val="009C2154"/>
    <w:rsid w:val="009C2175"/>
    <w:rsid w:val="009C3706"/>
    <w:rsid w:val="009C3A3A"/>
    <w:rsid w:val="009C5088"/>
    <w:rsid w:val="009C5418"/>
    <w:rsid w:val="009C6114"/>
    <w:rsid w:val="009C6CEA"/>
    <w:rsid w:val="009C7069"/>
    <w:rsid w:val="009C7585"/>
    <w:rsid w:val="009C7B85"/>
    <w:rsid w:val="009C7D88"/>
    <w:rsid w:val="009D0254"/>
    <w:rsid w:val="009D15AD"/>
    <w:rsid w:val="009D1A64"/>
    <w:rsid w:val="009D1CB7"/>
    <w:rsid w:val="009D27A3"/>
    <w:rsid w:val="009D2F39"/>
    <w:rsid w:val="009D3868"/>
    <w:rsid w:val="009D38C9"/>
    <w:rsid w:val="009D3F60"/>
    <w:rsid w:val="009D4320"/>
    <w:rsid w:val="009D45AC"/>
    <w:rsid w:val="009D50C6"/>
    <w:rsid w:val="009D5A5B"/>
    <w:rsid w:val="009D5B91"/>
    <w:rsid w:val="009D76D2"/>
    <w:rsid w:val="009D792E"/>
    <w:rsid w:val="009D7F3F"/>
    <w:rsid w:val="009E0965"/>
    <w:rsid w:val="009E0DFE"/>
    <w:rsid w:val="009E186A"/>
    <w:rsid w:val="009E1ED0"/>
    <w:rsid w:val="009E2DD6"/>
    <w:rsid w:val="009E2F2A"/>
    <w:rsid w:val="009E31F6"/>
    <w:rsid w:val="009E328F"/>
    <w:rsid w:val="009E4C07"/>
    <w:rsid w:val="009E621C"/>
    <w:rsid w:val="009E674A"/>
    <w:rsid w:val="009E6F80"/>
    <w:rsid w:val="009E73F9"/>
    <w:rsid w:val="009E76C6"/>
    <w:rsid w:val="009E7726"/>
    <w:rsid w:val="009E776D"/>
    <w:rsid w:val="009E777F"/>
    <w:rsid w:val="009E7973"/>
    <w:rsid w:val="009E7BF7"/>
    <w:rsid w:val="009E7D23"/>
    <w:rsid w:val="009F05B6"/>
    <w:rsid w:val="009F0BB8"/>
    <w:rsid w:val="009F13E2"/>
    <w:rsid w:val="009F1F98"/>
    <w:rsid w:val="009F2082"/>
    <w:rsid w:val="009F2EA2"/>
    <w:rsid w:val="009F3107"/>
    <w:rsid w:val="009F3199"/>
    <w:rsid w:val="009F36FD"/>
    <w:rsid w:val="009F395D"/>
    <w:rsid w:val="009F39F3"/>
    <w:rsid w:val="009F3A74"/>
    <w:rsid w:val="009F4171"/>
    <w:rsid w:val="009F4499"/>
    <w:rsid w:val="009F4949"/>
    <w:rsid w:val="009F4C05"/>
    <w:rsid w:val="009F5003"/>
    <w:rsid w:val="009F57D7"/>
    <w:rsid w:val="009F6120"/>
    <w:rsid w:val="009F6762"/>
    <w:rsid w:val="009F6934"/>
    <w:rsid w:val="009F693C"/>
    <w:rsid w:val="009F6BC4"/>
    <w:rsid w:val="009F6EED"/>
    <w:rsid w:val="009F6F1E"/>
    <w:rsid w:val="00A0012A"/>
    <w:rsid w:val="00A00CA6"/>
    <w:rsid w:val="00A00D76"/>
    <w:rsid w:val="00A01184"/>
    <w:rsid w:val="00A01449"/>
    <w:rsid w:val="00A01DEB"/>
    <w:rsid w:val="00A01EF7"/>
    <w:rsid w:val="00A02537"/>
    <w:rsid w:val="00A027A6"/>
    <w:rsid w:val="00A02C93"/>
    <w:rsid w:val="00A037C2"/>
    <w:rsid w:val="00A03D43"/>
    <w:rsid w:val="00A04233"/>
    <w:rsid w:val="00A04380"/>
    <w:rsid w:val="00A04786"/>
    <w:rsid w:val="00A05344"/>
    <w:rsid w:val="00A05472"/>
    <w:rsid w:val="00A0597A"/>
    <w:rsid w:val="00A05C32"/>
    <w:rsid w:val="00A05FD9"/>
    <w:rsid w:val="00A06120"/>
    <w:rsid w:val="00A0653F"/>
    <w:rsid w:val="00A06BBA"/>
    <w:rsid w:val="00A06DD0"/>
    <w:rsid w:val="00A07BAA"/>
    <w:rsid w:val="00A11AE6"/>
    <w:rsid w:val="00A11CD0"/>
    <w:rsid w:val="00A11CF2"/>
    <w:rsid w:val="00A120D6"/>
    <w:rsid w:val="00A1218F"/>
    <w:rsid w:val="00A1258F"/>
    <w:rsid w:val="00A12C9C"/>
    <w:rsid w:val="00A12EA4"/>
    <w:rsid w:val="00A13129"/>
    <w:rsid w:val="00A13222"/>
    <w:rsid w:val="00A13567"/>
    <w:rsid w:val="00A13948"/>
    <w:rsid w:val="00A13C50"/>
    <w:rsid w:val="00A1555B"/>
    <w:rsid w:val="00A155C5"/>
    <w:rsid w:val="00A15C19"/>
    <w:rsid w:val="00A16AD8"/>
    <w:rsid w:val="00A16CE1"/>
    <w:rsid w:val="00A171CF"/>
    <w:rsid w:val="00A2021E"/>
    <w:rsid w:val="00A2095B"/>
    <w:rsid w:val="00A21C95"/>
    <w:rsid w:val="00A21CF3"/>
    <w:rsid w:val="00A223B5"/>
    <w:rsid w:val="00A22758"/>
    <w:rsid w:val="00A23873"/>
    <w:rsid w:val="00A24047"/>
    <w:rsid w:val="00A24813"/>
    <w:rsid w:val="00A24F69"/>
    <w:rsid w:val="00A279DF"/>
    <w:rsid w:val="00A27AEC"/>
    <w:rsid w:val="00A302FA"/>
    <w:rsid w:val="00A3064D"/>
    <w:rsid w:val="00A320DB"/>
    <w:rsid w:val="00A33749"/>
    <w:rsid w:val="00A33CC3"/>
    <w:rsid w:val="00A33FAC"/>
    <w:rsid w:val="00A3492D"/>
    <w:rsid w:val="00A353A7"/>
    <w:rsid w:val="00A3582C"/>
    <w:rsid w:val="00A35D16"/>
    <w:rsid w:val="00A36FAE"/>
    <w:rsid w:val="00A37973"/>
    <w:rsid w:val="00A37A20"/>
    <w:rsid w:val="00A37BCD"/>
    <w:rsid w:val="00A408DF"/>
    <w:rsid w:val="00A40EA3"/>
    <w:rsid w:val="00A410B1"/>
    <w:rsid w:val="00A41689"/>
    <w:rsid w:val="00A41BA2"/>
    <w:rsid w:val="00A42550"/>
    <w:rsid w:val="00A42592"/>
    <w:rsid w:val="00A43B79"/>
    <w:rsid w:val="00A43C59"/>
    <w:rsid w:val="00A43EDD"/>
    <w:rsid w:val="00A44D21"/>
    <w:rsid w:val="00A452C9"/>
    <w:rsid w:val="00A45902"/>
    <w:rsid w:val="00A4622C"/>
    <w:rsid w:val="00A467CA"/>
    <w:rsid w:val="00A474B6"/>
    <w:rsid w:val="00A50370"/>
    <w:rsid w:val="00A50442"/>
    <w:rsid w:val="00A50828"/>
    <w:rsid w:val="00A50ECD"/>
    <w:rsid w:val="00A5157F"/>
    <w:rsid w:val="00A518F3"/>
    <w:rsid w:val="00A5254B"/>
    <w:rsid w:val="00A52729"/>
    <w:rsid w:val="00A53675"/>
    <w:rsid w:val="00A552B1"/>
    <w:rsid w:val="00A5566B"/>
    <w:rsid w:val="00A55E82"/>
    <w:rsid w:val="00A56292"/>
    <w:rsid w:val="00A564B3"/>
    <w:rsid w:val="00A564D7"/>
    <w:rsid w:val="00A56B6A"/>
    <w:rsid w:val="00A56D34"/>
    <w:rsid w:val="00A576D9"/>
    <w:rsid w:val="00A57733"/>
    <w:rsid w:val="00A578DC"/>
    <w:rsid w:val="00A60E5E"/>
    <w:rsid w:val="00A611D6"/>
    <w:rsid w:val="00A61489"/>
    <w:rsid w:val="00A62C40"/>
    <w:rsid w:val="00A63213"/>
    <w:rsid w:val="00A63EBB"/>
    <w:rsid w:val="00A640E2"/>
    <w:rsid w:val="00A64507"/>
    <w:rsid w:val="00A646F2"/>
    <w:rsid w:val="00A64D65"/>
    <w:rsid w:val="00A64E1F"/>
    <w:rsid w:val="00A65340"/>
    <w:rsid w:val="00A6553C"/>
    <w:rsid w:val="00A655C3"/>
    <w:rsid w:val="00A6576F"/>
    <w:rsid w:val="00A65DD4"/>
    <w:rsid w:val="00A66FC4"/>
    <w:rsid w:val="00A6725B"/>
    <w:rsid w:val="00A67683"/>
    <w:rsid w:val="00A677F7"/>
    <w:rsid w:val="00A6785F"/>
    <w:rsid w:val="00A67DF4"/>
    <w:rsid w:val="00A70605"/>
    <w:rsid w:val="00A709AC"/>
    <w:rsid w:val="00A70D20"/>
    <w:rsid w:val="00A71DA7"/>
    <w:rsid w:val="00A71EFF"/>
    <w:rsid w:val="00A721F4"/>
    <w:rsid w:val="00A7229D"/>
    <w:rsid w:val="00A73077"/>
    <w:rsid w:val="00A73134"/>
    <w:rsid w:val="00A7365A"/>
    <w:rsid w:val="00A73A4E"/>
    <w:rsid w:val="00A74EBB"/>
    <w:rsid w:val="00A75154"/>
    <w:rsid w:val="00A75BE1"/>
    <w:rsid w:val="00A76001"/>
    <w:rsid w:val="00A767C7"/>
    <w:rsid w:val="00A7697F"/>
    <w:rsid w:val="00A76BF2"/>
    <w:rsid w:val="00A777B2"/>
    <w:rsid w:val="00A802A4"/>
    <w:rsid w:val="00A8110B"/>
    <w:rsid w:val="00A81ACA"/>
    <w:rsid w:val="00A81B43"/>
    <w:rsid w:val="00A8242D"/>
    <w:rsid w:val="00A825D4"/>
    <w:rsid w:val="00A828F6"/>
    <w:rsid w:val="00A82B73"/>
    <w:rsid w:val="00A8521B"/>
    <w:rsid w:val="00A85B8D"/>
    <w:rsid w:val="00A8663A"/>
    <w:rsid w:val="00A8667A"/>
    <w:rsid w:val="00A86729"/>
    <w:rsid w:val="00A86AD0"/>
    <w:rsid w:val="00A86E8B"/>
    <w:rsid w:val="00A87164"/>
    <w:rsid w:val="00A871A9"/>
    <w:rsid w:val="00A87E55"/>
    <w:rsid w:val="00A908E0"/>
    <w:rsid w:val="00A90EC7"/>
    <w:rsid w:val="00A9188A"/>
    <w:rsid w:val="00A92052"/>
    <w:rsid w:val="00A92579"/>
    <w:rsid w:val="00A929E5"/>
    <w:rsid w:val="00A92E3A"/>
    <w:rsid w:val="00A93072"/>
    <w:rsid w:val="00A931FE"/>
    <w:rsid w:val="00A9340C"/>
    <w:rsid w:val="00A938BD"/>
    <w:rsid w:val="00A93953"/>
    <w:rsid w:val="00A93B6E"/>
    <w:rsid w:val="00A94AF8"/>
    <w:rsid w:val="00A9525E"/>
    <w:rsid w:val="00A959D8"/>
    <w:rsid w:val="00A95ADB"/>
    <w:rsid w:val="00A95DC0"/>
    <w:rsid w:val="00A96001"/>
    <w:rsid w:val="00A9619F"/>
    <w:rsid w:val="00AA0215"/>
    <w:rsid w:val="00AA075D"/>
    <w:rsid w:val="00AA0A12"/>
    <w:rsid w:val="00AA113D"/>
    <w:rsid w:val="00AA1E58"/>
    <w:rsid w:val="00AA2223"/>
    <w:rsid w:val="00AA3127"/>
    <w:rsid w:val="00AA4235"/>
    <w:rsid w:val="00AA4CA0"/>
    <w:rsid w:val="00AA4CC3"/>
    <w:rsid w:val="00AA4D9F"/>
    <w:rsid w:val="00AA6BB6"/>
    <w:rsid w:val="00AA6BD5"/>
    <w:rsid w:val="00AA6BD8"/>
    <w:rsid w:val="00AA6C7D"/>
    <w:rsid w:val="00AA7DA4"/>
    <w:rsid w:val="00AA7FD6"/>
    <w:rsid w:val="00AB042A"/>
    <w:rsid w:val="00AB0572"/>
    <w:rsid w:val="00AB085C"/>
    <w:rsid w:val="00AB104B"/>
    <w:rsid w:val="00AB1089"/>
    <w:rsid w:val="00AB11AD"/>
    <w:rsid w:val="00AB19EF"/>
    <w:rsid w:val="00AB1BBD"/>
    <w:rsid w:val="00AB20B3"/>
    <w:rsid w:val="00AB2495"/>
    <w:rsid w:val="00AB29B6"/>
    <w:rsid w:val="00AB2CB1"/>
    <w:rsid w:val="00AB2D34"/>
    <w:rsid w:val="00AB3430"/>
    <w:rsid w:val="00AB3583"/>
    <w:rsid w:val="00AB37B9"/>
    <w:rsid w:val="00AB3898"/>
    <w:rsid w:val="00AB3979"/>
    <w:rsid w:val="00AB397E"/>
    <w:rsid w:val="00AB39AD"/>
    <w:rsid w:val="00AB4417"/>
    <w:rsid w:val="00AB4AD1"/>
    <w:rsid w:val="00AB54EE"/>
    <w:rsid w:val="00AB5626"/>
    <w:rsid w:val="00AB5C4A"/>
    <w:rsid w:val="00AB5E07"/>
    <w:rsid w:val="00AB621F"/>
    <w:rsid w:val="00AB6806"/>
    <w:rsid w:val="00AB7489"/>
    <w:rsid w:val="00AB7514"/>
    <w:rsid w:val="00AB7BB7"/>
    <w:rsid w:val="00AB7CFA"/>
    <w:rsid w:val="00AC1609"/>
    <w:rsid w:val="00AC163E"/>
    <w:rsid w:val="00AC313E"/>
    <w:rsid w:val="00AC333C"/>
    <w:rsid w:val="00AC3372"/>
    <w:rsid w:val="00AC407B"/>
    <w:rsid w:val="00AC4367"/>
    <w:rsid w:val="00AC4744"/>
    <w:rsid w:val="00AC48BF"/>
    <w:rsid w:val="00AC4F20"/>
    <w:rsid w:val="00AC5B42"/>
    <w:rsid w:val="00AC5B48"/>
    <w:rsid w:val="00AC5B61"/>
    <w:rsid w:val="00AC62EB"/>
    <w:rsid w:val="00AC66A9"/>
    <w:rsid w:val="00AC6C47"/>
    <w:rsid w:val="00AC7CFD"/>
    <w:rsid w:val="00AC7F16"/>
    <w:rsid w:val="00AD029F"/>
    <w:rsid w:val="00AD1450"/>
    <w:rsid w:val="00AD15E8"/>
    <w:rsid w:val="00AD1D41"/>
    <w:rsid w:val="00AD28A0"/>
    <w:rsid w:val="00AD2DC2"/>
    <w:rsid w:val="00AD2E07"/>
    <w:rsid w:val="00AD2E9B"/>
    <w:rsid w:val="00AD356D"/>
    <w:rsid w:val="00AD3716"/>
    <w:rsid w:val="00AD5354"/>
    <w:rsid w:val="00AD6502"/>
    <w:rsid w:val="00AD6568"/>
    <w:rsid w:val="00AD6AC2"/>
    <w:rsid w:val="00AD6BEF"/>
    <w:rsid w:val="00AD6D1A"/>
    <w:rsid w:val="00AD7572"/>
    <w:rsid w:val="00AD7CB8"/>
    <w:rsid w:val="00AD7E36"/>
    <w:rsid w:val="00AE0088"/>
    <w:rsid w:val="00AE0695"/>
    <w:rsid w:val="00AE06B3"/>
    <w:rsid w:val="00AE114E"/>
    <w:rsid w:val="00AE1546"/>
    <w:rsid w:val="00AE1B6B"/>
    <w:rsid w:val="00AE21D8"/>
    <w:rsid w:val="00AE2468"/>
    <w:rsid w:val="00AE3E7E"/>
    <w:rsid w:val="00AE3F28"/>
    <w:rsid w:val="00AE44B9"/>
    <w:rsid w:val="00AE45CA"/>
    <w:rsid w:val="00AE4832"/>
    <w:rsid w:val="00AE4FAA"/>
    <w:rsid w:val="00AE5724"/>
    <w:rsid w:val="00AE691B"/>
    <w:rsid w:val="00AE72BF"/>
    <w:rsid w:val="00AE7958"/>
    <w:rsid w:val="00AE798A"/>
    <w:rsid w:val="00AE7A10"/>
    <w:rsid w:val="00AE7E53"/>
    <w:rsid w:val="00AE7E8B"/>
    <w:rsid w:val="00AF0D24"/>
    <w:rsid w:val="00AF1176"/>
    <w:rsid w:val="00AF12EB"/>
    <w:rsid w:val="00AF1315"/>
    <w:rsid w:val="00AF15A0"/>
    <w:rsid w:val="00AF19BF"/>
    <w:rsid w:val="00AF1D9B"/>
    <w:rsid w:val="00AF1E7C"/>
    <w:rsid w:val="00AF1F6F"/>
    <w:rsid w:val="00AF2DC3"/>
    <w:rsid w:val="00AF3863"/>
    <w:rsid w:val="00AF419B"/>
    <w:rsid w:val="00AF4220"/>
    <w:rsid w:val="00AF49E1"/>
    <w:rsid w:val="00AF4D09"/>
    <w:rsid w:val="00AF4E09"/>
    <w:rsid w:val="00AF511B"/>
    <w:rsid w:val="00AF5140"/>
    <w:rsid w:val="00AF52CA"/>
    <w:rsid w:val="00AF5399"/>
    <w:rsid w:val="00AF6B09"/>
    <w:rsid w:val="00AF771D"/>
    <w:rsid w:val="00AF7A96"/>
    <w:rsid w:val="00B005EB"/>
    <w:rsid w:val="00B0153A"/>
    <w:rsid w:val="00B01B74"/>
    <w:rsid w:val="00B0224F"/>
    <w:rsid w:val="00B023DA"/>
    <w:rsid w:val="00B033E5"/>
    <w:rsid w:val="00B03579"/>
    <w:rsid w:val="00B03A63"/>
    <w:rsid w:val="00B0460C"/>
    <w:rsid w:val="00B04A1A"/>
    <w:rsid w:val="00B05073"/>
    <w:rsid w:val="00B051D3"/>
    <w:rsid w:val="00B051ED"/>
    <w:rsid w:val="00B052F1"/>
    <w:rsid w:val="00B05743"/>
    <w:rsid w:val="00B0586A"/>
    <w:rsid w:val="00B07C26"/>
    <w:rsid w:val="00B07FFB"/>
    <w:rsid w:val="00B103E1"/>
    <w:rsid w:val="00B10519"/>
    <w:rsid w:val="00B10A14"/>
    <w:rsid w:val="00B10DBB"/>
    <w:rsid w:val="00B11C2C"/>
    <w:rsid w:val="00B11FF1"/>
    <w:rsid w:val="00B1247A"/>
    <w:rsid w:val="00B1266C"/>
    <w:rsid w:val="00B129A4"/>
    <w:rsid w:val="00B1360B"/>
    <w:rsid w:val="00B137E7"/>
    <w:rsid w:val="00B13B71"/>
    <w:rsid w:val="00B13C7B"/>
    <w:rsid w:val="00B145D5"/>
    <w:rsid w:val="00B14B0D"/>
    <w:rsid w:val="00B14EB1"/>
    <w:rsid w:val="00B14F21"/>
    <w:rsid w:val="00B15F8C"/>
    <w:rsid w:val="00B160DF"/>
    <w:rsid w:val="00B16ACC"/>
    <w:rsid w:val="00B16FB4"/>
    <w:rsid w:val="00B17336"/>
    <w:rsid w:val="00B17369"/>
    <w:rsid w:val="00B17F43"/>
    <w:rsid w:val="00B201A4"/>
    <w:rsid w:val="00B201D1"/>
    <w:rsid w:val="00B206B9"/>
    <w:rsid w:val="00B210AA"/>
    <w:rsid w:val="00B21126"/>
    <w:rsid w:val="00B21152"/>
    <w:rsid w:val="00B213A6"/>
    <w:rsid w:val="00B22386"/>
    <w:rsid w:val="00B2292B"/>
    <w:rsid w:val="00B22C7E"/>
    <w:rsid w:val="00B231B0"/>
    <w:rsid w:val="00B235B0"/>
    <w:rsid w:val="00B237ED"/>
    <w:rsid w:val="00B24DF6"/>
    <w:rsid w:val="00B25942"/>
    <w:rsid w:val="00B26163"/>
    <w:rsid w:val="00B26374"/>
    <w:rsid w:val="00B26E83"/>
    <w:rsid w:val="00B276F0"/>
    <w:rsid w:val="00B27A61"/>
    <w:rsid w:val="00B30483"/>
    <w:rsid w:val="00B3093A"/>
    <w:rsid w:val="00B31C32"/>
    <w:rsid w:val="00B32BE8"/>
    <w:rsid w:val="00B34291"/>
    <w:rsid w:val="00B34381"/>
    <w:rsid w:val="00B34712"/>
    <w:rsid w:val="00B34FE2"/>
    <w:rsid w:val="00B35166"/>
    <w:rsid w:val="00B35647"/>
    <w:rsid w:val="00B357D8"/>
    <w:rsid w:val="00B35984"/>
    <w:rsid w:val="00B35C95"/>
    <w:rsid w:val="00B35E5E"/>
    <w:rsid w:val="00B360A2"/>
    <w:rsid w:val="00B360F4"/>
    <w:rsid w:val="00B369EA"/>
    <w:rsid w:val="00B36A00"/>
    <w:rsid w:val="00B3730C"/>
    <w:rsid w:val="00B374E5"/>
    <w:rsid w:val="00B37548"/>
    <w:rsid w:val="00B37679"/>
    <w:rsid w:val="00B3792B"/>
    <w:rsid w:val="00B379F1"/>
    <w:rsid w:val="00B37BFC"/>
    <w:rsid w:val="00B37D61"/>
    <w:rsid w:val="00B40160"/>
    <w:rsid w:val="00B40358"/>
    <w:rsid w:val="00B40538"/>
    <w:rsid w:val="00B40F62"/>
    <w:rsid w:val="00B41614"/>
    <w:rsid w:val="00B4253E"/>
    <w:rsid w:val="00B4273C"/>
    <w:rsid w:val="00B42851"/>
    <w:rsid w:val="00B42F80"/>
    <w:rsid w:val="00B43340"/>
    <w:rsid w:val="00B435CB"/>
    <w:rsid w:val="00B43D0D"/>
    <w:rsid w:val="00B43FEB"/>
    <w:rsid w:val="00B443AB"/>
    <w:rsid w:val="00B44491"/>
    <w:rsid w:val="00B447DF"/>
    <w:rsid w:val="00B448B9"/>
    <w:rsid w:val="00B44BB1"/>
    <w:rsid w:val="00B4563C"/>
    <w:rsid w:val="00B4566F"/>
    <w:rsid w:val="00B4577C"/>
    <w:rsid w:val="00B45898"/>
    <w:rsid w:val="00B465EC"/>
    <w:rsid w:val="00B467B5"/>
    <w:rsid w:val="00B46DF8"/>
    <w:rsid w:val="00B472E6"/>
    <w:rsid w:val="00B50124"/>
    <w:rsid w:val="00B5053D"/>
    <w:rsid w:val="00B505C8"/>
    <w:rsid w:val="00B5089A"/>
    <w:rsid w:val="00B50AB7"/>
    <w:rsid w:val="00B50B4E"/>
    <w:rsid w:val="00B50CB7"/>
    <w:rsid w:val="00B50DB8"/>
    <w:rsid w:val="00B5188D"/>
    <w:rsid w:val="00B520A3"/>
    <w:rsid w:val="00B52E3C"/>
    <w:rsid w:val="00B5325D"/>
    <w:rsid w:val="00B53409"/>
    <w:rsid w:val="00B53654"/>
    <w:rsid w:val="00B5370E"/>
    <w:rsid w:val="00B53905"/>
    <w:rsid w:val="00B53A5D"/>
    <w:rsid w:val="00B53B26"/>
    <w:rsid w:val="00B5449D"/>
    <w:rsid w:val="00B546DB"/>
    <w:rsid w:val="00B54B5B"/>
    <w:rsid w:val="00B54C95"/>
    <w:rsid w:val="00B550B0"/>
    <w:rsid w:val="00B552C5"/>
    <w:rsid w:val="00B553ED"/>
    <w:rsid w:val="00B554C3"/>
    <w:rsid w:val="00B55578"/>
    <w:rsid w:val="00B5562E"/>
    <w:rsid w:val="00B557A8"/>
    <w:rsid w:val="00B55862"/>
    <w:rsid w:val="00B55D65"/>
    <w:rsid w:val="00B56305"/>
    <w:rsid w:val="00B564DC"/>
    <w:rsid w:val="00B565C7"/>
    <w:rsid w:val="00B56C27"/>
    <w:rsid w:val="00B56C74"/>
    <w:rsid w:val="00B57000"/>
    <w:rsid w:val="00B57A45"/>
    <w:rsid w:val="00B57E51"/>
    <w:rsid w:val="00B606E4"/>
    <w:rsid w:val="00B60939"/>
    <w:rsid w:val="00B60AC6"/>
    <w:rsid w:val="00B60AFD"/>
    <w:rsid w:val="00B60BE6"/>
    <w:rsid w:val="00B610EE"/>
    <w:rsid w:val="00B61EC9"/>
    <w:rsid w:val="00B62715"/>
    <w:rsid w:val="00B631DF"/>
    <w:rsid w:val="00B63246"/>
    <w:rsid w:val="00B640D9"/>
    <w:rsid w:val="00B643B3"/>
    <w:rsid w:val="00B64C33"/>
    <w:rsid w:val="00B65611"/>
    <w:rsid w:val="00B65F82"/>
    <w:rsid w:val="00B66293"/>
    <w:rsid w:val="00B6646D"/>
    <w:rsid w:val="00B664FF"/>
    <w:rsid w:val="00B666B0"/>
    <w:rsid w:val="00B66713"/>
    <w:rsid w:val="00B67B88"/>
    <w:rsid w:val="00B67D3C"/>
    <w:rsid w:val="00B7061A"/>
    <w:rsid w:val="00B7085B"/>
    <w:rsid w:val="00B70897"/>
    <w:rsid w:val="00B70E8E"/>
    <w:rsid w:val="00B721F6"/>
    <w:rsid w:val="00B73264"/>
    <w:rsid w:val="00B73A42"/>
    <w:rsid w:val="00B74241"/>
    <w:rsid w:val="00B75156"/>
    <w:rsid w:val="00B76304"/>
    <w:rsid w:val="00B76B61"/>
    <w:rsid w:val="00B76C92"/>
    <w:rsid w:val="00B774C4"/>
    <w:rsid w:val="00B777C8"/>
    <w:rsid w:val="00B77B3B"/>
    <w:rsid w:val="00B80190"/>
    <w:rsid w:val="00B80EFD"/>
    <w:rsid w:val="00B80F0D"/>
    <w:rsid w:val="00B818A4"/>
    <w:rsid w:val="00B83739"/>
    <w:rsid w:val="00B83767"/>
    <w:rsid w:val="00B83F89"/>
    <w:rsid w:val="00B84117"/>
    <w:rsid w:val="00B8420B"/>
    <w:rsid w:val="00B84F67"/>
    <w:rsid w:val="00B858F0"/>
    <w:rsid w:val="00B85A61"/>
    <w:rsid w:val="00B85AA2"/>
    <w:rsid w:val="00B85C54"/>
    <w:rsid w:val="00B85F72"/>
    <w:rsid w:val="00B8649C"/>
    <w:rsid w:val="00B864D3"/>
    <w:rsid w:val="00B868F5"/>
    <w:rsid w:val="00B8695D"/>
    <w:rsid w:val="00B87845"/>
    <w:rsid w:val="00B87C43"/>
    <w:rsid w:val="00B87DEF"/>
    <w:rsid w:val="00B87F0A"/>
    <w:rsid w:val="00B90B04"/>
    <w:rsid w:val="00B90D50"/>
    <w:rsid w:val="00B91543"/>
    <w:rsid w:val="00B91F45"/>
    <w:rsid w:val="00B9254E"/>
    <w:rsid w:val="00B92D0B"/>
    <w:rsid w:val="00B931AE"/>
    <w:rsid w:val="00B93341"/>
    <w:rsid w:val="00B935AA"/>
    <w:rsid w:val="00B93600"/>
    <w:rsid w:val="00B93981"/>
    <w:rsid w:val="00B93FE3"/>
    <w:rsid w:val="00B94183"/>
    <w:rsid w:val="00B94804"/>
    <w:rsid w:val="00B94945"/>
    <w:rsid w:val="00B9494C"/>
    <w:rsid w:val="00B94DD6"/>
    <w:rsid w:val="00B94F87"/>
    <w:rsid w:val="00B9541F"/>
    <w:rsid w:val="00B967CC"/>
    <w:rsid w:val="00B96D1D"/>
    <w:rsid w:val="00BA0254"/>
    <w:rsid w:val="00BA0AFD"/>
    <w:rsid w:val="00BA1152"/>
    <w:rsid w:val="00BA29B2"/>
    <w:rsid w:val="00BA322D"/>
    <w:rsid w:val="00BA4189"/>
    <w:rsid w:val="00BA4428"/>
    <w:rsid w:val="00BA53B6"/>
    <w:rsid w:val="00BA5540"/>
    <w:rsid w:val="00BA5E06"/>
    <w:rsid w:val="00BA633F"/>
    <w:rsid w:val="00BA63FA"/>
    <w:rsid w:val="00BA6EE1"/>
    <w:rsid w:val="00BA7DC3"/>
    <w:rsid w:val="00BB00B3"/>
    <w:rsid w:val="00BB0366"/>
    <w:rsid w:val="00BB0BDD"/>
    <w:rsid w:val="00BB110E"/>
    <w:rsid w:val="00BB1340"/>
    <w:rsid w:val="00BB176C"/>
    <w:rsid w:val="00BB22EC"/>
    <w:rsid w:val="00BB2A73"/>
    <w:rsid w:val="00BB3A45"/>
    <w:rsid w:val="00BB4ACC"/>
    <w:rsid w:val="00BB5480"/>
    <w:rsid w:val="00BB57A7"/>
    <w:rsid w:val="00BB606B"/>
    <w:rsid w:val="00BB669F"/>
    <w:rsid w:val="00BB67E6"/>
    <w:rsid w:val="00BB6876"/>
    <w:rsid w:val="00BB6E51"/>
    <w:rsid w:val="00BB703E"/>
    <w:rsid w:val="00BB732D"/>
    <w:rsid w:val="00BB7405"/>
    <w:rsid w:val="00BB767D"/>
    <w:rsid w:val="00BC0229"/>
    <w:rsid w:val="00BC0707"/>
    <w:rsid w:val="00BC07AE"/>
    <w:rsid w:val="00BC163A"/>
    <w:rsid w:val="00BC2C9D"/>
    <w:rsid w:val="00BC34D2"/>
    <w:rsid w:val="00BC3599"/>
    <w:rsid w:val="00BC3631"/>
    <w:rsid w:val="00BC3C28"/>
    <w:rsid w:val="00BC3F02"/>
    <w:rsid w:val="00BC4C92"/>
    <w:rsid w:val="00BC52A2"/>
    <w:rsid w:val="00BC5318"/>
    <w:rsid w:val="00BC591F"/>
    <w:rsid w:val="00BC5DB9"/>
    <w:rsid w:val="00BC63D5"/>
    <w:rsid w:val="00BC6838"/>
    <w:rsid w:val="00BC6926"/>
    <w:rsid w:val="00BC6A2A"/>
    <w:rsid w:val="00BC7D6D"/>
    <w:rsid w:val="00BD09F3"/>
    <w:rsid w:val="00BD2108"/>
    <w:rsid w:val="00BD24E0"/>
    <w:rsid w:val="00BD29D6"/>
    <w:rsid w:val="00BD2E86"/>
    <w:rsid w:val="00BD48D7"/>
    <w:rsid w:val="00BD4A98"/>
    <w:rsid w:val="00BD4BEF"/>
    <w:rsid w:val="00BD59B8"/>
    <w:rsid w:val="00BD5F0E"/>
    <w:rsid w:val="00BD61A2"/>
    <w:rsid w:val="00BD68A3"/>
    <w:rsid w:val="00BD6938"/>
    <w:rsid w:val="00BD6CF3"/>
    <w:rsid w:val="00BD7F72"/>
    <w:rsid w:val="00BE0178"/>
    <w:rsid w:val="00BE0730"/>
    <w:rsid w:val="00BE0A24"/>
    <w:rsid w:val="00BE0ECA"/>
    <w:rsid w:val="00BE215C"/>
    <w:rsid w:val="00BE2180"/>
    <w:rsid w:val="00BE21F2"/>
    <w:rsid w:val="00BE2550"/>
    <w:rsid w:val="00BE2A05"/>
    <w:rsid w:val="00BE2B2E"/>
    <w:rsid w:val="00BE2FBF"/>
    <w:rsid w:val="00BE3C98"/>
    <w:rsid w:val="00BE4275"/>
    <w:rsid w:val="00BE466A"/>
    <w:rsid w:val="00BE476D"/>
    <w:rsid w:val="00BE4AF9"/>
    <w:rsid w:val="00BE5057"/>
    <w:rsid w:val="00BE58A2"/>
    <w:rsid w:val="00BE713A"/>
    <w:rsid w:val="00BE7986"/>
    <w:rsid w:val="00BE7B56"/>
    <w:rsid w:val="00BF034A"/>
    <w:rsid w:val="00BF0387"/>
    <w:rsid w:val="00BF06AE"/>
    <w:rsid w:val="00BF0837"/>
    <w:rsid w:val="00BF0F95"/>
    <w:rsid w:val="00BF2433"/>
    <w:rsid w:val="00BF293D"/>
    <w:rsid w:val="00BF2D63"/>
    <w:rsid w:val="00BF2E6E"/>
    <w:rsid w:val="00BF2FAB"/>
    <w:rsid w:val="00BF3F9C"/>
    <w:rsid w:val="00BF4713"/>
    <w:rsid w:val="00BF4842"/>
    <w:rsid w:val="00BF4A8E"/>
    <w:rsid w:val="00BF524E"/>
    <w:rsid w:val="00BF55BB"/>
    <w:rsid w:val="00BF5F3D"/>
    <w:rsid w:val="00BF61C9"/>
    <w:rsid w:val="00BF698F"/>
    <w:rsid w:val="00BF6C94"/>
    <w:rsid w:val="00BF702C"/>
    <w:rsid w:val="00BF75DC"/>
    <w:rsid w:val="00BF78D8"/>
    <w:rsid w:val="00BF7DB1"/>
    <w:rsid w:val="00C00353"/>
    <w:rsid w:val="00C00424"/>
    <w:rsid w:val="00C00BB0"/>
    <w:rsid w:val="00C013F7"/>
    <w:rsid w:val="00C0144A"/>
    <w:rsid w:val="00C022FB"/>
    <w:rsid w:val="00C0238B"/>
    <w:rsid w:val="00C0249A"/>
    <w:rsid w:val="00C0310A"/>
    <w:rsid w:val="00C042D3"/>
    <w:rsid w:val="00C052F5"/>
    <w:rsid w:val="00C05982"/>
    <w:rsid w:val="00C05A22"/>
    <w:rsid w:val="00C05EBE"/>
    <w:rsid w:val="00C05F6B"/>
    <w:rsid w:val="00C06550"/>
    <w:rsid w:val="00C06822"/>
    <w:rsid w:val="00C07D68"/>
    <w:rsid w:val="00C07E73"/>
    <w:rsid w:val="00C1032C"/>
    <w:rsid w:val="00C10B72"/>
    <w:rsid w:val="00C1179F"/>
    <w:rsid w:val="00C11D4D"/>
    <w:rsid w:val="00C121E1"/>
    <w:rsid w:val="00C12311"/>
    <w:rsid w:val="00C126A1"/>
    <w:rsid w:val="00C127B9"/>
    <w:rsid w:val="00C128FA"/>
    <w:rsid w:val="00C12C14"/>
    <w:rsid w:val="00C14EEA"/>
    <w:rsid w:val="00C15D9E"/>
    <w:rsid w:val="00C15F04"/>
    <w:rsid w:val="00C16C8C"/>
    <w:rsid w:val="00C179B3"/>
    <w:rsid w:val="00C17BB4"/>
    <w:rsid w:val="00C17E3F"/>
    <w:rsid w:val="00C200AA"/>
    <w:rsid w:val="00C20B9E"/>
    <w:rsid w:val="00C21091"/>
    <w:rsid w:val="00C21161"/>
    <w:rsid w:val="00C218F2"/>
    <w:rsid w:val="00C22709"/>
    <w:rsid w:val="00C22FB4"/>
    <w:rsid w:val="00C23088"/>
    <w:rsid w:val="00C233B6"/>
    <w:rsid w:val="00C23531"/>
    <w:rsid w:val="00C237ED"/>
    <w:rsid w:val="00C239E0"/>
    <w:rsid w:val="00C23B4C"/>
    <w:rsid w:val="00C23B64"/>
    <w:rsid w:val="00C24113"/>
    <w:rsid w:val="00C243EF"/>
    <w:rsid w:val="00C24632"/>
    <w:rsid w:val="00C24F0F"/>
    <w:rsid w:val="00C25343"/>
    <w:rsid w:val="00C25418"/>
    <w:rsid w:val="00C2595B"/>
    <w:rsid w:val="00C25D9C"/>
    <w:rsid w:val="00C25DF6"/>
    <w:rsid w:val="00C26DF6"/>
    <w:rsid w:val="00C2701F"/>
    <w:rsid w:val="00C273E0"/>
    <w:rsid w:val="00C2778B"/>
    <w:rsid w:val="00C308D4"/>
    <w:rsid w:val="00C31649"/>
    <w:rsid w:val="00C318AB"/>
    <w:rsid w:val="00C3195E"/>
    <w:rsid w:val="00C31970"/>
    <w:rsid w:val="00C327AD"/>
    <w:rsid w:val="00C32AB4"/>
    <w:rsid w:val="00C32FDB"/>
    <w:rsid w:val="00C33548"/>
    <w:rsid w:val="00C3434C"/>
    <w:rsid w:val="00C348A0"/>
    <w:rsid w:val="00C349D3"/>
    <w:rsid w:val="00C35013"/>
    <w:rsid w:val="00C35951"/>
    <w:rsid w:val="00C35E32"/>
    <w:rsid w:val="00C364DE"/>
    <w:rsid w:val="00C3718C"/>
    <w:rsid w:val="00C3762A"/>
    <w:rsid w:val="00C37CEC"/>
    <w:rsid w:val="00C40385"/>
    <w:rsid w:val="00C4052A"/>
    <w:rsid w:val="00C40FC2"/>
    <w:rsid w:val="00C411B2"/>
    <w:rsid w:val="00C41768"/>
    <w:rsid w:val="00C420AF"/>
    <w:rsid w:val="00C42611"/>
    <w:rsid w:val="00C42B62"/>
    <w:rsid w:val="00C44B3A"/>
    <w:rsid w:val="00C450E4"/>
    <w:rsid w:val="00C45D0E"/>
    <w:rsid w:val="00C45D54"/>
    <w:rsid w:val="00C45F44"/>
    <w:rsid w:val="00C46B91"/>
    <w:rsid w:val="00C475AA"/>
    <w:rsid w:val="00C4784B"/>
    <w:rsid w:val="00C47AF2"/>
    <w:rsid w:val="00C506AA"/>
    <w:rsid w:val="00C50B6E"/>
    <w:rsid w:val="00C50F28"/>
    <w:rsid w:val="00C51650"/>
    <w:rsid w:val="00C52199"/>
    <w:rsid w:val="00C52646"/>
    <w:rsid w:val="00C527C7"/>
    <w:rsid w:val="00C52D99"/>
    <w:rsid w:val="00C5306A"/>
    <w:rsid w:val="00C53576"/>
    <w:rsid w:val="00C535E4"/>
    <w:rsid w:val="00C53C98"/>
    <w:rsid w:val="00C54FD8"/>
    <w:rsid w:val="00C55051"/>
    <w:rsid w:val="00C55162"/>
    <w:rsid w:val="00C551AF"/>
    <w:rsid w:val="00C55408"/>
    <w:rsid w:val="00C5567F"/>
    <w:rsid w:val="00C56074"/>
    <w:rsid w:val="00C56C39"/>
    <w:rsid w:val="00C56E2E"/>
    <w:rsid w:val="00C56FCF"/>
    <w:rsid w:val="00C57B6C"/>
    <w:rsid w:val="00C57B98"/>
    <w:rsid w:val="00C6007A"/>
    <w:rsid w:val="00C612F2"/>
    <w:rsid w:val="00C61A59"/>
    <w:rsid w:val="00C61C37"/>
    <w:rsid w:val="00C61E1B"/>
    <w:rsid w:val="00C621DA"/>
    <w:rsid w:val="00C623E8"/>
    <w:rsid w:val="00C628A6"/>
    <w:rsid w:val="00C63531"/>
    <w:rsid w:val="00C641CF"/>
    <w:rsid w:val="00C64344"/>
    <w:rsid w:val="00C647EB"/>
    <w:rsid w:val="00C64E31"/>
    <w:rsid w:val="00C65108"/>
    <w:rsid w:val="00C651CC"/>
    <w:rsid w:val="00C65576"/>
    <w:rsid w:val="00C65CC3"/>
    <w:rsid w:val="00C65FBB"/>
    <w:rsid w:val="00C66165"/>
    <w:rsid w:val="00C6710B"/>
    <w:rsid w:val="00C67177"/>
    <w:rsid w:val="00C70498"/>
    <w:rsid w:val="00C7060A"/>
    <w:rsid w:val="00C70679"/>
    <w:rsid w:val="00C7151A"/>
    <w:rsid w:val="00C717E3"/>
    <w:rsid w:val="00C71F60"/>
    <w:rsid w:val="00C7210A"/>
    <w:rsid w:val="00C72241"/>
    <w:rsid w:val="00C72550"/>
    <w:rsid w:val="00C72AAF"/>
    <w:rsid w:val="00C73154"/>
    <w:rsid w:val="00C7335D"/>
    <w:rsid w:val="00C73AB1"/>
    <w:rsid w:val="00C73B4F"/>
    <w:rsid w:val="00C743ED"/>
    <w:rsid w:val="00C747C1"/>
    <w:rsid w:val="00C74E7A"/>
    <w:rsid w:val="00C74F2B"/>
    <w:rsid w:val="00C750C8"/>
    <w:rsid w:val="00C7534C"/>
    <w:rsid w:val="00C7560F"/>
    <w:rsid w:val="00C766BF"/>
    <w:rsid w:val="00C8033E"/>
    <w:rsid w:val="00C80A0E"/>
    <w:rsid w:val="00C81757"/>
    <w:rsid w:val="00C8213F"/>
    <w:rsid w:val="00C82D59"/>
    <w:rsid w:val="00C8303F"/>
    <w:rsid w:val="00C835BC"/>
    <w:rsid w:val="00C83847"/>
    <w:rsid w:val="00C83969"/>
    <w:rsid w:val="00C83973"/>
    <w:rsid w:val="00C84267"/>
    <w:rsid w:val="00C85154"/>
    <w:rsid w:val="00C85A70"/>
    <w:rsid w:val="00C8641A"/>
    <w:rsid w:val="00C865F4"/>
    <w:rsid w:val="00C8797A"/>
    <w:rsid w:val="00C87CE1"/>
    <w:rsid w:val="00C87D3A"/>
    <w:rsid w:val="00C87D6B"/>
    <w:rsid w:val="00C87D89"/>
    <w:rsid w:val="00C87E84"/>
    <w:rsid w:val="00C900B8"/>
    <w:rsid w:val="00C90197"/>
    <w:rsid w:val="00C90752"/>
    <w:rsid w:val="00C90C71"/>
    <w:rsid w:val="00C914F2"/>
    <w:rsid w:val="00C91ADA"/>
    <w:rsid w:val="00C91D8B"/>
    <w:rsid w:val="00C91FD1"/>
    <w:rsid w:val="00C924A2"/>
    <w:rsid w:val="00C9252B"/>
    <w:rsid w:val="00C92977"/>
    <w:rsid w:val="00C931CF"/>
    <w:rsid w:val="00C938CF"/>
    <w:rsid w:val="00C93B7A"/>
    <w:rsid w:val="00C94053"/>
    <w:rsid w:val="00C94440"/>
    <w:rsid w:val="00C951A1"/>
    <w:rsid w:val="00C95474"/>
    <w:rsid w:val="00C958CC"/>
    <w:rsid w:val="00C95E65"/>
    <w:rsid w:val="00C960A2"/>
    <w:rsid w:val="00C9624D"/>
    <w:rsid w:val="00C964C4"/>
    <w:rsid w:val="00C969DA"/>
    <w:rsid w:val="00C9777A"/>
    <w:rsid w:val="00C977ED"/>
    <w:rsid w:val="00C97EE1"/>
    <w:rsid w:val="00C97F51"/>
    <w:rsid w:val="00CA0AB3"/>
    <w:rsid w:val="00CA119F"/>
    <w:rsid w:val="00CA1439"/>
    <w:rsid w:val="00CA17F5"/>
    <w:rsid w:val="00CA2C77"/>
    <w:rsid w:val="00CA2E9B"/>
    <w:rsid w:val="00CA3EAD"/>
    <w:rsid w:val="00CA444F"/>
    <w:rsid w:val="00CA4649"/>
    <w:rsid w:val="00CA5245"/>
    <w:rsid w:val="00CA5D7A"/>
    <w:rsid w:val="00CA6544"/>
    <w:rsid w:val="00CA709E"/>
    <w:rsid w:val="00CA71F4"/>
    <w:rsid w:val="00CA77A4"/>
    <w:rsid w:val="00CA7B09"/>
    <w:rsid w:val="00CB02A1"/>
    <w:rsid w:val="00CB12A5"/>
    <w:rsid w:val="00CB1483"/>
    <w:rsid w:val="00CB1CAC"/>
    <w:rsid w:val="00CB25E7"/>
    <w:rsid w:val="00CB2A7A"/>
    <w:rsid w:val="00CB2F2A"/>
    <w:rsid w:val="00CB4319"/>
    <w:rsid w:val="00CB5B1A"/>
    <w:rsid w:val="00CB62F7"/>
    <w:rsid w:val="00CB64EE"/>
    <w:rsid w:val="00CB6B22"/>
    <w:rsid w:val="00CB7801"/>
    <w:rsid w:val="00CB7F5F"/>
    <w:rsid w:val="00CC0544"/>
    <w:rsid w:val="00CC056F"/>
    <w:rsid w:val="00CC063E"/>
    <w:rsid w:val="00CC0669"/>
    <w:rsid w:val="00CC187F"/>
    <w:rsid w:val="00CC1B39"/>
    <w:rsid w:val="00CC1B44"/>
    <w:rsid w:val="00CC1BFA"/>
    <w:rsid w:val="00CC1FF8"/>
    <w:rsid w:val="00CC273D"/>
    <w:rsid w:val="00CC278B"/>
    <w:rsid w:val="00CC28AF"/>
    <w:rsid w:val="00CC29AF"/>
    <w:rsid w:val="00CC2E9F"/>
    <w:rsid w:val="00CC3539"/>
    <w:rsid w:val="00CC35EA"/>
    <w:rsid w:val="00CC3848"/>
    <w:rsid w:val="00CC4D57"/>
    <w:rsid w:val="00CC4D59"/>
    <w:rsid w:val="00CC4DA5"/>
    <w:rsid w:val="00CC57C6"/>
    <w:rsid w:val="00CC5FFA"/>
    <w:rsid w:val="00CC6D1B"/>
    <w:rsid w:val="00CC6D5E"/>
    <w:rsid w:val="00CC6DC1"/>
    <w:rsid w:val="00CD0200"/>
    <w:rsid w:val="00CD0B95"/>
    <w:rsid w:val="00CD1536"/>
    <w:rsid w:val="00CD17C9"/>
    <w:rsid w:val="00CD1EA5"/>
    <w:rsid w:val="00CD23FB"/>
    <w:rsid w:val="00CD3070"/>
    <w:rsid w:val="00CD34B7"/>
    <w:rsid w:val="00CD39BE"/>
    <w:rsid w:val="00CD3AB4"/>
    <w:rsid w:val="00CD3F77"/>
    <w:rsid w:val="00CD6ADC"/>
    <w:rsid w:val="00CD6BE7"/>
    <w:rsid w:val="00CD6BED"/>
    <w:rsid w:val="00CD6E8C"/>
    <w:rsid w:val="00CD7193"/>
    <w:rsid w:val="00CD7C9F"/>
    <w:rsid w:val="00CE341F"/>
    <w:rsid w:val="00CE35A0"/>
    <w:rsid w:val="00CE38C8"/>
    <w:rsid w:val="00CE3B42"/>
    <w:rsid w:val="00CE4A84"/>
    <w:rsid w:val="00CE524F"/>
    <w:rsid w:val="00CE526D"/>
    <w:rsid w:val="00CE58CC"/>
    <w:rsid w:val="00CE5DC8"/>
    <w:rsid w:val="00CE6274"/>
    <w:rsid w:val="00CE6542"/>
    <w:rsid w:val="00CE67F3"/>
    <w:rsid w:val="00CE757F"/>
    <w:rsid w:val="00CE77B6"/>
    <w:rsid w:val="00CE7A5A"/>
    <w:rsid w:val="00CE7CB3"/>
    <w:rsid w:val="00CE7CE6"/>
    <w:rsid w:val="00CE7DCC"/>
    <w:rsid w:val="00CF00C7"/>
    <w:rsid w:val="00CF08D4"/>
    <w:rsid w:val="00CF1446"/>
    <w:rsid w:val="00CF178A"/>
    <w:rsid w:val="00CF2409"/>
    <w:rsid w:val="00CF2459"/>
    <w:rsid w:val="00CF2B8D"/>
    <w:rsid w:val="00CF318B"/>
    <w:rsid w:val="00CF3A1B"/>
    <w:rsid w:val="00CF3B9E"/>
    <w:rsid w:val="00CF456B"/>
    <w:rsid w:val="00CF4A7F"/>
    <w:rsid w:val="00CF5A22"/>
    <w:rsid w:val="00CF5EB7"/>
    <w:rsid w:val="00CF5FC4"/>
    <w:rsid w:val="00CF6606"/>
    <w:rsid w:val="00CF67A4"/>
    <w:rsid w:val="00CF6A0B"/>
    <w:rsid w:val="00CF7184"/>
    <w:rsid w:val="00CF7628"/>
    <w:rsid w:val="00CF7988"/>
    <w:rsid w:val="00D004BA"/>
    <w:rsid w:val="00D00634"/>
    <w:rsid w:val="00D00DD2"/>
    <w:rsid w:val="00D010ED"/>
    <w:rsid w:val="00D0125F"/>
    <w:rsid w:val="00D012A1"/>
    <w:rsid w:val="00D01B03"/>
    <w:rsid w:val="00D01F3A"/>
    <w:rsid w:val="00D0262E"/>
    <w:rsid w:val="00D02760"/>
    <w:rsid w:val="00D02988"/>
    <w:rsid w:val="00D02DC7"/>
    <w:rsid w:val="00D03100"/>
    <w:rsid w:val="00D03679"/>
    <w:rsid w:val="00D04445"/>
    <w:rsid w:val="00D04810"/>
    <w:rsid w:val="00D04999"/>
    <w:rsid w:val="00D04C63"/>
    <w:rsid w:val="00D04D5B"/>
    <w:rsid w:val="00D051B1"/>
    <w:rsid w:val="00D056F3"/>
    <w:rsid w:val="00D05D03"/>
    <w:rsid w:val="00D05E3D"/>
    <w:rsid w:val="00D06139"/>
    <w:rsid w:val="00D0619B"/>
    <w:rsid w:val="00D07BFD"/>
    <w:rsid w:val="00D10464"/>
    <w:rsid w:val="00D104E5"/>
    <w:rsid w:val="00D110BD"/>
    <w:rsid w:val="00D12B58"/>
    <w:rsid w:val="00D12F2E"/>
    <w:rsid w:val="00D13675"/>
    <w:rsid w:val="00D13863"/>
    <w:rsid w:val="00D13C8F"/>
    <w:rsid w:val="00D141E1"/>
    <w:rsid w:val="00D147AF"/>
    <w:rsid w:val="00D14A85"/>
    <w:rsid w:val="00D14EDF"/>
    <w:rsid w:val="00D15314"/>
    <w:rsid w:val="00D1570E"/>
    <w:rsid w:val="00D15927"/>
    <w:rsid w:val="00D15B48"/>
    <w:rsid w:val="00D17107"/>
    <w:rsid w:val="00D17D6C"/>
    <w:rsid w:val="00D2025B"/>
    <w:rsid w:val="00D20577"/>
    <w:rsid w:val="00D20B19"/>
    <w:rsid w:val="00D20E91"/>
    <w:rsid w:val="00D2108B"/>
    <w:rsid w:val="00D2155B"/>
    <w:rsid w:val="00D21801"/>
    <w:rsid w:val="00D21930"/>
    <w:rsid w:val="00D21BB4"/>
    <w:rsid w:val="00D21DA0"/>
    <w:rsid w:val="00D224E4"/>
    <w:rsid w:val="00D224FA"/>
    <w:rsid w:val="00D22D44"/>
    <w:rsid w:val="00D2348E"/>
    <w:rsid w:val="00D23C1C"/>
    <w:rsid w:val="00D23D11"/>
    <w:rsid w:val="00D23E65"/>
    <w:rsid w:val="00D24076"/>
    <w:rsid w:val="00D24325"/>
    <w:rsid w:val="00D244B6"/>
    <w:rsid w:val="00D2605F"/>
    <w:rsid w:val="00D2638A"/>
    <w:rsid w:val="00D2648B"/>
    <w:rsid w:val="00D2754D"/>
    <w:rsid w:val="00D2790D"/>
    <w:rsid w:val="00D27B27"/>
    <w:rsid w:val="00D30739"/>
    <w:rsid w:val="00D30D5B"/>
    <w:rsid w:val="00D3106E"/>
    <w:rsid w:val="00D312CC"/>
    <w:rsid w:val="00D31832"/>
    <w:rsid w:val="00D31E8D"/>
    <w:rsid w:val="00D329F7"/>
    <w:rsid w:val="00D33223"/>
    <w:rsid w:val="00D33BE9"/>
    <w:rsid w:val="00D33F93"/>
    <w:rsid w:val="00D3426F"/>
    <w:rsid w:val="00D3498B"/>
    <w:rsid w:val="00D3531A"/>
    <w:rsid w:val="00D357FF"/>
    <w:rsid w:val="00D358A8"/>
    <w:rsid w:val="00D35C8B"/>
    <w:rsid w:val="00D3604F"/>
    <w:rsid w:val="00D37A4E"/>
    <w:rsid w:val="00D37AEA"/>
    <w:rsid w:val="00D40590"/>
    <w:rsid w:val="00D40CF9"/>
    <w:rsid w:val="00D410E4"/>
    <w:rsid w:val="00D41601"/>
    <w:rsid w:val="00D4223D"/>
    <w:rsid w:val="00D424C7"/>
    <w:rsid w:val="00D43233"/>
    <w:rsid w:val="00D43B0A"/>
    <w:rsid w:val="00D43B2A"/>
    <w:rsid w:val="00D43BB5"/>
    <w:rsid w:val="00D43CDC"/>
    <w:rsid w:val="00D43CF1"/>
    <w:rsid w:val="00D43D01"/>
    <w:rsid w:val="00D43D83"/>
    <w:rsid w:val="00D43ECB"/>
    <w:rsid w:val="00D4402F"/>
    <w:rsid w:val="00D45D8F"/>
    <w:rsid w:val="00D466D9"/>
    <w:rsid w:val="00D46914"/>
    <w:rsid w:val="00D469B7"/>
    <w:rsid w:val="00D46FDF"/>
    <w:rsid w:val="00D47575"/>
    <w:rsid w:val="00D5116F"/>
    <w:rsid w:val="00D514F3"/>
    <w:rsid w:val="00D51623"/>
    <w:rsid w:val="00D51DB9"/>
    <w:rsid w:val="00D5243B"/>
    <w:rsid w:val="00D52C93"/>
    <w:rsid w:val="00D533EC"/>
    <w:rsid w:val="00D5364E"/>
    <w:rsid w:val="00D53CFA"/>
    <w:rsid w:val="00D54090"/>
    <w:rsid w:val="00D544AA"/>
    <w:rsid w:val="00D54B5B"/>
    <w:rsid w:val="00D54F18"/>
    <w:rsid w:val="00D55995"/>
    <w:rsid w:val="00D5605C"/>
    <w:rsid w:val="00D56A95"/>
    <w:rsid w:val="00D57F96"/>
    <w:rsid w:val="00D602A6"/>
    <w:rsid w:val="00D6076E"/>
    <w:rsid w:val="00D61B95"/>
    <w:rsid w:val="00D61C8F"/>
    <w:rsid w:val="00D629C4"/>
    <w:rsid w:val="00D62EC4"/>
    <w:rsid w:val="00D6357B"/>
    <w:rsid w:val="00D635FE"/>
    <w:rsid w:val="00D63915"/>
    <w:rsid w:val="00D64C6E"/>
    <w:rsid w:val="00D66649"/>
    <w:rsid w:val="00D66B36"/>
    <w:rsid w:val="00D67178"/>
    <w:rsid w:val="00D672FD"/>
    <w:rsid w:val="00D677A6"/>
    <w:rsid w:val="00D67CEC"/>
    <w:rsid w:val="00D67D3C"/>
    <w:rsid w:val="00D703EF"/>
    <w:rsid w:val="00D70F16"/>
    <w:rsid w:val="00D70FEB"/>
    <w:rsid w:val="00D71400"/>
    <w:rsid w:val="00D72147"/>
    <w:rsid w:val="00D72541"/>
    <w:rsid w:val="00D72617"/>
    <w:rsid w:val="00D72875"/>
    <w:rsid w:val="00D72E54"/>
    <w:rsid w:val="00D72F57"/>
    <w:rsid w:val="00D74651"/>
    <w:rsid w:val="00D753F6"/>
    <w:rsid w:val="00D7574F"/>
    <w:rsid w:val="00D75ECE"/>
    <w:rsid w:val="00D76441"/>
    <w:rsid w:val="00D76A44"/>
    <w:rsid w:val="00D77BEC"/>
    <w:rsid w:val="00D8046E"/>
    <w:rsid w:val="00D8079A"/>
    <w:rsid w:val="00D811BB"/>
    <w:rsid w:val="00D815EF"/>
    <w:rsid w:val="00D81949"/>
    <w:rsid w:val="00D81F26"/>
    <w:rsid w:val="00D822E2"/>
    <w:rsid w:val="00D8313E"/>
    <w:rsid w:val="00D8351F"/>
    <w:rsid w:val="00D8364B"/>
    <w:rsid w:val="00D83FB7"/>
    <w:rsid w:val="00D843F2"/>
    <w:rsid w:val="00D85113"/>
    <w:rsid w:val="00D859EE"/>
    <w:rsid w:val="00D85E17"/>
    <w:rsid w:val="00D86231"/>
    <w:rsid w:val="00D86D01"/>
    <w:rsid w:val="00D87417"/>
    <w:rsid w:val="00D87A26"/>
    <w:rsid w:val="00D87CF5"/>
    <w:rsid w:val="00D912AB"/>
    <w:rsid w:val="00D9173F"/>
    <w:rsid w:val="00D91923"/>
    <w:rsid w:val="00D921E1"/>
    <w:rsid w:val="00D922E5"/>
    <w:rsid w:val="00D93753"/>
    <w:rsid w:val="00D9386A"/>
    <w:rsid w:val="00D944BE"/>
    <w:rsid w:val="00D96581"/>
    <w:rsid w:val="00D96AAD"/>
    <w:rsid w:val="00D97F7B"/>
    <w:rsid w:val="00DA010F"/>
    <w:rsid w:val="00DA1465"/>
    <w:rsid w:val="00DA1DE5"/>
    <w:rsid w:val="00DA272E"/>
    <w:rsid w:val="00DA3167"/>
    <w:rsid w:val="00DA36A2"/>
    <w:rsid w:val="00DA3854"/>
    <w:rsid w:val="00DA40F3"/>
    <w:rsid w:val="00DA4DC3"/>
    <w:rsid w:val="00DA5E75"/>
    <w:rsid w:val="00DA633A"/>
    <w:rsid w:val="00DA6FD8"/>
    <w:rsid w:val="00DA77A5"/>
    <w:rsid w:val="00DA7CEE"/>
    <w:rsid w:val="00DB0020"/>
    <w:rsid w:val="00DB0370"/>
    <w:rsid w:val="00DB0985"/>
    <w:rsid w:val="00DB0E36"/>
    <w:rsid w:val="00DB111C"/>
    <w:rsid w:val="00DB137C"/>
    <w:rsid w:val="00DB140D"/>
    <w:rsid w:val="00DB18E6"/>
    <w:rsid w:val="00DB24B0"/>
    <w:rsid w:val="00DB37AC"/>
    <w:rsid w:val="00DB3BC4"/>
    <w:rsid w:val="00DB3DBF"/>
    <w:rsid w:val="00DB484F"/>
    <w:rsid w:val="00DB4FD9"/>
    <w:rsid w:val="00DB53FE"/>
    <w:rsid w:val="00DB55EE"/>
    <w:rsid w:val="00DB5B45"/>
    <w:rsid w:val="00DB6E71"/>
    <w:rsid w:val="00DB7E2C"/>
    <w:rsid w:val="00DC04F6"/>
    <w:rsid w:val="00DC0690"/>
    <w:rsid w:val="00DC0A12"/>
    <w:rsid w:val="00DC11B3"/>
    <w:rsid w:val="00DC1C53"/>
    <w:rsid w:val="00DC1CBC"/>
    <w:rsid w:val="00DC1D65"/>
    <w:rsid w:val="00DC2168"/>
    <w:rsid w:val="00DC2A01"/>
    <w:rsid w:val="00DC2C78"/>
    <w:rsid w:val="00DC2CDB"/>
    <w:rsid w:val="00DC37C1"/>
    <w:rsid w:val="00DC3C57"/>
    <w:rsid w:val="00DC5501"/>
    <w:rsid w:val="00DC5631"/>
    <w:rsid w:val="00DC5DE4"/>
    <w:rsid w:val="00DC7154"/>
    <w:rsid w:val="00DC724B"/>
    <w:rsid w:val="00DC7325"/>
    <w:rsid w:val="00DC77D6"/>
    <w:rsid w:val="00DC7883"/>
    <w:rsid w:val="00DC79A4"/>
    <w:rsid w:val="00DC7DD5"/>
    <w:rsid w:val="00DC7E8A"/>
    <w:rsid w:val="00DD0230"/>
    <w:rsid w:val="00DD06DB"/>
    <w:rsid w:val="00DD0F78"/>
    <w:rsid w:val="00DD10B0"/>
    <w:rsid w:val="00DD1B7D"/>
    <w:rsid w:val="00DD1FAD"/>
    <w:rsid w:val="00DD273C"/>
    <w:rsid w:val="00DD2C5A"/>
    <w:rsid w:val="00DD2F92"/>
    <w:rsid w:val="00DD3132"/>
    <w:rsid w:val="00DD370A"/>
    <w:rsid w:val="00DD382A"/>
    <w:rsid w:val="00DD39CB"/>
    <w:rsid w:val="00DD3D53"/>
    <w:rsid w:val="00DD3F28"/>
    <w:rsid w:val="00DD42E7"/>
    <w:rsid w:val="00DD4446"/>
    <w:rsid w:val="00DD4537"/>
    <w:rsid w:val="00DD4C6A"/>
    <w:rsid w:val="00DD4E15"/>
    <w:rsid w:val="00DD5523"/>
    <w:rsid w:val="00DD5CDB"/>
    <w:rsid w:val="00DD6194"/>
    <w:rsid w:val="00DD69CA"/>
    <w:rsid w:val="00DD742B"/>
    <w:rsid w:val="00DD749B"/>
    <w:rsid w:val="00DD77AC"/>
    <w:rsid w:val="00DD77C7"/>
    <w:rsid w:val="00DD7E96"/>
    <w:rsid w:val="00DE0324"/>
    <w:rsid w:val="00DE10E8"/>
    <w:rsid w:val="00DE2304"/>
    <w:rsid w:val="00DE2B9C"/>
    <w:rsid w:val="00DE3138"/>
    <w:rsid w:val="00DE3637"/>
    <w:rsid w:val="00DE37F8"/>
    <w:rsid w:val="00DE3EED"/>
    <w:rsid w:val="00DE4273"/>
    <w:rsid w:val="00DE43B8"/>
    <w:rsid w:val="00DE45D3"/>
    <w:rsid w:val="00DE49EF"/>
    <w:rsid w:val="00DE4FCB"/>
    <w:rsid w:val="00DE5725"/>
    <w:rsid w:val="00DE5D07"/>
    <w:rsid w:val="00DE616C"/>
    <w:rsid w:val="00DE72A7"/>
    <w:rsid w:val="00DE72EC"/>
    <w:rsid w:val="00DE7832"/>
    <w:rsid w:val="00DF01D4"/>
    <w:rsid w:val="00DF02BC"/>
    <w:rsid w:val="00DF05DF"/>
    <w:rsid w:val="00DF18FC"/>
    <w:rsid w:val="00DF2216"/>
    <w:rsid w:val="00DF3AA9"/>
    <w:rsid w:val="00DF3F04"/>
    <w:rsid w:val="00DF421C"/>
    <w:rsid w:val="00DF565E"/>
    <w:rsid w:val="00DF5802"/>
    <w:rsid w:val="00DF5D2B"/>
    <w:rsid w:val="00DF5D56"/>
    <w:rsid w:val="00DF6276"/>
    <w:rsid w:val="00DF6341"/>
    <w:rsid w:val="00DF6A1C"/>
    <w:rsid w:val="00DF6E91"/>
    <w:rsid w:val="00DF6EE0"/>
    <w:rsid w:val="00DF6F33"/>
    <w:rsid w:val="00DF6F58"/>
    <w:rsid w:val="00DF79EA"/>
    <w:rsid w:val="00DF79F1"/>
    <w:rsid w:val="00DF7B9A"/>
    <w:rsid w:val="00E00374"/>
    <w:rsid w:val="00E00A32"/>
    <w:rsid w:val="00E00E8E"/>
    <w:rsid w:val="00E0117E"/>
    <w:rsid w:val="00E01265"/>
    <w:rsid w:val="00E020EA"/>
    <w:rsid w:val="00E025A2"/>
    <w:rsid w:val="00E02980"/>
    <w:rsid w:val="00E02DA5"/>
    <w:rsid w:val="00E03186"/>
    <w:rsid w:val="00E0404C"/>
    <w:rsid w:val="00E05363"/>
    <w:rsid w:val="00E054CB"/>
    <w:rsid w:val="00E05630"/>
    <w:rsid w:val="00E05677"/>
    <w:rsid w:val="00E05F32"/>
    <w:rsid w:val="00E06324"/>
    <w:rsid w:val="00E065B9"/>
    <w:rsid w:val="00E06798"/>
    <w:rsid w:val="00E06C39"/>
    <w:rsid w:val="00E06DBB"/>
    <w:rsid w:val="00E10149"/>
    <w:rsid w:val="00E1075E"/>
    <w:rsid w:val="00E10DFB"/>
    <w:rsid w:val="00E10EC4"/>
    <w:rsid w:val="00E11340"/>
    <w:rsid w:val="00E113AB"/>
    <w:rsid w:val="00E113B9"/>
    <w:rsid w:val="00E11AE4"/>
    <w:rsid w:val="00E11B9B"/>
    <w:rsid w:val="00E11BB0"/>
    <w:rsid w:val="00E122A1"/>
    <w:rsid w:val="00E12AD2"/>
    <w:rsid w:val="00E132C5"/>
    <w:rsid w:val="00E13C89"/>
    <w:rsid w:val="00E13E34"/>
    <w:rsid w:val="00E14D12"/>
    <w:rsid w:val="00E15C58"/>
    <w:rsid w:val="00E15D75"/>
    <w:rsid w:val="00E15F22"/>
    <w:rsid w:val="00E16372"/>
    <w:rsid w:val="00E16AD8"/>
    <w:rsid w:val="00E17456"/>
    <w:rsid w:val="00E175D9"/>
    <w:rsid w:val="00E17FFA"/>
    <w:rsid w:val="00E207A8"/>
    <w:rsid w:val="00E20E4D"/>
    <w:rsid w:val="00E20ED6"/>
    <w:rsid w:val="00E21358"/>
    <w:rsid w:val="00E2244E"/>
    <w:rsid w:val="00E2249B"/>
    <w:rsid w:val="00E2281B"/>
    <w:rsid w:val="00E22A0D"/>
    <w:rsid w:val="00E22A84"/>
    <w:rsid w:val="00E22B58"/>
    <w:rsid w:val="00E2345B"/>
    <w:rsid w:val="00E238AC"/>
    <w:rsid w:val="00E23C90"/>
    <w:rsid w:val="00E23FF0"/>
    <w:rsid w:val="00E244F6"/>
    <w:rsid w:val="00E24862"/>
    <w:rsid w:val="00E24A13"/>
    <w:rsid w:val="00E24A65"/>
    <w:rsid w:val="00E24B8F"/>
    <w:rsid w:val="00E24E51"/>
    <w:rsid w:val="00E255C7"/>
    <w:rsid w:val="00E258DB"/>
    <w:rsid w:val="00E262F9"/>
    <w:rsid w:val="00E269A2"/>
    <w:rsid w:val="00E26BE4"/>
    <w:rsid w:val="00E26D25"/>
    <w:rsid w:val="00E2771E"/>
    <w:rsid w:val="00E30024"/>
    <w:rsid w:val="00E30299"/>
    <w:rsid w:val="00E303B2"/>
    <w:rsid w:val="00E308E5"/>
    <w:rsid w:val="00E31157"/>
    <w:rsid w:val="00E311EF"/>
    <w:rsid w:val="00E319C7"/>
    <w:rsid w:val="00E32180"/>
    <w:rsid w:val="00E32C6A"/>
    <w:rsid w:val="00E33F32"/>
    <w:rsid w:val="00E34948"/>
    <w:rsid w:val="00E34A32"/>
    <w:rsid w:val="00E34C8B"/>
    <w:rsid w:val="00E351BB"/>
    <w:rsid w:val="00E35D2C"/>
    <w:rsid w:val="00E35E49"/>
    <w:rsid w:val="00E36326"/>
    <w:rsid w:val="00E36963"/>
    <w:rsid w:val="00E36967"/>
    <w:rsid w:val="00E37569"/>
    <w:rsid w:val="00E3758E"/>
    <w:rsid w:val="00E37BB2"/>
    <w:rsid w:val="00E37DA5"/>
    <w:rsid w:val="00E401B2"/>
    <w:rsid w:val="00E403BC"/>
    <w:rsid w:val="00E4084D"/>
    <w:rsid w:val="00E40DB3"/>
    <w:rsid w:val="00E41AFC"/>
    <w:rsid w:val="00E41E30"/>
    <w:rsid w:val="00E42F73"/>
    <w:rsid w:val="00E43B74"/>
    <w:rsid w:val="00E43D70"/>
    <w:rsid w:val="00E43DA9"/>
    <w:rsid w:val="00E43F40"/>
    <w:rsid w:val="00E44CCC"/>
    <w:rsid w:val="00E45A0D"/>
    <w:rsid w:val="00E466F3"/>
    <w:rsid w:val="00E46EA8"/>
    <w:rsid w:val="00E4788E"/>
    <w:rsid w:val="00E47B2C"/>
    <w:rsid w:val="00E50630"/>
    <w:rsid w:val="00E508E6"/>
    <w:rsid w:val="00E51263"/>
    <w:rsid w:val="00E51560"/>
    <w:rsid w:val="00E51821"/>
    <w:rsid w:val="00E51D48"/>
    <w:rsid w:val="00E52AA0"/>
    <w:rsid w:val="00E52FBE"/>
    <w:rsid w:val="00E535E0"/>
    <w:rsid w:val="00E53FC8"/>
    <w:rsid w:val="00E54254"/>
    <w:rsid w:val="00E5426D"/>
    <w:rsid w:val="00E54347"/>
    <w:rsid w:val="00E54859"/>
    <w:rsid w:val="00E54B0F"/>
    <w:rsid w:val="00E55125"/>
    <w:rsid w:val="00E55424"/>
    <w:rsid w:val="00E55915"/>
    <w:rsid w:val="00E55BB5"/>
    <w:rsid w:val="00E5729A"/>
    <w:rsid w:val="00E57720"/>
    <w:rsid w:val="00E578B8"/>
    <w:rsid w:val="00E6115A"/>
    <w:rsid w:val="00E611DF"/>
    <w:rsid w:val="00E61FCB"/>
    <w:rsid w:val="00E62155"/>
    <w:rsid w:val="00E624FC"/>
    <w:rsid w:val="00E62A39"/>
    <w:rsid w:val="00E63060"/>
    <w:rsid w:val="00E631E0"/>
    <w:rsid w:val="00E63365"/>
    <w:rsid w:val="00E6390E"/>
    <w:rsid w:val="00E65AAF"/>
    <w:rsid w:val="00E65C45"/>
    <w:rsid w:val="00E65E75"/>
    <w:rsid w:val="00E65E79"/>
    <w:rsid w:val="00E66BA2"/>
    <w:rsid w:val="00E66D8C"/>
    <w:rsid w:val="00E66F8A"/>
    <w:rsid w:val="00E67416"/>
    <w:rsid w:val="00E678E7"/>
    <w:rsid w:val="00E67912"/>
    <w:rsid w:val="00E7032A"/>
    <w:rsid w:val="00E7062D"/>
    <w:rsid w:val="00E70658"/>
    <w:rsid w:val="00E70D85"/>
    <w:rsid w:val="00E710B9"/>
    <w:rsid w:val="00E712DB"/>
    <w:rsid w:val="00E715DE"/>
    <w:rsid w:val="00E718B6"/>
    <w:rsid w:val="00E7219F"/>
    <w:rsid w:val="00E723BA"/>
    <w:rsid w:val="00E7275B"/>
    <w:rsid w:val="00E73581"/>
    <w:rsid w:val="00E736A2"/>
    <w:rsid w:val="00E73AF5"/>
    <w:rsid w:val="00E73B23"/>
    <w:rsid w:val="00E73B37"/>
    <w:rsid w:val="00E751FA"/>
    <w:rsid w:val="00E753D8"/>
    <w:rsid w:val="00E76B4D"/>
    <w:rsid w:val="00E7722F"/>
    <w:rsid w:val="00E773FE"/>
    <w:rsid w:val="00E803D4"/>
    <w:rsid w:val="00E8110E"/>
    <w:rsid w:val="00E82A61"/>
    <w:rsid w:val="00E83240"/>
    <w:rsid w:val="00E833F7"/>
    <w:rsid w:val="00E839DA"/>
    <w:rsid w:val="00E83BD5"/>
    <w:rsid w:val="00E83BDF"/>
    <w:rsid w:val="00E84121"/>
    <w:rsid w:val="00E85D0C"/>
    <w:rsid w:val="00E8603D"/>
    <w:rsid w:val="00E86A9C"/>
    <w:rsid w:val="00E86FCC"/>
    <w:rsid w:val="00E879CD"/>
    <w:rsid w:val="00E87A1D"/>
    <w:rsid w:val="00E90012"/>
    <w:rsid w:val="00E9007B"/>
    <w:rsid w:val="00E9094A"/>
    <w:rsid w:val="00E90BFF"/>
    <w:rsid w:val="00E914FF"/>
    <w:rsid w:val="00E9181B"/>
    <w:rsid w:val="00E91D35"/>
    <w:rsid w:val="00E923D1"/>
    <w:rsid w:val="00E926A5"/>
    <w:rsid w:val="00E928D8"/>
    <w:rsid w:val="00E92AB9"/>
    <w:rsid w:val="00E92B13"/>
    <w:rsid w:val="00E92E03"/>
    <w:rsid w:val="00E92F87"/>
    <w:rsid w:val="00E94180"/>
    <w:rsid w:val="00E94A90"/>
    <w:rsid w:val="00E94CA7"/>
    <w:rsid w:val="00E94CA8"/>
    <w:rsid w:val="00E94E1A"/>
    <w:rsid w:val="00E94EFD"/>
    <w:rsid w:val="00E95FA6"/>
    <w:rsid w:val="00E962CC"/>
    <w:rsid w:val="00E96AB3"/>
    <w:rsid w:val="00E97149"/>
    <w:rsid w:val="00E97387"/>
    <w:rsid w:val="00E97927"/>
    <w:rsid w:val="00EA0D7F"/>
    <w:rsid w:val="00EA1730"/>
    <w:rsid w:val="00EA17C3"/>
    <w:rsid w:val="00EA1924"/>
    <w:rsid w:val="00EA1977"/>
    <w:rsid w:val="00EA19A4"/>
    <w:rsid w:val="00EA2198"/>
    <w:rsid w:val="00EA2CAA"/>
    <w:rsid w:val="00EA3078"/>
    <w:rsid w:val="00EA3675"/>
    <w:rsid w:val="00EA3864"/>
    <w:rsid w:val="00EA3EDF"/>
    <w:rsid w:val="00EA42BA"/>
    <w:rsid w:val="00EA5169"/>
    <w:rsid w:val="00EA5876"/>
    <w:rsid w:val="00EA6017"/>
    <w:rsid w:val="00EA6626"/>
    <w:rsid w:val="00EA69AF"/>
    <w:rsid w:val="00EA7403"/>
    <w:rsid w:val="00EA7F1C"/>
    <w:rsid w:val="00EB0056"/>
    <w:rsid w:val="00EB10F9"/>
    <w:rsid w:val="00EB15B6"/>
    <w:rsid w:val="00EB2569"/>
    <w:rsid w:val="00EB290C"/>
    <w:rsid w:val="00EB31CC"/>
    <w:rsid w:val="00EB3756"/>
    <w:rsid w:val="00EB3D06"/>
    <w:rsid w:val="00EB4916"/>
    <w:rsid w:val="00EB4F89"/>
    <w:rsid w:val="00EB5614"/>
    <w:rsid w:val="00EB56C9"/>
    <w:rsid w:val="00EB650E"/>
    <w:rsid w:val="00EB6AC8"/>
    <w:rsid w:val="00EB79FF"/>
    <w:rsid w:val="00EC00C9"/>
    <w:rsid w:val="00EC0106"/>
    <w:rsid w:val="00EC0DD9"/>
    <w:rsid w:val="00EC1385"/>
    <w:rsid w:val="00EC1C32"/>
    <w:rsid w:val="00EC1EC8"/>
    <w:rsid w:val="00EC21C9"/>
    <w:rsid w:val="00EC223C"/>
    <w:rsid w:val="00EC234A"/>
    <w:rsid w:val="00EC2649"/>
    <w:rsid w:val="00EC31ED"/>
    <w:rsid w:val="00EC3354"/>
    <w:rsid w:val="00EC37B6"/>
    <w:rsid w:val="00EC4222"/>
    <w:rsid w:val="00EC4714"/>
    <w:rsid w:val="00EC4CBF"/>
    <w:rsid w:val="00EC57B7"/>
    <w:rsid w:val="00EC5836"/>
    <w:rsid w:val="00EC5A75"/>
    <w:rsid w:val="00EC6723"/>
    <w:rsid w:val="00EC688C"/>
    <w:rsid w:val="00EC73C5"/>
    <w:rsid w:val="00EC7F8D"/>
    <w:rsid w:val="00EC7FEF"/>
    <w:rsid w:val="00ED0592"/>
    <w:rsid w:val="00ED0A2B"/>
    <w:rsid w:val="00ED0F04"/>
    <w:rsid w:val="00ED12E3"/>
    <w:rsid w:val="00ED166C"/>
    <w:rsid w:val="00ED2E2F"/>
    <w:rsid w:val="00ED358E"/>
    <w:rsid w:val="00ED4B04"/>
    <w:rsid w:val="00ED57EA"/>
    <w:rsid w:val="00ED5BD4"/>
    <w:rsid w:val="00ED5D32"/>
    <w:rsid w:val="00ED62C2"/>
    <w:rsid w:val="00ED6557"/>
    <w:rsid w:val="00ED66ED"/>
    <w:rsid w:val="00ED6D8C"/>
    <w:rsid w:val="00ED7910"/>
    <w:rsid w:val="00ED7CDD"/>
    <w:rsid w:val="00EE0759"/>
    <w:rsid w:val="00EE07D3"/>
    <w:rsid w:val="00EE16E0"/>
    <w:rsid w:val="00EE1889"/>
    <w:rsid w:val="00EE18BC"/>
    <w:rsid w:val="00EE1996"/>
    <w:rsid w:val="00EE1C01"/>
    <w:rsid w:val="00EE22AF"/>
    <w:rsid w:val="00EE26AC"/>
    <w:rsid w:val="00EE2904"/>
    <w:rsid w:val="00EE29DC"/>
    <w:rsid w:val="00EE32BB"/>
    <w:rsid w:val="00EE3442"/>
    <w:rsid w:val="00EE3552"/>
    <w:rsid w:val="00EE3DFE"/>
    <w:rsid w:val="00EE4C95"/>
    <w:rsid w:val="00EE4F46"/>
    <w:rsid w:val="00EE5CED"/>
    <w:rsid w:val="00EE61FB"/>
    <w:rsid w:val="00EE64EA"/>
    <w:rsid w:val="00EE67D9"/>
    <w:rsid w:val="00EE6A32"/>
    <w:rsid w:val="00EE6A58"/>
    <w:rsid w:val="00EE70B9"/>
    <w:rsid w:val="00EF0171"/>
    <w:rsid w:val="00EF0248"/>
    <w:rsid w:val="00EF07F7"/>
    <w:rsid w:val="00EF09CB"/>
    <w:rsid w:val="00EF1B25"/>
    <w:rsid w:val="00EF1DA0"/>
    <w:rsid w:val="00EF2973"/>
    <w:rsid w:val="00EF2F58"/>
    <w:rsid w:val="00EF37A6"/>
    <w:rsid w:val="00EF38DB"/>
    <w:rsid w:val="00EF3B32"/>
    <w:rsid w:val="00EF4747"/>
    <w:rsid w:val="00EF4BF8"/>
    <w:rsid w:val="00EF4FB7"/>
    <w:rsid w:val="00EF52BD"/>
    <w:rsid w:val="00EF5B65"/>
    <w:rsid w:val="00EF689C"/>
    <w:rsid w:val="00EF6E80"/>
    <w:rsid w:val="00EF7C5E"/>
    <w:rsid w:val="00F00284"/>
    <w:rsid w:val="00F00F71"/>
    <w:rsid w:val="00F011AC"/>
    <w:rsid w:val="00F01E0E"/>
    <w:rsid w:val="00F02253"/>
    <w:rsid w:val="00F022BE"/>
    <w:rsid w:val="00F026F9"/>
    <w:rsid w:val="00F027D8"/>
    <w:rsid w:val="00F02D12"/>
    <w:rsid w:val="00F03780"/>
    <w:rsid w:val="00F038E7"/>
    <w:rsid w:val="00F03C2E"/>
    <w:rsid w:val="00F03E1C"/>
    <w:rsid w:val="00F0429A"/>
    <w:rsid w:val="00F0464C"/>
    <w:rsid w:val="00F04A66"/>
    <w:rsid w:val="00F04B4B"/>
    <w:rsid w:val="00F04F5E"/>
    <w:rsid w:val="00F0516C"/>
    <w:rsid w:val="00F05795"/>
    <w:rsid w:val="00F05842"/>
    <w:rsid w:val="00F05FAF"/>
    <w:rsid w:val="00F063C7"/>
    <w:rsid w:val="00F067A2"/>
    <w:rsid w:val="00F069DA"/>
    <w:rsid w:val="00F06B90"/>
    <w:rsid w:val="00F07165"/>
    <w:rsid w:val="00F07B9E"/>
    <w:rsid w:val="00F07BDA"/>
    <w:rsid w:val="00F07E48"/>
    <w:rsid w:val="00F10023"/>
    <w:rsid w:val="00F103F8"/>
    <w:rsid w:val="00F10989"/>
    <w:rsid w:val="00F1116F"/>
    <w:rsid w:val="00F117DF"/>
    <w:rsid w:val="00F1181A"/>
    <w:rsid w:val="00F1255B"/>
    <w:rsid w:val="00F12588"/>
    <w:rsid w:val="00F1263A"/>
    <w:rsid w:val="00F134DC"/>
    <w:rsid w:val="00F139C5"/>
    <w:rsid w:val="00F14444"/>
    <w:rsid w:val="00F14B60"/>
    <w:rsid w:val="00F14EDD"/>
    <w:rsid w:val="00F154E2"/>
    <w:rsid w:val="00F15B77"/>
    <w:rsid w:val="00F15F83"/>
    <w:rsid w:val="00F1636D"/>
    <w:rsid w:val="00F167E7"/>
    <w:rsid w:val="00F17112"/>
    <w:rsid w:val="00F1787D"/>
    <w:rsid w:val="00F20051"/>
    <w:rsid w:val="00F20C41"/>
    <w:rsid w:val="00F21236"/>
    <w:rsid w:val="00F227B3"/>
    <w:rsid w:val="00F239DF"/>
    <w:rsid w:val="00F24837"/>
    <w:rsid w:val="00F249AC"/>
    <w:rsid w:val="00F24DC8"/>
    <w:rsid w:val="00F24EDF"/>
    <w:rsid w:val="00F24FE3"/>
    <w:rsid w:val="00F256AA"/>
    <w:rsid w:val="00F2574F"/>
    <w:rsid w:val="00F2575F"/>
    <w:rsid w:val="00F2592A"/>
    <w:rsid w:val="00F26169"/>
    <w:rsid w:val="00F264CE"/>
    <w:rsid w:val="00F268F9"/>
    <w:rsid w:val="00F269A4"/>
    <w:rsid w:val="00F26B63"/>
    <w:rsid w:val="00F26DE9"/>
    <w:rsid w:val="00F27565"/>
    <w:rsid w:val="00F27C43"/>
    <w:rsid w:val="00F27D0B"/>
    <w:rsid w:val="00F30543"/>
    <w:rsid w:val="00F30724"/>
    <w:rsid w:val="00F30CFC"/>
    <w:rsid w:val="00F310D4"/>
    <w:rsid w:val="00F31D5A"/>
    <w:rsid w:val="00F320DD"/>
    <w:rsid w:val="00F32F84"/>
    <w:rsid w:val="00F33290"/>
    <w:rsid w:val="00F33975"/>
    <w:rsid w:val="00F33DE9"/>
    <w:rsid w:val="00F3481B"/>
    <w:rsid w:val="00F356BE"/>
    <w:rsid w:val="00F35E6D"/>
    <w:rsid w:val="00F3602B"/>
    <w:rsid w:val="00F3619A"/>
    <w:rsid w:val="00F37B90"/>
    <w:rsid w:val="00F4083A"/>
    <w:rsid w:val="00F40AAA"/>
    <w:rsid w:val="00F40AC5"/>
    <w:rsid w:val="00F40BA7"/>
    <w:rsid w:val="00F40F9D"/>
    <w:rsid w:val="00F41A7E"/>
    <w:rsid w:val="00F41ACD"/>
    <w:rsid w:val="00F42556"/>
    <w:rsid w:val="00F42572"/>
    <w:rsid w:val="00F444B7"/>
    <w:rsid w:val="00F4463A"/>
    <w:rsid w:val="00F44956"/>
    <w:rsid w:val="00F44A1C"/>
    <w:rsid w:val="00F44F0C"/>
    <w:rsid w:val="00F4532A"/>
    <w:rsid w:val="00F45BF1"/>
    <w:rsid w:val="00F46CB6"/>
    <w:rsid w:val="00F4756D"/>
    <w:rsid w:val="00F47DE8"/>
    <w:rsid w:val="00F512CF"/>
    <w:rsid w:val="00F5143C"/>
    <w:rsid w:val="00F51DF1"/>
    <w:rsid w:val="00F5330A"/>
    <w:rsid w:val="00F53310"/>
    <w:rsid w:val="00F53EAC"/>
    <w:rsid w:val="00F542C1"/>
    <w:rsid w:val="00F54334"/>
    <w:rsid w:val="00F54448"/>
    <w:rsid w:val="00F5467B"/>
    <w:rsid w:val="00F550E3"/>
    <w:rsid w:val="00F558D3"/>
    <w:rsid w:val="00F55AC2"/>
    <w:rsid w:val="00F55B00"/>
    <w:rsid w:val="00F55C93"/>
    <w:rsid w:val="00F55E73"/>
    <w:rsid w:val="00F55EDA"/>
    <w:rsid w:val="00F56385"/>
    <w:rsid w:val="00F566C0"/>
    <w:rsid w:val="00F56AD1"/>
    <w:rsid w:val="00F56C80"/>
    <w:rsid w:val="00F60092"/>
    <w:rsid w:val="00F600D3"/>
    <w:rsid w:val="00F600EA"/>
    <w:rsid w:val="00F6069D"/>
    <w:rsid w:val="00F61C18"/>
    <w:rsid w:val="00F62500"/>
    <w:rsid w:val="00F6285E"/>
    <w:rsid w:val="00F635FD"/>
    <w:rsid w:val="00F63D27"/>
    <w:rsid w:val="00F64203"/>
    <w:rsid w:val="00F6479B"/>
    <w:rsid w:val="00F65D98"/>
    <w:rsid w:val="00F65F4B"/>
    <w:rsid w:val="00F665DA"/>
    <w:rsid w:val="00F666A9"/>
    <w:rsid w:val="00F668BD"/>
    <w:rsid w:val="00F67A69"/>
    <w:rsid w:val="00F70151"/>
    <w:rsid w:val="00F70464"/>
    <w:rsid w:val="00F70A47"/>
    <w:rsid w:val="00F70BFF"/>
    <w:rsid w:val="00F70C8F"/>
    <w:rsid w:val="00F70C9D"/>
    <w:rsid w:val="00F70F20"/>
    <w:rsid w:val="00F71532"/>
    <w:rsid w:val="00F7168D"/>
    <w:rsid w:val="00F72441"/>
    <w:rsid w:val="00F72691"/>
    <w:rsid w:val="00F72B6E"/>
    <w:rsid w:val="00F7319F"/>
    <w:rsid w:val="00F733DB"/>
    <w:rsid w:val="00F733EF"/>
    <w:rsid w:val="00F73786"/>
    <w:rsid w:val="00F73E08"/>
    <w:rsid w:val="00F7454E"/>
    <w:rsid w:val="00F74CB4"/>
    <w:rsid w:val="00F74CD9"/>
    <w:rsid w:val="00F74DD2"/>
    <w:rsid w:val="00F75E61"/>
    <w:rsid w:val="00F75FD4"/>
    <w:rsid w:val="00F76085"/>
    <w:rsid w:val="00F7617E"/>
    <w:rsid w:val="00F7787D"/>
    <w:rsid w:val="00F80464"/>
    <w:rsid w:val="00F805F5"/>
    <w:rsid w:val="00F80A7B"/>
    <w:rsid w:val="00F80E5D"/>
    <w:rsid w:val="00F81E78"/>
    <w:rsid w:val="00F81F0B"/>
    <w:rsid w:val="00F8229F"/>
    <w:rsid w:val="00F825AC"/>
    <w:rsid w:val="00F82B8D"/>
    <w:rsid w:val="00F83916"/>
    <w:rsid w:val="00F83E2A"/>
    <w:rsid w:val="00F84180"/>
    <w:rsid w:val="00F851CE"/>
    <w:rsid w:val="00F85E0B"/>
    <w:rsid w:val="00F86908"/>
    <w:rsid w:val="00F86E33"/>
    <w:rsid w:val="00F86FDB"/>
    <w:rsid w:val="00F87CD0"/>
    <w:rsid w:val="00F91219"/>
    <w:rsid w:val="00F91D53"/>
    <w:rsid w:val="00F92444"/>
    <w:rsid w:val="00F925D7"/>
    <w:rsid w:val="00F933D4"/>
    <w:rsid w:val="00F9393E"/>
    <w:rsid w:val="00F939D4"/>
    <w:rsid w:val="00F939F0"/>
    <w:rsid w:val="00F93AA8"/>
    <w:rsid w:val="00F93CB9"/>
    <w:rsid w:val="00F941CB"/>
    <w:rsid w:val="00F94326"/>
    <w:rsid w:val="00F94368"/>
    <w:rsid w:val="00F953F1"/>
    <w:rsid w:val="00F9583F"/>
    <w:rsid w:val="00F95908"/>
    <w:rsid w:val="00F965E5"/>
    <w:rsid w:val="00F96980"/>
    <w:rsid w:val="00F96DB8"/>
    <w:rsid w:val="00F96FD0"/>
    <w:rsid w:val="00F97621"/>
    <w:rsid w:val="00F97A78"/>
    <w:rsid w:val="00F97B62"/>
    <w:rsid w:val="00FA0AF4"/>
    <w:rsid w:val="00FA0B20"/>
    <w:rsid w:val="00FA140B"/>
    <w:rsid w:val="00FA246C"/>
    <w:rsid w:val="00FA24E7"/>
    <w:rsid w:val="00FA2E63"/>
    <w:rsid w:val="00FA2EFF"/>
    <w:rsid w:val="00FA3ABF"/>
    <w:rsid w:val="00FA3C47"/>
    <w:rsid w:val="00FA427F"/>
    <w:rsid w:val="00FA4563"/>
    <w:rsid w:val="00FA45DF"/>
    <w:rsid w:val="00FA499E"/>
    <w:rsid w:val="00FA52C9"/>
    <w:rsid w:val="00FA5EE6"/>
    <w:rsid w:val="00FA6DBE"/>
    <w:rsid w:val="00FA7956"/>
    <w:rsid w:val="00FB01E8"/>
    <w:rsid w:val="00FB023E"/>
    <w:rsid w:val="00FB0824"/>
    <w:rsid w:val="00FB0FDA"/>
    <w:rsid w:val="00FB11FF"/>
    <w:rsid w:val="00FB190B"/>
    <w:rsid w:val="00FB2A7F"/>
    <w:rsid w:val="00FB2FCB"/>
    <w:rsid w:val="00FB2FFE"/>
    <w:rsid w:val="00FB495C"/>
    <w:rsid w:val="00FB4B34"/>
    <w:rsid w:val="00FB4C9C"/>
    <w:rsid w:val="00FB4CE8"/>
    <w:rsid w:val="00FB4D6A"/>
    <w:rsid w:val="00FB4EFF"/>
    <w:rsid w:val="00FB4F0A"/>
    <w:rsid w:val="00FB53FF"/>
    <w:rsid w:val="00FB6B22"/>
    <w:rsid w:val="00FB6F8C"/>
    <w:rsid w:val="00FB71EB"/>
    <w:rsid w:val="00FB73F0"/>
    <w:rsid w:val="00FB7C55"/>
    <w:rsid w:val="00FC03CD"/>
    <w:rsid w:val="00FC044A"/>
    <w:rsid w:val="00FC067A"/>
    <w:rsid w:val="00FC0758"/>
    <w:rsid w:val="00FC1074"/>
    <w:rsid w:val="00FC123A"/>
    <w:rsid w:val="00FC1340"/>
    <w:rsid w:val="00FC1884"/>
    <w:rsid w:val="00FC371D"/>
    <w:rsid w:val="00FC3A26"/>
    <w:rsid w:val="00FC3CEA"/>
    <w:rsid w:val="00FC40FA"/>
    <w:rsid w:val="00FC4D85"/>
    <w:rsid w:val="00FC4F6E"/>
    <w:rsid w:val="00FC5AEE"/>
    <w:rsid w:val="00FC5B3C"/>
    <w:rsid w:val="00FC5F0B"/>
    <w:rsid w:val="00FC64F9"/>
    <w:rsid w:val="00FC70BA"/>
    <w:rsid w:val="00FC71F4"/>
    <w:rsid w:val="00FC7427"/>
    <w:rsid w:val="00FC7483"/>
    <w:rsid w:val="00FC77B1"/>
    <w:rsid w:val="00FC7EA2"/>
    <w:rsid w:val="00FD09AC"/>
    <w:rsid w:val="00FD1A5A"/>
    <w:rsid w:val="00FD1EA8"/>
    <w:rsid w:val="00FD2100"/>
    <w:rsid w:val="00FD2D0B"/>
    <w:rsid w:val="00FD38D7"/>
    <w:rsid w:val="00FD3B84"/>
    <w:rsid w:val="00FD436C"/>
    <w:rsid w:val="00FD446D"/>
    <w:rsid w:val="00FD4649"/>
    <w:rsid w:val="00FD4C99"/>
    <w:rsid w:val="00FD4ED6"/>
    <w:rsid w:val="00FD4F2C"/>
    <w:rsid w:val="00FD52E1"/>
    <w:rsid w:val="00FD554A"/>
    <w:rsid w:val="00FD5D62"/>
    <w:rsid w:val="00FD5FB1"/>
    <w:rsid w:val="00FD6394"/>
    <w:rsid w:val="00FD6F93"/>
    <w:rsid w:val="00FD6FC3"/>
    <w:rsid w:val="00FD76D5"/>
    <w:rsid w:val="00FE061D"/>
    <w:rsid w:val="00FE0DD1"/>
    <w:rsid w:val="00FE0E6C"/>
    <w:rsid w:val="00FE1386"/>
    <w:rsid w:val="00FE195B"/>
    <w:rsid w:val="00FE1BBB"/>
    <w:rsid w:val="00FE1CDC"/>
    <w:rsid w:val="00FE21E8"/>
    <w:rsid w:val="00FE2620"/>
    <w:rsid w:val="00FE2E44"/>
    <w:rsid w:val="00FE3485"/>
    <w:rsid w:val="00FE37AD"/>
    <w:rsid w:val="00FE3B5A"/>
    <w:rsid w:val="00FE3C43"/>
    <w:rsid w:val="00FE5890"/>
    <w:rsid w:val="00FE5C2D"/>
    <w:rsid w:val="00FE6928"/>
    <w:rsid w:val="00FE6B1E"/>
    <w:rsid w:val="00FE70C3"/>
    <w:rsid w:val="00FE72C7"/>
    <w:rsid w:val="00FF03B4"/>
    <w:rsid w:val="00FF0573"/>
    <w:rsid w:val="00FF0BEB"/>
    <w:rsid w:val="00FF1A8B"/>
    <w:rsid w:val="00FF1F17"/>
    <w:rsid w:val="00FF2338"/>
    <w:rsid w:val="00FF2725"/>
    <w:rsid w:val="00FF2AD9"/>
    <w:rsid w:val="00FF34FC"/>
    <w:rsid w:val="00FF359F"/>
    <w:rsid w:val="00FF3A92"/>
    <w:rsid w:val="00FF3DCF"/>
    <w:rsid w:val="00FF3F0A"/>
    <w:rsid w:val="00FF40A8"/>
    <w:rsid w:val="00FF447C"/>
    <w:rsid w:val="00FF492C"/>
    <w:rsid w:val="00FF4A21"/>
    <w:rsid w:val="00FF5477"/>
    <w:rsid w:val="00FF5818"/>
    <w:rsid w:val="00FF5AA3"/>
    <w:rsid w:val="00FF5AD8"/>
    <w:rsid w:val="00FF5B6E"/>
    <w:rsid w:val="00FF5E48"/>
    <w:rsid w:val="00FF6316"/>
    <w:rsid w:val="00FF689D"/>
    <w:rsid w:val="00FF7441"/>
    <w:rsid w:val="00FF7745"/>
    <w:rsid w:val="00FF7AC8"/>
    <w:rsid w:val="00FF7B2A"/>
    <w:rsid w:val="01881067"/>
    <w:rsid w:val="019C8FAE"/>
    <w:rsid w:val="01C3F6F9"/>
    <w:rsid w:val="046781F8"/>
    <w:rsid w:val="04BA89B5"/>
    <w:rsid w:val="071B0217"/>
    <w:rsid w:val="073CF801"/>
    <w:rsid w:val="07D5037B"/>
    <w:rsid w:val="07D937DC"/>
    <w:rsid w:val="08463C25"/>
    <w:rsid w:val="0AA6EF81"/>
    <w:rsid w:val="0B1ED3A4"/>
    <w:rsid w:val="0BE33284"/>
    <w:rsid w:val="0C9B48A5"/>
    <w:rsid w:val="0E41B60C"/>
    <w:rsid w:val="0F25AA61"/>
    <w:rsid w:val="0F914B42"/>
    <w:rsid w:val="1381105F"/>
    <w:rsid w:val="1411099B"/>
    <w:rsid w:val="14AC8C8B"/>
    <w:rsid w:val="16225743"/>
    <w:rsid w:val="181CFF45"/>
    <w:rsid w:val="186BB908"/>
    <w:rsid w:val="18EC31D2"/>
    <w:rsid w:val="19620064"/>
    <w:rsid w:val="1A44A22B"/>
    <w:rsid w:val="1AA170FE"/>
    <w:rsid w:val="1B053FC2"/>
    <w:rsid w:val="1C655D9D"/>
    <w:rsid w:val="1ECC250C"/>
    <w:rsid w:val="1F50BD46"/>
    <w:rsid w:val="1F52014C"/>
    <w:rsid w:val="1FE2CAB6"/>
    <w:rsid w:val="2038382B"/>
    <w:rsid w:val="2053014D"/>
    <w:rsid w:val="20CCDF95"/>
    <w:rsid w:val="20F76A11"/>
    <w:rsid w:val="22634C4E"/>
    <w:rsid w:val="23932153"/>
    <w:rsid w:val="24C94FE8"/>
    <w:rsid w:val="25E3C56E"/>
    <w:rsid w:val="25EB3C8C"/>
    <w:rsid w:val="262DAB0D"/>
    <w:rsid w:val="26890145"/>
    <w:rsid w:val="277AD89E"/>
    <w:rsid w:val="28D0A1ED"/>
    <w:rsid w:val="2905D6D7"/>
    <w:rsid w:val="29B726B2"/>
    <w:rsid w:val="2C356253"/>
    <w:rsid w:val="2F5DE28C"/>
    <w:rsid w:val="2FDB345D"/>
    <w:rsid w:val="31CDB96C"/>
    <w:rsid w:val="3228C4F2"/>
    <w:rsid w:val="3261A170"/>
    <w:rsid w:val="32D171BA"/>
    <w:rsid w:val="32FE8600"/>
    <w:rsid w:val="3333A2DE"/>
    <w:rsid w:val="3372A580"/>
    <w:rsid w:val="3435C014"/>
    <w:rsid w:val="348CEC2E"/>
    <w:rsid w:val="357DCE83"/>
    <w:rsid w:val="38DDDE65"/>
    <w:rsid w:val="399A6694"/>
    <w:rsid w:val="39A8C77E"/>
    <w:rsid w:val="39B226FB"/>
    <w:rsid w:val="3B3D77ED"/>
    <w:rsid w:val="3B6D73B4"/>
    <w:rsid w:val="3D0A073E"/>
    <w:rsid w:val="3ECCD2F8"/>
    <w:rsid w:val="401258B7"/>
    <w:rsid w:val="40194109"/>
    <w:rsid w:val="404B457C"/>
    <w:rsid w:val="40E78A5F"/>
    <w:rsid w:val="41FF302E"/>
    <w:rsid w:val="431C15AF"/>
    <w:rsid w:val="43E3042C"/>
    <w:rsid w:val="4584AFB4"/>
    <w:rsid w:val="45B687A8"/>
    <w:rsid w:val="478AD9D1"/>
    <w:rsid w:val="4880B3EC"/>
    <w:rsid w:val="48906632"/>
    <w:rsid w:val="48B2E3E2"/>
    <w:rsid w:val="48C1F9FA"/>
    <w:rsid w:val="48F7D261"/>
    <w:rsid w:val="4941A332"/>
    <w:rsid w:val="4BAFD02D"/>
    <w:rsid w:val="4CA2E235"/>
    <w:rsid w:val="4CDFF976"/>
    <w:rsid w:val="4E8CFB88"/>
    <w:rsid w:val="4ED73112"/>
    <w:rsid w:val="4F3EE986"/>
    <w:rsid w:val="5196103D"/>
    <w:rsid w:val="53B94FF6"/>
    <w:rsid w:val="55EC8905"/>
    <w:rsid w:val="5719B33F"/>
    <w:rsid w:val="5AB12AD0"/>
    <w:rsid w:val="5C3EF6D3"/>
    <w:rsid w:val="5CACC4A5"/>
    <w:rsid w:val="5D8707A3"/>
    <w:rsid w:val="5E727E56"/>
    <w:rsid w:val="5F46873A"/>
    <w:rsid w:val="5F7508DF"/>
    <w:rsid w:val="5FC0D9C8"/>
    <w:rsid w:val="5FFE6484"/>
    <w:rsid w:val="63777047"/>
    <w:rsid w:val="639845FB"/>
    <w:rsid w:val="63CAA6B7"/>
    <w:rsid w:val="64C01B12"/>
    <w:rsid w:val="656140C9"/>
    <w:rsid w:val="6646507A"/>
    <w:rsid w:val="667422E6"/>
    <w:rsid w:val="668EBA07"/>
    <w:rsid w:val="6697D048"/>
    <w:rsid w:val="6812B740"/>
    <w:rsid w:val="68393176"/>
    <w:rsid w:val="6A93DC83"/>
    <w:rsid w:val="6B4B48FB"/>
    <w:rsid w:val="6DE61D70"/>
    <w:rsid w:val="6E58A959"/>
    <w:rsid w:val="6EB55BC6"/>
    <w:rsid w:val="703644F2"/>
    <w:rsid w:val="719BDC0A"/>
    <w:rsid w:val="727AE279"/>
    <w:rsid w:val="735BF1F9"/>
    <w:rsid w:val="74282F9C"/>
    <w:rsid w:val="748DBEB5"/>
    <w:rsid w:val="7544E48E"/>
    <w:rsid w:val="763BEFD9"/>
    <w:rsid w:val="768D59FF"/>
    <w:rsid w:val="7736A5F8"/>
    <w:rsid w:val="77BADF49"/>
    <w:rsid w:val="7A18E0A7"/>
    <w:rsid w:val="7AF4FFD2"/>
    <w:rsid w:val="7B3102B6"/>
    <w:rsid w:val="7CAC265E"/>
    <w:rsid w:val="7D706AB0"/>
    <w:rsid w:val="7E0D7A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65A"/>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ulletPoints,Bullet point,List Paragraph1,List Paragraph11,Recommendation,Section heading,Numbered para,ES Paragraph,PBAC ES Paragraph,PBAC normal points,Bullet List,L,Bullet Point,Bulletr List Paragraph,Content descriptions,Footer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ulletPoints Char,Bullet point Char,List Paragraph1 Char,List Paragraph11 Char,Recommendation Char,Section heading Char,Numbered para Char,ES Paragraph Char,PBAC ES Paragraph Char,PBAC normal points Char,Bullet List Char,L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Lash Style Table,PBAC table,new style,MSD Table Grid,HTAtableplain,Tabellengitternetz 9p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797CD1"/>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97CD1"/>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11"/>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E255C7"/>
    <w:pPr>
      <w:numPr>
        <w:ilvl w:val="1"/>
        <w:numId w:val="11"/>
      </w:numPr>
    </w:pPr>
    <w:rPr>
      <w:color w:val="000000" w:themeColor="text1"/>
    </w:rPr>
  </w:style>
  <w:style w:type="character" w:customStyle="1" w:styleId="COMexecsumnumberedparaChar">
    <w:name w:val="COM exec sum numbered para Char"/>
    <w:basedOn w:val="ListParagraphChar"/>
    <w:link w:val="COMexecsumnumberedpara"/>
    <w:rsid w:val="00E255C7"/>
    <w:rPr>
      <w:rFonts w:asciiTheme="minorHAnsi" w:hAnsiTheme="minorHAnsi" w:cs="Arial"/>
      <w:snapToGrid w:val="0"/>
      <w:color w:val="000000" w:themeColor="text1"/>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paragraph" w:customStyle="1" w:styleId="paragraph">
    <w:name w:val="paragraph"/>
    <w:basedOn w:val="Normal"/>
    <w:rsid w:val="00C57B98"/>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C57B98"/>
  </w:style>
  <w:style w:type="character" w:customStyle="1" w:styleId="eop">
    <w:name w:val="eop"/>
    <w:basedOn w:val="DefaultParagraphFont"/>
    <w:rsid w:val="00C57B98"/>
  </w:style>
  <w:style w:type="character" w:styleId="CommentReference">
    <w:name w:val="annotation reference"/>
    <w:aliases w:val="Table Title,-H18,Annotationmark"/>
    <w:basedOn w:val="DefaultParagraphFont"/>
    <w:uiPriority w:val="99"/>
    <w:unhideWhenUsed/>
    <w:qFormat/>
    <w:rsid w:val="00F6285E"/>
    <w:rPr>
      <w:sz w:val="16"/>
      <w:szCs w:val="16"/>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iPriority w:val="99"/>
    <w:unhideWhenUsed/>
    <w:qFormat/>
    <w:rsid w:val="00F6285E"/>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6285E"/>
    <w:rPr>
      <w:rFonts w:ascii="Calibri" w:hAnsi="Calibri" w:cs="Arial"/>
    </w:rPr>
  </w:style>
  <w:style w:type="paragraph" w:styleId="CommentSubject">
    <w:name w:val="annotation subject"/>
    <w:basedOn w:val="CommentText"/>
    <w:next w:val="CommentText"/>
    <w:link w:val="CommentSubjectChar"/>
    <w:semiHidden/>
    <w:unhideWhenUsed/>
    <w:rsid w:val="00F6285E"/>
    <w:rPr>
      <w:b/>
      <w:bCs/>
    </w:rPr>
  </w:style>
  <w:style w:type="character" w:customStyle="1" w:styleId="CommentSubjectChar">
    <w:name w:val="Comment Subject Char"/>
    <w:basedOn w:val="CommentTextChar"/>
    <w:link w:val="CommentSubject"/>
    <w:semiHidden/>
    <w:rsid w:val="00F6285E"/>
    <w:rPr>
      <w:rFonts w:ascii="Calibri" w:hAnsi="Calibri" w:cs="Arial"/>
      <w:b/>
      <w:bCs/>
    </w:rPr>
  </w:style>
  <w:style w:type="paragraph" w:customStyle="1" w:styleId="headinganchor">
    <w:name w:val="headinganchor"/>
    <w:basedOn w:val="Normal"/>
    <w:rsid w:val="00F6285E"/>
    <w:pPr>
      <w:spacing w:before="100" w:beforeAutospacing="1" w:after="100" w:afterAutospacing="1"/>
      <w:jc w:val="left"/>
    </w:pPr>
    <w:rPr>
      <w:rFonts w:ascii="Times New Roman" w:hAnsi="Times New Roman" w:cs="Times New Roman"/>
    </w:rPr>
  </w:style>
  <w:style w:type="character" w:customStyle="1" w:styleId="h2">
    <w:name w:val="h2"/>
    <w:basedOn w:val="DefaultParagraphFont"/>
    <w:rsid w:val="00F6285E"/>
  </w:style>
  <w:style w:type="paragraph" w:styleId="NormalWeb">
    <w:name w:val="Normal (Web)"/>
    <w:basedOn w:val="Normal"/>
    <w:uiPriority w:val="99"/>
    <w:semiHidden/>
    <w:unhideWhenUsed/>
    <w:rsid w:val="00F6285E"/>
    <w:pPr>
      <w:spacing w:before="100" w:beforeAutospacing="1" w:after="100" w:afterAutospacing="1"/>
      <w:jc w:val="left"/>
    </w:pPr>
    <w:rPr>
      <w:rFonts w:ascii="Times New Roman" w:hAnsi="Times New Roman" w:cs="Times New Roman"/>
    </w:rPr>
  </w:style>
  <w:style w:type="character" w:styleId="Hyperlink">
    <w:name w:val="Hyperlink"/>
    <w:basedOn w:val="DefaultParagraphFont"/>
    <w:uiPriority w:val="99"/>
    <w:unhideWhenUsed/>
    <w:rsid w:val="00F6285E"/>
    <w:rPr>
      <w:color w:val="0000FF"/>
      <w:u w:val="single"/>
    </w:rPr>
  </w:style>
  <w:style w:type="paragraph" w:styleId="Header">
    <w:name w:val="header"/>
    <w:basedOn w:val="Normal"/>
    <w:link w:val="HeaderChar"/>
    <w:unhideWhenUsed/>
    <w:qFormat/>
    <w:rsid w:val="00C47AF2"/>
    <w:pPr>
      <w:tabs>
        <w:tab w:val="center" w:pos="4513"/>
        <w:tab w:val="right" w:pos="9026"/>
      </w:tabs>
    </w:pPr>
  </w:style>
  <w:style w:type="character" w:customStyle="1" w:styleId="HeaderChar">
    <w:name w:val="Header Char"/>
    <w:basedOn w:val="DefaultParagraphFont"/>
    <w:link w:val="Header"/>
    <w:rsid w:val="00C47AF2"/>
    <w:rPr>
      <w:rFonts w:ascii="Calibri" w:hAnsi="Calibri" w:cs="Arial"/>
      <w:sz w:val="24"/>
      <w:szCs w:val="24"/>
    </w:rPr>
  </w:style>
  <w:style w:type="paragraph" w:styleId="Footer">
    <w:name w:val="footer"/>
    <w:basedOn w:val="Normal"/>
    <w:link w:val="FooterChar"/>
    <w:uiPriority w:val="99"/>
    <w:unhideWhenUsed/>
    <w:rsid w:val="00C47AF2"/>
    <w:pPr>
      <w:tabs>
        <w:tab w:val="center" w:pos="4513"/>
        <w:tab w:val="right" w:pos="9026"/>
      </w:tabs>
    </w:pPr>
  </w:style>
  <w:style w:type="character" w:customStyle="1" w:styleId="FooterChar">
    <w:name w:val="Footer Char"/>
    <w:basedOn w:val="DefaultParagraphFont"/>
    <w:link w:val="Footer"/>
    <w:uiPriority w:val="99"/>
    <w:rsid w:val="00C47AF2"/>
    <w:rPr>
      <w:rFonts w:ascii="Calibri" w:hAnsi="Calibri" w:cs="Arial"/>
      <w:sz w:val="24"/>
      <w:szCs w:val="24"/>
    </w:rPr>
  </w:style>
  <w:style w:type="character" w:styleId="UnresolvedMention">
    <w:name w:val="Unresolved Mention"/>
    <w:basedOn w:val="DefaultParagraphFont"/>
    <w:uiPriority w:val="99"/>
    <w:semiHidden/>
    <w:unhideWhenUsed/>
    <w:rsid w:val="00143BE1"/>
    <w:rPr>
      <w:color w:val="605E5C"/>
      <w:shd w:val="clear" w:color="auto" w:fill="E1DFDD"/>
    </w:rPr>
  </w:style>
  <w:style w:type="paragraph" w:customStyle="1" w:styleId="Default">
    <w:name w:val="Default"/>
    <w:rsid w:val="00F03780"/>
    <w:pPr>
      <w:autoSpaceDE w:val="0"/>
      <w:autoSpaceDN w:val="0"/>
      <w:adjustRightInd w:val="0"/>
    </w:pPr>
    <w:rPr>
      <w:rFonts w:ascii="Calibri" w:hAnsi="Calibri" w:cs="Calibri"/>
      <w:color w:val="000000"/>
      <w:sz w:val="24"/>
      <w:szCs w:val="24"/>
    </w:rPr>
  </w:style>
  <w:style w:type="paragraph" w:customStyle="1" w:styleId="Commentitalics">
    <w:name w:val="Comment (italics)"/>
    <w:basedOn w:val="Normal"/>
    <w:next w:val="Normal"/>
    <w:uiPriority w:val="99"/>
    <w:rsid w:val="00C647EB"/>
    <w:rPr>
      <w:i/>
    </w:rPr>
  </w:style>
  <w:style w:type="paragraph" w:customStyle="1" w:styleId="2-SectionHeading">
    <w:name w:val="2-Section Heading"/>
    <w:qFormat/>
    <w:rsid w:val="00197C2C"/>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uiPriority w:val="99"/>
    <w:qFormat/>
    <w:rsid w:val="00197C2C"/>
    <w:pPr>
      <w:spacing w:after="120"/>
      <w:ind w:left="720" w:hanging="720"/>
    </w:pPr>
    <w:rPr>
      <w:rFonts w:asciiTheme="minorHAnsi" w:hAnsiTheme="minorHAnsi"/>
      <w:snapToGrid w:val="0"/>
    </w:rPr>
  </w:style>
  <w:style w:type="character" w:customStyle="1" w:styleId="superscript">
    <w:name w:val="superscript"/>
    <w:basedOn w:val="DefaultParagraphFont"/>
    <w:rsid w:val="009C7585"/>
  </w:style>
  <w:style w:type="paragraph" w:customStyle="1" w:styleId="TableText">
    <w:name w:val="Table Text"/>
    <w:link w:val="TableTextChar"/>
    <w:qFormat/>
    <w:rsid w:val="003D0D9E"/>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3D0D9E"/>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3D0D9E"/>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3D0D9E"/>
    <w:rPr>
      <w:rFonts w:ascii="Arial Narrow" w:hAnsi="Arial Narrow" w:cs="Arial"/>
      <w:snapToGrid w:val="0"/>
      <w:sz w:val="18"/>
      <w:szCs w:val="22"/>
    </w:rPr>
  </w:style>
  <w:style w:type="paragraph" w:customStyle="1" w:styleId="Tableheadingrow">
    <w:name w:val="Table heading row"/>
    <w:qFormat/>
    <w:rsid w:val="00E06C39"/>
    <w:pPr>
      <w:keepNext/>
    </w:pPr>
    <w:rPr>
      <w:rFonts w:ascii="Arial Narrow" w:eastAsiaTheme="majorEastAsia" w:hAnsi="Arial Narrow"/>
      <w:b/>
      <w:szCs w:val="24"/>
      <w:lang w:val="en-US"/>
    </w:rPr>
  </w:style>
  <w:style w:type="paragraph" w:customStyle="1" w:styleId="TableHeading">
    <w:name w:val="Table Heading"/>
    <w:basedOn w:val="Normal"/>
    <w:link w:val="TableHeadingChar"/>
    <w:qFormat/>
    <w:rsid w:val="00140324"/>
    <w:pPr>
      <w:keepNext/>
      <w:keepLines/>
      <w:spacing w:before="20" w:after="20" w:line="276" w:lineRule="auto"/>
      <w:jc w:val="left"/>
    </w:pPr>
    <w:rPr>
      <w:rFonts w:ascii="Arial Narrow" w:eastAsiaTheme="majorEastAsia" w:hAnsi="Arial Narrow"/>
      <w:b/>
      <w:sz w:val="20"/>
      <w:szCs w:val="20"/>
      <w:lang w:bidi="en-US"/>
    </w:rPr>
  </w:style>
  <w:style w:type="character" w:customStyle="1" w:styleId="TableHeadingChar">
    <w:name w:val="Table Heading Char"/>
    <w:link w:val="TableHeading"/>
    <w:rsid w:val="00140324"/>
    <w:rPr>
      <w:rFonts w:ascii="Arial Narrow" w:eastAsiaTheme="majorEastAsia" w:hAnsi="Arial Narrow" w:cs="Arial"/>
      <w:b/>
      <w:lang w:bidi="en-US"/>
    </w:rPr>
  </w:style>
  <w:style w:type="paragraph" w:customStyle="1" w:styleId="TableFigureCaption">
    <w:name w:val="Table/Figure Caption"/>
    <w:next w:val="Normal"/>
    <w:link w:val="TableFigureCaptionChar"/>
    <w:qFormat/>
    <w:rsid w:val="00140324"/>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140324"/>
    <w:rPr>
      <w:rFonts w:ascii="Arial Narrow" w:eastAsiaTheme="majorEastAsia" w:hAnsi="Arial Narrow" w:cstheme="majorBidi"/>
      <w:b/>
      <w:bCs/>
      <w:szCs w:val="24"/>
    </w:rPr>
  </w:style>
  <w:style w:type="character" w:customStyle="1" w:styleId="Heading1Char">
    <w:name w:val="Heading 1 Char"/>
    <w:basedOn w:val="DefaultParagraphFont"/>
    <w:link w:val="Heading1"/>
    <w:uiPriority w:val="1"/>
    <w:rsid w:val="00531209"/>
    <w:rPr>
      <w:rFonts w:ascii="Calibri" w:hAnsi="Calibri" w:cs="Arial"/>
      <w:b/>
      <w:caps/>
      <w:sz w:val="32"/>
      <w:szCs w:val="24"/>
    </w:rPr>
  </w:style>
  <w:style w:type="character" w:customStyle="1" w:styleId="Heading3Char">
    <w:name w:val="Heading 3 Char"/>
    <w:basedOn w:val="DefaultParagraphFont"/>
    <w:link w:val="Heading3"/>
    <w:rsid w:val="00531209"/>
    <w:rPr>
      <w:rFonts w:ascii="Calibri" w:hAnsi="Calibri" w:cs="Arial"/>
      <w:sz w:val="24"/>
      <w:szCs w:val="24"/>
      <w:u w:val="single"/>
    </w:rPr>
  </w:style>
  <w:style w:type="character" w:customStyle="1" w:styleId="Heading4Char">
    <w:name w:val="Heading 4 Char"/>
    <w:basedOn w:val="DefaultParagraphFont"/>
    <w:link w:val="Heading4"/>
    <w:rsid w:val="00531209"/>
    <w:rPr>
      <w:rFonts w:ascii="Calibri" w:hAnsi="Calibri" w:cs="Arial"/>
      <w:b/>
      <w:bCs/>
      <w:i/>
      <w:sz w:val="26"/>
      <w:szCs w:val="28"/>
    </w:rPr>
  </w:style>
  <w:style w:type="character" w:customStyle="1" w:styleId="Heading5Char">
    <w:name w:val="Heading 5 Char"/>
    <w:basedOn w:val="DefaultParagraphFont"/>
    <w:link w:val="Heading5"/>
    <w:rsid w:val="00531209"/>
    <w:rPr>
      <w:rFonts w:ascii="Calibri" w:hAnsi="Calibri" w:cs="Arial"/>
      <w:b/>
      <w:bCs/>
      <w:iCs/>
      <w:sz w:val="26"/>
      <w:szCs w:val="26"/>
    </w:rPr>
  </w:style>
  <w:style w:type="character" w:customStyle="1" w:styleId="Heading6Char">
    <w:name w:val="Heading 6 Char"/>
    <w:basedOn w:val="DefaultParagraphFont"/>
    <w:link w:val="Heading6"/>
    <w:rsid w:val="00531209"/>
    <w:rPr>
      <w:rFonts w:ascii="Calibri" w:hAnsi="Calibri" w:cs="Arial"/>
      <w:b/>
      <w:bCs/>
      <w:i/>
      <w:sz w:val="24"/>
      <w:szCs w:val="24"/>
    </w:rPr>
  </w:style>
  <w:style w:type="table" w:customStyle="1" w:styleId="TableGrid2111">
    <w:name w:val="Table Grid2111"/>
    <w:basedOn w:val="TableNormal"/>
    <w:next w:val="TableGrid"/>
    <w:uiPriority w:val="59"/>
    <w:rsid w:val="00531209"/>
    <w:rPr>
      <w:rFonts w:ascii="Tahoma" w:eastAsia="Tahoma" w:hAnsi="Tahoma" w:cs="MS Minch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uiPriority w:val="99"/>
    <w:qFormat/>
    <w:rsid w:val="00531209"/>
    <w:pPr>
      <w:jc w:val="left"/>
    </w:pPr>
    <w:rPr>
      <w:rFonts w:ascii="Arial Narrow" w:hAnsi="Arial Narrow" w:cs="Times New Roman"/>
      <w:snapToGrid w:val="0"/>
      <w:sz w:val="20"/>
    </w:rPr>
  </w:style>
  <w:style w:type="character" w:customStyle="1" w:styleId="TabletextChar0">
    <w:name w:val="Table text Char"/>
    <w:link w:val="Tabletext0"/>
    <w:uiPriority w:val="99"/>
    <w:rsid w:val="00531209"/>
    <w:rPr>
      <w:rFonts w:ascii="Arial Narrow" w:hAnsi="Arial Narrow"/>
      <w:snapToGrid w:val="0"/>
      <w:szCs w:val="24"/>
    </w:rPr>
  </w:style>
  <w:style w:type="paragraph" w:customStyle="1" w:styleId="Tabletextcentred">
    <w:name w:val="Table text centred"/>
    <w:basedOn w:val="Normal"/>
    <w:link w:val="TabletextcentredChar"/>
    <w:qFormat/>
    <w:rsid w:val="00502A62"/>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502A62"/>
    <w:rPr>
      <w:rFonts w:ascii="Arial Narrow" w:hAnsi="Arial Narrow" w:cs="Arial Narrow"/>
      <w:lang w:eastAsia="en-US"/>
    </w:rPr>
  </w:style>
  <w:style w:type="paragraph" w:customStyle="1" w:styleId="BodytextAgency">
    <w:name w:val="Body text (Agency)"/>
    <w:basedOn w:val="Normal"/>
    <w:link w:val="BodytextAgencyChar"/>
    <w:qFormat/>
    <w:rsid w:val="00502A62"/>
    <w:pPr>
      <w:spacing w:after="140" w:line="280" w:lineRule="atLeast"/>
      <w:jc w:val="left"/>
    </w:pPr>
    <w:rPr>
      <w:rFonts w:asciiTheme="minorHAnsi" w:eastAsia="Verdana" w:hAnsiTheme="minorHAnsi" w:cs="Verdana"/>
      <w:szCs w:val="18"/>
      <w:lang w:val="en-GB" w:eastAsia="en-GB"/>
    </w:rPr>
  </w:style>
  <w:style w:type="character" w:customStyle="1" w:styleId="BodytextAgencyChar">
    <w:name w:val="Body text (Agency) Char"/>
    <w:link w:val="BodytextAgency"/>
    <w:qFormat/>
    <w:locked/>
    <w:rsid w:val="00502A62"/>
    <w:rPr>
      <w:rFonts w:asciiTheme="minorHAnsi" w:eastAsia="Verdana" w:hAnsiTheme="minorHAnsi" w:cs="Verdana"/>
      <w:sz w:val="24"/>
      <w:szCs w:val="18"/>
      <w:lang w:val="en-GB" w:eastAsia="en-GB"/>
    </w:rPr>
  </w:style>
  <w:style w:type="character" w:customStyle="1" w:styleId="ExecSumBodyTextChar">
    <w:name w:val="Exec Sum Body Text Char"/>
    <w:basedOn w:val="DefaultParagraphFont"/>
    <w:link w:val="ExecSumBodyText"/>
    <w:uiPriority w:val="99"/>
    <w:rsid w:val="00502A62"/>
    <w:rPr>
      <w:rFonts w:asciiTheme="minorHAnsi" w:hAnsiTheme="minorHAnsi" w:cs="Arial"/>
      <w:snapToGrid w:val="0"/>
      <w:sz w:val="24"/>
      <w:szCs w:val="24"/>
    </w:rPr>
  </w:style>
  <w:style w:type="paragraph" w:styleId="Caption">
    <w:name w:val="caption"/>
    <w:basedOn w:val="COMTableheadingrow"/>
    <w:next w:val="Normal"/>
    <w:unhideWhenUsed/>
    <w:rsid w:val="00F635FD"/>
    <w:rPr>
      <w:color w:val="000000" w:themeColor="text1"/>
      <w:lang w:val="en-AU"/>
    </w:rPr>
  </w:style>
  <w:style w:type="character" w:customStyle="1" w:styleId="spellingerrorsuperscript">
    <w:name w:val="spellingerrorsuperscript"/>
    <w:basedOn w:val="DefaultParagraphFont"/>
    <w:rsid w:val="008E1F30"/>
  </w:style>
  <w:style w:type="paragraph" w:customStyle="1" w:styleId="TableFooter">
    <w:name w:val="Table Footer"/>
    <w:basedOn w:val="Normal"/>
    <w:link w:val="TableFooterChar"/>
    <w:qFormat/>
    <w:rsid w:val="00C0310A"/>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C0310A"/>
    <w:rPr>
      <w:rFonts w:ascii="Arial Narrow" w:hAnsi="Arial Narrow" w:cs="Arial"/>
      <w:snapToGrid w:val="0"/>
      <w:sz w:val="18"/>
      <w:lang w:eastAsia="en-US"/>
    </w:rPr>
  </w:style>
  <w:style w:type="paragraph" w:customStyle="1" w:styleId="4-SubsectionHeading">
    <w:name w:val="4-Subsection Heading"/>
    <w:basedOn w:val="Heading2"/>
    <w:next w:val="Normal"/>
    <w:link w:val="4-SubsectionHeadingChar"/>
    <w:qFormat/>
    <w:rsid w:val="00DF6E91"/>
    <w:pPr>
      <w:keepNext/>
      <w:spacing w:before="120" w:after="120"/>
      <w:jc w:val="both"/>
    </w:pPr>
    <w:rPr>
      <w:rFonts w:asciiTheme="minorHAnsi" w:eastAsiaTheme="majorEastAsia" w:hAnsiTheme="minorHAnsi" w:cstheme="majorBidi"/>
      <w:color w:val="365F91" w:themeColor="accent1" w:themeShade="BF"/>
      <w:spacing w:val="5"/>
      <w:kern w:val="28"/>
      <w:szCs w:val="36"/>
    </w:rPr>
  </w:style>
  <w:style w:type="character" w:customStyle="1" w:styleId="4-SubsectionHeadingChar">
    <w:name w:val="4-Subsection Heading Char"/>
    <w:basedOn w:val="Heading2Char"/>
    <w:link w:val="4-SubsectionHeading"/>
    <w:rsid w:val="00DF6E91"/>
    <w:rPr>
      <w:rFonts w:asciiTheme="minorHAnsi" w:eastAsiaTheme="majorEastAsia" w:hAnsiTheme="minorHAnsi" w:cstheme="majorBidi"/>
      <w:b/>
      <w:i/>
      <w:color w:val="365F91" w:themeColor="accent1" w:themeShade="BF"/>
      <w:spacing w:val="5"/>
      <w:kern w:val="28"/>
      <w:sz w:val="28"/>
      <w:szCs w:val="36"/>
    </w:rPr>
  </w:style>
  <w:style w:type="paragraph" w:customStyle="1" w:styleId="PBACHeading1">
    <w:name w:val="PBAC Heading 1"/>
    <w:qFormat/>
    <w:rsid w:val="00D329F7"/>
    <w:pPr>
      <w:ind w:left="720" w:hanging="720"/>
      <w:outlineLvl w:val="0"/>
    </w:pPr>
    <w:rPr>
      <w:rFonts w:ascii="Calibri" w:hAnsi="Calibri" w:cs="Arial"/>
      <w:b/>
      <w:snapToGrid w:val="0"/>
      <w:sz w:val="32"/>
      <w:szCs w:val="22"/>
      <w:lang w:eastAsia="en-US"/>
    </w:rPr>
  </w:style>
  <w:style w:type="paragraph" w:customStyle="1" w:styleId="5-SubsectionSubheading">
    <w:name w:val="5-Subsection Subheading"/>
    <w:basedOn w:val="Heading3"/>
    <w:next w:val="Normal"/>
    <w:link w:val="5-SubsectionSubheadingChar"/>
    <w:qFormat/>
    <w:rsid w:val="00FE3B5A"/>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FE3B5A"/>
    <w:rPr>
      <w:rFonts w:asciiTheme="minorHAnsi" w:eastAsiaTheme="majorEastAsia" w:hAnsiTheme="minorHAnsi" w:cstheme="majorBidi"/>
      <w:b/>
      <w:color w:val="000000" w:themeColor="text1"/>
      <w:sz w:val="24"/>
      <w:szCs w:val="24"/>
    </w:rPr>
  </w:style>
  <w:style w:type="paragraph" w:customStyle="1" w:styleId="Bulletpoints">
    <w:name w:val="Bullet points"/>
    <w:basedOn w:val="Normal"/>
    <w:rsid w:val="006228AE"/>
    <w:pPr>
      <w:spacing w:after="120"/>
      <w:ind w:left="720"/>
      <w:contextualSpacing/>
    </w:pPr>
    <w:rPr>
      <w:snapToGrid w:val="0"/>
    </w:rPr>
  </w:style>
  <w:style w:type="paragraph" w:styleId="FootnoteText">
    <w:name w:val="footnote text"/>
    <w:basedOn w:val="Normal"/>
    <w:link w:val="FootnoteTextChar"/>
    <w:semiHidden/>
    <w:unhideWhenUsed/>
    <w:rsid w:val="00E51263"/>
    <w:rPr>
      <w:sz w:val="20"/>
      <w:szCs w:val="20"/>
    </w:rPr>
  </w:style>
  <w:style w:type="character" w:customStyle="1" w:styleId="FootnoteTextChar">
    <w:name w:val="Footnote Text Char"/>
    <w:basedOn w:val="DefaultParagraphFont"/>
    <w:link w:val="FootnoteText"/>
    <w:semiHidden/>
    <w:rsid w:val="00E51263"/>
    <w:rPr>
      <w:rFonts w:ascii="Calibri" w:hAnsi="Calibri" w:cs="Arial"/>
    </w:rPr>
  </w:style>
  <w:style w:type="character" w:styleId="FootnoteReference">
    <w:name w:val="footnote reference"/>
    <w:basedOn w:val="DefaultParagraphFont"/>
    <w:semiHidden/>
    <w:unhideWhenUsed/>
    <w:rsid w:val="00E51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655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572829">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0212512">
      <w:bodyDiv w:val="1"/>
      <w:marLeft w:val="0"/>
      <w:marRight w:val="0"/>
      <w:marTop w:val="0"/>
      <w:marBottom w:val="0"/>
      <w:divBdr>
        <w:top w:val="none" w:sz="0" w:space="0" w:color="auto"/>
        <w:left w:val="none" w:sz="0" w:space="0" w:color="auto"/>
        <w:bottom w:val="none" w:sz="0" w:space="0" w:color="auto"/>
        <w:right w:val="none" w:sz="0" w:space="0" w:color="auto"/>
      </w:divBdr>
      <w:divsChild>
        <w:div w:id="1711607062">
          <w:marLeft w:val="360"/>
          <w:marRight w:val="0"/>
          <w:marTop w:val="200"/>
          <w:marBottom w:val="0"/>
          <w:divBdr>
            <w:top w:val="none" w:sz="0" w:space="0" w:color="auto"/>
            <w:left w:val="none" w:sz="0" w:space="0" w:color="auto"/>
            <w:bottom w:val="none" w:sz="0" w:space="0" w:color="auto"/>
            <w:right w:val="none" w:sz="0" w:space="0" w:color="auto"/>
          </w:divBdr>
        </w:div>
      </w:divsChild>
    </w:div>
    <w:div w:id="214853493">
      <w:bodyDiv w:val="1"/>
      <w:marLeft w:val="0"/>
      <w:marRight w:val="0"/>
      <w:marTop w:val="0"/>
      <w:marBottom w:val="0"/>
      <w:divBdr>
        <w:top w:val="none" w:sz="0" w:space="0" w:color="auto"/>
        <w:left w:val="none" w:sz="0" w:space="0" w:color="auto"/>
        <w:bottom w:val="none" w:sz="0" w:space="0" w:color="auto"/>
        <w:right w:val="none" w:sz="0" w:space="0" w:color="auto"/>
      </w:divBdr>
      <w:divsChild>
        <w:div w:id="1611008021">
          <w:marLeft w:val="360"/>
          <w:marRight w:val="0"/>
          <w:marTop w:val="200"/>
          <w:marBottom w:val="0"/>
          <w:divBdr>
            <w:top w:val="none" w:sz="0" w:space="0" w:color="auto"/>
            <w:left w:val="none" w:sz="0" w:space="0" w:color="auto"/>
            <w:bottom w:val="none" w:sz="0" w:space="0" w:color="auto"/>
            <w:right w:val="none" w:sz="0" w:space="0" w:color="auto"/>
          </w:divBdr>
        </w:div>
        <w:div w:id="778372572">
          <w:marLeft w:val="1080"/>
          <w:marRight w:val="0"/>
          <w:marTop w:val="100"/>
          <w:marBottom w:val="0"/>
          <w:divBdr>
            <w:top w:val="none" w:sz="0" w:space="0" w:color="auto"/>
            <w:left w:val="none" w:sz="0" w:space="0" w:color="auto"/>
            <w:bottom w:val="none" w:sz="0" w:space="0" w:color="auto"/>
            <w:right w:val="none" w:sz="0" w:space="0" w:color="auto"/>
          </w:divBdr>
        </w:div>
        <w:div w:id="72239916">
          <w:marLeft w:val="1080"/>
          <w:marRight w:val="0"/>
          <w:marTop w:val="100"/>
          <w:marBottom w:val="0"/>
          <w:divBdr>
            <w:top w:val="none" w:sz="0" w:space="0" w:color="auto"/>
            <w:left w:val="none" w:sz="0" w:space="0" w:color="auto"/>
            <w:bottom w:val="none" w:sz="0" w:space="0" w:color="auto"/>
            <w:right w:val="none" w:sz="0" w:space="0" w:color="auto"/>
          </w:divBdr>
        </w:div>
        <w:div w:id="739640022">
          <w:marLeft w:val="1080"/>
          <w:marRight w:val="0"/>
          <w:marTop w:val="100"/>
          <w:marBottom w:val="0"/>
          <w:divBdr>
            <w:top w:val="none" w:sz="0" w:space="0" w:color="auto"/>
            <w:left w:val="none" w:sz="0" w:space="0" w:color="auto"/>
            <w:bottom w:val="none" w:sz="0" w:space="0" w:color="auto"/>
            <w:right w:val="none" w:sz="0" w:space="0" w:color="auto"/>
          </w:divBdr>
        </w:div>
        <w:div w:id="313263425">
          <w:marLeft w:val="1080"/>
          <w:marRight w:val="0"/>
          <w:marTop w:val="100"/>
          <w:marBottom w:val="0"/>
          <w:divBdr>
            <w:top w:val="none" w:sz="0" w:space="0" w:color="auto"/>
            <w:left w:val="none" w:sz="0" w:space="0" w:color="auto"/>
            <w:bottom w:val="none" w:sz="0" w:space="0" w:color="auto"/>
            <w:right w:val="none" w:sz="0" w:space="0" w:color="auto"/>
          </w:divBdr>
        </w:div>
      </w:divsChild>
    </w:div>
    <w:div w:id="267549686">
      <w:bodyDiv w:val="1"/>
      <w:marLeft w:val="0"/>
      <w:marRight w:val="0"/>
      <w:marTop w:val="0"/>
      <w:marBottom w:val="0"/>
      <w:divBdr>
        <w:top w:val="none" w:sz="0" w:space="0" w:color="auto"/>
        <w:left w:val="none" w:sz="0" w:space="0" w:color="auto"/>
        <w:bottom w:val="none" w:sz="0" w:space="0" w:color="auto"/>
        <w:right w:val="none" w:sz="0" w:space="0" w:color="auto"/>
      </w:divBdr>
      <w:divsChild>
        <w:div w:id="169568359">
          <w:marLeft w:val="0"/>
          <w:marRight w:val="0"/>
          <w:marTop w:val="0"/>
          <w:marBottom w:val="0"/>
          <w:divBdr>
            <w:top w:val="none" w:sz="0" w:space="0" w:color="auto"/>
            <w:left w:val="none" w:sz="0" w:space="0" w:color="auto"/>
            <w:bottom w:val="none" w:sz="0" w:space="0" w:color="auto"/>
            <w:right w:val="none" w:sz="0" w:space="0" w:color="auto"/>
          </w:divBdr>
        </w:div>
        <w:div w:id="1061244627">
          <w:marLeft w:val="0"/>
          <w:marRight w:val="0"/>
          <w:marTop w:val="0"/>
          <w:marBottom w:val="0"/>
          <w:divBdr>
            <w:top w:val="none" w:sz="0" w:space="0" w:color="auto"/>
            <w:left w:val="none" w:sz="0" w:space="0" w:color="auto"/>
            <w:bottom w:val="none" w:sz="0" w:space="0" w:color="auto"/>
            <w:right w:val="none" w:sz="0" w:space="0" w:color="auto"/>
          </w:divBdr>
          <w:divsChild>
            <w:div w:id="1283028431">
              <w:marLeft w:val="0"/>
              <w:marRight w:val="0"/>
              <w:marTop w:val="30"/>
              <w:marBottom w:val="30"/>
              <w:divBdr>
                <w:top w:val="none" w:sz="0" w:space="0" w:color="auto"/>
                <w:left w:val="none" w:sz="0" w:space="0" w:color="auto"/>
                <w:bottom w:val="none" w:sz="0" w:space="0" w:color="auto"/>
                <w:right w:val="none" w:sz="0" w:space="0" w:color="auto"/>
              </w:divBdr>
              <w:divsChild>
                <w:div w:id="631786674">
                  <w:marLeft w:val="0"/>
                  <w:marRight w:val="0"/>
                  <w:marTop w:val="0"/>
                  <w:marBottom w:val="0"/>
                  <w:divBdr>
                    <w:top w:val="none" w:sz="0" w:space="0" w:color="auto"/>
                    <w:left w:val="none" w:sz="0" w:space="0" w:color="auto"/>
                    <w:bottom w:val="none" w:sz="0" w:space="0" w:color="auto"/>
                    <w:right w:val="none" w:sz="0" w:space="0" w:color="auto"/>
                  </w:divBdr>
                  <w:divsChild>
                    <w:div w:id="25252968">
                      <w:marLeft w:val="0"/>
                      <w:marRight w:val="0"/>
                      <w:marTop w:val="0"/>
                      <w:marBottom w:val="0"/>
                      <w:divBdr>
                        <w:top w:val="none" w:sz="0" w:space="0" w:color="auto"/>
                        <w:left w:val="none" w:sz="0" w:space="0" w:color="auto"/>
                        <w:bottom w:val="none" w:sz="0" w:space="0" w:color="auto"/>
                        <w:right w:val="none" w:sz="0" w:space="0" w:color="auto"/>
                      </w:divBdr>
                    </w:div>
                    <w:div w:id="811755979">
                      <w:marLeft w:val="0"/>
                      <w:marRight w:val="0"/>
                      <w:marTop w:val="0"/>
                      <w:marBottom w:val="0"/>
                      <w:divBdr>
                        <w:top w:val="none" w:sz="0" w:space="0" w:color="auto"/>
                        <w:left w:val="none" w:sz="0" w:space="0" w:color="auto"/>
                        <w:bottom w:val="none" w:sz="0" w:space="0" w:color="auto"/>
                        <w:right w:val="none" w:sz="0" w:space="0" w:color="auto"/>
                      </w:divBdr>
                    </w:div>
                    <w:div w:id="1021396584">
                      <w:marLeft w:val="0"/>
                      <w:marRight w:val="0"/>
                      <w:marTop w:val="0"/>
                      <w:marBottom w:val="0"/>
                      <w:divBdr>
                        <w:top w:val="none" w:sz="0" w:space="0" w:color="auto"/>
                        <w:left w:val="none" w:sz="0" w:space="0" w:color="auto"/>
                        <w:bottom w:val="none" w:sz="0" w:space="0" w:color="auto"/>
                        <w:right w:val="none" w:sz="0" w:space="0" w:color="auto"/>
                      </w:divBdr>
                    </w:div>
                    <w:div w:id="1091589916">
                      <w:marLeft w:val="0"/>
                      <w:marRight w:val="0"/>
                      <w:marTop w:val="0"/>
                      <w:marBottom w:val="0"/>
                      <w:divBdr>
                        <w:top w:val="none" w:sz="0" w:space="0" w:color="auto"/>
                        <w:left w:val="none" w:sz="0" w:space="0" w:color="auto"/>
                        <w:bottom w:val="none" w:sz="0" w:space="0" w:color="auto"/>
                        <w:right w:val="none" w:sz="0" w:space="0" w:color="auto"/>
                      </w:divBdr>
                    </w:div>
                  </w:divsChild>
                </w:div>
                <w:div w:id="1527869386">
                  <w:marLeft w:val="0"/>
                  <w:marRight w:val="0"/>
                  <w:marTop w:val="0"/>
                  <w:marBottom w:val="0"/>
                  <w:divBdr>
                    <w:top w:val="none" w:sz="0" w:space="0" w:color="auto"/>
                    <w:left w:val="none" w:sz="0" w:space="0" w:color="auto"/>
                    <w:bottom w:val="none" w:sz="0" w:space="0" w:color="auto"/>
                    <w:right w:val="none" w:sz="0" w:space="0" w:color="auto"/>
                  </w:divBdr>
                  <w:divsChild>
                    <w:div w:id="416682021">
                      <w:marLeft w:val="0"/>
                      <w:marRight w:val="0"/>
                      <w:marTop w:val="0"/>
                      <w:marBottom w:val="0"/>
                      <w:divBdr>
                        <w:top w:val="none" w:sz="0" w:space="0" w:color="auto"/>
                        <w:left w:val="none" w:sz="0" w:space="0" w:color="auto"/>
                        <w:bottom w:val="none" w:sz="0" w:space="0" w:color="auto"/>
                        <w:right w:val="none" w:sz="0" w:space="0" w:color="auto"/>
                      </w:divBdr>
                    </w:div>
                  </w:divsChild>
                </w:div>
                <w:div w:id="1558201877">
                  <w:marLeft w:val="0"/>
                  <w:marRight w:val="0"/>
                  <w:marTop w:val="0"/>
                  <w:marBottom w:val="0"/>
                  <w:divBdr>
                    <w:top w:val="none" w:sz="0" w:space="0" w:color="auto"/>
                    <w:left w:val="none" w:sz="0" w:space="0" w:color="auto"/>
                    <w:bottom w:val="none" w:sz="0" w:space="0" w:color="auto"/>
                    <w:right w:val="none" w:sz="0" w:space="0" w:color="auto"/>
                  </w:divBdr>
                  <w:divsChild>
                    <w:div w:id="1256205511">
                      <w:marLeft w:val="0"/>
                      <w:marRight w:val="0"/>
                      <w:marTop w:val="0"/>
                      <w:marBottom w:val="0"/>
                      <w:divBdr>
                        <w:top w:val="none" w:sz="0" w:space="0" w:color="auto"/>
                        <w:left w:val="none" w:sz="0" w:space="0" w:color="auto"/>
                        <w:bottom w:val="none" w:sz="0" w:space="0" w:color="auto"/>
                        <w:right w:val="none" w:sz="0" w:space="0" w:color="auto"/>
                      </w:divBdr>
                    </w:div>
                  </w:divsChild>
                </w:div>
                <w:div w:id="1604145555">
                  <w:marLeft w:val="0"/>
                  <w:marRight w:val="0"/>
                  <w:marTop w:val="0"/>
                  <w:marBottom w:val="0"/>
                  <w:divBdr>
                    <w:top w:val="none" w:sz="0" w:space="0" w:color="auto"/>
                    <w:left w:val="none" w:sz="0" w:space="0" w:color="auto"/>
                    <w:bottom w:val="none" w:sz="0" w:space="0" w:color="auto"/>
                    <w:right w:val="none" w:sz="0" w:space="0" w:color="auto"/>
                  </w:divBdr>
                  <w:divsChild>
                    <w:div w:id="500509134">
                      <w:marLeft w:val="0"/>
                      <w:marRight w:val="0"/>
                      <w:marTop w:val="0"/>
                      <w:marBottom w:val="0"/>
                      <w:divBdr>
                        <w:top w:val="none" w:sz="0" w:space="0" w:color="auto"/>
                        <w:left w:val="none" w:sz="0" w:space="0" w:color="auto"/>
                        <w:bottom w:val="none" w:sz="0" w:space="0" w:color="auto"/>
                        <w:right w:val="none" w:sz="0" w:space="0" w:color="auto"/>
                      </w:divBdr>
                    </w:div>
                  </w:divsChild>
                </w:div>
                <w:div w:id="1850677811">
                  <w:marLeft w:val="0"/>
                  <w:marRight w:val="0"/>
                  <w:marTop w:val="0"/>
                  <w:marBottom w:val="0"/>
                  <w:divBdr>
                    <w:top w:val="none" w:sz="0" w:space="0" w:color="auto"/>
                    <w:left w:val="none" w:sz="0" w:space="0" w:color="auto"/>
                    <w:bottom w:val="none" w:sz="0" w:space="0" w:color="auto"/>
                    <w:right w:val="none" w:sz="0" w:space="0" w:color="auto"/>
                  </w:divBdr>
                  <w:divsChild>
                    <w:div w:id="66929411">
                      <w:marLeft w:val="0"/>
                      <w:marRight w:val="0"/>
                      <w:marTop w:val="0"/>
                      <w:marBottom w:val="0"/>
                      <w:divBdr>
                        <w:top w:val="none" w:sz="0" w:space="0" w:color="auto"/>
                        <w:left w:val="none" w:sz="0" w:space="0" w:color="auto"/>
                        <w:bottom w:val="none" w:sz="0" w:space="0" w:color="auto"/>
                        <w:right w:val="none" w:sz="0" w:space="0" w:color="auto"/>
                      </w:divBdr>
                    </w:div>
                    <w:div w:id="343870738">
                      <w:marLeft w:val="0"/>
                      <w:marRight w:val="0"/>
                      <w:marTop w:val="0"/>
                      <w:marBottom w:val="0"/>
                      <w:divBdr>
                        <w:top w:val="none" w:sz="0" w:space="0" w:color="auto"/>
                        <w:left w:val="none" w:sz="0" w:space="0" w:color="auto"/>
                        <w:bottom w:val="none" w:sz="0" w:space="0" w:color="auto"/>
                        <w:right w:val="none" w:sz="0" w:space="0" w:color="auto"/>
                      </w:divBdr>
                    </w:div>
                    <w:div w:id="802819447">
                      <w:marLeft w:val="0"/>
                      <w:marRight w:val="0"/>
                      <w:marTop w:val="0"/>
                      <w:marBottom w:val="0"/>
                      <w:divBdr>
                        <w:top w:val="none" w:sz="0" w:space="0" w:color="auto"/>
                        <w:left w:val="none" w:sz="0" w:space="0" w:color="auto"/>
                        <w:bottom w:val="none" w:sz="0" w:space="0" w:color="auto"/>
                        <w:right w:val="none" w:sz="0" w:space="0" w:color="auto"/>
                      </w:divBdr>
                    </w:div>
                    <w:div w:id="1392574845">
                      <w:marLeft w:val="0"/>
                      <w:marRight w:val="0"/>
                      <w:marTop w:val="0"/>
                      <w:marBottom w:val="0"/>
                      <w:divBdr>
                        <w:top w:val="none" w:sz="0" w:space="0" w:color="auto"/>
                        <w:left w:val="none" w:sz="0" w:space="0" w:color="auto"/>
                        <w:bottom w:val="none" w:sz="0" w:space="0" w:color="auto"/>
                        <w:right w:val="none" w:sz="0" w:space="0" w:color="auto"/>
                      </w:divBdr>
                    </w:div>
                  </w:divsChild>
                </w:div>
                <w:div w:id="2146893876">
                  <w:marLeft w:val="0"/>
                  <w:marRight w:val="0"/>
                  <w:marTop w:val="0"/>
                  <w:marBottom w:val="0"/>
                  <w:divBdr>
                    <w:top w:val="none" w:sz="0" w:space="0" w:color="auto"/>
                    <w:left w:val="none" w:sz="0" w:space="0" w:color="auto"/>
                    <w:bottom w:val="none" w:sz="0" w:space="0" w:color="auto"/>
                    <w:right w:val="none" w:sz="0" w:space="0" w:color="auto"/>
                  </w:divBdr>
                  <w:divsChild>
                    <w:div w:id="7142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2553">
          <w:marLeft w:val="0"/>
          <w:marRight w:val="0"/>
          <w:marTop w:val="0"/>
          <w:marBottom w:val="0"/>
          <w:divBdr>
            <w:top w:val="none" w:sz="0" w:space="0" w:color="auto"/>
            <w:left w:val="none" w:sz="0" w:space="0" w:color="auto"/>
            <w:bottom w:val="none" w:sz="0" w:space="0" w:color="auto"/>
            <w:right w:val="none" w:sz="0" w:space="0" w:color="auto"/>
          </w:divBdr>
        </w:div>
        <w:div w:id="1666393625">
          <w:marLeft w:val="0"/>
          <w:marRight w:val="0"/>
          <w:marTop w:val="0"/>
          <w:marBottom w:val="0"/>
          <w:divBdr>
            <w:top w:val="none" w:sz="0" w:space="0" w:color="auto"/>
            <w:left w:val="none" w:sz="0" w:space="0" w:color="auto"/>
            <w:bottom w:val="none" w:sz="0" w:space="0" w:color="auto"/>
            <w:right w:val="none" w:sz="0" w:space="0" w:color="auto"/>
          </w:divBdr>
        </w:div>
      </w:divsChild>
    </w:div>
    <w:div w:id="302197390">
      <w:bodyDiv w:val="1"/>
      <w:marLeft w:val="0"/>
      <w:marRight w:val="0"/>
      <w:marTop w:val="0"/>
      <w:marBottom w:val="0"/>
      <w:divBdr>
        <w:top w:val="none" w:sz="0" w:space="0" w:color="auto"/>
        <w:left w:val="none" w:sz="0" w:space="0" w:color="auto"/>
        <w:bottom w:val="none" w:sz="0" w:space="0" w:color="auto"/>
        <w:right w:val="none" w:sz="0" w:space="0" w:color="auto"/>
      </w:divBdr>
    </w:div>
    <w:div w:id="310139167">
      <w:bodyDiv w:val="1"/>
      <w:marLeft w:val="0"/>
      <w:marRight w:val="0"/>
      <w:marTop w:val="0"/>
      <w:marBottom w:val="0"/>
      <w:divBdr>
        <w:top w:val="none" w:sz="0" w:space="0" w:color="auto"/>
        <w:left w:val="none" w:sz="0" w:space="0" w:color="auto"/>
        <w:bottom w:val="none" w:sz="0" w:space="0" w:color="auto"/>
        <w:right w:val="none" w:sz="0" w:space="0" w:color="auto"/>
      </w:divBdr>
      <w:divsChild>
        <w:div w:id="146634744">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8412925">
      <w:bodyDiv w:val="1"/>
      <w:marLeft w:val="0"/>
      <w:marRight w:val="0"/>
      <w:marTop w:val="0"/>
      <w:marBottom w:val="0"/>
      <w:divBdr>
        <w:top w:val="none" w:sz="0" w:space="0" w:color="auto"/>
        <w:left w:val="none" w:sz="0" w:space="0" w:color="auto"/>
        <w:bottom w:val="none" w:sz="0" w:space="0" w:color="auto"/>
        <w:right w:val="none" w:sz="0" w:space="0" w:color="auto"/>
      </w:divBdr>
    </w:div>
    <w:div w:id="381949477">
      <w:bodyDiv w:val="1"/>
      <w:marLeft w:val="0"/>
      <w:marRight w:val="0"/>
      <w:marTop w:val="0"/>
      <w:marBottom w:val="0"/>
      <w:divBdr>
        <w:top w:val="none" w:sz="0" w:space="0" w:color="auto"/>
        <w:left w:val="none" w:sz="0" w:space="0" w:color="auto"/>
        <w:bottom w:val="none" w:sz="0" w:space="0" w:color="auto"/>
        <w:right w:val="none" w:sz="0" w:space="0" w:color="auto"/>
      </w:divBdr>
      <w:divsChild>
        <w:div w:id="60061196">
          <w:marLeft w:val="0"/>
          <w:marRight w:val="0"/>
          <w:marTop w:val="0"/>
          <w:marBottom w:val="0"/>
          <w:divBdr>
            <w:top w:val="none" w:sz="0" w:space="0" w:color="auto"/>
            <w:left w:val="none" w:sz="0" w:space="0" w:color="auto"/>
            <w:bottom w:val="none" w:sz="0" w:space="0" w:color="auto"/>
            <w:right w:val="none" w:sz="0" w:space="0" w:color="auto"/>
          </w:divBdr>
        </w:div>
        <w:div w:id="92362631">
          <w:marLeft w:val="0"/>
          <w:marRight w:val="0"/>
          <w:marTop w:val="0"/>
          <w:marBottom w:val="0"/>
          <w:divBdr>
            <w:top w:val="none" w:sz="0" w:space="0" w:color="auto"/>
            <w:left w:val="none" w:sz="0" w:space="0" w:color="auto"/>
            <w:bottom w:val="none" w:sz="0" w:space="0" w:color="auto"/>
            <w:right w:val="none" w:sz="0" w:space="0" w:color="auto"/>
          </w:divBdr>
        </w:div>
        <w:div w:id="334188887">
          <w:marLeft w:val="0"/>
          <w:marRight w:val="0"/>
          <w:marTop w:val="0"/>
          <w:marBottom w:val="0"/>
          <w:divBdr>
            <w:top w:val="none" w:sz="0" w:space="0" w:color="auto"/>
            <w:left w:val="none" w:sz="0" w:space="0" w:color="auto"/>
            <w:bottom w:val="none" w:sz="0" w:space="0" w:color="auto"/>
            <w:right w:val="none" w:sz="0" w:space="0" w:color="auto"/>
          </w:divBdr>
        </w:div>
        <w:div w:id="480579171">
          <w:marLeft w:val="0"/>
          <w:marRight w:val="0"/>
          <w:marTop w:val="0"/>
          <w:marBottom w:val="0"/>
          <w:divBdr>
            <w:top w:val="none" w:sz="0" w:space="0" w:color="auto"/>
            <w:left w:val="none" w:sz="0" w:space="0" w:color="auto"/>
            <w:bottom w:val="none" w:sz="0" w:space="0" w:color="auto"/>
            <w:right w:val="none" w:sz="0" w:space="0" w:color="auto"/>
          </w:divBdr>
        </w:div>
        <w:div w:id="1398436450">
          <w:marLeft w:val="0"/>
          <w:marRight w:val="0"/>
          <w:marTop w:val="0"/>
          <w:marBottom w:val="0"/>
          <w:divBdr>
            <w:top w:val="none" w:sz="0" w:space="0" w:color="auto"/>
            <w:left w:val="none" w:sz="0" w:space="0" w:color="auto"/>
            <w:bottom w:val="none" w:sz="0" w:space="0" w:color="auto"/>
            <w:right w:val="none" w:sz="0" w:space="0" w:color="auto"/>
          </w:divBdr>
        </w:div>
        <w:div w:id="1422599931">
          <w:marLeft w:val="0"/>
          <w:marRight w:val="0"/>
          <w:marTop w:val="0"/>
          <w:marBottom w:val="0"/>
          <w:divBdr>
            <w:top w:val="none" w:sz="0" w:space="0" w:color="auto"/>
            <w:left w:val="none" w:sz="0" w:space="0" w:color="auto"/>
            <w:bottom w:val="none" w:sz="0" w:space="0" w:color="auto"/>
            <w:right w:val="none" w:sz="0" w:space="0" w:color="auto"/>
          </w:divBdr>
        </w:div>
        <w:div w:id="1885485140">
          <w:marLeft w:val="0"/>
          <w:marRight w:val="0"/>
          <w:marTop w:val="0"/>
          <w:marBottom w:val="0"/>
          <w:divBdr>
            <w:top w:val="none" w:sz="0" w:space="0" w:color="auto"/>
            <w:left w:val="none" w:sz="0" w:space="0" w:color="auto"/>
            <w:bottom w:val="none" w:sz="0" w:space="0" w:color="auto"/>
            <w:right w:val="none" w:sz="0" w:space="0" w:color="auto"/>
          </w:divBdr>
        </w:div>
      </w:divsChild>
    </w:div>
    <w:div w:id="443042850">
      <w:bodyDiv w:val="1"/>
      <w:marLeft w:val="0"/>
      <w:marRight w:val="0"/>
      <w:marTop w:val="0"/>
      <w:marBottom w:val="0"/>
      <w:divBdr>
        <w:top w:val="none" w:sz="0" w:space="0" w:color="auto"/>
        <w:left w:val="none" w:sz="0" w:space="0" w:color="auto"/>
        <w:bottom w:val="none" w:sz="0" w:space="0" w:color="auto"/>
        <w:right w:val="none" w:sz="0" w:space="0" w:color="auto"/>
      </w:divBdr>
      <w:divsChild>
        <w:div w:id="2065175137">
          <w:marLeft w:val="360"/>
          <w:marRight w:val="0"/>
          <w:marTop w:val="200"/>
          <w:marBottom w:val="0"/>
          <w:divBdr>
            <w:top w:val="none" w:sz="0" w:space="0" w:color="auto"/>
            <w:left w:val="none" w:sz="0" w:space="0" w:color="auto"/>
            <w:bottom w:val="none" w:sz="0" w:space="0" w:color="auto"/>
            <w:right w:val="none" w:sz="0" w:space="0" w:color="auto"/>
          </w:divBdr>
        </w:div>
      </w:divsChild>
    </w:div>
    <w:div w:id="522016494">
      <w:bodyDiv w:val="1"/>
      <w:marLeft w:val="0"/>
      <w:marRight w:val="0"/>
      <w:marTop w:val="0"/>
      <w:marBottom w:val="0"/>
      <w:divBdr>
        <w:top w:val="none" w:sz="0" w:space="0" w:color="auto"/>
        <w:left w:val="none" w:sz="0" w:space="0" w:color="auto"/>
        <w:bottom w:val="none" w:sz="0" w:space="0" w:color="auto"/>
        <w:right w:val="none" w:sz="0" w:space="0" w:color="auto"/>
      </w:divBdr>
    </w:div>
    <w:div w:id="641348208">
      <w:bodyDiv w:val="1"/>
      <w:marLeft w:val="0"/>
      <w:marRight w:val="0"/>
      <w:marTop w:val="0"/>
      <w:marBottom w:val="0"/>
      <w:divBdr>
        <w:top w:val="none" w:sz="0" w:space="0" w:color="auto"/>
        <w:left w:val="none" w:sz="0" w:space="0" w:color="auto"/>
        <w:bottom w:val="none" w:sz="0" w:space="0" w:color="auto"/>
        <w:right w:val="none" w:sz="0" w:space="0" w:color="auto"/>
      </w:divBdr>
      <w:divsChild>
        <w:div w:id="232936474">
          <w:marLeft w:val="0"/>
          <w:marRight w:val="0"/>
          <w:marTop w:val="0"/>
          <w:marBottom w:val="0"/>
          <w:divBdr>
            <w:top w:val="none" w:sz="0" w:space="0" w:color="auto"/>
            <w:left w:val="none" w:sz="0" w:space="0" w:color="auto"/>
            <w:bottom w:val="none" w:sz="0" w:space="0" w:color="auto"/>
            <w:right w:val="none" w:sz="0" w:space="0" w:color="auto"/>
          </w:divBdr>
        </w:div>
        <w:div w:id="413361395">
          <w:marLeft w:val="0"/>
          <w:marRight w:val="0"/>
          <w:marTop w:val="0"/>
          <w:marBottom w:val="0"/>
          <w:divBdr>
            <w:top w:val="none" w:sz="0" w:space="0" w:color="auto"/>
            <w:left w:val="none" w:sz="0" w:space="0" w:color="auto"/>
            <w:bottom w:val="none" w:sz="0" w:space="0" w:color="auto"/>
            <w:right w:val="none" w:sz="0" w:space="0" w:color="auto"/>
          </w:divBdr>
        </w:div>
        <w:div w:id="1968774834">
          <w:marLeft w:val="0"/>
          <w:marRight w:val="0"/>
          <w:marTop w:val="0"/>
          <w:marBottom w:val="0"/>
          <w:divBdr>
            <w:top w:val="none" w:sz="0" w:space="0" w:color="auto"/>
            <w:left w:val="none" w:sz="0" w:space="0" w:color="auto"/>
            <w:bottom w:val="none" w:sz="0" w:space="0" w:color="auto"/>
            <w:right w:val="none" w:sz="0" w:space="0" w:color="auto"/>
          </w:divBdr>
        </w:div>
      </w:divsChild>
    </w:div>
    <w:div w:id="758214074">
      <w:bodyDiv w:val="1"/>
      <w:marLeft w:val="0"/>
      <w:marRight w:val="0"/>
      <w:marTop w:val="0"/>
      <w:marBottom w:val="0"/>
      <w:divBdr>
        <w:top w:val="none" w:sz="0" w:space="0" w:color="auto"/>
        <w:left w:val="none" w:sz="0" w:space="0" w:color="auto"/>
        <w:bottom w:val="none" w:sz="0" w:space="0" w:color="auto"/>
        <w:right w:val="none" w:sz="0" w:space="0" w:color="auto"/>
      </w:divBdr>
      <w:divsChild>
        <w:div w:id="361054247">
          <w:marLeft w:val="360"/>
          <w:marRight w:val="0"/>
          <w:marTop w:val="200"/>
          <w:marBottom w:val="0"/>
          <w:divBdr>
            <w:top w:val="none" w:sz="0" w:space="0" w:color="auto"/>
            <w:left w:val="none" w:sz="0" w:space="0" w:color="auto"/>
            <w:bottom w:val="none" w:sz="0" w:space="0" w:color="auto"/>
            <w:right w:val="none" w:sz="0" w:space="0" w:color="auto"/>
          </w:divBdr>
        </w:div>
      </w:divsChild>
    </w:div>
    <w:div w:id="77591081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20163998">
      <w:bodyDiv w:val="1"/>
      <w:marLeft w:val="0"/>
      <w:marRight w:val="0"/>
      <w:marTop w:val="0"/>
      <w:marBottom w:val="0"/>
      <w:divBdr>
        <w:top w:val="none" w:sz="0" w:space="0" w:color="auto"/>
        <w:left w:val="none" w:sz="0" w:space="0" w:color="auto"/>
        <w:bottom w:val="none" w:sz="0" w:space="0" w:color="auto"/>
        <w:right w:val="none" w:sz="0" w:space="0" w:color="auto"/>
      </w:divBdr>
      <w:divsChild>
        <w:div w:id="452090333">
          <w:marLeft w:val="0"/>
          <w:marRight w:val="0"/>
          <w:marTop w:val="0"/>
          <w:marBottom w:val="0"/>
          <w:divBdr>
            <w:top w:val="none" w:sz="0" w:space="0" w:color="auto"/>
            <w:left w:val="none" w:sz="0" w:space="0" w:color="auto"/>
            <w:bottom w:val="none" w:sz="0" w:space="0" w:color="auto"/>
            <w:right w:val="none" w:sz="0" w:space="0" w:color="auto"/>
          </w:divBdr>
          <w:divsChild>
            <w:div w:id="101996744">
              <w:marLeft w:val="-75"/>
              <w:marRight w:val="0"/>
              <w:marTop w:val="30"/>
              <w:marBottom w:val="30"/>
              <w:divBdr>
                <w:top w:val="none" w:sz="0" w:space="0" w:color="auto"/>
                <w:left w:val="none" w:sz="0" w:space="0" w:color="auto"/>
                <w:bottom w:val="none" w:sz="0" w:space="0" w:color="auto"/>
                <w:right w:val="none" w:sz="0" w:space="0" w:color="auto"/>
              </w:divBdr>
              <w:divsChild>
                <w:div w:id="121385473">
                  <w:marLeft w:val="0"/>
                  <w:marRight w:val="0"/>
                  <w:marTop w:val="0"/>
                  <w:marBottom w:val="0"/>
                  <w:divBdr>
                    <w:top w:val="none" w:sz="0" w:space="0" w:color="auto"/>
                    <w:left w:val="none" w:sz="0" w:space="0" w:color="auto"/>
                    <w:bottom w:val="none" w:sz="0" w:space="0" w:color="auto"/>
                    <w:right w:val="none" w:sz="0" w:space="0" w:color="auto"/>
                  </w:divBdr>
                  <w:divsChild>
                    <w:div w:id="1830831042">
                      <w:marLeft w:val="0"/>
                      <w:marRight w:val="0"/>
                      <w:marTop w:val="0"/>
                      <w:marBottom w:val="0"/>
                      <w:divBdr>
                        <w:top w:val="none" w:sz="0" w:space="0" w:color="auto"/>
                        <w:left w:val="none" w:sz="0" w:space="0" w:color="auto"/>
                        <w:bottom w:val="none" w:sz="0" w:space="0" w:color="auto"/>
                        <w:right w:val="none" w:sz="0" w:space="0" w:color="auto"/>
                      </w:divBdr>
                    </w:div>
                  </w:divsChild>
                </w:div>
                <w:div w:id="687876281">
                  <w:marLeft w:val="0"/>
                  <w:marRight w:val="0"/>
                  <w:marTop w:val="0"/>
                  <w:marBottom w:val="0"/>
                  <w:divBdr>
                    <w:top w:val="none" w:sz="0" w:space="0" w:color="auto"/>
                    <w:left w:val="none" w:sz="0" w:space="0" w:color="auto"/>
                    <w:bottom w:val="none" w:sz="0" w:space="0" w:color="auto"/>
                    <w:right w:val="none" w:sz="0" w:space="0" w:color="auto"/>
                  </w:divBdr>
                  <w:divsChild>
                    <w:div w:id="1752238105">
                      <w:marLeft w:val="0"/>
                      <w:marRight w:val="0"/>
                      <w:marTop w:val="0"/>
                      <w:marBottom w:val="0"/>
                      <w:divBdr>
                        <w:top w:val="none" w:sz="0" w:space="0" w:color="auto"/>
                        <w:left w:val="none" w:sz="0" w:space="0" w:color="auto"/>
                        <w:bottom w:val="none" w:sz="0" w:space="0" w:color="auto"/>
                        <w:right w:val="none" w:sz="0" w:space="0" w:color="auto"/>
                      </w:divBdr>
                    </w:div>
                  </w:divsChild>
                </w:div>
                <w:div w:id="757797165">
                  <w:marLeft w:val="0"/>
                  <w:marRight w:val="0"/>
                  <w:marTop w:val="0"/>
                  <w:marBottom w:val="0"/>
                  <w:divBdr>
                    <w:top w:val="none" w:sz="0" w:space="0" w:color="auto"/>
                    <w:left w:val="none" w:sz="0" w:space="0" w:color="auto"/>
                    <w:bottom w:val="none" w:sz="0" w:space="0" w:color="auto"/>
                    <w:right w:val="none" w:sz="0" w:space="0" w:color="auto"/>
                  </w:divBdr>
                  <w:divsChild>
                    <w:div w:id="1293053307">
                      <w:marLeft w:val="0"/>
                      <w:marRight w:val="0"/>
                      <w:marTop w:val="0"/>
                      <w:marBottom w:val="0"/>
                      <w:divBdr>
                        <w:top w:val="none" w:sz="0" w:space="0" w:color="auto"/>
                        <w:left w:val="none" w:sz="0" w:space="0" w:color="auto"/>
                        <w:bottom w:val="none" w:sz="0" w:space="0" w:color="auto"/>
                        <w:right w:val="none" w:sz="0" w:space="0" w:color="auto"/>
                      </w:divBdr>
                    </w:div>
                  </w:divsChild>
                </w:div>
                <w:div w:id="814756606">
                  <w:marLeft w:val="0"/>
                  <w:marRight w:val="0"/>
                  <w:marTop w:val="0"/>
                  <w:marBottom w:val="0"/>
                  <w:divBdr>
                    <w:top w:val="none" w:sz="0" w:space="0" w:color="auto"/>
                    <w:left w:val="none" w:sz="0" w:space="0" w:color="auto"/>
                    <w:bottom w:val="none" w:sz="0" w:space="0" w:color="auto"/>
                    <w:right w:val="none" w:sz="0" w:space="0" w:color="auto"/>
                  </w:divBdr>
                  <w:divsChild>
                    <w:div w:id="1684093157">
                      <w:marLeft w:val="0"/>
                      <w:marRight w:val="0"/>
                      <w:marTop w:val="0"/>
                      <w:marBottom w:val="0"/>
                      <w:divBdr>
                        <w:top w:val="none" w:sz="0" w:space="0" w:color="auto"/>
                        <w:left w:val="none" w:sz="0" w:space="0" w:color="auto"/>
                        <w:bottom w:val="none" w:sz="0" w:space="0" w:color="auto"/>
                        <w:right w:val="none" w:sz="0" w:space="0" w:color="auto"/>
                      </w:divBdr>
                    </w:div>
                  </w:divsChild>
                </w:div>
                <w:div w:id="842745360">
                  <w:marLeft w:val="0"/>
                  <w:marRight w:val="0"/>
                  <w:marTop w:val="0"/>
                  <w:marBottom w:val="0"/>
                  <w:divBdr>
                    <w:top w:val="none" w:sz="0" w:space="0" w:color="auto"/>
                    <w:left w:val="none" w:sz="0" w:space="0" w:color="auto"/>
                    <w:bottom w:val="none" w:sz="0" w:space="0" w:color="auto"/>
                    <w:right w:val="none" w:sz="0" w:space="0" w:color="auto"/>
                  </w:divBdr>
                  <w:divsChild>
                    <w:div w:id="1706324601">
                      <w:marLeft w:val="0"/>
                      <w:marRight w:val="0"/>
                      <w:marTop w:val="0"/>
                      <w:marBottom w:val="0"/>
                      <w:divBdr>
                        <w:top w:val="none" w:sz="0" w:space="0" w:color="auto"/>
                        <w:left w:val="none" w:sz="0" w:space="0" w:color="auto"/>
                        <w:bottom w:val="none" w:sz="0" w:space="0" w:color="auto"/>
                        <w:right w:val="none" w:sz="0" w:space="0" w:color="auto"/>
                      </w:divBdr>
                    </w:div>
                  </w:divsChild>
                </w:div>
                <w:div w:id="845944738">
                  <w:marLeft w:val="0"/>
                  <w:marRight w:val="0"/>
                  <w:marTop w:val="0"/>
                  <w:marBottom w:val="0"/>
                  <w:divBdr>
                    <w:top w:val="none" w:sz="0" w:space="0" w:color="auto"/>
                    <w:left w:val="none" w:sz="0" w:space="0" w:color="auto"/>
                    <w:bottom w:val="none" w:sz="0" w:space="0" w:color="auto"/>
                    <w:right w:val="none" w:sz="0" w:space="0" w:color="auto"/>
                  </w:divBdr>
                  <w:divsChild>
                    <w:div w:id="1551847054">
                      <w:marLeft w:val="0"/>
                      <w:marRight w:val="0"/>
                      <w:marTop w:val="0"/>
                      <w:marBottom w:val="0"/>
                      <w:divBdr>
                        <w:top w:val="none" w:sz="0" w:space="0" w:color="auto"/>
                        <w:left w:val="none" w:sz="0" w:space="0" w:color="auto"/>
                        <w:bottom w:val="none" w:sz="0" w:space="0" w:color="auto"/>
                        <w:right w:val="none" w:sz="0" w:space="0" w:color="auto"/>
                      </w:divBdr>
                    </w:div>
                  </w:divsChild>
                </w:div>
                <w:div w:id="1038043336">
                  <w:marLeft w:val="0"/>
                  <w:marRight w:val="0"/>
                  <w:marTop w:val="0"/>
                  <w:marBottom w:val="0"/>
                  <w:divBdr>
                    <w:top w:val="none" w:sz="0" w:space="0" w:color="auto"/>
                    <w:left w:val="none" w:sz="0" w:space="0" w:color="auto"/>
                    <w:bottom w:val="none" w:sz="0" w:space="0" w:color="auto"/>
                    <w:right w:val="none" w:sz="0" w:space="0" w:color="auto"/>
                  </w:divBdr>
                  <w:divsChild>
                    <w:div w:id="1540316435">
                      <w:marLeft w:val="0"/>
                      <w:marRight w:val="0"/>
                      <w:marTop w:val="0"/>
                      <w:marBottom w:val="0"/>
                      <w:divBdr>
                        <w:top w:val="none" w:sz="0" w:space="0" w:color="auto"/>
                        <w:left w:val="none" w:sz="0" w:space="0" w:color="auto"/>
                        <w:bottom w:val="none" w:sz="0" w:space="0" w:color="auto"/>
                        <w:right w:val="none" w:sz="0" w:space="0" w:color="auto"/>
                      </w:divBdr>
                    </w:div>
                  </w:divsChild>
                </w:div>
                <w:div w:id="1099332512">
                  <w:marLeft w:val="0"/>
                  <w:marRight w:val="0"/>
                  <w:marTop w:val="0"/>
                  <w:marBottom w:val="0"/>
                  <w:divBdr>
                    <w:top w:val="none" w:sz="0" w:space="0" w:color="auto"/>
                    <w:left w:val="none" w:sz="0" w:space="0" w:color="auto"/>
                    <w:bottom w:val="none" w:sz="0" w:space="0" w:color="auto"/>
                    <w:right w:val="none" w:sz="0" w:space="0" w:color="auto"/>
                  </w:divBdr>
                  <w:divsChild>
                    <w:div w:id="591284014">
                      <w:marLeft w:val="0"/>
                      <w:marRight w:val="0"/>
                      <w:marTop w:val="0"/>
                      <w:marBottom w:val="0"/>
                      <w:divBdr>
                        <w:top w:val="none" w:sz="0" w:space="0" w:color="auto"/>
                        <w:left w:val="none" w:sz="0" w:space="0" w:color="auto"/>
                        <w:bottom w:val="none" w:sz="0" w:space="0" w:color="auto"/>
                        <w:right w:val="none" w:sz="0" w:space="0" w:color="auto"/>
                      </w:divBdr>
                    </w:div>
                  </w:divsChild>
                </w:div>
                <w:div w:id="1285690906">
                  <w:marLeft w:val="0"/>
                  <w:marRight w:val="0"/>
                  <w:marTop w:val="0"/>
                  <w:marBottom w:val="0"/>
                  <w:divBdr>
                    <w:top w:val="none" w:sz="0" w:space="0" w:color="auto"/>
                    <w:left w:val="none" w:sz="0" w:space="0" w:color="auto"/>
                    <w:bottom w:val="none" w:sz="0" w:space="0" w:color="auto"/>
                    <w:right w:val="none" w:sz="0" w:space="0" w:color="auto"/>
                  </w:divBdr>
                  <w:divsChild>
                    <w:div w:id="622005471">
                      <w:marLeft w:val="0"/>
                      <w:marRight w:val="0"/>
                      <w:marTop w:val="0"/>
                      <w:marBottom w:val="0"/>
                      <w:divBdr>
                        <w:top w:val="none" w:sz="0" w:space="0" w:color="auto"/>
                        <w:left w:val="none" w:sz="0" w:space="0" w:color="auto"/>
                        <w:bottom w:val="none" w:sz="0" w:space="0" w:color="auto"/>
                        <w:right w:val="none" w:sz="0" w:space="0" w:color="auto"/>
                      </w:divBdr>
                    </w:div>
                  </w:divsChild>
                </w:div>
                <w:div w:id="1330520643">
                  <w:marLeft w:val="0"/>
                  <w:marRight w:val="0"/>
                  <w:marTop w:val="0"/>
                  <w:marBottom w:val="0"/>
                  <w:divBdr>
                    <w:top w:val="none" w:sz="0" w:space="0" w:color="auto"/>
                    <w:left w:val="none" w:sz="0" w:space="0" w:color="auto"/>
                    <w:bottom w:val="none" w:sz="0" w:space="0" w:color="auto"/>
                    <w:right w:val="none" w:sz="0" w:space="0" w:color="auto"/>
                  </w:divBdr>
                  <w:divsChild>
                    <w:div w:id="1144466133">
                      <w:marLeft w:val="0"/>
                      <w:marRight w:val="0"/>
                      <w:marTop w:val="0"/>
                      <w:marBottom w:val="0"/>
                      <w:divBdr>
                        <w:top w:val="none" w:sz="0" w:space="0" w:color="auto"/>
                        <w:left w:val="none" w:sz="0" w:space="0" w:color="auto"/>
                        <w:bottom w:val="none" w:sz="0" w:space="0" w:color="auto"/>
                        <w:right w:val="none" w:sz="0" w:space="0" w:color="auto"/>
                      </w:divBdr>
                    </w:div>
                  </w:divsChild>
                </w:div>
                <w:div w:id="1440906206">
                  <w:marLeft w:val="0"/>
                  <w:marRight w:val="0"/>
                  <w:marTop w:val="0"/>
                  <w:marBottom w:val="0"/>
                  <w:divBdr>
                    <w:top w:val="none" w:sz="0" w:space="0" w:color="auto"/>
                    <w:left w:val="none" w:sz="0" w:space="0" w:color="auto"/>
                    <w:bottom w:val="none" w:sz="0" w:space="0" w:color="auto"/>
                    <w:right w:val="none" w:sz="0" w:space="0" w:color="auto"/>
                  </w:divBdr>
                  <w:divsChild>
                    <w:div w:id="68313761">
                      <w:marLeft w:val="0"/>
                      <w:marRight w:val="0"/>
                      <w:marTop w:val="0"/>
                      <w:marBottom w:val="0"/>
                      <w:divBdr>
                        <w:top w:val="none" w:sz="0" w:space="0" w:color="auto"/>
                        <w:left w:val="none" w:sz="0" w:space="0" w:color="auto"/>
                        <w:bottom w:val="none" w:sz="0" w:space="0" w:color="auto"/>
                        <w:right w:val="none" w:sz="0" w:space="0" w:color="auto"/>
                      </w:divBdr>
                    </w:div>
                  </w:divsChild>
                </w:div>
                <w:div w:id="1715503092">
                  <w:marLeft w:val="0"/>
                  <w:marRight w:val="0"/>
                  <w:marTop w:val="0"/>
                  <w:marBottom w:val="0"/>
                  <w:divBdr>
                    <w:top w:val="none" w:sz="0" w:space="0" w:color="auto"/>
                    <w:left w:val="none" w:sz="0" w:space="0" w:color="auto"/>
                    <w:bottom w:val="none" w:sz="0" w:space="0" w:color="auto"/>
                    <w:right w:val="none" w:sz="0" w:space="0" w:color="auto"/>
                  </w:divBdr>
                  <w:divsChild>
                    <w:div w:id="20985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3753">
          <w:marLeft w:val="0"/>
          <w:marRight w:val="0"/>
          <w:marTop w:val="0"/>
          <w:marBottom w:val="0"/>
          <w:divBdr>
            <w:top w:val="none" w:sz="0" w:space="0" w:color="auto"/>
            <w:left w:val="none" w:sz="0" w:space="0" w:color="auto"/>
            <w:bottom w:val="none" w:sz="0" w:space="0" w:color="auto"/>
            <w:right w:val="none" w:sz="0" w:space="0" w:color="auto"/>
          </w:divBdr>
        </w:div>
        <w:div w:id="692533001">
          <w:marLeft w:val="0"/>
          <w:marRight w:val="0"/>
          <w:marTop w:val="0"/>
          <w:marBottom w:val="0"/>
          <w:divBdr>
            <w:top w:val="none" w:sz="0" w:space="0" w:color="auto"/>
            <w:left w:val="none" w:sz="0" w:space="0" w:color="auto"/>
            <w:bottom w:val="none" w:sz="0" w:space="0" w:color="auto"/>
            <w:right w:val="none" w:sz="0" w:space="0" w:color="auto"/>
          </w:divBdr>
        </w:div>
        <w:div w:id="900947919">
          <w:marLeft w:val="0"/>
          <w:marRight w:val="0"/>
          <w:marTop w:val="0"/>
          <w:marBottom w:val="0"/>
          <w:divBdr>
            <w:top w:val="none" w:sz="0" w:space="0" w:color="auto"/>
            <w:left w:val="none" w:sz="0" w:space="0" w:color="auto"/>
            <w:bottom w:val="none" w:sz="0" w:space="0" w:color="auto"/>
            <w:right w:val="none" w:sz="0" w:space="0" w:color="auto"/>
          </w:divBdr>
        </w:div>
        <w:div w:id="901714364">
          <w:marLeft w:val="0"/>
          <w:marRight w:val="0"/>
          <w:marTop w:val="0"/>
          <w:marBottom w:val="0"/>
          <w:divBdr>
            <w:top w:val="none" w:sz="0" w:space="0" w:color="auto"/>
            <w:left w:val="none" w:sz="0" w:space="0" w:color="auto"/>
            <w:bottom w:val="none" w:sz="0" w:space="0" w:color="auto"/>
            <w:right w:val="none" w:sz="0" w:space="0" w:color="auto"/>
          </w:divBdr>
        </w:div>
        <w:div w:id="1400516652">
          <w:marLeft w:val="0"/>
          <w:marRight w:val="0"/>
          <w:marTop w:val="0"/>
          <w:marBottom w:val="0"/>
          <w:divBdr>
            <w:top w:val="none" w:sz="0" w:space="0" w:color="auto"/>
            <w:left w:val="none" w:sz="0" w:space="0" w:color="auto"/>
            <w:bottom w:val="none" w:sz="0" w:space="0" w:color="auto"/>
            <w:right w:val="none" w:sz="0" w:space="0" w:color="auto"/>
          </w:divBdr>
        </w:div>
      </w:divsChild>
    </w:div>
    <w:div w:id="1039208286">
      <w:bodyDiv w:val="1"/>
      <w:marLeft w:val="0"/>
      <w:marRight w:val="0"/>
      <w:marTop w:val="0"/>
      <w:marBottom w:val="0"/>
      <w:divBdr>
        <w:top w:val="none" w:sz="0" w:space="0" w:color="auto"/>
        <w:left w:val="none" w:sz="0" w:space="0" w:color="auto"/>
        <w:bottom w:val="none" w:sz="0" w:space="0" w:color="auto"/>
        <w:right w:val="none" w:sz="0" w:space="0" w:color="auto"/>
      </w:divBdr>
      <w:divsChild>
        <w:div w:id="1333801782">
          <w:marLeft w:val="360"/>
          <w:marRight w:val="0"/>
          <w:marTop w:val="200"/>
          <w:marBottom w:val="0"/>
          <w:divBdr>
            <w:top w:val="none" w:sz="0" w:space="0" w:color="auto"/>
            <w:left w:val="none" w:sz="0" w:space="0" w:color="auto"/>
            <w:bottom w:val="none" w:sz="0" w:space="0" w:color="auto"/>
            <w:right w:val="none" w:sz="0" w:space="0" w:color="auto"/>
          </w:divBdr>
        </w:div>
      </w:divsChild>
    </w:div>
    <w:div w:id="113621963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5100613">
      <w:bodyDiv w:val="1"/>
      <w:marLeft w:val="0"/>
      <w:marRight w:val="0"/>
      <w:marTop w:val="0"/>
      <w:marBottom w:val="0"/>
      <w:divBdr>
        <w:top w:val="none" w:sz="0" w:space="0" w:color="auto"/>
        <w:left w:val="none" w:sz="0" w:space="0" w:color="auto"/>
        <w:bottom w:val="none" w:sz="0" w:space="0" w:color="auto"/>
        <w:right w:val="none" w:sz="0" w:space="0" w:color="auto"/>
      </w:divBdr>
      <w:divsChild>
        <w:div w:id="1922332649">
          <w:marLeft w:val="0"/>
          <w:marRight w:val="0"/>
          <w:marTop w:val="30"/>
          <w:marBottom w:val="30"/>
          <w:divBdr>
            <w:top w:val="none" w:sz="0" w:space="0" w:color="auto"/>
            <w:left w:val="none" w:sz="0" w:space="0" w:color="auto"/>
            <w:bottom w:val="none" w:sz="0" w:space="0" w:color="auto"/>
            <w:right w:val="none" w:sz="0" w:space="0" w:color="auto"/>
          </w:divBdr>
          <w:divsChild>
            <w:div w:id="97524750">
              <w:marLeft w:val="0"/>
              <w:marRight w:val="0"/>
              <w:marTop w:val="0"/>
              <w:marBottom w:val="0"/>
              <w:divBdr>
                <w:top w:val="none" w:sz="0" w:space="0" w:color="auto"/>
                <w:left w:val="none" w:sz="0" w:space="0" w:color="auto"/>
                <w:bottom w:val="none" w:sz="0" w:space="0" w:color="auto"/>
                <w:right w:val="none" w:sz="0" w:space="0" w:color="auto"/>
              </w:divBdr>
              <w:divsChild>
                <w:div w:id="382364016">
                  <w:marLeft w:val="0"/>
                  <w:marRight w:val="0"/>
                  <w:marTop w:val="0"/>
                  <w:marBottom w:val="0"/>
                  <w:divBdr>
                    <w:top w:val="none" w:sz="0" w:space="0" w:color="auto"/>
                    <w:left w:val="none" w:sz="0" w:space="0" w:color="auto"/>
                    <w:bottom w:val="none" w:sz="0" w:space="0" w:color="auto"/>
                    <w:right w:val="none" w:sz="0" w:space="0" w:color="auto"/>
                  </w:divBdr>
                </w:div>
              </w:divsChild>
            </w:div>
            <w:div w:id="160775490">
              <w:marLeft w:val="0"/>
              <w:marRight w:val="0"/>
              <w:marTop w:val="0"/>
              <w:marBottom w:val="0"/>
              <w:divBdr>
                <w:top w:val="none" w:sz="0" w:space="0" w:color="auto"/>
                <w:left w:val="none" w:sz="0" w:space="0" w:color="auto"/>
                <w:bottom w:val="none" w:sz="0" w:space="0" w:color="auto"/>
                <w:right w:val="none" w:sz="0" w:space="0" w:color="auto"/>
              </w:divBdr>
              <w:divsChild>
                <w:div w:id="1646737602">
                  <w:marLeft w:val="0"/>
                  <w:marRight w:val="0"/>
                  <w:marTop w:val="0"/>
                  <w:marBottom w:val="0"/>
                  <w:divBdr>
                    <w:top w:val="none" w:sz="0" w:space="0" w:color="auto"/>
                    <w:left w:val="none" w:sz="0" w:space="0" w:color="auto"/>
                    <w:bottom w:val="none" w:sz="0" w:space="0" w:color="auto"/>
                    <w:right w:val="none" w:sz="0" w:space="0" w:color="auto"/>
                  </w:divBdr>
                </w:div>
              </w:divsChild>
            </w:div>
            <w:div w:id="340086001">
              <w:marLeft w:val="0"/>
              <w:marRight w:val="0"/>
              <w:marTop w:val="0"/>
              <w:marBottom w:val="0"/>
              <w:divBdr>
                <w:top w:val="none" w:sz="0" w:space="0" w:color="auto"/>
                <w:left w:val="none" w:sz="0" w:space="0" w:color="auto"/>
                <w:bottom w:val="none" w:sz="0" w:space="0" w:color="auto"/>
                <w:right w:val="none" w:sz="0" w:space="0" w:color="auto"/>
              </w:divBdr>
              <w:divsChild>
                <w:div w:id="1018043771">
                  <w:marLeft w:val="0"/>
                  <w:marRight w:val="0"/>
                  <w:marTop w:val="0"/>
                  <w:marBottom w:val="0"/>
                  <w:divBdr>
                    <w:top w:val="none" w:sz="0" w:space="0" w:color="auto"/>
                    <w:left w:val="none" w:sz="0" w:space="0" w:color="auto"/>
                    <w:bottom w:val="none" w:sz="0" w:space="0" w:color="auto"/>
                    <w:right w:val="none" w:sz="0" w:space="0" w:color="auto"/>
                  </w:divBdr>
                </w:div>
              </w:divsChild>
            </w:div>
            <w:div w:id="386301759">
              <w:marLeft w:val="0"/>
              <w:marRight w:val="0"/>
              <w:marTop w:val="0"/>
              <w:marBottom w:val="0"/>
              <w:divBdr>
                <w:top w:val="none" w:sz="0" w:space="0" w:color="auto"/>
                <w:left w:val="none" w:sz="0" w:space="0" w:color="auto"/>
                <w:bottom w:val="none" w:sz="0" w:space="0" w:color="auto"/>
                <w:right w:val="none" w:sz="0" w:space="0" w:color="auto"/>
              </w:divBdr>
              <w:divsChild>
                <w:div w:id="690374802">
                  <w:marLeft w:val="0"/>
                  <w:marRight w:val="0"/>
                  <w:marTop w:val="0"/>
                  <w:marBottom w:val="0"/>
                  <w:divBdr>
                    <w:top w:val="none" w:sz="0" w:space="0" w:color="auto"/>
                    <w:left w:val="none" w:sz="0" w:space="0" w:color="auto"/>
                    <w:bottom w:val="none" w:sz="0" w:space="0" w:color="auto"/>
                    <w:right w:val="none" w:sz="0" w:space="0" w:color="auto"/>
                  </w:divBdr>
                </w:div>
              </w:divsChild>
            </w:div>
            <w:div w:id="391589093">
              <w:marLeft w:val="0"/>
              <w:marRight w:val="0"/>
              <w:marTop w:val="0"/>
              <w:marBottom w:val="0"/>
              <w:divBdr>
                <w:top w:val="none" w:sz="0" w:space="0" w:color="auto"/>
                <w:left w:val="none" w:sz="0" w:space="0" w:color="auto"/>
                <w:bottom w:val="none" w:sz="0" w:space="0" w:color="auto"/>
                <w:right w:val="none" w:sz="0" w:space="0" w:color="auto"/>
              </w:divBdr>
              <w:divsChild>
                <w:div w:id="1366713688">
                  <w:marLeft w:val="0"/>
                  <w:marRight w:val="0"/>
                  <w:marTop w:val="0"/>
                  <w:marBottom w:val="0"/>
                  <w:divBdr>
                    <w:top w:val="none" w:sz="0" w:space="0" w:color="auto"/>
                    <w:left w:val="none" w:sz="0" w:space="0" w:color="auto"/>
                    <w:bottom w:val="none" w:sz="0" w:space="0" w:color="auto"/>
                    <w:right w:val="none" w:sz="0" w:space="0" w:color="auto"/>
                  </w:divBdr>
                </w:div>
              </w:divsChild>
            </w:div>
            <w:div w:id="398401386">
              <w:marLeft w:val="0"/>
              <w:marRight w:val="0"/>
              <w:marTop w:val="0"/>
              <w:marBottom w:val="0"/>
              <w:divBdr>
                <w:top w:val="none" w:sz="0" w:space="0" w:color="auto"/>
                <w:left w:val="none" w:sz="0" w:space="0" w:color="auto"/>
                <w:bottom w:val="none" w:sz="0" w:space="0" w:color="auto"/>
                <w:right w:val="none" w:sz="0" w:space="0" w:color="auto"/>
              </w:divBdr>
              <w:divsChild>
                <w:div w:id="992685503">
                  <w:marLeft w:val="0"/>
                  <w:marRight w:val="0"/>
                  <w:marTop w:val="0"/>
                  <w:marBottom w:val="0"/>
                  <w:divBdr>
                    <w:top w:val="none" w:sz="0" w:space="0" w:color="auto"/>
                    <w:left w:val="none" w:sz="0" w:space="0" w:color="auto"/>
                    <w:bottom w:val="none" w:sz="0" w:space="0" w:color="auto"/>
                    <w:right w:val="none" w:sz="0" w:space="0" w:color="auto"/>
                  </w:divBdr>
                </w:div>
              </w:divsChild>
            </w:div>
            <w:div w:id="893396393">
              <w:marLeft w:val="0"/>
              <w:marRight w:val="0"/>
              <w:marTop w:val="0"/>
              <w:marBottom w:val="0"/>
              <w:divBdr>
                <w:top w:val="none" w:sz="0" w:space="0" w:color="auto"/>
                <w:left w:val="none" w:sz="0" w:space="0" w:color="auto"/>
                <w:bottom w:val="none" w:sz="0" w:space="0" w:color="auto"/>
                <w:right w:val="none" w:sz="0" w:space="0" w:color="auto"/>
              </w:divBdr>
              <w:divsChild>
                <w:div w:id="858811845">
                  <w:marLeft w:val="0"/>
                  <w:marRight w:val="0"/>
                  <w:marTop w:val="0"/>
                  <w:marBottom w:val="0"/>
                  <w:divBdr>
                    <w:top w:val="none" w:sz="0" w:space="0" w:color="auto"/>
                    <w:left w:val="none" w:sz="0" w:space="0" w:color="auto"/>
                    <w:bottom w:val="none" w:sz="0" w:space="0" w:color="auto"/>
                    <w:right w:val="none" w:sz="0" w:space="0" w:color="auto"/>
                  </w:divBdr>
                </w:div>
              </w:divsChild>
            </w:div>
            <w:div w:id="959268056">
              <w:marLeft w:val="0"/>
              <w:marRight w:val="0"/>
              <w:marTop w:val="0"/>
              <w:marBottom w:val="0"/>
              <w:divBdr>
                <w:top w:val="none" w:sz="0" w:space="0" w:color="auto"/>
                <w:left w:val="none" w:sz="0" w:space="0" w:color="auto"/>
                <w:bottom w:val="none" w:sz="0" w:space="0" w:color="auto"/>
                <w:right w:val="none" w:sz="0" w:space="0" w:color="auto"/>
              </w:divBdr>
              <w:divsChild>
                <w:div w:id="254482095">
                  <w:marLeft w:val="0"/>
                  <w:marRight w:val="0"/>
                  <w:marTop w:val="0"/>
                  <w:marBottom w:val="0"/>
                  <w:divBdr>
                    <w:top w:val="none" w:sz="0" w:space="0" w:color="auto"/>
                    <w:left w:val="none" w:sz="0" w:space="0" w:color="auto"/>
                    <w:bottom w:val="none" w:sz="0" w:space="0" w:color="auto"/>
                    <w:right w:val="none" w:sz="0" w:space="0" w:color="auto"/>
                  </w:divBdr>
                </w:div>
              </w:divsChild>
            </w:div>
            <w:div w:id="1080566700">
              <w:marLeft w:val="0"/>
              <w:marRight w:val="0"/>
              <w:marTop w:val="0"/>
              <w:marBottom w:val="0"/>
              <w:divBdr>
                <w:top w:val="none" w:sz="0" w:space="0" w:color="auto"/>
                <w:left w:val="none" w:sz="0" w:space="0" w:color="auto"/>
                <w:bottom w:val="none" w:sz="0" w:space="0" w:color="auto"/>
                <w:right w:val="none" w:sz="0" w:space="0" w:color="auto"/>
              </w:divBdr>
              <w:divsChild>
                <w:div w:id="1621910500">
                  <w:marLeft w:val="0"/>
                  <w:marRight w:val="0"/>
                  <w:marTop w:val="0"/>
                  <w:marBottom w:val="0"/>
                  <w:divBdr>
                    <w:top w:val="none" w:sz="0" w:space="0" w:color="auto"/>
                    <w:left w:val="none" w:sz="0" w:space="0" w:color="auto"/>
                    <w:bottom w:val="none" w:sz="0" w:space="0" w:color="auto"/>
                    <w:right w:val="none" w:sz="0" w:space="0" w:color="auto"/>
                  </w:divBdr>
                </w:div>
              </w:divsChild>
            </w:div>
            <w:div w:id="1259948154">
              <w:marLeft w:val="0"/>
              <w:marRight w:val="0"/>
              <w:marTop w:val="0"/>
              <w:marBottom w:val="0"/>
              <w:divBdr>
                <w:top w:val="none" w:sz="0" w:space="0" w:color="auto"/>
                <w:left w:val="none" w:sz="0" w:space="0" w:color="auto"/>
                <w:bottom w:val="none" w:sz="0" w:space="0" w:color="auto"/>
                <w:right w:val="none" w:sz="0" w:space="0" w:color="auto"/>
              </w:divBdr>
              <w:divsChild>
                <w:div w:id="1013068492">
                  <w:marLeft w:val="0"/>
                  <w:marRight w:val="0"/>
                  <w:marTop w:val="0"/>
                  <w:marBottom w:val="0"/>
                  <w:divBdr>
                    <w:top w:val="none" w:sz="0" w:space="0" w:color="auto"/>
                    <w:left w:val="none" w:sz="0" w:space="0" w:color="auto"/>
                    <w:bottom w:val="none" w:sz="0" w:space="0" w:color="auto"/>
                    <w:right w:val="none" w:sz="0" w:space="0" w:color="auto"/>
                  </w:divBdr>
                </w:div>
              </w:divsChild>
            </w:div>
            <w:div w:id="1426926284">
              <w:marLeft w:val="0"/>
              <w:marRight w:val="0"/>
              <w:marTop w:val="0"/>
              <w:marBottom w:val="0"/>
              <w:divBdr>
                <w:top w:val="none" w:sz="0" w:space="0" w:color="auto"/>
                <w:left w:val="none" w:sz="0" w:space="0" w:color="auto"/>
                <w:bottom w:val="none" w:sz="0" w:space="0" w:color="auto"/>
                <w:right w:val="none" w:sz="0" w:space="0" w:color="auto"/>
              </w:divBdr>
              <w:divsChild>
                <w:div w:id="393433116">
                  <w:marLeft w:val="0"/>
                  <w:marRight w:val="0"/>
                  <w:marTop w:val="0"/>
                  <w:marBottom w:val="0"/>
                  <w:divBdr>
                    <w:top w:val="none" w:sz="0" w:space="0" w:color="auto"/>
                    <w:left w:val="none" w:sz="0" w:space="0" w:color="auto"/>
                    <w:bottom w:val="none" w:sz="0" w:space="0" w:color="auto"/>
                    <w:right w:val="none" w:sz="0" w:space="0" w:color="auto"/>
                  </w:divBdr>
                </w:div>
              </w:divsChild>
            </w:div>
            <w:div w:id="1449087767">
              <w:marLeft w:val="0"/>
              <w:marRight w:val="0"/>
              <w:marTop w:val="0"/>
              <w:marBottom w:val="0"/>
              <w:divBdr>
                <w:top w:val="none" w:sz="0" w:space="0" w:color="auto"/>
                <w:left w:val="none" w:sz="0" w:space="0" w:color="auto"/>
                <w:bottom w:val="none" w:sz="0" w:space="0" w:color="auto"/>
                <w:right w:val="none" w:sz="0" w:space="0" w:color="auto"/>
              </w:divBdr>
              <w:divsChild>
                <w:div w:id="382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7957731">
      <w:bodyDiv w:val="1"/>
      <w:marLeft w:val="0"/>
      <w:marRight w:val="0"/>
      <w:marTop w:val="0"/>
      <w:marBottom w:val="0"/>
      <w:divBdr>
        <w:top w:val="none" w:sz="0" w:space="0" w:color="auto"/>
        <w:left w:val="none" w:sz="0" w:space="0" w:color="auto"/>
        <w:bottom w:val="none" w:sz="0" w:space="0" w:color="auto"/>
        <w:right w:val="none" w:sz="0" w:space="0" w:color="auto"/>
      </w:divBdr>
    </w:div>
    <w:div w:id="1310286451">
      <w:bodyDiv w:val="1"/>
      <w:marLeft w:val="0"/>
      <w:marRight w:val="0"/>
      <w:marTop w:val="0"/>
      <w:marBottom w:val="0"/>
      <w:divBdr>
        <w:top w:val="none" w:sz="0" w:space="0" w:color="auto"/>
        <w:left w:val="none" w:sz="0" w:space="0" w:color="auto"/>
        <w:bottom w:val="none" w:sz="0" w:space="0" w:color="auto"/>
        <w:right w:val="none" w:sz="0" w:space="0" w:color="auto"/>
      </w:divBdr>
    </w:div>
    <w:div w:id="1376928660">
      <w:bodyDiv w:val="1"/>
      <w:marLeft w:val="0"/>
      <w:marRight w:val="0"/>
      <w:marTop w:val="0"/>
      <w:marBottom w:val="0"/>
      <w:divBdr>
        <w:top w:val="none" w:sz="0" w:space="0" w:color="auto"/>
        <w:left w:val="none" w:sz="0" w:space="0" w:color="auto"/>
        <w:bottom w:val="none" w:sz="0" w:space="0" w:color="auto"/>
        <w:right w:val="none" w:sz="0" w:space="0" w:color="auto"/>
      </w:divBdr>
      <w:divsChild>
        <w:div w:id="287319251">
          <w:marLeft w:val="0"/>
          <w:marRight w:val="0"/>
          <w:marTop w:val="0"/>
          <w:marBottom w:val="0"/>
          <w:divBdr>
            <w:top w:val="none" w:sz="0" w:space="0" w:color="auto"/>
            <w:left w:val="none" w:sz="0" w:space="0" w:color="auto"/>
            <w:bottom w:val="none" w:sz="0" w:space="0" w:color="auto"/>
            <w:right w:val="none" w:sz="0" w:space="0" w:color="auto"/>
          </w:divBdr>
        </w:div>
        <w:div w:id="525144129">
          <w:marLeft w:val="0"/>
          <w:marRight w:val="0"/>
          <w:marTop w:val="0"/>
          <w:marBottom w:val="0"/>
          <w:divBdr>
            <w:top w:val="none" w:sz="0" w:space="0" w:color="auto"/>
            <w:left w:val="none" w:sz="0" w:space="0" w:color="auto"/>
            <w:bottom w:val="none" w:sz="0" w:space="0" w:color="auto"/>
            <w:right w:val="none" w:sz="0" w:space="0" w:color="auto"/>
          </w:divBdr>
        </w:div>
        <w:div w:id="907106966">
          <w:marLeft w:val="0"/>
          <w:marRight w:val="0"/>
          <w:marTop w:val="0"/>
          <w:marBottom w:val="0"/>
          <w:divBdr>
            <w:top w:val="none" w:sz="0" w:space="0" w:color="auto"/>
            <w:left w:val="none" w:sz="0" w:space="0" w:color="auto"/>
            <w:bottom w:val="none" w:sz="0" w:space="0" w:color="auto"/>
            <w:right w:val="none" w:sz="0" w:space="0" w:color="auto"/>
          </w:divBdr>
        </w:div>
      </w:divsChild>
    </w:div>
    <w:div w:id="1650355185">
      <w:bodyDiv w:val="1"/>
      <w:marLeft w:val="0"/>
      <w:marRight w:val="0"/>
      <w:marTop w:val="0"/>
      <w:marBottom w:val="0"/>
      <w:divBdr>
        <w:top w:val="none" w:sz="0" w:space="0" w:color="auto"/>
        <w:left w:val="none" w:sz="0" w:space="0" w:color="auto"/>
        <w:bottom w:val="none" w:sz="0" w:space="0" w:color="auto"/>
        <w:right w:val="none" w:sz="0" w:space="0" w:color="auto"/>
      </w:divBdr>
      <w:divsChild>
        <w:div w:id="146292245">
          <w:marLeft w:val="0"/>
          <w:marRight w:val="0"/>
          <w:marTop w:val="0"/>
          <w:marBottom w:val="0"/>
          <w:divBdr>
            <w:top w:val="none" w:sz="0" w:space="0" w:color="auto"/>
            <w:left w:val="none" w:sz="0" w:space="0" w:color="auto"/>
            <w:bottom w:val="none" w:sz="0" w:space="0" w:color="auto"/>
            <w:right w:val="none" w:sz="0" w:space="0" w:color="auto"/>
          </w:divBdr>
        </w:div>
        <w:div w:id="295336754">
          <w:marLeft w:val="0"/>
          <w:marRight w:val="0"/>
          <w:marTop w:val="0"/>
          <w:marBottom w:val="0"/>
          <w:divBdr>
            <w:top w:val="none" w:sz="0" w:space="0" w:color="auto"/>
            <w:left w:val="none" w:sz="0" w:space="0" w:color="auto"/>
            <w:bottom w:val="none" w:sz="0" w:space="0" w:color="auto"/>
            <w:right w:val="none" w:sz="0" w:space="0" w:color="auto"/>
          </w:divBdr>
        </w:div>
        <w:div w:id="850336375">
          <w:marLeft w:val="0"/>
          <w:marRight w:val="0"/>
          <w:marTop w:val="0"/>
          <w:marBottom w:val="0"/>
          <w:divBdr>
            <w:top w:val="none" w:sz="0" w:space="0" w:color="auto"/>
            <w:left w:val="none" w:sz="0" w:space="0" w:color="auto"/>
            <w:bottom w:val="none" w:sz="0" w:space="0" w:color="auto"/>
            <w:right w:val="none" w:sz="0" w:space="0" w:color="auto"/>
          </w:divBdr>
        </w:div>
        <w:div w:id="1163618144">
          <w:marLeft w:val="0"/>
          <w:marRight w:val="0"/>
          <w:marTop w:val="0"/>
          <w:marBottom w:val="0"/>
          <w:divBdr>
            <w:top w:val="none" w:sz="0" w:space="0" w:color="auto"/>
            <w:left w:val="none" w:sz="0" w:space="0" w:color="auto"/>
            <w:bottom w:val="none" w:sz="0" w:space="0" w:color="auto"/>
            <w:right w:val="none" w:sz="0" w:space="0" w:color="auto"/>
          </w:divBdr>
        </w:div>
        <w:div w:id="1505439169">
          <w:marLeft w:val="0"/>
          <w:marRight w:val="0"/>
          <w:marTop w:val="0"/>
          <w:marBottom w:val="0"/>
          <w:divBdr>
            <w:top w:val="none" w:sz="0" w:space="0" w:color="auto"/>
            <w:left w:val="none" w:sz="0" w:space="0" w:color="auto"/>
            <w:bottom w:val="none" w:sz="0" w:space="0" w:color="auto"/>
            <w:right w:val="none" w:sz="0" w:space="0" w:color="auto"/>
          </w:divBdr>
        </w:div>
        <w:div w:id="1597664747">
          <w:marLeft w:val="0"/>
          <w:marRight w:val="0"/>
          <w:marTop w:val="0"/>
          <w:marBottom w:val="0"/>
          <w:divBdr>
            <w:top w:val="none" w:sz="0" w:space="0" w:color="auto"/>
            <w:left w:val="none" w:sz="0" w:space="0" w:color="auto"/>
            <w:bottom w:val="none" w:sz="0" w:space="0" w:color="auto"/>
            <w:right w:val="none" w:sz="0" w:space="0" w:color="auto"/>
          </w:divBdr>
        </w:div>
        <w:div w:id="1926718672">
          <w:marLeft w:val="0"/>
          <w:marRight w:val="0"/>
          <w:marTop w:val="0"/>
          <w:marBottom w:val="0"/>
          <w:divBdr>
            <w:top w:val="none" w:sz="0" w:space="0" w:color="auto"/>
            <w:left w:val="none" w:sz="0" w:space="0" w:color="auto"/>
            <w:bottom w:val="none" w:sz="0" w:space="0" w:color="auto"/>
            <w:right w:val="none" w:sz="0" w:space="0" w:color="auto"/>
          </w:divBdr>
        </w:div>
      </w:divsChild>
    </w:div>
    <w:div w:id="1700273925">
      <w:bodyDiv w:val="1"/>
      <w:marLeft w:val="0"/>
      <w:marRight w:val="0"/>
      <w:marTop w:val="0"/>
      <w:marBottom w:val="0"/>
      <w:divBdr>
        <w:top w:val="none" w:sz="0" w:space="0" w:color="auto"/>
        <w:left w:val="none" w:sz="0" w:space="0" w:color="auto"/>
        <w:bottom w:val="none" w:sz="0" w:space="0" w:color="auto"/>
        <w:right w:val="none" w:sz="0" w:space="0" w:color="auto"/>
      </w:divBdr>
      <w:divsChild>
        <w:div w:id="116413771">
          <w:marLeft w:val="0"/>
          <w:marRight w:val="0"/>
          <w:marTop w:val="0"/>
          <w:marBottom w:val="0"/>
          <w:divBdr>
            <w:top w:val="none" w:sz="0" w:space="0" w:color="auto"/>
            <w:left w:val="none" w:sz="0" w:space="0" w:color="auto"/>
            <w:bottom w:val="none" w:sz="0" w:space="0" w:color="auto"/>
            <w:right w:val="none" w:sz="0" w:space="0" w:color="auto"/>
          </w:divBdr>
          <w:divsChild>
            <w:div w:id="1284575317">
              <w:marLeft w:val="0"/>
              <w:marRight w:val="0"/>
              <w:marTop w:val="0"/>
              <w:marBottom w:val="0"/>
              <w:divBdr>
                <w:top w:val="none" w:sz="0" w:space="0" w:color="auto"/>
                <w:left w:val="none" w:sz="0" w:space="0" w:color="auto"/>
                <w:bottom w:val="none" w:sz="0" w:space="0" w:color="auto"/>
                <w:right w:val="none" w:sz="0" w:space="0" w:color="auto"/>
              </w:divBdr>
            </w:div>
          </w:divsChild>
        </w:div>
        <w:div w:id="1199664343">
          <w:marLeft w:val="0"/>
          <w:marRight w:val="0"/>
          <w:marTop w:val="0"/>
          <w:marBottom w:val="0"/>
          <w:divBdr>
            <w:top w:val="none" w:sz="0" w:space="0" w:color="auto"/>
            <w:left w:val="none" w:sz="0" w:space="0" w:color="auto"/>
            <w:bottom w:val="none" w:sz="0" w:space="0" w:color="auto"/>
            <w:right w:val="none" w:sz="0" w:space="0" w:color="auto"/>
          </w:divBdr>
          <w:divsChild>
            <w:div w:id="944926052">
              <w:marLeft w:val="0"/>
              <w:marRight w:val="0"/>
              <w:marTop w:val="0"/>
              <w:marBottom w:val="0"/>
              <w:divBdr>
                <w:top w:val="none" w:sz="0" w:space="0" w:color="auto"/>
                <w:left w:val="none" w:sz="0" w:space="0" w:color="auto"/>
                <w:bottom w:val="none" w:sz="0" w:space="0" w:color="auto"/>
                <w:right w:val="none" w:sz="0" w:space="0" w:color="auto"/>
              </w:divBdr>
            </w:div>
          </w:divsChild>
        </w:div>
        <w:div w:id="2107801533">
          <w:marLeft w:val="0"/>
          <w:marRight w:val="0"/>
          <w:marTop w:val="0"/>
          <w:marBottom w:val="0"/>
          <w:divBdr>
            <w:top w:val="none" w:sz="0" w:space="0" w:color="auto"/>
            <w:left w:val="none" w:sz="0" w:space="0" w:color="auto"/>
            <w:bottom w:val="none" w:sz="0" w:space="0" w:color="auto"/>
            <w:right w:val="none" w:sz="0" w:space="0" w:color="auto"/>
          </w:divBdr>
          <w:divsChild>
            <w:div w:id="15260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8480">
      <w:bodyDiv w:val="1"/>
      <w:marLeft w:val="0"/>
      <w:marRight w:val="0"/>
      <w:marTop w:val="0"/>
      <w:marBottom w:val="0"/>
      <w:divBdr>
        <w:top w:val="none" w:sz="0" w:space="0" w:color="auto"/>
        <w:left w:val="none" w:sz="0" w:space="0" w:color="auto"/>
        <w:bottom w:val="none" w:sz="0" w:space="0" w:color="auto"/>
        <w:right w:val="none" w:sz="0" w:space="0" w:color="auto"/>
      </w:divBdr>
      <w:divsChild>
        <w:div w:id="258679443">
          <w:marLeft w:val="0"/>
          <w:marRight w:val="0"/>
          <w:marTop w:val="0"/>
          <w:marBottom w:val="0"/>
          <w:divBdr>
            <w:top w:val="none" w:sz="0" w:space="0" w:color="auto"/>
            <w:left w:val="none" w:sz="0" w:space="0" w:color="auto"/>
            <w:bottom w:val="none" w:sz="0" w:space="0" w:color="auto"/>
            <w:right w:val="none" w:sz="0" w:space="0" w:color="auto"/>
          </w:divBdr>
        </w:div>
        <w:div w:id="788820240">
          <w:marLeft w:val="0"/>
          <w:marRight w:val="0"/>
          <w:marTop w:val="0"/>
          <w:marBottom w:val="0"/>
          <w:divBdr>
            <w:top w:val="none" w:sz="0" w:space="0" w:color="auto"/>
            <w:left w:val="none" w:sz="0" w:space="0" w:color="auto"/>
            <w:bottom w:val="none" w:sz="0" w:space="0" w:color="auto"/>
            <w:right w:val="none" w:sz="0" w:space="0" w:color="auto"/>
          </w:divBdr>
          <w:divsChild>
            <w:div w:id="1436510824">
              <w:marLeft w:val="-75"/>
              <w:marRight w:val="0"/>
              <w:marTop w:val="30"/>
              <w:marBottom w:val="30"/>
              <w:divBdr>
                <w:top w:val="none" w:sz="0" w:space="0" w:color="auto"/>
                <w:left w:val="none" w:sz="0" w:space="0" w:color="auto"/>
                <w:bottom w:val="none" w:sz="0" w:space="0" w:color="auto"/>
                <w:right w:val="none" w:sz="0" w:space="0" w:color="auto"/>
              </w:divBdr>
              <w:divsChild>
                <w:div w:id="20325509">
                  <w:marLeft w:val="0"/>
                  <w:marRight w:val="0"/>
                  <w:marTop w:val="0"/>
                  <w:marBottom w:val="0"/>
                  <w:divBdr>
                    <w:top w:val="none" w:sz="0" w:space="0" w:color="auto"/>
                    <w:left w:val="none" w:sz="0" w:space="0" w:color="auto"/>
                    <w:bottom w:val="none" w:sz="0" w:space="0" w:color="auto"/>
                    <w:right w:val="none" w:sz="0" w:space="0" w:color="auto"/>
                  </w:divBdr>
                  <w:divsChild>
                    <w:div w:id="454369029">
                      <w:marLeft w:val="0"/>
                      <w:marRight w:val="0"/>
                      <w:marTop w:val="0"/>
                      <w:marBottom w:val="0"/>
                      <w:divBdr>
                        <w:top w:val="none" w:sz="0" w:space="0" w:color="auto"/>
                        <w:left w:val="none" w:sz="0" w:space="0" w:color="auto"/>
                        <w:bottom w:val="none" w:sz="0" w:space="0" w:color="auto"/>
                        <w:right w:val="none" w:sz="0" w:space="0" w:color="auto"/>
                      </w:divBdr>
                    </w:div>
                  </w:divsChild>
                </w:div>
                <w:div w:id="93981682">
                  <w:marLeft w:val="0"/>
                  <w:marRight w:val="0"/>
                  <w:marTop w:val="0"/>
                  <w:marBottom w:val="0"/>
                  <w:divBdr>
                    <w:top w:val="none" w:sz="0" w:space="0" w:color="auto"/>
                    <w:left w:val="none" w:sz="0" w:space="0" w:color="auto"/>
                    <w:bottom w:val="none" w:sz="0" w:space="0" w:color="auto"/>
                    <w:right w:val="none" w:sz="0" w:space="0" w:color="auto"/>
                  </w:divBdr>
                  <w:divsChild>
                    <w:div w:id="1097487429">
                      <w:marLeft w:val="0"/>
                      <w:marRight w:val="0"/>
                      <w:marTop w:val="0"/>
                      <w:marBottom w:val="0"/>
                      <w:divBdr>
                        <w:top w:val="none" w:sz="0" w:space="0" w:color="auto"/>
                        <w:left w:val="none" w:sz="0" w:space="0" w:color="auto"/>
                        <w:bottom w:val="none" w:sz="0" w:space="0" w:color="auto"/>
                        <w:right w:val="none" w:sz="0" w:space="0" w:color="auto"/>
                      </w:divBdr>
                    </w:div>
                  </w:divsChild>
                </w:div>
                <w:div w:id="121117325">
                  <w:marLeft w:val="0"/>
                  <w:marRight w:val="0"/>
                  <w:marTop w:val="0"/>
                  <w:marBottom w:val="0"/>
                  <w:divBdr>
                    <w:top w:val="none" w:sz="0" w:space="0" w:color="auto"/>
                    <w:left w:val="none" w:sz="0" w:space="0" w:color="auto"/>
                    <w:bottom w:val="none" w:sz="0" w:space="0" w:color="auto"/>
                    <w:right w:val="none" w:sz="0" w:space="0" w:color="auto"/>
                  </w:divBdr>
                  <w:divsChild>
                    <w:div w:id="2117560074">
                      <w:marLeft w:val="0"/>
                      <w:marRight w:val="0"/>
                      <w:marTop w:val="0"/>
                      <w:marBottom w:val="0"/>
                      <w:divBdr>
                        <w:top w:val="none" w:sz="0" w:space="0" w:color="auto"/>
                        <w:left w:val="none" w:sz="0" w:space="0" w:color="auto"/>
                        <w:bottom w:val="none" w:sz="0" w:space="0" w:color="auto"/>
                        <w:right w:val="none" w:sz="0" w:space="0" w:color="auto"/>
                      </w:divBdr>
                    </w:div>
                  </w:divsChild>
                </w:div>
                <w:div w:id="126776747">
                  <w:marLeft w:val="0"/>
                  <w:marRight w:val="0"/>
                  <w:marTop w:val="0"/>
                  <w:marBottom w:val="0"/>
                  <w:divBdr>
                    <w:top w:val="none" w:sz="0" w:space="0" w:color="auto"/>
                    <w:left w:val="none" w:sz="0" w:space="0" w:color="auto"/>
                    <w:bottom w:val="none" w:sz="0" w:space="0" w:color="auto"/>
                    <w:right w:val="none" w:sz="0" w:space="0" w:color="auto"/>
                  </w:divBdr>
                  <w:divsChild>
                    <w:div w:id="59181901">
                      <w:marLeft w:val="0"/>
                      <w:marRight w:val="0"/>
                      <w:marTop w:val="0"/>
                      <w:marBottom w:val="0"/>
                      <w:divBdr>
                        <w:top w:val="none" w:sz="0" w:space="0" w:color="auto"/>
                        <w:left w:val="none" w:sz="0" w:space="0" w:color="auto"/>
                        <w:bottom w:val="none" w:sz="0" w:space="0" w:color="auto"/>
                        <w:right w:val="none" w:sz="0" w:space="0" w:color="auto"/>
                      </w:divBdr>
                    </w:div>
                  </w:divsChild>
                </w:div>
                <w:div w:id="222643669">
                  <w:marLeft w:val="0"/>
                  <w:marRight w:val="0"/>
                  <w:marTop w:val="0"/>
                  <w:marBottom w:val="0"/>
                  <w:divBdr>
                    <w:top w:val="none" w:sz="0" w:space="0" w:color="auto"/>
                    <w:left w:val="none" w:sz="0" w:space="0" w:color="auto"/>
                    <w:bottom w:val="none" w:sz="0" w:space="0" w:color="auto"/>
                    <w:right w:val="none" w:sz="0" w:space="0" w:color="auto"/>
                  </w:divBdr>
                  <w:divsChild>
                    <w:div w:id="215900934">
                      <w:marLeft w:val="0"/>
                      <w:marRight w:val="0"/>
                      <w:marTop w:val="0"/>
                      <w:marBottom w:val="0"/>
                      <w:divBdr>
                        <w:top w:val="none" w:sz="0" w:space="0" w:color="auto"/>
                        <w:left w:val="none" w:sz="0" w:space="0" w:color="auto"/>
                        <w:bottom w:val="none" w:sz="0" w:space="0" w:color="auto"/>
                        <w:right w:val="none" w:sz="0" w:space="0" w:color="auto"/>
                      </w:divBdr>
                    </w:div>
                    <w:div w:id="2084718861">
                      <w:marLeft w:val="0"/>
                      <w:marRight w:val="0"/>
                      <w:marTop w:val="0"/>
                      <w:marBottom w:val="0"/>
                      <w:divBdr>
                        <w:top w:val="none" w:sz="0" w:space="0" w:color="auto"/>
                        <w:left w:val="none" w:sz="0" w:space="0" w:color="auto"/>
                        <w:bottom w:val="none" w:sz="0" w:space="0" w:color="auto"/>
                        <w:right w:val="none" w:sz="0" w:space="0" w:color="auto"/>
                      </w:divBdr>
                    </w:div>
                  </w:divsChild>
                </w:div>
                <w:div w:id="380056301">
                  <w:marLeft w:val="0"/>
                  <w:marRight w:val="0"/>
                  <w:marTop w:val="0"/>
                  <w:marBottom w:val="0"/>
                  <w:divBdr>
                    <w:top w:val="none" w:sz="0" w:space="0" w:color="auto"/>
                    <w:left w:val="none" w:sz="0" w:space="0" w:color="auto"/>
                    <w:bottom w:val="none" w:sz="0" w:space="0" w:color="auto"/>
                    <w:right w:val="none" w:sz="0" w:space="0" w:color="auto"/>
                  </w:divBdr>
                  <w:divsChild>
                    <w:div w:id="231701416">
                      <w:marLeft w:val="0"/>
                      <w:marRight w:val="0"/>
                      <w:marTop w:val="0"/>
                      <w:marBottom w:val="0"/>
                      <w:divBdr>
                        <w:top w:val="none" w:sz="0" w:space="0" w:color="auto"/>
                        <w:left w:val="none" w:sz="0" w:space="0" w:color="auto"/>
                        <w:bottom w:val="none" w:sz="0" w:space="0" w:color="auto"/>
                        <w:right w:val="none" w:sz="0" w:space="0" w:color="auto"/>
                      </w:divBdr>
                    </w:div>
                    <w:div w:id="761338875">
                      <w:marLeft w:val="0"/>
                      <w:marRight w:val="0"/>
                      <w:marTop w:val="0"/>
                      <w:marBottom w:val="0"/>
                      <w:divBdr>
                        <w:top w:val="none" w:sz="0" w:space="0" w:color="auto"/>
                        <w:left w:val="none" w:sz="0" w:space="0" w:color="auto"/>
                        <w:bottom w:val="none" w:sz="0" w:space="0" w:color="auto"/>
                        <w:right w:val="none" w:sz="0" w:space="0" w:color="auto"/>
                      </w:divBdr>
                    </w:div>
                    <w:div w:id="1926575185">
                      <w:marLeft w:val="0"/>
                      <w:marRight w:val="0"/>
                      <w:marTop w:val="0"/>
                      <w:marBottom w:val="0"/>
                      <w:divBdr>
                        <w:top w:val="none" w:sz="0" w:space="0" w:color="auto"/>
                        <w:left w:val="none" w:sz="0" w:space="0" w:color="auto"/>
                        <w:bottom w:val="none" w:sz="0" w:space="0" w:color="auto"/>
                        <w:right w:val="none" w:sz="0" w:space="0" w:color="auto"/>
                      </w:divBdr>
                    </w:div>
                  </w:divsChild>
                </w:div>
                <w:div w:id="392584785">
                  <w:marLeft w:val="0"/>
                  <w:marRight w:val="0"/>
                  <w:marTop w:val="0"/>
                  <w:marBottom w:val="0"/>
                  <w:divBdr>
                    <w:top w:val="none" w:sz="0" w:space="0" w:color="auto"/>
                    <w:left w:val="none" w:sz="0" w:space="0" w:color="auto"/>
                    <w:bottom w:val="none" w:sz="0" w:space="0" w:color="auto"/>
                    <w:right w:val="none" w:sz="0" w:space="0" w:color="auto"/>
                  </w:divBdr>
                  <w:divsChild>
                    <w:div w:id="2076312573">
                      <w:marLeft w:val="0"/>
                      <w:marRight w:val="0"/>
                      <w:marTop w:val="0"/>
                      <w:marBottom w:val="0"/>
                      <w:divBdr>
                        <w:top w:val="none" w:sz="0" w:space="0" w:color="auto"/>
                        <w:left w:val="none" w:sz="0" w:space="0" w:color="auto"/>
                        <w:bottom w:val="none" w:sz="0" w:space="0" w:color="auto"/>
                        <w:right w:val="none" w:sz="0" w:space="0" w:color="auto"/>
                      </w:divBdr>
                    </w:div>
                  </w:divsChild>
                </w:div>
                <w:div w:id="661086491">
                  <w:marLeft w:val="0"/>
                  <w:marRight w:val="0"/>
                  <w:marTop w:val="0"/>
                  <w:marBottom w:val="0"/>
                  <w:divBdr>
                    <w:top w:val="none" w:sz="0" w:space="0" w:color="auto"/>
                    <w:left w:val="none" w:sz="0" w:space="0" w:color="auto"/>
                    <w:bottom w:val="none" w:sz="0" w:space="0" w:color="auto"/>
                    <w:right w:val="none" w:sz="0" w:space="0" w:color="auto"/>
                  </w:divBdr>
                  <w:divsChild>
                    <w:div w:id="1009062397">
                      <w:marLeft w:val="0"/>
                      <w:marRight w:val="0"/>
                      <w:marTop w:val="0"/>
                      <w:marBottom w:val="0"/>
                      <w:divBdr>
                        <w:top w:val="none" w:sz="0" w:space="0" w:color="auto"/>
                        <w:left w:val="none" w:sz="0" w:space="0" w:color="auto"/>
                        <w:bottom w:val="none" w:sz="0" w:space="0" w:color="auto"/>
                        <w:right w:val="none" w:sz="0" w:space="0" w:color="auto"/>
                      </w:divBdr>
                    </w:div>
                  </w:divsChild>
                </w:div>
                <w:div w:id="680623675">
                  <w:marLeft w:val="0"/>
                  <w:marRight w:val="0"/>
                  <w:marTop w:val="0"/>
                  <w:marBottom w:val="0"/>
                  <w:divBdr>
                    <w:top w:val="none" w:sz="0" w:space="0" w:color="auto"/>
                    <w:left w:val="none" w:sz="0" w:space="0" w:color="auto"/>
                    <w:bottom w:val="none" w:sz="0" w:space="0" w:color="auto"/>
                    <w:right w:val="none" w:sz="0" w:space="0" w:color="auto"/>
                  </w:divBdr>
                  <w:divsChild>
                    <w:div w:id="1588728401">
                      <w:marLeft w:val="0"/>
                      <w:marRight w:val="0"/>
                      <w:marTop w:val="0"/>
                      <w:marBottom w:val="0"/>
                      <w:divBdr>
                        <w:top w:val="none" w:sz="0" w:space="0" w:color="auto"/>
                        <w:left w:val="none" w:sz="0" w:space="0" w:color="auto"/>
                        <w:bottom w:val="none" w:sz="0" w:space="0" w:color="auto"/>
                        <w:right w:val="none" w:sz="0" w:space="0" w:color="auto"/>
                      </w:divBdr>
                    </w:div>
                    <w:div w:id="1926259778">
                      <w:marLeft w:val="0"/>
                      <w:marRight w:val="0"/>
                      <w:marTop w:val="0"/>
                      <w:marBottom w:val="0"/>
                      <w:divBdr>
                        <w:top w:val="none" w:sz="0" w:space="0" w:color="auto"/>
                        <w:left w:val="none" w:sz="0" w:space="0" w:color="auto"/>
                        <w:bottom w:val="none" w:sz="0" w:space="0" w:color="auto"/>
                        <w:right w:val="none" w:sz="0" w:space="0" w:color="auto"/>
                      </w:divBdr>
                    </w:div>
                  </w:divsChild>
                </w:div>
                <w:div w:id="720518680">
                  <w:marLeft w:val="0"/>
                  <w:marRight w:val="0"/>
                  <w:marTop w:val="0"/>
                  <w:marBottom w:val="0"/>
                  <w:divBdr>
                    <w:top w:val="none" w:sz="0" w:space="0" w:color="auto"/>
                    <w:left w:val="none" w:sz="0" w:space="0" w:color="auto"/>
                    <w:bottom w:val="none" w:sz="0" w:space="0" w:color="auto"/>
                    <w:right w:val="none" w:sz="0" w:space="0" w:color="auto"/>
                  </w:divBdr>
                  <w:divsChild>
                    <w:div w:id="518617030">
                      <w:marLeft w:val="0"/>
                      <w:marRight w:val="0"/>
                      <w:marTop w:val="0"/>
                      <w:marBottom w:val="0"/>
                      <w:divBdr>
                        <w:top w:val="none" w:sz="0" w:space="0" w:color="auto"/>
                        <w:left w:val="none" w:sz="0" w:space="0" w:color="auto"/>
                        <w:bottom w:val="none" w:sz="0" w:space="0" w:color="auto"/>
                        <w:right w:val="none" w:sz="0" w:space="0" w:color="auto"/>
                      </w:divBdr>
                    </w:div>
                    <w:div w:id="557134282">
                      <w:marLeft w:val="0"/>
                      <w:marRight w:val="0"/>
                      <w:marTop w:val="0"/>
                      <w:marBottom w:val="0"/>
                      <w:divBdr>
                        <w:top w:val="none" w:sz="0" w:space="0" w:color="auto"/>
                        <w:left w:val="none" w:sz="0" w:space="0" w:color="auto"/>
                        <w:bottom w:val="none" w:sz="0" w:space="0" w:color="auto"/>
                        <w:right w:val="none" w:sz="0" w:space="0" w:color="auto"/>
                      </w:divBdr>
                    </w:div>
                  </w:divsChild>
                </w:div>
                <w:div w:id="1096829156">
                  <w:marLeft w:val="0"/>
                  <w:marRight w:val="0"/>
                  <w:marTop w:val="0"/>
                  <w:marBottom w:val="0"/>
                  <w:divBdr>
                    <w:top w:val="none" w:sz="0" w:space="0" w:color="auto"/>
                    <w:left w:val="none" w:sz="0" w:space="0" w:color="auto"/>
                    <w:bottom w:val="none" w:sz="0" w:space="0" w:color="auto"/>
                    <w:right w:val="none" w:sz="0" w:space="0" w:color="auto"/>
                  </w:divBdr>
                  <w:divsChild>
                    <w:div w:id="1407075228">
                      <w:marLeft w:val="0"/>
                      <w:marRight w:val="0"/>
                      <w:marTop w:val="0"/>
                      <w:marBottom w:val="0"/>
                      <w:divBdr>
                        <w:top w:val="none" w:sz="0" w:space="0" w:color="auto"/>
                        <w:left w:val="none" w:sz="0" w:space="0" w:color="auto"/>
                        <w:bottom w:val="none" w:sz="0" w:space="0" w:color="auto"/>
                        <w:right w:val="none" w:sz="0" w:space="0" w:color="auto"/>
                      </w:divBdr>
                    </w:div>
                  </w:divsChild>
                </w:div>
                <w:div w:id="1129207124">
                  <w:marLeft w:val="0"/>
                  <w:marRight w:val="0"/>
                  <w:marTop w:val="0"/>
                  <w:marBottom w:val="0"/>
                  <w:divBdr>
                    <w:top w:val="none" w:sz="0" w:space="0" w:color="auto"/>
                    <w:left w:val="none" w:sz="0" w:space="0" w:color="auto"/>
                    <w:bottom w:val="none" w:sz="0" w:space="0" w:color="auto"/>
                    <w:right w:val="none" w:sz="0" w:space="0" w:color="auto"/>
                  </w:divBdr>
                  <w:divsChild>
                    <w:div w:id="1121001362">
                      <w:marLeft w:val="0"/>
                      <w:marRight w:val="0"/>
                      <w:marTop w:val="0"/>
                      <w:marBottom w:val="0"/>
                      <w:divBdr>
                        <w:top w:val="none" w:sz="0" w:space="0" w:color="auto"/>
                        <w:left w:val="none" w:sz="0" w:space="0" w:color="auto"/>
                        <w:bottom w:val="none" w:sz="0" w:space="0" w:color="auto"/>
                        <w:right w:val="none" w:sz="0" w:space="0" w:color="auto"/>
                      </w:divBdr>
                    </w:div>
                  </w:divsChild>
                </w:div>
                <w:div w:id="1227498091">
                  <w:marLeft w:val="0"/>
                  <w:marRight w:val="0"/>
                  <w:marTop w:val="0"/>
                  <w:marBottom w:val="0"/>
                  <w:divBdr>
                    <w:top w:val="none" w:sz="0" w:space="0" w:color="auto"/>
                    <w:left w:val="none" w:sz="0" w:space="0" w:color="auto"/>
                    <w:bottom w:val="none" w:sz="0" w:space="0" w:color="auto"/>
                    <w:right w:val="none" w:sz="0" w:space="0" w:color="auto"/>
                  </w:divBdr>
                  <w:divsChild>
                    <w:div w:id="302470132">
                      <w:marLeft w:val="0"/>
                      <w:marRight w:val="0"/>
                      <w:marTop w:val="0"/>
                      <w:marBottom w:val="0"/>
                      <w:divBdr>
                        <w:top w:val="none" w:sz="0" w:space="0" w:color="auto"/>
                        <w:left w:val="none" w:sz="0" w:space="0" w:color="auto"/>
                        <w:bottom w:val="none" w:sz="0" w:space="0" w:color="auto"/>
                        <w:right w:val="none" w:sz="0" w:space="0" w:color="auto"/>
                      </w:divBdr>
                    </w:div>
                    <w:div w:id="1873759065">
                      <w:marLeft w:val="0"/>
                      <w:marRight w:val="0"/>
                      <w:marTop w:val="0"/>
                      <w:marBottom w:val="0"/>
                      <w:divBdr>
                        <w:top w:val="none" w:sz="0" w:space="0" w:color="auto"/>
                        <w:left w:val="none" w:sz="0" w:space="0" w:color="auto"/>
                        <w:bottom w:val="none" w:sz="0" w:space="0" w:color="auto"/>
                        <w:right w:val="none" w:sz="0" w:space="0" w:color="auto"/>
                      </w:divBdr>
                    </w:div>
                  </w:divsChild>
                </w:div>
                <w:div w:id="1319069421">
                  <w:marLeft w:val="0"/>
                  <w:marRight w:val="0"/>
                  <w:marTop w:val="0"/>
                  <w:marBottom w:val="0"/>
                  <w:divBdr>
                    <w:top w:val="none" w:sz="0" w:space="0" w:color="auto"/>
                    <w:left w:val="none" w:sz="0" w:space="0" w:color="auto"/>
                    <w:bottom w:val="none" w:sz="0" w:space="0" w:color="auto"/>
                    <w:right w:val="none" w:sz="0" w:space="0" w:color="auto"/>
                  </w:divBdr>
                  <w:divsChild>
                    <w:div w:id="1391224674">
                      <w:marLeft w:val="0"/>
                      <w:marRight w:val="0"/>
                      <w:marTop w:val="0"/>
                      <w:marBottom w:val="0"/>
                      <w:divBdr>
                        <w:top w:val="none" w:sz="0" w:space="0" w:color="auto"/>
                        <w:left w:val="none" w:sz="0" w:space="0" w:color="auto"/>
                        <w:bottom w:val="none" w:sz="0" w:space="0" w:color="auto"/>
                        <w:right w:val="none" w:sz="0" w:space="0" w:color="auto"/>
                      </w:divBdr>
                    </w:div>
                  </w:divsChild>
                </w:div>
                <w:div w:id="1393233910">
                  <w:marLeft w:val="0"/>
                  <w:marRight w:val="0"/>
                  <w:marTop w:val="0"/>
                  <w:marBottom w:val="0"/>
                  <w:divBdr>
                    <w:top w:val="none" w:sz="0" w:space="0" w:color="auto"/>
                    <w:left w:val="none" w:sz="0" w:space="0" w:color="auto"/>
                    <w:bottom w:val="none" w:sz="0" w:space="0" w:color="auto"/>
                    <w:right w:val="none" w:sz="0" w:space="0" w:color="auto"/>
                  </w:divBdr>
                  <w:divsChild>
                    <w:div w:id="1144663616">
                      <w:marLeft w:val="0"/>
                      <w:marRight w:val="0"/>
                      <w:marTop w:val="0"/>
                      <w:marBottom w:val="0"/>
                      <w:divBdr>
                        <w:top w:val="none" w:sz="0" w:space="0" w:color="auto"/>
                        <w:left w:val="none" w:sz="0" w:space="0" w:color="auto"/>
                        <w:bottom w:val="none" w:sz="0" w:space="0" w:color="auto"/>
                        <w:right w:val="none" w:sz="0" w:space="0" w:color="auto"/>
                      </w:divBdr>
                    </w:div>
                  </w:divsChild>
                </w:div>
                <w:div w:id="1393386466">
                  <w:marLeft w:val="0"/>
                  <w:marRight w:val="0"/>
                  <w:marTop w:val="0"/>
                  <w:marBottom w:val="0"/>
                  <w:divBdr>
                    <w:top w:val="none" w:sz="0" w:space="0" w:color="auto"/>
                    <w:left w:val="none" w:sz="0" w:space="0" w:color="auto"/>
                    <w:bottom w:val="none" w:sz="0" w:space="0" w:color="auto"/>
                    <w:right w:val="none" w:sz="0" w:space="0" w:color="auto"/>
                  </w:divBdr>
                  <w:divsChild>
                    <w:div w:id="499538455">
                      <w:marLeft w:val="0"/>
                      <w:marRight w:val="0"/>
                      <w:marTop w:val="0"/>
                      <w:marBottom w:val="0"/>
                      <w:divBdr>
                        <w:top w:val="none" w:sz="0" w:space="0" w:color="auto"/>
                        <w:left w:val="none" w:sz="0" w:space="0" w:color="auto"/>
                        <w:bottom w:val="none" w:sz="0" w:space="0" w:color="auto"/>
                        <w:right w:val="none" w:sz="0" w:space="0" w:color="auto"/>
                      </w:divBdr>
                    </w:div>
                  </w:divsChild>
                </w:div>
                <w:div w:id="1466502838">
                  <w:marLeft w:val="0"/>
                  <w:marRight w:val="0"/>
                  <w:marTop w:val="0"/>
                  <w:marBottom w:val="0"/>
                  <w:divBdr>
                    <w:top w:val="none" w:sz="0" w:space="0" w:color="auto"/>
                    <w:left w:val="none" w:sz="0" w:space="0" w:color="auto"/>
                    <w:bottom w:val="none" w:sz="0" w:space="0" w:color="auto"/>
                    <w:right w:val="none" w:sz="0" w:space="0" w:color="auto"/>
                  </w:divBdr>
                  <w:divsChild>
                    <w:div w:id="1180463771">
                      <w:marLeft w:val="0"/>
                      <w:marRight w:val="0"/>
                      <w:marTop w:val="0"/>
                      <w:marBottom w:val="0"/>
                      <w:divBdr>
                        <w:top w:val="none" w:sz="0" w:space="0" w:color="auto"/>
                        <w:left w:val="none" w:sz="0" w:space="0" w:color="auto"/>
                        <w:bottom w:val="none" w:sz="0" w:space="0" w:color="auto"/>
                        <w:right w:val="none" w:sz="0" w:space="0" w:color="auto"/>
                      </w:divBdr>
                    </w:div>
                  </w:divsChild>
                </w:div>
                <w:div w:id="1501847734">
                  <w:marLeft w:val="0"/>
                  <w:marRight w:val="0"/>
                  <w:marTop w:val="0"/>
                  <w:marBottom w:val="0"/>
                  <w:divBdr>
                    <w:top w:val="none" w:sz="0" w:space="0" w:color="auto"/>
                    <w:left w:val="none" w:sz="0" w:space="0" w:color="auto"/>
                    <w:bottom w:val="none" w:sz="0" w:space="0" w:color="auto"/>
                    <w:right w:val="none" w:sz="0" w:space="0" w:color="auto"/>
                  </w:divBdr>
                  <w:divsChild>
                    <w:div w:id="735200580">
                      <w:marLeft w:val="0"/>
                      <w:marRight w:val="0"/>
                      <w:marTop w:val="0"/>
                      <w:marBottom w:val="0"/>
                      <w:divBdr>
                        <w:top w:val="none" w:sz="0" w:space="0" w:color="auto"/>
                        <w:left w:val="none" w:sz="0" w:space="0" w:color="auto"/>
                        <w:bottom w:val="none" w:sz="0" w:space="0" w:color="auto"/>
                        <w:right w:val="none" w:sz="0" w:space="0" w:color="auto"/>
                      </w:divBdr>
                    </w:div>
                  </w:divsChild>
                </w:div>
                <w:div w:id="1564173531">
                  <w:marLeft w:val="0"/>
                  <w:marRight w:val="0"/>
                  <w:marTop w:val="0"/>
                  <w:marBottom w:val="0"/>
                  <w:divBdr>
                    <w:top w:val="none" w:sz="0" w:space="0" w:color="auto"/>
                    <w:left w:val="none" w:sz="0" w:space="0" w:color="auto"/>
                    <w:bottom w:val="none" w:sz="0" w:space="0" w:color="auto"/>
                    <w:right w:val="none" w:sz="0" w:space="0" w:color="auto"/>
                  </w:divBdr>
                  <w:divsChild>
                    <w:div w:id="1000355713">
                      <w:marLeft w:val="0"/>
                      <w:marRight w:val="0"/>
                      <w:marTop w:val="0"/>
                      <w:marBottom w:val="0"/>
                      <w:divBdr>
                        <w:top w:val="none" w:sz="0" w:space="0" w:color="auto"/>
                        <w:left w:val="none" w:sz="0" w:space="0" w:color="auto"/>
                        <w:bottom w:val="none" w:sz="0" w:space="0" w:color="auto"/>
                        <w:right w:val="none" w:sz="0" w:space="0" w:color="auto"/>
                      </w:divBdr>
                    </w:div>
                    <w:div w:id="1892380952">
                      <w:marLeft w:val="0"/>
                      <w:marRight w:val="0"/>
                      <w:marTop w:val="0"/>
                      <w:marBottom w:val="0"/>
                      <w:divBdr>
                        <w:top w:val="none" w:sz="0" w:space="0" w:color="auto"/>
                        <w:left w:val="none" w:sz="0" w:space="0" w:color="auto"/>
                        <w:bottom w:val="none" w:sz="0" w:space="0" w:color="auto"/>
                        <w:right w:val="none" w:sz="0" w:space="0" w:color="auto"/>
                      </w:divBdr>
                    </w:div>
                  </w:divsChild>
                </w:div>
                <w:div w:id="1645157028">
                  <w:marLeft w:val="0"/>
                  <w:marRight w:val="0"/>
                  <w:marTop w:val="0"/>
                  <w:marBottom w:val="0"/>
                  <w:divBdr>
                    <w:top w:val="none" w:sz="0" w:space="0" w:color="auto"/>
                    <w:left w:val="none" w:sz="0" w:space="0" w:color="auto"/>
                    <w:bottom w:val="none" w:sz="0" w:space="0" w:color="auto"/>
                    <w:right w:val="none" w:sz="0" w:space="0" w:color="auto"/>
                  </w:divBdr>
                  <w:divsChild>
                    <w:div w:id="1857692270">
                      <w:marLeft w:val="0"/>
                      <w:marRight w:val="0"/>
                      <w:marTop w:val="0"/>
                      <w:marBottom w:val="0"/>
                      <w:divBdr>
                        <w:top w:val="none" w:sz="0" w:space="0" w:color="auto"/>
                        <w:left w:val="none" w:sz="0" w:space="0" w:color="auto"/>
                        <w:bottom w:val="none" w:sz="0" w:space="0" w:color="auto"/>
                        <w:right w:val="none" w:sz="0" w:space="0" w:color="auto"/>
                      </w:divBdr>
                    </w:div>
                  </w:divsChild>
                </w:div>
                <w:div w:id="1899509067">
                  <w:marLeft w:val="0"/>
                  <w:marRight w:val="0"/>
                  <w:marTop w:val="0"/>
                  <w:marBottom w:val="0"/>
                  <w:divBdr>
                    <w:top w:val="none" w:sz="0" w:space="0" w:color="auto"/>
                    <w:left w:val="none" w:sz="0" w:space="0" w:color="auto"/>
                    <w:bottom w:val="none" w:sz="0" w:space="0" w:color="auto"/>
                    <w:right w:val="none" w:sz="0" w:space="0" w:color="auto"/>
                  </w:divBdr>
                  <w:divsChild>
                    <w:div w:id="551887757">
                      <w:marLeft w:val="0"/>
                      <w:marRight w:val="0"/>
                      <w:marTop w:val="0"/>
                      <w:marBottom w:val="0"/>
                      <w:divBdr>
                        <w:top w:val="none" w:sz="0" w:space="0" w:color="auto"/>
                        <w:left w:val="none" w:sz="0" w:space="0" w:color="auto"/>
                        <w:bottom w:val="none" w:sz="0" w:space="0" w:color="auto"/>
                        <w:right w:val="none" w:sz="0" w:space="0" w:color="auto"/>
                      </w:divBdr>
                    </w:div>
                  </w:divsChild>
                </w:div>
                <w:div w:id="1920864579">
                  <w:marLeft w:val="0"/>
                  <w:marRight w:val="0"/>
                  <w:marTop w:val="0"/>
                  <w:marBottom w:val="0"/>
                  <w:divBdr>
                    <w:top w:val="none" w:sz="0" w:space="0" w:color="auto"/>
                    <w:left w:val="none" w:sz="0" w:space="0" w:color="auto"/>
                    <w:bottom w:val="none" w:sz="0" w:space="0" w:color="auto"/>
                    <w:right w:val="none" w:sz="0" w:space="0" w:color="auto"/>
                  </w:divBdr>
                  <w:divsChild>
                    <w:div w:id="1839811629">
                      <w:marLeft w:val="0"/>
                      <w:marRight w:val="0"/>
                      <w:marTop w:val="0"/>
                      <w:marBottom w:val="0"/>
                      <w:divBdr>
                        <w:top w:val="none" w:sz="0" w:space="0" w:color="auto"/>
                        <w:left w:val="none" w:sz="0" w:space="0" w:color="auto"/>
                        <w:bottom w:val="none" w:sz="0" w:space="0" w:color="auto"/>
                        <w:right w:val="none" w:sz="0" w:space="0" w:color="auto"/>
                      </w:divBdr>
                    </w:div>
                  </w:divsChild>
                </w:div>
                <w:div w:id="2046520521">
                  <w:marLeft w:val="0"/>
                  <w:marRight w:val="0"/>
                  <w:marTop w:val="0"/>
                  <w:marBottom w:val="0"/>
                  <w:divBdr>
                    <w:top w:val="none" w:sz="0" w:space="0" w:color="auto"/>
                    <w:left w:val="none" w:sz="0" w:space="0" w:color="auto"/>
                    <w:bottom w:val="none" w:sz="0" w:space="0" w:color="auto"/>
                    <w:right w:val="none" w:sz="0" w:space="0" w:color="auto"/>
                  </w:divBdr>
                  <w:divsChild>
                    <w:div w:id="1517768179">
                      <w:marLeft w:val="0"/>
                      <w:marRight w:val="0"/>
                      <w:marTop w:val="0"/>
                      <w:marBottom w:val="0"/>
                      <w:divBdr>
                        <w:top w:val="none" w:sz="0" w:space="0" w:color="auto"/>
                        <w:left w:val="none" w:sz="0" w:space="0" w:color="auto"/>
                        <w:bottom w:val="none" w:sz="0" w:space="0" w:color="auto"/>
                        <w:right w:val="none" w:sz="0" w:space="0" w:color="auto"/>
                      </w:divBdr>
                    </w:div>
                  </w:divsChild>
                </w:div>
                <w:div w:id="2071151200">
                  <w:marLeft w:val="0"/>
                  <w:marRight w:val="0"/>
                  <w:marTop w:val="0"/>
                  <w:marBottom w:val="0"/>
                  <w:divBdr>
                    <w:top w:val="none" w:sz="0" w:space="0" w:color="auto"/>
                    <w:left w:val="none" w:sz="0" w:space="0" w:color="auto"/>
                    <w:bottom w:val="none" w:sz="0" w:space="0" w:color="auto"/>
                    <w:right w:val="none" w:sz="0" w:space="0" w:color="auto"/>
                  </w:divBdr>
                  <w:divsChild>
                    <w:div w:id="3609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7452">
          <w:marLeft w:val="0"/>
          <w:marRight w:val="0"/>
          <w:marTop w:val="0"/>
          <w:marBottom w:val="0"/>
          <w:divBdr>
            <w:top w:val="none" w:sz="0" w:space="0" w:color="auto"/>
            <w:left w:val="none" w:sz="0" w:space="0" w:color="auto"/>
            <w:bottom w:val="none" w:sz="0" w:space="0" w:color="auto"/>
            <w:right w:val="none" w:sz="0" w:space="0" w:color="auto"/>
          </w:divBdr>
        </w:div>
        <w:div w:id="2018921510">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1755461">
      <w:bodyDiv w:val="1"/>
      <w:marLeft w:val="0"/>
      <w:marRight w:val="0"/>
      <w:marTop w:val="0"/>
      <w:marBottom w:val="0"/>
      <w:divBdr>
        <w:top w:val="none" w:sz="0" w:space="0" w:color="auto"/>
        <w:left w:val="none" w:sz="0" w:space="0" w:color="auto"/>
        <w:bottom w:val="none" w:sz="0" w:space="0" w:color="auto"/>
        <w:right w:val="none" w:sz="0" w:space="0" w:color="auto"/>
      </w:divBdr>
      <w:divsChild>
        <w:div w:id="1259100351">
          <w:marLeft w:val="0"/>
          <w:marRight w:val="0"/>
          <w:marTop w:val="0"/>
          <w:marBottom w:val="0"/>
          <w:divBdr>
            <w:top w:val="none" w:sz="0" w:space="0" w:color="auto"/>
            <w:left w:val="none" w:sz="0" w:space="0" w:color="auto"/>
            <w:bottom w:val="none" w:sz="0" w:space="0" w:color="auto"/>
            <w:right w:val="none" w:sz="0" w:space="0" w:color="auto"/>
          </w:divBdr>
        </w:div>
        <w:div w:id="17723880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dicarestatistics.humanservices.gov.au/statistics/do.jsp?_PROGRAM=%2Fstatistics%2Fpbs_item_standard_report&amp;itemlst=%2704393F%27%2C%2707233Q%27%2C%2709184J%27&amp;ITEMCNT=3&amp;LIST=4393F%2C7233Q%2C9184J&amp;VAR=SERVICES&amp;RPT_FMT=8&amp;start_dt=201701&amp;end_dt=202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1D4C-7D51-4702-ABA2-8851FA7B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17577</Words>
  <Characters>100193</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117535</CharactersWithSpaces>
  <SharedDoc>false</SharedDoc>
  <HLinks>
    <vt:vector size="480" baseType="variant">
      <vt:variant>
        <vt:i4>1048626</vt:i4>
      </vt:variant>
      <vt:variant>
        <vt:i4>470</vt:i4>
      </vt:variant>
      <vt:variant>
        <vt:i4>0</vt:i4>
      </vt:variant>
      <vt:variant>
        <vt:i4>5</vt:i4>
      </vt:variant>
      <vt:variant>
        <vt:lpwstr/>
      </vt:variant>
      <vt:variant>
        <vt:lpwstr>_Toc107927690</vt:lpwstr>
      </vt:variant>
      <vt:variant>
        <vt:i4>1114162</vt:i4>
      </vt:variant>
      <vt:variant>
        <vt:i4>464</vt:i4>
      </vt:variant>
      <vt:variant>
        <vt:i4>0</vt:i4>
      </vt:variant>
      <vt:variant>
        <vt:i4>5</vt:i4>
      </vt:variant>
      <vt:variant>
        <vt:lpwstr/>
      </vt:variant>
      <vt:variant>
        <vt:lpwstr>_Toc107927689</vt:lpwstr>
      </vt:variant>
      <vt:variant>
        <vt:i4>1114162</vt:i4>
      </vt:variant>
      <vt:variant>
        <vt:i4>458</vt:i4>
      </vt:variant>
      <vt:variant>
        <vt:i4>0</vt:i4>
      </vt:variant>
      <vt:variant>
        <vt:i4>5</vt:i4>
      </vt:variant>
      <vt:variant>
        <vt:lpwstr/>
      </vt:variant>
      <vt:variant>
        <vt:lpwstr>_Toc107927688</vt:lpwstr>
      </vt:variant>
      <vt:variant>
        <vt:i4>1114162</vt:i4>
      </vt:variant>
      <vt:variant>
        <vt:i4>452</vt:i4>
      </vt:variant>
      <vt:variant>
        <vt:i4>0</vt:i4>
      </vt:variant>
      <vt:variant>
        <vt:i4>5</vt:i4>
      </vt:variant>
      <vt:variant>
        <vt:lpwstr/>
      </vt:variant>
      <vt:variant>
        <vt:lpwstr>_Toc107927687</vt:lpwstr>
      </vt:variant>
      <vt:variant>
        <vt:i4>1114162</vt:i4>
      </vt:variant>
      <vt:variant>
        <vt:i4>446</vt:i4>
      </vt:variant>
      <vt:variant>
        <vt:i4>0</vt:i4>
      </vt:variant>
      <vt:variant>
        <vt:i4>5</vt:i4>
      </vt:variant>
      <vt:variant>
        <vt:lpwstr/>
      </vt:variant>
      <vt:variant>
        <vt:lpwstr>_Toc107927686</vt:lpwstr>
      </vt:variant>
      <vt:variant>
        <vt:i4>1114162</vt:i4>
      </vt:variant>
      <vt:variant>
        <vt:i4>440</vt:i4>
      </vt:variant>
      <vt:variant>
        <vt:i4>0</vt:i4>
      </vt:variant>
      <vt:variant>
        <vt:i4>5</vt:i4>
      </vt:variant>
      <vt:variant>
        <vt:lpwstr/>
      </vt:variant>
      <vt:variant>
        <vt:lpwstr>_Toc107927685</vt:lpwstr>
      </vt:variant>
      <vt:variant>
        <vt:i4>1114162</vt:i4>
      </vt:variant>
      <vt:variant>
        <vt:i4>434</vt:i4>
      </vt:variant>
      <vt:variant>
        <vt:i4>0</vt:i4>
      </vt:variant>
      <vt:variant>
        <vt:i4>5</vt:i4>
      </vt:variant>
      <vt:variant>
        <vt:lpwstr/>
      </vt:variant>
      <vt:variant>
        <vt:lpwstr>_Toc107927684</vt:lpwstr>
      </vt:variant>
      <vt:variant>
        <vt:i4>1114162</vt:i4>
      </vt:variant>
      <vt:variant>
        <vt:i4>428</vt:i4>
      </vt:variant>
      <vt:variant>
        <vt:i4>0</vt:i4>
      </vt:variant>
      <vt:variant>
        <vt:i4>5</vt:i4>
      </vt:variant>
      <vt:variant>
        <vt:lpwstr/>
      </vt:variant>
      <vt:variant>
        <vt:lpwstr>_Toc107927683</vt:lpwstr>
      </vt:variant>
      <vt:variant>
        <vt:i4>1114162</vt:i4>
      </vt:variant>
      <vt:variant>
        <vt:i4>422</vt:i4>
      </vt:variant>
      <vt:variant>
        <vt:i4>0</vt:i4>
      </vt:variant>
      <vt:variant>
        <vt:i4>5</vt:i4>
      </vt:variant>
      <vt:variant>
        <vt:lpwstr/>
      </vt:variant>
      <vt:variant>
        <vt:lpwstr>_Toc107927682</vt:lpwstr>
      </vt:variant>
      <vt:variant>
        <vt:i4>1114162</vt:i4>
      </vt:variant>
      <vt:variant>
        <vt:i4>416</vt:i4>
      </vt:variant>
      <vt:variant>
        <vt:i4>0</vt:i4>
      </vt:variant>
      <vt:variant>
        <vt:i4>5</vt:i4>
      </vt:variant>
      <vt:variant>
        <vt:lpwstr/>
      </vt:variant>
      <vt:variant>
        <vt:lpwstr>_Toc107927681</vt:lpwstr>
      </vt:variant>
      <vt:variant>
        <vt:i4>1114162</vt:i4>
      </vt:variant>
      <vt:variant>
        <vt:i4>410</vt:i4>
      </vt:variant>
      <vt:variant>
        <vt:i4>0</vt:i4>
      </vt:variant>
      <vt:variant>
        <vt:i4>5</vt:i4>
      </vt:variant>
      <vt:variant>
        <vt:lpwstr/>
      </vt:variant>
      <vt:variant>
        <vt:lpwstr>_Toc107927680</vt:lpwstr>
      </vt:variant>
      <vt:variant>
        <vt:i4>1966130</vt:i4>
      </vt:variant>
      <vt:variant>
        <vt:i4>404</vt:i4>
      </vt:variant>
      <vt:variant>
        <vt:i4>0</vt:i4>
      </vt:variant>
      <vt:variant>
        <vt:i4>5</vt:i4>
      </vt:variant>
      <vt:variant>
        <vt:lpwstr/>
      </vt:variant>
      <vt:variant>
        <vt:lpwstr>_Toc107927679</vt:lpwstr>
      </vt:variant>
      <vt:variant>
        <vt:i4>1966130</vt:i4>
      </vt:variant>
      <vt:variant>
        <vt:i4>398</vt:i4>
      </vt:variant>
      <vt:variant>
        <vt:i4>0</vt:i4>
      </vt:variant>
      <vt:variant>
        <vt:i4>5</vt:i4>
      </vt:variant>
      <vt:variant>
        <vt:lpwstr/>
      </vt:variant>
      <vt:variant>
        <vt:lpwstr>_Toc107927678</vt:lpwstr>
      </vt:variant>
      <vt:variant>
        <vt:i4>1966130</vt:i4>
      </vt:variant>
      <vt:variant>
        <vt:i4>392</vt:i4>
      </vt:variant>
      <vt:variant>
        <vt:i4>0</vt:i4>
      </vt:variant>
      <vt:variant>
        <vt:i4>5</vt:i4>
      </vt:variant>
      <vt:variant>
        <vt:lpwstr/>
      </vt:variant>
      <vt:variant>
        <vt:lpwstr>_Toc107927677</vt:lpwstr>
      </vt:variant>
      <vt:variant>
        <vt:i4>1966130</vt:i4>
      </vt:variant>
      <vt:variant>
        <vt:i4>386</vt:i4>
      </vt:variant>
      <vt:variant>
        <vt:i4>0</vt:i4>
      </vt:variant>
      <vt:variant>
        <vt:i4>5</vt:i4>
      </vt:variant>
      <vt:variant>
        <vt:lpwstr/>
      </vt:variant>
      <vt:variant>
        <vt:lpwstr>_Toc107927676</vt:lpwstr>
      </vt:variant>
      <vt:variant>
        <vt:i4>1966130</vt:i4>
      </vt:variant>
      <vt:variant>
        <vt:i4>380</vt:i4>
      </vt:variant>
      <vt:variant>
        <vt:i4>0</vt:i4>
      </vt:variant>
      <vt:variant>
        <vt:i4>5</vt:i4>
      </vt:variant>
      <vt:variant>
        <vt:lpwstr/>
      </vt:variant>
      <vt:variant>
        <vt:lpwstr>_Toc107927675</vt:lpwstr>
      </vt:variant>
      <vt:variant>
        <vt:i4>1966130</vt:i4>
      </vt:variant>
      <vt:variant>
        <vt:i4>374</vt:i4>
      </vt:variant>
      <vt:variant>
        <vt:i4>0</vt:i4>
      </vt:variant>
      <vt:variant>
        <vt:i4>5</vt:i4>
      </vt:variant>
      <vt:variant>
        <vt:lpwstr/>
      </vt:variant>
      <vt:variant>
        <vt:lpwstr>_Toc107927674</vt:lpwstr>
      </vt:variant>
      <vt:variant>
        <vt:i4>1966130</vt:i4>
      </vt:variant>
      <vt:variant>
        <vt:i4>368</vt:i4>
      </vt:variant>
      <vt:variant>
        <vt:i4>0</vt:i4>
      </vt:variant>
      <vt:variant>
        <vt:i4>5</vt:i4>
      </vt:variant>
      <vt:variant>
        <vt:lpwstr/>
      </vt:variant>
      <vt:variant>
        <vt:lpwstr>_Toc107927673</vt:lpwstr>
      </vt:variant>
      <vt:variant>
        <vt:i4>1966130</vt:i4>
      </vt:variant>
      <vt:variant>
        <vt:i4>362</vt:i4>
      </vt:variant>
      <vt:variant>
        <vt:i4>0</vt:i4>
      </vt:variant>
      <vt:variant>
        <vt:i4>5</vt:i4>
      </vt:variant>
      <vt:variant>
        <vt:lpwstr/>
      </vt:variant>
      <vt:variant>
        <vt:lpwstr>_Toc107927672</vt:lpwstr>
      </vt:variant>
      <vt:variant>
        <vt:i4>1966130</vt:i4>
      </vt:variant>
      <vt:variant>
        <vt:i4>356</vt:i4>
      </vt:variant>
      <vt:variant>
        <vt:i4>0</vt:i4>
      </vt:variant>
      <vt:variant>
        <vt:i4>5</vt:i4>
      </vt:variant>
      <vt:variant>
        <vt:lpwstr/>
      </vt:variant>
      <vt:variant>
        <vt:lpwstr>_Toc107927671</vt:lpwstr>
      </vt:variant>
      <vt:variant>
        <vt:i4>1966130</vt:i4>
      </vt:variant>
      <vt:variant>
        <vt:i4>350</vt:i4>
      </vt:variant>
      <vt:variant>
        <vt:i4>0</vt:i4>
      </vt:variant>
      <vt:variant>
        <vt:i4>5</vt:i4>
      </vt:variant>
      <vt:variant>
        <vt:lpwstr/>
      </vt:variant>
      <vt:variant>
        <vt:lpwstr>_Toc107927670</vt:lpwstr>
      </vt:variant>
      <vt:variant>
        <vt:i4>2031666</vt:i4>
      </vt:variant>
      <vt:variant>
        <vt:i4>344</vt:i4>
      </vt:variant>
      <vt:variant>
        <vt:i4>0</vt:i4>
      </vt:variant>
      <vt:variant>
        <vt:i4>5</vt:i4>
      </vt:variant>
      <vt:variant>
        <vt:lpwstr/>
      </vt:variant>
      <vt:variant>
        <vt:lpwstr>_Toc107927669</vt:lpwstr>
      </vt:variant>
      <vt:variant>
        <vt:i4>2031666</vt:i4>
      </vt:variant>
      <vt:variant>
        <vt:i4>338</vt:i4>
      </vt:variant>
      <vt:variant>
        <vt:i4>0</vt:i4>
      </vt:variant>
      <vt:variant>
        <vt:i4>5</vt:i4>
      </vt:variant>
      <vt:variant>
        <vt:lpwstr/>
      </vt:variant>
      <vt:variant>
        <vt:lpwstr>_Toc107927668</vt:lpwstr>
      </vt:variant>
      <vt:variant>
        <vt:i4>2031666</vt:i4>
      </vt:variant>
      <vt:variant>
        <vt:i4>332</vt:i4>
      </vt:variant>
      <vt:variant>
        <vt:i4>0</vt:i4>
      </vt:variant>
      <vt:variant>
        <vt:i4>5</vt:i4>
      </vt:variant>
      <vt:variant>
        <vt:lpwstr/>
      </vt:variant>
      <vt:variant>
        <vt:lpwstr>_Toc107927667</vt:lpwstr>
      </vt:variant>
      <vt:variant>
        <vt:i4>2031666</vt:i4>
      </vt:variant>
      <vt:variant>
        <vt:i4>326</vt:i4>
      </vt:variant>
      <vt:variant>
        <vt:i4>0</vt:i4>
      </vt:variant>
      <vt:variant>
        <vt:i4>5</vt:i4>
      </vt:variant>
      <vt:variant>
        <vt:lpwstr/>
      </vt:variant>
      <vt:variant>
        <vt:lpwstr>_Toc107927666</vt:lpwstr>
      </vt:variant>
      <vt:variant>
        <vt:i4>2031666</vt:i4>
      </vt:variant>
      <vt:variant>
        <vt:i4>320</vt:i4>
      </vt:variant>
      <vt:variant>
        <vt:i4>0</vt:i4>
      </vt:variant>
      <vt:variant>
        <vt:i4>5</vt:i4>
      </vt:variant>
      <vt:variant>
        <vt:lpwstr/>
      </vt:variant>
      <vt:variant>
        <vt:lpwstr>_Toc107927665</vt:lpwstr>
      </vt:variant>
      <vt:variant>
        <vt:i4>2031666</vt:i4>
      </vt:variant>
      <vt:variant>
        <vt:i4>314</vt:i4>
      </vt:variant>
      <vt:variant>
        <vt:i4>0</vt:i4>
      </vt:variant>
      <vt:variant>
        <vt:i4>5</vt:i4>
      </vt:variant>
      <vt:variant>
        <vt:lpwstr/>
      </vt:variant>
      <vt:variant>
        <vt:lpwstr>_Toc107927664</vt:lpwstr>
      </vt:variant>
      <vt:variant>
        <vt:i4>2031666</vt:i4>
      </vt:variant>
      <vt:variant>
        <vt:i4>308</vt:i4>
      </vt:variant>
      <vt:variant>
        <vt:i4>0</vt:i4>
      </vt:variant>
      <vt:variant>
        <vt:i4>5</vt:i4>
      </vt:variant>
      <vt:variant>
        <vt:lpwstr/>
      </vt:variant>
      <vt:variant>
        <vt:lpwstr>_Toc107927663</vt:lpwstr>
      </vt:variant>
      <vt:variant>
        <vt:i4>2031666</vt:i4>
      </vt:variant>
      <vt:variant>
        <vt:i4>302</vt:i4>
      </vt:variant>
      <vt:variant>
        <vt:i4>0</vt:i4>
      </vt:variant>
      <vt:variant>
        <vt:i4>5</vt:i4>
      </vt:variant>
      <vt:variant>
        <vt:lpwstr/>
      </vt:variant>
      <vt:variant>
        <vt:lpwstr>_Toc107927662</vt:lpwstr>
      </vt:variant>
      <vt:variant>
        <vt:i4>2031666</vt:i4>
      </vt:variant>
      <vt:variant>
        <vt:i4>296</vt:i4>
      </vt:variant>
      <vt:variant>
        <vt:i4>0</vt:i4>
      </vt:variant>
      <vt:variant>
        <vt:i4>5</vt:i4>
      </vt:variant>
      <vt:variant>
        <vt:lpwstr/>
      </vt:variant>
      <vt:variant>
        <vt:lpwstr>_Toc107927661</vt:lpwstr>
      </vt:variant>
      <vt:variant>
        <vt:i4>2031666</vt:i4>
      </vt:variant>
      <vt:variant>
        <vt:i4>290</vt:i4>
      </vt:variant>
      <vt:variant>
        <vt:i4>0</vt:i4>
      </vt:variant>
      <vt:variant>
        <vt:i4>5</vt:i4>
      </vt:variant>
      <vt:variant>
        <vt:lpwstr/>
      </vt:variant>
      <vt:variant>
        <vt:lpwstr>_Toc107927660</vt:lpwstr>
      </vt:variant>
      <vt:variant>
        <vt:i4>1835058</vt:i4>
      </vt:variant>
      <vt:variant>
        <vt:i4>284</vt:i4>
      </vt:variant>
      <vt:variant>
        <vt:i4>0</vt:i4>
      </vt:variant>
      <vt:variant>
        <vt:i4>5</vt:i4>
      </vt:variant>
      <vt:variant>
        <vt:lpwstr/>
      </vt:variant>
      <vt:variant>
        <vt:lpwstr>_Toc107927659</vt:lpwstr>
      </vt:variant>
      <vt:variant>
        <vt:i4>1835058</vt:i4>
      </vt:variant>
      <vt:variant>
        <vt:i4>278</vt:i4>
      </vt:variant>
      <vt:variant>
        <vt:i4>0</vt:i4>
      </vt:variant>
      <vt:variant>
        <vt:i4>5</vt:i4>
      </vt:variant>
      <vt:variant>
        <vt:lpwstr/>
      </vt:variant>
      <vt:variant>
        <vt:lpwstr>_Toc107927658</vt:lpwstr>
      </vt:variant>
      <vt:variant>
        <vt:i4>1835058</vt:i4>
      </vt:variant>
      <vt:variant>
        <vt:i4>272</vt:i4>
      </vt:variant>
      <vt:variant>
        <vt:i4>0</vt:i4>
      </vt:variant>
      <vt:variant>
        <vt:i4>5</vt:i4>
      </vt:variant>
      <vt:variant>
        <vt:lpwstr/>
      </vt:variant>
      <vt:variant>
        <vt:lpwstr>_Toc107927657</vt:lpwstr>
      </vt:variant>
      <vt:variant>
        <vt:i4>1835058</vt:i4>
      </vt:variant>
      <vt:variant>
        <vt:i4>266</vt:i4>
      </vt:variant>
      <vt:variant>
        <vt:i4>0</vt:i4>
      </vt:variant>
      <vt:variant>
        <vt:i4>5</vt:i4>
      </vt:variant>
      <vt:variant>
        <vt:lpwstr/>
      </vt:variant>
      <vt:variant>
        <vt:lpwstr>_Toc107927656</vt:lpwstr>
      </vt:variant>
      <vt:variant>
        <vt:i4>1835058</vt:i4>
      </vt:variant>
      <vt:variant>
        <vt:i4>260</vt:i4>
      </vt:variant>
      <vt:variant>
        <vt:i4>0</vt:i4>
      </vt:variant>
      <vt:variant>
        <vt:i4>5</vt:i4>
      </vt:variant>
      <vt:variant>
        <vt:lpwstr/>
      </vt:variant>
      <vt:variant>
        <vt:lpwstr>_Toc107927655</vt:lpwstr>
      </vt:variant>
      <vt:variant>
        <vt:i4>1835058</vt:i4>
      </vt:variant>
      <vt:variant>
        <vt:i4>254</vt:i4>
      </vt:variant>
      <vt:variant>
        <vt:i4>0</vt:i4>
      </vt:variant>
      <vt:variant>
        <vt:i4>5</vt:i4>
      </vt:variant>
      <vt:variant>
        <vt:lpwstr/>
      </vt:variant>
      <vt:variant>
        <vt:lpwstr>_Toc107927654</vt:lpwstr>
      </vt:variant>
      <vt:variant>
        <vt:i4>1835058</vt:i4>
      </vt:variant>
      <vt:variant>
        <vt:i4>248</vt:i4>
      </vt:variant>
      <vt:variant>
        <vt:i4>0</vt:i4>
      </vt:variant>
      <vt:variant>
        <vt:i4>5</vt:i4>
      </vt:variant>
      <vt:variant>
        <vt:lpwstr/>
      </vt:variant>
      <vt:variant>
        <vt:lpwstr>_Toc107927653</vt:lpwstr>
      </vt:variant>
      <vt:variant>
        <vt:i4>1835058</vt:i4>
      </vt:variant>
      <vt:variant>
        <vt:i4>242</vt:i4>
      </vt:variant>
      <vt:variant>
        <vt:i4>0</vt:i4>
      </vt:variant>
      <vt:variant>
        <vt:i4>5</vt:i4>
      </vt:variant>
      <vt:variant>
        <vt:lpwstr/>
      </vt:variant>
      <vt:variant>
        <vt:lpwstr>_Toc107927652</vt:lpwstr>
      </vt:variant>
      <vt:variant>
        <vt:i4>1835058</vt:i4>
      </vt:variant>
      <vt:variant>
        <vt:i4>236</vt:i4>
      </vt:variant>
      <vt:variant>
        <vt:i4>0</vt:i4>
      </vt:variant>
      <vt:variant>
        <vt:i4>5</vt:i4>
      </vt:variant>
      <vt:variant>
        <vt:lpwstr/>
      </vt:variant>
      <vt:variant>
        <vt:lpwstr>_Toc107927651</vt:lpwstr>
      </vt:variant>
      <vt:variant>
        <vt:i4>1835058</vt:i4>
      </vt:variant>
      <vt:variant>
        <vt:i4>230</vt:i4>
      </vt:variant>
      <vt:variant>
        <vt:i4>0</vt:i4>
      </vt:variant>
      <vt:variant>
        <vt:i4>5</vt:i4>
      </vt:variant>
      <vt:variant>
        <vt:lpwstr/>
      </vt:variant>
      <vt:variant>
        <vt:lpwstr>_Toc107927650</vt:lpwstr>
      </vt:variant>
      <vt:variant>
        <vt:i4>1900594</vt:i4>
      </vt:variant>
      <vt:variant>
        <vt:i4>224</vt:i4>
      </vt:variant>
      <vt:variant>
        <vt:i4>0</vt:i4>
      </vt:variant>
      <vt:variant>
        <vt:i4>5</vt:i4>
      </vt:variant>
      <vt:variant>
        <vt:lpwstr/>
      </vt:variant>
      <vt:variant>
        <vt:lpwstr>_Toc107927649</vt:lpwstr>
      </vt:variant>
      <vt:variant>
        <vt:i4>1900594</vt:i4>
      </vt:variant>
      <vt:variant>
        <vt:i4>218</vt:i4>
      </vt:variant>
      <vt:variant>
        <vt:i4>0</vt:i4>
      </vt:variant>
      <vt:variant>
        <vt:i4>5</vt:i4>
      </vt:variant>
      <vt:variant>
        <vt:lpwstr/>
      </vt:variant>
      <vt:variant>
        <vt:lpwstr>_Toc107927648</vt:lpwstr>
      </vt:variant>
      <vt:variant>
        <vt:i4>1900594</vt:i4>
      </vt:variant>
      <vt:variant>
        <vt:i4>212</vt:i4>
      </vt:variant>
      <vt:variant>
        <vt:i4>0</vt:i4>
      </vt:variant>
      <vt:variant>
        <vt:i4>5</vt:i4>
      </vt:variant>
      <vt:variant>
        <vt:lpwstr/>
      </vt:variant>
      <vt:variant>
        <vt:lpwstr>_Toc107927647</vt:lpwstr>
      </vt:variant>
      <vt:variant>
        <vt:i4>1900594</vt:i4>
      </vt:variant>
      <vt:variant>
        <vt:i4>206</vt:i4>
      </vt:variant>
      <vt:variant>
        <vt:i4>0</vt:i4>
      </vt:variant>
      <vt:variant>
        <vt:i4>5</vt:i4>
      </vt:variant>
      <vt:variant>
        <vt:lpwstr/>
      </vt:variant>
      <vt:variant>
        <vt:lpwstr>_Toc107927646</vt:lpwstr>
      </vt:variant>
      <vt:variant>
        <vt:i4>1900594</vt:i4>
      </vt:variant>
      <vt:variant>
        <vt:i4>200</vt:i4>
      </vt:variant>
      <vt:variant>
        <vt:i4>0</vt:i4>
      </vt:variant>
      <vt:variant>
        <vt:i4>5</vt:i4>
      </vt:variant>
      <vt:variant>
        <vt:lpwstr/>
      </vt:variant>
      <vt:variant>
        <vt:lpwstr>_Toc107927645</vt:lpwstr>
      </vt:variant>
      <vt:variant>
        <vt:i4>1900594</vt:i4>
      </vt:variant>
      <vt:variant>
        <vt:i4>194</vt:i4>
      </vt:variant>
      <vt:variant>
        <vt:i4>0</vt:i4>
      </vt:variant>
      <vt:variant>
        <vt:i4>5</vt:i4>
      </vt:variant>
      <vt:variant>
        <vt:lpwstr/>
      </vt:variant>
      <vt:variant>
        <vt:lpwstr>_Toc107927644</vt:lpwstr>
      </vt:variant>
      <vt:variant>
        <vt:i4>1900594</vt:i4>
      </vt:variant>
      <vt:variant>
        <vt:i4>188</vt:i4>
      </vt:variant>
      <vt:variant>
        <vt:i4>0</vt:i4>
      </vt:variant>
      <vt:variant>
        <vt:i4>5</vt:i4>
      </vt:variant>
      <vt:variant>
        <vt:lpwstr/>
      </vt:variant>
      <vt:variant>
        <vt:lpwstr>_Toc107927643</vt:lpwstr>
      </vt:variant>
      <vt:variant>
        <vt:i4>1900594</vt:i4>
      </vt:variant>
      <vt:variant>
        <vt:i4>182</vt:i4>
      </vt:variant>
      <vt:variant>
        <vt:i4>0</vt:i4>
      </vt:variant>
      <vt:variant>
        <vt:i4>5</vt:i4>
      </vt:variant>
      <vt:variant>
        <vt:lpwstr/>
      </vt:variant>
      <vt:variant>
        <vt:lpwstr>_Toc107927642</vt:lpwstr>
      </vt:variant>
      <vt:variant>
        <vt:i4>1900594</vt:i4>
      </vt:variant>
      <vt:variant>
        <vt:i4>176</vt:i4>
      </vt:variant>
      <vt:variant>
        <vt:i4>0</vt:i4>
      </vt:variant>
      <vt:variant>
        <vt:i4>5</vt:i4>
      </vt:variant>
      <vt:variant>
        <vt:lpwstr/>
      </vt:variant>
      <vt:variant>
        <vt:lpwstr>_Toc107927641</vt:lpwstr>
      </vt:variant>
      <vt:variant>
        <vt:i4>1900594</vt:i4>
      </vt:variant>
      <vt:variant>
        <vt:i4>170</vt:i4>
      </vt:variant>
      <vt:variant>
        <vt:i4>0</vt:i4>
      </vt:variant>
      <vt:variant>
        <vt:i4>5</vt:i4>
      </vt:variant>
      <vt:variant>
        <vt:lpwstr/>
      </vt:variant>
      <vt:variant>
        <vt:lpwstr>_Toc107927640</vt:lpwstr>
      </vt:variant>
      <vt:variant>
        <vt:i4>1703986</vt:i4>
      </vt:variant>
      <vt:variant>
        <vt:i4>164</vt:i4>
      </vt:variant>
      <vt:variant>
        <vt:i4>0</vt:i4>
      </vt:variant>
      <vt:variant>
        <vt:i4>5</vt:i4>
      </vt:variant>
      <vt:variant>
        <vt:lpwstr/>
      </vt:variant>
      <vt:variant>
        <vt:lpwstr>_Toc107927639</vt:lpwstr>
      </vt:variant>
      <vt:variant>
        <vt:i4>1703986</vt:i4>
      </vt:variant>
      <vt:variant>
        <vt:i4>158</vt:i4>
      </vt:variant>
      <vt:variant>
        <vt:i4>0</vt:i4>
      </vt:variant>
      <vt:variant>
        <vt:i4>5</vt:i4>
      </vt:variant>
      <vt:variant>
        <vt:lpwstr/>
      </vt:variant>
      <vt:variant>
        <vt:lpwstr>_Toc107927638</vt:lpwstr>
      </vt:variant>
      <vt:variant>
        <vt:i4>1703986</vt:i4>
      </vt:variant>
      <vt:variant>
        <vt:i4>152</vt:i4>
      </vt:variant>
      <vt:variant>
        <vt:i4>0</vt:i4>
      </vt:variant>
      <vt:variant>
        <vt:i4>5</vt:i4>
      </vt:variant>
      <vt:variant>
        <vt:lpwstr/>
      </vt:variant>
      <vt:variant>
        <vt:lpwstr>_Toc107927637</vt:lpwstr>
      </vt:variant>
      <vt:variant>
        <vt:i4>1703986</vt:i4>
      </vt:variant>
      <vt:variant>
        <vt:i4>146</vt:i4>
      </vt:variant>
      <vt:variant>
        <vt:i4>0</vt:i4>
      </vt:variant>
      <vt:variant>
        <vt:i4>5</vt:i4>
      </vt:variant>
      <vt:variant>
        <vt:lpwstr/>
      </vt:variant>
      <vt:variant>
        <vt:lpwstr>_Toc107927636</vt:lpwstr>
      </vt:variant>
      <vt:variant>
        <vt:i4>1703986</vt:i4>
      </vt:variant>
      <vt:variant>
        <vt:i4>140</vt:i4>
      </vt:variant>
      <vt:variant>
        <vt:i4>0</vt:i4>
      </vt:variant>
      <vt:variant>
        <vt:i4>5</vt:i4>
      </vt:variant>
      <vt:variant>
        <vt:lpwstr/>
      </vt:variant>
      <vt:variant>
        <vt:lpwstr>_Toc107927635</vt:lpwstr>
      </vt:variant>
      <vt:variant>
        <vt:i4>1703986</vt:i4>
      </vt:variant>
      <vt:variant>
        <vt:i4>134</vt:i4>
      </vt:variant>
      <vt:variant>
        <vt:i4>0</vt:i4>
      </vt:variant>
      <vt:variant>
        <vt:i4>5</vt:i4>
      </vt:variant>
      <vt:variant>
        <vt:lpwstr/>
      </vt:variant>
      <vt:variant>
        <vt:lpwstr>_Toc107927634</vt:lpwstr>
      </vt:variant>
      <vt:variant>
        <vt:i4>1703986</vt:i4>
      </vt:variant>
      <vt:variant>
        <vt:i4>128</vt:i4>
      </vt:variant>
      <vt:variant>
        <vt:i4>0</vt:i4>
      </vt:variant>
      <vt:variant>
        <vt:i4>5</vt:i4>
      </vt:variant>
      <vt:variant>
        <vt:lpwstr/>
      </vt:variant>
      <vt:variant>
        <vt:lpwstr>_Toc107927633</vt:lpwstr>
      </vt:variant>
      <vt:variant>
        <vt:i4>1703986</vt:i4>
      </vt:variant>
      <vt:variant>
        <vt:i4>122</vt:i4>
      </vt:variant>
      <vt:variant>
        <vt:i4>0</vt:i4>
      </vt:variant>
      <vt:variant>
        <vt:i4>5</vt:i4>
      </vt:variant>
      <vt:variant>
        <vt:lpwstr/>
      </vt:variant>
      <vt:variant>
        <vt:lpwstr>_Toc107927632</vt:lpwstr>
      </vt:variant>
      <vt:variant>
        <vt:i4>1703986</vt:i4>
      </vt:variant>
      <vt:variant>
        <vt:i4>116</vt:i4>
      </vt:variant>
      <vt:variant>
        <vt:i4>0</vt:i4>
      </vt:variant>
      <vt:variant>
        <vt:i4>5</vt:i4>
      </vt:variant>
      <vt:variant>
        <vt:lpwstr/>
      </vt:variant>
      <vt:variant>
        <vt:lpwstr>_Toc107927631</vt:lpwstr>
      </vt:variant>
      <vt:variant>
        <vt:i4>1703986</vt:i4>
      </vt:variant>
      <vt:variant>
        <vt:i4>110</vt:i4>
      </vt:variant>
      <vt:variant>
        <vt:i4>0</vt:i4>
      </vt:variant>
      <vt:variant>
        <vt:i4>5</vt:i4>
      </vt:variant>
      <vt:variant>
        <vt:lpwstr/>
      </vt:variant>
      <vt:variant>
        <vt:lpwstr>_Toc107927630</vt:lpwstr>
      </vt:variant>
      <vt:variant>
        <vt:i4>1769522</vt:i4>
      </vt:variant>
      <vt:variant>
        <vt:i4>104</vt:i4>
      </vt:variant>
      <vt:variant>
        <vt:i4>0</vt:i4>
      </vt:variant>
      <vt:variant>
        <vt:i4>5</vt:i4>
      </vt:variant>
      <vt:variant>
        <vt:lpwstr/>
      </vt:variant>
      <vt:variant>
        <vt:lpwstr>_Toc107927629</vt:lpwstr>
      </vt:variant>
      <vt:variant>
        <vt:i4>1769522</vt:i4>
      </vt:variant>
      <vt:variant>
        <vt:i4>98</vt:i4>
      </vt:variant>
      <vt:variant>
        <vt:i4>0</vt:i4>
      </vt:variant>
      <vt:variant>
        <vt:i4>5</vt:i4>
      </vt:variant>
      <vt:variant>
        <vt:lpwstr/>
      </vt:variant>
      <vt:variant>
        <vt:lpwstr>_Toc107927628</vt:lpwstr>
      </vt:variant>
      <vt:variant>
        <vt:i4>1769522</vt:i4>
      </vt:variant>
      <vt:variant>
        <vt:i4>92</vt:i4>
      </vt:variant>
      <vt:variant>
        <vt:i4>0</vt:i4>
      </vt:variant>
      <vt:variant>
        <vt:i4>5</vt:i4>
      </vt:variant>
      <vt:variant>
        <vt:lpwstr/>
      </vt:variant>
      <vt:variant>
        <vt:lpwstr>_Toc107927627</vt:lpwstr>
      </vt:variant>
      <vt:variant>
        <vt:i4>1769522</vt:i4>
      </vt:variant>
      <vt:variant>
        <vt:i4>86</vt:i4>
      </vt:variant>
      <vt:variant>
        <vt:i4>0</vt:i4>
      </vt:variant>
      <vt:variant>
        <vt:i4>5</vt:i4>
      </vt:variant>
      <vt:variant>
        <vt:lpwstr/>
      </vt:variant>
      <vt:variant>
        <vt:lpwstr>_Toc107927626</vt:lpwstr>
      </vt:variant>
      <vt:variant>
        <vt:i4>1769522</vt:i4>
      </vt:variant>
      <vt:variant>
        <vt:i4>80</vt:i4>
      </vt:variant>
      <vt:variant>
        <vt:i4>0</vt:i4>
      </vt:variant>
      <vt:variant>
        <vt:i4>5</vt:i4>
      </vt:variant>
      <vt:variant>
        <vt:lpwstr/>
      </vt:variant>
      <vt:variant>
        <vt:lpwstr>_Toc107927625</vt:lpwstr>
      </vt:variant>
      <vt:variant>
        <vt:i4>1769522</vt:i4>
      </vt:variant>
      <vt:variant>
        <vt:i4>74</vt:i4>
      </vt:variant>
      <vt:variant>
        <vt:i4>0</vt:i4>
      </vt:variant>
      <vt:variant>
        <vt:i4>5</vt:i4>
      </vt:variant>
      <vt:variant>
        <vt:lpwstr/>
      </vt:variant>
      <vt:variant>
        <vt:lpwstr>_Toc107927624</vt:lpwstr>
      </vt:variant>
      <vt:variant>
        <vt:i4>1769522</vt:i4>
      </vt:variant>
      <vt:variant>
        <vt:i4>68</vt:i4>
      </vt:variant>
      <vt:variant>
        <vt:i4>0</vt:i4>
      </vt:variant>
      <vt:variant>
        <vt:i4>5</vt:i4>
      </vt:variant>
      <vt:variant>
        <vt:lpwstr/>
      </vt:variant>
      <vt:variant>
        <vt:lpwstr>_Toc107927623</vt:lpwstr>
      </vt:variant>
      <vt:variant>
        <vt:i4>1769522</vt:i4>
      </vt:variant>
      <vt:variant>
        <vt:i4>62</vt:i4>
      </vt:variant>
      <vt:variant>
        <vt:i4>0</vt:i4>
      </vt:variant>
      <vt:variant>
        <vt:i4>5</vt:i4>
      </vt:variant>
      <vt:variant>
        <vt:lpwstr/>
      </vt:variant>
      <vt:variant>
        <vt:lpwstr>_Toc107927622</vt:lpwstr>
      </vt:variant>
      <vt:variant>
        <vt:i4>1769522</vt:i4>
      </vt:variant>
      <vt:variant>
        <vt:i4>56</vt:i4>
      </vt:variant>
      <vt:variant>
        <vt:i4>0</vt:i4>
      </vt:variant>
      <vt:variant>
        <vt:i4>5</vt:i4>
      </vt:variant>
      <vt:variant>
        <vt:lpwstr/>
      </vt:variant>
      <vt:variant>
        <vt:lpwstr>_Toc107927621</vt:lpwstr>
      </vt:variant>
      <vt:variant>
        <vt:i4>1769522</vt:i4>
      </vt:variant>
      <vt:variant>
        <vt:i4>50</vt:i4>
      </vt:variant>
      <vt:variant>
        <vt:i4>0</vt:i4>
      </vt:variant>
      <vt:variant>
        <vt:i4>5</vt:i4>
      </vt:variant>
      <vt:variant>
        <vt:lpwstr/>
      </vt:variant>
      <vt:variant>
        <vt:lpwstr>_Toc107927620</vt:lpwstr>
      </vt:variant>
      <vt:variant>
        <vt:i4>1572914</vt:i4>
      </vt:variant>
      <vt:variant>
        <vt:i4>44</vt:i4>
      </vt:variant>
      <vt:variant>
        <vt:i4>0</vt:i4>
      </vt:variant>
      <vt:variant>
        <vt:i4>5</vt:i4>
      </vt:variant>
      <vt:variant>
        <vt:lpwstr/>
      </vt:variant>
      <vt:variant>
        <vt:lpwstr>_Toc107927619</vt:lpwstr>
      </vt:variant>
      <vt:variant>
        <vt:i4>1572914</vt:i4>
      </vt:variant>
      <vt:variant>
        <vt:i4>38</vt:i4>
      </vt:variant>
      <vt:variant>
        <vt:i4>0</vt:i4>
      </vt:variant>
      <vt:variant>
        <vt:i4>5</vt:i4>
      </vt:variant>
      <vt:variant>
        <vt:lpwstr/>
      </vt:variant>
      <vt:variant>
        <vt:lpwstr>_Toc107927618</vt:lpwstr>
      </vt:variant>
      <vt:variant>
        <vt:i4>1572914</vt:i4>
      </vt:variant>
      <vt:variant>
        <vt:i4>32</vt:i4>
      </vt:variant>
      <vt:variant>
        <vt:i4>0</vt:i4>
      </vt:variant>
      <vt:variant>
        <vt:i4>5</vt:i4>
      </vt:variant>
      <vt:variant>
        <vt:lpwstr/>
      </vt:variant>
      <vt:variant>
        <vt:lpwstr>_Toc107927617</vt:lpwstr>
      </vt:variant>
      <vt:variant>
        <vt:i4>1572914</vt:i4>
      </vt:variant>
      <vt:variant>
        <vt:i4>26</vt:i4>
      </vt:variant>
      <vt:variant>
        <vt:i4>0</vt:i4>
      </vt:variant>
      <vt:variant>
        <vt:i4>5</vt:i4>
      </vt:variant>
      <vt:variant>
        <vt:lpwstr/>
      </vt:variant>
      <vt:variant>
        <vt:lpwstr>_Toc107927616</vt:lpwstr>
      </vt:variant>
      <vt:variant>
        <vt:i4>1572914</vt:i4>
      </vt:variant>
      <vt:variant>
        <vt:i4>20</vt:i4>
      </vt:variant>
      <vt:variant>
        <vt:i4>0</vt:i4>
      </vt:variant>
      <vt:variant>
        <vt:i4>5</vt:i4>
      </vt:variant>
      <vt:variant>
        <vt:lpwstr/>
      </vt:variant>
      <vt:variant>
        <vt:lpwstr>_Toc107927615</vt:lpwstr>
      </vt:variant>
      <vt:variant>
        <vt:i4>1572914</vt:i4>
      </vt:variant>
      <vt:variant>
        <vt:i4>14</vt:i4>
      </vt:variant>
      <vt:variant>
        <vt:i4>0</vt:i4>
      </vt:variant>
      <vt:variant>
        <vt:i4>5</vt:i4>
      </vt:variant>
      <vt:variant>
        <vt:lpwstr/>
      </vt:variant>
      <vt:variant>
        <vt:lpwstr>_Toc107927614</vt:lpwstr>
      </vt:variant>
      <vt:variant>
        <vt:i4>1572914</vt:i4>
      </vt:variant>
      <vt:variant>
        <vt:i4>8</vt:i4>
      </vt:variant>
      <vt:variant>
        <vt:i4>0</vt:i4>
      </vt:variant>
      <vt:variant>
        <vt:i4>5</vt:i4>
      </vt:variant>
      <vt:variant>
        <vt:lpwstr/>
      </vt:variant>
      <vt:variant>
        <vt:lpwstr>_Toc107927613</vt:lpwstr>
      </vt:variant>
      <vt:variant>
        <vt:i4>1572914</vt:i4>
      </vt:variant>
      <vt:variant>
        <vt:i4>2</vt:i4>
      </vt:variant>
      <vt:variant>
        <vt:i4>0</vt:i4>
      </vt:variant>
      <vt:variant>
        <vt:i4>5</vt:i4>
      </vt:variant>
      <vt:variant>
        <vt:lpwstr/>
      </vt:variant>
      <vt:variant>
        <vt:lpwstr>_Toc107927612</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2023-04-04T04:35:00Z</dcterms:created>
  <dcterms:modified xsi:type="dcterms:W3CDTF">2023-04-04T05:22:00Z</dcterms:modified>
</cp:coreProperties>
</file>