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DC4AF" w14:textId="0B2B552B" w:rsidR="009D2AEF" w:rsidRDefault="009D2AEF" w:rsidP="009D2AEF">
      <w:pPr>
        <w:pStyle w:val="1-MainHeading"/>
        <w:spacing w:before="0" w:after="0"/>
      </w:pPr>
      <w:r>
        <w:t>6.01</w:t>
      </w:r>
      <w:r w:rsidR="00323FC6">
        <w:t xml:space="preserve"> </w:t>
      </w:r>
      <w:r w:rsidRPr="009D2AEF">
        <w:t xml:space="preserve">HUMAN PAPILLOMAVIRUS </w:t>
      </w:r>
      <w:r>
        <w:t>9-VALENT</w:t>
      </w:r>
      <w:r w:rsidRPr="009D2AEF">
        <w:t xml:space="preserve"> VACCINE,</w:t>
      </w:r>
      <w:r w:rsidR="000B7767" w:rsidRPr="00EF4580">
        <w:br/>
      </w:r>
      <w:r w:rsidR="007740A8" w:rsidRPr="007740A8">
        <w:t>Injection 0.5mL, pre-filled syringe</w:t>
      </w:r>
    </w:p>
    <w:p w14:paraId="5FCB201A" w14:textId="5D714CEE" w:rsidR="00323FC6" w:rsidRDefault="009D2AEF" w:rsidP="009D2AEF">
      <w:pPr>
        <w:pStyle w:val="1-MainHeading"/>
        <w:spacing w:before="0" w:after="0"/>
        <w:ind w:firstLine="0"/>
      </w:pPr>
      <w:r w:rsidRPr="009D2AEF">
        <w:t>Gardasil</w:t>
      </w:r>
      <w:r w:rsidR="00773D9B">
        <w:t>®</w:t>
      </w:r>
      <w:r w:rsidRPr="009D2AEF">
        <w:t>9</w:t>
      </w:r>
      <w:r w:rsidR="00323FC6">
        <w:t xml:space="preserve">, </w:t>
      </w:r>
    </w:p>
    <w:p w14:paraId="39B1EB0F" w14:textId="7611C925" w:rsidR="00491266" w:rsidRDefault="009D2AEF" w:rsidP="00491266">
      <w:pPr>
        <w:pStyle w:val="1-MainHeading"/>
        <w:spacing w:before="0" w:after="0"/>
        <w:ind w:firstLine="0"/>
      </w:pPr>
      <w:r w:rsidRPr="009D2AEF">
        <w:t>Seqirus (Australia) Pty Ltd</w:t>
      </w:r>
    </w:p>
    <w:p w14:paraId="1DE8D195" w14:textId="002EDC22" w:rsidR="003F044F" w:rsidRPr="006C5B33" w:rsidRDefault="009C5B72" w:rsidP="00491266">
      <w:pPr>
        <w:pStyle w:val="2-SectionHeading"/>
        <w:rPr>
          <w:rFonts w:eastAsia="Calibri"/>
        </w:rPr>
      </w:pPr>
      <w:r w:rsidRPr="006C5B33">
        <w:t>Purpose</w:t>
      </w:r>
    </w:p>
    <w:p w14:paraId="16A09FBB" w14:textId="0B5D7F30" w:rsidR="00501400" w:rsidRDefault="002E340A" w:rsidP="007F5071">
      <w:pPr>
        <w:pStyle w:val="3-BodyText"/>
        <w:rPr>
          <w:rStyle w:val="CommentReference"/>
          <w:rFonts w:ascii="Arial Narrow" w:hAnsi="Arial Narrow" w:cs="Times New Roman"/>
          <w:b/>
          <w:bCs/>
        </w:rPr>
      </w:pPr>
      <w:r w:rsidRPr="002E340A">
        <w:t>The Chief Medical Officer</w:t>
      </w:r>
      <w:r w:rsidR="002104BB">
        <w:t xml:space="preserve"> </w:t>
      </w:r>
      <w:r w:rsidR="00AC4661">
        <w:t>of the Department of Health</w:t>
      </w:r>
      <w:r w:rsidR="004E0B63">
        <w:t xml:space="preserve"> and Aged Care</w:t>
      </w:r>
      <w:r w:rsidRPr="002E340A">
        <w:t xml:space="preserve"> request</w:t>
      </w:r>
      <w:r>
        <w:t>ed</w:t>
      </w:r>
      <w:r w:rsidRPr="002E340A">
        <w:t xml:space="preserve"> the PBAC</w:t>
      </w:r>
      <w:r w:rsidR="00C76598" w:rsidRPr="00C76598">
        <w:t xml:space="preserve"> consider a variation to the </w:t>
      </w:r>
      <w:r w:rsidR="004E0B63">
        <w:t>National Immunisation Program (</w:t>
      </w:r>
      <w:r w:rsidR="00C76598" w:rsidRPr="00C76598">
        <w:t>NIP</w:t>
      </w:r>
      <w:r w:rsidR="004E0B63">
        <w:t>)</w:t>
      </w:r>
      <w:r w:rsidR="00C76598" w:rsidRPr="00C76598">
        <w:t xml:space="preserve"> listing of </w:t>
      </w:r>
      <w:r w:rsidR="00773D9B" w:rsidRPr="00773D9B">
        <w:t xml:space="preserve">the human papillomavirus </w:t>
      </w:r>
      <w:r w:rsidR="00773D9B">
        <w:t>9-valent</w:t>
      </w:r>
      <w:r w:rsidR="00773D9B" w:rsidRPr="00773D9B">
        <w:t xml:space="preserve"> vaccine</w:t>
      </w:r>
      <w:r w:rsidR="000B613B">
        <w:t xml:space="preserve"> (9vHPV)</w:t>
      </w:r>
      <w:r w:rsidR="00773D9B">
        <w:t>,</w:t>
      </w:r>
      <w:r w:rsidR="00773D9B" w:rsidRPr="00773D9B">
        <w:t xml:space="preserve"> </w:t>
      </w:r>
      <w:r w:rsidR="00C76598" w:rsidRPr="00C76598">
        <w:t>Gardasil</w:t>
      </w:r>
      <w:r w:rsidR="0085653C">
        <w:t>®</w:t>
      </w:r>
      <w:r w:rsidR="00C76598" w:rsidRPr="00C76598">
        <w:t>9</w:t>
      </w:r>
      <w:r w:rsidR="00773D9B">
        <w:t>,</w:t>
      </w:r>
      <w:r w:rsidR="00C76598" w:rsidRPr="00C76598">
        <w:t xml:space="preserve"> from two doses to one dose for the adolescent vaccination program and to extend the upper age limit for catch up vaccination</w:t>
      </w:r>
      <w:r w:rsidR="00AC4661">
        <w:t>.</w:t>
      </w:r>
    </w:p>
    <w:p w14:paraId="0CB934B0" w14:textId="708E1AA2" w:rsidR="00B678BC" w:rsidRDefault="00B678BC" w:rsidP="00B678BC">
      <w:pPr>
        <w:pStyle w:val="3-BodyText"/>
        <w:numPr>
          <w:ilvl w:val="0"/>
          <w:numId w:val="0"/>
        </w:numPr>
        <w:spacing w:after="0"/>
        <w:rPr>
          <w:rStyle w:val="CommentReference"/>
          <w:rFonts w:ascii="Arial Narrow" w:hAnsi="Arial Narrow"/>
          <w:b/>
          <w:bCs/>
          <w:sz w:val="20"/>
          <w:szCs w:val="20"/>
        </w:rPr>
      </w:pPr>
      <w:r w:rsidRPr="00B678BC">
        <w:rPr>
          <w:rStyle w:val="CommentReference"/>
          <w:rFonts w:ascii="Arial Narrow" w:hAnsi="Arial Narrow"/>
          <w:b/>
          <w:bCs/>
          <w:sz w:val="20"/>
          <w:szCs w:val="20"/>
        </w:rPr>
        <w:t xml:space="preserve">Table </w:t>
      </w:r>
      <w:r w:rsidRPr="00B678BC">
        <w:rPr>
          <w:rStyle w:val="CommentReference"/>
          <w:rFonts w:ascii="Arial Narrow" w:hAnsi="Arial Narrow"/>
          <w:b/>
          <w:bCs/>
          <w:sz w:val="20"/>
          <w:szCs w:val="20"/>
        </w:rPr>
        <w:fldChar w:fldCharType="begin" w:fldLock="1"/>
      </w:r>
      <w:r w:rsidRPr="00B678BC">
        <w:rPr>
          <w:rStyle w:val="CommentReference"/>
          <w:rFonts w:ascii="Arial Narrow" w:hAnsi="Arial Narrow"/>
          <w:b/>
          <w:bCs/>
          <w:sz w:val="20"/>
          <w:szCs w:val="20"/>
        </w:rPr>
        <w:instrText xml:space="preserve"> SEQ Table \* ARABIC </w:instrText>
      </w:r>
      <w:r w:rsidRPr="00B678BC">
        <w:rPr>
          <w:rStyle w:val="CommentReference"/>
          <w:rFonts w:ascii="Arial Narrow" w:hAnsi="Arial Narrow"/>
          <w:b/>
          <w:bCs/>
          <w:sz w:val="20"/>
          <w:szCs w:val="20"/>
        </w:rPr>
        <w:fldChar w:fldCharType="separate"/>
      </w:r>
      <w:r w:rsidRPr="00B678BC">
        <w:rPr>
          <w:rStyle w:val="CommentReference"/>
          <w:rFonts w:ascii="Arial Narrow" w:hAnsi="Arial Narrow"/>
          <w:b/>
          <w:bCs/>
          <w:noProof/>
          <w:sz w:val="20"/>
          <w:szCs w:val="20"/>
        </w:rPr>
        <w:t>1</w:t>
      </w:r>
      <w:r w:rsidRPr="00B678BC">
        <w:rPr>
          <w:rStyle w:val="CommentReference"/>
          <w:rFonts w:ascii="Arial Narrow" w:hAnsi="Arial Narrow"/>
          <w:b/>
          <w:bCs/>
          <w:sz w:val="20"/>
          <w:szCs w:val="20"/>
        </w:rPr>
        <w:fldChar w:fldCharType="end"/>
      </w:r>
      <w:r w:rsidRPr="00B678BC">
        <w:rPr>
          <w:rStyle w:val="CommentReference"/>
          <w:rFonts w:ascii="Arial Narrow" w:hAnsi="Arial Narrow"/>
          <w:b/>
          <w:bCs/>
          <w:sz w:val="20"/>
          <w:szCs w:val="20"/>
        </w:rPr>
        <w:t>: Key components of the clinical issue</w:t>
      </w:r>
      <w:r>
        <w:rPr>
          <w:rStyle w:val="CommentReference"/>
          <w:rFonts w:ascii="Arial Narrow" w:hAnsi="Arial Narrow"/>
          <w:b/>
          <w:bCs/>
          <w:sz w:val="20"/>
          <w:szCs w:val="20"/>
        </w:rPr>
        <w:t xml:space="preserve"> </w:t>
      </w:r>
      <w:r w:rsidRPr="00B678BC">
        <w:rPr>
          <w:rStyle w:val="CommentReference"/>
          <w:rFonts w:ascii="Arial Narrow" w:hAnsi="Arial Narrow"/>
          <w:b/>
          <w:bCs/>
          <w:sz w:val="20"/>
          <w:szCs w:val="20"/>
        </w:rPr>
        <w:t>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66"/>
        <w:gridCol w:w="7350"/>
      </w:tblGrid>
      <w:tr w:rsidR="00B678BC" w:rsidRPr="005B024E" w14:paraId="16012470" w14:textId="77777777" w:rsidTr="003522FD">
        <w:trPr>
          <w:cantSplit/>
          <w:tblHeader/>
        </w:trPr>
        <w:tc>
          <w:tcPr>
            <w:tcW w:w="924" w:type="pct"/>
            <w:shd w:val="clear" w:color="auto" w:fill="auto"/>
          </w:tcPr>
          <w:p w14:paraId="79EE8534" w14:textId="77777777" w:rsidR="00B678BC" w:rsidRPr="005B024E" w:rsidRDefault="00B678BC" w:rsidP="003522FD">
            <w:pPr>
              <w:pStyle w:val="In-tableHeading"/>
              <w:rPr>
                <w:szCs w:val="20"/>
                <w:lang w:val="en-AU"/>
              </w:rPr>
            </w:pPr>
            <w:r w:rsidRPr="005B024E">
              <w:rPr>
                <w:lang w:val="en-AU"/>
              </w:rPr>
              <w:t>Component</w:t>
            </w:r>
          </w:p>
        </w:tc>
        <w:tc>
          <w:tcPr>
            <w:tcW w:w="4076" w:type="pct"/>
            <w:shd w:val="clear" w:color="auto" w:fill="auto"/>
          </w:tcPr>
          <w:p w14:paraId="4E791400" w14:textId="77777777" w:rsidR="00B678BC" w:rsidRPr="005B024E" w:rsidRDefault="00B678BC" w:rsidP="003522FD">
            <w:pPr>
              <w:pStyle w:val="In-tableHeading"/>
              <w:rPr>
                <w:lang w:val="en-AU"/>
              </w:rPr>
            </w:pPr>
            <w:r w:rsidRPr="005B024E">
              <w:rPr>
                <w:lang w:val="en-AU"/>
              </w:rPr>
              <w:t>Description</w:t>
            </w:r>
          </w:p>
        </w:tc>
      </w:tr>
      <w:tr w:rsidR="00B678BC" w:rsidRPr="005B024E" w14:paraId="71F35AA4" w14:textId="77777777" w:rsidTr="003522FD">
        <w:trPr>
          <w:cantSplit/>
        </w:trPr>
        <w:tc>
          <w:tcPr>
            <w:tcW w:w="924" w:type="pct"/>
            <w:shd w:val="clear" w:color="auto" w:fill="auto"/>
          </w:tcPr>
          <w:p w14:paraId="44DF8766" w14:textId="77777777" w:rsidR="00B678BC" w:rsidRPr="005B024E" w:rsidRDefault="00B678BC" w:rsidP="003522FD">
            <w:pPr>
              <w:pStyle w:val="TableText"/>
            </w:pPr>
            <w:r w:rsidRPr="005B024E">
              <w:t>Population</w:t>
            </w:r>
          </w:p>
        </w:tc>
        <w:tc>
          <w:tcPr>
            <w:tcW w:w="4076" w:type="pct"/>
            <w:shd w:val="clear" w:color="auto" w:fill="auto"/>
            <w:vAlign w:val="center"/>
          </w:tcPr>
          <w:p w14:paraId="4E5A1C0F" w14:textId="7613A829" w:rsidR="00B678BC" w:rsidRPr="005B024E" w:rsidRDefault="00B678BC" w:rsidP="003522FD">
            <w:pPr>
              <w:pStyle w:val="TableText"/>
              <w:rPr>
                <w:szCs w:val="20"/>
              </w:rPr>
            </w:pPr>
            <w:r w:rsidRPr="00B678BC">
              <w:t>Females and males eligible for HPV vaccination</w:t>
            </w:r>
          </w:p>
        </w:tc>
      </w:tr>
      <w:tr w:rsidR="00B678BC" w:rsidRPr="005B024E" w14:paraId="5E058FB4" w14:textId="77777777" w:rsidTr="003522FD">
        <w:trPr>
          <w:cantSplit/>
        </w:trPr>
        <w:tc>
          <w:tcPr>
            <w:tcW w:w="924" w:type="pct"/>
            <w:shd w:val="clear" w:color="auto" w:fill="auto"/>
          </w:tcPr>
          <w:p w14:paraId="1FE934B3" w14:textId="77777777" w:rsidR="00B678BC" w:rsidRPr="005B024E" w:rsidRDefault="00B678BC" w:rsidP="003522FD">
            <w:pPr>
              <w:pStyle w:val="TableText"/>
            </w:pPr>
            <w:r w:rsidRPr="005B024E">
              <w:t>Intervention</w:t>
            </w:r>
          </w:p>
        </w:tc>
        <w:tc>
          <w:tcPr>
            <w:tcW w:w="4076" w:type="pct"/>
            <w:shd w:val="clear" w:color="auto" w:fill="auto"/>
            <w:vAlign w:val="center"/>
          </w:tcPr>
          <w:p w14:paraId="509778E3" w14:textId="35EE2087" w:rsidR="00B678BC" w:rsidRPr="005B024E" w:rsidRDefault="00B678BC" w:rsidP="003522FD">
            <w:pPr>
              <w:pStyle w:val="TableText"/>
            </w:pPr>
            <w:r w:rsidRPr="00B678BC">
              <w:t>1 dose of HPV vaccine</w:t>
            </w:r>
          </w:p>
        </w:tc>
      </w:tr>
      <w:tr w:rsidR="00B678BC" w:rsidRPr="005B024E" w14:paraId="790DAFDC" w14:textId="77777777" w:rsidTr="003522FD">
        <w:trPr>
          <w:cantSplit/>
        </w:trPr>
        <w:tc>
          <w:tcPr>
            <w:tcW w:w="924" w:type="pct"/>
            <w:shd w:val="clear" w:color="auto" w:fill="auto"/>
          </w:tcPr>
          <w:p w14:paraId="1666D42B" w14:textId="77777777" w:rsidR="00B678BC" w:rsidRPr="005B024E" w:rsidRDefault="00B678BC" w:rsidP="003522FD">
            <w:pPr>
              <w:pStyle w:val="TableText"/>
            </w:pPr>
            <w:r w:rsidRPr="005B024E">
              <w:t>Comparator</w:t>
            </w:r>
          </w:p>
        </w:tc>
        <w:tc>
          <w:tcPr>
            <w:tcW w:w="4076" w:type="pct"/>
            <w:shd w:val="clear" w:color="auto" w:fill="auto"/>
            <w:vAlign w:val="center"/>
          </w:tcPr>
          <w:p w14:paraId="01E63F0E" w14:textId="3ED86D08" w:rsidR="00B678BC" w:rsidRPr="005B024E" w:rsidRDefault="00B678BC" w:rsidP="003522FD">
            <w:pPr>
              <w:pStyle w:val="TableText"/>
            </w:pPr>
            <w:r w:rsidRPr="00B678BC">
              <w:t>2 or 3 doses of HPV vaccine</w:t>
            </w:r>
          </w:p>
        </w:tc>
      </w:tr>
      <w:tr w:rsidR="00B678BC" w:rsidRPr="005B024E" w14:paraId="775E570F" w14:textId="77777777" w:rsidTr="003522FD">
        <w:trPr>
          <w:cantSplit/>
        </w:trPr>
        <w:tc>
          <w:tcPr>
            <w:tcW w:w="924" w:type="pct"/>
            <w:shd w:val="clear" w:color="auto" w:fill="auto"/>
          </w:tcPr>
          <w:p w14:paraId="1D207879" w14:textId="77777777" w:rsidR="00B678BC" w:rsidRPr="005B024E" w:rsidRDefault="00B678BC" w:rsidP="003522FD">
            <w:pPr>
              <w:pStyle w:val="TableText"/>
            </w:pPr>
            <w:r w:rsidRPr="005B024E">
              <w:t>Outcomes</w:t>
            </w:r>
          </w:p>
        </w:tc>
        <w:tc>
          <w:tcPr>
            <w:tcW w:w="4076" w:type="pct"/>
            <w:shd w:val="clear" w:color="auto" w:fill="auto"/>
            <w:vAlign w:val="center"/>
          </w:tcPr>
          <w:p w14:paraId="196DD9F7" w14:textId="77777777" w:rsidR="00B678BC" w:rsidRDefault="00B678BC" w:rsidP="00B678BC">
            <w:pPr>
              <w:pStyle w:val="TableText"/>
            </w:pPr>
            <w:r>
              <w:t xml:space="preserve">Vaccine efficacy against HPV-related infection and disease </w:t>
            </w:r>
          </w:p>
          <w:p w14:paraId="68F0C264" w14:textId="264F99B2" w:rsidR="00B678BC" w:rsidRPr="005B024E" w:rsidRDefault="00B678BC" w:rsidP="00B678BC">
            <w:pPr>
              <w:pStyle w:val="TableText"/>
              <w:rPr>
                <w:rFonts w:eastAsia="Times New Roman" w:cs="Arial"/>
                <w:bCs w:val="0"/>
                <w:snapToGrid w:val="0"/>
                <w:szCs w:val="20"/>
              </w:rPr>
            </w:pPr>
            <w:r>
              <w:t>HPV antibody seropositivity and/or GMCs</w:t>
            </w:r>
          </w:p>
        </w:tc>
      </w:tr>
      <w:tr w:rsidR="00B678BC" w:rsidRPr="005B024E" w14:paraId="5EF81379" w14:textId="77777777" w:rsidTr="003522FD">
        <w:trPr>
          <w:cantSplit/>
        </w:trPr>
        <w:tc>
          <w:tcPr>
            <w:tcW w:w="924" w:type="pct"/>
            <w:shd w:val="clear" w:color="auto" w:fill="auto"/>
          </w:tcPr>
          <w:p w14:paraId="793EDE65" w14:textId="77777777" w:rsidR="00B678BC" w:rsidRPr="005B024E" w:rsidRDefault="00B678BC" w:rsidP="003522FD">
            <w:pPr>
              <w:pStyle w:val="TableText"/>
            </w:pPr>
            <w:r w:rsidRPr="005B024E">
              <w:t>Clinical claim</w:t>
            </w:r>
          </w:p>
        </w:tc>
        <w:tc>
          <w:tcPr>
            <w:tcW w:w="4076" w:type="pct"/>
            <w:shd w:val="clear" w:color="auto" w:fill="auto"/>
            <w:vAlign w:val="center"/>
          </w:tcPr>
          <w:p w14:paraId="25F2D1C6" w14:textId="1C42BBFF" w:rsidR="00B678BC" w:rsidRDefault="00B678BC" w:rsidP="00B678BC">
            <w:pPr>
              <w:pStyle w:val="TableText"/>
            </w:pPr>
            <w:r>
              <w:t>In the immunocompetent population, 1-dose is non-inferior to 2- or 3-dose in terms of efficacy</w:t>
            </w:r>
          </w:p>
          <w:p w14:paraId="7BE6C3F2" w14:textId="6F6654DF" w:rsidR="00B678BC" w:rsidRPr="005B024E" w:rsidRDefault="00B678BC" w:rsidP="00B678BC">
            <w:pPr>
              <w:pStyle w:val="TableText"/>
              <w:rPr>
                <w:rFonts w:eastAsia="Times New Roman" w:cs="Arial"/>
                <w:bCs w:val="0"/>
                <w:snapToGrid w:val="0"/>
                <w:szCs w:val="20"/>
              </w:rPr>
            </w:pPr>
            <w:r>
              <w:t>Fewer mild-moderate short term adverse events</w:t>
            </w:r>
          </w:p>
        </w:tc>
      </w:tr>
    </w:tbl>
    <w:p w14:paraId="7D56CC2F" w14:textId="18DC9EDA" w:rsidR="00B678BC" w:rsidRDefault="00F445FC" w:rsidP="00B678BC">
      <w:pPr>
        <w:pStyle w:val="3-BodyText"/>
        <w:numPr>
          <w:ilvl w:val="0"/>
          <w:numId w:val="0"/>
        </w:numPr>
        <w:spacing w:after="0"/>
        <w:rPr>
          <w:rFonts w:ascii="Arial Narrow" w:hAnsi="Arial Narrow"/>
          <w:sz w:val="20"/>
          <w:szCs w:val="20"/>
        </w:rPr>
      </w:pPr>
      <w:r w:rsidRPr="00F445FC">
        <w:rPr>
          <w:rFonts w:ascii="Arial Narrow" w:hAnsi="Arial Narrow"/>
          <w:sz w:val="20"/>
          <w:szCs w:val="20"/>
        </w:rPr>
        <w:t xml:space="preserve">Source: </w:t>
      </w:r>
      <w:r w:rsidR="007949BD" w:rsidRPr="007949BD">
        <w:rPr>
          <w:rFonts w:ascii="Arial Narrow" w:hAnsi="Arial Narrow"/>
          <w:sz w:val="20"/>
          <w:szCs w:val="20"/>
        </w:rPr>
        <w:t xml:space="preserve">Table </w:t>
      </w:r>
      <w:r w:rsidR="007949BD">
        <w:rPr>
          <w:rFonts w:ascii="Arial Narrow" w:hAnsi="Arial Narrow"/>
          <w:sz w:val="20"/>
          <w:szCs w:val="20"/>
        </w:rPr>
        <w:t>2</w:t>
      </w:r>
      <w:r w:rsidR="007949BD" w:rsidRPr="007949BD">
        <w:rPr>
          <w:rFonts w:ascii="Arial Narrow" w:hAnsi="Arial Narrow"/>
          <w:sz w:val="20"/>
          <w:szCs w:val="20"/>
        </w:rPr>
        <w:t>, p</w:t>
      </w:r>
      <w:r w:rsidR="007949BD">
        <w:rPr>
          <w:rFonts w:ascii="Arial Narrow" w:hAnsi="Arial Narrow"/>
          <w:sz w:val="20"/>
          <w:szCs w:val="20"/>
        </w:rPr>
        <w:t>p 2-3</w:t>
      </w:r>
      <w:r w:rsidR="007949BD" w:rsidRPr="007949BD">
        <w:rPr>
          <w:rFonts w:ascii="Arial Narrow" w:hAnsi="Arial Narrow"/>
          <w:sz w:val="20"/>
          <w:szCs w:val="20"/>
        </w:rPr>
        <w:t xml:space="preserve"> of the CMO submission</w:t>
      </w:r>
    </w:p>
    <w:p w14:paraId="30DE25B9" w14:textId="3455D0F1" w:rsidR="007949BD" w:rsidRDefault="007949BD" w:rsidP="00B678BC">
      <w:pPr>
        <w:pStyle w:val="3-BodyText"/>
        <w:numPr>
          <w:ilvl w:val="0"/>
          <w:numId w:val="0"/>
        </w:numPr>
        <w:spacing w:after="0"/>
        <w:rPr>
          <w:rFonts w:ascii="Arial Narrow" w:hAnsi="Arial Narrow"/>
          <w:sz w:val="20"/>
          <w:szCs w:val="20"/>
        </w:rPr>
      </w:pPr>
      <w:r>
        <w:rPr>
          <w:rFonts w:ascii="Arial Narrow" w:hAnsi="Arial Narrow"/>
          <w:sz w:val="20"/>
          <w:szCs w:val="20"/>
        </w:rPr>
        <w:t xml:space="preserve">GMC = </w:t>
      </w:r>
      <w:r w:rsidRPr="007949BD">
        <w:rPr>
          <w:rFonts w:ascii="Arial Narrow" w:hAnsi="Arial Narrow"/>
          <w:sz w:val="20"/>
          <w:szCs w:val="20"/>
        </w:rPr>
        <w:t>geometric mean concentrations</w:t>
      </w:r>
      <w:r>
        <w:rPr>
          <w:rFonts w:ascii="Arial Narrow" w:hAnsi="Arial Narrow"/>
          <w:sz w:val="20"/>
          <w:szCs w:val="20"/>
        </w:rPr>
        <w:t xml:space="preserve">; HPV = </w:t>
      </w:r>
      <w:r w:rsidRPr="007949BD">
        <w:rPr>
          <w:rFonts w:ascii="Arial Narrow" w:hAnsi="Arial Narrow"/>
          <w:sz w:val="20"/>
          <w:szCs w:val="20"/>
        </w:rPr>
        <w:t>human papillomavirus</w:t>
      </w:r>
    </w:p>
    <w:p w14:paraId="0935F4B2" w14:textId="15DE73BB" w:rsidR="5D80A09E" w:rsidRPr="006C5B33" w:rsidRDefault="004877C2" w:rsidP="00F04E72">
      <w:pPr>
        <w:pStyle w:val="2-SectionHeading"/>
        <w:rPr>
          <w:rFonts w:eastAsiaTheme="minorEastAsia"/>
        </w:rPr>
      </w:pPr>
      <w:r w:rsidRPr="006C5B33">
        <w:t>Background</w:t>
      </w:r>
    </w:p>
    <w:p w14:paraId="3261EF5F" w14:textId="379B417D" w:rsidR="004E0B63" w:rsidRPr="00294BFF" w:rsidRDefault="004E0B63" w:rsidP="004E0B63">
      <w:pPr>
        <w:pStyle w:val="3-BodyText"/>
      </w:pPr>
      <w:r w:rsidRPr="00294BFF">
        <w:t xml:space="preserve">In April 2022, </w:t>
      </w:r>
      <w:r w:rsidR="00294BFF" w:rsidRPr="00294BFF">
        <w:t>the World Health Organization (WHO) Strategic Advisory Group of Experts on Immunization (SAGE) completed an</w:t>
      </w:r>
      <w:r w:rsidRPr="00294BFF">
        <w:t xml:space="preserve"> evaluation of emerging evidence </w:t>
      </w:r>
      <w:r w:rsidR="00294BFF" w:rsidRPr="00294BFF">
        <w:t xml:space="preserve">which indicated </w:t>
      </w:r>
      <w:r w:rsidRPr="00294BFF">
        <w:t>that a single dose HPV vaccine schedule provided comparable efficacy to two and three dose HPV vaccination schedules.</w:t>
      </w:r>
      <w:r w:rsidR="00773D9B" w:rsidRPr="00294BFF">
        <w:rPr>
          <w:rStyle w:val="FootnoteReference"/>
        </w:rPr>
        <w:footnoteReference w:id="2"/>
      </w:r>
      <w:r w:rsidRPr="00294BFF">
        <w:t xml:space="preserve"> Based on evidence from 55 studies, </w:t>
      </w:r>
      <w:r w:rsidR="00294BFF" w:rsidRPr="00294BFF">
        <w:t>it wa</w:t>
      </w:r>
      <w:r w:rsidR="00154CEE">
        <w:t>s</w:t>
      </w:r>
      <w:r w:rsidR="00294BFF" w:rsidRPr="00294BFF">
        <w:t xml:space="preserve"> </w:t>
      </w:r>
      <w:r w:rsidRPr="00294BFF">
        <w:t>concluded that one dose of HPV vaccine delivers comparable protection to multi-dose schedules in immunocompetent populations. The U</w:t>
      </w:r>
      <w:r w:rsidR="003B6212" w:rsidRPr="00294BFF">
        <w:t xml:space="preserve">nited </w:t>
      </w:r>
      <w:r w:rsidRPr="00294BFF">
        <w:t>K</w:t>
      </w:r>
      <w:r w:rsidR="003B6212" w:rsidRPr="00294BFF">
        <w:t>ingdom</w:t>
      </w:r>
      <w:r w:rsidRPr="00294BFF">
        <w:t xml:space="preserve">’s Joint Committee on Vaccination and Immunisation (JCVI) in February 2022 recommended shifting to a one dose vaccination schedule for the pre-adolescent school-based program, which they reaffirmed in a statement in August 2022. </w:t>
      </w:r>
      <w:r w:rsidR="00294BFF" w:rsidRPr="00294BFF">
        <w:t>JCVI</w:t>
      </w:r>
      <w:r w:rsidRPr="00294BFF">
        <w:t xml:space="preserve"> anticipate</w:t>
      </w:r>
      <w:r w:rsidR="00294BFF" w:rsidRPr="00294BFF">
        <w:t>s</w:t>
      </w:r>
      <w:r w:rsidRPr="00294BFF">
        <w:t xml:space="preserve"> implementing this schedule in the 2023–2024 school year</w:t>
      </w:r>
      <w:r w:rsidR="0010155D">
        <w:t xml:space="preserve"> following agreement on a policy decision</w:t>
      </w:r>
      <w:r w:rsidRPr="00294BFF">
        <w:t xml:space="preserve"> and have recommended a single dose schedule for all </w:t>
      </w:r>
      <w:r w:rsidRPr="00294BFF">
        <w:lastRenderedPageBreak/>
        <w:t>immunocompetent people up to their 25th birthday (for whom vaccination is currently funded under their national program).</w:t>
      </w:r>
    </w:p>
    <w:p w14:paraId="28D58DB1" w14:textId="6B7C9F56" w:rsidR="005B38E7" w:rsidRDefault="004E0B63" w:rsidP="005B38E7">
      <w:pPr>
        <w:pStyle w:val="3-BodyText"/>
      </w:pPr>
      <w:r>
        <w:t xml:space="preserve">Aligning with considerations by these immunisation technical advisory committees, </w:t>
      </w:r>
      <w:r w:rsidR="005B38E7">
        <w:t xml:space="preserve">the </w:t>
      </w:r>
      <w:r w:rsidR="005B38E7" w:rsidRPr="004E0B63">
        <w:t>Australian Technical Advisory Group on Immunisation</w:t>
      </w:r>
      <w:r w:rsidR="005B38E7">
        <w:t xml:space="preserve"> (</w:t>
      </w:r>
      <w:r>
        <w:t>ATAGI</w:t>
      </w:r>
      <w:r w:rsidR="005B38E7">
        <w:t>)</w:t>
      </w:r>
      <w:r>
        <w:t xml:space="preserve"> and </w:t>
      </w:r>
      <w:r w:rsidR="001A4BF2">
        <w:t xml:space="preserve">the </w:t>
      </w:r>
      <w:r w:rsidR="001A4BF2" w:rsidRPr="001A4BF2">
        <w:t xml:space="preserve">National Centre for Immunisation Research and Surveillance </w:t>
      </w:r>
      <w:r w:rsidR="001A4BF2">
        <w:t>(</w:t>
      </w:r>
      <w:r>
        <w:t>NCIRS</w:t>
      </w:r>
      <w:r w:rsidR="001A4BF2">
        <w:t>)</w:t>
      </w:r>
      <w:r>
        <w:t xml:space="preserve"> initiated a review on evidence regarding the use of a single dose HPV vaccination in mid</w:t>
      </w:r>
      <w:r w:rsidR="00697083">
        <w:t>-</w:t>
      </w:r>
      <w:r>
        <w:t>2022.</w:t>
      </w:r>
    </w:p>
    <w:p w14:paraId="0B13512F" w14:textId="3E506E69" w:rsidR="004E0B63" w:rsidRDefault="005B38E7" w:rsidP="003522FD">
      <w:pPr>
        <w:pStyle w:val="3-BodyText"/>
      </w:pPr>
      <w:r w:rsidRPr="004E0B63">
        <w:t>At its August 2022 meeting, ATAGI agreed that the evidence currently available supports changing the HPV vaccine schedule from a two dose to a one dose schedule in immunocompetent people aged up until 25 years. ATAGI propose</w:t>
      </w:r>
      <w:r>
        <w:t>d</w:t>
      </w:r>
      <w:r w:rsidRPr="004E0B63">
        <w:t xml:space="preserve"> extending the upper age limit of eligibility for NIP-funded dose to 25 years to allow all individuals who did not receive a funded dose during the routine program to receive funded HPV vaccine (the current age limit for two NIP-funded doses of HPV vaccine is 19 years). This expansion aligns with the original intention of the HPV vaccination program to maximise protection against all HPV-related cancers and would ensure equitable access for all those eligible.</w:t>
      </w:r>
    </w:p>
    <w:p w14:paraId="7C22AF12" w14:textId="78F26F7C" w:rsidR="00024393" w:rsidRPr="00024393" w:rsidRDefault="005B38E7" w:rsidP="00E97A7E">
      <w:pPr>
        <w:pStyle w:val="4-SubsectionHeading"/>
      </w:pPr>
      <w:r>
        <w:t xml:space="preserve">Previous </w:t>
      </w:r>
      <w:r w:rsidR="00024393" w:rsidRPr="00024393">
        <w:t xml:space="preserve">PBAC consideration </w:t>
      </w:r>
    </w:p>
    <w:p w14:paraId="166DF1A6" w14:textId="77777777" w:rsidR="00773D9B" w:rsidRDefault="00773D9B" w:rsidP="00773D9B">
      <w:pPr>
        <w:pStyle w:val="3-BodyText"/>
      </w:pPr>
      <w:r>
        <w:t xml:space="preserve">The </w:t>
      </w:r>
      <w:r w:rsidRPr="00773D9B">
        <w:t xml:space="preserve">PBAC </w:t>
      </w:r>
      <w:r>
        <w:t xml:space="preserve">previously </w:t>
      </w:r>
      <w:r w:rsidRPr="00773D9B">
        <w:t>considered the cost-effectiveness of Gardasil</w:t>
      </w:r>
      <w:r>
        <w:t xml:space="preserve"> </w:t>
      </w:r>
      <w:r w:rsidRPr="00773D9B">
        <w:t>9 in July 2017 as a two-dose schedule.</w:t>
      </w:r>
      <w:r>
        <w:t xml:space="preserve"> </w:t>
      </w:r>
      <w:r w:rsidRPr="00773D9B">
        <w:t>In this assessment, Gardasil</w:t>
      </w:r>
      <w:r>
        <w:t xml:space="preserve"> </w:t>
      </w:r>
      <w:r w:rsidRPr="00773D9B">
        <w:t xml:space="preserve">9 was recommended for listing on the NIP for females and males aged 12-13 years as part of a school-based program. </w:t>
      </w:r>
    </w:p>
    <w:p w14:paraId="69131B11" w14:textId="77777777" w:rsidR="0068619E" w:rsidRDefault="00773D9B" w:rsidP="00773D9B">
      <w:pPr>
        <w:pStyle w:val="3-BodyText"/>
      </w:pPr>
      <w:r w:rsidRPr="00773D9B">
        <w:t>Prior to this, a 4</w:t>
      </w:r>
      <w:r>
        <w:t>-</w:t>
      </w:r>
      <w:r w:rsidRPr="00773D9B">
        <w:t xml:space="preserve">valent HPV vaccine, Gardasil®, was available on the NIP, using a three-dose schedule. Gardasil was initially included on the NIP in 2007 for females aged 12-13 years. In 2013 this was expanded to include males 12-13 years, with a catch-up program for males aged 14-15 years. </w:t>
      </w:r>
    </w:p>
    <w:p w14:paraId="26476A48" w14:textId="5E38C867" w:rsidR="00024393" w:rsidRDefault="00024393" w:rsidP="00024393">
      <w:pPr>
        <w:pStyle w:val="2-SectionHeading"/>
      </w:pPr>
      <w:r>
        <w:t>Proposed</w:t>
      </w:r>
      <w:r w:rsidR="009E2378">
        <w:t xml:space="preserve"> NIP</w:t>
      </w:r>
      <w:r>
        <w:t xml:space="preserve"> </w:t>
      </w:r>
      <w:r w:rsidR="004B2E01" w:rsidRPr="006C5B33">
        <w:t>listing</w:t>
      </w:r>
    </w:p>
    <w:p w14:paraId="436CF288" w14:textId="1BDC2405" w:rsidR="00C93DD9" w:rsidRDefault="008D108E" w:rsidP="00C93DD9">
      <w:pPr>
        <w:pStyle w:val="3-BodyText"/>
      </w:pPr>
      <w:r>
        <w:t xml:space="preserve">The table below presents ATAGI’s </w:t>
      </w:r>
      <w:r w:rsidRPr="008D108E">
        <w:t xml:space="preserve">proposed updated recommendations </w:t>
      </w:r>
      <w:r>
        <w:t xml:space="preserve">to the NIP listing of </w:t>
      </w:r>
      <w:r w:rsidR="000B613B">
        <w:t>9vHPV vaccine</w:t>
      </w:r>
      <w:r>
        <w:t>.</w:t>
      </w:r>
    </w:p>
    <w:p w14:paraId="675EA483" w14:textId="34DA277B" w:rsidR="00F41E8E" w:rsidRDefault="00F41E8E" w:rsidP="00F41E8E">
      <w:pPr>
        <w:pStyle w:val="3-BodyText"/>
        <w:numPr>
          <w:ilvl w:val="0"/>
          <w:numId w:val="0"/>
        </w:numPr>
        <w:ind w:left="720"/>
      </w:pPr>
    </w:p>
    <w:p w14:paraId="3029771F" w14:textId="41CBA725" w:rsidR="00F41E8E" w:rsidRDefault="00F41E8E" w:rsidP="00F41E8E">
      <w:pPr>
        <w:pStyle w:val="3-BodyText"/>
        <w:numPr>
          <w:ilvl w:val="0"/>
          <w:numId w:val="0"/>
        </w:numPr>
        <w:ind w:left="720"/>
      </w:pPr>
    </w:p>
    <w:p w14:paraId="3CD809D6" w14:textId="46FE36F3" w:rsidR="00F41E8E" w:rsidRDefault="00F41E8E" w:rsidP="00F41E8E">
      <w:pPr>
        <w:pStyle w:val="3-BodyText"/>
        <w:numPr>
          <w:ilvl w:val="0"/>
          <w:numId w:val="0"/>
        </w:numPr>
        <w:ind w:left="720"/>
      </w:pPr>
    </w:p>
    <w:p w14:paraId="218EEACF" w14:textId="02D2DB93" w:rsidR="00F41E8E" w:rsidRDefault="00F41E8E" w:rsidP="00F41E8E">
      <w:pPr>
        <w:pStyle w:val="3-BodyText"/>
        <w:numPr>
          <w:ilvl w:val="0"/>
          <w:numId w:val="0"/>
        </w:numPr>
        <w:ind w:left="720"/>
      </w:pPr>
    </w:p>
    <w:p w14:paraId="6E3E37BE" w14:textId="63ED6DB5" w:rsidR="00F41E8E" w:rsidRDefault="00F41E8E" w:rsidP="00F41E8E">
      <w:pPr>
        <w:pStyle w:val="3-BodyText"/>
        <w:numPr>
          <w:ilvl w:val="0"/>
          <w:numId w:val="0"/>
        </w:numPr>
        <w:ind w:left="720"/>
      </w:pPr>
    </w:p>
    <w:p w14:paraId="2696A913" w14:textId="7CE0FC17" w:rsidR="00F41E8E" w:rsidRDefault="00F41E8E" w:rsidP="00F41E8E">
      <w:pPr>
        <w:pStyle w:val="3-BodyText"/>
        <w:numPr>
          <w:ilvl w:val="0"/>
          <w:numId w:val="0"/>
        </w:numPr>
        <w:ind w:left="720"/>
      </w:pPr>
    </w:p>
    <w:p w14:paraId="5E33F56A" w14:textId="0A5AD57A" w:rsidR="00F41E8E" w:rsidRDefault="00F41E8E" w:rsidP="00F41E8E">
      <w:pPr>
        <w:pStyle w:val="3-BodyText"/>
        <w:numPr>
          <w:ilvl w:val="0"/>
          <w:numId w:val="0"/>
        </w:numPr>
        <w:ind w:left="720"/>
      </w:pPr>
    </w:p>
    <w:p w14:paraId="59BC675C" w14:textId="77777777" w:rsidR="00F41E8E" w:rsidRPr="006C5B33" w:rsidRDefault="00F41E8E" w:rsidP="00F41E8E">
      <w:pPr>
        <w:pStyle w:val="3-BodyText"/>
        <w:numPr>
          <w:ilvl w:val="0"/>
          <w:numId w:val="0"/>
        </w:numPr>
        <w:ind w:left="720"/>
      </w:pPr>
    </w:p>
    <w:tbl>
      <w:tblPr>
        <w:tblW w:w="0" w:type="auto"/>
        <w:tblInd w:w="-8" w:type="dxa"/>
        <w:tblLayout w:type="fixed"/>
        <w:tblLook w:val="0000" w:firstRow="0" w:lastRow="0" w:firstColumn="0" w:lastColumn="0" w:noHBand="0" w:noVBand="0"/>
      </w:tblPr>
      <w:tblGrid>
        <w:gridCol w:w="1740"/>
        <w:gridCol w:w="3766"/>
        <w:gridCol w:w="1425"/>
        <w:gridCol w:w="1035"/>
        <w:gridCol w:w="1035"/>
        <w:gridCol w:w="8"/>
      </w:tblGrid>
      <w:tr w:rsidR="002104BB" w14:paraId="346662D5" w14:textId="77777777" w:rsidTr="002104BB">
        <w:trPr>
          <w:gridAfter w:val="1"/>
          <w:wAfter w:w="8" w:type="dxa"/>
          <w:trHeight w:val="450"/>
        </w:trPr>
        <w:tc>
          <w:tcPr>
            <w:tcW w:w="5506" w:type="dxa"/>
            <w:gridSpan w:val="2"/>
            <w:tcBorders>
              <w:top w:val="single" w:sz="6" w:space="0" w:color="auto"/>
              <w:bottom w:val="single" w:sz="6" w:space="0" w:color="auto"/>
            </w:tcBorders>
            <w:vAlign w:val="center"/>
          </w:tcPr>
          <w:p w14:paraId="292D14CB" w14:textId="77777777" w:rsidR="002104BB" w:rsidRDefault="002104BB" w:rsidP="003522FD">
            <w:pPr>
              <w:rPr>
                <w:rFonts w:ascii="Arial Narrow" w:eastAsia="Arial Narrow" w:hAnsi="Arial Narrow" w:cs="Arial Narrow"/>
                <w:color w:val="000000" w:themeColor="text1"/>
                <w:sz w:val="20"/>
                <w:szCs w:val="20"/>
              </w:rPr>
            </w:pPr>
            <w:r w:rsidRPr="1C13951F">
              <w:rPr>
                <w:rFonts w:ascii="Arial Narrow" w:eastAsia="Arial Narrow" w:hAnsi="Arial Narrow" w:cs="Arial Narrow"/>
                <w:b/>
                <w:bCs/>
                <w:color w:val="000000" w:themeColor="text1"/>
                <w:sz w:val="20"/>
                <w:szCs w:val="20"/>
              </w:rPr>
              <w:lastRenderedPageBreak/>
              <w:t>Name, Restriction,</w:t>
            </w:r>
          </w:p>
          <w:p w14:paraId="4183749B" w14:textId="77777777" w:rsidR="002104BB" w:rsidRDefault="002104BB" w:rsidP="003522FD">
            <w:pPr>
              <w:rPr>
                <w:rFonts w:ascii="Arial Narrow" w:eastAsia="Arial Narrow" w:hAnsi="Arial Narrow" w:cs="Arial Narrow"/>
                <w:color w:val="000000" w:themeColor="text1"/>
                <w:sz w:val="20"/>
                <w:szCs w:val="20"/>
              </w:rPr>
            </w:pPr>
            <w:r w:rsidRPr="1C13951F">
              <w:rPr>
                <w:rFonts w:ascii="Arial Narrow" w:eastAsia="Arial Narrow" w:hAnsi="Arial Narrow" w:cs="Arial Narrow"/>
                <w:b/>
                <w:bCs/>
                <w:color w:val="000000" w:themeColor="text1"/>
                <w:sz w:val="20"/>
                <w:szCs w:val="20"/>
              </w:rPr>
              <w:t>Manner of administration and form</w:t>
            </w:r>
          </w:p>
        </w:tc>
        <w:tc>
          <w:tcPr>
            <w:tcW w:w="1425" w:type="dxa"/>
            <w:tcBorders>
              <w:top w:val="single" w:sz="6" w:space="0" w:color="auto"/>
              <w:bottom w:val="single" w:sz="6" w:space="0" w:color="auto"/>
            </w:tcBorders>
            <w:vAlign w:val="center"/>
          </w:tcPr>
          <w:p w14:paraId="6B1D355F" w14:textId="77777777" w:rsidR="002104BB" w:rsidRDefault="002104BB" w:rsidP="003522FD">
            <w:pPr>
              <w:jc w:val="center"/>
              <w:rPr>
                <w:rFonts w:ascii="Arial Narrow" w:eastAsia="Arial Narrow" w:hAnsi="Arial Narrow" w:cs="Arial Narrow"/>
                <w:color w:val="000000" w:themeColor="text1"/>
                <w:sz w:val="20"/>
                <w:szCs w:val="20"/>
              </w:rPr>
            </w:pPr>
            <w:r w:rsidRPr="1C13951F">
              <w:rPr>
                <w:rFonts w:ascii="Arial Narrow" w:eastAsia="Arial Narrow" w:hAnsi="Arial Narrow" w:cs="Arial Narrow"/>
                <w:b/>
                <w:bCs/>
                <w:color w:val="000000" w:themeColor="text1"/>
                <w:sz w:val="20"/>
                <w:szCs w:val="20"/>
              </w:rPr>
              <w:t>Nationally Negotiated Price</w:t>
            </w:r>
          </w:p>
        </w:tc>
        <w:tc>
          <w:tcPr>
            <w:tcW w:w="2070" w:type="dxa"/>
            <w:gridSpan w:val="2"/>
            <w:tcBorders>
              <w:top w:val="single" w:sz="6" w:space="0" w:color="auto"/>
              <w:bottom w:val="single" w:sz="6" w:space="0" w:color="auto"/>
            </w:tcBorders>
            <w:vAlign w:val="center"/>
          </w:tcPr>
          <w:p w14:paraId="5A958043" w14:textId="77777777" w:rsidR="002104BB" w:rsidRDefault="002104BB" w:rsidP="003522FD">
            <w:pPr>
              <w:jc w:val="center"/>
              <w:rPr>
                <w:rFonts w:ascii="Arial Narrow" w:eastAsia="Arial Narrow" w:hAnsi="Arial Narrow" w:cs="Arial Narrow"/>
                <w:color w:val="000000" w:themeColor="text1"/>
                <w:sz w:val="20"/>
                <w:szCs w:val="20"/>
              </w:rPr>
            </w:pPr>
            <w:r w:rsidRPr="1C13951F">
              <w:rPr>
                <w:rFonts w:ascii="Arial Narrow" w:eastAsia="Arial Narrow" w:hAnsi="Arial Narrow" w:cs="Arial Narrow"/>
                <w:b/>
                <w:bCs/>
                <w:color w:val="000000" w:themeColor="text1"/>
                <w:sz w:val="20"/>
                <w:szCs w:val="20"/>
              </w:rPr>
              <w:t>Proprietary Name and Manufacturer</w:t>
            </w:r>
          </w:p>
        </w:tc>
      </w:tr>
      <w:tr w:rsidR="002104BB" w14:paraId="496AB478" w14:textId="77777777" w:rsidTr="002104BB">
        <w:trPr>
          <w:gridAfter w:val="1"/>
          <w:wAfter w:w="8" w:type="dxa"/>
          <w:trHeight w:val="555"/>
        </w:trPr>
        <w:tc>
          <w:tcPr>
            <w:tcW w:w="5506" w:type="dxa"/>
            <w:gridSpan w:val="2"/>
            <w:tcBorders>
              <w:top w:val="single" w:sz="6" w:space="0" w:color="auto"/>
              <w:bottom w:val="single" w:sz="6" w:space="0" w:color="auto"/>
            </w:tcBorders>
            <w:vAlign w:val="center"/>
          </w:tcPr>
          <w:p w14:paraId="225BC8E4" w14:textId="64E22EF9" w:rsidR="002104BB" w:rsidRDefault="002104BB" w:rsidP="002104BB">
            <w:pPr>
              <w:jc w:val="left"/>
              <w:rPr>
                <w:rFonts w:ascii="Arial Narrow" w:eastAsia="Arial Narrow" w:hAnsi="Arial Narrow" w:cs="Arial Narrow"/>
                <w:color w:val="000000" w:themeColor="text1"/>
                <w:sz w:val="20"/>
                <w:szCs w:val="20"/>
              </w:rPr>
            </w:pPr>
            <w:r w:rsidRPr="002104BB">
              <w:rPr>
                <w:rFonts w:ascii="Arial Narrow" w:eastAsia="Arial Narrow" w:hAnsi="Arial Narrow" w:cs="Arial Narrow"/>
                <w:color w:val="000000" w:themeColor="text1"/>
                <w:sz w:val="20"/>
                <w:szCs w:val="20"/>
              </w:rPr>
              <w:t xml:space="preserve">HUMAN PAPILLOMAVIRUS (HPV) </w:t>
            </w:r>
            <w:r>
              <w:rPr>
                <w:rFonts w:ascii="Arial Narrow" w:eastAsia="Arial Narrow" w:hAnsi="Arial Narrow" w:cs="Arial Narrow"/>
                <w:color w:val="000000" w:themeColor="text1"/>
                <w:sz w:val="20"/>
                <w:szCs w:val="20"/>
              </w:rPr>
              <w:t>(</w:t>
            </w:r>
            <w:r w:rsidRPr="002104BB">
              <w:rPr>
                <w:rFonts w:ascii="Arial Narrow" w:eastAsia="Arial Narrow" w:hAnsi="Arial Narrow" w:cs="Arial Narrow"/>
                <w:color w:val="000000" w:themeColor="text1"/>
                <w:sz w:val="20"/>
                <w:szCs w:val="20"/>
              </w:rPr>
              <w:t>9-VALENT</w:t>
            </w:r>
            <w:r>
              <w:rPr>
                <w:rFonts w:ascii="Arial Narrow" w:eastAsia="Arial Narrow" w:hAnsi="Arial Narrow" w:cs="Arial Narrow"/>
                <w:color w:val="000000" w:themeColor="text1"/>
                <w:sz w:val="20"/>
                <w:szCs w:val="20"/>
              </w:rPr>
              <w:t>)</w:t>
            </w:r>
            <w:r w:rsidRPr="002104BB">
              <w:rPr>
                <w:rFonts w:ascii="Arial Narrow" w:eastAsia="Arial Narrow" w:hAnsi="Arial Narrow" w:cs="Arial Narrow"/>
                <w:color w:val="000000" w:themeColor="text1"/>
                <w:sz w:val="20"/>
                <w:szCs w:val="20"/>
              </w:rPr>
              <w:t xml:space="preserve"> VACCINE </w:t>
            </w:r>
          </w:p>
          <w:p w14:paraId="758DB8F5" w14:textId="5430E53E" w:rsidR="002104BB" w:rsidRDefault="002104BB" w:rsidP="002104BB">
            <w:pPr>
              <w:jc w:val="left"/>
              <w:rPr>
                <w:rFonts w:ascii="Arial Narrow" w:eastAsia="Arial Narrow" w:hAnsi="Arial Narrow" w:cs="Arial Narrow"/>
                <w:color w:val="000000" w:themeColor="text1"/>
                <w:sz w:val="20"/>
                <w:szCs w:val="20"/>
              </w:rPr>
            </w:pPr>
            <w:r w:rsidRPr="1C13951F">
              <w:rPr>
                <w:rFonts w:ascii="Arial Narrow" w:eastAsia="Arial Narrow" w:hAnsi="Arial Narrow" w:cs="Arial Narrow"/>
                <w:color w:val="000000" w:themeColor="text1"/>
                <w:sz w:val="20"/>
                <w:szCs w:val="20"/>
              </w:rPr>
              <w:t>0.5</w:t>
            </w:r>
            <w:r>
              <w:rPr>
                <w:rFonts w:ascii="Arial Narrow" w:eastAsia="Arial Narrow" w:hAnsi="Arial Narrow" w:cs="Arial Narrow"/>
                <w:color w:val="000000" w:themeColor="text1"/>
                <w:sz w:val="20"/>
                <w:szCs w:val="20"/>
              </w:rPr>
              <w:t xml:space="preserve"> </w:t>
            </w:r>
            <w:r w:rsidRPr="1C13951F">
              <w:rPr>
                <w:rFonts w:ascii="Arial Narrow" w:eastAsia="Arial Narrow" w:hAnsi="Arial Narrow" w:cs="Arial Narrow"/>
                <w:color w:val="000000" w:themeColor="text1"/>
                <w:sz w:val="20"/>
                <w:szCs w:val="20"/>
              </w:rPr>
              <w:t>mL, Injection</w:t>
            </w:r>
          </w:p>
        </w:tc>
        <w:tc>
          <w:tcPr>
            <w:tcW w:w="1425" w:type="dxa"/>
            <w:vAlign w:val="center"/>
          </w:tcPr>
          <w:p w14:paraId="3FD18704" w14:textId="10640C59" w:rsidR="002104BB" w:rsidRDefault="002104BB" w:rsidP="002104BB">
            <w:pPr>
              <w:jc w:val="left"/>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w:t>
            </w:r>
            <w:r w:rsidR="00002ED7" w:rsidRPr="002A1B50">
              <w:rPr>
                <w:rFonts w:ascii="Arial Narrow" w:eastAsia="Arial Narrow" w:hAnsi="Arial Narrow" w:cs="Arial Narrow"/>
                <w:color w:val="000000"/>
                <w:spacing w:val="48"/>
                <w:sz w:val="20"/>
                <w:szCs w:val="20"/>
                <w:shd w:val="solid" w:color="000000" w:fill="000000"/>
                <w:fitText w:val="500" w:id="-1279615232"/>
                <w14:textFill>
                  <w14:solidFill>
                    <w14:srgbClr w14:val="000000">
                      <w14:alpha w14:val="100000"/>
                    </w14:srgbClr>
                  </w14:solidFill>
                </w14:textFill>
              </w:rPr>
              <w:t>|||||</w:t>
            </w:r>
            <w:r w:rsidR="00002ED7" w:rsidRPr="002A1B50">
              <w:rPr>
                <w:rFonts w:ascii="Arial Narrow" w:eastAsia="Arial Narrow" w:hAnsi="Arial Narrow" w:cs="Arial Narrow"/>
                <w:color w:val="000000"/>
                <w:spacing w:val="5"/>
                <w:sz w:val="20"/>
                <w:szCs w:val="20"/>
                <w:shd w:val="solid" w:color="000000" w:fill="000000"/>
                <w:fitText w:val="500" w:id="-1279615232"/>
                <w14:textFill>
                  <w14:solidFill>
                    <w14:srgbClr w14:val="000000">
                      <w14:alpha w14:val="100000"/>
                    </w14:srgbClr>
                  </w14:solidFill>
                </w14:textFill>
              </w:rPr>
              <w:t>|</w:t>
            </w:r>
            <w:r>
              <w:rPr>
                <w:rFonts w:ascii="Arial Narrow" w:eastAsia="Arial Narrow" w:hAnsi="Arial Narrow" w:cs="Arial Narrow"/>
                <w:color w:val="000000" w:themeColor="text1"/>
                <w:sz w:val="20"/>
                <w:szCs w:val="20"/>
              </w:rPr>
              <w:t xml:space="preserve"> per dose</w:t>
            </w:r>
            <w:r w:rsidRPr="16422FAA">
              <w:rPr>
                <w:rFonts w:ascii="Arial Narrow" w:eastAsia="Arial Narrow" w:hAnsi="Arial Narrow" w:cs="Arial Narrow"/>
                <w:color w:val="000000" w:themeColor="text1"/>
                <w:sz w:val="20"/>
                <w:szCs w:val="20"/>
              </w:rPr>
              <w:t> </w:t>
            </w:r>
          </w:p>
        </w:tc>
        <w:tc>
          <w:tcPr>
            <w:tcW w:w="1035" w:type="dxa"/>
            <w:tcBorders>
              <w:top w:val="single" w:sz="6" w:space="0" w:color="auto"/>
              <w:bottom w:val="single" w:sz="6" w:space="0" w:color="auto"/>
            </w:tcBorders>
            <w:vAlign w:val="center"/>
          </w:tcPr>
          <w:p w14:paraId="643581BD" w14:textId="5386290B" w:rsidR="002104BB" w:rsidRDefault="002104BB" w:rsidP="002104BB">
            <w:pPr>
              <w:jc w:val="left"/>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Gardasil 9</w:t>
            </w:r>
          </w:p>
          <w:p w14:paraId="73BF0EF7" w14:textId="77777777" w:rsidR="002104BB" w:rsidRDefault="002104BB" w:rsidP="002104BB">
            <w:pPr>
              <w:jc w:val="left"/>
              <w:rPr>
                <w:rFonts w:ascii="Arial Narrow" w:eastAsia="Arial Narrow" w:hAnsi="Arial Narrow" w:cs="Arial Narrow"/>
                <w:color w:val="000000" w:themeColor="text1"/>
                <w:sz w:val="20"/>
                <w:szCs w:val="20"/>
              </w:rPr>
            </w:pPr>
            <w:r w:rsidRPr="587FCDCC">
              <w:rPr>
                <w:rFonts w:ascii="Arial Narrow" w:eastAsia="Arial Narrow" w:hAnsi="Arial Narrow" w:cs="Arial Narrow"/>
                <w:color w:val="000000" w:themeColor="text1"/>
                <w:sz w:val="20"/>
                <w:szCs w:val="20"/>
              </w:rPr>
              <w:t xml:space="preserve"> </w:t>
            </w:r>
          </w:p>
        </w:tc>
        <w:tc>
          <w:tcPr>
            <w:tcW w:w="1035" w:type="dxa"/>
            <w:tcBorders>
              <w:top w:val="single" w:sz="6" w:space="0" w:color="auto"/>
              <w:bottom w:val="single" w:sz="6" w:space="0" w:color="auto"/>
            </w:tcBorders>
            <w:vAlign w:val="center"/>
          </w:tcPr>
          <w:p w14:paraId="03AE1BBC" w14:textId="5DD96E99" w:rsidR="002104BB" w:rsidRDefault="002104BB" w:rsidP="002104BB">
            <w:pPr>
              <w:jc w:val="left"/>
              <w:rPr>
                <w:rFonts w:ascii="Arial Narrow" w:eastAsia="Arial Narrow" w:hAnsi="Arial Narrow" w:cs="Arial Narrow"/>
                <w:color w:val="000000" w:themeColor="text1"/>
                <w:sz w:val="20"/>
                <w:szCs w:val="20"/>
              </w:rPr>
            </w:pPr>
            <w:r w:rsidRPr="002104BB">
              <w:rPr>
                <w:rFonts w:ascii="Arial Narrow" w:eastAsia="Arial Narrow" w:hAnsi="Arial Narrow" w:cs="Arial Narrow"/>
                <w:color w:val="000000" w:themeColor="text1"/>
                <w:sz w:val="20"/>
                <w:szCs w:val="20"/>
              </w:rPr>
              <w:t>Seqirus (Australia) Pty Ltd</w:t>
            </w:r>
          </w:p>
        </w:tc>
      </w:tr>
      <w:tr w:rsidR="002104BB" w14:paraId="6DA724E0" w14:textId="229AE4B7" w:rsidTr="002104BB">
        <w:trPr>
          <w:gridAfter w:val="1"/>
          <w:wAfter w:w="8" w:type="dxa"/>
          <w:trHeight w:val="15"/>
        </w:trPr>
        <w:tc>
          <w:tcPr>
            <w:tcW w:w="1740" w:type="dxa"/>
            <w:tcBorders>
              <w:top w:val="single" w:sz="6" w:space="0" w:color="auto"/>
              <w:left w:val="single" w:sz="6" w:space="0" w:color="auto"/>
              <w:bottom w:val="single" w:sz="6" w:space="0" w:color="auto"/>
              <w:right w:val="single" w:sz="6" w:space="0" w:color="auto"/>
            </w:tcBorders>
          </w:tcPr>
          <w:p w14:paraId="1D9A29C6" w14:textId="56E2B9B9" w:rsidR="002104BB" w:rsidRPr="002104BB" w:rsidRDefault="002104BB" w:rsidP="002104BB">
            <w:pPr>
              <w:pStyle w:val="Tabletext0"/>
              <w:rPr>
                <w:rFonts w:eastAsia="Arial Narrow" w:cs="Arial Narrow"/>
                <w:b/>
                <w:color w:val="000000" w:themeColor="text1"/>
                <w:szCs w:val="20"/>
              </w:rPr>
            </w:pPr>
          </w:p>
        </w:tc>
        <w:tc>
          <w:tcPr>
            <w:tcW w:w="3766" w:type="dxa"/>
            <w:tcBorders>
              <w:top w:val="single" w:sz="6" w:space="0" w:color="auto"/>
              <w:left w:val="single" w:sz="6" w:space="0" w:color="auto"/>
              <w:bottom w:val="single" w:sz="6" w:space="0" w:color="auto"/>
              <w:right w:val="single" w:sz="4" w:space="0" w:color="auto"/>
            </w:tcBorders>
          </w:tcPr>
          <w:p w14:paraId="3E416407" w14:textId="510B71C8" w:rsidR="002104BB" w:rsidRPr="002104BB" w:rsidRDefault="002104BB" w:rsidP="002104BB">
            <w:pPr>
              <w:pStyle w:val="Tabletext0"/>
              <w:rPr>
                <w:rFonts w:eastAsia="Arial Narrow" w:cs="Arial Narrow"/>
                <w:b/>
                <w:color w:val="000000" w:themeColor="text1"/>
                <w:szCs w:val="20"/>
              </w:rPr>
            </w:pPr>
            <w:r w:rsidRPr="002104BB">
              <w:rPr>
                <w:rFonts w:cs="Arial"/>
                <w:b/>
                <w:bCs/>
                <w:szCs w:val="20"/>
              </w:rPr>
              <w:t xml:space="preserve">Current </w:t>
            </w:r>
            <w:r w:rsidR="00512422">
              <w:rPr>
                <w:rFonts w:cs="Arial"/>
                <w:b/>
                <w:bCs/>
                <w:szCs w:val="20"/>
              </w:rPr>
              <w:t>recommendation</w:t>
            </w:r>
          </w:p>
        </w:tc>
        <w:tc>
          <w:tcPr>
            <w:tcW w:w="3495" w:type="dxa"/>
            <w:gridSpan w:val="3"/>
            <w:tcBorders>
              <w:top w:val="single" w:sz="6" w:space="0" w:color="auto"/>
              <w:left w:val="single" w:sz="4" w:space="0" w:color="auto"/>
              <w:bottom w:val="single" w:sz="6" w:space="0" w:color="auto"/>
              <w:right w:val="single" w:sz="6" w:space="0" w:color="auto"/>
            </w:tcBorders>
          </w:tcPr>
          <w:p w14:paraId="2B450A83" w14:textId="377212B1" w:rsidR="002104BB" w:rsidRPr="002104BB" w:rsidRDefault="002104BB" w:rsidP="002104BB">
            <w:pPr>
              <w:pStyle w:val="Tabletext0"/>
              <w:rPr>
                <w:rFonts w:eastAsia="Arial Narrow" w:cs="Arial Narrow"/>
                <w:b/>
                <w:color w:val="000000" w:themeColor="text1"/>
                <w:szCs w:val="20"/>
              </w:rPr>
            </w:pPr>
            <w:r w:rsidRPr="002104BB">
              <w:rPr>
                <w:rFonts w:cs="Arial"/>
                <w:b/>
                <w:bCs/>
                <w:szCs w:val="20"/>
              </w:rPr>
              <w:t>Proposed new ATAGI recommendation</w:t>
            </w:r>
          </w:p>
        </w:tc>
      </w:tr>
      <w:tr w:rsidR="002104BB" w14:paraId="37DEC6DB" w14:textId="351C65A9" w:rsidTr="002104BB">
        <w:trPr>
          <w:gridAfter w:val="1"/>
          <w:wAfter w:w="8" w:type="dxa"/>
          <w:trHeight w:val="15"/>
        </w:trPr>
        <w:tc>
          <w:tcPr>
            <w:tcW w:w="1740" w:type="dxa"/>
            <w:tcBorders>
              <w:top w:val="single" w:sz="6" w:space="0" w:color="auto"/>
              <w:left w:val="single" w:sz="6" w:space="0" w:color="auto"/>
              <w:bottom w:val="single" w:sz="6" w:space="0" w:color="auto"/>
              <w:right w:val="single" w:sz="6" w:space="0" w:color="auto"/>
            </w:tcBorders>
          </w:tcPr>
          <w:p w14:paraId="403E9864" w14:textId="2E43F47B" w:rsidR="002104BB" w:rsidRPr="002104BB" w:rsidRDefault="002104BB" w:rsidP="002104BB">
            <w:pPr>
              <w:pStyle w:val="Tabletext0"/>
              <w:rPr>
                <w:rFonts w:eastAsia="Arial Narrow" w:cs="Arial Narrow"/>
                <w:color w:val="000000" w:themeColor="text1"/>
                <w:szCs w:val="20"/>
              </w:rPr>
            </w:pPr>
            <w:r w:rsidRPr="002104BB">
              <w:rPr>
                <w:rFonts w:cs="Arial"/>
                <w:b/>
                <w:bCs/>
                <w:szCs w:val="20"/>
              </w:rPr>
              <w:t xml:space="preserve">Clinically recommended dosing schedule </w:t>
            </w:r>
          </w:p>
        </w:tc>
        <w:tc>
          <w:tcPr>
            <w:tcW w:w="3766" w:type="dxa"/>
            <w:tcBorders>
              <w:top w:val="single" w:sz="6" w:space="0" w:color="auto"/>
              <w:left w:val="single" w:sz="6" w:space="0" w:color="auto"/>
              <w:bottom w:val="single" w:sz="6" w:space="0" w:color="auto"/>
              <w:right w:val="single" w:sz="4" w:space="0" w:color="auto"/>
            </w:tcBorders>
          </w:tcPr>
          <w:p w14:paraId="0006E6E8" w14:textId="77777777" w:rsidR="002104BB" w:rsidRPr="002104BB" w:rsidRDefault="002104BB" w:rsidP="00200DD7">
            <w:pPr>
              <w:pStyle w:val="ListParagraph"/>
              <w:numPr>
                <w:ilvl w:val="0"/>
                <w:numId w:val="2"/>
              </w:numPr>
              <w:tabs>
                <w:tab w:val="clear" w:pos="720"/>
                <w:tab w:val="num" w:pos="441"/>
              </w:tabs>
              <w:spacing w:after="0"/>
              <w:ind w:left="340" w:hanging="170"/>
              <w:rPr>
                <w:rFonts w:ascii="Arial Narrow" w:hAnsi="Arial Narrow"/>
                <w:sz w:val="20"/>
                <w:szCs w:val="20"/>
              </w:rPr>
            </w:pPr>
            <w:r w:rsidRPr="002104BB">
              <w:rPr>
                <w:rFonts w:ascii="Arial Narrow" w:hAnsi="Arial Narrow"/>
                <w:sz w:val="20"/>
                <w:szCs w:val="20"/>
              </w:rPr>
              <w:t>Age 9–14 years: 2 doses of 9vHPV vaccine (6–12 months between doses)  </w:t>
            </w:r>
          </w:p>
          <w:p w14:paraId="23D50C0E" w14:textId="77777777" w:rsidR="002104BB" w:rsidRPr="002104BB" w:rsidRDefault="002104BB" w:rsidP="00200DD7">
            <w:pPr>
              <w:pStyle w:val="ListParagraph"/>
              <w:numPr>
                <w:ilvl w:val="0"/>
                <w:numId w:val="2"/>
              </w:numPr>
              <w:tabs>
                <w:tab w:val="clear" w:pos="720"/>
                <w:tab w:val="num" w:pos="441"/>
              </w:tabs>
              <w:spacing w:after="0"/>
              <w:ind w:left="340" w:hanging="170"/>
              <w:rPr>
                <w:rFonts w:ascii="Arial Narrow" w:hAnsi="Arial Narrow"/>
                <w:sz w:val="20"/>
                <w:szCs w:val="20"/>
              </w:rPr>
            </w:pPr>
            <w:r w:rsidRPr="002104BB">
              <w:rPr>
                <w:rFonts w:ascii="Arial Narrow" w:hAnsi="Arial Narrow"/>
                <w:sz w:val="20"/>
                <w:szCs w:val="20"/>
              </w:rPr>
              <w:t>Age ≥15 years: 3 doses of 9vHPV vaccine (2 months between dose 1 and dose 2; 4 months between dose 2 and dose 3) </w:t>
            </w:r>
          </w:p>
          <w:p w14:paraId="195047CA" w14:textId="3F3C2A49" w:rsidR="002104BB" w:rsidRPr="002104BB" w:rsidRDefault="002104BB" w:rsidP="00200DD7">
            <w:pPr>
              <w:pStyle w:val="TableText"/>
              <w:numPr>
                <w:ilvl w:val="0"/>
                <w:numId w:val="2"/>
              </w:numPr>
              <w:ind w:left="340" w:hanging="170"/>
              <w:rPr>
                <w:rFonts w:eastAsia="Arial Narrow" w:cs="Arial Narrow"/>
                <w:color w:val="000000" w:themeColor="text1"/>
                <w:szCs w:val="20"/>
              </w:rPr>
            </w:pPr>
            <w:r w:rsidRPr="002104BB">
              <w:rPr>
                <w:rFonts w:eastAsia="Times New Roman" w:cs="Arial"/>
                <w:szCs w:val="20"/>
              </w:rPr>
              <w:t>Immunocompromised people aged ≥9 years: 3 doses of 9vHPV vaccine (as above) </w:t>
            </w:r>
          </w:p>
        </w:tc>
        <w:tc>
          <w:tcPr>
            <w:tcW w:w="3495" w:type="dxa"/>
            <w:gridSpan w:val="3"/>
            <w:tcBorders>
              <w:top w:val="single" w:sz="6" w:space="0" w:color="auto"/>
              <w:left w:val="single" w:sz="4" w:space="0" w:color="auto"/>
              <w:bottom w:val="single" w:sz="6" w:space="0" w:color="auto"/>
              <w:right w:val="single" w:sz="6" w:space="0" w:color="auto"/>
            </w:tcBorders>
          </w:tcPr>
          <w:p w14:paraId="022F18A7" w14:textId="77777777" w:rsidR="002104BB" w:rsidRPr="002104BB" w:rsidRDefault="002104BB" w:rsidP="00200DD7">
            <w:pPr>
              <w:pStyle w:val="ListParagraph"/>
              <w:numPr>
                <w:ilvl w:val="0"/>
                <w:numId w:val="3"/>
              </w:numPr>
              <w:spacing w:after="0"/>
              <w:ind w:left="340" w:hanging="170"/>
              <w:rPr>
                <w:rFonts w:ascii="Arial Narrow" w:hAnsi="Arial Narrow"/>
                <w:sz w:val="20"/>
                <w:szCs w:val="20"/>
              </w:rPr>
            </w:pPr>
            <w:r w:rsidRPr="002104BB">
              <w:rPr>
                <w:rFonts w:ascii="Arial Narrow" w:hAnsi="Arial Narrow"/>
                <w:sz w:val="20"/>
                <w:szCs w:val="20"/>
              </w:rPr>
              <w:t>Age: 9-25 years: 1 dose of 9vHPV</w:t>
            </w:r>
          </w:p>
          <w:p w14:paraId="63D161E2" w14:textId="77777777" w:rsidR="002104BB" w:rsidRPr="002104BB" w:rsidRDefault="002104BB" w:rsidP="00200DD7">
            <w:pPr>
              <w:pStyle w:val="ListParagraph"/>
              <w:numPr>
                <w:ilvl w:val="0"/>
                <w:numId w:val="3"/>
              </w:numPr>
              <w:spacing w:after="0"/>
              <w:ind w:left="340" w:hanging="170"/>
              <w:rPr>
                <w:rFonts w:ascii="Arial Narrow" w:hAnsi="Arial Narrow"/>
                <w:sz w:val="20"/>
                <w:szCs w:val="20"/>
              </w:rPr>
            </w:pPr>
            <w:r w:rsidRPr="002104BB">
              <w:rPr>
                <w:rFonts w:ascii="Arial Narrow" w:hAnsi="Arial Narrow"/>
                <w:sz w:val="20"/>
                <w:szCs w:val="20"/>
              </w:rPr>
              <w:t>Age ≥26 years: at least 2 doses of 9vHPV vaccine (6–12 months between doses)^ </w:t>
            </w:r>
          </w:p>
          <w:p w14:paraId="1D74D9BE" w14:textId="72A5032D" w:rsidR="002104BB" w:rsidRPr="002104BB" w:rsidRDefault="002104BB" w:rsidP="00200DD7">
            <w:pPr>
              <w:pStyle w:val="TableText"/>
              <w:numPr>
                <w:ilvl w:val="0"/>
                <w:numId w:val="3"/>
              </w:numPr>
              <w:ind w:left="340" w:hanging="170"/>
              <w:rPr>
                <w:rFonts w:eastAsia="Arial Narrow" w:cs="Arial Narrow"/>
                <w:color w:val="000000" w:themeColor="text1"/>
                <w:szCs w:val="20"/>
              </w:rPr>
            </w:pPr>
            <w:r w:rsidRPr="002104BB">
              <w:rPr>
                <w:rFonts w:eastAsia="Times New Roman" w:cs="Arial"/>
                <w:szCs w:val="20"/>
              </w:rPr>
              <w:t>Immunocompromised age ≥9 years: 3 doses of 9vHPV vaccine (as above)</w:t>
            </w:r>
          </w:p>
        </w:tc>
      </w:tr>
      <w:tr w:rsidR="002104BB" w14:paraId="38CB7715" w14:textId="4692143D" w:rsidTr="002104BB">
        <w:trPr>
          <w:trHeight w:val="15"/>
        </w:trPr>
        <w:tc>
          <w:tcPr>
            <w:tcW w:w="1740" w:type="dxa"/>
            <w:tcBorders>
              <w:top w:val="single" w:sz="6" w:space="0" w:color="auto"/>
              <w:left w:val="single" w:sz="6" w:space="0" w:color="auto"/>
              <w:bottom w:val="single" w:sz="6" w:space="0" w:color="auto"/>
              <w:right w:val="single" w:sz="6" w:space="0" w:color="auto"/>
            </w:tcBorders>
          </w:tcPr>
          <w:p w14:paraId="787F9B6B" w14:textId="3F77D1A7" w:rsidR="002104BB" w:rsidRPr="002104BB" w:rsidDel="00FE2E1B" w:rsidRDefault="002104BB" w:rsidP="002104BB">
            <w:pPr>
              <w:pStyle w:val="Tabletext0"/>
              <w:rPr>
                <w:rFonts w:eastAsia="Arial Narrow" w:cs="Arial Narrow"/>
                <w:color w:val="000000" w:themeColor="text1"/>
                <w:szCs w:val="20"/>
              </w:rPr>
            </w:pPr>
            <w:r w:rsidRPr="002104BB">
              <w:rPr>
                <w:rFonts w:cs="Arial"/>
                <w:b/>
                <w:bCs/>
                <w:szCs w:val="20"/>
              </w:rPr>
              <w:t>Eligibility for NIP-funded schedule</w:t>
            </w:r>
          </w:p>
        </w:tc>
        <w:tc>
          <w:tcPr>
            <w:tcW w:w="3766" w:type="dxa"/>
            <w:tcBorders>
              <w:top w:val="single" w:sz="6" w:space="0" w:color="auto"/>
              <w:left w:val="single" w:sz="6" w:space="0" w:color="auto"/>
              <w:bottom w:val="single" w:sz="6" w:space="0" w:color="auto"/>
              <w:right w:val="single" w:sz="4" w:space="0" w:color="auto"/>
            </w:tcBorders>
          </w:tcPr>
          <w:p w14:paraId="72B2DAB1" w14:textId="77777777" w:rsidR="002104BB" w:rsidRPr="002104BB" w:rsidRDefault="002104BB" w:rsidP="00200DD7">
            <w:pPr>
              <w:pStyle w:val="ListParagraph"/>
              <w:numPr>
                <w:ilvl w:val="0"/>
                <w:numId w:val="4"/>
              </w:numPr>
              <w:tabs>
                <w:tab w:val="clear" w:pos="720"/>
                <w:tab w:val="num" w:pos="441"/>
              </w:tabs>
              <w:spacing w:after="0"/>
              <w:ind w:left="340" w:hanging="170"/>
              <w:rPr>
                <w:rFonts w:ascii="Arial Narrow" w:hAnsi="Arial Narrow"/>
                <w:sz w:val="20"/>
                <w:szCs w:val="20"/>
              </w:rPr>
            </w:pPr>
            <w:r w:rsidRPr="002104BB">
              <w:rPr>
                <w:rFonts w:ascii="Arial Narrow" w:hAnsi="Arial Narrow"/>
                <w:sz w:val="20"/>
                <w:szCs w:val="20"/>
              </w:rPr>
              <w:t>Routine program: 2 doses given at age 12–13 years </w:t>
            </w:r>
          </w:p>
          <w:p w14:paraId="527CAF23" w14:textId="77777777" w:rsidR="002104BB" w:rsidRPr="002104BB" w:rsidRDefault="002104BB" w:rsidP="00200DD7">
            <w:pPr>
              <w:pStyle w:val="ListParagraph"/>
              <w:numPr>
                <w:ilvl w:val="0"/>
                <w:numId w:val="4"/>
              </w:numPr>
              <w:tabs>
                <w:tab w:val="clear" w:pos="720"/>
                <w:tab w:val="num" w:pos="441"/>
              </w:tabs>
              <w:spacing w:after="0"/>
              <w:ind w:left="340" w:hanging="170"/>
              <w:rPr>
                <w:rFonts w:ascii="Arial Narrow" w:hAnsi="Arial Narrow"/>
                <w:sz w:val="20"/>
                <w:szCs w:val="20"/>
              </w:rPr>
            </w:pPr>
            <w:r w:rsidRPr="002104BB">
              <w:rPr>
                <w:rFonts w:ascii="Arial Narrow" w:hAnsi="Arial Narrow"/>
                <w:sz w:val="20"/>
                <w:szCs w:val="20"/>
              </w:rPr>
              <w:t>Catch-up program: 2 funded doses available until age 19 years</w:t>
            </w:r>
          </w:p>
          <w:p w14:paraId="527A4C3C" w14:textId="1457AEDB" w:rsidR="002104BB" w:rsidRPr="002104BB" w:rsidRDefault="002104BB" w:rsidP="00200DD7">
            <w:pPr>
              <w:pStyle w:val="ListParagraph"/>
              <w:numPr>
                <w:ilvl w:val="0"/>
                <w:numId w:val="4"/>
              </w:numPr>
              <w:spacing w:after="0"/>
              <w:ind w:left="340" w:hanging="170"/>
              <w:rPr>
                <w:rFonts w:ascii="Arial Narrow" w:eastAsia="Arial Narrow" w:hAnsi="Arial Narrow" w:cs="Arial Narrow"/>
                <w:color w:val="000000" w:themeColor="text1"/>
                <w:sz w:val="20"/>
                <w:szCs w:val="20"/>
              </w:rPr>
            </w:pPr>
            <w:r w:rsidRPr="002104BB">
              <w:rPr>
                <w:rFonts w:ascii="Arial Narrow" w:hAnsi="Arial Narrow"/>
                <w:sz w:val="20"/>
                <w:szCs w:val="20"/>
              </w:rPr>
              <w:t>Immunocompromised: 3 doses for ages 12-&lt;15 years</w:t>
            </w:r>
          </w:p>
        </w:tc>
        <w:tc>
          <w:tcPr>
            <w:tcW w:w="3503" w:type="dxa"/>
            <w:gridSpan w:val="4"/>
            <w:tcBorders>
              <w:top w:val="single" w:sz="6" w:space="0" w:color="auto"/>
              <w:left w:val="single" w:sz="4" w:space="0" w:color="auto"/>
              <w:bottom w:val="single" w:sz="6" w:space="0" w:color="auto"/>
              <w:right w:val="single" w:sz="6" w:space="0" w:color="auto"/>
            </w:tcBorders>
          </w:tcPr>
          <w:p w14:paraId="02DBB292" w14:textId="77777777" w:rsidR="002104BB" w:rsidRPr="002104BB" w:rsidRDefault="002104BB" w:rsidP="00200DD7">
            <w:pPr>
              <w:pStyle w:val="ListParagraph"/>
              <w:numPr>
                <w:ilvl w:val="0"/>
                <w:numId w:val="4"/>
              </w:numPr>
              <w:tabs>
                <w:tab w:val="clear" w:pos="720"/>
                <w:tab w:val="num" w:pos="441"/>
              </w:tabs>
              <w:spacing w:after="0"/>
              <w:ind w:left="340" w:hanging="170"/>
              <w:rPr>
                <w:rFonts w:ascii="Arial Narrow" w:hAnsi="Arial Narrow"/>
                <w:sz w:val="20"/>
                <w:szCs w:val="20"/>
              </w:rPr>
            </w:pPr>
            <w:r w:rsidRPr="002104BB">
              <w:rPr>
                <w:rFonts w:ascii="Arial Narrow" w:hAnsi="Arial Narrow"/>
                <w:sz w:val="20"/>
                <w:szCs w:val="20"/>
              </w:rPr>
              <w:t>Routine program: 1 dose of 9vHPV given at age 12-13 years</w:t>
            </w:r>
          </w:p>
          <w:p w14:paraId="415E488E" w14:textId="77777777" w:rsidR="002104BB" w:rsidRPr="002104BB" w:rsidRDefault="002104BB" w:rsidP="00200DD7">
            <w:pPr>
              <w:pStyle w:val="ListParagraph"/>
              <w:numPr>
                <w:ilvl w:val="0"/>
                <w:numId w:val="4"/>
              </w:numPr>
              <w:tabs>
                <w:tab w:val="clear" w:pos="720"/>
                <w:tab w:val="num" w:pos="441"/>
              </w:tabs>
              <w:spacing w:after="0"/>
              <w:ind w:left="340" w:hanging="170"/>
              <w:rPr>
                <w:rFonts w:ascii="Arial Narrow" w:hAnsi="Arial Narrow"/>
                <w:sz w:val="20"/>
                <w:szCs w:val="20"/>
              </w:rPr>
            </w:pPr>
            <w:r w:rsidRPr="002104BB">
              <w:rPr>
                <w:rFonts w:ascii="Arial Narrow" w:hAnsi="Arial Narrow"/>
                <w:sz w:val="20"/>
                <w:szCs w:val="20"/>
              </w:rPr>
              <w:t xml:space="preserve">Eligibility for missed doses: Individuals who do not receive their 1 dose of 9vHPV at age 12-13 remain eligible for a funded dose of 9vHPV until age 25 years (i.e. 26th birthday date) </w:t>
            </w:r>
          </w:p>
          <w:p w14:paraId="6D1F52B5" w14:textId="59124E4C" w:rsidR="002104BB" w:rsidRPr="002104BB" w:rsidRDefault="002104BB" w:rsidP="00200DD7">
            <w:pPr>
              <w:pStyle w:val="ListParagraph"/>
              <w:numPr>
                <w:ilvl w:val="0"/>
                <w:numId w:val="4"/>
              </w:numPr>
              <w:ind w:left="340" w:hanging="170"/>
              <w:rPr>
                <w:rFonts w:ascii="Arial Narrow" w:eastAsia="Arial Narrow" w:hAnsi="Arial Narrow" w:cs="Arial Narrow"/>
                <w:color w:val="000000" w:themeColor="text1"/>
                <w:sz w:val="20"/>
                <w:szCs w:val="20"/>
              </w:rPr>
            </w:pPr>
            <w:r w:rsidRPr="002104BB">
              <w:rPr>
                <w:rFonts w:ascii="Arial Narrow" w:hAnsi="Arial Narrow"/>
                <w:sz w:val="20"/>
                <w:szCs w:val="20"/>
              </w:rPr>
              <w:t>Immunocompromised people: 3 doses of 9vHPV vaccine until age 25 years (i.e. 26th birthday date)</w:t>
            </w:r>
          </w:p>
        </w:tc>
      </w:tr>
    </w:tbl>
    <w:p w14:paraId="70A43FEF" w14:textId="005C039E" w:rsidR="002104BB" w:rsidRDefault="002104BB" w:rsidP="002104BB">
      <w:pPr>
        <w:pStyle w:val="FooterTableFigure"/>
        <w:rPr>
          <w:rFonts w:eastAsia="Arial Narrow" w:cs="Arial Narrow"/>
          <w:color w:val="000000" w:themeColor="text1"/>
        </w:rPr>
      </w:pPr>
      <w:r>
        <w:rPr>
          <w:rFonts w:eastAsia="Arial Narrow" w:cs="Arial Narrow"/>
          <w:color w:val="000000" w:themeColor="text1"/>
        </w:rPr>
        <w:t>Source: Table 1, p1 of the</w:t>
      </w:r>
      <w:r w:rsidR="00FD716F">
        <w:rPr>
          <w:rFonts w:eastAsia="Arial Narrow" w:cs="Arial Narrow"/>
          <w:color w:val="000000" w:themeColor="text1"/>
        </w:rPr>
        <w:t xml:space="preserve"> CMO</w:t>
      </w:r>
      <w:r>
        <w:rPr>
          <w:rFonts w:eastAsia="Arial Narrow" w:cs="Arial Narrow"/>
          <w:color w:val="000000" w:themeColor="text1"/>
        </w:rPr>
        <w:t xml:space="preserve"> submission</w:t>
      </w:r>
    </w:p>
    <w:p w14:paraId="5A96FC8B" w14:textId="77777777" w:rsidR="0085390A" w:rsidRPr="00E22673" w:rsidRDefault="0085390A" w:rsidP="0085390A">
      <w:pPr>
        <w:pStyle w:val="FooterTableFigure"/>
        <w:rPr>
          <w:rFonts w:eastAsia="Arial Narrow" w:cs="Arial Narrow"/>
          <w:color w:val="000000" w:themeColor="text1"/>
        </w:rPr>
      </w:pPr>
      <w:r w:rsidRPr="7C3EAE40">
        <w:rPr>
          <w:rFonts w:eastAsia="Arial Narrow" w:cs="Arial Narrow"/>
          <w:color w:val="000000" w:themeColor="text1"/>
        </w:rPr>
        <w:t xml:space="preserve">Abbreviations: </w:t>
      </w:r>
      <w:r w:rsidRPr="78DD89F2">
        <w:rPr>
          <w:rFonts w:eastAsia="Arial Narrow" w:cs="Arial Narrow"/>
          <w:color w:val="000000" w:themeColor="text1"/>
        </w:rPr>
        <w:t>NIP, National Immunisation Program</w:t>
      </w:r>
    </w:p>
    <w:p w14:paraId="16C96B62" w14:textId="77777777" w:rsidR="00E22673" w:rsidRPr="00E22673" w:rsidRDefault="00E22673" w:rsidP="00E22673">
      <w:pPr>
        <w:pStyle w:val="FooterTableFigure"/>
        <w:rPr>
          <w:rFonts w:eastAsia="Arial Narrow" w:cs="Arial Narrow"/>
          <w:color w:val="000000" w:themeColor="text1"/>
        </w:rPr>
      </w:pPr>
      <w:r w:rsidRPr="00E22673">
        <w:rPr>
          <w:rFonts w:eastAsia="Arial Narrow" w:cs="Arial Narrow"/>
          <w:color w:val="000000" w:themeColor="text1"/>
        </w:rPr>
        <w:t xml:space="preserve">*Intervals between doses are recommended as per the Australian Immunisation Handbook. There is no specified upper limit for the interval before the final dose. </w:t>
      </w:r>
    </w:p>
    <w:p w14:paraId="363E51A5" w14:textId="4829581B" w:rsidR="00E22673" w:rsidRDefault="00E22673" w:rsidP="00E22673">
      <w:pPr>
        <w:pStyle w:val="FooterTableFigure"/>
        <w:rPr>
          <w:rFonts w:eastAsia="Arial Narrow" w:cs="Arial Narrow"/>
          <w:color w:val="000000" w:themeColor="text1"/>
        </w:rPr>
      </w:pPr>
      <w:r w:rsidRPr="00E22673">
        <w:rPr>
          <w:rFonts w:eastAsia="Arial Narrow" w:cs="Arial Narrow"/>
          <w:color w:val="000000" w:themeColor="text1"/>
        </w:rPr>
        <w:t xml:space="preserve">^ATAGI are still reviewing and finalising the clinical recommendation  </w:t>
      </w:r>
    </w:p>
    <w:p w14:paraId="494FD370" w14:textId="0186FFC6" w:rsidR="006D3348" w:rsidRPr="006D3348" w:rsidRDefault="000B613B" w:rsidP="006D3348">
      <w:pPr>
        <w:pStyle w:val="3-BodyText"/>
      </w:pPr>
      <w:bookmarkStart w:id="0" w:name="_Ref119424040"/>
      <w:r>
        <w:t>9vHPV</w:t>
      </w:r>
      <w:r w:rsidRPr="00773D9B">
        <w:t xml:space="preserve"> </w:t>
      </w:r>
      <w:r w:rsidR="006D3348" w:rsidRPr="006D3348">
        <w:t xml:space="preserve">is currently </w:t>
      </w:r>
      <w:r w:rsidR="006D3348">
        <w:t xml:space="preserve">TGA </w:t>
      </w:r>
      <w:r w:rsidR="006D3348" w:rsidRPr="006D3348">
        <w:t xml:space="preserve">registered as a three dose schedule, or alternatively as a two dose schedule for individuals aged 9 to 14 years. </w:t>
      </w:r>
      <w:r w:rsidR="008F406D">
        <w:t>The submission noted that a</w:t>
      </w:r>
      <w:r w:rsidR="006D3348" w:rsidRPr="006D3348">
        <w:t xml:space="preserve"> recommendation of a single dose for those up to 25 years of age would be a variation from the TGA Product Information.</w:t>
      </w:r>
      <w:r w:rsidR="006D3348">
        <w:t xml:space="preserve"> </w:t>
      </w:r>
      <w:r w:rsidR="006D3348" w:rsidRPr="006D3348">
        <w:t>However, ATAGI and the NIP currently and previously have recommended vaccine schedules in this context, e.g. for pneumococcal</w:t>
      </w:r>
      <w:r w:rsidR="00F90934">
        <w:t xml:space="preserve"> and</w:t>
      </w:r>
      <w:r w:rsidR="006D3348" w:rsidRPr="006D3348">
        <w:t xml:space="preserve"> meningococcal</w:t>
      </w:r>
      <w:r w:rsidR="006D3348">
        <w:t>.</w:t>
      </w:r>
    </w:p>
    <w:p w14:paraId="367FB6E3" w14:textId="3AE6F4F3" w:rsidR="008D108E" w:rsidRPr="008D108E" w:rsidRDefault="008D108E" w:rsidP="008D108E">
      <w:pPr>
        <w:pStyle w:val="3-BodyText"/>
        <w:numPr>
          <w:ilvl w:val="0"/>
          <w:numId w:val="0"/>
        </w:numPr>
        <w:ind w:left="720" w:hanging="720"/>
        <w:rPr>
          <w:u w:val="single"/>
        </w:rPr>
      </w:pPr>
      <w:r w:rsidRPr="008D108E">
        <w:rPr>
          <w:u w:val="single"/>
        </w:rPr>
        <w:t>Routine HPV vaccination program for adolescents</w:t>
      </w:r>
    </w:p>
    <w:p w14:paraId="5D373F73" w14:textId="447F0C6A" w:rsidR="008D108E" w:rsidRDefault="008D108E" w:rsidP="008D108E">
      <w:pPr>
        <w:pStyle w:val="3-BodyText"/>
      </w:pPr>
      <w:r w:rsidRPr="008D108E">
        <w:t>The current NIP Schedule provides HPV vaccines for individuals aged 12-13 routinely as part of a school-based program. The NIP adolescent program includes school visits for HPV, meningococcal ACWY and diphtheria, tetanus and pertussis vaccination.</w:t>
      </w:r>
    </w:p>
    <w:p w14:paraId="37BEE43A" w14:textId="77777777" w:rsidR="00181379" w:rsidRDefault="00181379" w:rsidP="00200DD7">
      <w:pPr>
        <w:pStyle w:val="3-BodyText"/>
      </w:pPr>
      <w:r>
        <w:t>ATAGI noted d</w:t>
      </w:r>
      <w:r w:rsidRPr="00181379">
        <w:t>ose 2 coverage varies by jurisdiction, gender and sociodemographic factors (socioeconomic status (SES) and geographical remoteness)</w:t>
      </w:r>
      <w:r>
        <w:t>.</w:t>
      </w:r>
    </w:p>
    <w:p w14:paraId="33A552C5" w14:textId="4E6E2375" w:rsidR="008D108E" w:rsidRDefault="008D108E" w:rsidP="00200DD7">
      <w:pPr>
        <w:pStyle w:val="3-BodyText"/>
      </w:pPr>
      <w:r w:rsidRPr="008D108E">
        <w:t xml:space="preserve">ATAGI </w:t>
      </w:r>
      <w:r>
        <w:t xml:space="preserve">recommends </w:t>
      </w:r>
      <w:r w:rsidR="00697083">
        <w:t>revising</w:t>
      </w:r>
      <w:r>
        <w:t xml:space="preserve"> </w:t>
      </w:r>
      <w:r w:rsidRPr="008D108E">
        <w:t>the current two dose schedule to become a single-dose schedule using the same 9vHPV vaccine, for individuals aged 12-13 years who do not have an immunocompromising condition. A three dose schedule should continue to be provided for individuals who are immunocompromised at the time of schedule initiation.</w:t>
      </w:r>
    </w:p>
    <w:p w14:paraId="0AF277F7" w14:textId="2DC1D6BE" w:rsidR="008D108E" w:rsidRPr="008D108E" w:rsidRDefault="008D108E" w:rsidP="008D108E">
      <w:pPr>
        <w:pStyle w:val="3-BodyText"/>
        <w:numPr>
          <w:ilvl w:val="0"/>
          <w:numId w:val="0"/>
        </w:numPr>
        <w:rPr>
          <w:u w:val="single"/>
        </w:rPr>
      </w:pPr>
      <w:r w:rsidRPr="008D108E">
        <w:rPr>
          <w:u w:val="single"/>
        </w:rPr>
        <w:lastRenderedPageBreak/>
        <w:t>Eligibility for missed doses</w:t>
      </w:r>
    </w:p>
    <w:p w14:paraId="43B06896" w14:textId="6A21F90F" w:rsidR="008D108E" w:rsidRDefault="008D108E" w:rsidP="006C5B33">
      <w:pPr>
        <w:pStyle w:val="3-BodyText"/>
      </w:pPr>
      <w:r w:rsidRPr="008D108E">
        <w:t>Funding for any missed doses currently extends only to people aged up to 19 years, despite recommendations in the Australian Immunisation Handbook that course completion of missed dose/s, based on clinical benefit provided, should occur at older ages.</w:t>
      </w:r>
    </w:p>
    <w:p w14:paraId="345C9735" w14:textId="645D6F68" w:rsidR="008D108E" w:rsidRDefault="008D108E" w:rsidP="006C5B33">
      <w:pPr>
        <w:pStyle w:val="3-BodyText"/>
      </w:pPr>
      <w:r w:rsidRPr="008D108E">
        <w:t>ATAGI recommends expanding the upper limit of age eligibility for NIP-funded vaccination to allow people up to age 25 years (inclusive) to receive missed dose/s of funded HPV vaccine (thus removing the current age limit of 19 years for two NIP-funded doses of HPV vaccine).</w:t>
      </w:r>
      <w:r>
        <w:t xml:space="preserve"> The submission noted the u</w:t>
      </w:r>
      <w:r w:rsidRPr="008D108E">
        <w:t xml:space="preserve">se of a single dose schedule of HPV vaccine for those commencing vaccination aged 15 years and older, rather than </w:t>
      </w:r>
      <w:r w:rsidR="00527F0D">
        <w:t>three</w:t>
      </w:r>
      <w:r w:rsidRPr="008D108E">
        <w:t xml:space="preserve"> doses in this age group, which is currently recommended if commencing vaccination at or after 15 years of age, will simplify efforts to provide missed doses and potentially enable protection of a greater number of individuals at a reduced out-of-pocket expense.</w:t>
      </w:r>
    </w:p>
    <w:bookmarkEnd w:id="0"/>
    <w:p w14:paraId="19E6D352" w14:textId="4745BFB0" w:rsidR="00356405" w:rsidRPr="00850CE9" w:rsidRDefault="00356405" w:rsidP="00356405">
      <w:pPr>
        <w:pStyle w:val="3-BodyText"/>
        <w:numPr>
          <w:ilvl w:val="0"/>
          <w:numId w:val="0"/>
        </w:numPr>
        <w:ind w:left="720"/>
        <w:rPr>
          <w:rFonts w:ascii="Arial Narrow" w:hAnsi="Arial Narrow"/>
          <w:sz w:val="16"/>
          <w:szCs w:val="14"/>
          <w:lang w:eastAsia="en-US"/>
        </w:rPr>
      </w:pPr>
      <w:r w:rsidRPr="007E61A0">
        <w:rPr>
          <w:i/>
        </w:rPr>
        <w:t xml:space="preserve">For more detail on </w:t>
      </w:r>
      <w:r w:rsidRPr="001A4BF2">
        <w:rPr>
          <w:i/>
        </w:rPr>
        <w:t>PBAC’s view, see section 5 PBAC</w:t>
      </w:r>
      <w:r w:rsidRPr="007E61A0">
        <w:rPr>
          <w:i/>
        </w:rPr>
        <w:t xml:space="preserve"> outcome</w:t>
      </w:r>
      <w:r>
        <w:rPr>
          <w:i/>
        </w:rPr>
        <w:t>.</w:t>
      </w:r>
    </w:p>
    <w:p w14:paraId="14F1A1FD" w14:textId="3C40CCBB" w:rsidR="00F04E72" w:rsidRPr="000F533C" w:rsidRDefault="00F04E72" w:rsidP="003522FD">
      <w:pPr>
        <w:pStyle w:val="2-SectionHeading"/>
      </w:pPr>
      <w:r w:rsidRPr="000F533C">
        <w:t>Consideration of the evidence</w:t>
      </w:r>
    </w:p>
    <w:p w14:paraId="39F2B5DB" w14:textId="40DC1172" w:rsidR="00F04E72" w:rsidRPr="007D3748" w:rsidRDefault="00F04E72" w:rsidP="007C0971">
      <w:pPr>
        <w:pStyle w:val="4-SubsectionHeading"/>
      </w:pPr>
      <w:bookmarkStart w:id="1" w:name="_Toc113968817"/>
      <w:r w:rsidRPr="007D3748">
        <w:t xml:space="preserve">Clinical </w:t>
      </w:r>
      <w:bookmarkEnd w:id="1"/>
      <w:r w:rsidR="00406CF5">
        <w:t>effectiveness</w:t>
      </w:r>
    </w:p>
    <w:p w14:paraId="5E0239EC" w14:textId="77777777" w:rsidR="00106F49" w:rsidRDefault="0064668F" w:rsidP="00486AD4">
      <w:pPr>
        <w:pStyle w:val="3-BodyText"/>
        <w:rPr>
          <w:lang w:val="en-US"/>
        </w:rPr>
        <w:sectPr w:rsidR="00106F49"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pPr>
      <w:bookmarkStart w:id="2" w:name="_Ref118967017"/>
      <w:r>
        <w:t xml:space="preserve">The </w:t>
      </w:r>
      <w:bookmarkEnd w:id="2"/>
      <w:r w:rsidR="00790B33">
        <w:rPr>
          <w:lang w:val="en-US"/>
        </w:rPr>
        <w:t>submission presented the following key studies</w:t>
      </w:r>
      <w:r w:rsidR="00790B33" w:rsidRPr="00790B33">
        <w:t xml:space="preserve"> </w:t>
      </w:r>
      <w:r w:rsidR="00790B33" w:rsidRPr="00790B33">
        <w:rPr>
          <w:lang w:val="en-US"/>
        </w:rPr>
        <w:t>supporting the use of a single dose of HPV vaccine</w:t>
      </w:r>
      <w:r w:rsidR="00790B33">
        <w:rPr>
          <w:lang w:val="en-US"/>
        </w:rPr>
        <w:t>.</w:t>
      </w:r>
    </w:p>
    <w:p w14:paraId="38BEC79F" w14:textId="55962ACA" w:rsidR="00DD1913" w:rsidRPr="00C71CC9" w:rsidRDefault="00DD1913" w:rsidP="00473A87">
      <w:pPr>
        <w:pStyle w:val="TableFigureHeading"/>
      </w:pPr>
      <w:r w:rsidRPr="00C71CC9">
        <w:lastRenderedPageBreak/>
        <w:t xml:space="preserve">Table </w:t>
      </w:r>
      <w:r w:rsidR="00FB3B52">
        <w:t>2</w:t>
      </w:r>
      <w:r w:rsidRPr="00C71CC9">
        <w:t xml:space="preserve">: Summary of key studies </w:t>
      </w:r>
      <w:r w:rsidR="00790B33" w:rsidRPr="00790B33">
        <w:t>presented in the submission</w:t>
      </w:r>
    </w:p>
    <w:tbl>
      <w:tblPr>
        <w:tblStyle w:val="TableGrid"/>
        <w:tblW w:w="0" w:type="auto"/>
        <w:tblLook w:val="04A0" w:firstRow="1" w:lastRow="0" w:firstColumn="1" w:lastColumn="0" w:noHBand="0" w:noVBand="1"/>
      </w:tblPr>
      <w:tblGrid>
        <w:gridCol w:w="2692"/>
        <w:gridCol w:w="1219"/>
        <w:gridCol w:w="1597"/>
        <w:gridCol w:w="1060"/>
        <w:gridCol w:w="2750"/>
        <w:gridCol w:w="4630"/>
      </w:tblGrid>
      <w:tr w:rsidR="00DD1913" w:rsidRPr="008D609D" w14:paraId="3A817DB4" w14:textId="77777777" w:rsidTr="003522FD">
        <w:trPr>
          <w:tblHeader/>
        </w:trPr>
        <w:tc>
          <w:tcPr>
            <w:tcW w:w="1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FCE08D" w14:textId="17741FFE" w:rsidR="00DD1913" w:rsidRPr="00C71CC9" w:rsidRDefault="00727013" w:rsidP="003522FD">
            <w:pPr>
              <w:pStyle w:val="Tabletext0"/>
              <w:rPr>
                <w:rFonts w:cs="Arial"/>
                <w:b/>
                <w:bCs/>
                <w:szCs w:val="20"/>
              </w:rPr>
            </w:pPr>
            <w:r>
              <w:rPr>
                <w:rFonts w:cs="Arial"/>
                <w:b/>
                <w:bCs/>
                <w:szCs w:val="20"/>
              </w:rPr>
              <w:t xml:space="preserve">Trial and </w:t>
            </w:r>
            <w:r w:rsidR="00DD1913" w:rsidRPr="00C71CC9">
              <w:rPr>
                <w:rFonts w:cs="Arial"/>
                <w:b/>
                <w:bCs/>
                <w:szCs w:val="20"/>
              </w:rPr>
              <w:t>Study ID</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3F4721" w14:textId="77777777" w:rsidR="00DD1913" w:rsidRPr="00C71CC9" w:rsidRDefault="00DD1913" w:rsidP="003522FD">
            <w:pPr>
              <w:pStyle w:val="Tabletext0"/>
              <w:rPr>
                <w:rFonts w:cs="Arial"/>
                <w:b/>
                <w:bCs/>
                <w:szCs w:val="20"/>
              </w:rPr>
            </w:pPr>
            <w:r w:rsidRPr="00C71CC9">
              <w:rPr>
                <w:rFonts w:cs="Arial"/>
                <w:b/>
                <w:bCs/>
                <w:szCs w:val="20"/>
              </w:rPr>
              <w:t>Study type</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98A8E3" w14:textId="77777777" w:rsidR="00DD1913" w:rsidRPr="00C71CC9" w:rsidRDefault="00DD1913" w:rsidP="003522FD">
            <w:pPr>
              <w:pStyle w:val="Tabletext0"/>
              <w:rPr>
                <w:rFonts w:cs="Arial"/>
                <w:b/>
                <w:bCs/>
                <w:szCs w:val="20"/>
              </w:rPr>
            </w:pPr>
            <w:r w:rsidRPr="00C71CC9">
              <w:rPr>
                <w:rFonts w:cs="Arial"/>
                <w:b/>
                <w:bCs/>
                <w:szCs w:val="20"/>
              </w:rPr>
              <w:t>Intervention vs comparator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93D586" w14:textId="77777777" w:rsidR="00DD1913" w:rsidRPr="00C71CC9" w:rsidRDefault="00DD1913" w:rsidP="003522FD">
            <w:pPr>
              <w:pStyle w:val="Tabletext0"/>
              <w:rPr>
                <w:rFonts w:cs="Arial"/>
                <w:b/>
                <w:bCs/>
                <w:szCs w:val="20"/>
              </w:rPr>
            </w:pPr>
            <w:r w:rsidRPr="00C71CC9">
              <w:rPr>
                <w:rFonts w:cs="Arial"/>
                <w:b/>
                <w:bCs/>
                <w:szCs w:val="20"/>
              </w:rPr>
              <w:t>Follow up period</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732CFB" w14:textId="77777777" w:rsidR="00DD1913" w:rsidRPr="00C71CC9" w:rsidRDefault="00DD1913" w:rsidP="003522FD">
            <w:pPr>
              <w:pStyle w:val="Tabletext0"/>
              <w:rPr>
                <w:rFonts w:cs="Arial"/>
                <w:b/>
                <w:bCs/>
                <w:szCs w:val="20"/>
              </w:rPr>
            </w:pPr>
            <w:r w:rsidRPr="00C71CC9">
              <w:rPr>
                <w:rFonts w:cs="Arial"/>
                <w:b/>
                <w:bCs/>
                <w:szCs w:val="20"/>
              </w:rPr>
              <w:t>Study population</w:t>
            </w:r>
          </w:p>
        </w:tc>
        <w:tc>
          <w:tcPr>
            <w:tcW w:w="5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914E9C" w14:textId="77777777" w:rsidR="00DD1913" w:rsidRPr="00C71CC9" w:rsidRDefault="00DD1913" w:rsidP="003522FD">
            <w:pPr>
              <w:pStyle w:val="Tabletext0"/>
              <w:rPr>
                <w:rFonts w:cs="Arial"/>
                <w:b/>
                <w:bCs/>
                <w:szCs w:val="20"/>
              </w:rPr>
            </w:pPr>
            <w:r w:rsidRPr="00C71CC9">
              <w:rPr>
                <w:rFonts w:cs="Arial"/>
                <w:b/>
                <w:bCs/>
                <w:szCs w:val="20"/>
              </w:rPr>
              <w:t>Findings</w:t>
            </w:r>
          </w:p>
        </w:tc>
      </w:tr>
      <w:tr w:rsidR="00DD1913" w:rsidRPr="008D609D" w14:paraId="464AE974" w14:textId="77777777" w:rsidTr="003522FD">
        <w:tc>
          <w:tcPr>
            <w:tcW w:w="1474" w:type="dxa"/>
            <w:tcBorders>
              <w:top w:val="single" w:sz="4" w:space="0" w:color="auto"/>
              <w:left w:val="single" w:sz="4" w:space="0" w:color="auto"/>
              <w:bottom w:val="single" w:sz="4" w:space="0" w:color="auto"/>
              <w:right w:val="nil"/>
            </w:tcBorders>
            <w:shd w:val="clear" w:color="auto" w:fill="F2F2F2" w:themeFill="background1" w:themeFillShade="F2"/>
            <w:hideMark/>
          </w:tcPr>
          <w:p w14:paraId="14C043BA" w14:textId="77777777" w:rsidR="00DD1913" w:rsidRPr="00C71CC9" w:rsidRDefault="00DD1913" w:rsidP="003522FD">
            <w:pPr>
              <w:pStyle w:val="Tabletext0"/>
              <w:rPr>
                <w:rFonts w:cs="Arial"/>
                <w:b/>
                <w:bCs/>
                <w:szCs w:val="20"/>
              </w:rPr>
            </w:pPr>
            <w:r w:rsidRPr="00C71CC9">
              <w:rPr>
                <w:rFonts w:cs="Arial"/>
                <w:b/>
                <w:bCs/>
                <w:szCs w:val="20"/>
              </w:rPr>
              <w:t>Efficacy</w:t>
            </w:r>
          </w:p>
        </w:tc>
        <w:tc>
          <w:tcPr>
            <w:tcW w:w="1219" w:type="dxa"/>
            <w:tcBorders>
              <w:top w:val="single" w:sz="4" w:space="0" w:color="auto"/>
              <w:left w:val="nil"/>
              <w:bottom w:val="single" w:sz="4" w:space="0" w:color="auto"/>
              <w:right w:val="nil"/>
            </w:tcBorders>
            <w:shd w:val="clear" w:color="auto" w:fill="F2F2F2" w:themeFill="background1" w:themeFillShade="F2"/>
          </w:tcPr>
          <w:p w14:paraId="2EF2E82D" w14:textId="77777777" w:rsidR="00DD1913" w:rsidRPr="00C71CC9" w:rsidRDefault="00DD1913" w:rsidP="003522FD">
            <w:pPr>
              <w:pStyle w:val="Tabletext0"/>
              <w:rPr>
                <w:rFonts w:cs="Arial"/>
                <w:b/>
                <w:bCs/>
                <w:szCs w:val="20"/>
              </w:rPr>
            </w:pPr>
          </w:p>
        </w:tc>
        <w:tc>
          <w:tcPr>
            <w:tcW w:w="1697" w:type="dxa"/>
            <w:tcBorders>
              <w:top w:val="single" w:sz="4" w:space="0" w:color="auto"/>
              <w:left w:val="nil"/>
              <w:bottom w:val="single" w:sz="4" w:space="0" w:color="auto"/>
              <w:right w:val="nil"/>
            </w:tcBorders>
            <w:shd w:val="clear" w:color="auto" w:fill="F2F2F2" w:themeFill="background1" w:themeFillShade="F2"/>
          </w:tcPr>
          <w:p w14:paraId="37C1C344" w14:textId="77777777" w:rsidR="00DD1913" w:rsidRPr="00C71CC9" w:rsidRDefault="00DD1913" w:rsidP="003522FD">
            <w:pPr>
              <w:pStyle w:val="Tabletext0"/>
              <w:rPr>
                <w:rFonts w:cs="Arial"/>
                <w:b/>
                <w:bCs/>
                <w:szCs w:val="20"/>
              </w:rPr>
            </w:pPr>
          </w:p>
        </w:tc>
        <w:tc>
          <w:tcPr>
            <w:tcW w:w="1134" w:type="dxa"/>
            <w:tcBorders>
              <w:top w:val="single" w:sz="4" w:space="0" w:color="auto"/>
              <w:left w:val="nil"/>
              <w:bottom w:val="single" w:sz="4" w:space="0" w:color="auto"/>
              <w:right w:val="nil"/>
            </w:tcBorders>
            <w:shd w:val="clear" w:color="auto" w:fill="F2F2F2" w:themeFill="background1" w:themeFillShade="F2"/>
          </w:tcPr>
          <w:p w14:paraId="1F6CD508" w14:textId="77777777" w:rsidR="00DD1913" w:rsidRPr="00C71CC9" w:rsidRDefault="00DD1913" w:rsidP="003522FD">
            <w:pPr>
              <w:pStyle w:val="Tabletext0"/>
              <w:rPr>
                <w:rFonts w:cs="Arial"/>
                <w:b/>
                <w:bCs/>
                <w:szCs w:val="20"/>
              </w:rPr>
            </w:pPr>
          </w:p>
        </w:tc>
        <w:tc>
          <w:tcPr>
            <w:tcW w:w="2976" w:type="dxa"/>
            <w:tcBorders>
              <w:top w:val="single" w:sz="4" w:space="0" w:color="auto"/>
              <w:left w:val="nil"/>
              <w:bottom w:val="single" w:sz="4" w:space="0" w:color="auto"/>
              <w:right w:val="nil"/>
            </w:tcBorders>
            <w:shd w:val="clear" w:color="auto" w:fill="F2F2F2" w:themeFill="background1" w:themeFillShade="F2"/>
          </w:tcPr>
          <w:p w14:paraId="2D3558C4" w14:textId="77777777" w:rsidR="00DD1913" w:rsidRPr="00C71CC9" w:rsidRDefault="00DD1913" w:rsidP="003522FD">
            <w:pPr>
              <w:pStyle w:val="Tabletext0"/>
              <w:rPr>
                <w:rFonts w:cs="Arial"/>
                <w:b/>
                <w:bCs/>
                <w:szCs w:val="20"/>
              </w:rPr>
            </w:pPr>
          </w:p>
        </w:tc>
        <w:tc>
          <w:tcPr>
            <w:tcW w:w="5448" w:type="dxa"/>
            <w:tcBorders>
              <w:top w:val="single" w:sz="4" w:space="0" w:color="auto"/>
              <w:left w:val="nil"/>
              <w:bottom w:val="single" w:sz="4" w:space="0" w:color="auto"/>
              <w:right w:val="single" w:sz="4" w:space="0" w:color="auto"/>
            </w:tcBorders>
            <w:shd w:val="clear" w:color="auto" w:fill="F2F2F2" w:themeFill="background1" w:themeFillShade="F2"/>
          </w:tcPr>
          <w:p w14:paraId="729B2E44" w14:textId="77777777" w:rsidR="00DD1913" w:rsidRPr="00C71CC9" w:rsidRDefault="00DD1913" w:rsidP="003522FD">
            <w:pPr>
              <w:pStyle w:val="Tabletext0"/>
              <w:rPr>
                <w:rFonts w:cs="Arial"/>
                <w:b/>
                <w:bCs/>
                <w:szCs w:val="20"/>
              </w:rPr>
            </w:pPr>
          </w:p>
        </w:tc>
      </w:tr>
      <w:tr w:rsidR="00DD1913" w:rsidRPr="008D609D" w14:paraId="515A8A7C" w14:textId="77777777" w:rsidTr="003522FD">
        <w:tc>
          <w:tcPr>
            <w:tcW w:w="1474" w:type="dxa"/>
            <w:tcBorders>
              <w:top w:val="single" w:sz="4" w:space="0" w:color="auto"/>
              <w:left w:val="single" w:sz="4" w:space="0" w:color="auto"/>
              <w:bottom w:val="single" w:sz="4" w:space="0" w:color="auto"/>
              <w:right w:val="single" w:sz="4" w:space="0" w:color="auto"/>
            </w:tcBorders>
            <w:hideMark/>
          </w:tcPr>
          <w:p w14:paraId="1676013F" w14:textId="77777777" w:rsidR="00727013" w:rsidRPr="00473A87" w:rsidRDefault="00727013" w:rsidP="003522FD">
            <w:pPr>
              <w:pStyle w:val="Tabletext0"/>
              <w:rPr>
                <w:rFonts w:eastAsiaTheme="minorEastAsia" w:cs="Arial"/>
                <w:b/>
                <w:bCs/>
                <w:szCs w:val="20"/>
              </w:rPr>
            </w:pPr>
            <w:r w:rsidRPr="00473A87">
              <w:rPr>
                <w:rFonts w:cs="Arial"/>
                <w:b/>
                <w:bCs/>
                <w:szCs w:val="20"/>
              </w:rPr>
              <w:t>KEN SHE trial</w:t>
            </w:r>
            <w:r w:rsidRPr="00473A87">
              <w:rPr>
                <w:rFonts w:eastAsiaTheme="minorEastAsia" w:cs="Arial"/>
                <w:b/>
                <w:bCs/>
                <w:szCs w:val="20"/>
              </w:rPr>
              <w:t xml:space="preserve"> </w:t>
            </w:r>
          </w:p>
          <w:p w14:paraId="4792112F" w14:textId="2BC59C39" w:rsidR="00DD1913" w:rsidRPr="00C71CC9" w:rsidRDefault="00DD1913" w:rsidP="003522FD">
            <w:pPr>
              <w:pStyle w:val="Tabletext0"/>
              <w:rPr>
                <w:rFonts w:cs="Arial"/>
                <w:szCs w:val="20"/>
              </w:rPr>
            </w:pPr>
            <w:r w:rsidRPr="00C71CC9">
              <w:rPr>
                <w:rFonts w:cs="Arial"/>
                <w:noProof/>
                <w:szCs w:val="20"/>
              </w:rPr>
              <w:t xml:space="preserve">Barnabas RV, Brown ER, Onono MA, et al. Efficacy of single-dose HPV vaccination among young African women. </w:t>
            </w:r>
            <w:r w:rsidRPr="00C71CC9">
              <w:rPr>
                <w:rFonts w:cs="Arial"/>
                <w:i/>
                <w:noProof/>
                <w:szCs w:val="20"/>
              </w:rPr>
              <w:t>NEJM Evid</w:t>
            </w:r>
            <w:r w:rsidRPr="00C71CC9">
              <w:rPr>
                <w:rFonts w:cs="Arial"/>
                <w:noProof/>
                <w:szCs w:val="20"/>
              </w:rPr>
              <w:t xml:space="preserve"> 2022;1:EVIDoa2100056.</w:t>
            </w:r>
            <w:r w:rsidR="009A7223" w:rsidRPr="00C71CC9" w:rsidDel="009A7223">
              <w:rPr>
                <w:rFonts w:cs="Arial"/>
                <w:szCs w:val="20"/>
              </w:rPr>
              <w:t xml:space="preserve"> </w:t>
            </w:r>
          </w:p>
        </w:tc>
        <w:tc>
          <w:tcPr>
            <w:tcW w:w="1219" w:type="dxa"/>
            <w:tcBorders>
              <w:top w:val="single" w:sz="4" w:space="0" w:color="auto"/>
              <w:left w:val="single" w:sz="4" w:space="0" w:color="auto"/>
              <w:bottom w:val="single" w:sz="4" w:space="0" w:color="auto"/>
              <w:right w:val="single" w:sz="4" w:space="0" w:color="auto"/>
            </w:tcBorders>
            <w:hideMark/>
          </w:tcPr>
          <w:p w14:paraId="49AA0EEA" w14:textId="77777777" w:rsidR="00DD1913" w:rsidRPr="00C71CC9" w:rsidRDefault="00DD1913" w:rsidP="003522FD">
            <w:pPr>
              <w:pStyle w:val="Tabletext0"/>
              <w:rPr>
                <w:rFonts w:cs="Arial"/>
                <w:szCs w:val="20"/>
              </w:rPr>
            </w:pPr>
            <w:r w:rsidRPr="00C71CC9">
              <w:rPr>
                <w:rFonts w:cs="Arial"/>
                <w:kern w:val="24"/>
                <w:szCs w:val="20"/>
              </w:rPr>
              <w:t>RCT, efficacy</w:t>
            </w:r>
          </w:p>
        </w:tc>
        <w:tc>
          <w:tcPr>
            <w:tcW w:w="1697" w:type="dxa"/>
            <w:tcBorders>
              <w:top w:val="single" w:sz="4" w:space="0" w:color="auto"/>
              <w:left w:val="single" w:sz="4" w:space="0" w:color="auto"/>
              <w:bottom w:val="single" w:sz="4" w:space="0" w:color="auto"/>
              <w:right w:val="single" w:sz="4" w:space="0" w:color="auto"/>
            </w:tcBorders>
            <w:hideMark/>
          </w:tcPr>
          <w:p w14:paraId="1C0B14DB" w14:textId="77777777" w:rsidR="00DD1913" w:rsidRPr="00C71CC9" w:rsidRDefault="00DD1913" w:rsidP="003522FD">
            <w:pPr>
              <w:pStyle w:val="Tabletext0"/>
              <w:rPr>
                <w:rFonts w:cs="Arial"/>
                <w:szCs w:val="20"/>
              </w:rPr>
            </w:pPr>
            <w:r w:rsidRPr="00C71CC9">
              <w:rPr>
                <w:rFonts w:cs="Arial"/>
                <w:kern w:val="24"/>
                <w:szCs w:val="20"/>
              </w:rPr>
              <w:t>1 dose 9vHPV and 1 dose 2vHPV vs control</w:t>
            </w:r>
          </w:p>
        </w:tc>
        <w:tc>
          <w:tcPr>
            <w:tcW w:w="1134" w:type="dxa"/>
            <w:tcBorders>
              <w:top w:val="single" w:sz="4" w:space="0" w:color="auto"/>
              <w:left w:val="single" w:sz="4" w:space="0" w:color="auto"/>
              <w:bottom w:val="single" w:sz="4" w:space="0" w:color="auto"/>
              <w:right w:val="single" w:sz="4" w:space="0" w:color="auto"/>
            </w:tcBorders>
            <w:hideMark/>
          </w:tcPr>
          <w:p w14:paraId="702BD3F9" w14:textId="77777777" w:rsidR="00DD1913" w:rsidRPr="00C71CC9" w:rsidRDefault="00DD1913" w:rsidP="003522FD">
            <w:pPr>
              <w:pStyle w:val="Tabletext0"/>
              <w:rPr>
                <w:rFonts w:cs="Arial"/>
                <w:szCs w:val="20"/>
              </w:rPr>
            </w:pPr>
            <w:r w:rsidRPr="00C71CC9">
              <w:rPr>
                <w:rFonts w:cs="Arial"/>
                <w:szCs w:val="20"/>
              </w:rPr>
              <w:t>18 months</w:t>
            </w:r>
          </w:p>
        </w:tc>
        <w:tc>
          <w:tcPr>
            <w:tcW w:w="2976" w:type="dxa"/>
            <w:tcBorders>
              <w:top w:val="single" w:sz="4" w:space="0" w:color="auto"/>
              <w:left w:val="single" w:sz="4" w:space="0" w:color="auto"/>
              <w:bottom w:val="single" w:sz="4" w:space="0" w:color="auto"/>
              <w:right w:val="single" w:sz="4" w:space="0" w:color="auto"/>
            </w:tcBorders>
            <w:hideMark/>
          </w:tcPr>
          <w:p w14:paraId="5C6FDD0F" w14:textId="77777777" w:rsidR="00DD1913" w:rsidRPr="00C71CC9" w:rsidRDefault="00DD1913" w:rsidP="003522FD">
            <w:pPr>
              <w:pStyle w:val="Tabletext0"/>
              <w:rPr>
                <w:rFonts w:cs="Arial"/>
                <w:szCs w:val="20"/>
              </w:rPr>
            </w:pPr>
            <w:r w:rsidRPr="00C71CC9">
              <w:rPr>
                <w:rFonts w:cs="Arial"/>
                <w:kern w:val="24"/>
                <w:szCs w:val="20"/>
              </w:rPr>
              <w:t>Females 15-20 years</w:t>
            </w:r>
          </w:p>
          <w:p w14:paraId="4A806DFA" w14:textId="77777777" w:rsidR="00DD1913" w:rsidRPr="00C71CC9" w:rsidRDefault="00DD1913" w:rsidP="003522FD">
            <w:pPr>
              <w:pStyle w:val="Tabletext0"/>
              <w:rPr>
                <w:rFonts w:cs="Arial"/>
                <w:szCs w:val="20"/>
              </w:rPr>
            </w:pPr>
            <w:r w:rsidRPr="00C71CC9">
              <w:rPr>
                <w:rFonts w:cs="Arial"/>
                <w:kern w:val="24"/>
                <w:szCs w:val="20"/>
              </w:rPr>
              <w:t>2vHPV n=760</w:t>
            </w:r>
          </w:p>
          <w:p w14:paraId="3C07EE61" w14:textId="77777777" w:rsidR="00DD1913" w:rsidRPr="00C71CC9" w:rsidRDefault="00DD1913" w:rsidP="003522FD">
            <w:pPr>
              <w:pStyle w:val="Tabletext0"/>
              <w:rPr>
                <w:rFonts w:cs="Arial"/>
                <w:szCs w:val="20"/>
              </w:rPr>
            </w:pPr>
            <w:r w:rsidRPr="00C71CC9">
              <w:rPr>
                <w:rFonts w:cs="Arial"/>
                <w:kern w:val="24"/>
                <w:szCs w:val="20"/>
              </w:rPr>
              <w:t>9vHPV n=758</w:t>
            </w:r>
          </w:p>
          <w:p w14:paraId="1750E1EC" w14:textId="77777777" w:rsidR="00DD1913" w:rsidRPr="00C71CC9" w:rsidRDefault="00DD1913" w:rsidP="003522FD">
            <w:pPr>
              <w:pStyle w:val="Tabletext0"/>
              <w:rPr>
                <w:rFonts w:cs="Arial"/>
                <w:szCs w:val="20"/>
              </w:rPr>
            </w:pPr>
            <w:r w:rsidRPr="00C71CC9">
              <w:rPr>
                <w:rFonts w:cs="Arial"/>
                <w:kern w:val="24"/>
                <w:szCs w:val="20"/>
              </w:rPr>
              <w:t>Unvaccinated n=757</w:t>
            </w:r>
          </w:p>
        </w:tc>
        <w:tc>
          <w:tcPr>
            <w:tcW w:w="5448" w:type="dxa"/>
            <w:tcBorders>
              <w:top w:val="single" w:sz="4" w:space="0" w:color="auto"/>
              <w:left w:val="single" w:sz="4" w:space="0" w:color="auto"/>
              <w:bottom w:val="single" w:sz="4" w:space="0" w:color="auto"/>
              <w:right w:val="single" w:sz="4" w:space="0" w:color="auto"/>
            </w:tcBorders>
            <w:hideMark/>
          </w:tcPr>
          <w:p w14:paraId="14F7D6AE" w14:textId="77777777" w:rsidR="00DD1913" w:rsidRPr="00C71CC9" w:rsidRDefault="00DD1913" w:rsidP="003522FD">
            <w:pPr>
              <w:pStyle w:val="Tabletext0"/>
              <w:rPr>
                <w:rFonts w:cs="Arial"/>
                <w:szCs w:val="20"/>
              </w:rPr>
            </w:pPr>
            <w:r w:rsidRPr="00C71CC9">
              <w:rPr>
                <w:rFonts w:cs="Arial"/>
                <w:kern w:val="24"/>
                <w:szCs w:val="20"/>
              </w:rPr>
              <w:t>VE against incident persistent HPV infection at month 18:</w:t>
            </w:r>
          </w:p>
          <w:p w14:paraId="02F390AE" w14:textId="77777777" w:rsidR="00DD1913" w:rsidRPr="00C71CC9" w:rsidRDefault="00DD1913" w:rsidP="003522FD">
            <w:pPr>
              <w:pStyle w:val="Tabletext0"/>
              <w:rPr>
                <w:rFonts w:cs="Arial"/>
                <w:szCs w:val="20"/>
              </w:rPr>
            </w:pPr>
            <w:r w:rsidRPr="00C71CC9">
              <w:rPr>
                <w:rFonts w:cs="Arial"/>
                <w:kern w:val="24"/>
                <w:szCs w:val="20"/>
              </w:rPr>
              <w:t>HPV16/18*: 97.5% (95% CI: 81.7–99.7)</w:t>
            </w:r>
          </w:p>
          <w:p w14:paraId="550210EB" w14:textId="77777777" w:rsidR="00DD1913" w:rsidRPr="00C71CC9" w:rsidRDefault="00DD1913" w:rsidP="003522FD">
            <w:pPr>
              <w:pStyle w:val="Tabletext0"/>
              <w:rPr>
                <w:rFonts w:cs="Arial"/>
                <w:szCs w:val="20"/>
              </w:rPr>
            </w:pPr>
            <w:r w:rsidRPr="00C71CC9">
              <w:rPr>
                <w:rFonts w:cs="Arial"/>
                <w:kern w:val="24"/>
                <w:szCs w:val="20"/>
              </w:rPr>
              <w:t>9vHPV-types (9vHPV): 88.9% (95%CI: 68.5–96.1)</w:t>
            </w:r>
          </w:p>
          <w:p w14:paraId="4B4FD992" w14:textId="77777777" w:rsidR="00DD1913" w:rsidRPr="00C71CC9" w:rsidRDefault="00DD1913" w:rsidP="003522FD">
            <w:pPr>
              <w:pStyle w:val="Tabletext0"/>
              <w:rPr>
                <w:rFonts w:cs="Arial"/>
                <w:szCs w:val="20"/>
              </w:rPr>
            </w:pPr>
            <w:r w:rsidRPr="00C71CC9">
              <w:rPr>
                <w:rFonts w:cs="Arial"/>
                <w:kern w:val="24"/>
                <w:szCs w:val="20"/>
              </w:rPr>
              <w:t>*HPV16/18 VE was the same for 2vHPV &amp; 9vHPV</w:t>
            </w:r>
          </w:p>
        </w:tc>
      </w:tr>
      <w:tr w:rsidR="00DD1913" w:rsidRPr="008D609D" w14:paraId="1EDF7892" w14:textId="77777777" w:rsidTr="003522FD">
        <w:tc>
          <w:tcPr>
            <w:tcW w:w="1474" w:type="dxa"/>
            <w:tcBorders>
              <w:top w:val="single" w:sz="4" w:space="0" w:color="auto"/>
              <w:left w:val="single" w:sz="4" w:space="0" w:color="auto"/>
              <w:bottom w:val="single" w:sz="4" w:space="0" w:color="auto"/>
              <w:right w:val="single" w:sz="4" w:space="0" w:color="auto"/>
            </w:tcBorders>
            <w:hideMark/>
          </w:tcPr>
          <w:p w14:paraId="017A44B0" w14:textId="77777777" w:rsidR="00727013" w:rsidRPr="00473A87" w:rsidRDefault="00727013" w:rsidP="003522FD">
            <w:pPr>
              <w:pStyle w:val="Tabletext0"/>
              <w:rPr>
                <w:rFonts w:cs="Arial"/>
                <w:b/>
                <w:bCs/>
                <w:szCs w:val="20"/>
              </w:rPr>
            </w:pPr>
            <w:r w:rsidRPr="00473A87">
              <w:rPr>
                <w:rFonts w:cs="Arial"/>
                <w:b/>
                <w:bCs/>
                <w:szCs w:val="20"/>
              </w:rPr>
              <w:t>IARC trial (India)</w:t>
            </w:r>
          </w:p>
          <w:p w14:paraId="4C39D968" w14:textId="23FA7031" w:rsidR="00DD1913" w:rsidRPr="00C71CC9" w:rsidRDefault="00DD1913" w:rsidP="003F11DC">
            <w:pPr>
              <w:pStyle w:val="Tabletext0"/>
              <w:rPr>
                <w:rFonts w:cs="Arial"/>
                <w:szCs w:val="20"/>
              </w:rPr>
            </w:pPr>
            <w:r w:rsidRPr="00C71CC9">
              <w:rPr>
                <w:rFonts w:cs="Arial"/>
                <w:szCs w:val="20"/>
              </w:rPr>
              <w:t>Basu P, Malvi SG, Joshi S, et al. Vaccine efficacy against persistent human papillomavirus (HPV) 16/18 infection at 10 years after one, two, and three doses of quadrivalent HPV vaccine in girls in India: a multicentre, prospective, cohort study. The Lancet Oncology 2021;22:1518-29.</w:t>
            </w:r>
          </w:p>
        </w:tc>
        <w:tc>
          <w:tcPr>
            <w:tcW w:w="1219" w:type="dxa"/>
            <w:tcBorders>
              <w:top w:val="single" w:sz="4" w:space="0" w:color="auto"/>
              <w:left w:val="single" w:sz="4" w:space="0" w:color="auto"/>
              <w:bottom w:val="single" w:sz="4" w:space="0" w:color="auto"/>
              <w:right w:val="single" w:sz="4" w:space="0" w:color="auto"/>
            </w:tcBorders>
            <w:hideMark/>
          </w:tcPr>
          <w:p w14:paraId="62564465" w14:textId="77777777" w:rsidR="00DD1913" w:rsidRPr="00C71CC9" w:rsidRDefault="00DD1913" w:rsidP="003522FD">
            <w:pPr>
              <w:pStyle w:val="Tabletext0"/>
              <w:rPr>
                <w:rFonts w:cs="Arial"/>
                <w:szCs w:val="20"/>
              </w:rPr>
            </w:pPr>
            <w:r w:rsidRPr="00C71CC9">
              <w:rPr>
                <w:rFonts w:cs="Arial"/>
                <w:kern w:val="24"/>
                <w:szCs w:val="20"/>
              </w:rPr>
              <w:t>Prospective cohort</w:t>
            </w:r>
          </w:p>
        </w:tc>
        <w:tc>
          <w:tcPr>
            <w:tcW w:w="1697" w:type="dxa"/>
            <w:tcBorders>
              <w:top w:val="single" w:sz="4" w:space="0" w:color="auto"/>
              <w:left w:val="single" w:sz="4" w:space="0" w:color="auto"/>
              <w:bottom w:val="single" w:sz="4" w:space="0" w:color="auto"/>
              <w:right w:val="single" w:sz="4" w:space="0" w:color="auto"/>
            </w:tcBorders>
            <w:hideMark/>
          </w:tcPr>
          <w:p w14:paraId="228AB9D3" w14:textId="77777777" w:rsidR="00DD1913" w:rsidRPr="00C71CC9" w:rsidRDefault="00DD1913" w:rsidP="003522FD">
            <w:pPr>
              <w:pStyle w:val="Tabletext0"/>
              <w:rPr>
                <w:rFonts w:cs="Arial"/>
                <w:szCs w:val="20"/>
              </w:rPr>
            </w:pPr>
            <w:r w:rsidRPr="00C71CC9">
              <w:rPr>
                <w:rFonts w:cs="Arial"/>
                <w:kern w:val="24"/>
                <w:szCs w:val="20"/>
              </w:rPr>
              <w:t>1, 2, 3 doses of 4vHPV vs. unvaccinated</w:t>
            </w:r>
          </w:p>
        </w:tc>
        <w:tc>
          <w:tcPr>
            <w:tcW w:w="1134" w:type="dxa"/>
            <w:tcBorders>
              <w:top w:val="single" w:sz="4" w:space="0" w:color="auto"/>
              <w:left w:val="single" w:sz="4" w:space="0" w:color="auto"/>
              <w:bottom w:val="single" w:sz="4" w:space="0" w:color="auto"/>
              <w:right w:val="single" w:sz="4" w:space="0" w:color="auto"/>
            </w:tcBorders>
            <w:hideMark/>
          </w:tcPr>
          <w:p w14:paraId="3F07930B" w14:textId="77777777" w:rsidR="00DD1913" w:rsidRPr="00C71CC9" w:rsidRDefault="00DD1913" w:rsidP="003522FD">
            <w:pPr>
              <w:pStyle w:val="Tabletext0"/>
              <w:rPr>
                <w:rFonts w:cs="Arial"/>
                <w:szCs w:val="20"/>
              </w:rPr>
            </w:pPr>
            <w:r w:rsidRPr="00C71CC9">
              <w:rPr>
                <w:rFonts w:cs="Arial"/>
                <w:szCs w:val="20"/>
              </w:rPr>
              <w:t>10 years</w:t>
            </w:r>
          </w:p>
        </w:tc>
        <w:tc>
          <w:tcPr>
            <w:tcW w:w="2976" w:type="dxa"/>
            <w:tcBorders>
              <w:top w:val="single" w:sz="4" w:space="0" w:color="auto"/>
              <w:left w:val="single" w:sz="4" w:space="0" w:color="auto"/>
              <w:bottom w:val="single" w:sz="4" w:space="0" w:color="auto"/>
              <w:right w:val="single" w:sz="4" w:space="0" w:color="auto"/>
            </w:tcBorders>
            <w:hideMark/>
          </w:tcPr>
          <w:p w14:paraId="20A0DA19" w14:textId="77777777" w:rsidR="00DD1913" w:rsidRPr="00C71CC9" w:rsidRDefault="00DD1913" w:rsidP="003522FD">
            <w:pPr>
              <w:pStyle w:val="Tabletext0"/>
              <w:rPr>
                <w:rFonts w:cs="Arial"/>
                <w:szCs w:val="20"/>
              </w:rPr>
            </w:pPr>
            <w:r w:rsidRPr="00C71CC9">
              <w:rPr>
                <w:rFonts w:cs="Arial"/>
                <w:kern w:val="24"/>
                <w:szCs w:val="20"/>
              </w:rPr>
              <w:t>Females 10-18 years</w:t>
            </w:r>
          </w:p>
          <w:p w14:paraId="55DBC766" w14:textId="77777777" w:rsidR="00DD1913" w:rsidRPr="00C71CC9" w:rsidRDefault="00DD1913" w:rsidP="003522FD">
            <w:pPr>
              <w:pStyle w:val="Tabletext0"/>
              <w:rPr>
                <w:rFonts w:cs="Arial"/>
                <w:szCs w:val="20"/>
              </w:rPr>
            </w:pPr>
            <w:r w:rsidRPr="00C71CC9">
              <w:rPr>
                <w:rFonts w:cs="Arial"/>
                <w:kern w:val="24"/>
                <w:szCs w:val="20"/>
              </w:rPr>
              <w:t>1 dose=2135</w:t>
            </w:r>
          </w:p>
          <w:p w14:paraId="6B7D777B" w14:textId="77777777" w:rsidR="00DD1913" w:rsidRPr="00C71CC9" w:rsidRDefault="00DD1913" w:rsidP="003522FD">
            <w:pPr>
              <w:pStyle w:val="Tabletext0"/>
              <w:rPr>
                <w:rFonts w:cs="Arial"/>
                <w:szCs w:val="20"/>
              </w:rPr>
            </w:pPr>
            <w:r w:rsidRPr="00C71CC9">
              <w:rPr>
                <w:rFonts w:cs="Arial"/>
                <w:kern w:val="24"/>
                <w:szCs w:val="20"/>
              </w:rPr>
              <w:t>2 dose=1452</w:t>
            </w:r>
          </w:p>
          <w:p w14:paraId="475DAB4F" w14:textId="77777777" w:rsidR="00DD1913" w:rsidRPr="00C71CC9" w:rsidRDefault="00DD1913" w:rsidP="003522FD">
            <w:pPr>
              <w:pStyle w:val="Tabletext0"/>
              <w:rPr>
                <w:rFonts w:cs="Arial"/>
                <w:szCs w:val="20"/>
              </w:rPr>
            </w:pPr>
            <w:r w:rsidRPr="00C71CC9">
              <w:rPr>
                <w:rFonts w:cs="Arial"/>
                <w:kern w:val="24"/>
                <w:szCs w:val="20"/>
              </w:rPr>
              <w:t>3 dose=1460</w:t>
            </w:r>
          </w:p>
          <w:p w14:paraId="6F81D8D4" w14:textId="77777777" w:rsidR="00DD1913" w:rsidRPr="00C71CC9" w:rsidRDefault="00DD1913" w:rsidP="003522FD">
            <w:pPr>
              <w:pStyle w:val="Tabletext0"/>
              <w:rPr>
                <w:rFonts w:cs="Arial"/>
                <w:szCs w:val="20"/>
              </w:rPr>
            </w:pPr>
            <w:r w:rsidRPr="00C71CC9">
              <w:rPr>
                <w:rFonts w:cs="Arial"/>
                <w:kern w:val="24"/>
                <w:szCs w:val="20"/>
              </w:rPr>
              <w:t>Unvaccinated = 1260</w:t>
            </w:r>
          </w:p>
        </w:tc>
        <w:tc>
          <w:tcPr>
            <w:tcW w:w="5448" w:type="dxa"/>
            <w:tcBorders>
              <w:top w:val="single" w:sz="4" w:space="0" w:color="auto"/>
              <w:left w:val="single" w:sz="4" w:space="0" w:color="auto"/>
              <w:bottom w:val="single" w:sz="4" w:space="0" w:color="auto"/>
              <w:right w:val="single" w:sz="4" w:space="0" w:color="auto"/>
            </w:tcBorders>
            <w:hideMark/>
          </w:tcPr>
          <w:p w14:paraId="636822C4" w14:textId="77777777" w:rsidR="00DD1913" w:rsidRPr="00C71CC9" w:rsidRDefault="00DD1913" w:rsidP="003522FD">
            <w:pPr>
              <w:pStyle w:val="Tabletext0"/>
              <w:rPr>
                <w:rFonts w:cs="Arial"/>
                <w:szCs w:val="20"/>
              </w:rPr>
            </w:pPr>
            <w:r w:rsidRPr="00C71CC9">
              <w:rPr>
                <w:rFonts w:cs="Arial"/>
                <w:kern w:val="24"/>
                <w:szCs w:val="20"/>
              </w:rPr>
              <w:t>VE against persistent HPV16/18 infection at year 10:</w:t>
            </w:r>
          </w:p>
          <w:p w14:paraId="2D0AACD2" w14:textId="77777777" w:rsidR="00DD1913" w:rsidRPr="00C71CC9" w:rsidRDefault="00DD1913" w:rsidP="003522FD">
            <w:pPr>
              <w:pStyle w:val="Tabletext0"/>
              <w:rPr>
                <w:rFonts w:cs="Arial"/>
                <w:szCs w:val="20"/>
              </w:rPr>
            </w:pPr>
            <w:r w:rsidRPr="00C71CC9">
              <w:rPr>
                <w:rFonts w:cs="Arial"/>
                <w:kern w:val="24"/>
                <w:szCs w:val="20"/>
              </w:rPr>
              <w:t>1 dose: 95.4% (95% CI: 85.0–99.9)</w:t>
            </w:r>
          </w:p>
          <w:p w14:paraId="0D94B22F" w14:textId="77777777" w:rsidR="00DD1913" w:rsidRPr="00C71CC9" w:rsidRDefault="00DD1913" w:rsidP="003522FD">
            <w:pPr>
              <w:pStyle w:val="Tabletext0"/>
              <w:rPr>
                <w:rFonts w:cs="Arial"/>
                <w:szCs w:val="20"/>
              </w:rPr>
            </w:pPr>
            <w:r w:rsidRPr="00C71CC9">
              <w:rPr>
                <w:rFonts w:cs="Arial"/>
                <w:kern w:val="24"/>
                <w:szCs w:val="20"/>
              </w:rPr>
              <w:t>2 dose: 93.1% (95% CI: 77.3–99.8)</w:t>
            </w:r>
          </w:p>
          <w:p w14:paraId="1C8469E7" w14:textId="77777777" w:rsidR="00DD1913" w:rsidRPr="00C71CC9" w:rsidRDefault="00DD1913" w:rsidP="003522FD">
            <w:pPr>
              <w:pStyle w:val="Tabletext0"/>
              <w:rPr>
                <w:rFonts w:cs="Arial"/>
                <w:szCs w:val="20"/>
              </w:rPr>
            </w:pPr>
            <w:r w:rsidRPr="00C71CC9">
              <w:rPr>
                <w:rFonts w:cs="Arial"/>
                <w:kern w:val="24"/>
                <w:szCs w:val="20"/>
              </w:rPr>
              <w:t>3 dose: 93.3% (95% CI: 77.5–99.7)</w:t>
            </w:r>
          </w:p>
        </w:tc>
      </w:tr>
      <w:tr w:rsidR="00DD1913" w:rsidRPr="008D609D" w14:paraId="3F9EE321" w14:textId="77777777" w:rsidTr="003522FD">
        <w:tc>
          <w:tcPr>
            <w:tcW w:w="1474" w:type="dxa"/>
            <w:tcBorders>
              <w:top w:val="single" w:sz="4" w:space="0" w:color="auto"/>
              <w:left w:val="single" w:sz="4" w:space="0" w:color="auto"/>
              <w:bottom w:val="single" w:sz="4" w:space="0" w:color="auto"/>
              <w:right w:val="single" w:sz="4" w:space="0" w:color="auto"/>
            </w:tcBorders>
            <w:hideMark/>
          </w:tcPr>
          <w:p w14:paraId="7E212E9C" w14:textId="59AEC8FD" w:rsidR="00DD1913" w:rsidRPr="00C71CC9" w:rsidRDefault="00DD1913" w:rsidP="003522FD">
            <w:pPr>
              <w:pStyle w:val="Tabletext0"/>
              <w:rPr>
                <w:rFonts w:cs="Arial"/>
                <w:szCs w:val="20"/>
              </w:rPr>
            </w:pPr>
            <w:r w:rsidRPr="00C71CC9">
              <w:rPr>
                <w:rFonts w:cs="Arial"/>
                <w:noProof/>
                <w:szCs w:val="20"/>
              </w:rPr>
              <w:t xml:space="preserve">Brotherton JM, Budd A, Rompotis C, et al. Is one dose of human papillomavirus vaccine as effective as three?: A national cohort analysis. </w:t>
            </w:r>
            <w:r w:rsidRPr="00C71CC9">
              <w:rPr>
                <w:rFonts w:cs="Arial"/>
                <w:i/>
                <w:noProof/>
                <w:szCs w:val="20"/>
              </w:rPr>
              <w:t>Papillomavirus Res</w:t>
            </w:r>
            <w:r w:rsidRPr="00C71CC9">
              <w:rPr>
                <w:rFonts w:cs="Arial"/>
                <w:noProof/>
                <w:szCs w:val="20"/>
              </w:rPr>
              <w:t xml:space="preserve"> 2019;8:100177</w:t>
            </w:r>
          </w:p>
        </w:tc>
        <w:tc>
          <w:tcPr>
            <w:tcW w:w="1219" w:type="dxa"/>
            <w:tcBorders>
              <w:top w:val="single" w:sz="4" w:space="0" w:color="auto"/>
              <w:left w:val="single" w:sz="4" w:space="0" w:color="auto"/>
              <w:bottom w:val="single" w:sz="4" w:space="0" w:color="auto"/>
              <w:right w:val="single" w:sz="4" w:space="0" w:color="auto"/>
            </w:tcBorders>
            <w:hideMark/>
          </w:tcPr>
          <w:p w14:paraId="5A061201" w14:textId="77777777" w:rsidR="00DD1913" w:rsidRPr="00C71CC9" w:rsidRDefault="00DD1913" w:rsidP="003522FD">
            <w:pPr>
              <w:pStyle w:val="Tabletext0"/>
              <w:rPr>
                <w:rFonts w:cs="Arial"/>
                <w:szCs w:val="20"/>
              </w:rPr>
            </w:pPr>
            <w:r w:rsidRPr="00C71CC9">
              <w:rPr>
                <w:rFonts w:cs="Arial"/>
                <w:kern w:val="24"/>
                <w:szCs w:val="20"/>
              </w:rPr>
              <w:t>Retrospective cohort</w:t>
            </w:r>
          </w:p>
        </w:tc>
        <w:tc>
          <w:tcPr>
            <w:tcW w:w="1697" w:type="dxa"/>
            <w:tcBorders>
              <w:top w:val="single" w:sz="4" w:space="0" w:color="auto"/>
              <w:left w:val="single" w:sz="4" w:space="0" w:color="auto"/>
              <w:bottom w:val="single" w:sz="4" w:space="0" w:color="auto"/>
              <w:right w:val="single" w:sz="4" w:space="0" w:color="auto"/>
            </w:tcBorders>
            <w:hideMark/>
          </w:tcPr>
          <w:p w14:paraId="35ED899B" w14:textId="77777777" w:rsidR="00DD1913" w:rsidRPr="00C71CC9" w:rsidRDefault="00DD1913" w:rsidP="003522FD">
            <w:pPr>
              <w:pStyle w:val="Tabletext0"/>
              <w:rPr>
                <w:rFonts w:cs="Arial"/>
                <w:szCs w:val="20"/>
              </w:rPr>
            </w:pPr>
            <w:r w:rsidRPr="00C71CC9">
              <w:rPr>
                <w:rFonts w:cs="Arial"/>
                <w:kern w:val="24"/>
                <w:szCs w:val="20"/>
              </w:rPr>
              <w:t>1, 2, 3 doses of 4vHPV vs. unvaccinated</w:t>
            </w:r>
          </w:p>
        </w:tc>
        <w:tc>
          <w:tcPr>
            <w:tcW w:w="1134" w:type="dxa"/>
            <w:tcBorders>
              <w:top w:val="single" w:sz="4" w:space="0" w:color="auto"/>
              <w:left w:val="single" w:sz="4" w:space="0" w:color="auto"/>
              <w:bottom w:val="single" w:sz="4" w:space="0" w:color="auto"/>
              <w:right w:val="single" w:sz="4" w:space="0" w:color="auto"/>
            </w:tcBorders>
            <w:hideMark/>
          </w:tcPr>
          <w:p w14:paraId="74C4BF98" w14:textId="77777777" w:rsidR="00DD1913" w:rsidRPr="00C71CC9" w:rsidRDefault="00DD1913" w:rsidP="003522FD">
            <w:pPr>
              <w:pStyle w:val="Tabletext0"/>
              <w:rPr>
                <w:rFonts w:cs="Arial"/>
                <w:szCs w:val="20"/>
              </w:rPr>
            </w:pPr>
            <w:r w:rsidRPr="00C71CC9">
              <w:rPr>
                <w:rFonts w:cs="Arial"/>
                <w:szCs w:val="20"/>
              </w:rPr>
              <w:t>2.5 years</w:t>
            </w:r>
          </w:p>
        </w:tc>
        <w:tc>
          <w:tcPr>
            <w:tcW w:w="2976" w:type="dxa"/>
            <w:tcBorders>
              <w:top w:val="single" w:sz="4" w:space="0" w:color="auto"/>
              <w:left w:val="single" w:sz="4" w:space="0" w:color="auto"/>
              <w:bottom w:val="single" w:sz="4" w:space="0" w:color="auto"/>
              <w:right w:val="single" w:sz="4" w:space="0" w:color="auto"/>
            </w:tcBorders>
            <w:hideMark/>
          </w:tcPr>
          <w:p w14:paraId="3AF72494" w14:textId="77777777" w:rsidR="00DD1913" w:rsidRPr="00C71CC9" w:rsidRDefault="00DD1913" w:rsidP="003522FD">
            <w:pPr>
              <w:pStyle w:val="Tabletext0"/>
              <w:rPr>
                <w:rFonts w:cs="Arial"/>
                <w:szCs w:val="20"/>
              </w:rPr>
            </w:pPr>
            <w:r w:rsidRPr="00C71CC9">
              <w:rPr>
                <w:rFonts w:cs="Arial"/>
                <w:kern w:val="24"/>
                <w:szCs w:val="20"/>
              </w:rPr>
              <w:t>Females ≤15 years</w:t>
            </w:r>
          </w:p>
          <w:p w14:paraId="36430D12" w14:textId="77777777" w:rsidR="00DD1913" w:rsidRPr="00C71CC9" w:rsidRDefault="00DD1913" w:rsidP="003522FD">
            <w:pPr>
              <w:pStyle w:val="Tabletext0"/>
              <w:rPr>
                <w:rFonts w:cs="Arial"/>
                <w:szCs w:val="20"/>
              </w:rPr>
            </w:pPr>
            <w:r w:rsidRPr="00C71CC9">
              <w:rPr>
                <w:rFonts w:cs="Arial"/>
                <w:kern w:val="24"/>
                <w:szCs w:val="20"/>
              </w:rPr>
              <w:t>1 dose n=8,618</w:t>
            </w:r>
          </w:p>
          <w:p w14:paraId="45593412" w14:textId="77777777" w:rsidR="00DD1913" w:rsidRPr="00C71CC9" w:rsidRDefault="00DD1913" w:rsidP="003522FD">
            <w:pPr>
              <w:pStyle w:val="Tabletext0"/>
              <w:rPr>
                <w:rFonts w:cs="Arial"/>
                <w:szCs w:val="20"/>
              </w:rPr>
            </w:pPr>
            <w:r w:rsidRPr="00C71CC9">
              <w:rPr>
                <w:rFonts w:cs="Arial"/>
                <w:kern w:val="24"/>
                <w:szCs w:val="20"/>
              </w:rPr>
              <w:t>2 dose n=18,190</w:t>
            </w:r>
          </w:p>
          <w:p w14:paraId="0A2F69CA" w14:textId="77777777" w:rsidR="00DD1913" w:rsidRPr="00C71CC9" w:rsidRDefault="00DD1913" w:rsidP="003522FD">
            <w:pPr>
              <w:pStyle w:val="Tabletext0"/>
              <w:rPr>
                <w:rFonts w:cs="Arial"/>
                <w:szCs w:val="20"/>
              </w:rPr>
            </w:pPr>
            <w:r w:rsidRPr="00C71CC9">
              <w:rPr>
                <w:rFonts w:cs="Arial"/>
                <w:kern w:val="24"/>
                <w:szCs w:val="20"/>
              </w:rPr>
              <w:t>3 dose n=174,995</w:t>
            </w:r>
          </w:p>
          <w:p w14:paraId="57FA164A" w14:textId="77777777" w:rsidR="00DD1913" w:rsidRPr="00C71CC9" w:rsidRDefault="00DD1913" w:rsidP="003522FD">
            <w:pPr>
              <w:pStyle w:val="Tabletext0"/>
              <w:rPr>
                <w:rFonts w:cs="Arial"/>
                <w:szCs w:val="20"/>
              </w:rPr>
            </w:pPr>
            <w:r w:rsidRPr="00C71CC9">
              <w:rPr>
                <w:rFonts w:cs="Arial"/>
                <w:kern w:val="24"/>
                <w:szCs w:val="20"/>
              </w:rPr>
              <w:t xml:space="preserve">Unvaccinated=48,845 </w:t>
            </w:r>
          </w:p>
        </w:tc>
        <w:tc>
          <w:tcPr>
            <w:tcW w:w="5448" w:type="dxa"/>
            <w:tcBorders>
              <w:top w:val="single" w:sz="4" w:space="0" w:color="auto"/>
              <w:left w:val="single" w:sz="4" w:space="0" w:color="auto"/>
              <w:bottom w:val="single" w:sz="4" w:space="0" w:color="auto"/>
              <w:right w:val="single" w:sz="4" w:space="0" w:color="auto"/>
            </w:tcBorders>
            <w:hideMark/>
          </w:tcPr>
          <w:p w14:paraId="3035FFA8" w14:textId="77777777" w:rsidR="00DD1913" w:rsidRPr="00C71CC9" w:rsidRDefault="00DD1913" w:rsidP="003522FD">
            <w:pPr>
              <w:pStyle w:val="Tabletext0"/>
              <w:rPr>
                <w:rFonts w:cs="Arial"/>
                <w:szCs w:val="20"/>
              </w:rPr>
            </w:pPr>
            <w:r w:rsidRPr="00C71CC9">
              <w:rPr>
                <w:rFonts w:cs="Arial"/>
                <w:kern w:val="24"/>
                <w:szCs w:val="20"/>
              </w:rPr>
              <w:t>aHR of CIN2/AIS+, compared to unvaccinated:</w:t>
            </w:r>
          </w:p>
          <w:p w14:paraId="229DA3A7" w14:textId="77777777" w:rsidR="00DD1913" w:rsidRPr="00C71CC9" w:rsidRDefault="00DD1913" w:rsidP="003522FD">
            <w:pPr>
              <w:pStyle w:val="Tabletext0"/>
              <w:rPr>
                <w:rFonts w:cs="Arial"/>
                <w:szCs w:val="20"/>
              </w:rPr>
            </w:pPr>
            <w:r w:rsidRPr="00C71CC9">
              <w:rPr>
                <w:rFonts w:cs="Arial"/>
                <w:kern w:val="24"/>
                <w:szCs w:val="20"/>
              </w:rPr>
              <w:t>1 dose: 0.65 (95%CI: 0.52–0.81)</w:t>
            </w:r>
          </w:p>
          <w:p w14:paraId="149C0C6C" w14:textId="77777777" w:rsidR="00DD1913" w:rsidRPr="00C71CC9" w:rsidRDefault="00DD1913" w:rsidP="003522FD">
            <w:pPr>
              <w:pStyle w:val="Tabletext0"/>
              <w:rPr>
                <w:rFonts w:cs="Arial"/>
                <w:szCs w:val="20"/>
              </w:rPr>
            </w:pPr>
            <w:r w:rsidRPr="00C71CC9">
              <w:rPr>
                <w:rFonts w:cs="Arial"/>
                <w:kern w:val="24"/>
                <w:szCs w:val="20"/>
              </w:rPr>
              <w:t>2 dose: 0.61 (95%CI: 0.52–0.72)</w:t>
            </w:r>
          </w:p>
          <w:p w14:paraId="41953B0A" w14:textId="77777777" w:rsidR="00DD1913" w:rsidRPr="00C71CC9" w:rsidRDefault="00DD1913" w:rsidP="003522FD">
            <w:pPr>
              <w:pStyle w:val="Tabletext0"/>
              <w:rPr>
                <w:rFonts w:cs="Arial"/>
                <w:szCs w:val="20"/>
              </w:rPr>
            </w:pPr>
            <w:r w:rsidRPr="00C71CC9">
              <w:rPr>
                <w:rFonts w:cs="Arial"/>
                <w:kern w:val="24"/>
                <w:szCs w:val="20"/>
              </w:rPr>
              <w:t>3 dose: 0.59 (95%CI: 0.54–0.65)</w:t>
            </w:r>
          </w:p>
          <w:p w14:paraId="1506C421" w14:textId="77777777" w:rsidR="00DD1913" w:rsidRPr="00C71CC9" w:rsidRDefault="00DD1913" w:rsidP="003522FD">
            <w:pPr>
              <w:pStyle w:val="Tabletext0"/>
              <w:rPr>
                <w:rFonts w:cs="Arial"/>
                <w:szCs w:val="20"/>
              </w:rPr>
            </w:pPr>
            <w:r w:rsidRPr="00C71CC9">
              <w:rPr>
                <w:rFonts w:cs="Arial"/>
                <w:kern w:val="24"/>
                <w:szCs w:val="20"/>
              </w:rPr>
              <w:t>HR of 1 vs 3 dose: 1.01 (95%CI: 0.81–1.26)</w:t>
            </w:r>
          </w:p>
        </w:tc>
      </w:tr>
      <w:tr w:rsidR="00DD1913" w:rsidRPr="008D609D" w14:paraId="1088F339" w14:textId="77777777" w:rsidTr="003522FD">
        <w:tc>
          <w:tcPr>
            <w:tcW w:w="1474" w:type="dxa"/>
            <w:tcBorders>
              <w:top w:val="single" w:sz="4" w:space="0" w:color="auto"/>
              <w:left w:val="single" w:sz="4" w:space="0" w:color="auto"/>
              <w:bottom w:val="single" w:sz="4" w:space="0" w:color="auto"/>
              <w:right w:val="single" w:sz="4" w:space="0" w:color="auto"/>
            </w:tcBorders>
            <w:hideMark/>
          </w:tcPr>
          <w:p w14:paraId="2762A706" w14:textId="0EAE5777" w:rsidR="00727013" w:rsidRPr="00473A87" w:rsidRDefault="00727013" w:rsidP="00727013">
            <w:pPr>
              <w:pStyle w:val="Tabletext0"/>
              <w:rPr>
                <w:rFonts w:cs="Arial"/>
                <w:b/>
                <w:bCs/>
                <w:noProof/>
                <w:szCs w:val="20"/>
              </w:rPr>
            </w:pPr>
            <w:r w:rsidRPr="00473A87">
              <w:rPr>
                <w:rFonts w:cs="Arial"/>
                <w:b/>
                <w:bCs/>
                <w:szCs w:val="20"/>
              </w:rPr>
              <w:t>CVT trial</w:t>
            </w:r>
          </w:p>
          <w:p w14:paraId="345E8234" w14:textId="23F8B118" w:rsidR="00DD1913" w:rsidRPr="00C71CC9" w:rsidRDefault="00DD1913" w:rsidP="00727013">
            <w:pPr>
              <w:pStyle w:val="Tabletext0"/>
              <w:rPr>
                <w:rFonts w:cs="Arial"/>
                <w:szCs w:val="20"/>
              </w:rPr>
            </w:pPr>
            <w:r w:rsidRPr="00C71CC9">
              <w:rPr>
                <w:rFonts w:cs="Arial"/>
                <w:noProof/>
                <w:szCs w:val="20"/>
              </w:rPr>
              <w:t xml:space="preserve">Kreimer AR, Sampson JN, Porras C, et al. Evaluation of Durability of a Single Dose of the Bivalent HPV Vaccine: The CVT Trial. </w:t>
            </w:r>
            <w:r w:rsidRPr="00C71CC9">
              <w:rPr>
                <w:rFonts w:cs="Arial"/>
                <w:i/>
                <w:noProof/>
                <w:szCs w:val="20"/>
              </w:rPr>
              <w:t>JNCI: Journal of the National Cancer Institute</w:t>
            </w:r>
            <w:r w:rsidRPr="00C71CC9">
              <w:rPr>
                <w:rFonts w:cs="Arial"/>
                <w:noProof/>
                <w:szCs w:val="20"/>
              </w:rPr>
              <w:t xml:space="preserve"> 2020;112:1038-46</w:t>
            </w:r>
          </w:p>
        </w:tc>
        <w:tc>
          <w:tcPr>
            <w:tcW w:w="1219" w:type="dxa"/>
            <w:tcBorders>
              <w:top w:val="single" w:sz="4" w:space="0" w:color="auto"/>
              <w:left w:val="single" w:sz="4" w:space="0" w:color="auto"/>
              <w:bottom w:val="single" w:sz="4" w:space="0" w:color="auto"/>
              <w:right w:val="single" w:sz="4" w:space="0" w:color="auto"/>
            </w:tcBorders>
            <w:hideMark/>
          </w:tcPr>
          <w:p w14:paraId="28B5DD15" w14:textId="77777777" w:rsidR="00DD1913" w:rsidRPr="00C71CC9" w:rsidRDefault="00DD1913" w:rsidP="003522FD">
            <w:pPr>
              <w:pStyle w:val="Tabletext0"/>
              <w:rPr>
                <w:rFonts w:cs="Arial"/>
                <w:szCs w:val="20"/>
              </w:rPr>
            </w:pPr>
            <w:r w:rsidRPr="00C71CC9">
              <w:rPr>
                <w:rFonts w:cs="Arial"/>
                <w:kern w:val="24"/>
                <w:szCs w:val="20"/>
              </w:rPr>
              <w:t>Prospective cohort</w:t>
            </w:r>
          </w:p>
        </w:tc>
        <w:tc>
          <w:tcPr>
            <w:tcW w:w="1697" w:type="dxa"/>
            <w:tcBorders>
              <w:top w:val="single" w:sz="4" w:space="0" w:color="auto"/>
              <w:left w:val="single" w:sz="4" w:space="0" w:color="auto"/>
              <w:bottom w:val="single" w:sz="4" w:space="0" w:color="auto"/>
              <w:right w:val="single" w:sz="4" w:space="0" w:color="auto"/>
            </w:tcBorders>
            <w:hideMark/>
          </w:tcPr>
          <w:p w14:paraId="63EF4073" w14:textId="77777777" w:rsidR="00DD1913" w:rsidRPr="00C71CC9" w:rsidRDefault="00DD1913" w:rsidP="003522FD">
            <w:pPr>
              <w:pStyle w:val="Tabletext0"/>
              <w:rPr>
                <w:rFonts w:cs="Arial"/>
                <w:szCs w:val="20"/>
              </w:rPr>
            </w:pPr>
            <w:r w:rsidRPr="00C71CC9">
              <w:rPr>
                <w:rFonts w:cs="Arial"/>
                <w:kern w:val="24"/>
                <w:szCs w:val="20"/>
              </w:rPr>
              <w:t>1, 2, 3 doses of 2vHPV vs. unvaccinated</w:t>
            </w:r>
          </w:p>
        </w:tc>
        <w:tc>
          <w:tcPr>
            <w:tcW w:w="1134" w:type="dxa"/>
            <w:tcBorders>
              <w:top w:val="single" w:sz="4" w:space="0" w:color="auto"/>
              <w:left w:val="single" w:sz="4" w:space="0" w:color="auto"/>
              <w:bottom w:val="single" w:sz="4" w:space="0" w:color="auto"/>
              <w:right w:val="single" w:sz="4" w:space="0" w:color="auto"/>
            </w:tcBorders>
            <w:hideMark/>
          </w:tcPr>
          <w:p w14:paraId="6C88631A" w14:textId="77777777" w:rsidR="00DD1913" w:rsidRPr="00C71CC9" w:rsidRDefault="00DD1913" w:rsidP="003522FD">
            <w:pPr>
              <w:pStyle w:val="Tabletext0"/>
              <w:rPr>
                <w:rFonts w:cs="Arial"/>
                <w:szCs w:val="20"/>
              </w:rPr>
            </w:pPr>
            <w:r w:rsidRPr="00C71CC9">
              <w:rPr>
                <w:rFonts w:cs="Arial"/>
                <w:szCs w:val="20"/>
              </w:rPr>
              <w:t>11 years</w:t>
            </w:r>
          </w:p>
        </w:tc>
        <w:tc>
          <w:tcPr>
            <w:tcW w:w="2976" w:type="dxa"/>
            <w:tcBorders>
              <w:top w:val="single" w:sz="4" w:space="0" w:color="auto"/>
              <w:left w:val="single" w:sz="4" w:space="0" w:color="auto"/>
              <w:bottom w:val="single" w:sz="4" w:space="0" w:color="auto"/>
              <w:right w:val="single" w:sz="4" w:space="0" w:color="auto"/>
            </w:tcBorders>
            <w:hideMark/>
          </w:tcPr>
          <w:p w14:paraId="474EC8CB" w14:textId="77777777" w:rsidR="00DD1913" w:rsidRPr="00C71CC9" w:rsidRDefault="00DD1913" w:rsidP="003522FD">
            <w:pPr>
              <w:pStyle w:val="Tabletext0"/>
              <w:rPr>
                <w:rFonts w:cs="Arial"/>
                <w:szCs w:val="20"/>
              </w:rPr>
            </w:pPr>
            <w:r w:rsidRPr="00C71CC9">
              <w:rPr>
                <w:rFonts w:cs="Arial"/>
                <w:kern w:val="24"/>
                <w:szCs w:val="20"/>
              </w:rPr>
              <w:t>Females 18–25 years</w:t>
            </w:r>
          </w:p>
          <w:p w14:paraId="3479E066" w14:textId="77777777" w:rsidR="00DD1913" w:rsidRPr="00C71CC9" w:rsidRDefault="00DD1913" w:rsidP="003522FD">
            <w:pPr>
              <w:pStyle w:val="Tabletext0"/>
              <w:rPr>
                <w:rFonts w:cs="Arial"/>
                <w:szCs w:val="20"/>
              </w:rPr>
            </w:pPr>
            <w:r w:rsidRPr="00C71CC9">
              <w:rPr>
                <w:rFonts w:cs="Arial"/>
                <w:kern w:val="24"/>
                <w:szCs w:val="20"/>
              </w:rPr>
              <w:t>1 dose n=112</w:t>
            </w:r>
          </w:p>
          <w:p w14:paraId="42A27BED" w14:textId="77777777" w:rsidR="00DD1913" w:rsidRPr="00C71CC9" w:rsidRDefault="00DD1913" w:rsidP="003522FD">
            <w:pPr>
              <w:pStyle w:val="Tabletext0"/>
              <w:rPr>
                <w:rFonts w:cs="Arial"/>
                <w:szCs w:val="20"/>
              </w:rPr>
            </w:pPr>
            <w:r w:rsidRPr="00C71CC9">
              <w:rPr>
                <w:rFonts w:cs="Arial"/>
                <w:kern w:val="24"/>
                <w:szCs w:val="20"/>
              </w:rPr>
              <w:t>2 dose n=62</w:t>
            </w:r>
          </w:p>
          <w:p w14:paraId="6E7908E3" w14:textId="77777777" w:rsidR="00DD1913" w:rsidRPr="00C71CC9" w:rsidRDefault="00DD1913" w:rsidP="003522FD">
            <w:pPr>
              <w:pStyle w:val="Tabletext0"/>
              <w:rPr>
                <w:rFonts w:cs="Arial"/>
                <w:kern w:val="24"/>
                <w:szCs w:val="20"/>
              </w:rPr>
            </w:pPr>
            <w:r w:rsidRPr="00C71CC9">
              <w:rPr>
                <w:rFonts w:cs="Arial"/>
                <w:kern w:val="24"/>
                <w:szCs w:val="20"/>
              </w:rPr>
              <w:t xml:space="preserve">3 dose n=1365 </w:t>
            </w:r>
          </w:p>
          <w:p w14:paraId="3456EBD8" w14:textId="77777777" w:rsidR="00DD1913" w:rsidRPr="00C71CC9" w:rsidRDefault="00DD1913" w:rsidP="003522FD">
            <w:pPr>
              <w:pStyle w:val="Tabletext0"/>
              <w:rPr>
                <w:rFonts w:cs="Arial"/>
                <w:szCs w:val="20"/>
              </w:rPr>
            </w:pPr>
            <w:r w:rsidRPr="00C71CC9">
              <w:rPr>
                <w:rFonts w:cs="Arial"/>
                <w:kern w:val="24"/>
                <w:szCs w:val="20"/>
              </w:rPr>
              <w:t>Unvaccinated n=1783</w:t>
            </w:r>
          </w:p>
        </w:tc>
        <w:tc>
          <w:tcPr>
            <w:tcW w:w="5448" w:type="dxa"/>
            <w:tcBorders>
              <w:top w:val="single" w:sz="4" w:space="0" w:color="auto"/>
              <w:left w:val="single" w:sz="4" w:space="0" w:color="auto"/>
              <w:bottom w:val="single" w:sz="4" w:space="0" w:color="auto"/>
              <w:right w:val="single" w:sz="4" w:space="0" w:color="auto"/>
            </w:tcBorders>
            <w:hideMark/>
          </w:tcPr>
          <w:p w14:paraId="05A28F38" w14:textId="77777777" w:rsidR="00DD1913" w:rsidRPr="00C71CC9" w:rsidRDefault="00DD1913" w:rsidP="003522FD">
            <w:pPr>
              <w:pStyle w:val="Tabletext0"/>
              <w:rPr>
                <w:rFonts w:cs="Arial"/>
                <w:szCs w:val="20"/>
              </w:rPr>
            </w:pPr>
            <w:r w:rsidRPr="00C71CC9">
              <w:rPr>
                <w:rFonts w:cs="Arial"/>
                <w:kern w:val="24"/>
                <w:szCs w:val="20"/>
              </w:rPr>
              <w:t>VE against HPV16/18 9 or 11 years post vaccination (prevalent infections)</w:t>
            </w:r>
          </w:p>
          <w:p w14:paraId="485D1157" w14:textId="77777777" w:rsidR="00DD1913" w:rsidRPr="00C71CC9" w:rsidRDefault="00DD1913" w:rsidP="003522FD">
            <w:pPr>
              <w:pStyle w:val="Tabletext0"/>
              <w:rPr>
                <w:rFonts w:cs="Arial"/>
                <w:szCs w:val="20"/>
              </w:rPr>
            </w:pPr>
            <w:r w:rsidRPr="00C71CC9">
              <w:rPr>
                <w:rFonts w:cs="Arial"/>
                <w:kern w:val="24"/>
                <w:szCs w:val="20"/>
              </w:rPr>
              <w:t>1 dose: 82% (95%CI: 40.2–97.0)</w:t>
            </w:r>
          </w:p>
          <w:p w14:paraId="356F00B6" w14:textId="77777777" w:rsidR="00DD1913" w:rsidRPr="00C71CC9" w:rsidRDefault="00DD1913" w:rsidP="003522FD">
            <w:pPr>
              <w:pStyle w:val="Tabletext0"/>
              <w:rPr>
                <w:rFonts w:cs="Arial"/>
                <w:szCs w:val="20"/>
              </w:rPr>
            </w:pPr>
            <w:r w:rsidRPr="00C71CC9">
              <w:rPr>
                <w:rFonts w:cs="Arial"/>
                <w:kern w:val="24"/>
                <w:szCs w:val="20"/>
              </w:rPr>
              <w:t>2 dose: 83.8% (95%CI: 19.5–99.2)</w:t>
            </w:r>
          </w:p>
          <w:p w14:paraId="7E7B123E" w14:textId="77777777" w:rsidR="00DD1913" w:rsidRPr="00C71CC9" w:rsidRDefault="00DD1913" w:rsidP="003522FD">
            <w:pPr>
              <w:pStyle w:val="Tabletext0"/>
              <w:rPr>
                <w:rFonts w:cs="Arial"/>
                <w:szCs w:val="20"/>
              </w:rPr>
            </w:pPr>
            <w:r w:rsidRPr="00C71CC9">
              <w:rPr>
                <w:rFonts w:cs="Arial"/>
                <w:kern w:val="24"/>
                <w:szCs w:val="20"/>
              </w:rPr>
              <w:t>3 dose: 80.2% (95%CI: 70.7–87.0)</w:t>
            </w:r>
          </w:p>
          <w:p w14:paraId="5277C357" w14:textId="77777777" w:rsidR="00DD1913" w:rsidRPr="00C71CC9" w:rsidRDefault="00DD1913" w:rsidP="003522FD">
            <w:pPr>
              <w:pStyle w:val="Tabletext0"/>
              <w:rPr>
                <w:rFonts w:cs="Arial"/>
                <w:szCs w:val="20"/>
              </w:rPr>
            </w:pPr>
            <w:r w:rsidRPr="00C71CC9">
              <w:rPr>
                <w:rFonts w:cs="Arial"/>
                <w:kern w:val="24"/>
                <w:szCs w:val="20"/>
              </w:rPr>
              <w:t>VE against HPV16/18 11 years post vaccination (incident infections)</w:t>
            </w:r>
          </w:p>
          <w:p w14:paraId="578DD352" w14:textId="77777777" w:rsidR="00DD1913" w:rsidRPr="00C71CC9" w:rsidRDefault="00DD1913" w:rsidP="003522FD">
            <w:pPr>
              <w:pStyle w:val="Tabletext0"/>
              <w:rPr>
                <w:rFonts w:cs="Arial"/>
                <w:szCs w:val="20"/>
              </w:rPr>
            </w:pPr>
            <w:r w:rsidRPr="00C71CC9">
              <w:rPr>
                <w:rFonts w:cs="Arial"/>
                <w:kern w:val="24"/>
                <w:szCs w:val="20"/>
              </w:rPr>
              <w:t>1 dose: 53.9% (95%CI: -57.1 to 92.4)</w:t>
            </w:r>
          </w:p>
          <w:p w14:paraId="76F0CE26" w14:textId="77777777" w:rsidR="00DD1913" w:rsidRPr="00C71CC9" w:rsidRDefault="00DD1913" w:rsidP="003522FD">
            <w:pPr>
              <w:pStyle w:val="Tabletext0"/>
              <w:rPr>
                <w:rFonts w:cs="Arial"/>
                <w:szCs w:val="20"/>
              </w:rPr>
            </w:pPr>
            <w:r w:rsidRPr="00C71CC9">
              <w:rPr>
                <w:rFonts w:cs="Arial"/>
                <w:kern w:val="24"/>
                <w:szCs w:val="20"/>
              </w:rPr>
              <w:t>2 dose: 58.4% (95%CI: -110.9 to 97.9)</w:t>
            </w:r>
          </w:p>
          <w:p w14:paraId="0F216E16" w14:textId="77777777" w:rsidR="00DD1913" w:rsidRPr="00C71CC9" w:rsidRDefault="00DD1913" w:rsidP="003522FD">
            <w:pPr>
              <w:pStyle w:val="Tabletext0"/>
              <w:rPr>
                <w:rFonts w:cs="Arial"/>
                <w:szCs w:val="20"/>
              </w:rPr>
            </w:pPr>
            <w:r w:rsidRPr="00C71CC9">
              <w:rPr>
                <w:rFonts w:cs="Arial"/>
                <w:kern w:val="24"/>
                <w:szCs w:val="20"/>
              </w:rPr>
              <w:t>3 dose: 84.9% (95%CI: 69.8–93.2)</w:t>
            </w:r>
          </w:p>
        </w:tc>
      </w:tr>
      <w:tr w:rsidR="00DD1913" w:rsidRPr="008D609D" w14:paraId="6CDE3D84" w14:textId="77777777" w:rsidTr="003522FD">
        <w:tc>
          <w:tcPr>
            <w:tcW w:w="1474" w:type="dxa"/>
            <w:tcBorders>
              <w:top w:val="single" w:sz="4" w:space="0" w:color="auto"/>
              <w:left w:val="single" w:sz="4" w:space="0" w:color="auto"/>
              <w:bottom w:val="single" w:sz="4" w:space="0" w:color="auto"/>
              <w:right w:val="single" w:sz="4" w:space="0" w:color="auto"/>
            </w:tcBorders>
            <w:hideMark/>
          </w:tcPr>
          <w:p w14:paraId="70E79225" w14:textId="16AEB931" w:rsidR="00DD1913" w:rsidRPr="00C71CC9" w:rsidRDefault="00DD1913" w:rsidP="003522FD">
            <w:pPr>
              <w:pStyle w:val="Tabletext0"/>
              <w:rPr>
                <w:rFonts w:cs="Arial"/>
                <w:szCs w:val="20"/>
              </w:rPr>
            </w:pPr>
            <w:r w:rsidRPr="00C71CC9">
              <w:rPr>
                <w:rFonts w:cs="Arial"/>
                <w:noProof/>
                <w:szCs w:val="20"/>
              </w:rPr>
              <w:t xml:space="preserve">Kreimer AR, Struyf F, Del Rosario-Raymundo MR, et al. Efficacy of fewer than three doses of an HPV-16/18 AS04-adjuvanted vaccine: combined analysis of data from the Costa Rica Vaccine and PATRICIA Trials. </w:t>
            </w:r>
            <w:r w:rsidRPr="00C71CC9">
              <w:rPr>
                <w:rFonts w:cs="Arial"/>
                <w:i/>
                <w:iCs/>
                <w:noProof/>
                <w:szCs w:val="20"/>
              </w:rPr>
              <w:t>Lancet Oncol</w:t>
            </w:r>
            <w:r w:rsidRPr="00C71CC9">
              <w:rPr>
                <w:rFonts w:cs="Arial"/>
                <w:noProof/>
                <w:szCs w:val="20"/>
              </w:rPr>
              <w:t xml:space="preserve"> 2015;16:775-86</w:t>
            </w:r>
          </w:p>
        </w:tc>
        <w:tc>
          <w:tcPr>
            <w:tcW w:w="1219" w:type="dxa"/>
            <w:tcBorders>
              <w:top w:val="single" w:sz="4" w:space="0" w:color="auto"/>
              <w:left w:val="single" w:sz="4" w:space="0" w:color="auto"/>
              <w:bottom w:val="single" w:sz="4" w:space="0" w:color="auto"/>
              <w:right w:val="single" w:sz="4" w:space="0" w:color="auto"/>
            </w:tcBorders>
            <w:hideMark/>
          </w:tcPr>
          <w:p w14:paraId="7EDE775F" w14:textId="77777777" w:rsidR="00DD1913" w:rsidRPr="00C71CC9" w:rsidRDefault="00DD1913" w:rsidP="003522FD">
            <w:pPr>
              <w:pStyle w:val="Tabletext0"/>
              <w:rPr>
                <w:rFonts w:cs="Arial"/>
                <w:szCs w:val="20"/>
              </w:rPr>
            </w:pPr>
            <w:r w:rsidRPr="00C71CC9">
              <w:rPr>
                <w:rFonts w:cs="Arial"/>
                <w:kern w:val="24"/>
                <w:szCs w:val="20"/>
              </w:rPr>
              <w:t>Pooled results with CVT trial</w:t>
            </w:r>
          </w:p>
        </w:tc>
        <w:tc>
          <w:tcPr>
            <w:tcW w:w="1697" w:type="dxa"/>
            <w:tcBorders>
              <w:top w:val="single" w:sz="4" w:space="0" w:color="auto"/>
              <w:left w:val="single" w:sz="4" w:space="0" w:color="auto"/>
              <w:bottom w:val="single" w:sz="4" w:space="0" w:color="auto"/>
              <w:right w:val="single" w:sz="4" w:space="0" w:color="auto"/>
            </w:tcBorders>
            <w:hideMark/>
          </w:tcPr>
          <w:p w14:paraId="379660F0" w14:textId="77777777" w:rsidR="00DD1913" w:rsidRPr="00C71CC9" w:rsidRDefault="00DD1913" w:rsidP="003522FD">
            <w:pPr>
              <w:pStyle w:val="Tabletext0"/>
              <w:rPr>
                <w:rFonts w:cs="Arial"/>
                <w:szCs w:val="20"/>
              </w:rPr>
            </w:pPr>
            <w:r w:rsidRPr="00C71CC9">
              <w:rPr>
                <w:rFonts w:cs="Arial"/>
                <w:kern w:val="24"/>
                <w:szCs w:val="20"/>
              </w:rPr>
              <w:t>1, 2, 3 doses of 2vHPV vs. Hep A control</w:t>
            </w:r>
          </w:p>
        </w:tc>
        <w:tc>
          <w:tcPr>
            <w:tcW w:w="1134" w:type="dxa"/>
            <w:tcBorders>
              <w:top w:val="single" w:sz="4" w:space="0" w:color="auto"/>
              <w:left w:val="single" w:sz="4" w:space="0" w:color="auto"/>
              <w:bottom w:val="single" w:sz="4" w:space="0" w:color="auto"/>
              <w:right w:val="single" w:sz="4" w:space="0" w:color="auto"/>
            </w:tcBorders>
            <w:hideMark/>
          </w:tcPr>
          <w:p w14:paraId="1F11A08B" w14:textId="77777777" w:rsidR="00DD1913" w:rsidRPr="00C71CC9" w:rsidRDefault="00DD1913" w:rsidP="003522FD">
            <w:pPr>
              <w:pStyle w:val="Tabletext0"/>
              <w:rPr>
                <w:rFonts w:cs="Arial"/>
                <w:szCs w:val="20"/>
              </w:rPr>
            </w:pPr>
            <w:r w:rsidRPr="00C71CC9">
              <w:rPr>
                <w:rFonts w:cs="Arial"/>
                <w:szCs w:val="20"/>
              </w:rPr>
              <w:t>12 months</w:t>
            </w:r>
          </w:p>
        </w:tc>
        <w:tc>
          <w:tcPr>
            <w:tcW w:w="2976" w:type="dxa"/>
            <w:tcBorders>
              <w:top w:val="single" w:sz="4" w:space="0" w:color="auto"/>
              <w:left w:val="single" w:sz="4" w:space="0" w:color="auto"/>
              <w:bottom w:val="single" w:sz="4" w:space="0" w:color="auto"/>
              <w:right w:val="single" w:sz="4" w:space="0" w:color="auto"/>
            </w:tcBorders>
            <w:hideMark/>
          </w:tcPr>
          <w:p w14:paraId="0248C7AC" w14:textId="77777777" w:rsidR="00DD1913" w:rsidRPr="00C71CC9" w:rsidRDefault="00DD1913" w:rsidP="003522FD">
            <w:pPr>
              <w:pStyle w:val="Tabletext0"/>
              <w:rPr>
                <w:rFonts w:cs="Arial"/>
                <w:szCs w:val="20"/>
              </w:rPr>
            </w:pPr>
            <w:r w:rsidRPr="00C71CC9">
              <w:rPr>
                <w:rFonts w:cs="Arial"/>
                <w:kern w:val="24"/>
                <w:szCs w:val="20"/>
              </w:rPr>
              <w:t>Females 15–25 years</w:t>
            </w:r>
          </w:p>
          <w:p w14:paraId="3D20B66D" w14:textId="77777777" w:rsidR="00DD1913" w:rsidRPr="00C71CC9" w:rsidRDefault="00DD1913" w:rsidP="003522FD">
            <w:pPr>
              <w:pStyle w:val="Tabletext0"/>
              <w:rPr>
                <w:rFonts w:cs="Arial"/>
                <w:szCs w:val="20"/>
              </w:rPr>
            </w:pPr>
            <w:r w:rsidRPr="00C71CC9">
              <w:rPr>
                <w:rFonts w:cs="Arial"/>
                <w:kern w:val="24"/>
                <w:szCs w:val="20"/>
              </w:rPr>
              <w:t>1 dose n=292</w:t>
            </w:r>
          </w:p>
          <w:p w14:paraId="2B033C22" w14:textId="77777777" w:rsidR="00DD1913" w:rsidRPr="00C71CC9" w:rsidRDefault="00DD1913" w:rsidP="003522FD">
            <w:pPr>
              <w:pStyle w:val="Tabletext0"/>
              <w:rPr>
                <w:rFonts w:cs="Arial"/>
                <w:szCs w:val="20"/>
              </w:rPr>
            </w:pPr>
            <w:r w:rsidRPr="00C71CC9">
              <w:rPr>
                <w:rFonts w:cs="Arial"/>
                <w:kern w:val="24"/>
                <w:szCs w:val="20"/>
              </w:rPr>
              <w:t>2 dose n=611</w:t>
            </w:r>
          </w:p>
          <w:p w14:paraId="3626A83D" w14:textId="77777777" w:rsidR="00DD1913" w:rsidRPr="00C71CC9" w:rsidRDefault="00DD1913" w:rsidP="003522FD">
            <w:pPr>
              <w:pStyle w:val="Tabletext0"/>
              <w:rPr>
                <w:rFonts w:cs="Arial"/>
                <w:szCs w:val="20"/>
              </w:rPr>
            </w:pPr>
            <w:r w:rsidRPr="00C71CC9">
              <w:rPr>
                <w:rFonts w:cs="Arial"/>
                <w:kern w:val="24"/>
                <w:szCs w:val="20"/>
              </w:rPr>
              <w:t>3 dose n=11,104</w:t>
            </w:r>
          </w:p>
          <w:p w14:paraId="0410F55E" w14:textId="77777777" w:rsidR="00DD1913" w:rsidRPr="00C71CC9" w:rsidRDefault="00DD1913" w:rsidP="003522FD">
            <w:pPr>
              <w:pStyle w:val="Tabletext0"/>
              <w:rPr>
                <w:rFonts w:cs="Arial"/>
                <w:szCs w:val="20"/>
              </w:rPr>
            </w:pPr>
            <w:r w:rsidRPr="00C71CC9">
              <w:rPr>
                <w:rFonts w:cs="Arial"/>
                <w:kern w:val="24"/>
                <w:szCs w:val="20"/>
              </w:rPr>
              <w:t>Unvaccinated n=11,203</w:t>
            </w:r>
          </w:p>
        </w:tc>
        <w:tc>
          <w:tcPr>
            <w:tcW w:w="5448" w:type="dxa"/>
            <w:tcBorders>
              <w:top w:val="single" w:sz="4" w:space="0" w:color="auto"/>
              <w:left w:val="single" w:sz="4" w:space="0" w:color="auto"/>
              <w:bottom w:val="single" w:sz="4" w:space="0" w:color="auto"/>
              <w:right w:val="single" w:sz="4" w:space="0" w:color="auto"/>
            </w:tcBorders>
            <w:hideMark/>
          </w:tcPr>
          <w:p w14:paraId="19A1DC63" w14:textId="77777777" w:rsidR="00DD1913" w:rsidRPr="00C71CC9" w:rsidRDefault="00DD1913" w:rsidP="003522FD">
            <w:pPr>
              <w:pStyle w:val="Tabletext0"/>
              <w:rPr>
                <w:rFonts w:cs="Arial"/>
                <w:szCs w:val="20"/>
              </w:rPr>
            </w:pPr>
            <w:r w:rsidRPr="00C71CC9">
              <w:rPr>
                <w:rFonts w:cs="Arial"/>
                <w:kern w:val="24"/>
                <w:szCs w:val="20"/>
              </w:rPr>
              <w:t>VE against incident HPV16/18 infection at 12 months:</w:t>
            </w:r>
          </w:p>
          <w:p w14:paraId="71906F25" w14:textId="77777777" w:rsidR="00DD1913" w:rsidRPr="00C71CC9" w:rsidRDefault="00DD1913" w:rsidP="003522FD">
            <w:pPr>
              <w:pStyle w:val="Tabletext0"/>
              <w:rPr>
                <w:rFonts w:cs="Arial"/>
                <w:szCs w:val="20"/>
              </w:rPr>
            </w:pPr>
            <w:r w:rsidRPr="00C71CC9">
              <w:rPr>
                <w:rFonts w:cs="Arial"/>
                <w:kern w:val="24"/>
                <w:szCs w:val="20"/>
              </w:rPr>
              <w:t>1 dose: 95% (95%CI: 73–100)</w:t>
            </w:r>
          </w:p>
          <w:p w14:paraId="4D04CC96" w14:textId="77777777" w:rsidR="00DD1913" w:rsidRPr="00C71CC9" w:rsidRDefault="00DD1913" w:rsidP="003522FD">
            <w:pPr>
              <w:pStyle w:val="Tabletext0"/>
              <w:rPr>
                <w:rFonts w:cs="Arial"/>
                <w:szCs w:val="20"/>
              </w:rPr>
            </w:pPr>
            <w:r w:rsidRPr="00C71CC9">
              <w:rPr>
                <w:rFonts w:cs="Arial"/>
                <w:kern w:val="24"/>
                <w:szCs w:val="20"/>
              </w:rPr>
              <w:t>2 dose: 90% (95%CI: 69–98)</w:t>
            </w:r>
          </w:p>
          <w:p w14:paraId="4C2970EE" w14:textId="77777777" w:rsidR="00DD1913" w:rsidRPr="00C71CC9" w:rsidRDefault="00DD1913" w:rsidP="003522FD">
            <w:pPr>
              <w:pStyle w:val="Tabletext0"/>
              <w:rPr>
                <w:rFonts w:cs="Arial"/>
                <w:szCs w:val="20"/>
              </w:rPr>
            </w:pPr>
            <w:r w:rsidRPr="00C71CC9">
              <w:rPr>
                <w:rFonts w:cs="Arial"/>
                <w:kern w:val="24"/>
                <w:szCs w:val="20"/>
              </w:rPr>
              <w:t>3 dose: 87% (95%CI: 84–90)</w:t>
            </w:r>
          </w:p>
        </w:tc>
      </w:tr>
      <w:tr w:rsidR="00DD1913" w:rsidRPr="008D609D" w14:paraId="2EC252EA" w14:textId="77777777" w:rsidTr="003522FD">
        <w:tc>
          <w:tcPr>
            <w:tcW w:w="1474" w:type="dxa"/>
            <w:tcBorders>
              <w:top w:val="single" w:sz="4" w:space="0" w:color="auto"/>
              <w:left w:val="single" w:sz="4" w:space="0" w:color="auto"/>
              <w:bottom w:val="single" w:sz="4" w:space="0" w:color="auto"/>
              <w:right w:val="nil"/>
            </w:tcBorders>
            <w:shd w:val="clear" w:color="auto" w:fill="F2F2F2" w:themeFill="background1" w:themeFillShade="F2"/>
            <w:hideMark/>
          </w:tcPr>
          <w:p w14:paraId="24EACFBD" w14:textId="77777777" w:rsidR="00DD1913" w:rsidRPr="0061208A" w:rsidRDefault="00DD1913" w:rsidP="003522FD">
            <w:pPr>
              <w:pStyle w:val="Tabletext0"/>
              <w:rPr>
                <w:rFonts w:cs="Arial"/>
                <w:b/>
                <w:bCs/>
              </w:rPr>
            </w:pPr>
            <w:r w:rsidRPr="0061208A">
              <w:rPr>
                <w:rFonts w:cs="Arial"/>
                <w:b/>
                <w:bCs/>
              </w:rPr>
              <w:t>Immunogenicity</w:t>
            </w:r>
          </w:p>
        </w:tc>
        <w:tc>
          <w:tcPr>
            <w:tcW w:w="1219" w:type="dxa"/>
            <w:tcBorders>
              <w:top w:val="single" w:sz="4" w:space="0" w:color="auto"/>
              <w:left w:val="nil"/>
              <w:bottom w:val="single" w:sz="4" w:space="0" w:color="auto"/>
              <w:right w:val="nil"/>
            </w:tcBorders>
            <w:shd w:val="clear" w:color="auto" w:fill="F2F2F2" w:themeFill="background1" w:themeFillShade="F2"/>
          </w:tcPr>
          <w:p w14:paraId="5F3056F5" w14:textId="77777777" w:rsidR="00DD1913" w:rsidRPr="0061208A" w:rsidRDefault="00DD1913" w:rsidP="003522FD">
            <w:pPr>
              <w:pStyle w:val="Tabletext0"/>
              <w:rPr>
                <w:rFonts w:cs="Arial"/>
                <w:b/>
                <w:bCs/>
              </w:rPr>
            </w:pPr>
          </w:p>
        </w:tc>
        <w:tc>
          <w:tcPr>
            <w:tcW w:w="1697" w:type="dxa"/>
            <w:tcBorders>
              <w:top w:val="single" w:sz="4" w:space="0" w:color="auto"/>
              <w:left w:val="nil"/>
              <w:bottom w:val="single" w:sz="4" w:space="0" w:color="auto"/>
              <w:right w:val="nil"/>
            </w:tcBorders>
            <w:shd w:val="clear" w:color="auto" w:fill="F2F2F2" w:themeFill="background1" w:themeFillShade="F2"/>
          </w:tcPr>
          <w:p w14:paraId="5C84D1EA" w14:textId="77777777" w:rsidR="00DD1913" w:rsidRPr="0061208A" w:rsidRDefault="00DD1913" w:rsidP="003522FD">
            <w:pPr>
              <w:pStyle w:val="Tabletext0"/>
              <w:rPr>
                <w:rFonts w:cs="Arial"/>
                <w:b/>
                <w:bCs/>
              </w:rPr>
            </w:pPr>
          </w:p>
        </w:tc>
        <w:tc>
          <w:tcPr>
            <w:tcW w:w="1134" w:type="dxa"/>
            <w:tcBorders>
              <w:top w:val="single" w:sz="4" w:space="0" w:color="auto"/>
              <w:left w:val="nil"/>
              <w:bottom w:val="single" w:sz="4" w:space="0" w:color="auto"/>
              <w:right w:val="nil"/>
            </w:tcBorders>
            <w:shd w:val="clear" w:color="auto" w:fill="F2F2F2" w:themeFill="background1" w:themeFillShade="F2"/>
          </w:tcPr>
          <w:p w14:paraId="6E75E0D6" w14:textId="77777777" w:rsidR="00DD1913" w:rsidRPr="0061208A" w:rsidRDefault="00DD1913" w:rsidP="003522FD">
            <w:pPr>
              <w:pStyle w:val="Tabletext0"/>
              <w:rPr>
                <w:rFonts w:cs="Arial"/>
                <w:b/>
                <w:bCs/>
              </w:rPr>
            </w:pPr>
          </w:p>
        </w:tc>
        <w:tc>
          <w:tcPr>
            <w:tcW w:w="2976" w:type="dxa"/>
            <w:tcBorders>
              <w:top w:val="single" w:sz="4" w:space="0" w:color="auto"/>
              <w:left w:val="nil"/>
              <w:bottom w:val="single" w:sz="4" w:space="0" w:color="auto"/>
              <w:right w:val="nil"/>
            </w:tcBorders>
            <w:shd w:val="clear" w:color="auto" w:fill="F2F2F2" w:themeFill="background1" w:themeFillShade="F2"/>
          </w:tcPr>
          <w:p w14:paraId="3B3F61FC" w14:textId="77777777" w:rsidR="00DD1913" w:rsidRPr="0061208A" w:rsidRDefault="00DD1913" w:rsidP="003522FD">
            <w:pPr>
              <w:pStyle w:val="Tabletext0"/>
              <w:rPr>
                <w:rFonts w:cs="Arial"/>
                <w:b/>
                <w:bCs/>
              </w:rPr>
            </w:pPr>
          </w:p>
        </w:tc>
        <w:tc>
          <w:tcPr>
            <w:tcW w:w="5448" w:type="dxa"/>
            <w:tcBorders>
              <w:top w:val="single" w:sz="4" w:space="0" w:color="auto"/>
              <w:left w:val="nil"/>
              <w:bottom w:val="single" w:sz="4" w:space="0" w:color="auto"/>
              <w:right w:val="single" w:sz="4" w:space="0" w:color="auto"/>
            </w:tcBorders>
            <w:shd w:val="clear" w:color="auto" w:fill="F2F2F2" w:themeFill="background1" w:themeFillShade="F2"/>
          </w:tcPr>
          <w:p w14:paraId="099EDE49" w14:textId="77777777" w:rsidR="00DD1913" w:rsidRPr="0061208A" w:rsidRDefault="00DD1913" w:rsidP="003522FD">
            <w:pPr>
              <w:pStyle w:val="Tabletext0"/>
              <w:rPr>
                <w:rFonts w:cs="Arial"/>
                <w:b/>
                <w:bCs/>
              </w:rPr>
            </w:pPr>
          </w:p>
        </w:tc>
      </w:tr>
      <w:tr w:rsidR="00DD1913" w:rsidRPr="008D609D" w14:paraId="46B32DAB" w14:textId="77777777" w:rsidTr="003522FD">
        <w:tc>
          <w:tcPr>
            <w:tcW w:w="1474" w:type="dxa"/>
            <w:tcBorders>
              <w:top w:val="single" w:sz="4" w:space="0" w:color="auto"/>
              <w:left w:val="single" w:sz="4" w:space="0" w:color="auto"/>
              <w:bottom w:val="single" w:sz="4" w:space="0" w:color="auto"/>
              <w:right w:val="single" w:sz="4" w:space="0" w:color="auto"/>
            </w:tcBorders>
            <w:hideMark/>
          </w:tcPr>
          <w:p w14:paraId="60F75ADD" w14:textId="0C65A88E" w:rsidR="00727013" w:rsidRPr="00473A87" w:rsidRDefault="00727013" w:rsidP="00727013">
            <w:pPr>
              <w:pStyle w:val="Tabletext0"/>
              <w:rPr>
                <w:rFonts w:cs="Arial"/>
                <w:b/>
                <w:bCs/>
                <w:noProof/>
              </w:rPr>
            </w:pPr>
            <w:r w:rsidRPr="00473A87">
              <w:rPr>
                <w:rFonts w:cs="Arial"/>
                <w:b/>
                <w:bCs/>
              </w:rPr>
              <w:t>DoRIS trial</w:t>
            </w:r>
          </w:p>
          <w:p w14:paraId="6FFE2213" w14:textId="4BC51028" w:rsidR="00DD1913" w:rsidRPr="0061208A" w:rsidRDefault="00DD1913" w:rsidP="00727013">
            <w:pPr>
              <w:pStyle w:val="Tabletext0"/>
              <w:rPr>
                <w:rFonts w:cs="Arial"/>
              </w:rPr>
            </w:pPr>
            <w:r w:rsidRPr="007C053B">
              <w:rPr>
                <w:rFonts w:cs="Arial"/>
                <w:noProof/>
              </w:rPr>
              <w:t xml:space="preserve">Watson-Jones D, Changalucha J, Whitworth H, et al. Immunogenicity and safety results comparing single dose human papillomavirus vaccine with two or three doses in Tanzanian girls - the DoRIS randomised trial. </w:t>
            </w:r>
            <w:r w:rsidRPr="007C053B">
              <w:rPr>
                <w:rFonts w:cs="Arial"/>
                <w:i/>
                <w:noProof/>
              </w:rPr>
              <w:t xml:space="preserve">Pre-print available at SSRN: </w:t>
            </w:r>
            <w:hyperlink r:id="rId13" w:history="1">
              <w:r w:rsidRPr="007C053B">
                <w:rPr>
                  <w:rStyle w:val="Hyperlink"/>
                  <w:rFonts w:cs="Arial"/>
                  <w:i/>
                  <w:noProof/>
                </w:rPr>
                <w:t>https://ssrncom/abstract=4055429</w:t>
              </w:r>
            </w:hyperlink>
            <w:r w:rsidRPr="007C053B">
              <w:rPr>
                <w:rFonts w:cs="Arial"/>
                <w:i/>
                <w:noProof/>
              </w:rPr>
              <w:t xml:space="preserve"> </w:t>
            </w:r>
            <w:r w:rsidRPr="007C053B">
              <w:rPr>
                <w:rFonts w:cs="Arial"/>
                <w:noProof/>
              </w:rPr>
              <w:t>2022</w:t>
            </w:r>
          </w:p>
        </w:tc>
        <w:tc>
          <w:tcPr>
            <w:tcW w:w="1219" w:type="dxa"/>
            <w:tcBorders>
              <w:top w:val="single" w:sz="4" w:space="0" w:color="auto"/>
              <w:left w:val="single" w:sz="4" w:space="0" w:color="auto"/>
              <w:bottom w:val="single" w:sz="4" w:space="0" w:color="auto"/>
              <w:right w:val="single" w:sz="4" w:space="0" w:color="auto"/>
            </w:tcBorders>
            <w:hideMark/>
          </w:tcPr>
          <w:p w14:paraId="036E2DB7" w14:textId="77777777" w:rsidR="00DD1913" w:rsidRPr="0061208A" w:rsidRDefault="00DD1913" w:rsidP="003522FD">
            <w:pPr>
              <w:pStyle w:val="Tabletext0"/>
              <w:rPr>
                <w:rFonts w:cs="Arial"/>
              </w:rPr>
            </w:pPr>
            <w:r w:rsidRPr="0061208A">
              <w:rPr>
                <w:rFonts w:cs="Arial"/>
              </w:rPr>
              <w:t>RCT</w:t>
            </w:r>
          </w:p>
        </w:tc>
        <w:tc>
          <w:tcPr>
            <w:tcW w:w="1697" w:type="dxa"/>
            <w:tcBorders>
              <w:top w:val="single" w:sz="4" w:space="0" w:color="auto"/>
              <w:left w:val="single" w:sz="4" w:space="0" w:color="auto"/>
              <w:bottom w:val="single" w:sz="4" w:space="0" w:color="auto"/>
              <w:right w:val="single" w:sz="4" w:space="0" w:color="auto"/>
            </w:tcBorders>
            <w:hideMark/>
          </w:tcPr>
          <w:p w14:paraId="34DC6DDE" w14:textId="77777777" w:rsidR="00DD1913" w:rsidRPr="0061208A" w:rsidRDefault="00DD1913" w:rsidP="003522FD">
            <w:pPr>
              <w:pStyle w:val="Tabletext0"/>
              <w:rPr>
                <w:rFonts w:cs="Arial"/>
              </w:rPr>
            </w:pPr>
            <w:r w:rsidRPr="0061208A">
              <w:rPr>
                <w:rFonts w:cs="Arial"/>
              </w:rPr>
              <w:t>1, 2, 3 doses of 9vHPV and 2vHPV</w:t>
            </w:r>
          </w:p>
        </w:tc>
        <w:tc>
          <w:tcPr>
            <w:tcW w:w="1134" w:type="dxa"/>
            <w:tcBorders>
              <w:top w:val="single" w:sz="4" w:space="0" w:color="auto"/>
              <w:left w:val="single" w:sz="4" w:space="0" w:color="auto"/>
              <w:bottom w:val="single" w:sz="4" w:space="0" w:color="auto"/>
              <w:right w:val="single" w:sz="4" w:space="0" w:color="auto"/>
            </w:tcBorders>
            <w:hideMark/>
          </w:tcPr>
          <w:p w14:paraId="076FB3D2" w14:textId="77777777" w:rsidR="00DD1913" w:rsidRPr="0061208A" w:rsidRDefault="00DD1913" w:rsidP="003522FD">
            <w:pPr>
              <w:pStyle w:val="Tabletext0"/>
              <w:rPr>
                <w:rFonts w:cs="Arial"/>
              </w:rPr>
            </w:pPr>
            <w:r w:rsidRPr="0061208A">
              <w:rPr>
                <w:rFonts w:cs="Arial"/>
              </w:rPr>
              <w:t>24 months</w:t>
            </w:r>
          </w:p>
        </w:tc>
        <w:tc>
          <w:tcPr>
            <w:tcW w:w="2976" w:type="dxa"/>
            <w:tcBorders>
              <w:top w:val="single" w:sz="4" w:space="0" w:color="auto"/>
              <w:left w:val="single" w:sz="4" w:space="0" w:color="auto"/>
              <w:bottom w:val="single" w:sz="4" w:space="0" w:color="auto"/>
              <w:right w:val="single" w:sz="4" w:space="0" w:color="auto"/>
            </w:tcBorders>
            <w:hideMark/>
          </w:tcPr>
          <w:p w14:paraId="63522E6B" w14:textId="77777777" w:rsidR="00DD1913" w:rsidRPr="0061208A" w:rsidRDefault="00DD1913" w:rsidP="003522FD">
            <w:pPr>
              <w:pStyle w:val="Tabletext0"/>
              <w:rPr>
                <w:rFonts w:cs="Arial"/>
              </w:rPr>
            </w:pPr>
            <w:r w:rsidRPr="0061208A">
              <w:rPr>
                <w:rFonts w:cs="Arial"/>
              </w:rPr>
              <w:t>Females 9-14 years</w:t>
            </w:r>
          </w:p>
          <w:p w14:paraId="62CBA260" w14:textId="77777777" w:rsidR="00DD1913" w:rsidRPr="0061208A" w:rsidRDefault="00DD1913" w:rsidP="003522FD">
            <w:pPr>
              <w:pStyle w:val="Tabletext0"/>
              <w:rPr>
                <w:rFonts w:cs="Arial"/>
              </w:rPr>
            </w:pPr>
            <w:r w:rsidRPr="0061208A">
              <w:rPr>
                <w:rFonts w:cs="Arial"/>
              </w:rPr>
              <w:t>310 for 9vHPV, 2vHPV and unvaccinated each</w:t>
            </w:r>
          </w:p>
        </w:tc>
        <w:tc>
          <w:tcPr>
            <w:tcW w:w="5448" w:type="dxa"/>
            <w:tcBorders>
              <w:top w:val="single" w:sz="4" w:space="0" w:color="auto"/>
              <w:left w:val="single" w:sz="4" w:space="0" w:color="auto"/>
              <w:bottom w:val="single" w:sz="4" w:space="0" w:color="auto"/>
              <w:right w:val="single" w:sz="4" w:space="0" w:color="auto"/>
            </w:tcBorders>
            <w:hideMark/>
          </w:tcPr>
          <w:p w14:paraId="39211F1B" w14:textId="77777777" w:rsidR="00DD1913" w:rsidRPr="0061208A" w:rsidRDefault="00DD1913" w:rsidP="003522FD">
            <w:pPr>
              <w:pStyle w:val="Tabletext0"/>
              <w:rPr>
                <w:rFonts w:cs="Arial"/>
              </w:rPr>
            </w:pPr>
            <w:r w:rsidRPr="0061208A">
              <w:rPr>
                <w:rFonts w:cs="Arial"/>
              </w:rPr>
              <w:t xml:space="preserve">&gt;99% seropositive for HPV16 and &gt;98% seropositive for HPV18 at </w:t>
            </w:r>
            <w:r>
              <w:rPr>
                <w:rFonts w:cs="Arial"/>
              </w:rPr>
              <w:t>24 months</w:t>
            </w:r>
            <w:r w:rsidRPr="0061208A">
              <w:rPr>
                <w:rFonts w:cs="Arial"/>
              </w:rPr>
              <w:t xml:space="preserve"> for both vaccines. GMs lower for 1 dose group compared to 2 or 3 at all timepoints for both vaccines. No difference in antibody avidity index.</w:t>
            </w:r>
          </w:p>
        </w:tc>
      </w:tr>
      <w:tr w:rsidR="00DD1913" w:rsidRPr="008D609D" w14:paraId="0E36AA67" w14:textId="77777777" w:rsidTr="003522FD">
        <w:tc>
          <w:tcPr>
            <w:tcW w:w="1474" w:type="dxa"/>
            <w:tcBorders>
              <w:top w:val="single" w:sz="4" w:space="0" w:color="auto"/>
              <w:left w:val="single" w:sz="4" w:space="0" w:color="auto"/>
              <w:bottom w:val="single" w:sz="4" w:space="0" w:color="auto"/>
              <w:right w:val="single" w:sz="4" w:space="0" w:color="auto"/>
            </w:tcBorders>
            <w:hideMark/>
          </w:tcPr>
          <w:p w14:paraId="62EBD14F" w14:textId="3F18F5F9" w:rsidR="00DD1913" w:rsidRPr="0061208A" w:rsidRDefault="00FD377A" w:rsidP="003522FD">
            <w:pPr>
              <w:pStyle w:val="Tabletext0"/>
              <w:rPr>
                <w:rFonts w:cs="Arial"/>
              </w:rPr>
            </w:pPr>
            <w:r>
              <w:rPr>
                <w:rFonts w:cs="Arial"/>
                <w:noProof/>
              </w:rPr>
              <w:t xml:space="preserve">Glica V, Sauvageau C, Panicker G, et al. </w:t>
            </w:r>
            <w:r w:rsidRPr="00FD377A">
              <w:rPr>
                <w:rFonts w:cs="Arial"/>
                <w:noProof/>
              </w:rPr>
              <w:t>Long intervals between two doses of HPV</w:t>
            </w:r>
            <w:r>
              <w:rPr>
                <w:rFonts w:cs="Arial"/>
                <w:noProof/>
              </w:rPr>
              <w:t xml:space="preserve"> v</w:t>
            </w:r>
            <w:r w:rsidR="00DD1913" w:rsidRPr="007C053B">
              <w:rPr>
                <w:rFonts w:cs="Arial"/>
                <w:noProof/>
              </w:rPr>
              <w:t xml:space="preserve">accines and magnitude of the immune response: a post hoc analysis of two clinical trials. </w:t>
            </w:r>
            <w:r w:rsidR="00DD1913" w:rsidRPr="007C053B">
              <w:rPr>
                <w:rFonts w:cs="Arial"/>
                <w:i/>
                <w:noProof/>
              </w:rPr>
              <w:t>Hum Vaccin Immunother</w:t>
            </w:r>
            <w:r w:rsidR="00DD1913" w:rsidRPr="007C053B">
              <w:rPr>
                <w:rFonts w:cs="Arial"/>
                <w:noProof/>
              </w:rPr>
              <w:t xml:space="preserve"> 2019;15:1980-5</w:t>
            </w:r>
          </w:p>
        </w:tc>
        <w:tc>
          <w:tcPr>
            <w:tcW w:w="1219" w:type="dxa"/>
            <w:tcBorders>
              <w:top w:val="single" w:sz="4" w:space="0" w:color="auto"/>
              <w:left w:val="single" w:sz="4" w:space="0" w:color="auto"/>
              <w:bottom w:val="single" w:sz="4" w:space="0" w:color="auto"/>
              <w:right w:val="single" w:sz="4" w:space="0" w:color="auto"/>
            </w:tcBorders>
            <w:hideMark/>
          </w:tcPr>
          <w:p w14:paraId="0BC9BBE3" w14:textId="77777777" w:rsidR="00DD1913" w:rsidRPr="0061208A" w:rsidRDefault="00DD1913" w:rsidP="003522FD">
            <w:pPr>
              <w:pStyle w:val="Tabletext0"/>
              <w:rPr>
                <w:rFonts w:cs="Arial"/>
              </w:rPr>
            </w:pPr>
            <w:r w:rsidRPr="0061208A">
              <w:rPr>
                <w:rFonts w:cs="Arial"/>
              </w:rPr>
              <w:t>Post-hoc analysis of 2 cohort studies</w:t>
            </w:r>
          </w:p>
        </w:tc>
        <w:tc>
          <w:tcPr>
            <w:tcW w:w="1697" w:type="dxa"/>
            <w:tcBorders>
              <w:top w:val="single" w:sz="4" w:space="0" w:color="auto"/>
              <w:left w:val="single" w:sz="4" w:space="0" w:color="auto"/>
              <w:bottom w:val="single" w:sz="4" w:space="0" w:color="auto"/>
              <w:right w:val="single" w:sz="4" w:space="0" w:color="auto"/>
            </w:tcBorders>
            <w:hideMark/>
          </w:tcPr>
          <w:p w14:paraId="5539B46D" w14:textId="77777777" w:rsidR="00DD1913" w:rsidRPr="0061208A" w:rsidRDefault="00DD1913" w:rsidP="003522FD">
            <w:pPr>
              <w:pStyle w:val="Tabletext0"/>
              <w:rPr>
                <w:rFonts w:cs="Arial"/>
              </w:rPr>
            </w:pPr>
            <w:r w:rsidRPr="0061208A">
              <w:rPr>
                <w:rFonts w:cs="Arial"/>
              </w:rPr>
              <w:t>1 dose 9vHPV vs 4vHPV (with extended interval 2</w:t>
            </w:r>
            <w:r w:rsidRPr="0061208A">
              <w:rPr>
                <w:rFonts w:cs="Arial"/>
                <w:position w:val="7"/>
                <w:vertAlign w:val="superscript"/>
              </w:rPr>
              <w:t>nd</w:t>
            </w:r>
            <w:r w:rsidRPr="0061208A">
              <w:rPr>
                <w:rFonts w:cs="Arial"/>
              </w:rPr>
              <w:t xml:space="preserve"> dose)</w:t>
            </w:r>
          </w:p>
        </w:tc>
        <w:tc>
          <w:tcPr>
            <w:tcW w:w="1134" w:type="dxa"/>
            <w:tcBorders>
              <w:top w:val="single" w:sz="4" w:space="0" w:color="auto"/>
              <w:left w:val="single" w:sz="4" w:space="0" w:color="auto"/>
              <w:bottom w:val="single" w:sz="4" w:space="0" w:color="auto"/>
              <w:right w:val="single" w:sz="4" w:space="0" w:color="auto"/>
            </w:tcBorders>
            <w:hideMark/>
          </w:tcPr>
          <w:p w14:paraId="21CBA5F2" w14:textId="77777777" w:rsidR="00DD1913" w:rsidRPr="0061208A" w:rsidRDefault="00DD1913" w:rsidP="003522FD">
            <w:pPr>
              <w:pStyle w:val="Tabletext0"/>
              <w:rPr>
                <w:rFonts w:cs="Arial"/>
              </w:rPr>
            </w:pPr>
            <w:r w:rsidRPr="0061208A">
              <w:rPr>
                <w:rFonts w:cs="Arial"/>
              </w:rPr>
              <w:t>1-6 months (study A);</w:t>
            </w:r>
          </w:p>
          <w:p w14:paraId="1CAA016B" w14:textId="77777777" w:rsidR="00DD1913" w:rsidRPr="0061208A" w:rsidRDefault="00DD1913" w:rsidP="003522FD">
            <w:pPr>
              <w:pStyle w:val="Tabletext0"/>
              <w:rPr>
                <w:rFonts w:cs="Arial"/>
              </w:rPr>
            </w:pPr>
            <w:r w:rsidRPr="0061208A">
              <w:rPr>
                <w:rFonts w:cs="Arial"/>
              </w:rPr>
              <w:t>3-8 years (study B)</w:t>
            </w:r>
          </w:p>
        </w:tc>
        <w:tc>
          <w:tcPr>
            <w:tcW w:w="2976" w:type="dxa"/>
            <w:tcBorders>
              <w:top w:val="single" w:sz="4" w:space="0" w:color="auto"/>
              <w:left w:val="single" w:sz="4" w:space="0" w:color="auto"/>
              <w:bottom w:val="single" w:sz="4" w:space="0" w:color="auto"/>
              <w:right w:val="single" w:sz="4" w:space="0" w:color="auto"/>
            </w:tcBorders>
            <w:hideMark/>
          </w:tcPr>
          <w:p w14:paraId="41052ACE" w14:textId="77777777" w:rsidR="00DD1913" w:rsidRPr="0061208A" w:rsidRDefault="00DD1913" w:rsidP="003522FD">
            <w:pPr>
              <w:pStyle w:val="Tabletext0"/>
              <w:rPr>
                <w:rFonts w:cs="Arial"/>
              </w:rPr>
            </w:pPr>
            <w:r w:rsidRPr="0061208A">
              <w:rPr>
                <w:rFonts w:cs="Arial"/>
              </w:rPr>
              <w:t>Study A (9vHPV 1-6m interval): 85 boys, 88 girls aged 9–10 years</w:t>
            </w:r>
          </w:p>
          <w:p w14:paraId="7E47FEDE" w14:textId="77777777" w:rsidR="00DD1913" w:rsidRPr="0061208A" w:rsidRDefault="00DD1913" w:rsidP="003522FD">
            <w:pPr>
              <w:pStyle w:val="Tabletext0"/>
              <w:rPr>
                <w:rFonts w:cs="Arial"/>
              </w:rPr>
            </w:pPr>
            <w:r w:rsidRPr="0061208A">
              <w:rPr>
                <w:rFonts w:cs="Arial"/>
              </w:rPr>
              <w:t>Study B (4vHPV 3-8y interval): 31 girls aged 9–14 years</w:t>
            </w:r>
          </w:p>
        </w:tc>
        <w:tc>
          <w:tcPr>
            <w:tcW w:w="5448" w:type="dxa"/>
            <w:tcBorders>
              <w:top w:val="single" w:sz="4" w:space="0" w:color="auto"/>
              <w:left w:val="single" w:sz="4" w:space="0" w:color="auto"/>
              <w:bottom w:val="single" w:sz="4" w:space="0" w:color="auto"/>
              <w:right w:val="single" w:sz="4" w:space="0" w:color="auto"/>
            </w:tcBorders>
            <w:hideMark/>
          </w:tcPr>
          <w:p w14:paraId="2B098947" w14:textId="77777777" w:rsidR="00DD1913" w:rsidRPr="0061208A" w:rsidRDefault="00DD1913" w:rsidP="003522FD">
            <w:pPr>
              <w:pStyle w:val="Tabletext0"/>
              <w:rPr>
                <w:rFonts w:cs="Arial"/>
              </w:rPr>
            </w:pPr>
            <w:r w:rsidRPr="0061208A">
              <w:rPr>
                <w:rFonts w:cs="Arial"/>
              </w:rPr>
              <w:t xml:space="preserve">GMT post dose 1, 3-8y post 4vHPV vs 1-6m post 9vHPV </w:t>
            </w:r>
          </w:p>
          <w:p w14:paraId="27E441BC" w14:textId="77777777" w:rsidR="00DD1913" w:rsidRPr="0061208A" w:rsidRDefault="00DD1913" w:rsidP="003522FD">
            <w:pPr>
              <w:pStyle w:val="Tabletext0"/>
              <w:rPr>
                <w:rFonts w:cs="Arial"/>
              </w:rPr>
            </w:pPr>
            <w:r w:rsidRPr="0061208A">
              <w:rPr>
                <w:rFonts w:cs="Arial"/>
              </w:rPr>
              <w:t>HPV6: 6.1 (3.0, 10.6) vs 5.3 (4.6, 6.1)</w:t>
            </w:r>
          </w:p>
          <w:p w14:paraId="7ABA9412" w14:textId="77777777" w:rsidR="00DD1913" w:rsidRPr="0061208A" w:rsidRDefault="00DD1913" w:rsidP="003522FD">
            <w:pPr>
              <w:pStyle w:val="Tabletext0"/>
              <w:rPr>
                <w:rFonts w:cs="Arial"/>
              </w:rPr>
            </w:pPr>
            <w:r w:rsidRPr="0061208A">
              <w:rPr>
                <w:rFonts w:cs="Arial"/>
              </w:rPr>
              <w:t>HPV11: 7.7 (4.5, 13.1) vs 5.8 (5.1, 6.6)</w:t>
            </w:r>
          </w:p>
          <w:p w14:paraId="62CF8161" w14:textId="77777777" w:rsidR="00DD1913" w:rsidRPr="0061208A" w:rsidRDefault="00DD1913" w:rsidP="003522FD">
            <w:pPr>
              <w:pStyle w:val="Tabletext0"/>
              <w:rPr>
                <w:rFonts w:cs="Arial"/>
              </w:rPr>
            </w:pPr>
            <w:r w:rsidRPr="0061208A">
              <w:rPr>
                <w:rFonts w:cs="Arial"/>
              </w:rPr>
              <w:t>HPV16: 20.1 (12, 33.7) vs 29.7 (26.2, 33.7)</w:t>
            </w:r>
          </w:p>
          <w:p w14:paraId="4DA35668" w14:textId="77777777" w:rsidR="00DD1913" w:rsidRPr="0061208A" w:rsidRDefault="00DD1913" w:rsidP="003522FD">
            <w:pPr>
              <w:pStyle w:val="Tabletext0"/>
              <w:rPr>
                <w:rFonts w:cs="Arial"/>
              </w:rPr>
            </w:pPr>
            <w:r w:rsidRPr="0061208A">
              <w:rPr>
                <w:rFonts w:cs="Arial"/>
              </w:rPr>
              <w:t>HPV18: 6.3 (3.8, 10.2) vs 11 (9.5, 12.7)</w:t>
            </w:r>
          </w:p>
        </w:tc>
      </w:tr>
      <w:tr w:rsidR="00DD1913" w:rsidRPr="008D609D" w14:paraId="7128134A" w14:textId="77777777" w:rsidTr="003522FD">
        <w:tc>
          <w:tcPr>
            <w:tcW w:w="1474" w:type="dxa"/>
            <w:tcBorders>
              <w:top w:val="single" w:sz="4" w:space="0" w:color="auto"/>
              <w:left w:val="single" w:sz="4" w:space="0" w:color="auto"/>
              <w:bottom w:val="single" w:sz="4" w:space="0" w:color="auto"/>
              <w:right w:val="single" w:sz="4" w:space="0" w:color="auto"/>
            </w:tcBorders>
            <w:hideMark/>
          </w:tcPr>
          <w:p w14:paraId="45ECA1F1" w14:textId="220D864D" w:rsidR="00727013" w:rsidRPr="00473A87" w:rsidRDefault="00727013" w:rsidP="00727013">
            <w:pPr>
              <w:pStyle w:val="Tabletext0"/>
              <w:rPr>
                <w:rFonts w:cs="Arial"/>
                <w:b/>
                <w:bCs/>
                <w:noProof/>
              </w:rPr>
            </w:pPr>
            <w:r w:rsidRPr="00473A87">
              <w:rPr>
                <w:rFonts w:cs="Arial"/>
                <w:b/>
                <w:bCs/>
              </w:rPr>
              <w:t>IARC trial</w:t>
            </w:r>
          </w:p>
          <w:p w14:paraId="7BBE7869" w14:textId="65AE9AAC" w:rsidR="00DD1913" w:rsidRPr="0001003C" w:rsidRDefault="00DD1913" w:rsidP="00727013">
            <w:pPr>
              <w:pStyle w:val="Tabletext0"/>
              <w:rPr>
                <w:rFonts w:cs="Arial"/>
                <w:noProof/>
                <w:vertAlign w:val="superscript"/>
              </w:rPr>
            </w:pPr>
            <w:r w:rsidRPr="007C053B">
              <w:rPr>
                <w:rFonts w:cs="Arial"/>
                <w:noProof/>
              </w:rPr>
              <w:t>Sankaranarayanan R, Joshi S, Muwonge R, et al. Can a single dose of human papillomavirus (</w:t>
            </w:r>
            <w:r w:rsidRPr="0001003C">
              <w:rPr>
                <w:rFonts w:cs="Arial"/>
                <w:noProof/>
              </w:rPr>
              <w:t xml:space="preserve">HPV) vaccine prevent cervical cancer? Early findings from an Indian study. </w:t>
            </w:r>
            <w:r w:rsidRPr="0001003C">
              <w:rPr>
                <w:rFonts w:cs="Arial"/>
                <w:i/>
                <w:noProof/>
              </w:rPr>
              <w:t>Vaccine</w:t>
            </w:r>
            <w:r w:rsidRPr="0001003C">
              <w:rPr>
                <w:rFonts w:cs="Arial"/>
                <w:noProof/>
              </w:rPr>
              <w:t xml:space="preserve"> 2018;36:4783-91</w:t>
            </w:r>
            <w:r>
              <w:rPr>
                <w:rFonts w:cs="Arial"/>
              </w:rPr>
              <w:t xml:space="preserve"> </w:t>
            </w:r>
            <w:r w:rsidRPr="0061208A">
              <w:rPr>
                <w:rFonts w:cs="Arial"/>
              </w:rPr>
              <w:t>(India)</w:t>
            </w:r>
          </w:p>
        </w:tc>
        <w:tc>
          <w:tcPr>
            <w:tcW w:w="1219" w:type="dxa"/>
            <w:tcBorders>
              <w:top w:val="single" w:sz="4" w:space="0" w:color="auto"/>
              <w:left w:val="single" w:sz="4" w:space="0" w:color="auto"/>
              <w:bottom w:val="single" w:sz="4" w:space="0" w:color="auto"/>
              <w:right w:val="single" w:sz="4" w:space="0" w:color="auto"/>
            </w:tcBorders>
            <w:hideMark/>
          </w:tcPr>
          <w:p w14:paraId="551E5EFC" w14:textId="77777777" w:rsidR="00DD1913" w:rsidRPr="0061208A" w:rsidRDefault="00DD1913" w:rsidP="003522FD">
            <w:pPr>
              <w:pStyle w:val="Tabletext0"/>
              <w:rPr>
                <w:rFonts w:cs="Arial"/>
              </w:rPr>
            </w:pPr>
            <w:r w:rsidRPr="0061208A">
              <w:rPr>
                <w:rFonts w:cs="Arial"/>
              </w:rPr>
              <w:t>Prospective cohort</w:t>
            </w:r>
          </w:p>
        </w:tc>
        <w:tc>
          <w:tcPr>
            <w:tcW w:w="1697" w:type="dxa"/>
            <w:tcBorders>
              <w:top w:val="single" w:sz="4" w:space="0" w:color="auto"/>
              <w:left w:val="single" w:sz="4" w:space="0" w:color="auto"/>
              <w:bottom w:val="single" w:sz="4" w:space="0" w:color="auto"/>
              <w:right w:val="single" w:sz="4" w:space="0" w:color="auto"/>
            </w:tcBorders>
            <w:hideMark/>
          </w:tcPr>
          <w:p w14:paraId="092ED9B8" w14:textId="77777777" w:rsidR="00DD1913" w:rsidRPr="0061208A" w:rsidRDefault="00DD1913" w:rsidP="003522FD">
            <w:pPr>
              <w:pStyle w:val="Tabletext0"/>
              <w:rPr>
                <w:rFonts w:cs="Arial"/>
              </w:rPr>
            </w:pPr>
            <w:r w:rsidRPr="0061208A">
              <w:rPr>
                <w:rFonts w:cs="Arial"/>
              </w:rPr>
              <w:t>1, 2, 3 doses of 4vHPV vs. unvaccinated</w:t>
            </w:r>
          </w:p>
        </w:tc>
        <w:tc>
          <w:tcPr>
            <w:tcW w:w="1134" w:type="dxa"/>
            <w:tcBorders>
              <w:top w:val="single" w:sz="4" w:space="0" w:color="auto"/>
              <w:left w:val="single" w:sz="4" w:space="0" w:color="auto"/>
              <w:bottom w:val="single" w:sz="4" w:space="0" w:color="auto"/>
              <w:right w:val="single" w:sz="4" w:space="0" w:color="auto"/>
            </w:tcBorders>
            <w:hideMark/>
          </w:tcPr>
          <w:p w14:paraId="65631818" w14:textId="77777777" w:rsidR="00DD1913" w:rsidRPr="0061208A" w:rsidRDefault="00DD1913" w:rsidP="003522FD">
            <w:pPr>
              <w:pStyle w:val="Tabletext0"/>
              <w:rPr>
                <w:rFonts w:cs="Arial"/>
              </w:rPr>
            </w:pPr>
            <w:r w:rsidRPr="0061208A">
              <w:rPr>
                <w:rFonts w:cs="Arial"/>
              </w:rPr>
              <w:t>48 months</w:t>
            </w:r>
          </w:p>
        </w:tc>
        <w:tc>
          <w:tcPr>
            <w:tcW w:w="2976" w:type="dxa"/>
            <w:tcBorders>
              <w:top w:val="single" w:sz="4" w:space="0" w:color="auto"/>
              <w:left w:val="single" w:sz="4" w:space="0" w:color="auto"/>
              <w:bottom w:val="single" w:sz="4" w:space="0" w:color="auto"/>
              <w:right w:val="single" w:sz="4" w:space="0" w:color="auto"/>
            </w:tcBorders>
            <w:hideMark/>
          </w:tcPr>
          <w:p w14:paraId="25A05006" w14:textId="77777777" w:rsidR="00DD1913" w:rsidRPr="0061208A" w:rsidRDefault="00DD1913" w:rsidP="003522FD">
            <w:pPr>
              <w:pStyle w:val="Tabletext0"/>
              <w:rPr>
                <w:rFonts w:cs="Arial"/>
              </w:rPr>
            </w:pPr>
            <w:r w:rsidRPr="0061208A">
              <w:rPr>
                <w:rFonts w:cs="Arial"/>
              </w:rPr>
              <w:t>Females 10-18 years</w:t>
            </w:r>
          </w:p>
          <w:p w14:paraId="122AC0F6" w14:textId="77777777" w:rsidR="00DD1913" w:rsidRPr="0061208A" w:rsidRDefault="00DD1913" w:rsidP="003522FD">
            <w:pPr>
              <w:pStyle w:val="Tabletext0"/>
              <w:rPr>
                <w:rFonts w:cs="Arial"/>
              </w:rPr>
            </w:pPr>
            <w:r w:rsidRPr="0061208A">
              <w:rPr>
                <w:rFonts w:cs="Arial"/>
              </w:rPr>
              <w:t>Approx 1000 per dose group at day 1</w:t>
            </w:r>
          </w:p>
          <w:p w14:paraId="0D395B7C" w14:textId="77777777" w:rsidR="00DD1913" w:rsidRPr="0061208A" w:rsidRDefault="00DD1913" w:rsidP="003522FD">
            <w:pPr>
              <w:pStyle w:val="Tabletext0"/>
              <w:rPr>
                <w:rFonts w:cs="Arial"/>
              </w:rPr>
            </w:pPr>
            <w:r w:rsidRPr="0061208A">
              <w:rPr>
                <w:rFonts w:cs="Arial"/>
              </w:rPr>
              <w:t xml:space="preserve">Ns at month 36 – </w:t>
            </w:r>
          </w:p>
          <w:p w14:paraId="6C776DC6" w14:textId="77777777" w:rsidR="00DD1913" w:rsidRPr="0061208A" w:rsidRDefault="00DD1913" w:rsidP="003522FD">
            <w:pPr>
              <w:pStyle w:val="Tabletext0"/>
              <w:rPr>
                <w:rFonts w:cs="Arial"/>
              </w:rPr>
            </w:pPr>
            <w:r w:rsidRPr="0061208A">
              <w:rPr>
                <w:rFonts w:cs="Arial"/>
              </w:rPr>
              <w:t>1 dose: 510</w:t>
            </w:r>
          </w:p>
          <w:p w14:paraId="3CBB3AF1" w14:textId="77777777" w:rsidR="00DD1913" w:rsidRPr="0061208A" w:rsidRDefault="00DD1913" w:rsidP="003522FD">
            <w:pPr>
              <w:pStyle w:val="Tabletext0"/>
              <w:rPr>
                <w:rFonts w:cs="Arial"/>
              </w:rPr>
            </w:pPr>
            <w:r w:rsidRPr="0061208A">
              <w:rPr>
                <w:rFonts w:cs="Arial"/>
              </w:rPr>
              <w:t>2 dose: 278</w:t>
            </w:r>
          </w:p>
          <w:p w14:paraId="75D10CAF" w14:textId="77777777" w:rsidR="00DD1913" w:rsidRPr="0061208A" w:rsidRDefault="00DD1913" w:rsidP="003522FD">
            <w:pPr>
              <w:pStyle w:val="Tabletext0"/>
              <w:rPr>
                <w:rFonts w:cs="Arial"/>
              </w:rPr>
            </w:pPr>
            <w:r w:rsidRPr="0061208A">
              <w:rPr>
                <w:rFonts w:cs="Arial"/>
              </w:rPr>
              <w:t>3 dose: 271</w:t>
            </w:r>
          </w:p>
        </w:tc>
        <w:tc>
          <w:tcPr>
            <w:tcW w:w="5448" w:type="dxa"/>
            <w:tcBorders>
              <w:top w:val="single" w:sz="4" w:space="0" w:color="auto"/>
              <w:left w:val="single" w:sz="4" w:space="0" w:color="auto"/>
              <w:bottom w:val="single" w:sz="4" w:space="0" w:color="auto"/>
              <w:right w:val="single" w:sz="4" w:space="0" w:color="auto"/>
            </w:tcBorders>
            <w:hideMark/>
          </w:tcPr>
          <w:p w14:paraId="6FE08D4F" w14:textId="77777777" w:rsidR="00DD1913" w:rsidRPr="0061208A" w:rsidRDefault="00DD1913" w:rsidP="003522FD">
            <w:pPr>
              <w:pStyle w:val="Tabletext0"/>
              <w:rPr>
                <w:rFonts w:cs="Arial"/>
              </w:rPr>
            </w:pPr>
            <w:r w:rsidRPr="0061208A">
              <w:rPr>
                <w:rFonts w:eastAsiaTheme="minorEastAsia" w:cs="Arial"/>
              </w:rPr>
              <w:t>GMTs were substantially lower for the 1-dose group relative to the 3-dose group at all timepoints up to 48 months. GMR 1 vs 3 dose at month 36: HPV16 0.33 (0.28–0.37), HPV18 0.25 (0.21–0.29), HPV6 0.21 (0.18–0.24), HPV11 0.18 (0.16–0.21)</w:t>
            </w:r>
          </w:p>
          <w:p w14:paraId="1499F3BB" w14:textId="77777777" w:rsidR="00DD1913" w:rsidRPr="0061208A" w:rsidRDefault="00DD1913" w:rsidP="003522FD">
            <w:pPr>
              <w:pStyle w:val="Tabletext0"/>
              <w:rPr>
                <w:rFonts w:cs="Arial"/>
              </w:rPr>
            </w:pPr>
            <w:r w:rsidRPr="0061208A">
              <w:rPr>
                <w:rFonts w:eastAsiaTheme="minorEastAsia" w:cs="Arial"/>
              </w:rPr>
              <w:t xml:space="preserve">Geometric avidity indices at 7 and 18 months were similar and non-inferior across groups. </w:t>
            </w:r>
          </w:p>
        </w:tc>
      </w:tr>
      <w:tr w:rsidR="00DD1913" w:rsidRPr="008D609D" w14:paraId="0B34185D" w14:textId="77777777" w:rsidTr="003522FD">
        <w:tc>
          <w:tcPr>
            <w:tcW w:w="1474" w:type="dxa"/>
            <w:tcBorders>
              <w:top w:val="single" w:sz="4" w:space="0" w:color="auto"/>
              <w:left w:val="single" w:sz="4" w:space="0" w:color="auto"/>
              <w:bottom w:val="single" w:sz="4" w:space="0" w:color="auto"/>
              <w:right w:val="single" w:sz="4" w:space="0" w:color="auto"/>
            </w:tcBorders>
            <w:hideMark/>
          </w:tcPr>
          <w:p w14:paraId="2978ED3A" w14:textId="7670989D" w:rsidR="00DD1913" w:rsidRPr="00473A87" w:rsidRDefault="00DD1913" w:rsidP="003522FD">
            <w:pPr>
              <w:pStyle w:val="Tabletext0"/>
              <w:rPr>
                <w:rFonts w:cs="Arial"/>
                <w:b/>
                <w:bCs/>
              </w:rPr>
            </w:pPr>
            <w:r w:rsidRPr="00473A87">
              <w:rPr>
                <w:rFonts w:cs="Arial"/>
                <w:b/>
                <w:bCs/>
              </w:rPr>
              <w:t>CVT trial</w:t>
            </w:r>
          </w:p>
          <w:p w14:paraId="1F31A0EA" w14:textId="77777777" w:rsidR="00DD1913" w:rsidRDefault="00DD1913" w:rsidP="003522FD">
            <w:pPr>
              <w:pStyle w:val="Tabletext0"/>
              <w:rPr>
                <w:rFonts w:cs="Arial"/>
              </w:rPr>
            </w:pPr>
            <w:r w:rsidRPr="0001003C">
              <w:rPr>
                <w:rFonts w:cs="Arial"/>
              </w:rPr>
              <w:t>Safaeian M, Sampson JN, Pan Y, et al. Durability of Protection Afforded by Fewer Doses of the HPV16/18 Vaccine: The CVT Trial. Journal of the National Cancer Institute 2018;110</w:t>
            </w:r>
          </w:p>
          <w:p w14:paraId="4DF6F87D" w14:textId="77777777" w:rsidR="00DD1913" w:rsidRPr="0061208A" w:rsidRDefault="00DD1913" w:rsidP="003522FD">
            <w:pPr>
              <w:pStyle w:val="Tabletext0"/>
              <w:rPr>
                <w:rFonts w:cs="Arial"/>
              </w:rPr>
            </w:pPr>
            <w:r w:rsidRPr="0001003C">
              <w:rPr>
                <w:rFonts w:cs="Arial"/>
              </w:rPr>
              <w:t>Safaeian M, Porras C, Pan Y, et al. Durable antibody responses following one dose of the bivalent human papillomavirus L1 virus-like particle vaccine in the Costa Rica Vaccine Trial. Cancer prevention research (Philadelphia, Pa) 2013;6:1242-50.</w:t>
            </w:r>
          </w:p>
        </w:tc>
        <w:tc>
          <w:tcPr>
            <w:tcW w:w="1219" w:type="dxa"/>
            <w:tcBorders>
              <w:top w:val="single" w:sz="4" w:space="0" w:color="auto"/>
              <w:left w:val="single" w:sz="4" w:space="0" w:color="auto"/>
              <w:bottom w:val="single" w:sz="4" w:space="0" w:color="auto"/>
              <w:right w:val="single" w:sz="4" w:space="0" w:color="auto"/>
            </w:tcBorders>
            <w:hideMark/>
          </w:tcPr>
          <w:p w14:paraId="16A7B831" w14:textId="77777777" w:rsidR="00DD1913" w:rsidRPr="0061208A" w:rsidRDefault="00DD1913" w:rsidP="003522FD">
            <w:pPr>
              <w:pStyle w:val="Tabletext0"/>
              <w:rPr>
                <w:rFonts w:cs="Arial"/>
              </w:rPr>
            </w:pPr>
            <w:r w:rsidRPr="0061208A">
              <w:rPr>
                <w:rFonts w:cs="Arial"/>
              </w:rPr>
              <w:t>Prospective cohort</w:t>
            </w:r>
          </w:p>
        </w:tc>
        <w:tc>
          <w:tcPr>
            <w:tcW w:w="1697" w:type="dxa"/>
            <w:tcBorders>
              <w:top w:val="single" w:sz="4" w:space="0" w:color="auto"/>
              <w:left w:val="single" w:sz="4" w:space="0" w:color="auto"/>
              <w:bottom w:val="single" w:sz="4" w:space="0" w:color="auto"/>
              <w:right w:val="single" w:sz="4" w:space="0" w:color="auto"/>
            </w:tcBorders>
            <w:hideMark/>
          </w:tcPr>
          <w:p w14:paraId="3B51EF0A" w14:textId="77777777" w:rsidR="00DD1913" w:rsidRPr="0061208A" w:rsidRDefault="00DD1913" w:rsidP="003522FD">
            <w:pPr>
              <w:pStyle w:val="Tabletext0"/>
              <w:rPr>
                <w:rFonts w:cs="Arial"/>
              </w:rPr>
            </w:pPr>
            <w:r w:rsidRPr="0061208A">
              <w:rPr>
                <w:rFonts w:cs="Arial"/>
              </w:rPr>
              <w:t>1, 2, 3 doses of 2vHPV vs. unvaccinated</w:t>
            </w:r>
          </w:p>
        </w:tc>
        <w:tc>
          <w:tcPr>
            <w:tcW w:w="1134" w:type="dxa"/>
            <w:tcBorders>
              <w:top w:val="single" w:sz="4" w:space="0" w:color="auto"/>
              <w:left w:val="single" w:sz="4" w:space="0" w:color="auto"/>
              <w:bottom w:val="single" w:sz="4" w:space="0" w:color="auto"/>
              <w:right w:val="single" w:sz="4" w:space="0" w:color="auto"/>
            </w:tcBorders>
            <w:hideMark/>
          </w:tcPr>
          <w:p w14:paraId="514C3829" w14:textId="77777777" w:rsidR="00DD1913" w:rsidRPr="0061208A" w:rsidRDefault="00DD1913" w:rsidP="003522FD">
            <w:pPr>
              <w:pStyle w:val="Tabletext0"/>
              <w:rPr>
                <w:rFonts w:cs="Arial"/>
              </w:rPr>
            </w:pPr>
            <w:r w:rsidRPr="0061208A">
              <w:rPr>
                <w:rFonts w:cs="Arial"/>
              </w:rPr>
              <w:t>11 years</w:t>
            </w:r>
          </w:p>
        </w:tc>
        <w:tc>
          <w:tcPr>
            <w:tcW w:w="2976" w:type="dxa"/>
            <w:tcBorders>
              <w:top w:val="single" w:sz="4" w:space="0" w:color="auto"/>
              <w:left w:val="single" w:sz="4" w:space="0" w:color="auto"/>
              <w:bottom w:val="single" w:sz="4" w:space="0" w:color="auto"/>
              <w:right w:val="single" w:sz="4" w:space="0" w:color="auto"/>
            </w:tcBorders>
            <w:hideMark/>
          </w:tcPr>
          <w:p w14:paraId="74135B74" w14:textId="77777777" w:rsidR="00DD1913" w:rsidRPr="0061208A" w:rsidRDefault="00DD1913" w:rsidP="003522FD">
            <w:pPr>
              <w:pStyle w:val="Tabletext0"/>
              <w:rPr>
                <w:rFonts w:cs="Arial"/>
              </w:rPr>
            </w:pPr>
            <w:r w:rsidRPr="0061208A">
              <w:rPr>
                <w:rFonts w:cs="Arial"/>
              </w:rPr>
              <w:t>Females 18-25 years</w:t>
            </w:r>
          </w:p>
          <w:p w14:paraId="25A853D3" w14:textId="77777777" w:rsidR="00DD1913" w:rsidRPr="0061208A" w:rsidRDefault="00DD1913" w:rsidP="003522FD">
            <w:pPr>
              <w:pStyle w:val="Tabletext0"/>
              <w:rPr>
                <w:rFonts w:cs="Arial"/>
              </w:rPr>
            </w:pPr>
            <w:r w:rsidRPr="0061208A">
              <w:rPr>
                <w:rFonts w:cs="Arial"/>
              </w:rPr>
              <w:t>1 dose n=112</w:t>
            </w:r>
          </w:p>
          <w:p w14:paraId="45A481AB" w14:textId="77777777" w:rsidR="00DD1913" w:rsidRPr="0061208A" w:rsidRDefault="00DD1913" w:rsidP="003522FD">
            <w:pPr>
              <w:pStyle w:val="Tabletext0"/>
              <w:rPr>
                <w:rFonts w:cs="Arial"/>
              </w:rPr>
            </w:pPr>
            <w:r w:rsidRPr="0061208A">
              <w:rPr>
                <w:rFonts w:cs="Arial"/>
              </w:rPr>
              <w:t>2 dose n=62</w:t>
            </w:r>
          </w:p>
          <w:p w14:paraId="530F69EB" w14:textId="77777777" w:rsidR="00DD1913" w:rsidRPr="0061208A" w:rsidRDefault="00DD1913" w:rsidP="003522FD">
            <w:pPr>
              <w:pStyle w:val="Tabletext0"/>
              <w:rPr>
                <w:rFonts w:cs="Arial"/>
              </w:rPr>
            </w:pPr>
            <w:r w:rsidRPr="0061208A">
              <w:rPr>
                <w:rFonts w:cs="Arial"/>
              </w:rPr>
              <w:t>3 dose n=1365</w:t>
            </w:r>
          </w:p>
        </w:tc>
        <w:tc>
          <w:tcPr>
            <w:tcW w:w="5448" w:type="dxa"/>
            <w:tcBorders>
              <w:top w:val="single" w:sz="4" w:space="0" w:color="auto"/>
              <w:left w:val="single" w:sz="4" w:space="0" w:color="auto"/>
              <w:bottom w:val="single" w:sz="4" w:space="0" w:color="auto"/>
              <w:right w:val="single" w:sz="4" w:space="0" w:color="auto"/>
            </w:tcBorders>
            <w:hideMark/>
          </w:tcPr>
          <w:p w14:paraId="115F2C53" w14:textId="77777777" w:rsidR="00DD1913" w:rsidRPr="0061208A" w:rsidRDefault="00DD1913" w:rsidP="003522FD">
            <w:pPr>
              <w:pStyle w:val="Tabletext0"/>
              <w:rPr>
                <w:rFonts w:cs="Arial"/>
              </w:rPr>
            </w:pPr>
            <w:r w:rsidRPr="0061208A">
              <w:rPr>
                <w:rFonts w:eastAsiaTheme="minorEastAsia" w:cs="Arial"/>
              </w:rPr>
              <w:t>GMTs were lower for the 1-dose group relative to the 3-dose group at all timepoints up to 11 years. GMTs for 2-dose group also lower than 3-dose.</w:t>
            </w:r>
          </w:p>
        </w:tc>
      </w:tr>
    </w:tbl>
    <w:p w14:paraId="1215AFE8" w14:textId="50F47E2C" w:rsidR="00DD1913" w:rsidRDefault="00DD1913" w:rsidP="00DD1913">
      <w:pPr>
        <w:pStyle w:val="FooterTableFigure"/>
        <w:rPr>
          <w:rFonts w:eastAsia="Arial Narrow" w:cs="Arial Narrow"/>
          <w:color w:val="000000" w:themeColor="text1"/>
        </w:rPr>
      </w:pPr>
      <w:r>
        <w:rPr>
          <w:rFonts w:eastAsia="Arial Narrow" w:cs="Arial Narrow"/>
          <w:color w:val="000000" w:themeColor="text1"/>
        </w:rPr>
        <w:t xml:space="preserve">Source: </w:t>
      </w:r>
      <w:r w:rsidRPr="00DD1913">
        <w:rPr>
          <w:rFonts w:eastAsia="Arial Narrow" w:cs="Arial Narrow"/>
          <w:color w:val="000000" w:themeColor="text1"/>
        </w:rPr>
        <w:t xml:space="preserve">Table </w:t>
      </w:r>
      <w:r>
        <w:rPr>
          <w:rFonts w:eastAsia="Arial Narrow" w:cs="Arial Narrow"/>
          <w:color w:val="000000" w:themeColor="text1"/>
        </w:rPr>
        <w:t>3</w:t>
      </w:r>
      <w:r w:rsidRPr="00DD1913">
        <w:rPr>
          <w:rFonts w:eastAsia="Arial Narrow" w:cs="Arial Narrow"/>
          <w:color w:val="000000" w:themeColor="text1"/>
        </w:rPr>
        <w:t xml:space="preserve">, pp </w:t>
      </w:r>
      <w:r>
        <w:rPr>
          <w:rFonts w:eastAsia="Arial Narrow" w:cs="Arial Narrow"/>
          <w:color w:val="000000" w:themeColor="text1"/>
        </w:rPr>
        <w:t>4</w:t>
      </w:r>
      <w:r w:rsidRPr="00DD1913">
        <w:rPr>
          <w:rFonts w:eastAsia="Arial Narrow" w:cs="Arial Narrow"/>
          <w:color w:val="000000" w:themeColor="text1"/>
        </w:rPr>
        <w:t>-</w:t>
      </w:r>
      <w:r>
        <w:rPr>
          <w:rFonts w:eastAsia="Arial Narrow" w:cs="Arial Narrow"/>
          <w:color w:val="000000" w:themeColor="text1"/>
        </w:rPr>
        <w:t>7</w:t>
      </w:r>
      <w:r w:rsidRPr="00DD1913">
        <w:rPr>
          <w:rFonts w:eastAsia="Arial Narrow" w:cs="Arial Narrow"/>
          <w:color w:val="000000" w:themeColor="text1"/>
        </w:rPr>
        <w:t xml:space="preserve"> of the CMO submission</w:t>
      </w:r>
    </w:p>
    <w:p w14:paraId="08EF16B7" w14:textId="77777777" w:rsidR="00106F49" w:rsidRDefault="00DD1913" w:rsidP="00DD1913">
      <w:pPr>
        <w:pStyle w:val="FooterTableFigure"/>
        <w:rPr>
          <w:rFonts w:eastAsia="Arial Narrow" w:cs="Arial Narrow"/>
          <w:color w:val="000000" w:themeColor="text1"/>
        </w:rPr>
        <w:sectPr w:rsidR="00106F49" w:rsidSect="0089058E">
          <w:pgSz w:w="16838" w:h="11906" w:orient="landscape" w:code="9"/>
          <w:pgMar w:top="1440" w:right="1440" w:bottom="1440" w:left="1440" w:header="1440" w:footer="1440" w:gutter="0"/>
          <w:pgNumType w:start="5"/>
          <w:cols w:space="708"/>
          <w:docGrid w:linePitch="360"/>
        </w:sectPr>
      </w:pPr>
      <w:r w:rsidRPr="00DD1913">
        <w:rPr>
          <w:rFonts w:eastAsia="Arial Narrow" w:cs="Arial Narrow"/>
          <w:color w:val="000000" w:themeColor="text1"/>
        </w:rPr>
        <w:t xml:space="preserve">CVT: Costa Rica HPV Vaccine Trial; GMR: Geometric Mean titre Ratio; GMT: Geometric Mean Titre; PATRICIA: Papilloma Trial against </w:t>
      </w:r>
      <w:r w:rsidRPr="00345611">
        <w:rPr>
          <w:rFonts w:eastAsia="Arial Narrow" w:cs="Arial Narrow"/>
          <w:color w:val="000000" w:themeColor="text1"/>
        </w:rPr>
        <w:t>Cancer In young Adults; RCT: Randomised Controlled Trial; VE: Vaccine Effectiveness</w:t>
      </w:r>
    </w:p>
    <w:p w14:paraId="08752C9F" w14:textId="74C50EA4" w:rsidR="00345611" w:rsidRDefault="00345611" w:rsidP="00345611">
      <w:pPr>
        <w:pStyle w:val="3-BodyText"/>
        <w:rPr>
          <w:rFonts w:eastAsia="Cambria" w:cstheme="minorHAnsi"/>
          <w:color w:val="212121"/>
          <w:sz w:val="30"/>
          <w:szCs w:val="30"/>
        </w:rPr>
      </w:pPr>
      <w:r w:rsidRPr="00345611">
        <w:rPr>
          <w:rFonts w:cstheme="minorHAnsi"/>
        </w:rPr>
        <w:t xml:space="preserve">A single dose of HPV vaccine </w:t>
      </w:r>
      <w:r w:rsidR="000B613B">
        <w:rPr>
          <w:rFonts w:cstheme="minorHAnsi"/>
        </w:rPr>
        <w:t xml:space="preserve">was </w:t>
      </w:r>
      <w:r w:rsidRPr="00345611">
        <w:rPr>
          <w:rFonts w:cstheme="minorHAnsi"/>
        </w:rPr>
        <w:t xml:space="preserve">examined </w:t>
      </w:r>
      <w:r w:rsidR="000B613B">
        <w:rPr>
          <w:rFonts w:cstheme="minorHAnsi"/>
        </w:rPr>
        <w:t xml:space="preserve">in the submission </w:t>
      </w:r>
      <w:r w:rsidRPr="00345611">
        <w:rPr>
          <w:rFonts w:cstheme="minorHAnsi"/>
        </w:rPr>
        <w:t>for immunogenicity and efficacy/effectiveness in healthy girls and women aged 9 to 25 years, extending to 11 years post vaccination.</w:t>
      </w:r>
      <w:r w:rsidR="000B613B">
        <w:rPr>
          <w:rFonts w:cstheme="minorHAnsi"/>
        </w:rPr>
        <w:t xml:space="preserve"> </w:t>
      </w:r>
      <w:r w:rsidR="000B613B" w:rsidRPr="00345611">
        <w:rPr>
          <w:rFonts w:eastAsia="Cambria" w:cstheme="minorHAnsi"/>
          <w:color w:val="212121"/>
          <w:sz w:val="30"/>
          <w:szCs w:val="30"/>
        </w:rPr>
        <w:t xml:space="preserve"> </w:t>
      </w:r>
    </w:p>
    <w:p w14:paraId="4CB3021A" w14:textId="31406F30" w:rsidR="008A7889" w:rsidRPr="00C84DCF" w:rsidRDefault="008A7889" w:rsidP="008A7889">
      <w:pPr>
        <w:pStyle w:val="3-BodyText"/>
        <w:rPr>
          <w:rFonts w:cstheme="minorHAnsi"/>
        </w:rPr>
      </w:pPr>
      <w:r>
        <w:rPr>
          <w:rFonts w:cstheme="minorHAnsi"/>
        </w:rPr>
        <w:t>In the</w:t>
      </w:r>
      <w:r>
        <w:t xml:space="preserve"> </w:t>
      </w:r>
      <w:r w:rsidRPr="004B768E">
        <w:t>review of the evidence for HPV vaccine (and other vaccines), ATAGI prioritises findings with clinical disease endpoints over immunogenicity endpoints. Immunogenicity outcomes are used as a surrogate endpoint when clinical data is unavailable. Immunogenicity endpoints were primarily used for HPV vaccine in the past given the long latency period between acquisition of HPV infection and development of disease. However, data on clinical disease endpoints are now available</w:t>
      </w:r>
      <w:r w:rsidR="00065BE4">
        <w:t>.</w:t>
      </w:r>
      <w:r w:rsidRPr="004B768E">
        <w:t xml:space="preserve"> ATAGI </w:t>
      </w:r>
      <w:r>
        <w:t xml:space="preserve">noted that it </w:t>
      </w:r>
      <w:r w:rsidRPr="004B768E">
        <w:t xml:space="preserve">specifically examined evidence on immunogenicity from </w:t>
      </w:r>
      <w:r w:rsidR="009A7223" w:rsidRPr="00345611">
        <w:rPr>
          <w:rFonts w:cstheme="minorHAnsi"/>
        </w:rPr>
        <w:t xml:space="preserve">randomised controlled trials </w:t>
      </w:r>
      <w:r w:rsidR="009A7223">
        <w:rPr>
          <w:rFonts w:cstheme="minorHAnsi"/>
        </w:rPr>
        <w:t>(</w:t>
      </w:r>
      <w:r w:rsidRPr="004B768E">
        <w:t>RCTs</w:t>
      </w:r>
      <w:r w:rsidR="009A7223">
        <w:t>)</w:t>
      </w:r>
      <w:r w:rsidRPr="004B768E">
        <w:t xml:space="preserve"> examining vaccine use in the target NIP population and long-term immunogenicity data up to 11 years post-vaccination to fill the gaps in current evidence on clinical endpoints.</w:t>
      </w:r>
    </w:p>
    <w:p w14:paraId="123D7408" w14:textId="6A6706D3" w:rsidR="00345611" w:rsidRPr="00345611" w:rsidRDefault="00345611" w:rsidP="00345611">
      <w:pPr>
        <w:pStyle w:val="3-BodyText"/>
        <w:rPr>
          <w:rFonts w:cstheme="minorHAnsi"/>
        </w:rPr>
      </w:pPr>
      <w:r w:rsidRPr="00345611">
        <w:rPr>
          <w:rFonts w:cstheme="minorHAnsi"/>
        </w:rPr>
        <w:t xml:space="preserve">Evidence for a single dose of 9vHPV </w:t>
      </w:r>
      <w:r w:rsidR="000B613B">
        <w:rPr>
          <w:rFonts w:cstheme="minorHAnsi"/>
        </w:rPr>
        <w:t>wa</w:t>
      </w:r>
      <w:r w:rsidRPr="00345611">
        <w:rPr>
          <w:rFonts w:cstheme="minorHAnsi"/>
        </w:rPr>
        <w:t>s based on two RCTs and one post hoc analysis of two small clinical trials. The current evidence supports the efficacy of a single dose of 9vHPV vaccine against persistent HPV16/18 infection, which is a pre-requisite for developing HPV-related cervical cancer; findings for other endpoints (including cervical disease or other site specific HPV-related cancers) have not been reported yet due to the typically long latency period between infection acquisition and clinical disease.</w:t>
      </w:r>
      <w:r w:rsidR="00D264FD" w:rsidRPr="00345611" w:rsidDel="00D264FD">
        <w:rPr>
          <w:rFonts w:cstheme="minorHAnsi"/>
        </w:rPr>
        <w:t xml:space="preserve"> </w:t>
      </w:r>
    </w:p>
    <w:p w14:paraId="5A990715" w14:textId="0248DE4B" w:rsidR="00345611" w:rsidRPr="00345611" w:rsidRDefault="00345611" w:rsidP="00345611">
      <w:pPr>
        <w:pStyle w:val="3-BodyText"/>
        <w:rPr>
          <w:rFonts w:cstheme="minorHAnsi"/>
        </w:rPr>
      </w:pPr>
      <w:r w:rsidRPr="00345611">
        <w:rPr>
          <w:rFonts w:cstheme="minorHAnsi"/>
        </w:rPr>
        <w:t>Data from observational cohort studies of 4vHPV and 2vHPV vaccines demonstrate clinical effectiveness of a single dose of HPV vaccine over 11 years post vaccination</w:t>
      </w:r>
      <w:r w:rsidR="00841D44">
        <w:rPr>
          <w:rFonts w:cstheme="minorHAnsi"/>
        </w:rPr>
        <w:t>.</w:t>
      </w:r>
      <w:r w:rsidR="00D264FD">
        <w:rPr>
          <w:rFonts w:cstheme="minorHAnsi"/>
        </w:rPr>
        <w:t xml:space="preserve"> </w:t>
      </w:r>
      <w:r w:rsidRPr="00345611">
        <w:rPr>
          <w:rFonts w:cstheme="minorHAnsi"/>
        </w:rPr>
        <w:t>In most studies, the comparator is a three dose schedule of HPV vaccine. This includes evidence of effectiveness against cervical pre-cancerous lesions among Australian women who received only one dose of the 4vHPV vaccine. These studies report that the effectiveness of a single dose of vaccine is equivalent to a multi-dose (two or three doses) schedule of HPV vaccine and persists over time.</w:t>
      </w:r>
    </w:p>
    <w:p w14:paraId="6B221E2E" w14:textId="17DCCAC7" w:rsidR="002F4A0E" w:rsidRDefault="00345611" w:rsidP="002F4A0E">
      <w:pPr>
        <w:pStyle w:val="3-BodyText"/>
        <w:rPr>
          <w:rFonts w:cstheme="minorHAnsi"/>
        </w:rPr>
      </w:pPr>
      <w:r w:rsidRPr="00345611">
        <w:rPr>
          <w:rFonts w:cstheme="minorHAnsi"/>
        </w:rPr>
        <w:t>A single dose of 9vHPV vaccine generates an immune response (seroconversion) in more than 98% of vaccine recipients up to two years post vaccination, although the geometric mean concentrations (GMCs) are noted to be lower than those who receive a two or three dose schedule. There was no difference in the antibody avidity indices between dose groups. GMCs following a single dose stabilise from 12 months to 24 months. A threshold level of HPV antibodies that correlates with clinical protection has not been established. As current evidence supports clinical protection even with lower GMCs, the lower but stable GMCs from post year 1 onwards do not appear to indicate reduced protection. Long-term immunogenicity studies of 4vHPV and 2vHPV vaccine show similar findings to the study of 9vHPV vaccine. GMCs following a single dose of 4vHPV or 2vHPV stabili</w:t>
      </w:r>
      <w:r w:rsidRPr="009863D8">
        <w:rPr>
          <w:rFonts w:cstheme="minorHAnsi"/>
          <w:szCs w:val="24"/>
        </w:rPr>
        <w:t>se from 12 months out to 11 years post vaccination</w:t>
      </w:r>
      <w:r w:rsidR="009863D8" w:rsidRPr="00473A87">
        <w:rPr>
          <w:rFonts w:cstheme="minorHAnsi"/>
          <w:szCs w:val="24"/>
        </w:rPr>
        <w:t xml:space="preserve"> (r</w:t>
      </w:r>
      <w:r w:rsidR="000A0A64" w:rsidRPr="009863D8">
        <w:rPr>
          <w:rFonts w:cstheme="minorHAnsi"/>
          <w:szCs w:val="24"/>
        </w:rPr>
        <w:t>efer to Figures 1 and 2</w:t>
      </w:r>
      <w:r w:rsidR="009863D8" w:rsidRPr="00473A87">
        <w:rPr>
          <w:rFonts w:cstheme="minorHAnsi"/>
          <w:szCs w:val="24"/>
        </w:rPr>
        <w:t xml:space="preserve"> below</w:t>
      </w:r>
      <w:r w:rsidR="000A0A64" w:rsidRPr="009863D8">
        <w:rPr>
          <w:rFonts w:cstheme="minorHAnsi"/>
          <w:szCs w:val="24"/>
        </w:rPr>
        <w:t>).</w:t>
      </w:r>
    </w:p>
    <w:p w14:paraId="77809320" w14:textId="124BE90F" w:rsidR="002F4A0E" w:rsidRPr="00473A87" w:rsidRDefault="002F4A0E" w:rsidP="007F5071">
      <w:pPr>
        <w:pStyle w:val="TableFigureHeading"/>
      </w:pPr>
      <w:r w:rsidRPr="00473A87">
        <w:t xml:space="preserve">Figure </w:t>
      </w:r>
      <w:r>
        <w:t>1:</w:t>
      </w:r>
      <w:r w:rsidRPr="00473A87">
        <w:t xml:space="preserve"> Mean median fluorescent intensity (MFI) values for HPV16 and 18 L1 antibodies at different time points among girls who received 1, 2 or 3 doses of 4vHPV vaccine</w:t>
      </w:r>
    </w:p>
    <w:p w14:paraId="74979D75" w14:textId="7DE20308" w:rsidR="002F4A0E" w:rsidRDefault="002F4A0E" w:rsidP="007F5071">
      <w:pPr>
        <w:pStyle w:val="3-BodyText"/>
        <w:numPr>
          <w:ilvl w:val="0"/>
          <w:numId w:val="0"/>
        </w:numPr>
        <w:spacing w:after="0"/>
        <w:rPr>
          <w:rFonts w:cstheme="minorHAnsi"/>
        </w:rPr>
      </w:pPr>
      <w:r w:rsidRPr="007E7CBE">
        <w:rPr>
          <w:rFonts w:ascii="Arial" w:eastAsia="Calibri" w:hAnsi="Arial" w:cs="Arial"/>
          <w:noProof/>
          <w:sz w:val="22"/>
        </w:rPr>
        <w:drawing>
          <wp:inline distT="0" distB="0" distL="0" distR="0" wp14:anchorId="25B3635B" wp14:editId="1C5BAE44">
            <wp:extent cx="5731510" cy="204279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4"/>
                    <a:srcRect b="20802"/>
                    <a:stretch/>
                  </pic:blipFill>
                  <pic:spPr bwMode="auto">
                    <a:xfrm>
                      <a:off x="0" y="0"/>
                      <a:ext cx="5731510" cy="2042795"/>
                    </a:xfrm>
                    <a:prstGeom prst="rect">
                      <a:avLst/>
                    </a:prstGeom>
                    <a:ln>
                      <a:noFill/>
                    </a:ln>
                    <a:extLst>
                      <a:ext uri="{53640926-AAD7-44D8-BBD7-CCE9431645EC}">
                        <a14:shadowObscured xmlns:a14="http://schemas.microsoft.com/office/drawing/2010/main"/>
                      </a:ext>
                    </a:extLst>
                  </pic:spPr>
                </pic:pic>
              </a:graphicData>
            </a:graphic>
          </wp:inline>
        </w:drawing>
      </w:r>
    </w:p>
    <w:p w14:paraId="7DF57E77" w14:textId="59BC31F2" w:rsidR="00B61753" w:rsidRPr="007F5071" w:rsidRDefault="009863D8" w:rsidP="007F5071">
      <w:pPr>
        <w:pStyle w:val="TableFigureFooter"/>
      </w:pPr>
      <w:r w:rsidRPr="008174A7">
        <w:rPr>
          <w:rFonts w:eastAsia="Calibri"/>
        </w:rPr>
        <w:t xml:space="preserve">Source: </w:t>
      </w:r>
      <w:r w:rsidR="00FD377A" w:rsidRPr="008174A7">
        <w:rPr>
          <w:rFonts w:eastAsia="Calibri"/>
        </w:rPr>
        <w:t xml:space="preserve">Sankaranarayanan R, Joshi S, Muwonge R, et al. Can a single dose of human papillomavirus (HPV) vaccine prevent cervical cancer? Early findings from an Indian study. </w:t>
      </w:r>
      <w:r w:rsidR="00FD377A" w:rsidRPr="007F5071">
        <w:rPr>
          <w:rFonts w:eastAsia="Calibri"/>
        </w:rPr>
        <w:t>Vaccine</w:t>
      </w:r>
      <w:r w:rsidR="00FD377A" w:rsidRPr="008174A7">
        <w:rPr>
          <w:rFonts w:eastAsia="Calibri"/>
        </w:rPr>
        <w:t xml:space="preserve"> 2018;36:4783-91; </w:t>
      </w:r>
      <w:r w:rsidRPr="008174A7">
        <w:rPr>
          <w:rFonts w:eastAsia="Calibri"/>
        </w:rPr>
        <w:t>Figure 2 of the CMO submission</w:t>
      </w:r>
      <w:r w:rsidR="00697083" w:rsidRPr="008174A7">
        <w:rPr>
          <w:rFonts w:eastAsia="Calibri"/>
        </w:rPr>
        <w:t>.</w:t>
      </w:r>
    </w:p>
    <w:p w14:paraId="6ED24AB6" w14:textId="422FC2FA" w:rsidR="002F4A0E" w:rsidRPr="00473A87" w:rsidRDefault="002F4A0E" w:rsidP="00473A87">
      <w:pPr>
        <w:pStyle w:val="FooterTableFigure"/>
        <w:spacing w:after="0"/>
        <w:contextualSpacing w:val="0"/>
        <w:rPr>
          <w:b/>
          <w:bCs/>
          <w:color w:val="000000" w:themeColor="text1"/>
          <w:sz w:val="20"/>
          <w:szCs w:val="20"/>
        </w:rPr>
      </w:pPr>
      <w:r w:rsidRPr="00473A87">
        <w:rPr>
          <w:b/>
          <w:bCs/>
          <w:color w:val="000000" w:themeColor="text1"/>
          <w:sz w:val="20"/>
          <w:szCs w:val="20"/>
        </w:rPr>
        <w:t xml:space="preserve">Figure </w:t>
      </w:r>
      <w:r>
        <w:rPr>
          <w:b/>
          <w:bCs/>
          <w:color w:val="000000" w:themeColor="text1"/>
          <w:sz w:val="20"/>
          <w:szCs w:val="20"/>
        </w:rPr>
        <w:t>2:</w:t>
      </w:r>
      <w:r w:rsidRPr="00473A87">
        <w:rPr>
          <w:b/>
          <w:bCs/>
          <w:color w:val="000000" w:themeColor="text1"/>
          <w:sz w:val="20"/>
          <w:szCs w:val="20"/>
        </w:rPr>
        <w:t xml:space="preserve"> HPV16 and HPV18 antibody levels (GMTs) over time by number of doses </w:t>
      </w:r>
      <w:r w:rsidR="009863D8" w:rsidRPr="009863D8">
        <w:rPr>
          <w:b/>
          <w:bCs/>
          <w:color w:val="000000" w:themeColor="text1"/>
          <w:sz w:val="20"/>
          <w:szCs w:val="20"/>
        </w:rPr>
        <w:t>received</w:t>
      </w:r>
      <w:r w:rsidRPr="00473A87">
        <w:rPr>
          <w:b/>
          <w:bCs/>
          <w:color w:val="000000" w:themeColor="text1"/>
          <w:sz w:val="20"/>
          <w:szCs w:val="20"/>
        </w:rPr>
        <w:t xml:space="preserve"> from the CVT trial</w:t>
      </w:r>
    </w:p>
    <w:p w14:paraId="2FBFDEC7" w14:textId="3E2EB717" w:rsidR="002F4A0E" w:rsidRDefault="002F4A0E" w:rsidP="007F5071">
      <w:pPr>
        <w:pStyle w:val="Tabletext0"/>
        <w:rPr>
          <w:rFonts w:cstheme="minorHAnsi"/>
        </w:rPr>
      </w:pPr>
      <w:r>
        <w:rPr>
          <w:noProof/>
        </w:rPr>
        <w:drawing>
          <wp:inline distT="0" distB="0" distL="0" distR="0" wp14:anchorId="2132CFD0" wp14:editId="4AED6DE4">
            <wp:extent cx="5731510" cy="268160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681605"/>
                    </a:xfrm>
                    <a:prstGeom prst="rect">
                      <a:avLst/>
                    </a:prstGeom>
                  </pic:spPr>
                </pic:pic>
              </a:graphicData>
            </a:graphic>
          </wp:inline>
        </w:drawing>
      </w:r>
    </w:p>
    <w:p w14:paraId="11425838" w14:textId="77777777" w:rsidR="00697083" w:rsidRPr="00473A87" w:rsidRDefault="00697083" w:rsidP="00697083">
      <w:pPr>
        <w:rPr>
          <w:rFonts w:ascii="Arial Narrow" w:eastAsia="Calibri" w:hAnsi="Arial Narrow" w:cs="Arial"/>
          <w:sz w:val="18"/>
          <w:szCs w:val="22"/>
        </w:rPr>
      </w:pPr>
      <w:r w:rsidRPr="00473A87">
        <w:rPr>
          <w:rFonts w:ascii="Arial Narrow" w:eastAsia="Calibri" w:hAnsi="Arial Narrow" w:cs="Arial"/>
          <w:sz w:val="18"/>
          <w:szCs w:val="22"/>
        </w:rPr>
        <w:t>A: HPV16 antibodies; B: HPV18 antibodies.</w:t>
      </w:r>
    </w:p>
    <w:p w14:paraId="5760F0B7" w14:textId="77777777" w:rsidR="00697083" w:rsidRPr="00473A87" w:rsidRDefault="00697083" w:rsidP="00697083">
      <w:pPr>
        <w:rPr>
          <w:rFonts w:ascii="Arial Narrow" w:eastAsia="Calibri" w:hAnsi="Arial Narrow" w:cs="Arial"/>
          <w:sz w:val="18"/>
          <w:szCs w:val="22"/>
        </w:rPr>
      </w:pPr>
      <w:r w:rsidRPr="00473A87">
        <w:rPr>
          <w:rFonts w:ascii="Arial Narrow" w:eastAsia="Calibri" w:hAnsi="Arial Narrow" w:cs="Arial"/>
          <w:sz w:val="18"/>
          <w:szCs w:val="22"/>
        </w:rPr>
        <w:t>Sample size as follows:</w:t>
      </w:r>
    </w:p>
    <w:p w14:paraId="3CFF8F0C" w14:textId="77777777" w:rsidR="00697083" w:rsidRPr="00473A87" w:rsidRDefault="00697083" w:rsidP="00697083">
      <w:pPr>
        <w:ind w:left="360"/>
        <w:rPr>
          <w:rFonts w:ascii="Arial Narrow" w:eastAsia="Calibri" w:hAnsi="Arial Narrow" w:cs="Arial"/>
          <w:sz w:val="18"/>
          <w:szCs w:val="22"/>
        </w:rPr>
      </w:pPr>
      <w:r w:rsidRPr="00473A87">
        <w:rPr>
          <w:rFonts w:ascii="Arial Narrow" w:eastAsia="Calibri" w:hAnsi="Arial Narrow" w:cs="Arial"/>
          <w:sz w:val="18"/>
          <w:szCs w:val="22"/>
        </w:rPr>
        <w:t>Year 2: 1 dose (n=78), 2 dose (n=52), 3 dose (n=120)</w:t>
      </w:r>
    </w:p>
    <w:p w14:paraId="331F8EC9" w14:textId="77777777" w:rsidR="00697083" w:rsidRPr="00473A87" w:rsidRDefault="00697083" w:rsidP="00697083">
      <w:pPr>
        <w:ind w:left="360"/>
        <w:rPr>
          <w:rFonts w:ascii="Arial Narrow" w:eastAsia="Calibri" w:hAnsi="Arial Narrow" w:cs="Arial"/>
          <w:sz w:val="18"/>
          <w:szCs w:val="22"/>
        </w:rPr>
      </w:pPr>
      <w:r w:rsidRPr="00473A87">
        <w:rPr>
          <w:rFonts w:ascii="Arial Narrow" w:eastAsia="Calibri" w:hAnsi="Arial Narrow" w:cs="Arial"/>
          <w:sz w:val="18"/>
          <w:szCs w:val="22"/>
        </w:rPr>
        <w:t>Year 4: 1 dose (n=134), 2 dose (n=79), 3 dose (n=2034)</w:t>
      </w:r>
    </w:p>
    <w:p w14:paraId="5CB57D2D" w14:textId="77777777" w:rsidR="00697083" w:rsidRPr="00473A87" w:rsidRDefault="00697083" w:rsidP="00697083">
      <w:pPr>
        <w:ind w:left="360"/>
        <w:rPr>
          <w:rFonts w:ascii="Arial Narrow" w:eastAsia="Calibri" w:hAnsi="Arial Narrow" w:cs="Arial"/>
          <w:sz w:val="18"/>
          <w:szCs w:val="22"/>
        </w:rPr>
      </w:pPr>
      <w:r w:rsidRPr="00473A87">
        <w:rPr>
          <w:rFonts w:ascii="Arial Narrow" w:eastAsia="Calibri" w:hAnsi="Arial Narrow" w:cs="Arial"/>
          <w:sz w:val="18"/>
          <w:szCs w:val="22"/>
        </w:rPr>
        <w:t>Year 11: 1 dose (n=112), 2 dose (n=62), 3 dose (n=1365)</w:t>
      </w:r>
    </w:p>
    <w:p w14:paraId="246C785E" w14:textId="0683AA8A" w:rsidR="009863D8" w:rsidRDefault="009863D8" w:rsidP="002F4A0E">
      <w:pPr>
        <w:rPr>
          <w:rFonts w:ascii="Arial Narrow" w:eastAsia="Calibri" w:hAnsi="Arial Narrow" w:cs="Arial"/>
          <w:sz w:val="18"/>
          <w:szCs w:val="22"/>
        </w:rPr>
      </w:pPr>
      <w:r>
        <w:rPr>
          <w:rFonts w:ascii="Arial Narrow" w:eastAsia="Calibri" w:hAnsi="Arial Narrow" w:cs="Arial"/>
          <w:sz w:val="18"/>
          <w:szCs w:val="22"/>
        </w:rPr>
        <w:t xml:space="preserve">Source: </w:t>
      </w:r>
      <w:r w:rsidR="00FD377A" w:rsidRPr="00FD377A">
        <w:rPr>
          <w:rFonts w:ascii="Arial Narrow" w:eastAsia="Calibri" w:hAnsi="Arial Narrow" w:cs="Arial"/>
          <w:sz w:val="18"/>
          <w:szCs w:val="22"/>
        </w:rPr>
        <w:t xml:space="preserve">Kreimer AR, Sampson JN, Porras C, et al. Evaluation of Durability of a Single Dose of the Bivalent HPV Vaccine: The CVT Trial. </w:t>
      </w:r>
      <w:r w:rsidR="00FD377A" w:rsidRPr="001745D9">
        <w:rPr>
          <w:rFonts w:ascii="Arial Narrow" w:eastAsia="Calibri" w:hAnsi="Arial Narrow" w:cs="Arial"/>
          <w:i/>
          <w:iCs/>
          <w:sz w:val="18"/>
          <w:szCs w:val="22"/>
        </w:rPr>
        <w:t>JNCI: Journal of the National Cancer Institute</w:t>
      </w:r>
      <w:r w:rsidR="00FD377A" w:rsidRPr="00FD377A">
        <w:rPr>
          <w:rFonts w:ascii="Arial Narrow" w:eastAsia="Calibri" w:hAnsi="Arial Narrow" w:cs="Arial"/>
          <w:sz w:val="18"/>
          <w:szCs w:val="22"/>
        </w:rPr>
        <w:t xml:space="preserve"> 2020;112:1038-46</w:t>
      </w:r>
      <w:r>
        <w:rPr>
          <w:rFonts w:ascii="Arial Narrow" w:eastAsia="Calibri" w:hAnsi="Arial Narrow" w:cs="Arial"/>
          <w:sz w:val="18"/>
          <w:szCs w:val="22"/>
        </w:rPr>
        <w:t xml:space="preserve">; </w:t>
      </w:r>
      <w:r w:rsidRPr="009863D8">
        <w:rPr>
          <w:rFonts w:ascii="Arial Narrow" w:eastAsia="Calibri" w:hAnsi="Arial Narrow" w:cs="Arial"/>
          <w:sz w:val="18"/>
          <w:szCs w:val="22"/>
        </w:rPr>
        <w:t xml:space="preserve">Figure </w:t>
      </w:r>
      <w:r>
        <w:rPr>
          <w:rFonts w:ascii="Arial Narrow" w:eastAsia="Calibri" w:hAnsi="Arial Narrow" w:cs="Arial"/>
          <w:sz w:val="18"/>
          <w:szCs w:val="22"/>
        </w:rPr>
        <w:t>3</w:t>
      </w:r>
      <w:r w:rsidRPr="009863D8">
        <w:rPr>
          <w:rFonts w:ascii="Arial Narrow" w:eastAsia="Calibri" w:hAnsi="Arial Narrow" w:cs="Arial"/>
          <w:sz w:val="18"/>
          <w:szCs w:val="22"/>
        </w:rPr>
        <w:t xml:space="preserve"> of the CMO submission</w:t>
      </w:r>
    </w:p>
    <w:p w14:paraId="46F53A0A" w14:textId="119426C5" w:rsidR="00C84DCF" w:rsidRPr="004B768E" w:rsidRDefault="00C84DCF" w:rsidP="004E2A41">
      <w:pPr>
        <w:pStyle w:val="3-BodyText"/>
        <w:spacing w:before="120"/>
        <w:rPr>
          <w:rFonts w:cstheme="minorHAnsi"/>
        </w:rPr>
      </w:pPr>
      <w:r w:rsidRPr="004B768E">
        <w:rPr>
          <w:rFonts w:cstheme="minorHAnsi"/>
        </w:rPr>
        <w:t xml:space="preserve">The </w:t>
      </w:r>
      <w:r>
        <w:rPr>
          <w:rFonts w:cstheme="minorHAnsi"/>
        </w:rPr>
        <w:t xml:space="preserve">pre-PBAC response from the sponsor </w:t>
      </w:r>
      <w:r w:rsidRPr="004B768E">
        <w:rPr>
          <w:rFonts w:cstheme="minorHAnsi"/>
        </w:rPr>
        <w:t xml:space="preserve">raised concerns of potential waning from a single HPV vaccine dose over time. ATAGI </w:t>
      </w:r>
      <w:r>
        <w:rPr>
          <w:rFonts w:cstheme="minorHAnsi"/>
        </w:rPr>
        <w:t xml:space="preserve">was </w:t>
      </w:r>
      <w:r w:rsidRPr="004B768E">
        <w:rPr>
          <w:rFonts w:cstheme="minorHAnsi"/>
        </w:rPr>
        <w:t xml:space="preserve">satisfied that there is currently clinical and immunogenicity data with follow-up out to 11 years post vaccination that show ongoing clinical protection that does not wane. </w:t>
      </w:r>
      <w:r>
        <w:rPr>
          <w:rFonts w:cstheme="minorHAnsi"/>
        </w:rPr>
        <w:t>ATAGI noted that t</w:t>
      </w:r>
      <w:r w:rsidRPr="004B768E">
        <w:rPr>
          <w:rFonts w:cstheme="minorHAnsi"/>
        </w:rPr>
        <w:t>rials are ongoing and there are plans to present longer term data soon but ATAGI d</w:t>
      </w:r>
      <w:r w:rsidR="00383027">
        <w:rPr>
          <w:rFonts w:cstheme="minorHAnsi"/>
        </w:rPr>
        <w:t>id</w:t>
      </w:r>
      <w:r w:rsidRPr="004B768E">
        <w:rPr>
          <w:rFonts w:cstheme="minorHAnsi"/>
        </w:rPr>
        <w:t xml:space="preserve"> not agree that it </w:t>
      </w:r>
      <w:r w:rsidR="00383027">
        <w:rPr>
          <w:rFonts w:cstheme="minorHAnsi"/>
        </w:rPr>
        <w:t xml:space="preserve">was </w:t>
      </w:r>
      <w:r w:rsidRPr="004B768E">
        <w:rPr>
          <w:rFonts w:cstheme="minorHAnsi"/>
        </w:rPr>
        <w:t>necessary to wait for the results of these additional studies before recommending a change in the current schedule. The JCVI explored scenarios of potential waning in modelling studies that were designed to assess the implication of adopting a one</w:t>
      </w:r>
      <w:r w:rsidR="00527F0D">
        <w:rPr>
          <w:rFonts w:cstheme="minorHAnsi"/>
        </w:rPr>
        <w:t xml:space="preserve"> </w:t>
      </w:r>
      <w:r w:rsidRPr="004B768E">
        <w:rPr>
          <w:rFonts w:cstheme="minorHAnsi"/>
        </w:rPr>
        <w:t>dose schedule, unlike the Simms et al.</w:t>
      </w:r>
      <w:r w:rsidR="00834B22">
        <w:rPr>
          <w:rStyle w:val="FootnoteReference"/>
          <w:rFonts w:cstheme="minorHAnsi"/>
        </w:rPr>
        <w:footnoteReference w:id="3"/>
      </w:r>
      <w:r w:rsidR="004049DB">
        <w:rPr>
          <w:rFonts w:cstheme="minorHAnsi"/>
        </w:rPr>
        <w:t xml:space="preserve"> </w:t>
      </w:r>
      <w:r w:rsidRPr="004B768E">
        <w:rPr>
          <w:rFonts w:cstheme="minorHAnsi"/>
        </w:rPr>
        <w:t>model which was designed to compare 4vHPV and 9vHPV vaccines. A one</w:t>
      </w:r>
      <w:r w:rsidR="00527F0D">
        <w:rPr>
          <w:rFonts w:cstheme="minorHAnsi"/>
        </w:rPr>
        <w:t xml:space="preserve"> </w:t>
      </w:r>
      <w:r w:rsidRPr="004B768E">
        <w:rPr>
          <w:rFonts w:cstheme="minorHAnsi"/>
        </w:rPr>
        <w:t>dose schedule was not predicted to substantially increase cervical cancers if duration of protection extended beyond 20 years. Even if the duration of protection did not extend beyond 20 years, the impact would not be immediate and clinical trials with long term follow-up would be available.</w:t>
      </w:r>
    </w:p>
    <w:p w14:paraId="20CD8BB4" w14:textId="5C53890B" w:rsidR="00345611" w:rsidRDefault="00345611" w:rsidP="00345611">
      <w:pPr>
        <w:pStyle w:val="3-BodyText"/>
        <w:rPr>
          <w:rFonts w:cstheme="minorHAnsi"/>
        </w:rPr>
      </w:pPr>
      <w:r w:rsidRPr="00345611">
        <w:rPr>
          <w:rFonts w:cstheme="minorHAnsi"/>
        </w:rPr>
        <w:t xml:space="preserve">In immunocompromised individuals there is currently limited evidence on the effectiveness of two dose schedules, and no studies that examined a one dose schedule in this population have been identified. A single study examining a two dose schedule of HPV vaccine in individuals living with HIV infection found that a two dose schedule was as immunogenic in younger adolescents with immune reconstitution as a three dose schedule in older adolescents without immune reconstitution. </w:t>
      </w:r>
      <w:r w:rsidR="001A4BF2">
        <w:rPr>
          <w:rFonts w:cstheme="minorHAnsi"/>
        </w:rPr>
        <w:t>The submission noted the i</w:t>
      </w:r>
      <w:r w:rsidRPr="00345611">
        <w:rPr>
          <w:rFonts w:cstheme="minorHAnsi"/>
        </w:rPr>
        <w:t>nterpretations of this study’s findings are limited due to bias arising from the imbalance in participant characteristics between those receiving two compared with three doses, and the relatively small sample size. Findings may also not be generalisable to individuals with other immunocompromising conditions particularly those without immune reconstitution.</w:t>
      </w:r>
      <w:r w:rsidR="006E4F72" w:rsidRPr="00345611" w:rsidDel="006E4F72">
        <w:rPr>
          <w:rFonts w:cstheme="minorHAnsi"/>
        </w:rPr>
        <w:t xml:space="preserve"> </w:t>
      </w:r>
    </w:p>
    <w:p w14:paraId="28E1F3F1" w14:textId="08AA8E7D" w:rsidR="00C84DCF" w:rsidRDefault="00C84DCF" w:rsidP="00473A87">
      <w:pPr>
        <w:pStyle w:val="4-SubsectionHeading"/>
        <w:rPr>
          <w:rFonts w:cstheme="minorHAnsi"/>
        </w:rPr>
      </w:pPr>
      <w:r>
        <w:t>Comparative h</w:t>
      </w:r>
      <w:r w:rsidRPr="00C84DCF">
        <w:t>arms</w:t>
      </w:r>
    </w:p>
    <w:p w14:paraId="45D5A9AD" w14:textId="5E2AF416" w:rsidR="00C84DCF" w:rsidRPr="00DF0E57" w:rsidRDefault="00C84DCF" w:rsidP="00DF0E57">
      <w:pPr>
        <w:pStyle w:val="3-BodyText"/>
        <w:rPr>
          <w:rFonts w:cstheme="minorHAnsi"/>
        </w:rPr>
      </w:pPr>
      <w:r w:rsidRPr="00345611">
        <w:rPr>
          <w:rFonts w:cstheme="minorHAnsi"/>
        </w:rPr>
        <w:t xml:space="preserve">Safety of a single dose HPV schedule </w:t>
      </w:r>
      <w:r>
        <w:rPr>
          <w:rFonts w:cstheme="minorHAnsi"/>
        </w:rPr>
        <w:t>wa</w:t>
      </w:r>
      <w:r w:rsidRPr="00345611">
        <w:rPr>
          <w:rFonts w:cstheme="minorHAnsi"/>
        </w:rPr>
        <w:t xml:space="preserve">s not reviewed in detail in </w:t>
      </w:r>
      <w:r>
        <w:rPr>
          <w:rFonts w:cstheme="minorHAnsi"/>
        </w:rPr>
        <w:t>the submission</w:t>
      </w:r>
      <w:r w:rsidRPr="00345611">
        <w:rPr>
          <w:rFonts w:cstheme="minorHAnsi"/>
        </w:rPr>
        <w:t xml:space="preserve">. However, it is anticipated that a single </w:t>
      </w:r>
      <w:r w:rsidR="004049DB">
        <w:rPr>
          <w:rFonts w:cstheme="minorHAnsi"/>
        </w:rPr>
        <w:t xml:space="preserve">injection </w:t>
      </w:r>
      <w:r w:rsidRPr="00345611">
        <w:rPr>
          <w:rFonts w:cstheme="minorHAnsi"/>
        </w:rPr>
        <w:t xml:space="preserve">compared with two injections will reduce the number of mild-moderate short term adverse events expected after any vaccine dose. In 2020, 91% of adolescents aged 12 to 13 years who received HPV </w:t>
      </w:r>
      <w:r w:rsidR="00DF0E57">
        <w:rPr>
          <w:rFonts w:cstheme="minorHAnsi"/>
        </w:rPr>
        <w:t>first</w:t>
      </w:r>
      <w:r w:rsidRPr="00345611">
        <w:rPr>
          <w:rFonts w:cstheme="minorHAnsi"/>
        </w:rPr>
        <w:t xml:space="preserve"> dose, concomitantly with the diphtheria, tetanus and whooping cough vaccine did not report any adverse event. As reported by AusVaxSafety, injection site pain, swelling or redness was the most commonly reported adverse event followed by tiredness, headache and fever.</w:t>
      </w:r>
      <w:r w:rsidRPr="001A4BF2">
        <w:t xml:space="preserve"> </w:t>
      </w:r>
      <w:r>
        <w:t>The submission noted that g</w:t>
      </w:r>
      <w:r w:rsidRPr="001A4BF2">
        <w:rPr>
          <w:rFonts w:cstheme="minorHAnsi"/>
        </w:rPr>
        <w:t>iven that evidence shows a single dose provides equivalent clinical protection to two doses, subjecting adolescents to the potential risk of adverse events after a second dose is not justifiable.</w:t>
      </w:r>
    </w:p>
    <w:p w14:paraId="3D03C6D5" w14:textId="312F55CD" w:rsidR="00BE3B0F" w:rsidRDefault="00BE3B0F" w:rsidP="00BE3B0F">
      <w:pPr>
        <w:pStyle w:val="4-SubsectionHeading"/>
        <w:keepNext/>
      </w:pPr>
      <w:r>
        <w:t>Clinical claim</w:t>
      </w:r>
    </w:p>
    <w:p w14:paraId="5ED86926" w14:textId="1E2CAAC9" w:rsidR="00EA6599" w:rsidRPr="00EA6599" w:rsidRDefault="00EA6599" w:rsidP="00EA6599">
      <w:pPr>
        <w:pStyle w:val="3-BodyText"/>
        <w:rPr>
          <w:rFonts w:eastAsia="Arial Narrow" w:cstheme="minorHAnsi"/>
          <w:color w:val="000000" w:themeColor="text1"/>
        </w:rPr>
      </w:pPr>
      <w:r w:rsidRPr="00EA6599">
        <w:rPr>
          <w:rFonts w:eastAsia="Arial Narrow" w:cstheme="minorHAnsi"/>
          <w:color w:val="000000" w:themeColor="text1"/>
        </w:rPr>
        <w:t xml:space="preserve">The submission described </w:t>
      </w:r>
      <w:r>
        <w:rPr>
          <w:rFonts w:eastAsia="Arial Narrow" w:cstheme="minorHAnsi"/>
          <w:color w:val="000000" w:themeColor="text1"/>
        </w:rPr>
        <w:t xml:space="preserve">that in the </w:t>
      </w:r>
      <w:r w:rsidRPr="00EA6599">
        <w:rPr>
          <w:rFonts w:eastAsia="Arial Narrow" w:cstheme="minorHAnsi"/>
          <w:color w:val="000000" w:themeColor="text1"/>
        </w:rPr>
        <w:t xml:space="preserve">immunocompetent population, </w:t>
      </w:r>
      <w:r w:rsidR="00527F0D">
        <w:rPr>
          <w:rFonts w:eastAsia="Arial Narrow" w:cstheme="minorHAnsi"/>
          <w:color w:val="000000" w:themeColor="text1"/>
        </w:rPr>
        <w:t xml:space="preserve">one </w:t>
      </w:r>
      <w:r w:rsidRPr="00EA6599">
        <w:rPr>
          <w:rFonts w:eastAsia="Arial Narrow" w:cstheme="minorHAnsi"/>
          <w:color w:val="000000" w:themeColor="text1"/>
        </w:rPr>
        <w:t xml:space="preserve">dose </w:t>
      </w:r>
      <w:r>
        <w:rPr>
          <w:rFonts w:eastAsia="Arial Narrow" w:cstheme="minorHAnsi"/>
          <w:color w:val="000000" w:themeColor="text1"/>
        </w:rPr>
        <w:t xml:space="preserve">of HPV vaccine </w:t>
      </w:r>
      <w:r w:rsidRPr="00EA6599">
        <w:rPr>
          <w:rFonts w:eastAsia="Arial Narrow" w:cstheme="minorHAnsi"/>
          <w:color w:val="000000" w:themeColor="text1"/>
        </w:rPr>
        <w:t xml:space="preserve">is non-inferior to </w:t>
      </w:r>
      <w:r w:rsidR="00527F0D">
        <w:rPr>
          <w:rFonts w:eastAsia="Arial Narrow" w:cstheme="minorHAnsi"/>
          <w:color w:val="000000" w:themeColor="text1"/>
        </w:rPr>
        <w:t>two</w:t>
      </w:r>
      <w:r w:rsidRPr="00EA6599">
        <w:rPr>
          <w:rFonts w:eastAsia="Arial Narrow" w:cstheme="minorHAnsi"/>
          <w:color w:val="000000" w:themeColor="text1"/>
        </w:rPr>
        <w:t xml:space="preserve"> or</w:t>
      </w:r>
      <w:r w:rsidR="00527F0D">
        <w:rPr>
          <w:rFonts w:eastAsia="Arial Narrow" w:cstheme="minorHAnsi"/>
          <w:color w:val="000000" w:themeColor="text1"/>
        </w:rPr>
        <w:t xml:space="preserve"> three </w:t>
      </w:r>
      <w:r w:rsidRPr="00EA6599">
        <w:rPr>
          <w:rFonts w:eastAsia="Arial Narrow" w:cstheme="minorHAnsi"/>
          <w:color w:val="000000" w:themeColor="text1"/>
        </w:rPr>
        <w:t xml:space="preserve">dose </w:t>
      </w:r>
      <w:r>
        <w:rPr>
          <w:rFonts w:eastAsia="Arial Narrow" w:cstheme="minorHAnsi"/>
          <w:color w:val="000000" w:themeColor="text1"/>
        </w:rPr>
        <w:t xml:space="preserve">of vaccine </w:t>
      </w:r>
      <w:r w:rsidRPr="00EA6599">
        <w:rPr>
          <w:rFonts w:eastAsia="Arial Narrow" w:cstheme="minorHAnsi"/>
          <w:color w:val="000000" w:themeColor="text1"/>
        </w:rPr>
        <w:t xml:space="preserve">in terms of </w:t>
      </w:r>
      <w:r>
        <w:rPr>
          <w:rFonts w:eastAsia="Arial Narrow" w:cstheme="minorHAnsi"/>
          <w:color w:val="000000" w:themeColor="text1"/>
        </w:rPr>
        <w:t>efficacy, with f</w:t>
      </w:r>
      <w:r>
        <w:t>ewer mild-moderate short term adverse events.</w:t>
      </w:r>
      <w:r w:rsidRPr="00EA6599">
        <w:rPr>
          <w:rFonts w:eastAsia="Arial Narrow" w:cstheme="minorHAnsi"/>
          <w:color w:val="000000" w:themeColor="text1"/>
        </w:rPr>
        <w:t xml:space="preserve"> </w:t>
      </w:r>
    </w:p>
    <w:p w14:paraId="6C16AD50" w14:textId="145F6232" w:rsidR="00BE3B0F" w:rsidRPr="00EA6599" w:rsidRDefault="00EA6599" w:rsidP="00EA6599">
      <w:pPr>
        <w:pStyle w:val="3-BodyText"/>
        <w:rPr>
          <w:rFonts w:eastAsia="Arial Narrow" w:cstheme="minorHAnsi"/>
          <w:color w:val="000000" w:themeColor="text1"/>
        </w:rPr>
      </w:pPr>
      <w:r>
        <w:rPr>
          <w:rFonts w:eastAsia="Arial Narrow" w:cs="Arial Narrow"/>
          <w:color w:val="000000" w:themeColor="text1"/>
        </w:rPr>
        <w:t xml:space="preserve">The PBAC considered </w:t>
      </w:r>
      <w:r w:rsidR="00030A2E">
        <w:rPr>
          <w:rFonts w:eastAsia="Arial Narrow" w:cs="Arial Narrow"/>
          <w:color w:val="000000" w:themeColor="text1"/>
        </w:rPr>
        <w:t xml:space="preserve">that </w:t>
      </w:r>
      <w:r>
        <w:rPr>
          <w:rFonts w:eastAsia="Arial Narrow" w:cs="Arial Narrow"/>
          <w:color w:val="000000" w:themeColor="text1"/>
        </w:rPr>
        <w:t xml:space="preserve">based on the clinical </w:t>
      </w:r>
      <w:r w:rsidR="00091798">
        <w:rPr>
          <w:rFonts w:eastAsia="Arial Narrow" w:cs="Arial Narrow"/>
          <w:color w:val="000000" w:themeColor="text1"/>
        </w:rPr>
        <w:t xml:space="preserve">and immunogencicity </w:t>
      </w:r>
      <w:r>
        <w:rPr>
          <w:rFonts w:eastAsia="Arial Narrow" w:cs="Arial Narrow"/>
          <w:color w:val="000000" w:themeColor="text1"/>
        </w:rPr>
        <w:t xml:space="preserve">evidence available, </w:t>
      </w:r>
      <w:r w:rsidRPr="00345611">
        <w:rPr>
          <w:rFonts w:eastAsia="Arial Narrow" w:cs="Arial Narrow"/>
          <w:color w:val="000000" w:themeColor="text1"/>
        </w:rPr>
        <w:t xml:space="preserve">it is likely that a single dose of 9vHPV vaccine is non-inferior in terms of efficacy as compared with a two dose schedule in non-immunocompromised individuals, and at least as </w:t>
      </w:r>
      <w:r w:rsidRPr="00345611">
        <w:rPr>
          <w:rFonts w:eastAsia="Arial Narrow" w:cstheme="minorHAnsi"/>
          <w:color w:val="000000" w:themeColor="text1"/>
        </w:rPr>
        <w:t xml:space="preserve">comparable if not more so, in </w:t>
      </w:r>
      <w:r w:rsidR="00404BCA">
        <w:rPr>
          <w:rFonts w:eastAsia="Arial Narrow" w:cstheme="minorHAnsi"/>
          <w:color w:val="000000" w:themeColor="text1"/>
        </w:rPr>
        <w:t xml:space="preserve">terms of </w:t>
      </w:r>
      <w:r w:rsidRPr="00345611">
        <w:rPr>
          <w:rFonts w:eastAsia="Arial Narrow" w:cstheme="minorHAnsi"/>
          <w:color w:val="000000" w:themeColor="text1"/>
        </w:rPr>
        <w:t>safety (a single compared with two injections will reduce the number of mild-moderate short term adverse events expected after any vaccine dose).</w:t>
      </w:r>
    </w:p>
    <w:p w14:paraId="5E9159F1" w14:textId="234D6B36" w:rsidR="00F04E72" w:rsidRDefault="00F04E72" w:rsidP="00C35256">
      <w:pPr>
        <w:pStyle w:val="4-SubsectionHeading"/>
        <w:keepNext/>
      </w:pPr>
      <w:r w:rsidRPr="007D3748">
        <w:t>Economic analysis</w:t>
      </w:r>
    </w:p>
    <w:p w14:paraId="73604CDE" w14:textId="4122E3B7" w:rsidR="008E5454" w:rsidRDefault="008E5454" w:rsidP="00F04E72">
      <w:pPr>
        <w:pStyle w:val="3-BodyText"/>
        <w:rPr>
          <w:lang w:eastAsia="en-US"/>
        </w:rPr>
      </w:pPr>
      <w:r w:rsidRPr="008E5454">
        <w:rPr>
          <w:lang w:eastAsia="en-US"/>
        </w:rPr>
        <w:t xml:space="preserve">The </w:t>
      </w:r>
      <w:r>
        <w:rPr>
          <w:lang w:eastAsia="en-US"/>
        </w:rPr>
        <w:t xml:space="preserve">PBAC </w:t>
      </w:r>
      <w:r w:rsidR="00057562">
        <w:rPr>
          <w:lang w:eastAsia="en-US"/>
        </w:rPr>
        <w:t xml:space="preserve">recalled in </w:t>
      </w:r>
      <w:r w:rsidR="0044231E">
        <w:rPr>
          <w:lang w:eastAsia="en-US"/>
        </w:rPr>
        <w:t xml:space="preserve">July 2017 that </w:t>
      </w:r>
      <w:r w:rsidR="0044231E" w:rsidRPr="0044231E">
        <w:rPr>
          <w:lang w:eastAsia="en-US"/>
        </w:rPr>
        <w:t>the cost effectiveness</w:t>
      </w:r>
      <w:r w:rsidR="00952370">
        <w:rPr>
          <w:lang w:eastAsia="en-US"/>
        </w:rPr>
        <w:t xml:space="preserve"> of 9</w:t>
      </w:r>
      <w:r w:rsidR="00C96A05">
        <w:rPr>
          <w:lang w:eastAsia="en-US"/>
        </w:rPr>
        <w:t>vHPV</w:t>
      </w:r>
      <w:r w:rsidR="0044231E" w:rsidRPr="0044231E">
        <w:rPr>
          <w:lang w:eastAsia="en-US"/>
        </w:rPr>
        <w:t xml:space="preserve"> was acceptable on the basis of the range of ICERs calculated by the evaluation (of </w:t>
      </w:r>
      <w:r w:rsidR="00091B0E" w:rsidRPr="00091B0E">
        <w:rPr>
          <w:lang w:eastAsia="en-US"/>
        </w:rPr>
        <w:t>$35,000 to &lt; $45,000</w:t>
      </w:r>
      <w:r w:rsidR="00091B0E">
        <w:rPr>
          <w:lang w:eastAsia="en-US"/>
        </w:rPr>
        <w:t xml:space="preserve"> </w:t>
      </w:r>
      <w:r w:rsidR="0044231E" w:rsidRPr="0044231E">
        <w:rPr>
          <w:lang w:eastAsia="en-US"/>
        </w:rPr>
        <w:t>per QALY gained, assuming the same price per dose for 4vHPV as for the 3-dose schedule (of $</w:t>
      </w:r>
      <w:r w:rsidR="00002ED7" w:rsidRPr="00E60EB7">
        <w:rPr>
          <w:color w:val="000000"/>
          <w:w w:val="15"/>
          <w:shd w:val="solid" w:color="000000" w:fill="000000"/>
          <w:fitText w:val="-20" w:id="-1279615231"/>
          <w:lang w:eastAsia="en-US"/>
          <w14:textFill>
            <w14:solidFill>
              <w14:srgbClr w14:val="000000">
                <w14:alpha w14:val="100000"/>
              </w14:srgbClr>
            </w14:solidFill>
          </w14:textFill>
        </w:rPr>
        <w:t xml:space="preserve">|  </w:t>
      </w:r>
      <w:r w:rsidR="00002ED7" w:rsidRPr="00E60EB7">
        <w:rPr>
          <w:color w:val="000000"/>
          <w:spacing w:val="-69"/>
          <w:w w:val="15"/>
          <w:shd w:val="solid" w:color="000000" w:fill="000000"/>
          <w:fitText w:val="-20" w:id="-1279615231"/>
          <w:lang w:eastAsia="en-US"/>
          <w14:textFill>
            <w14:solidFill>
              <w14:srgbClr w14:val="000000">
                <w14:alpha w14:val="100000"/>
              </w14:srgbClr>
            </w14:solidFill>
          </w14:textFill>
        </w:rPr>
        <w:t>|</w:t>
      </w:r>
      <w:r w:rsidR="0044231E" w:rsidRPr="0044231E">
        <w:rPr>
          <w:lang w:eastAsia="en-US"/>
        </w:rPr>
        <w:t xml:space="preserve">/dose)) and the sponsor (of </w:t>
      </w:r>
      <w:r w:rsidR="00091B0E" w:rsidRPr="00091B0E">
        <w:rPr>
          <w:lang w:eastAsia="en-US"/>
        </w:rPr>
        <w:t>$0 to &lt; $5,000</w:t>
      </w:r>
      <w:r w:rsidR="00091B0E">
        <w:rPr>
          <w:lang w:eastAsia="en-US"/>
        </w:rPr>
        <w:t xml:space="preserve"> </w:t>
      </w:r>
      <w:r w:rsidR="0044231E" w:rsidRPr="0044231E">
        <w:rPr>
          <w:lang w:eastAsia="en-US"/>
        </w:rPr>
        <w:t>per QALY gained (which assumed $</w:t>
      </w:r>
      <w:r w:rsidR="00002ED7" w:rsidRPr="00E60EB7">
        <w:rPr>
          <w:color w:val="000000"/>
          <w:w w:val="15"/>
          <w:shd w:val="solid" w:color="000000" w:fill="000000"/>
          <w:fitText w:val="-20" w:id="-1279615230"/>
          <w:lang w:eastAsia="en-US"/>
          <w14:textFill>
            <w14:solidFill>
              <w14:srgbClr w14:val="000000">
                <w14:alpha w14:val="100000"/>
              </w14:srgbClr>
            </w14:solidFill>
          </w14:textFill>
        </w:rPr>
        <w:t xml:space="preserve">|  </w:t>
      </w:r>
      <w:r w:rsidR="00002ED7" w:rsidRPr="00E60EB7">
        <w:rPr>
          <w:color w:val="000000"/>
          <w:spacing w:val="-69"/>
          <w:w w:val="15"/>
          <w:shd w:val="solid" w:color="000000" w:fill="000000"/>
          <w:fitText w:val="-20" w:id="-1279615230"/>
          <w:lang w:eastAsia="en-US"/>
          <w14:textFill>
            <w14:solidFill>
              <w14:srgbClr w14:val="000000">
                <w14:alpha w14:val="100000"/>
              </w14:srgbClr>
            </w14:solidFill>
          </w14:textFill>
        </w:rPr>
        <w:t>|</w:t>
      </w:r>
      <w:r w:rsidR="0044231E" w:rsidRPr="0044231E">
        <w:rPr>
          <w:lang w:eastAsia="en-US"/>
        </w:rPr>
        <w:t>/dose))</w:t>
      </w:r>
      <w:r w:rsidR="00F64247">
        <w:rPr>
          <w:lang w:eastAsia="en-US"/>
        </w:rPr>
        <w:t xml:space="preserve"> </w:t>
      </w:r>
      <w:r w:rsidRPr="008E5454">
        <w:rPr>
          <w:lang w:eastAsia="en-US"/>
        </w:rPr>
        <w:t xml:space="preserve">(paragraph </w:t>
      </w:r>
      <w:r w:rsidR="00E80AE8">
        <w:rPr>
          <w:lang w:eastAsia="en-US"/>
        </w:rPr>
        <w:t>7.15</w:t>
      </w:r>
      <w:r w:rsidRPr="008E5454">
        <w:rPr>
          <w:lang w:eastAsia="en-US"/>
        </w:rPr>
        <w:t>, human papillomavirus 9-valent vaccine (Gardasil</w:t>
      </w:r>
      <w:r w:rsidR="000278AD">
        <w:rPr>
          <w:lang w:eastAsia="en-US"/>
        </w:rPr>
        <w:t xml:space="preserve"> 9</w:t>
      </w:r>
      <w:r w:rsidRPr="008E5454">
        <w:rPr>
          <w:lang w:eastAsia="en-US"/>
        </w:rPr>
        <w:t xml:space="preserve">) </w:t>
      </w:r>
      <w:r w:rsidR="00BC5D35">
        <w:rPr>
          <w:lang w:eastAsia="en-US"/>
        </w:rPr>
        <w:t>Public Summary Document</w:t>
      </w:r>
      <w:r w:rsidRPr="008E5454">
        <w:rPr>
          <w:lang w:eastAsia="en-US"/>
        </w:rPr>
        <w:t>, July 2017 PBAC meeting). Once standard adolescent vaccines are accounted for, there are currently no additional subsidies for HPV vaccines for individuals 20 years of age and older under the NIP.</w:t>
      </w:r>
      <w:r w:rsidR="008C35CD">
        <w:rPr>
          <w:lang w:eastAsia="en-US"/>
        </w:rPr>
        <w:t xml:space="preserve"> </w:t>
      </w:r>
    </w:p>
    <w:p w14:paraId="5FDDAC1C" w14:textId="5282C4AC" w:rsidR="00C84DCF" w:rsidRDefault="00C84DCF" w:rsidP="00F04E72">
      <w:pPr>
        <w:pStyle w:val="3-BodyText"/>
        <w:rPr>
          <w:lang w:eastAsia="en-US"/>
        </w:rPr>
      </w:pPr>
      <w:r>
        <w:rPr>
          <w:lang w:eastAsia="en-US"/>
        </w:rPr>
        <w:t xml:space="preserve">No new economic evaluation was provided with this submission. </w:t>
      </w:r>
    </w:p>
    <w:p w14:paraId="1A423FFE" w14:textId="77777777" w:rsidR="00F04E72" w:rsidRPr="00C9624D" w:rsidRDefault="00F04E72" w:rsidP="00F04E72">
      <w:pPr>
        <w:pStyle w:val="4-SubsectionHeading"/>
      </w:pPr>
      <w:bookmarkStart w:id="3" w:name="_Toc22897647"/>
      <w:bookmarkStart w:id="4" w:name="_Toc111469193"/>
      <w:bookmarkStart w:id="5" w:name="_Toc113968827"/>
      <w:r w:rsidRPr="00C9624D">
        <w:t>Estimated PBS usage &amp; financial implications</w:t>
      </w:r>
      <w:bookmarkEnd w:id="3"/>
      <w:bookmarkEnd w:id="4"/>
      <w:bookmarkEnd w:id="5"/>
    </w:p>
    <w:p w14:paraId="2C8CECD8" w14:textId="2377BD97" w:rsidR="00AA5CEA" w:rsidRPr="00751150" w:rsidRDefault="00751150" w:rsidP="00751150">
      <w:pPr>
        <w:pStyle w:val="3-BodyText"/>
        <w:rPr>
          <w:rFonts w:ascii="Arial Narrow" w:hAnsi="Arial Narrow"/>
          <w:sz w:val="16"/>
          <w:szCs w:val="14"/>
          <w:lang w:eastAsia="en-US"/>
        </w:rPr>
      </w:pPr>
      <w:bookmarkStart w:id="6" w:name="_Ref117586867"/>
      <w:r>
        <w:rPr>
          <w:lang w:eastAsia="en-US"/>
        </w:rPr>
        <w:t>The</w:t>
      </w:r>
      <w:r w:rsidR="002E647D">
        <w:rPr>
          <w:lang w:eastAsia="en-US"/>
        </w:rPr>
        <w:t xml:space="preserve"> tables and figures below were presented in the </w:t>
      </w:r>
      <w:r>
        <w:rPr>
          <w:lang w:eastAsia="en-US"/>
        </w:rPr>
        <w:t xml:space="preserve">submission </w:t>
      </w:r>
      <w:r w:rsidR="002E647D">
        <w:rPr>
          <w:lang w:eastAsia="en-US"/>
        </w:rPr>
        <w:t xml:space="preserve">to provide </w:t>
      </w:r>
      <w:r w:rsidRPr="00751150">
        <w:rPr>
          <w:lang w:eastAsia="en-US"/>
        </w:rPr>
        <w:t>an estimate of the population who has been vaccinated with Gardasil</w:t>
      </w:r>
      <w:r>
        <w:rPr>
          <w:lang w:eastAsia="en-US"/>
        </w:rPr>
        <w:t xml:space="preserve"> </w:t>
      </w:r>
      <w:r w:rsidRPr="00751150">
        <w:rPr>
          <w:lang w:eastAsia="en-US"/>
        </w:rPr>
        <w:t>9 over the last 4 years</w:t>
      </w:r>
      <w:r>
        <w:rPr>
          <w:lang w:eastAsia="en-US"/>
        </w:rPr>
        <w:t xml:space="preserve"> based on t</w:t>
      </w:r>
      <w:r w:rsidRPr="00751150">
        <w:rPr>
          <w:lang w:eastAsia="en-US"/>
        </w:rPr>
        <w:t>he Department of Health and Aged Care’s Australian Immunisation Register (AIR) data</w:t>
      </w:r>
      <w:bookmarkEnd w:id="6"/>
      <w:r>
        <w:rPr>
          <w:lang w:eastAsia="en-US"/>
        </w:rPr>
        <w:t>.</w:t>
      </w:r>
    </w:p>
    <w:p w14:paraId="604D74F2" w14:textId="2823AD8C" w:rsidR="00751150" w:rsidRPr="00727013" w:rsidRDefault="00751150" w:rsidP="00751150">
      <w:pPr>
        <w:rPr>
          <w:rFonts w:ascii="Arial Narrow" w:hAnsi="Arial Narrow" w:cs="Arial"/>
          <w:b/>
          <w:bCs/>
          <w:color w:val="000000" w:themeColor="text1"/>
          <w:sz w:val="20"/>
          <w:szCs w:val="20"/>
        </w:rPr>
      </w:pPr>
      <w:r w:rsidRPr="00473A87">
        <w:rPr>
          <w:rFonts w:ascii="Arial Narrow" w:hAnsi="Arial Narrow" w:cs="Arial"/>
          <w:b/>
          <w:bCs/>
          <w:color w:val="000000" w:themeColor="text1"/>
          <w:sz w:val="20"/>
          <w:szCs w:val="20"/>
        </w:rPr>
        <w:t xml:space="preserve">Table </w:t>
      </w:r>
      <w:r w:rsidR="00FB3B52" w:rsidRPr="00473A87">
        <w:rPr>
          <w:rFonts w:ascii="Arial Narrow" w:hAnsi="Arial Narrow" w:cs="Arial"/>
          <w:b/>
          <w:bCs/>
          <w:color w:val="000000" w:themeColor="text1"/>
          <w:sz w:val="20"/>
          <w:szCs w:val="20"/>
        </w:rPr>
        <w:t>3</w:t>
      </w:r>
      <w:r w:rsidRPr="00473A87">
        <w:rPr>
          <w:rFonts w:ascii="Arial Narrow" w:hAnsi="Arial Narrow" w:cs="Arial"/>
          <w:b/>
          <w:bCs/>
          <w:color w:val="000000" w:themeColor="text1"/>
          <w:sz w:val="20"/>
          <w:szCs w:val="20"/>
        </w:rPr>
        <w:t>:</w:t>
      </w:r>
      <w:r w:rsidRPr="00FB3B52">
        <w:rPr>
          <w:rFonts w:ascii="Arial Narrow" w:hAnsi="Arial Narrow" w:cs="Arial"/>
          <w:b/>
          <w:bCs/>
          <w:color w:val="000000" w:themeColor="text1"/>
          <w:sz w:val="20"/>
          <w:szCs w:val="20"/>
        </w:rPr>
        <w:t xml:space="preserve"> HPV vaccination coverage (%) at 15 years of age, by gender and Indigenous status in Australia 2020 and 2021</w:t>
      </w:r>
    </w:p>
    <w:tbl>
      <w:tblPr>
        <w:tblStyle w:val="TableGrid"/>
        <w:tblW w:w="5000" w:type="pct"/>
        <w:tblLook w:val="04A0" w:firstRow="1" w:lastRow="0" w:firstColumn="1" w:lastColumn="0" w:noHBand="0" w:noVBand="1"/>
      </w:tblPr>
      <w:tblGrid>
        <w:gridCol w:w="2221"/>
        <w:gridCol w:w="1754"/>
        <w:gridCol w:w="1755"/>
        <w:gridCol w:w="1643"/>
        <w:gridCol w:w="1643"/>
      </w:tblGrid>
      <w:tr w:rsidR="00751150" w:rsidRPr="000278AD" w14:paraId="36AB561A" w14:textId="77777777" w:rsidTr="00751150">
        <w:tc>
          <w:tcPr>
            <w:tcW w:w="1232" w:type="pct"/>
            <w:shd w:val="clear" w:color="auto" w:fill="BFBFBF" w:themeFill="background1" w:themeFillShade="BF"/>
          </w:tcPr>
          <w:p w14:paraId="168C455A" w14:textId="77777777" w:rsidR="00751150" w:rsidRPr="00473A87" w:rsidRDefault="00751150" w:rsidP="003522FD">
            <w:pPr>
              <w:keepNext/>
              <w:keepLines/>
              <w:rPr>
                <w:rFonts w:ascii="Arial Narrow" w:hAnsi="Arial Narrow" w:cs="Arial"/>
                <w:b/>
                <w:sz w:val="20"/>
                <w:szCs w:val="20"/>
              </w:rPr>
            </w:pPr>
            <w:r w:rsidRPr="00473A87">
              <w:rPr>
                <w:rFonts w:ascii="Arial Narrow" w:hAnsi="Arial Narrow" w:cs="Arial"/>
                <w:b/>
                <w:sz w:val="20"/>
                <w:szCs w:val="20"/>
              </w:rPr>
              <w:t>Population**</w:t>
            </w:r>
          </w:p>
        </w:tc>
        <w:tc>
          <w:tcPr>
            <w:tcW w:w="1945" w:type="pct"/>
            <w:gridSpan w:val="2"/>
            <w:shd w:val="clear" w:color="auto" w:fill="BFBFBF" w:themeFill="background1" w:themeFillShade="BF"/>
          </w:tcPr>
          <w:p w14:paraId="1E4D5494" w14:textId="77777777" w:rsidR="00751150" w:rsidRPr="00473A87" w:rsidRDefault="00751150" w:rsidP="003522FD">
            <w:pPr>
              <w:keepNext/>
              <w:keepLines/>
              <w:rPr>
                <w:rFonts w:ascii="Arial Narrow" w:hAnsi="Arial Narrow" w:cs="Arial"/>
                <w:b/>
                <w:sz w:val="20"/>
                <w:szCs w:val="20"/>
              </w:rPr>
            </w:pPr>
            <w:r w:rsidRPr="00473A87">
              <w:rPr>
                <w:rFonts w:ascii="Arial Narrow" w:hAnsi="Arial Narrow" w:cs="Arial"/>
                <w:b/>
                <w:sz w:val="20"/>
                <w:szCs w:val="20"/>
              </w:rPr>
              <w:t>2020</w:t>
            </w:r>
          </w:p>
        </w:tc>
        <w:tc>
          <w:tcPr>
            <w:tcW w:w="1822" w:type="pct"/>
            <w:gridSpan w:val="2"/>
            <w:shd w:val="clear" w:color="auto" w:fill="BFBFBF" w:themeFill="background1" w:themeFillShade="BF"/>
          </w:tcPr>
          <w:p w14:paraId="17B2852A" w14:textId="77777777" w:rsidR="00751150" w:rsidRPr="00473A87" w:rsidRDefault="00751150" w:rsidP="003522FD">
            <w:pPr>
              <w:keepNext/>
              <w:keepLines/>
              <w:rPr>
                <w:rFonts w:ascii="Arial Narrow" w:hAnsi="Arial Narrow" w:cs="Arial"/>
                <w:b/>
                <w:sz w:val="20"/>
                <w:szCs w:val="20"/>
              </w:rPr>
            </w:pPr>
            <w:r w:rsidRPr="00473A87">
              <w:rPr>
                <w:rFonts w:ascii="Arial Narrow" w:hAnsi="Arial Narrow" w:cs="Arial"/>
                <w:b/>
                <w:sz w:val="20"/>
                <w:szCs w:val="20"/>
              </w:rPr>
              <w:t>2021</w:t>
            </w:r>
          </w:p>
        </w:tc>
      </w:tr>
      <w:tr w:rsidR="00751150" w:rsidRPr="000278AD" w14:paraId="5158D708" w14:textId="77777777" w:rsidTr="00751150">
        <w:tc>
          <w:tcPr>
            <w:tcW w:w="1232" w:type="pct"/>
            <w:shd w:val="clear" w:color="auto" w:fill="BFBFBF" w:themeFill="background1" w:themeFillShade="BF"/>
          </w:tcPr>
          <w:p w14:paraId="661305F9" w14:textId="77777777" w:rsidR="00751150" w:rsidRPr="00473A87" w:rsidRDefault="00751150" w:rsidP="003522FD">
            <w:pPr>
              <w:keepNext/>
              <w:keepLines/>
              <w:rPr>
                <w:rFonts w:ascii="Arial Narrow" w:hAnsi="Arial Narrow" w:cs="Arial"/>
                <w:b/>
                <w:sz w:val="20"/>
                <w:szCs w:val="20"/>
              </w:rPr>
            </w:pPr>
          </w:p>
        </w:tc>
        <w:tc>
          <w:tcPr>
            <w:tcW w:w="973" w:type="pct"/>
            <w:shd w:val="clear" w:color="auto" w:fill="BFBFBF" w:themeFill="background1" w:themeFillShade="BF"/>
          </w:tcPr>
          <w:p w14:paraId="02D91C32" w14:textId="77777777" w:rsidR="00751150" w:rsidRPr="00473A87" w:rsidRDefault="00751150" w:rsidP="003522FD">
            <w:pPr>
              <w:keepNext/>
              <w:keepLines/>
              <w:rPr>
                <w:rFonts w:ascii="Arial Narrow" w:hAnsi="Arial Narrow" w:cs="Arial"/>
                <w:b/>
                <w:sz w:val="20"/>
                <w:szCs w:val="20"/>
              </w:rPr>
            </w:pPr>
            <w:r w:rsidRPr="00473A87">
              <w:rPr>
                <w:rFonts w:ascii="Arial Narrow" w:hAnsi="Arial Narrow" w:cs="Arial"/>
                <w:b/>
                <w:sz w:val="20"/>
                <w:szCs w:val="20"/>
              </w:rPr>
              <w:t>Dose 1</w:t>
            </w:r>
          </w:p>
        </w:tc>
        <w:tc>
          <w:tcPr>
            <w:tcW w:w="973" w:type="pct"/>
            <w:shd w:val="clear" w:color="auto" w:fill="BFBFBF" w:themeFill="background1" w:themeFillShade="BF"/>
          </w:tcPr>
          <w:p w14:paraId="5E1B4B81" w14:textId="77777777" w:rsidR="00751150" w:rsidRPr="00473A87" w:rsidRDefault="00751150" w:rsidP="003522FD">
            <w:pPr>
              <w:keepNext/>
              <w:keepLines/>
              <w:rPr>
                <w:rFonts w:ascii="Arial Narrow" w:hAnsi="Arial Narrow" w:cs="Arial"/>
                <w:b/>
                <w:sz w:val="20"/>
                <w:szCs w:val="20"/>
              </w:rPr>
            </w:pPr>
            <w:r w:rsidRPr="00473A87">
              <w:rPr>
                <w:rFonts w:ascii="Arial Narrow" w:hAnsi="Arial Narrow" w:cs="Arial"/>
                <w:b/>
                <w:sz w:val="20"/>
                <w:szCs w:val="20"/>
              </w:rPr>
              <w:t>Dose 2</w:t>
            </w:r>
          </w:p>
        </w:tc>
        <w:tc>
          <w:tcPr>
            <w:tcW w:w="911" w:type="pct"/>
            <w:shd w:val="clear" w:color="auto" w:fill="BFBFBF" w:themeFill="background1" w:themeFillShade="BF"/>
          </w:tcPr>
          <w:p w14:paraId="582C8D8C" w14:textId="77777777" w:rsidR="00751150" w:rsidRPr="00473A87" w:rsidRDefault="00751150" w:rsidP="003522FD">
            <w:pPr>
              <w:keepNext/>
              <w:keepLines/>
              <w:rPr>
                <w:rFonts w:ascii="Arial Narrow" w:hAnsi="Arial Narrow" w:cs="Arial"/>
                <w:b/>
                <w:sz w:val="20"/>
                <w:szCs w:val="20"/>
              </w:rPr>
            </w:pPr>
            <w:r w:rsidRPr="00473A87">
              <w:rPr>
                <w:rFonts w:ascii="Arial Narrow" w:hAnsi="Arial Narrow" w:cs="Arial"/>
                <w:b/>
                <w:sz w:val="20"/>
                <w:szCs w:val="20"/>
              </w:rPr>
              <w:t>Dose 1</w:t>
            </w:r>
          </w:p>
        </w:tc>
        <w:tc>
          <w:tcPr>
            <w:tcW w:w="911" w:type="pct"/>
            <w:shd w:val="clear" w:color="auto" w:fill="BFBFBF" w:themeFill="background1" w:themeFillShade="BF"/>
          </w:tcPr>
          <w:p w14:paraId="403F241A" w14:textId="77777777" w:rsidR="00751150" w:rsidRPr="00473A87" w:rsidRDefault="00751150" w:rsidP="003522FD">
            <w:pPr>
              <w:keepNext/>
              <w:keepLines/>
              <w:rPr>
                <w:rFonts w:ascii="Arial Narrow" w:hAnsi="Arial Narrow" w:cs="Arial"/>
                <w:b/>
                <w:sz w:val="20"/>
                <w:szCs w:val="20"/>
              </w:rPr>
            </w:pPr>
            <w:r w:rsidRPr="00473A87">
              <w:rPr>
                <w:rFonts w:ascii="Arial Narrow" w:hAnsi="Arial Narrow" w:cs="Arial"/>
                <w:b/>
                <w:sz w:val="20"/>
                <w:szCs w:val="20"/>
              </w:rPr>
              <w:t>Dose 2</w:t>
            </w:r>
          </w:p>
        </w:tc>
      </w:tr>
      <w:tr w:rsidR="00751150" w:rsidRPr="000278AD" w14:paraId="44258219" w14:textId="77777777" w:rsidTr="00473A87">
        <w:trPr>
          <w:trHeight w:val="147"/>
        </w:trPr>
        <w:tc>
          <w:tcPr>
            <w:tcW w:w="1232" w:type="pct"/>
          </w:tcPr>
          <w:p w14:paraId="583E22B9" w14:textId="77777777" w:rsidR="00751150" w:rsidRPr="00473A87" w:rsidRDefault="00751150" w:rsidP="00473A87">
            <w:pPr>
              <w:rPr>
                <w:rFonts w:ascii="Arial Narrow" w:hAnsi="Arial Narrow" w:cs="Arial"/>
                <w:sz w:val="20"/>
                <w:szCs w:val="20"/>
                <w:lang w:val="en-US"/>
              </w:rPr>
            </w:pPr>
            <w:r w:rsidRPr="00473A87">
              <w:rPr>
                <w:rFonts w:ascii="Arial Narrow" w:hAnsi="Arial Narrow" w:cs="Arial"/>
                <w:sz w:val="20"/>
                <w:szCs w:val="20"/>
                <w:lang w:val="en-US"/>
              </w:rPr>
              <w:t xml:space="preserve">All adolescents </w:t>
            </w:r>
          </w:p>
        </w:tc>
        <w:tc>
          <w:tcPr>
            <w:tcW w:w="973" w:type="pct"/>
          </w:tcPr>
          <w:p w14:paraId="62C704B9" w14:textId="77777777" w:rsidR="00751150" w:rsidRPr="00473A87" w:rsidRDefault="00751150" w:rsidP="000278AD">
            <w:pPr>
              <w:rPr>
                <w:rFonts w:ascii="Arial Narrow" w:hAnsi="Arial Narrow" w:cs="Arial"/>
                <w:sz w:val="20"/>
                <w:szCs w:val="20"/>
                <w:lang w:val="en-US"/>
              </w:rPr>
            </w:pPr>
          </w:p>
        </w:tc>
        <w:tc>
          <w:tcPr>
            <w:tcW w:w="973" w:type="pct"/>
          </w:tcPr>
          <w:p w14:paraId="080D0E2B" w14:textId="77777777" w:rsidR="00751150" w:rsidRPr="00473A87" w:rsidRDefault="00751150" w:rsidP="00727013">
            <w:pPr>
              <w:rPr>
                <w:rFonts w:ascii="Arial Narrow" w:hAnsi="Arial Narrow" w:cs="Arial"/>
                <w:sz w:val="20"/>
                <w:szCs w:val="20"/>
                <w:lang w:val="en-US"/>
              </w:rPr>
            </w:pPr>
          </w:p>
        </w:tc>
        <w:tc>
          <w:tcPr>
            <w:tcW w:w="911" w:type="pct"/>
          </w:tcPr>
          <w:p w14:paraId="77E53CBE" w14:textId="77777777" w:rsidR="00751150" w:rsidRPr="00473A87" w:rsidRDefault="00751150" w:rsidP="00727013">
            <w:pPr>
              <w:rPr>
                <w:rFonts w:ascii="Arial Narrow" w:hAnsi="Arial Narrow" w:cs="Arial"/>
                <w:sz w:val="20"/>
                <w:szCs w:val="20"/>
                <w:lang w:val="en-US"/>
              </w:rPr>
            </w:pPr>
          </w:p>
        </w:tc>
        <w:tc>
          <w:tcPr>
            <w:tcW w:w="911" w:type="pct"/>
          </w:tcPr>
          <w:p w14:paraId="30583CE9" w14:textId="77777777" w:rsidR="00751150" w:rsidRPr="00473A87" w:rsidRDefault="00751150" w:rsidP="00727013">
            <w:pPr>
              <w:rPr>
                <w:rFonts w:ascii="Arial Narrow" w:hAnsi="Arial Narrow" w:cs="Arial"/>
                <w:sz w:val="20"/>
                <w:szCs w:val="20"/>
                <w:lang w:val="en-US"/>
              </w:rPr>
            </w:pPr>
          </w:p>
        </w:tc>
      </w:tr>
      <w:tr w:rsidR="00751150" w:rsidRPr="000278AD" w14:paraId="6D0B16E6" w14:textId="77777777" w:rsidTr="00751150">
        <w:tc>
          <w:tcPr>
            <w:tcW w:w="1232" w:type="pct"/>
          </w:tcPr>
          <w:p w14:paraId="6DFCCF8C" w14:textId="77777777" w:rsidR="00751150" w:rsidRPr="00473A87" w:rsidRDefault="00751150" w:rsidP="003522FD">
            <w:pPr>
              <w:ind w:left="720"/>
              <w:rPr>
                <w:rFonts w:ascii="Arial Narrow" w:hAnsi="Arial Narrow" w:cs="Arial"/>
                <w:sz w:val="20"/>
                <w:szCs w:val="20"/>
                <w:lang w:val="en-US"/>
              </w:rPr>
            </w:pPr>
            <w:r w:rsidRPr="00473A87">
              <w:rPr>
                <w:rFonts w:ascii="Arial Narrow" w:hAnsi="Arial Narrow" w:cs="Arial"/>
                <w:sz w:val="20"/>
                <w:szCs w:val="20"/>
                <w:lang w:val="en-US"/>
              </w:rPr>
              <w:t>Girls</w:t>
            </w:r>
          </w:p>
        </w:tc>
        <w:tc>
          <w:tcPr>
            <w:tcW w:w="973" w:type="pct"/>
            <w:shd w:val="clear" w:color="auto" w:fill="EEECE1" w:themeFill="background2"/>
          </w:tcPr>
          <w:p w14:paraId="16B31F3B" w14:textId="77777777" w:rsidR="00751150" w:rsidRPr="00473A87" w:rsidRDefault="00751150" w:rsidP="003522FD">
            <w:pPr>
              <w:rPr>
                <w:rFonts w:ascii="Arial Narrow" w:hAnsi="Arial Narrow" w:cs="Arial"/>
                <w:b/>
                <w:bCs/>
                <w:sz w:val="20"/>
                <w:szCs w:val="20"/>
                <w:lang w:val="en-US"/>
              </w:rPr>
            </w:pPr>
            <w:r w:rsidRPr="00473A87">
              <w:rPr>
                <w:rFonts w:ascii="Arial Narrow" w:hAnsi="Arial Narrow" w:cs="Arial"/>
                <w:b/>
                <w:bCs/>
                <w:sz w:val="20"/>
                <w:szCs w:val="20"/>
                <w:lang w:val="en-US"/>
              </w:rPr>
              <w:t>86.6</w:t>
            </w:r>
          </w:p>
        </w:tc>
        <w:tc>
          <w:tcPr>
            <w:tcW w:w="973" w:type="pct"/>
          </w:tcPr>
          <w:p w14:paraId="70C1C72A" w14:textId="77777777" w:rsidR="00751150" w:rsidRPr="00473A87" w:rsidRDefault="00751150" w:rsidP="003522FD">
            <w:pPr>
              <w:rPr>
                <w:rFonts w:ascii="Arial Narrow" w:hAnsi="Arial Narrow" w:cs="Arial"/>
                <w:sz w:val="20"/>
                <w:szCs w:val="20"/>
                <w:lang w:val="en-US"/>
              </w:rPr>
            </w:pPr>
            <w:r w:rsidRPr="00473A87">
              <w:rPr>
                <w:rFonts w:ascii="Arial Narrow" w:hAnsi="Arial Narrow" w:cs="Arial"/>
                <w:sz w:val="20"/>
                <w:szCs w:val="20"/>
                <w:lang w:val="en-US"/>
              </w:rPr>
              <w:t>80.5</w:t>
            </w:r>
          </w:p>
        </w:tc>
        <w:tc>
          <w:tcPr>
            <w:tcW w:w="911" w:type="pct"/>
            <w:shd w:val="clear" w:color="auto" w:fill="EEECE1" w:themeFill="background2"/>
          </w:tcPr>
          <w:p w14:paraId="550280F4" w14:textId="77777777" w:rsidR="00751150" w:rsidRPr="00473A87" w:rsidRDefault="00751150" w:rsidP="003522FD">
            <w:pPr>
              <w:rPr>
                <w:rFonts w:ascii="Arial Narrow" w:hAnsi="Arial Narrow" w:cs="Arial"/>
                <w:b/>
                <w:bCs/>
                <w:sz w:val="20"/>
                <w:szCs w:val="20"/>
                <w:lang w:val="en-US"/>
              </w:rPr>
            </w:pPr>
            <w:r w:rsidRPr="00473A87">
              <w:rPr>
                <w:rFonts w:ascii="Arial Narrow" w:hAnsi="Arial Narrow" w:cs="Arial"/>
                <w:b/>
                <w:bCs/>
                <w:sz w:val="20"/>
                <w:szCs w:val="20"/>
                <w:lang w:val="en-US"/>
              </w:rPr>
              <w:t>86.2</w:t>
            </w:r>
          </w:p>
        </w:tc>
        <w:tc>
          <w:tcPr>
            <w:tcW w:w="911" w:type="pct"/>
          </w:tcPr>
          <w:p w14:paraId="5C1A03A7" w14:textId="77777777" w:rsidR="00751150" w:rsidRPr="00473A87" w:rsidRDefault="00751150" w:rsidP="003522FD">
            <w:pPr>
              <w:rPr>
                <w:rFonts w:ascii="Arial Narrow" w:hAnsi="Arial Narrow" w:cs="Arial"/>
                <w:sz w:val="20"/>
                <w:szCs w:val="20"/>
                <w:lang w:val="en-US"/>
              </w:rPr>
            </w:pPr>
            <w:r w:rsidRPr="00473A87">
              <w:rPr>
                <w:rFonts w:ascii="Arial Narrow" w:hAnsi="Arial Narrow" w:cs="Arial"/>
                <w:sz w:val="20"/>
                <w:szCs w:val="20"/>
                <w:lang w:val="en-US"/>
              </w:rPr>
              <w:t>80.3</w:t>
            </w:r>
          </w:p>
        </w:tc>
      </w:tr>
      <w:tr w:rsidR="00751150" w:rsidRPr="000278AD" w14:paraId="63202C07" w14:textId="77777777" w:rsidTr="00751150">
        <w:tc>
          <w:tcPr>
            <w:tcW w:w="1232" w:type="pct"/>
          </w:tcPr>
          <w:p w14:paraId="5D7A71B6" w14:textId="77777777" w:rsidR="00751150" w:rsidRPr="00473A87" w:rsidRDefault="00751150" w:rsidP="003522FD">
            <w:pPr>
              <w:ind w:left="720"/>
              <w:rPr>
                <w:rFonts w:ascii="Arial Narrow" w:hAnsi="Arial Narrow" w:cs="Arial"/>
                <w:sz w:val="20"/>
                <w:szCs w:val="20"/>
                <w:lang w:val="en-US"/>
              </w:rPr>
            </w:pPr>
            <w:r w:rsidRPr="00473A87">
              <w:rPr>
                <w:rFonts w:ascii="Arial Narrow" w:hAnsi="Arial Narrow" w:cs="Arial"/>
                <w:sz w:val="20"/>
                <w:szCs w:val="20"/>
                <w:lang w:val="en-US"/>
              </w:rPr>
              <w:t>Boys</w:t>
            </w:r>
          </w:p>
        </w:tc>
        <w:tc>
          <w:tcPr>
            <w:tcW w:w="973" w:type="pct"/>
            <w:shd w:val="clear" w:color="auto" w:fill="EEECE1" w:themeFill="background2"/>
          </w:tcPr>
          <w:p w14:paraId="3D692C35" w14:textId="77777777" w:rsidR="00751150" w:rsidRPr="00473A87" w:rsidRDefault="00751150" w:rsidP="003522FD">
            <w:pPr>
              <w:rPr>
                <w:rFonts w:ascii="Arial Narrow" w:hAnsi="Arial Narrow" w:cs="Arial"/>
                <w:b/>
                <w:bCs/>
                <w:sz w:val="20"/>
                <w:szCs w:val="20"/>
                <w:lang w:val="en-US"/>
              </w:rPr>
            </w:pPr>
            <w:r w:rsidRPr="00473A87">
              <w:rPr>
                <w:rFonts w:ascii="Arial Narrow" w:hAnsi="Arial Narrow" w:cs="Arial"/>
                <w:b/>
                <w:bCs/>
                <w:sz w:val="20"/>
                <w:szCs w:val="20"/>
                <w:lang w:val="en-US"/>
              </w:rPr>
              <w:t>84.9</w:t>
            </w:r>
          </w:p>
        </w:tc>
        <w:tc>
          <w:tcPr>
            <w:tcW w:w="973" w:type="pct"/>
          </w:tcPr>
          <w:p w14:paraId="06D1C5F9" w14:textId="77777777" w:rsidR="00751150" w:rsidRPr="00473A87" w:rsidRDefault="00751150" w:rsidP="003522FD">
            <w:pPr>
              <w:rPr>
                <w:rFonts w:ascii="Arial Narrow" w:hAnsi="Arial Narrow" w:cs="Arial"/>
                <w:sz w:val="20"/>
                <w:szCs w:val="20"/>
                <w:lang w:val="en-US"/>
              </w:rPr>
            </w:pPr>
            <w:r w:rsidRPr="00473A87">
              <w:rPr>
                <w:rFonts w:ascii="Arial Narrow" w:hAnsi="Arial Narrow" w:cs="Arial"/>
                <w:sz w:val="20"/>
                <w:szCs w:val="20"/>
                <w:lang w:val="en-US"/>
              </w:rPr>
              <w:t>77.6</w:t>
            </w:r>
          </w:p>
        </w:tc>
        <w:tc>
          <w:tcPr>
            <w:tcW w:w="911" w:type="pct"/>
            <w:shd w:val="clear" w:color="auto" w:fill="EEECE1" w:themeFill="background2"/>
          </w:tcPr>
          <w:p w14:paraId="38A49755" w14:textId="77777777" w:rsidR="00751150" w:rsidRPr="00473A87" w:rsidRDefault="00751150" w:rsidP="003522FD">
            <w:pPr>
              <w:rPr>
                <w:rFonts w:ascii="Arial Narrow" w:hAnsi="Arial Narrow" w:cs="Arial"/>
                <w:b/>
                <w:bCs/>
                <w:sz w:val="20"/>
                <w:szCs w:val="20"/>
                <w:lang w:val="en-US"/>
              </w:rPr>
            </w:pPr>
            <w:r w:rsidRPr="00473A87">
              <w:rPr>
                <w:rFonts w:ascii="Arial Narrow" w:hAnsi="Arial Narrow" w:cs="Arial"/>
                <w:b/>
                <w:bCs/>
                <w:sz w:val="20"/>
                <w:szCs w:val="20"/>
                <w:lang w:val="en-US"/>
              </w:rPr>
              <w:t>84.4</w:t>
            </w:r>
          </w:p>
        </w:tc>
        <w:tc>
          <w:tcPr>
            <w:tcW w:w="911" w:type="pct"/>
          </w:tcPr>
          <w:p w14:paraId="1D4E625C" w14:textId="77777777" w:rsidR="00751150" w:rsidRPr="00473A87" w:rsidRDefault="00751150" w:rsidP="003522FD">
            <w:pPr>
              <w:rPr>
                <w:rFonts w:ascii="Arial Narrow" w:hAnsi="Arial Narrow" w:cs="Arial"/>
                <w:sz w:val="20"/>
                <w:szCs w:val="20"/>
                <w:lang w:val="en-US"/>
              </w:rPr>
            </w:pPr>
            <w:r w:rsidRPr="00473A87">
              <w:rPr>
                <w:rFonts w:ascii="Arial Narrow" w:hAnsi="Arial Narrow" w:cs="Arial"/>
                <w:sz w:val="20"/>
                <w:szCs w:val="20"/>
                <w:lang w:val="en-US"/>
              </w:rPr>
              <w:t>77.2</w:t>
            </w:r>
          </w:p>
        </w:tc>
      </w:tr>
      <w:tr w:rsidR="00751150" w:rsidRPr="000278AD" w14:paraId="2EE9D044" w14:textId="77777777" w:rsidTr="00751150">
        <w:trPr>
          <w:trHeight w:val="290"/>
        </w:trPr>
        <w:tc>
          <w:tcPr>
            <w:tcW w:w="1232" w:type="pct"/>
          </w:tcPr>
          <w:p w14:paraId="6445E2C1" w14:textId="77777777" w:rsidR="00751150" w:rsidRPr="00473A87" w:rsidRDefault="00751150" w:rsidP="00473A87">
            <w:pPr>
              <w:rPr>
                <w:rFonts w:ascii="Arial Narrow" w:hAnsi="Arial Narrow" w:cs="Arial"/>
                <w:sz w:val="20"/>
                <w:szCs w:val="20"/>
                <w:lang w:val="en-US"/>
              </w:rPr>
            </w:pPr>
            <w:r w:rsidRPr="00473A87">
              <w:rPr>
                <w:rFonts w:ascii="Arial Narrow" w:hAnsi="Arial Narrow" w:cs="Arial"/>
                <w:sz w:val="20"/>
                <w:szCs w:val="20"/>
              </w:rPr>
              <w:t>Indigenous adolescents</w:t>
            </w:r>
          </w:p>
        </w:tc>
        <w:tc>
          <w:tcPr>
            <w:tcW w:w="973" w:type="pct"/>
            <w:shd w:val="clear" w:color="auto" w:fill="EEECE1" w:themeFill="background2"/>
          </w:tcPr>
          <w:p w14:paraId="6818FAA0" w14:textId="77777777" w:rsidR="00751150" w:rsidRPr="00473A87" w:rsidRDefault="00751150" w:rsidP="000278AD">
            <w:pPr>
              <w:rPr>
                <w:rFonts w:ascii="Arial Narrow" w:hAnsi="Arial Narrow" w:cs="Arial"/>
                <w:b/>
                <w:bCs/>
                <w:sz w:val="20"/>
                <w:szCs w:val="20"/>
                <w:lang w:val="en-US"/>
              </w:rPr>
            </w:pPr>
          </w:p>
        </w:tc>
        <w:tc>
          <w:tcPr>
            <w:tcW w:w="973" w:type="pct"/>
          </w:tcPr>
          <w:p w14:paraId="2153B746" w14:textId="77777777" w:rsidR="00751150" w:rsidRPr="00473A87" w:rsidRDefault="00751150" w:rsidP="00727013">
            <w:pPr>
              <w:rPr>
                <w:rFonts w:ascii="Arial Narrow" w:hAnsi="Arial Narrow" w:cs="Arial"/>
                <w:sz w:val="20"/>
                <w:szCs w:val="20"/>
                <w:lang w:val="en-US"/>
              </w:rPr>
            </w:pPr>
          </w:p>
        </w:tc>
        <w:tc>
          <w:tcPr>
            <w:tcW w:w="911" w:type="pct"/>
            <w:shd w:val="clear" w:color="auto" w:fill="EEECE1" w:themeFill="background2"/>
          </w:tcPr>
          <w:p w14:paraId="23AAC888" w14:textId="77777777" w:rsidR="00751150" w:rsidRPr="00473A87" w:rsidRDefault="00751150" w:rsidP="00727013">
            <w:pPr>
              <w:rPr>
                <w:rFonts w:ascii="Arial Narrow" w:hAnsi="Arial Narrow" w:cs="Arial"/>
                <w:b/>
                <w:bCs/>
                <w:sz w:val="20"/>
                <w:szCs w:val="20"/>
                <w:lang w:val="en-US"/>
              </w:rPr>
            </w:pPr>
          </w:p>
        </w:tc>
        <w:tc>
          <w:tcPr>
            <w:tcW w:w="911" w:type="pct"/>
          </w:tcPr>
          <w:p w14:paraId="69DBC38C" w14:textId="77777777" w:rsidR="00751150" w:rsidRPr="00473A87" w:rsidRDefault="00751150" w:rsidP="00727013">
            <w:pPr>
              <w:rPr>
                <w:rFonts w:ascii="Arial Narrow" w:hAnsi="Arial Narrow" w:cs="Arial"/>
                <w:sz w:val="20"/>
                <w:szCs w:val="20"/>
                <w:lang w:val="en-US"/>
              </w:rPr>
            </w:pPr>
          </w:p>
        </w:tc>
      </w:tr>
      <w:tr w:rsidR="00751150" w:rsidRPr="000278AD" w14:paraId="13B3939B" w14:textId="77777777" w:rsidTr="00751150">
        <w:tc>
          <w:tcPr>
            <w:tcW w:w="1232" w:type="pct"/>
          </w:tcPr>
          <w:p w14:paraId="5AE78496" w14:textId="77777777" w:rsidR="00751150" w:rsidRPr="00473A87" w:rsidRDefault="00751150" w:rsidP="003522FD">
            <w:pPr>
              <w:ind w:left="720"/>
              <w:rPr>
                <w:rFonts w:ascii="Arial Narrow" w:hAnsi="Arial Narrow" w:cs="Arial"/>
                <w:sz w:val="20"/>
                <w:szCs w:val="20"/>
                <w:lang w:val="en-US"/>
              </w:rPr>
            </w:pPr>
            <w:r w:rsidRPr="00473A87">
              <w:rPr>
                <w:rFonts w:ascii="Arial Narrow" w:hAnsi="Arial Narrow" w:cs="Arial"/>
                <w:sz w:val="20"/>
                <w:szCs w:val="20"/>
                <w:lang w:val="en-US"/>
              </w:rPr>
              <w:t>Girls</w:t>
            </w:r>
          </w:p>
        </w:tc>
        <w:tc>
          <w:tcPr>
            <w:tcW w:w="973" w:type="pct"/>
            <w:shd w:val="clear" w:color="auto" w:fill="EEECE1" w:themeFill="background2"/>
          </w:tcPr>
          <w:p w14:paraId="7ED65E0F" w14:textId="77777777" w:rsidR="00751150" w:rsidRPr="00473A87" w:rsidRDefault="00751150" w:rsidP="003522FD">
            <w:pPr>
              <w:rPr>
                <w:rFonts w:ascii="Arial Narrow" w:hAnsi="Arial Narrow" w:cs="Arial"/>
                <w:b/>
                <w:bCs/>
                <w:sz w:val="20"/>
                <w:szCs w:val="20"/>
                <w:lang w:val="en-US"/>
              </w:rPr>
            </w:pPr>
            <w:r w:rsidRPr="00473A87">
              <w:rPr>
                <w:rFonts w:ascii="Arial Narrow" w:hAnsi="Arial Narrow" w:cs="Arial"/>
                <w:b/>
                <w:bCs/>
                <w:sz w:val="20"/>
                <w:szCs w:val="20"/>
                <w:lang w:val="en-US"/>
              </w:rPr>
              <w:t>87.8</w:t>
            </w:r>
          </w:p>
        </w:tc>
        <w:tc>
          <w:tcPr>
            <w:tcW w:w="973" w:type="pct"/>
          </w:tcPr>
          <w:p w14:paraId="00E3510D" w14:textId="77777777" w:rsidR="00751150" w:rsidRPr="00473A87" w:rsidRDefault="00751150" w:rsidP="003522FD">
            <w:pPr>
              <w:rPr>
                <w:rFonts w:ascii="Arial Narrow" w:hAnsi="Arial Narrow" w:cs="Arial"/>
                <w:sz w:val="20"/>
                <w:szCs w:val="20"/>
                <w:lang w:val="en-US"/>
              </w:rPr>
            </w:pPr>
            <w:r w:rsidRPr="00473A87">
              <w:rPr>
                <w:rFonts w:ascii="Arial Narrow" w:hAnsi="Arial Narrow" w:cs="Arial"/>
                <w:sz w:val="20"/>
                <w:szCs w:val="20"/>
                <w:lang w:val="en-US"/>
              </w:rPr>
              <w:t>75.0</w:t>
            </w:r>
          </w:p>
        </w:tc>
        <w:tc>
          <w:tcPr>
            <w:tcW w:w="911" w:type="pct"/>
            <w:shd w:val="clear" w:color="auto" w:fill="EEECE1" w:themeFill="background2"/>
          </w:tcPr>
          <w:p w14:paraId="2BA90CE8" w14:textId="77777777" w:rsidR="00751150" w:rsidRPr="00473A87" w:rsidRDefault="00751150" w:rsidP="003522FD">
            <w:pPr>
              <w:rPr>
                <w:rFonts w:ascii="Arial Narrow" w:hAnsi="Arial Narrow" w:cs="Arial"/>
                <w:b/>
                <w:bCs/>
                <w:sz w:val="20"/>
                <w:szCs w:val="20"/>
                <w:lang w:val="en-US"/>
              </w:rPr>
            </w:pPr>
            <w:r w:rsidRPr="00473A87">
              <w:rPr>
                <w:rFonts w:ascii="Arial Narrow" w:hAnsi="Arial Narrow" w:cs="Arial"/>
                <w:b/>
                <w:bCs/>
                <w:sz w:val="20"/>
                <w:szCs w:val="20"/>
                <w:lang w:val="en-US"/>
              </w:rPr>
              <w:t>86.1</w:t>
            </w:r>
          </w:p>
        </w:tc>
        <w:tc>
          <w:tcPr>
            <w:tcW w:w="911" w:type="pct"/>
          </w:tcPr>
          <w:p w14:paraId="0F60E811" w14:textId="77777777" w:rsidR="00751150" w:rsidRPr="00473A87" w:rsidRDefault="00751150" w:rsidP="003522FD">
            <w:pPr>
              <w:rPr>
                <w:rFonts w:ascii="Arial Narrow" w:hAnsi="Arial Narrow" w:cs="Arial"/>
                <w:sz w:val="20"/>
                <w:szCs w:val="20"/>
                <w:lang w:val="en-US"/>
              </w:rPr>
            </w:pPr>
            <w:r w:rsidRPr="00473A87">
              <w:rPr>
                <w:rFonts w:ascii="Arial Narrow" w:hAnsi="Arial Narrow" w:cs="Arial"/>
                <w:sz w:val="20"/>
                <w:szCs w:val="20"/>
                <w:lang w:val="en-US"/>
              </w:rPr>
              <w:t>73.3</w:t>
            </w:r>
          </w:p>
        </w:tc>
      </w:tr>
      <w:tr w:rsidR="00751150" w:rsidRPr="000278AD" w14:paraId="78BBE83C" w14:textId="77777777" w:rsidTr="00751150">
        <w:tc>
          <w:tcPr>
            <w:tcW w:w="1232" w:type="pct"/>
          </w:tcPr>
          <w:p w14:paraId="6B325EB6" w14:textId="77777777" w:rsidR="00751150" w:rsidRPr="00473A87" w:rsidRDefault="00751150" w:rsidP="003522FD">
            <w:pPr>
              <w:ind w:left="720"/>
              <w:rPr>
                <w:rFonts w:ascii="Arial Narrow" w:hAnsi="Arial Narrow" w:cs="Arial"/>
                <w:sz w:val="20"/>
                <w:szCs w:val="20"/>
                <w:lang w:val="en-US"/>
              </w:rPr>
            </w:pPr>
            <w:r w:rsidRPr="00473A87">
              <w:rPr>
                <w:rFonts w:ascii="Arial Narrow" w:hAnsi="Arial Narrow" w:cs="Arial"/>
                <w:sz w:val="20"/>
                <w:szCs w:val="20"/>
                <w:lang w:val="en-US"/>
              </w:rPr>
              <w:t>Boys</w:t>
            </w:r>
          </w:p>
        </w:tc>
        <w:tc>
          <w:tcPr>
            <w:tcW w:w="973" w:type="pct"/>
            <w:shd w:val="clear" w:color="auto" w:fill="EEECE1" w:themeFill="background2"/>
          </w:tcPr>
          <w:p w14:paraId="0668538F" w14:textId="77777777" w:rsidR="00751150" w:rsidRPr="00473A87" w:rsidRDefault="00751150" w:rsidP="003522FD">
            <w:pPr>
              <w:rPr>
                <w:rFonts w:ascii="Arial Narrow" w:hAnsi="Arial Narrow" w:cs="Arial"/>
                <w:b/>
                <w:bCs/>
                <w:sz w:val="20"/>
                <w:szCs w:val="20"/>
                <w:lang w:val="en-US"/>
              </w:rPr>
            </w:pPr>
            <w:r w:rsidRPr="00473A87">
              <w:rPr>
                <w:rFonts w:ascii="Arial Narrow" w:hAnsi="Arial Narrow" w:cs="Arial"/>
                <w:b/>
                <w:bCs/>
                <w:sz w:val="20"/>
                <w:szCs w:val="20"/>
                <w:lang w:val="en-US"/>
              </w:rPr>
              <w:t>83.0</w:t>
            </w:r>
          </w:p>
        </w:tc>
        <w:tc>
          <w:tcPr>
            <w:tcW w:w="973" w:type="pct"/>
          </w:tcPr>
          <w:p w14:paraId="6B5A5250" w14:textId="77777777" w:rsidR="00751150" w:rsidRPr="00473A87" w:rsidRDefault="00751150" w:rsidP="003522FD">
            <w:pPr>
              <w:rPr>
                <w:rFonts w:ascii="Arial Narrow" w:hAnsi="Arial Narrow" w:cs="Arial"/>
                <w:sz w:val="20"/>
                <w:szCs w:val="20"/>
                <w:lang w:val="en-US"/>
              </w:rPr>
            </w:pPr>
            <w:r w:rsidRPr="00473A87">
              <w:rPr>
                <w:rFonts w:ascii="Arial Narrow" w:hAnsi="Arial Narrow" w:cs="Arial"/>
                <w:sz w:val="20"/>
                <w:szCs w:val="20"/>
                <w:lang w:val="en-US"/>
              </w:rPr>
              <w:t>68.0</w:t>
            </w:r>
          </w:p>
        </w:tc>
        <w:tc>
          <w:tcPr>
            <w:tcW w:w="911" w:type="pct"/>
            <w:shd w:val="clear" w:color="auto" w:fill="EEECE1" w:themeFill="background2"/>
          </w:tcPr>
          <w:p w14:paraId="0314BE34" w14:textId="77777777" w:rsidR="00751150" w:rsidRPr="00473A87" w:rsidRDefault="00751150" w:rsidP="003522FD">
            <w:pPr>
              <w:rPr>
                <w:rFonts w:ascii="Arial Narrow" w:hAnsi="Arial Narrow" w:cs="Arial"/>
                <w:b/>
                <w:bCs/>
                <w:sz w:val="20"/>
                <w:szCs w:val="20"/>
                <w:lang w:val="en-US"/>
              </w:rPr>
            </w:pPr>
            <w:r w:rsidRPr="00473A87">
              <w:rPr>
                <w:rFonts w:ascii="Arial Narrow" w:hAnsi="Arial Narrow" w:cs="Arial"/>
                <w:b/>
                <w:bCs/>
                <w:sz w:val="20"/>
                <w:szCs w:val="20"/>
                <w:lang w:val="en-US"/>
              </w:rPr>
              <w:t>80.6</w:t>
            </w:r>
          </w:p>
        </w:tc>
        <w:tc>
          <w:tcPr>
            <w:tcW w:w="911" w:type="pct"/>
          </w:tcPr>
          <w:p w14:paraId="4DD17D2C" w14:textId="77777777" w:rsidR="00751150" w:rsidRPr="00473A87" w:rsidRDefault="00751150" w:rsidP="003522FD">
            <w:pPr>
              <w:rPr>
                <w:rFonts w:ascii="Arial Narrow" w:hAnsi="Arial Narrow" w:cs="Arial"/>
                <w:sz w:val="20"/>
                <w:szCs w:val="20"/>
                <w:lang w:val="en-US"/>
              </w:rPr>
            </w:pPr>
            <w:r w:rsidRPr="00473A87">
              <w:rPr>
                <w:rFonts w:ascii="Arial Narrow" w:hAnsi="Arial Narrow" w:cs="Arial"/>
                <w:sz w:val="20"/>
                <w:szCs w:val="20"/>
                <w:lang w:val="en-US"/>
              </w:rPr>
              <w:t>66.2</w:t>
            </w:r>
          </w:p>
        </w:tc>
      </w:tr>
    </w:tbl>
    <w:p w14:paraId="5BC9422D" w14:textId="292863A4" w:rsidR="00751150" w:rsidRPr="000278AD" w:rsidRDefault="00751150" w:rsidP="00751150">
      <w:pPr>
        <w:pStyle w:val="FooterTableFigure"/>
        <w:spacing w:after="0"/>
        <w:contextualSpacing w:val="0"/>
        <w:rPr>
          <w:rFonts w:eastAsia="Arial Narrow" w:cs="Arial Narrow"/>
          <w:color w:val="000000" w:themeColor="text1"/>
          <w:szCs w:val="18"/>
        </w:rPr>
      </w:pPr>
      <w:r w:rsidRPr="000278AD">
        <w:rPr>
          <w:rFonts w:eastAsia="Arial Narrow" w:cs="Arial Narrow"/>
          <w:color w:val="000000" w:themeColor="text1"/>
          <w:szCs w:val="18"/>
        </w:rPr>
        <w:t>Source: Annual immunisation coverage report 2021 Table 5, Table 6</w:t>
      </w:r>
      <w:r w:rsidR="00D44FBE" w:rsidRPr="000278AD">
        <w:rPr>
          <w:rFonts w:eastAsia="Arial Narrow" w:cs="Arial Narrow"/>
          <w:color w:val="000000" w:themeColor="text1"/>
          <w:szCs w:val="18"/>
        </w:rPr>
        <w:t>; Table 6 of the CMO submission</w:t>
      </w:r>
    </w:p>
    <w:p w14:paraId="52FCA644" w14:textId="77777777" w:rsidR="00751150" w:rsidRPr="00727013" w:rsidRDefault="00751150" w:rsidP="00751150">
      <w:pPr>
        <w:pStyle w:val="FooterTableFigure"/>
        <w:spacing w:after="0"/>
        <w:contextualSpacing w:val="0"/>
        <w:rPr>
          <w:rFonts w:eastAsia="Arial Narrow" w:cs="Arial Narrow"/>
          <w:color w:val="000000" w:themeColor="text1"/>
          <w:szCs w:val="18"/>
        </w:rPr>
      </w:pPr>
      <w:r w:rsidRPr="00727013">
        <w:rPr>
          <w:rFonts w:eastAsia="Arial Narrow" w:cs="Arial Narrow"/>
          <w:color w:val="000000" w:themeColor="text1"/>
          <w:szCs w:val="18"/>
        </w:rPr>
        <w:t>** Population derived from the AIR population (includes Medicare card holders and vaccinated non-Medicare card holders).</w:t>
      </w:r>
    </w:p>
    <w:p w14:paraId="28BA4FFA" w14:textId="287D99EC" w:rsidR="00FD377A" w:rsidRDefault="00FD377A">
      <w:pPr>
        <w:jc w:val="left"/>
        <w:rPr>
          <w:rFonts w:ascii="Arial Narrow" w:hAnsi="Arial Narrow" w:cs="Arial"/>
          <w:b/>
          <w:bCs/>
          <w:color w:val="000000" w:themeColor="text1"/>
          <w:sz w:val="20"/>
          <w:szCs w:val="20"/>
        </w:rPr>
      </w:pPr>
    </w:p>
    <w:p w14:paraId="41836A73" w14:textId="6C2A2AD6" w:rsidR="00751150" w:rsidRPr="000278AD" w:rsidRDefault="00751150" w:rsidP="00751150">
      <w:pPr>
        <w:rPr>
          <w:rFonts w:ascii="Arial Narrow" w:hAnsi="Arial Narrow" w:cs="Arial"/>
          <w:b/>
          <w:bCs/>
          <w:color w:val="000000" w:themeColor="text1"/>
          <w:sz w:val="20"/>
          <w:szCs w:val="20"/>
        </w:rPr>
      </w:pPr>
      <w:r w:rsidRPr="00473A87">
        <w:rPr>
          <w:rFonts w:ascii="Arial Narrow" w:hAnsi="Arial Narrow" w:cs="Arial"/>
          <w:b/>
          <w:bCs/>
          <w:color w:val="000000" w:themeColor="text1"/>
          <w:sz w:val="20"/>
          <w:szCs w:val="20"/>
        </w:rPr>
        <w:t xml:space="preserve">Table </w:t>
      </w:r>
      <w:r w:rsidR="00FB3B52" w:rsidRPr="00473A87">
        <w:rPr>
          <w:rFonts w:ascii="Arial Narrow" w:hAnsi="Arial Narrow" w:cs="Arial"/>
          <w:b/>
          <w:bCs/>
          <w:color w:val="000000" w:themeColor="text1"/>
          <w:sz w:val="20"/>
          <w:szCs w:val="20"/>
        </w:rPr>
        <w:t>4</w:t>
      </w:r>
      <w:r w:rsidRPr="00473A87">
        <w:rPr>
          <w:rFonts w:ascii="Arial Narrow" w:hAnsi="Arial Narrow" w:cs="Arial"/>
          <w:b/>
          <w:bCs/>
          <w:color w:val="000000" w:themeColor="text1"/>
          <w:sz w:val="20"/>
          <w:szCs w:val="20"/>
        </w:rPr>
        <w:t>:</w:t>
      </w:r>
      <w:r w:rsidRPr="00FB3B52">
        <w:rPr>
          <w:rFonts w:ascii="Arial Narrow" w:hAnsi="Arial Narrow" w:cs="Arial"/>
          <w:b/>
          <w:bCs/>
          <w:color w:val="000000" w:themeColor="text1"/>
          <w:sz w:val="20"/>
          <w:szCs w:val="20"/>
        </w:rPr>
        <w:t xml:space="preserve"> Number</w:t>
      </w:r>
      <w:r w:rsidRPr="000278AD">
        <w:rPr>
          <w:rFonts w:ascii="Arial Narrow" w:hAnsi="Arial Narrow" w:cs="Arial"/>
          <w:b/>
          <w:bCs/>
          <w:color w:val="000000" w:themeColor="text1"/>
          <w:sz w:val="20"/>
          <w:szCs w:val="20"/>
        </w:rPr>
        <w:t xml:space="preserve"> of first and second dose HPV vaccinations among 11–&lt;15 year olds, by year and indigenous status</w:t>
      </w:r>
    </w:p>
    <w:tbl>
      <w:tblPr>
        <w:tblStyle w:val="TableGrid"/>
        <w:tblW w:w="5000" w:type="pct"/>
        <w:tblLook w:val="04A0" w:firstRow="1" w:lastRow="0" w:firstColumn="1" w:lastColumn="0" w:noHBand="0" w:noVBand="1"/>
      </w:tblPr>
      <w:tblGrid>
        <w:gridCol w:w="2943"/>
        <w:gridCol w:w="705"/>
        <w:gridCol w:w="1342"/>
        <w:gridCol w:w="1342"/>
        <w:gridCol w:w="1342"/>
        <w:gridCol w:w="1342"/>
      </w:tblGrid>
      <w:tr w:rsidR="00751150" w:rsidRPr="000278AD" w14:paraId="617816A2" w14:textId="77777777" w:rsidTr="00751150">
        <w:tc>
          <w:tcPr>
            <w:tcW w:w="1631" w:type="pct"/>
            <w:shd w:val="clear" w:color="auto" w:fill="D9D9D9" w:themeFill="background1" w:themeFillShade="D9"/>
          </w:tcPr>
          <w:p w14:paraId="69979F42" w14:textId="77777777" w:rsidR="00751150" w:rsidRPr="00473A87" w:rsidRDefault="00751150" w:rsidP="003522FD">
            <w:pPr>
              <w:keepNext/>
              <w:keepLines/>
              <w:rPr>
                <w:rFonts w:ascii="Arial Narrow" w:hAnsi="Arial Narrow" w:cs="Arial"/>
                <w:b/>
                <w:sz w:val="20"/>
                <w:szCs w:val="20"/>
              </w:rPr>
            </w:pPr>
            <w:r w:rsidRPr="00473A87">
              <w:rPr>
                <w:rFonts w:ascii="Arial Narrow" w:hAnsi="Arial Narrow" w:cs="Arial"/>
                <w:b/>
                <w:sz w:val="20"/>
                <w:szCs w:val="20"/>
              </w:rPr>
              <w:t>Population*</w:t>
            </w:r>
          </w:p>
        </w:tc>
        <w:tc>
          <w:tcPr>
            <w:tcW w:w="391" w:type="pct"/>
            <w:shd w:val="clear" w:color="auto" w:fill="D9D9D9" w:themeFill="background1" w:themeFillShade="D9"/>
          </w:tcPr>
          <w:p w14:paraId="78C58CE0" w14:textId="77777777" w:rsidR="00751150" w:rsidRPr="00473A87" w:rsidRDefault="00751150" w:rsidP="003522FD">
            <w:pPr>
              <w:keepNext/>
              <w:keepLines/>
              <w:rPr>
                <w:rFonts w:ascii="Arial Narrow" w:hAnsi="Arial Narrow" w:cs="Arial"/>
                <w:b/>
                <w:sz w:val="20"/>
                <w:szCs w:val="20"/>
              </w:rPr>
            </w:pPr>
            <w:r w:rsidRPr="00473A87">
              <w:rPr>
                <w:rFonts w:ascii="Arial Narrow" w:hAnsi="Arial Narrow" w:cs="Arial"/>
                <w:b/>
                <w:sz w:val="20"/>
                <w:szCs w:val="20"/>
              </w:rPr>
              <w:t>Dose</w:t>
            </w:r>
          </w:p>
        </w:tc>
        <w:tc>
          <w:tcPr>
            <w:tcW w:w="744" w:type="pct"/>
            <w:shd w:val="clear" w:color="auto" w:fill="D9D9D9" w:themeFill="background1" w:themeFillShade="D9"/>
          </w:tcPr>
          <w:p w14:paraId="4DBA6EC7" w14:textId="77777777" w:rsidR="00751150" w:rsidRPr="00473A87" w:rsidRDefault="00751150" w:rsidP="003522FD">
            <w:pPr>
              <w:keepNext/>
              <w:keepLines/>
              <w:rPr>
                <w:rFonts w:ascii="Arial Narrow" w:hAnsi="Arial Narrow" w:cs="Arial"/>
                <w:b/>
                <w:sz w:val="20"/>
                <w:szCs w:val="20"/>
              </w:rPr>
            </w:pPr>
            <w:r w:rsidRPr="00473A87">
              <w:rPr>
                <w:rFonts w:ascii="Arial Narrow" w:hAnsi="Arial Narrow" w:cs="Arial"/>
                <w:b/>
                <w:sz w:val="20"/>
                <w:szCs w:val="20"/>
              </w:rPr>
              <w:t>2018</w:t>
            </w:r>
          </w:p>
        </w:tc>
        <w:tc>
          <w:tcPr>
            <w:tcW w:w="744" w:type="pct"/>
            <w:shd w:val="clear" w:color="auto" w:fill="D9D9D9" w:themeFill="background1" w:themeFillShade="D9"/>
          </w:tcPr>
          <w:p w14:paraId="04389672" w14:textId="77777777" w:rsidR="00751150" w:rsidRPr="00473A87" w:rsidRDefault="00751150" w:rsidP="003522FD">
            <w:pPr>
              <w:keepNext/>
              <w:keepLines/>
              <w:rPr>
                <w:rFonts w:ascii="Arial Narrow" w:hAnsi="Arial Narrow" w:cs="Arial"/>
                <w:b/>
                <w:sz w:val="20"/>
                <w:szCs w:val="20"/>
              </w:rPr>
            </w:pPr>
            <w:r w:rsidRPr="00473A87">
              <w:rPr>
                <w:rFonts w:ascii="Arial Narrow" w:hAnsi="Arial Narrow" w:cs="Arial"/>
                <w:b/>
                <w:sz w:val="20"/>
                <w:szCs w:val="20"/>
              </w:rPr>
              <w:t>2019</w:t>
            </w:r>
          </w:p>
        </w:tc>
        <w:tc>
          <w:tcPr>
            <w:tcW w:w="744" w:type="pct"/>
            <w:shd w:val="clear" w:color="auto" w:fill="D9D9D9" w:themeFill="background1" w:themeFillShade="D9"/>
          </w:tcPr>
          <w:p w14:paraId="09F05834" w14:textId="77777777" w:rsidR="00751150" w:rsidRPr="00473A87" w:rsidRDefault="00751150" w:rsidP="003522FD">
            <w:pPr>
              <w:keepNext/>
              <w:keepLines/>
              <w:rPr>
                <w:rFonts w:ascii="Arial Narrow" w:hAnsi="Arial Narrow" w:cs="Arial"/>
                <w:b/>
                <w:sz w:val="20"/>
                <w:szCs w:val="20"/>
              </w:rPr>
            </w:pPr>
            <w:r w:rsidRPr="00473A87">
              <w:rPr>
                <w:rFonts w:ascii="Arial Narrow" w:hAnsi="Arial Narrow" w:cs="Arial"/>
                <w:b/>
                <w:sz w:val="20"/>
                <w:szCs w:val="20"/>
              </w:rPr>
              <w:t>2020</w:t>
            </w:r>
          </w:p>
        </w:tc>
        <w:tc>
          <w:tcPr>
            <w:tcW w:w="744" w:type="pct"/>
            <w:shd w:val="clear" w:color="auto" w:fill="D9D9D9" w:themeFill="background1" w:themeFillShade="D9"/>
          </w:tcPr>
          <w:p w14:paraId="64746CA0" w14:textId="77777777" w:rsidR="00751150" w:rsidRPr="00473A87" w:rsidRDefault="00751150" w:rsidP="003522FD">
            <w:pPr>
              <w:keepNext/>
              <w:keepLines/>
              <w:rPr>
                <w:rFonts w:ascii="Arial Narrow" w:hAnsi="Arial Narrow" w:cs="Arial"/>
                <w:b/>
                <w:sz w:val="20"/>
                <w:szCs w:val="20"/>
              </w:rPr>
            </w:pPr>
            <w:r w:rsidRPr="00473A87">
              <w:rPr>
                <w:rFonts w:ascii="Arial Narrow" w:hAnsi="Arial Narrow" w:cs="Arial"/>
                <w:b/>
                <w:sz w:val="20"/>
                <w:szCs w:val="20"/>
              </w:rPr>
              <w:t>2021</w:t>
            </w:r>
          </w:p>
        </w:tc>
      </w:tr>
      <w:tr w:rsidR="00751150" w:rsidRPr="000278AD" w14:paraId="08ACB3B3" w14:textId="77777777" w:rsidTr="00751150">
        <w:tc>
          <w:tcPr>
            <w:tcW w:w="1631" w:type="pct"/>
          </w:tcPr>
          <w:p w14:paraId="57091CE4"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lang w:val="en-US"/>
              </w:rPr>
              <w:t xml:space="preserve">All adolescents </w:t>
            </w:r>
          </w:p>
        </w:tc>
        <w:tc>
          <w:tcPr>
            <w:tcW w:w="391" w:type="pct"/>
          </w:tcPr>
          <w:p w14:paraId="13A64114"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1</w:t>
            </w:r>
          </w:p>
        </w:tc>
        <w:tc>
          <w:tcPr>
            <w:tcW w:w="744" w:type="pct"/>
          </w:tcPr>
          <w:p w14:paraId="6C1B6578"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255,122</w:t>
            </w:r>
          </w:p>
        </w:tc>
        <w:tc>
          <w:tcPr>
            <w:tcW w:w="744" w:type="pct"/>
          </w:tcPr>
          <w:p w14:paraId="72109830"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309,917</w:t>
            </w:r>
          </w:p>
        </w:tc>
        <w:tc>
          <w:tcPr>
            <w:tcW w:w="744" w:type="pct"/>
          </w:tcPr>
          <w:p w14:paraId="01AB635A"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280,211</w:t>
            </w:r>
          </w:p>
        </w:tc>
        <w:tc>
          <w:tcPr>
            <w:tcW w:w="744" w:type="pct"/>
          </w:tcPr>
          <w:p w14:paraId="270F1531"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276,536</w:t>
            </w:r>
          </w:p>
        </w:tc>
      </w:tr>
      <w:tr w:rsidR="00751150" w:rsidRPr="000278AD" w14:paraId="7CB68708" w14:textId="77777777" w:rsidTr="00751150">
        <w:tc>
          <w:tcPr>
            <w:tcW w:w="1631" w:type="pct"/>
          </w:tcPr>
          <w:p w14:paraId="64769BAA"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Indigenous adolescents</w:t>
            </w:r>
          </w:p>
        </w:tc>
        <w:tc>
          <w:tcPr>
            <w:tcW w:w="391" w:type="pct"/>
          </w:tcPr>
          <w:p w14:paraId="353EA718"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1</w:t>
            </w:r>
          </w:p>
        </w:tc>
        <w:tc>
          <w:tcPr>
            <w:tcW w:w="744" w:type="pct"/>
          </w:tcPr>
          <w:p w14:paraId="3F9D117F"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13,206</w:t>
            </w:r>
          </w:p>
        </w:tc>
        <w:tc>
          <w:tcPr>
            <w:tcW w:w="744" w:type="pct"/>
          </w:tcPr>
          <w:p w14:paraId="07B4FD72"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15,481</w:t>
            </w:r>
          </w:p>
        </w:tc>
        <w:tc>
          <w:tcPr>
            <w:tcW w:w="744" w:type="pct"/>
          </w:tcPr>
          <w:p w14:paraId="456BBCC1"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14,078</w:t>
            </w:r>
          </w:p>
        </w:tc>
        <w:tc>
          <w:tcPr>
            <w:tcW w:w="744" w:type="pct"/>
          </w:tcPr>
          <w:p w14:paraId="513516BF"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13,531</w:t>
            </w:r>
          </w:p>
        </w:tc>
      </w:tr>
      <w:tr w:rsidR="00751150" w:rsidRPr="000278AD" w14:paraId="6CECE412" w14:textId="77777777" w:rsidTr="00751150">
        <w:tc>
          <w:tcPr>
            <w:tcW w:w="1631" w:type="pct"/>
            <w:vMerge w:val="restart"/>
          </w:tcPr>
          <w:p w14:paraId="01674275"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lang w:val="en-US"/>
              </w:rPr>
              <w:t xml:space="preserve">‘catch-up’** </w:t>
            </w:r>
          </w:p>
        </w:tc>
        <w:tc>
          <w:tcPr>
            <w:tcW w:w="391" w:type="pct"/>
          </w:tcPr>
          <w:p w14:paraId="716D426A"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1</w:t>
            </w:r>
          </w:p>
        </w:tc>
        <w:tc>
          <w:tcPr>
            <w:tcW w:w="744" w:type="pct"/>
          </w:tcPr>
          <w:p w14:paraId="0799DA64"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N/A</w:t>
            </w:r>
          </w:p>
        </w:tc>
        <w:tc>
          <w:tcPr>
            <w:tcW w:w="744" w:type="pct"/>
          </w:tcPr>
          <w:p w14:paraId="345BF357"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N/A</w:t>
            </w:r>
          </w:p>
        </w:tc>
        <w:tc>
          <w:tcPr>
            <w:tcW w:w="744" w:type="pct"/>
          </w:tcPr>
          <w:p w14:paraId="46930F3F"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N/A</w:t>
            </w:r>
          </w:p>
        </w:tc>
        <w:tc>
          <w:tcPr>
            <w:tcW w:w="744" w:type="pct"/>
          </w:tcPr>
          <w:p w14:paraId="12BCB809"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N/A</w:t>
            </w:r>
          </w:p>
        </w:tc>
      </w:tr>
      <w:tr w:rsidR="00751150" w:rsidRPr="000278AD" w14:paraId="7F54D069" w14:textId="77777777" w:rsidTr="00751150">
        <w:tc>
          <w:tcPr>
            <w:tcW w:w="1631" w:type="pct"/>
            <w:vMerge/>
          </w:tcPr>
          <w:p w14:paraId="56F66639" w14:textId="77777777" w:rsidR="00751150" w:rsidRPr="00473A87" w:rsidRDefault="00751150" w:rsidP="003522FD">
            <w:pPr>
              <w:rPr>
                <w:rFonts w:ascii="Arial Narrow" w:hAnsi="Arial Narrow" w:cs="Arial"/>
                <w:sz w:val="20"/>
                <w:szCs w:val="20"/>
              </w:rPr>
            </w:pPr>
          </w:p>
        </w:tc>
        <w:tc>
          <w:tcPr>
            <w:tcW w:w="391" w:type="pct"/>
          </w:tcPr>
          <w:p w14:paraId="45BC70E6"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2</w:t>
            </w:r>
          </w:p>
        </w:tc>
        <w:tc>
          <w:tcPr>
            <w:tcW w:w="744" w:type="pct"/>
          </w:tcPr>
          <w:p w14:paraId="6943F960" w14:textId="77777777" w:rsidR="00751150" w:rsidRPr="00473A87" w:rsidRDefault="00751150" w:rsidP="003522FD">
            <w:pPr>
              <w:rPr>
                <w:rFonts w:ascii="Arial Narrow" w:hAnsi="Arial Narrow" w:cs="Arial"/>
                <w:sz w:val="20"/>
                <w:szCs w:val="20"/>
              </w:rPr>
            </w:pPr>
            <w:r w:rsidRPr="00473A87">
              <w:rPr>
                <w:rFonts w:ascii="Arial Narrow" w:hAnsi="Arial Narrow" w:cs="Arial"/>
                <w:sz w:val="20"/>
                <w:szCs w:val="20"/>
              </w:rPr>
              <w:t>See figure</w:t>
            </w:r>
          </w:p>
        </w:tc>
        <w:tc>
          <w:tcPr>
            <w:tcW w:w="744" w:type="pct"/>
          </w:tcPr>
          <w:p w14:paraId="6FC2BF33" w14:textId="77777777" w:rsidR="00751150" w:rsidRPr="00473A87" w:rsidRDefault="00751150" w:rsidP="003522FD">
            <w:pPr>
              <w:rPr>
                <w:rFonts w:ascii="Arial Narrow" w:hAnsi="Arial Narrow" w:cs="Arial"/>
                <w:sz w:val="20"/>
                <w:szCs w:val="20"/>
              </w:rPr>
            </w:pPr>
            <w:r w:rsidRPr="00473A87">
              <w:rPr>
                <w:rFonts w:ascii="Arial Narrow" w:eastAsia="MS Mincho" w:hAnsi="Arial Narrow" w:cs="Arial"/>
                <w:sz w:val="20"/>
                <w:szCs w:val="20"/>
                <w:lang w:val="en-US"/>
              </w:rPr>
              <w:t>21,435</w:t>
            </w:r>
          </w:p>
        </w:tc>
        <w:tc>
          <w:tcPr>
            <w:tcW w:w="744" w:type="pct"/>
          </w:tcPr>
          <w:p w14:paraId="1D2DF3E0" w14:textId="77777777" w:rsidR="00751150" w:rsidRPr="00473A87" w:rsidRDefault="00751150" w:rsidP="003522FD">
            <w:pPr>
              <w:rPr>
                <w:rFonts w:ascii="Arial Narrow" w:hAnsi="Arial Narrow" w:cs="Arial"/>
                <w:sz w:val="20"/>
                <w:szCs w:val="20"/>
              </w:rPr>
            </w:pPr>
            <w:r w:rsidRPr="00473A87">
              <w:rPr>
                <w:rFonts w:ascii="Arial Narrow" w:eastAsia="MS Mincho" w:hAnsi="Arial Narrow" w:cs="Arial"/>
                <w:sz w:val="20"/>
                <w:szCs w:val="20"/>
                <w:lang w:val="en-US"/>
              </w:rPr>
              <w:t>23,678</w:t>
            </w:r>
          </w:p>
        </w:tc>
        <w:tc>
          <w:tcPr>
            <w:tcW w:w="744" w:type="pct"/>
          </w:tcPr>
          <w:p w14:paraId="06F1A508" w14:textId="77777777" w:rsidR="00751150" w:rsidRPr="00473A87" w:rsidRDefault="00751150" w:rsidP="003522FD">
            <w:pPr>
              <w:rPr>
                <w:rFonts w:ascii="Arial Narrow" w:hAnsi="Arial Narrow" w:cs="Arial"/>
                <w:sz w:val="20"/>
                <w:szCs w:val="20"/>
              </w:rPr>
            </w:pPr>
            <w:r w:rsidRPr="00473A87">
              <w:rPr>
                <w:rFonts w:ascii="Arial Narrow" w:eastAsia="MS Mincho" w:hAnsi="Arial Narrow" w:cs="Arial"/>
                <w:sz w:val="20"/>
                <w:szCs w:val="20"/>
                <w:lang w:val="en-US"/>
              </w:rPr>
              <w:t>48,681</w:t>
            </w:r>
          </w:p>
        </w:tc>
      </w:tr>
    </w:tbl>
    <w:p w14:paraId="73CC484C" w14:textId="77777777" w:rsidR="00751150" w:rsidRPr="000278AD" w:rsidRDefault="00751150" w:rsidP="00751150">
      <w:pPr>
        <w:pStyle w:val="FooterTableFigure"/>
        <w:spacing w:after="0"/>
        <w:contextualSpacing w:val="0"/>
        <w:rPr>
          <w:rFonts w:eastAsia="Arial Narrow" w:cs="Arial Narrow"/>
          <w:color w:val="000000" w:themeColor="text1"/>
          <w:szCs w:val="18"/>
        </w:rPr>
      </w:pPr>
      <w:r w:rsidRPr="000278AD">
        <w:rPr>
          <w:rFonts w:eastAsia="Arial Narrow" w:cs="Arial Narrow"/>
          <w:color w:val="000000" w:themeColor="text1"/>
          <w:szCs w:val="18"/>
        </w:rPr>
        <w:t>* Population derived from the AIR population (includes Medicare card holders and vaccinated non-Medicare card holders).</w:t>
      </w:r>
    </w:p>
    <w:p w14:paraId="7EFE8B0F" w14:textId="77777777" w:rsidR="00751150" w:rsidRPr="00727013" w:rsidRDefault="00751150" w:rsidP="00751150">
      <w:pPr>
        <w:pStyle w:val="FooterTableFigure"/>
        <w:spacing w:after="0"/>
        <w:contextualSpacing w:val="0"/>
        <w:rPr>
          <w:rFonts w:eastAsia="Arial Narrow" w:cs="Arial Narrow"/>
          <w:color w:val="000000" w:themeColor="text1"/>
          <w:szCs w:val="18"/>
        </w:rPr>
      </w:pPr>
      <w:r w:rsidRPr="00727013">
        <w:rPr>
          <w:rFonts w:eastAsia="Arial Narrow" w:cs="Arial Narrow"/>
          <w:color w:val="000000" w:themeColor="text1"/>
          <w:szCs w:val="18"/>
        </w:rPr>
        <w:t>** Reflects receipt of 2nd dose among adolescents aged 11–14 years who received their first dose in the previous year</w:t>
      </w:r>
    </w:p>
    <w:p w14:paraId="06374191" w14:textId="43FB5203" w:rsidR="00751150" w:rsidRPr="00727013" w:rsidRDefault="00751150" w:rsidP="00751150">
      <w:pPr>
        <w:pStyle w:val="FooterTableFigure"/>
        <w:spacing w:after="0"/>
        <w:contextualSpacing w:val="0"/>
        <w:rPr>
          <w:rFonts w:eastAsia="Arial Narrow" w:cs="Arial Narrow"/>
          <w:color w:val="000000" w:themeColor="text1"/>
          <w:szCs w:val="18"/>
        </w:rPr>
      </w:pPr>
      <w:r w:rsidRPr="00727013">
        <w:rPr>
          <w:rFonts w:eastAsia="Arial Narrow" w:cs="Arial Narrow"/>
          <w:color w:val="000000" w:themeColor="text1"/>
          <w:szCs w:val="18"/>
        </w:rPr>
        <w:t>Source: Impact of COVID-19 on School-based Vaccination Programs July 2022 Figure 1, Figure 2 and Figure 5 (plus text)</w:t>
      </w:r>
      <w:r w:rsidR="00D44FBE" w:rsidRPr="00727013">
        <w:rPr>
          <w:rFonts w:eastAsia="Arial Narrow" w:cs="Arial Narrow"/>
          <w:color w:val="000000" w:themeColor="text1"/>
          <w:szCs w:val="18"/>
        </w:rPr>
        <w:t>; Table 7 of the CMO submission</w:t>
      </w:r>
    </w:p>
    <w:p w14:paraId="3F05604E" w14:textId="77777777" w:rsidR="00751150" w:rsidRDefault="00751150" w:rsidP="00751150">
      <w:pPr>
        <w:pStyle w:val="FooterTableFigure"/>
        <w:spacing w:after="0"/>
        <w:contextualSpacing w:val="0"/>
        <w:rPr>
          <w:rFonts w:eastAsia="Arial Narrow" w:cs="Arial Narrow"/>
          <w:color w:val="000000" w:themeColor="text1"/>
          <w:szCs w:val="18"/>
        </w:rPr>
      </w:pPr>
    </w:p>
    <w:p w14:paraId="781E9E65" w14:textId="5823C797" w:rsidR="00751150" w:rsidRPr="00751150" w:rsidRDefault="00751150" w:rsidP="007F5071">
      <w:pPr>
        <w:pStyle w:val="TableFigureHeading"/>
        <w:rPr>
          <w:rFonts w:eastAsia="Arial Narrow" w:cs="Arial Narrow"/>
          <w:szCs w:val="18"/>
        </w:rPr>
      </w:pPr>
      <w:r w:rsidRPr="00751150">
        <w:t xml:space="preserve">Figure </w:t>
      </w:r>
      <w:r w:rsidR="002F4A0E">
        <w:t>3:</w:t>
      </w:r>
      <w:r w:rsidRPr="00751150">
        <w:t xml:space="preserve"> Number of first and second (administered in same calendar year as first) dose HPV vaccinations, adolescents aged 11 to &lt;15 years, Australia, 2018 – 2021*</w:t>
      </w:r>
    </w:p>
    <w:p w14:paraId="49AF73EA" w14:textId="77777777" w:rsidR="00751150" w:rsidRDefault="00751150" w:rsidP="007F5071">
      <w:pPr>
        <w:pStyle w:val="Tabletext0"/>
        <w:rPr>
          <w:rFonts w:ascii="Arial" w:eastAsia="MS Mincho" w:hAnsi="Arial"/>
          <w:color w:val="C0504D" w:themeColor="accent2"/>
          <w:sz w:val="22"/>
          <w:lang w:val="en-US"/>
        </w:rPr>
      </w:pPr>
      <w:r>
        <w:rPr>
          <w:rFonts w:eastAsia="MS Mincho"/>
          <w:noProof/>
        </w:rPr>
        <w:drawing>
          <wp:inline distT="0" distB="0" distL="0" distR="0" wp14:anchorId="69CEEFC9" wp14:editId="68529D1B">
            <wp:extent cx="4249271" cy="3082638"/>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56930" cy="3088194"/>
                    </a:xfrm>
                    <a:prstGeom prst="rect">
                      <a:avLst/>
                    </a:prstGeom>
                    <a:noFill/>
                    <a:ln>
                      <a:noFill/>
                    </a:ln>
                  </pic:spPr>
                </pic:pic>
              </a:graphicData>
            </a:graphic>
          </wp:inline>
        </w:drawing>
      </w:r>
    </w:p>
    <w:p w14:paraId="6AFEAF26" w14:textId="5093C74C" w:rsidR="00751150" w:rsidRPr="00751150" w:rsidRDefault="00751150" w:rsidP="00751150">
      <w:pPr>
        <w:pStyle w:val="FooterTableFigure"/>
        <w:spacing w:after="0"/>
        <w:contextualSpacing w:val="0"/>
        <w:rPr>
          <w:rFonts w:eastAsia="Arial Narrow" w:cs="Arial Narrow"/>
          <w:color w:val="000000" w:themeColor="text1"/>
          <w:szCs w:val="18"/>
        </w:rPr>
      </w:pPr>
      <w:r w:rsidRPr="00751150">
        <w:rPr>
          <w:rFonts w:eastAsia="Arial Narrow" w:cs="Arial Narrow"/>
          <w:color w:val="000000" w:themeColor="text1"/>
          <w:szCs w:val="18"/>
        </w:rPr>
        <w:t>Source: Impact of COVID-19 on School-based Vaccination Programs July 2022</w:t>
      </w:r>
      <w:r w:rsidR="00D44FBE">
        <w:rPr>
          <w:rFonts w:eastAsia="Arial Narrow" w:cs="Arial Narrow"/>
          <w:color w:val="000000" w:themeColor="text1"/>
          <w:szCs w:val="18"/>
        </w:rPr>
        <w:t>; Figure 1</w:t>
      </w:r>
      <w:r w:rsidR="00D44FBE" w:rsidRPr="002104BB">
        <w:rPr>
          <w:rFonts w:eastAsia="Arial Narrow" w:cs="Arial Narrow"/>
          <w:color w:val="000000" w:themeColor="text1"/>
          <w:szCs w:val="18"/>
        </w:rPr>
        <w:t xml:space="preserve"> of the </w:t>
      </w:r>
      <w:r w:rsidR="00D44FBE">
        <w:rPr>
          <w:rFonts w:eastAsia="Arial Narrow" w:cs="Arial Narrow"/>
          <w:color w:val="000000" w:themeColor="text1"/>
          <w:szCs w:val="18"/>
        </w:rPr>
        <w:t xml:space="preserve">CMO </w:t>
      </w:r>
      <w:r w:rsidR="00D44FBE" w:rsidRPr="002104BB">
        <w:rPr>
          <w:rFonts w:eastAsia="Arial Narrow" w:cs="Arial Narrow"/>
          <w:color w:val="000000" w:themeColor="text1"/>
          <w:szCs w:val="18"/>
        </w:rPr>
        <w:t>submission</w:t>
      </w:r>
    </w:p>
    <w:p w14:paraId="47922829" w14:textId="77777777" w:rsidR="00751150" w:rsidRPr="00751150" w:rsidRDefault="00751150" w:rsidP="00751150">
      <w:pPr>
        <w:pStyle w:val="FooterTableFigure"/>
        <w:spacing w:after="0"/>
        <w:contextualSpacing w:val="0"/>
        <w:rPr>
          <w:rFonts w:eastAsia="Arial Narrow" w:cs="Arial Narrow"/>
          <w:color w:val="000000" w:themeColor="text1"/>
          <w:szCs w:val="18"/>
        </w:rPr>
      </w:pPr>
      <w:r w:rsidRPr="00751150">
        <w:rPr>
          <w:rFonts w:eastAsia="Arial Narrow" w:cs="Arial Narrow"/>
          <w:color w:val="000000" w:themeColor="text1"/>
          <w:szCs w:val="18"/>
        </w:rPr>
        <w:t>*Increased numbers in 2019 are an artefact as WA vaccinated 2 school cohorts (year 7 and year 8) while switching over to a year 7 vaccination program</w:t>
      </w:r>
    </w:p>
    <w:p w14:paraId="4B251E29" w14:textId="7586CC7F" w:rsidR="00FD377A" w:rsidRDefault="00FD377A">
      <w:pPr>
        <w:jc w:val="left"/>
        <w:rPr>
          <w:rFonts w:ascii="Arial Narrow" w:hAnsi="Arial Narrow" w:cs="Arial"/>
          <w:b/>
          <w:bCs/>
          <w:color w:val="000000" w:themeColor="text1"/>
          <w:sz w:val="20"/>
          <w:szCs w:val="20"/>
        </w:rPr>
      </w:pPr>
    </w:p>
    <w:p w14:paraId="333DB548" w14:textId="166566CA" w:rsidR="00751150" w:rsidRPr="00751150" w:rsidRDefault="00751150" w:rsidP="007F5071">
      <w:pPr>
        <w:pStyle w:val="TableFigureHeading"/>
      </w:pPr>
      <w:r w:rsidRPr="00751150">
        <w:t xml:space="preserve">Figure </w:t>
      </w:r>
      <w:r w:rsidR="002F4A0E">
        <w:t>4:</w:t>
      </w:r>
      <w:r w:rsidRPr="00751150">
        <w:t xml:space="preserve"> Number of first and second (administered in same calendar year) dose HPV vaccinations, Indigenous adolescents aged 11 to &lt;15 years, Australia, 2018 – 2021*</w:t>
      </w:r>
    </w:p>
    <w:p w14:paraId="61605A5B" w14:textId="77777777" w:rsidR="00751150" w:rsidRDefault="00751150" w:rsidP="007F5071">
      <w:pPr>
        <w:pStyle w:val="Tabletext0"/>
        <w:rPr>
          <w:rFonts w:ascii="Arial" w:eastAsia="MS Mincho" w:hAnsi="Arial"/>
          <w:color w:val="C0504D" w:themeColor="accent2"/>
          <w:sz w:val="22"/>
          <w:lang w:val="en-US"/>
        </w:rPr>
      </w:pPr>
      <w:r>
        <w:rPr>
          <w:rFonts w:eastAsia="MS Mincho"/>
          <w:noProof/>
        </w:rPr>
        <w:drawing>
          <wp:inline distT="0" distB="0" distL="0" distR="0" wp14:anchorId="095D9C5E" wp14:editId="5D8C0E75">
            <wp:extent cx="3957277" cy="2870811"/>
            <wp:effectExtent l="0" t="0" r="571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65243" cy="2876590"/>
                    </a:xfrm>
                    <a:prstGeom prst="rect">
                      <a:avLst/>
                    </a:prstGeom>
                    <a:noFill/>
                    <a:ln>
                      <a:noFill/>
                    </a:ln>
                  </pic:spPr>
                </pic:pic>
              </a:graphicData>
            </a:graphic>
          </wp:inline>
        </w:drawing>
      </w:r>
    </w:p>
    <w:p w14:paraId="48772EAC" w14:textId="23B0E4CF" w:rsidR="00751150" w:rsidRPr="00751150" w:rsidRDefault="00751150" w:rsidP="007F5071">
      <w:pPr>
        <w:pStyle w:val="TableFigureFooter"/>
        <w:rPr>
          <w:rFonts w:eastAsia="Arial Narrow"/>
        </w:rPr>
      </w:pPr>
      <w:r w:rsidRPr="00751150">
        <w:rPr>
          <w:rFonts w:eastAsia="Arial Narrow"/>
        </w:rPr>
        <w:t>Source: Impact of COVID-19 on School-based Vaccination Programs July 2022</w:t>
      </w:r>
      <w:r w:rsidR="00D44FBE">
        <w:rPr>
          <w:rFonts w:eastAsia="Arial Narrow"/>
        </w:rPr>
        <w:t>; Figure 2</w:t>
      </w:r>
      <w:r w:rsidR="00D44FBE" w:rsidRPr="002104BB">
        <w:rPr>
          <w:rFonts w:eastAsia="Arial Narrow"/>
        </w:rPr>
        <w:t xml:space="preserve"> of the </w:t>
      </w:r>
      <w:r w:rsidR="00D44FBE">
        <w:rPr>
          <w:rFonts w:eastAsia="Arial Narrow"/>
        </w:rPr>
        <w:t xml:space="preserve">CMO </w:t>
      </w:r>
      <w:r w:rsidR="00D44FBE" w:rsidRPr="002104BB">
        <w:rPr>
          <w:rFonts w:eastAsia="Arial Narrow"/>
        </w:rPr>
        <w:t>submission</w:t>
      </w:r>
    </w:p>
    <w:p w14:paraId="58CED3B5" w14:textId="43335A77" w:rsidR="00751150" w:rsidRPr="00613C5F" w:rsidRDefault="00751150" w:rsidP="007F5071">
      <w:pPr>
        <w:pStyle w:val="TableFigureFooter"/>
        <w:rPr>
          <w:lang w:eastAsia="en-US"/>
        </w:rPr>
      </w:pPr>
      <w:r w:rsidRPr="00751150">
        <w:rPr>
          <w:rFonts w:eastAsia="Arial Narrow"/>
        </w:rPr>
        <w:t>*Increased numbers in 2019 are an artefact as WA vaccinated 2 school cohorts (year 7 and year 8) while switching over to a year 7 vaccination program</w:t>
      </w:r>
    </w:p>
    <w:p w14:paraId="622EFF8A" w14:textId="13F64ED9" w:rsidR="009528D2" w:rsidRPr="002E647D" w:rsidRDefault="002E647D" w:rsidP="009528D2">
      <w:pPr>
        <w:pStyle w:val="3-BodyText"/>
        <w:rPr>
          <w:rFonts w:ascii="Arial Narrow" w:hAnsi="Arial Narrow"/>
          <w:sz w:val="16"/>
          <w:szCs w:val="14"/>
          <w:lang w:eastAsia="en-US"/>
        </w:rPr>
      </w:pPr>
      <w:r>
        <w:rPr>
          <w:lang w:eastAsia="en-US"/>
        </w:rPr>
        <w:t xml:space="preserve">The PBAC noted that there is currently approximately 85% </w:t>
      </w:r>
      <w:r w:rsidRPr="002E647D">
        <w:rPr>
          <w:lang w:eastAsia="en-US"/>
        </w:rPr>
        <w:t>coverage for first dose</w:t>
      </w:r>
      <w:r w:rsidRPr="002E647D">
        <w:t xml:space="preserve"> </w:t>
      </w:r>
      <w:r>
        <w:rPr>
          <w:lang w:eastAsia="en-US"/>
        </w:rPr>
        <w:t>across those at</w:t>
      </w:r>
      <w:r w:rsidRPr="002E647D">
        <w:rPr>
          <w:lang w:eastAsia="en-US"/>
        </w:rPr>
        <w:t xml:space="preserve"> 15 years of age, by gender and Indigenous status in Australia 2020 and 2021</w:t>
      </w:r>
      <w:r>
        <w:rPr>
          <w:lang w:eastAsia="en-US"/>
        </w:rPr>
        <w:t xml:space="preserve">. However, coverage reduces amongst all groups for the second dose. </w:t>
      </w:r>
    </w:p>
    <w:p w14:paraId="6B3B902E" w14:textId="0837D622" w:rsidR="002E647D" w:rsidRPr="000B7EA5" w:rsidRDefault="00170F90" w:rsidP="003522FD">
      <w:pPr>
        <w:pStyle w:val="3-BodyText"/>
        <w:rPr>
          <w:rFonts w:ascii="Arial Narrow" w:hAnsi="Arial Narrow"/>
          <w:sz w:val="16"/>
          <w:szCs w:val="14"/>
          <w:lang w:eastAsia="en-US"/>
        </w:rPr>
      </w:pPr>
      <w:r>
        <w:rPr>
          <w:lang w:eastAsia="en-US"/>
        </w:rPr>
        <w:t xml:space="preserve">The sponsor noted the Department’s request to provide updated estimates of utilisation and financial implications for the NIP based on the ATAGI recommendation for the proposed revised </w:t>
      </w:r>
      <w:r w:rsidR="00512142">
        <w:rPr>
          <w:lang w:eastAsia="en-US"/>
        </w:rPr>
        <w:t xml:space="preserve">one </w:t>
      </w:r>
      <w:r>
        <w:rPr>
          <w:lang w:eastAsia="en-US"/>
        </w:rPr>
        <w:t xml:space="preserve">dose HPV vaccine schedule in its pre-PBAC response. However, </w:t>
      </w:r>
      <w:r w:rsidR="00CB6990">
        <w:rPr>
          <w:lang w:eastAsia="en-US"/>
        </w:rPr>
        <w:t xml:space="preserve">no estimates were provided given </w:t>
      </w:r>
      <w:r>
        <w:rPr>
          <w:lang w:eastAsia="en-US"/>
        </w:rPr>
        <w:t>the sponsor</w:t>
      </w:r>
      <w:r w:rsidR="005A1B1E">
        <w:rPr>
          <w:lang w:eastAsia="en-US"/>
        </w:rPr>
        <w:t xml:space="preserve">’s argument </w:t>
      </w:r>
      <w:r>
        <w:rPr>
          <w:lang w:eastAsia="en-US"/>
        </w:rPr>
        <w:t xml:space="preserve">that </w:t>
      </w:r>
      <w:r w:rsidR="00CB6990">
        <w:rPr>
          <w:lang w:eastAsia="en-US"/>
        </w:rPr>
        <w:t xml:space="preserve">the </w:t>
      </w:r>
      <w:r w:rsidR="00512142">
        <w:rPr>
          <w:lang w:eastAsia="en-US"/>
        </w:rPr>
        <w:t xml:space="preserve">one </w:t>
      </w:r>
      <w:r w:rsidR="00CB6990">
        <w:rPr>
          <w:lang w:eastAsia="en-US"/>
        </w:rPr>
        <w:t xml:space="preserve">dose schedule has not been demonstrated to provide non-inferior efficacy based on the clinical evidence currently available and that </w:t>
      </w:r>
      <w:r>
        <w:rPr>
          <w:lang w:eastAsia="en-US"/>
        </w:rPr>
        <w:t xml:space="preserve">there is currently no agreed price for a </w:t>
      </w:r>
      <w:r w:rsidR="00512142">
        <w:rPr>
          <w:lang w:eastAsia="en-US"/>
        </w:rPr>
        <w:t xml:space="preserve">one </w:t>
      </w:r>
      <w:r>
        <w:rPr>
          <w:lang w:eastAsia="en-US"/>
        </w:rPr>
        <w:t>dose program</w:t>
      </w:r>
      <w:r w:rsidR="00CB6990">
        <w:rPr>
          <w:lang w:eastAsia="en-US"/>
        </w:rPr>
        <w:t>.</w:t>
      </w:r>
      <w:r>
        <w:rPr>
          <w:lang w:eastAsia="en-US"/>
        </w:rPr>
        <w:t xml:space="preserve"> </w:t>
      </w:r>
    </w:p>
    <w:p w14:paraId="5A6011CF" w14:textId="334617E5" w:rsidR="000B7EA5" w:rsidRPr="000B7EA5" w:rsidRDefault="000B7EA5" w:rsidP="000B7EA5">
      <w:pPr>
        <w:pStyle w:val="3-BodyText"/>
        <w:numPr>
          <w:ilvl w:val="0"/>
          <w:numId w:val="0"/>
        </w:numPr>
        <w:rPr>
          <w:rFonts w:ascii="Arial Narrow" w:hAnsi="Arial Narrow"/>
          <w:sz w:val="16"/>
          <w:szCs w:val="14"/>
          <w:lang w:eastAsia="en-US"/>
        </w:rPr>
      </w:pPr>
      <w:r>
        <w:rPr>
          <w:rFonts w:eastAsiaTheme="majorEastAsia" w:cstheme="majorBidi"/>
          <w:b/>
          <w:i/>
          <w:spacing w:val="5"/>
          <w:kern w:val="28"/>
          <w:sz w:val="28"/>
          <w:szCs w:val="36"/>
          <w:lang w:eastAsia="en-US"/>
        </w:rPr>
        <w:t>S</w:t>
      </w:r>
      <w:r w:rsidRPr="000B7EA5">
        <w:rPr>
          <w:rFonts w:eastAsiaTheme="majorEastAsia" w:cstheme="majorBidi"/>
          <w:b/>
          <w:i/>
          <w:spacing w:val="5"/>
          <w:kern w:val="28"/>
          <w:sz w:val="28"/>
          <w:szCs w:val="36"/>
          <w:lang w:eastAsia="en-US"/>
        </w:rPr>
        <w:t>takeholder meeting</w:t>
      </w:r>
      <w:r w:rsidRPr="000B7EA5">
        <w:t xml:space="preserve"> </w:t>
      </w:r>
      <w:r w:rsidR="00B40811">
        <w:rPr>
          <w:rFonts w:eastAsiaTheme="majorEastAsia" w:cstheme="majorBidi"/>
          <w:b/>
          <w:i/>
          <w:spacing w:val="5"/>
          <w:kern w:val="28"/>
          <w:sz w:val="28"/>
          <w:szCs w:val="36"/>
          <w:lang w:eastAsia="en-US"/>
        </w:rPr>
        <w:t xml:space="preserve">for </w:t>
      </w:r>
      <w:r w:rsidRPr="000B7EA5">
        <w:rPr>
          <w:rFonts w:eastAsiaTheme="majorEastAsia" w:cstheme="majorBidi"/>
          <w:b/>
          <w:i/>
          <w:spacing w:val="5"/>
          <w:kern w:val="28"/>
          <w:sz w:val="28"/>
          <w:szCs w:val="36"/>
          <w:lang w:eastAsia="en-US"/>
        </w:rPr>
        <w:t>implementation</w:t>
      </w:r>
      <w:r>
        <w:rPr>
          <w:rFonts w:eastAsiaTheme="majorEastAsia" w:cstheme="majorBidi"/>
          <w:b/>
          <w:i/>
          <w:spacing w:val="5"/>
          <w:kern w:val="28"/>
          <w:sz w:val="28"/>
          <w:szCs w:val="36"/>
          <w:lang w:eastAsia="en-US"/>
        </w:rPr>
        <w:t xml:space="preserve"> of NIP change</w:t>
      </w:r>
    </w:p>
    <w:p w14:paraId="0CE0F625" w14:textId="77777777" w:rsidR="00603CD0" w:rsidRPr="00603CD0" w:rsidRDefault="00603CD0" w:rsidP="00603CD0">
      <w:pPr>
        <w:pStyle w:val="3-BodyText"/>
        <w:rPr>
          <w:rFonts w:cstheme="minorHAnsi"/>
        </w:rPr>
      </w:pPr>
      <w:r w:rsidRPr="00603CD0">
        <w:rPr>
          <w:rFonts w:cstheme="minorHAnsi"/>
        </w:rPr>
        <w:t xml:space="preserve">ATAGI recommends that comprehensive consultation with stakeholders involved in delivering HPV vaccination programs be conducted prior to switching to a one dose schedule, to mitigate against unintended consequences of this schedule change. In particular, ensuring equitable access to HPV vaccines through effective and culturally appropriate approaches is critical to reach the goal of cervical cancer elimination and should be a focus of the directed resources. Challenges to achieving high coverage will vary based on the local context, so close consultation is needed to develop tailored strategies accordingly. </w:t>
      </w:r>
    </w:p>
    <w:p w14:paraId="6B34B91A" w14:textId="552E7C94" w:rsidR="000B7EA5" w:rsidRPr="00F8362A" w:rsidRDefault="00603CD0" w:rsidP="00F8362A">
      <w:pPr>
        <w:pStyle w:val="3-BodyText"/>
        <w:rPr>
          <w:rFonts w:cstheme="minorHAnsi"/>
        </w:rPr>
      </w:pPr>
      <w:r w:rsidRPr="00603CD0">
        <w:rPr>
          <w:rFonts w:cstheme="minorHAnsi"/>
        </w:rPr>
        <w:t>ATAGI also recommends clear communication about the shift to a single dose schedule of HPV vaccine with stakeholders, including jurisdictional implementing partners, immunisation providers and the public, in advance of the schedule change. Development and implementation of a comprehensive communication plan should be considered. It is particularly important to emphasise that this change is based on a large volume of evidence that has emerged in recent years, and ATAGI’s recommendations are aligned with those of the WHO SAGE and the UK’s JCVI.</w:t>
      </w:r>
      <w:r w:rsidR="002A391F">
        <w:t xml:space="preserve"> </w:t>
      </w:r>
    </w:p>
    <w:p w14:paraId="3DF37A44" w14:textId="6239E5BA" w:rsidR="00356405" w:rsidRPr="00850CE9" w:rsidRDefault="00356405" w:rsidP="009528D2">
      <w:pPr>
        <w:pStyle w:val="3-BodyText"/>
        <w:numPr>
          <w:ilvl w:val="0"/>
          <w:numId w:val="0"/>
        </w:numPr>
        <w:ind w:left="720"/>
        <w:rPr>
          <w:rFonts w:ascii="Arial Narrow" w:hAnsi="Arial Narrow"/>
          <w:sz w:val="16"/>
          <w:szCs w:val="14"/>
          <w:lang w:eastAsia="en-US"/>
        </w:rPr>
      </w:pPr>
      <w:r w:rsidRPr="007E61A0">
        <w:rPr>
          <w:i/>
        </w:rPr>
        <w:t xml:space="preserve">For more detail on PBAC’s view, see section </w:t>
      </w:r>
      <w:r>
        <w:rPr>
          <w:i/>
        </w:rPr>
        <w:t>5</w:t>
      </w:r>
      <w:r w:rsidRPr="007E61A0">
        <w:rPr>
          <w:i/>
        </w:rPr>
        <w:t xml:space="preserve"> PBAC outcome</w:t>
      </w:r>
      <w:r>
        <w:rPr>
          <w:i/>
        </w:rPr>
        <w:t>.</w:t>
      </w:r>
    </w:p>
    <w:p w14:paraId="2A60281F" w14:textId="77777777" w:rsidR="00275CD2" w:rsidRDefault="00275CD2" w:rsidP="00275CD2">
      <w:pPr>
        <w:pStyle w:val="2-SectionHeading"/>
      </w:pPr>
      <w:r>
        <w:t>PBAC Outcome</w:t>
      </w:r>
    </w:p>
    <w:p w14:paraId="4161B801" w14:textId="46933BC5" w:rsidR="00193967" w:rsidRPr="00193967" w:rsidRDefault="00275CD2" w:rsidP="00193967">
      <w:pPr>
        <w:pStyle w:val="3-BodyText"/>
      </w:pPr>
      <w:r w:rsidRPr="00D8553E">
        <w:rPr>
          <w:snapToGrid w:val="0"/>
          <w:lang w:val="en-GB"/>
        </w:rPr>
        <w:t xml:space="preserve">The PBAC recommended </w:t>
      </w:r>
      <w:r w:rsidR="006309F1" w:rsidRPr="00497554">
        <w:rPr>
          <w:rFonts w:cs="Calibri"/>
        </w:rPr>
        <w:t xml:space="preserve">a change to the circumstances under which </w:t>
      </w:r>
      <w:r w:rsidR="006309F1" w:rsidRPr="006309F1">
        <w:rPr>
          <w:snapToGrid w:val="0"/>
          <w:lang w:val="en-GB"/>
        </w:rPr>
        <w:t xml:space="preserve">the human papillomavirus 9-valent </w:t>
      </w:r>
      <w:r w:rsidR="006D5017">
        <w:rPr>
          <w:snapToGrid w:val="0"/>
          <w:lang w:val="en-GB"/>
        </w:rPr>
        <w:t xml:space="preserve">(9vHPV) </w:t>
      </w:r>
      <w:r w:rsidR="006309F1" w:rsidRPr="006309F1">
        <w:rPr>
          <w:snapToGrid w:val="0"/>
          <w:lang w:val="en-GB"/>
        </w:rPr>
        <w:t>vaccine</w:t>
      </w:r>
      <w:r w:rsidR="006309F1">
        <w:rPr>
          <w:snapToGrid w:val="0"/>
          <w:lang w:val="en-GB"/>
        </w:rPr>
        <w:t xml:space="preserve"> is made available</w:t>
      </w:r>
      <w:r w:rsidR="006309F1" w:rsidRPr="006309F1">
        <w:rPr>
          <w:snapToGrid w:val="0"/>
          <w:lang w:val="en-GB"/>
        </w:rPr>
        <w:t xml:space="preserve"> </w:t>
      </w:r>
      <w:r w:rsidR="006309F1">
        <w:rPr>
          <w:snapToGrid w:val="0"/>
          <w:lang w:val="en-GB"/>
        </w:rPr>
        <w:t xml:space="preserve">as a </w:t>
      </w:r>
      <w:r w:rsidR="006309F1" w:rsidRPr="006309F1">
        <w:rPr>
          <w:snapToGrid w:val="0"/>
          <w:lang w:val="en-GB"/>
        </w:rPr>
        <w:t xml:space="preserve">designated vaccine for the purposes of the </w:t>
      </w:r>
      <w:r w:rsidR="006309F1" w:rsidRPr="006309F1">
        <w:rPr>
          <w:i/>
          <w:iCs/>
          <w:snapToGrid w:val="0"/>
          <w:lang w:val="en-GB"/>
        </w:rPr>
        <w:t>National Health Act 1953</w:t>
      </w:r>
      <w:r w:rsidR="006D5017">
        <w:rPr>
          <w:i/>
          <w:iCs/>
          <w:snapToGrid w:val="0"/>
          <w:lang w:val="en-GB"/>
        </w:rPr>
        <w:t xml:space="preserve"> </w:t>
      </w:r>
      <w:r w:rsidR="006D5017">
        <w:rPr>
          <w:snapToGrid w:val="0"/>
          <w:lang w:val="en-GB"/>
        </w:rPr>
        <w:t>based on a request for advice that was initiated by t</w:t>
      </w:r>
      <w:r w:rsidR="006D5017" w:rsidRPr="00DC4513">
        <w:rPr>
          <w:snapToGrid w:val="0"/>
          <w:lang w:val="en-GB"/>
        </w:rPr>
        <w:t>he Chief Medical Officer of the Department of Health and Aged Care</w:t>
      </w:r>
      <w:r w:rsidR="006309F1">
        <w:rPr>
          <w:i/>
          <w:iCs/>
          <w:snapToGrid w:val="0"/>
          <w:lang w:val="en-GB"/>
        </w:rPr>
        <w:t xml:space="preserve">. </w:t>
      </w:r>
      <w:r w:rsidR="006309F1">
        <w:rPr>
          <w:snapToGrid w:val="0"/>
          <w:lang w:val="en-GB"/>
        </w:rPr>
        <w:t xml:space="preserve">The PBAC recommended that </w:t>
      </w:r>
      <w:r w:rsidR="006309F1" w:rsidRPr="006309F1">
        <w:rPr>
          <w:snapToGrid w:val="0"/>
          <w:lang w:val="en-GB"/>
        </w:rPr>
        <w:t>the National Immunisation Program (NIP) listing</w:t>
      </w:r>
      <w:r w:rsidR="006309F1">
        <w:rPr>
          <w:snapToGrid w:val="0"/>
          <w:lang w:val="en-GB"/>
        </w:rPr>
        <w:t xml:space="preserve"> of </w:t>
      </w:r>
      <w:r w:rsidR="006D5017">
        <w:rPr>
          <w:snapToGrid w:val="0"/>
          <w:lang w:val="en-GB"/>
        </w:rPr>
        <w:t>9vHPV vaccine</w:t>
      </w:r>
      <w:r w:rsidR="006309F1">
        <w:rPr>
          <w:snapToGrid w:val="0"/>
          <w:lang w:val="en-GB"/>
        </w:rPr>
        <w:t xml:space="preserve"> be changed </w:t>
      </w:r>
      <w:r w:rsidR="006309F1" w:rsidRPr="006309F1">
        <w:rPr>
          <w:snapToGrid w:val="0"/>
          <w:lang w:val="en-GB"/>
        </w:rPr>
        <w:t xml:space="preserve">from two doses to one dose for the adolescent vaccination program and </w:t>
      </w:r>
      <w:r w:rsidR="006309F1">
        <w:rPr>
          <w:snapToGrid w:val="0"/>
          <w:lang w:val="en-GB"/>
        </w:rPr>
        <w:t xml:space="preserve">that the </w:t>
      </w:r>
      <w:r w:rsidR="006309F1" w:rsidRPr="006309F1">
        <w:rPr>
          <w:snapToGrid w:val="0"/>
          <w:lang w:val="en-GB"/>
        </w:rPr>
        <w:t>upper age limit for catch up vaccination</w:t>
      </w:r>
      <w:r w:rsidR="006309F1">
        <w:rPr>
          <w:snapToGrid w:val="0"/>
          <w:lang w:val="en-GB"/>
        </w:rPr>
        <w:t xml:space="preserve"> be updated from 20 years to 25 years</w:t>
      </w:r>
      <w:r w:rsidR="006309F1" w:rsidRPr="006309F1">
        <w:rPr>
          <w:snapToGrid w:val="0"/>
          <w:lang w:val="en-GB"/>
        </w:rPr>
        <w:t>.</w:t>
      </w:r>
      <w:r w:rsidR="00193967">
        <w:rPr>
          <w:snapToGrid w:val="0"/>
          <w:lang w:val="en-GB"/>
        </w:rPr>
        <w:t xml:space="preserve"> </w:t>
      </w:r>
    </w:p>
    <w:p w14:paraId="2E753F2D" w14:textId="1A8BAF9F" w:rsidR="008A7889" w:rsidRPr="00502B74" w:rsidRDefault="008A7889" w:rsidP="008A7889">
      <w:pPr>
        <w:pStyle w:val="3-BodyText"/>
        <w:rPr>
          <w:rFonts w:cstheme="minorHAnsi"/>
        </w:rPr>
      </w:pPr>
      <w:r w:rsidRPr="00502B74">
        <w:rPr>
          <w:snapToGrid w:val="0"/>
          <w:lang w:val="en-GB"/>
        </w:rPr>
        <w:t xml:space="preserve">The PBAC noted the advice of ATAGI regarding the likely non-inferior efficacy of a single dose of 9vHPV vaccine compared to </w:t>
      </w:r>
      <w:r w:rsidR="00D30CE6">
        <w:rPr>
          <w:snapToGrid w:val="0"/>
          <w:lang w:val="en-GB"/>
        </w:rPr>
        <w:t xml:space="preserve">two </w:t>
      </w:r>
      <w:r w:rsidRPr="00502B74">
        <w:rPr>
          <w:snapToGrid w:val="0"/>
          <w:lang w:val="en-GB"/>
        </w:rPr>
        <w:t xml:space="preserve">doses in immunocompetent adolescents aligned with recommendations made by the World Health Organization (WHO) Strategic Advisory Group of Experts on Immunization (SAGE) and the United Kingdom’s Joint Committee on Vaccination and Immunisation (JCVI). </w:t>
      </w:r>
      <w:r w:rsidRPr="00502B74">
        <w:rPr>
          <w:rFonts w:cstheme="minorHAnsi"/>
        </w:rPr>
        <w:t xml:space="preserve">ATAGI recommended that adolescents and adults aged up to 25 years who did not receive HPV vaccination during adolescence be eligible to receive a single dose of 9vHPV vaccine (previously up to age 19 years). The clinical impacts of not proceeding with the schedule change would mean people aged 20 to 25 years, who did not receive a funded HPV vaccine during adolescence, will not be eligible for a funded vaccine. </w:t>
      </w:r>
    </w:p>
    <w:p w14:paraId="4EE821C2" w14:textId="768E10D2" w:rsidR="00F720E0" w:rsidRDefault="00633018" w:rsidP="005C5E21">
      <w:pPr>
        <w:pStyle w:val="3-BodyText"/>
        <w:rPr>
          <w:snapToGrid w:val="0"/>
          <w:lang w:val="en-GB"/>
        </w:rPr>
      </w:pPr>
      <w:r>
        <w:t xml:space="preserve">The </w:t>
      </w:r>
      <w:r w:rsidR="00F720E0">
        <w:t>PBAC noted the dissenting opinion of the sponsor with regards to implementing the proposed change</w:t>
      </w:r>
      <w:r w:rsidR="07952535">
        <w:t>, citing</w:t>
      </w:r>
      <w:r w:rsidR="00F720E0">
        <w:t xml:space="preserve"> data immaturity and that a hasty move may jeopardise Aust</w:t>
      </w:r>
      <w:r>
        <w:t>ralia’s</w:t>
      </w:r>
      <w:r w:rsidR="00F720E0">
        <w:t xml:space="preserve"> long-term plans to eliminate HPV. </w:t>
      </w:r>
      <w:r w:rsidRPr="4E18C11A">
        <w:t xml:space="preserve">The pre-PBAC response stated the sponsor was supportive of the PBAC commissioning a full clinical and cost-effectiveness review to be conducted as per the PBAC guidelines to ensure any potential change to the HPV vaccine schedule is thoroughly evaluated, </w:t>
      </w:r>
      <w:r>
        <w:t xml:space="preserve">given the proposed </w:t>
      </w:r>
      <w:r w:rsidR="00D30CE6">
        <w:t xml:space="preserve">one </w:t>
      </w:r>
      <w:r>
        <w:t xml:space="preserve">dose schedule deviates from the current TGA approved dosage and administration. </w:t>
      </w:r>
      <w:r w:rsidR="00F720E0">
        <w:t xml:space="preserve">However, the PBAC noted the ATAGI advice and evidence summarised in section 4 and </w:t>
      </w:r>
      <w:r w:rsidR="6D4099E1">
        <w:t xml:space="preserve">was </w:t>
      </w:r>
      <w:r w:rsidR="00F720E0">
        <w:t xml:space="preserve">reassured by the long-term immunogenicity studies of single versus multiple doses </w:t>
      </w:r>
      <w:r>
        <w:t xml:space="preserve">which demonstrated </w:t>
      </w:r>
      <w:r w:rsidR="00F720E0">
        <w:t xml:space="preserve">stabilised GMCs out to 11 years. The PBAC advised the plateau in </w:t>
      </w:r>
      <w:r>
        <w:t>F</w:t>
      </w:r>
      <w:r w:rsidR="00F720E0">
        <w:t xml:space="preserve">igures </w:t>
      </w:r>
      <w:r>
        <w:t>1</w:t>
      </w:r>
      <w:r w:rsidR="00F720E0">
        <w:t xml:space="preserve"> and </w:t>
      </w:r>
      <w:r>
        <w:t xml:space="preserve">2 </w:t>
      </w:r>
      <w:r w:rsidR="00F720E0">
        <w:t>gives confidence that</w:t>
      </w:r>
      <w:r>
        <w:t xml:space="preserve"> the</w:t>
      </w:r>
      <w:r w:rsidR="00F720E0">
        <w:t xml:space="preserve"> protective effect will be persistent over many years.</w:t>
      </w:r>
    </w:p>
    <w:p w14:paraId="2B45040B" w14:textId="3E9B7D41" w:rsidR="005C5E21" w:rsidRDefault="005C5E21" w:rsidP="005C5E21">
      <w:pPr>
        <w:pStyle w:val="3-BodyText"/>
        <w:rPr>
          <w:snapToGrid w:val="0"/>
          <w:lang w:val="en-GB"/>
        </w:rPr>
      </w:pPr>
      <w:r>
        <w:rPr>
          <w:snapToGrid w:val="0"/>
          <w:lang w:val="en-GB"/>
        </w:rPr>
        <w:t>The PBAC a</w:t>
      </w:r>
      <w:r w:rsidRPr="006D3348">
        <w:rPr>
          <w:snapToGrid w:val="0"/>
          <w:lang w:val="en-GB"/>
        </w:rPr>
        <w:t>dvise</w:t>
      </w:r>
      <w:r>
        <w:rPr>
          <w:snapToGrid w:val="0"/>
          <w:lang w:val="en-GB"/>
        </w:rPr>
        <w:t>d</w:t>
      </w:r>
      <w:r w:rsidRPr="006D3348">
        <w:rPr>
          <w:snapToGrid w:val="0"/>
          <w:lang w:val="en-GB"/>
        </w:rPr>
        <w:t xml:space="preserve"> that on the basis of presented clinical and immunogenicity data, a single dose schedule of 9vHPV is</w:t>
      </w:r>
      <w:r>
        <w:rPr>
          <w:snapToGrid w:val="0"/>
          <w:lang w:val="en-GB"/>
        </w:rPr>
        <w:t xml:space="preserve"> </w:t>
      </w:r>
      <w:r w:rsidRPr="006D3348">
        <w:rPr>
          <w:snapToGrid w:val="0"/>
          <w:lang w:val="en-GB"/>
        </w:rPr>
        <w:t xml:space="preserve">likely to be non-inferior </w:t>
      </w:r>
      <w:r w:rsidR="00957D82">
        <w:rPr>
          <w:snapToGrid w:val="0"/>
          <w:lang w:val="en-GB"/>
        </w:rPr>
        <w:t xml:space="preserve">in terms of effectiveness </w:t>
      </w:r>
      <w:r w:rsidRPr="006D3348">
        <w:rPr>
          <w:snapToGrid w:val="0"/>
          <w:lang w:val="en-GB"/>
        </w:rPr>
        <w:t xml:space="preserve">to </w:t>
      </w:r>
      <w:r w:rsidR="00D30CE6">
        <w:rPr>
          <w:snapToGrid w:val="0"/>
          <w:lang w:val="en-GB"/>
        </w:rPr>
        <w:t>two</w:t>
      </w:r>
      <w:r w:rsidRPr="006D3348">
        <w:rPr>
          <w:snapToGrid w:val="0"/>
          <w:lang w:val="en-GB"/>
        </w:rPr>
        <w:t xml:space="preserve"> doses in the currently eligible population (12-19</w:t>
      </w:r>
      <w:r w:rsidR="00170095">
        <w:rPr>
          <w:snapToGrid w:val="0"/>
          <w:lang w:val="en-GB"/>
        </w:rPr>
        <w:t xml:space="preserve"> </w:t>
      </w:r>
      <w:r w:rsidRPr="006D3348">
        <w:rPr>
          <w:snapToGrid w:val="0"/>
          <w:lang w:val="en-GB"/>
        </w:rPr>
        <w:t>y</w:t>
      </w:r>
      <w:r w:rsidR="00170095">
        <w:rPr>
          <w:snapToGrid w:val="0"/>
          <w:lang w:val="en-GB"/>
        </w:rPr>
        <w:t>ears</w:t>
      </w:r>
      <w:r w:rsidRPr="006D3348">
        <w:rPr>
          <w:snapToGrid w:val="0"/>
          <w:lang w:val="en-GB"/>
        </w:rPr>
        <w:t>) and therefore likely to be cost effective (and cost saving) at the existing unit price</w:t>
      </w:r>
      <w:r w:rsidR="00170095">
        <w:rPr>
          <w:snapToGrid w:val="0"/>
          <w:lang w:val="en-GB"/>
        </w:rPr>
        <w:t xml:space="preserve"> </w:t>
      </w:r>
      <w:r w:rsidR="00170095" w:rsidRPr="006D3348">
        <w:rPr>
          <w:snapToGrid w:val="0"/>
          <w:lang w:val="en-GB"/>
        </w:rPr>
        <w:t xml:space="preserve">of </w:t>
      </w:r>
      <w:r w:rsidR="001F36C0">
        <w:rPr>
          <w:snapToGrid w:val="0"/>
          <w:lang w:val="en-GB"/>
        </w:rPr>
        <w:t xml:space="preserve">the </w:t>
      </w:r>
      <w:r w:rsidR="00170095" w:rsidRPr="006D3348">
        <w:rPr>
          <w:snapToGrid w:val="0"/>
          <w:lang w:val="en-GB"/>
        </w:rPr>
        <w:t>9vHPV</w:t>
      </w:r>
      <w:r w:rsidR="001F36C0">
        <w:rPr>
          <w:snapToGrid w:val="0"/>
          <w:lang w:val="en-GB"/>
        </w:rPr>
        <w:t xml:space="preserve"> vaccine</w:t>
      </w:r>
      <w:r w:rsidR="00F84637">
        <w:rPr>
          <w:snapToGrid w:val="0"/>
          <w:lang w:val="en-GB"/>
        </w:rPr>
        <w:t xml:space="preserve">, </w:t>
      </w:r>
      <w:r w:rsidR="00F84637" w:rsidRPr="00D56B05">
        <w:rPr>
          <w:snapToGrid w:val="0"/>
          <w:lang w:val="en-GB"/>
        </w:rPr>
        <w:t>including administration costs for the current schedule</w:t>
      </w:r>
      <w:r w:rsidRPr="00D56B05">
        <w:rPr>
          <w:snapToGrid w:val="0"/>
          <w:lang w:val="en-GB"/>
        </w:rPr>
        <w:t xml:space="preserve">. </w:t>
      </w:r>
      <w:r>
        <w:rPr>
          <w:snapToGrid w:val="0"/>
          <w:lang w:val="en-GB"/>
        </w:rPr>
        <w:t xml:space="preserve">Similarly, the PBAC advised a </w:t>
      </w:r>
      <w:r w:rsidRPr="006D3348">
        <w:rPr>
          <w:snapToGrid w:val="0"/>
          <w:lang w:val="en-GB"/>
        </w:rPr>
        <w:t>single dose schedule of 9vHPV is</w:t>
      </w:r>
      <w:r>
        <w:rPr>
          <w:snapToGrid w:val="0"/>
          <w:lang w:val="en-GB"/>
        </w:rPr>
        <w:t xml:space="preserve"> </w:t>
      </w:r>
      <w:r w:rsidRPr="006D3348">
        <w:rPr>
          <w:snapToGrid w:val="0"/>
          <w:lang w:val="en-GB"/>
        </w:rPr>
        <w:t xml:space="preserve">likely to be non-inferior </w:t>
      </w:r>
      <w:r w:rsidR="00957D82">
        <w:rPr>
          <w:snapToGrid w:val="0"/>
          <w:lang w:val="en-GB"/>
        </w:rPr>
        <w:t xml:space="preserve">in terms of effectiveness </w:t>
      </w:r>
      <w:r w:rsidRPr="006D3348">
        <w:rPr>
          <w:snapToGrid w:val="0"/>
          <w:lang w:val="en-GB"/>
        </w:rPr>
        <w:t xml:space="preserve">to </w:t>
      </w:r>
      <w:r w:rsidR="00D30CE6">
        <w:rPr>
          <w:snapToGrid w:val="0"/>
          <w:lang w:val="en-GB"/>
        </w:rPr>
        <w:t>two</w:t>
      </w:r>
      <w:r w:rsidRPr="006D3348">
        <w:rPr>
          <w:snapToGrid w:val="0"/>
          <w:lang w:val="en-GB"/>
        </w:rPr>
        <w:t xml:space="preserve"> doses </w:t>
      </w:r>
      <w:r>
        <w:rPr>
          <w:snapToGrid w:val="0"/>
          <w:lang w:val="en-GB"/>
        </w:rPr>
        <w:t xml:space="preserve">and </w:t>
      </w:r>
      <w:r w:rsidRPr="006D3348">
        <w:rPr>
          <w:snapToGrid w:val="0"/>
          <w:lang w:val="en-GB"/>
        </w:rPr>
        <w:t>be cost-effective for immunocompetent individuals from 20-25</w:t>
      </w:r>
      <w:r>
        <w:rPr>
          <w:snapToGrid w:val="0"/>
          <w:lang w:val="en-GB"/>
        </w:rPr>
        <w:t xml:space="preserve"> years.</w:t>
      </w:r>
      <w:r w:rsidR="00957D82" w:rsidRPr="00957D82">
        <w:t xml:space="preserve"> </w:t>
      </w:r>
      <w:r w:rsidR="00957D82">
        <w:t xml:space="preserve">The PBAC considered that </w:t>
      </w:r>
      <w:r w:rsidR="00957D82" w:rsidRPr="00957D82">
        <w:rPr>
          <w:snapToGrid w:val="0"/>
          <w:lang w:val="en-GB"/>
        </w:rPr>
        <w:t xml:space="preserve">in </w:t>
      </w:r>
      <w:r w:rsidR="00957D82">
        <w:rPr>
          <w:snapToGrid w:val="0"/>
          <w:lang w:val="en-GB"/>
        </w:rPr>
        <w:t xml:space="preserve">terms of </w:t>
      </w:r>
      <w:r w:rsidR="00957D82" w:rsidRPr="00957D82">
        <w:rPr>
          <w:snapToGrid w:val="0"/>
          <w:lang w:val="en-GB"/>
        </w:rPr>
        <w:t>safety</w:t>
      </w:r>
      <w:r w:rsidR="00957D82">
        <w:rPr>
          <w:snapToGrid w:val="0"/>
          <w:lang w:val="en-GB"/>
        </w:rPr>
        <w:t xml:space="preserve">, </w:t>
      </w:r>
      <w:r w:rsidR="00957D82" w:rsidRPr="00957D82">
        <w:rPr>
          <w:snapToGrid w:val="0"/>
          <w:lang w:val="en-GB"/>
        </w:rPr>
        <w:t>a single</w:t>
      </w:r>
      <w:r w:rsidR="00957D82" w:rsidRPr="00957D82">
        <w:t xml:space="preserve"> </w:t>
      </w:r>
      <w:r w:rsidR="00957D82">
        <w:t xml:space="preserve">dose </w:t>
      </w:r>
      <w:r w:rsidR="00957D82" w:rsidRPr="00957D82">
        <w:rPr>
          <w:snapToGrid w:val="0"/>
          <w:lang w:val="en-GB"/>
        </w:rPr>
        <w:t xml:space="preserve">of 9vHPV </w:t>
      </w:r>
      <w:r w:rsidR="001F36C0">
        <w:rPr>
          <w:snapToGrid w:val="0"/>
          <w:lang w:val="en-GB"/>
        </w:rPr>
        <w:t>vaccine</w:t>
      </w:r>
      <w:r w:rsidR="00957D82" w:rsidRPr="00957D82">
        <w:rPr>
          <w:snapToGrid w:val="0"/>
          <w:lang w:val="en-GB"/>
        </w:rPr>
        <w:t xml:space="preserve"> compared with two </w:t>
      </w:r>
      <w:r w:rsidR="00957D82">
        <w:rPr>
          <w:snapToGrid w:val="0"/>
          <w:lang w:val="en-GB"/>
        </w:rPr>
        <w:t xml:space="preserve">doses </w:t>
      </w:r>
      <w:r w:rsidR="00957D82" w:rsidRPr="00957D82">
        <w:rPr>
          <w:snapToGrid w:val="0"/>
          <w:lang w:val="en-GB"/>
        </w:rPr>
        <w:t>will</w:t>
      </w:r>
      <w:r w:rsidR="00BC241A">
        <w:rPr>
          <w:snapToGrid w:val="0"/>
          <w:lang w:val="en-GB"/>
        </w:rPr>
        <w:t xml:space="preserve"> likely</w:t>
      </w:r>
      <w:r w:rsidR="00957D82" w:rsidRPr="00957D82">
        <w:rPr>
          <w:snapToGrid w:val="0"/>
          <w:lang w:val="en-GB"/>
        </w:rPr>
        <w:t xml:space="preserve"> reduce the number of mild-moderate short term adverse events expected after any vaccine dose.</w:t>
      </w:r>
    </w:p>
    <w:p w14:paraId="485B28E6" w14:textId="077122F0" w:rsidR="006D3348" w:rsidRPr="00797559" w:rsidRDefault="006D3348" w:rsidP="003522FD">
      <w:pPr>
        <w:pStyle w:val="3-BodyText"/>
        <w:rPr>
          <w:snapToGrid w:val="0"/>
          <w:lang w:val="en-GB"/>
        </w:rPr>
      </w:pPr>
      <w:r w:rsidRPr="00797559">
        <w:rPr>
          <w:snapToGrid w:val="0"/>
          <w:lang w:val="en-GB"/>
        </w:rPr>
        <w:t xml:space="preserve">The PBAC acknowledged the public health value of achieving elimination of cervical cancer, and ATAGI's advice that a move to a </w:t>
      </w:r>
      <w:r w:rsidR="00502B74">
        <w:rPr>
          <w:snapToGrid w:val="0"/>
          <w:lang w:val="en-GB"/>
        </w:rPr>
        <w:t xml:space="preserve">one </w:t>
      </w:r>
      <w:r w:rsidRPr="00797559">
        <w:rPr>
          <w:snapToGrid w:val="0"/>
          <w:lang w:val="en-GB"/>
        </w:rPr>
        <w:t>dose schedule will need to be supported by prospective monitoring against elimination goals</w:t>
      </w:r>
      <w:r w:rsidR="00797559" w:rsidRPr="00797559">
        <w:rPr>
          <w:snapToGrid w:val="0"/>
          <w:lang w:val="en-GB"/>
        </w:rPr>
        <w:t>, noting there is moderate residual risk in unvaccinated young people.</w:t>
      </w:r>
      <w:r w:rsidR="00797559">
        <w:rPr>
          <w:snapToGrid w:val="0"/>
          <w:lang w:val="en-GB"/>
        </w:rPr>
        <w:t xml:space="preserve"> </w:t>
      </w:r>
      <w:r w:rsidR="0055277F" w:rsidRPr="00797559">
        <w:rPr>
          <w:snapToGrid w:val="0"/>
          <w:lang w:val="en-GB"/>
        </w:rPr>
        <w:t>The PBAC</w:t>
      </w:r>
      <w:r w:rsidR="005C5E21" w:rsidRPr="00797559">
        <w:rPr>
          <w:snapToGrid w:val="0"/>
          <w:lang w:val="en-GB"/>
        </w:rPr>
        <w:t xml:space="preserve"> noted </w:t>
      </w:r>
      <w:r w:rsidR="0055277F" w:rsidRPr="00797559">
        <w:rPr>
          <w:snapToGrid w:val="0"/>
          <w:lang w:val="en-GB"/>
        </w:rPr>
        <w:t>the following considerations would be required for program implementation:</w:t>
      </w:r>
    </w:p>
    <w:p w14:paraId="6035CC80" w14:textId="21F55771" w:rsidR="006D3348" w:rsidRPr="000436FE" w:rsidRDefault="006D3348" w:rsidP="000436FE">
      <w:pPr>
        <w:pStyle w:val="3-BodyText"/>
        <w:numPr>
          <w:ilvl w:val="1"/>
          <w:numId w:val="10"/>
        </w:numPr>
        <w:ind w:left="1418" w:hanging="284"/>
        <w:rPr>
          <w:snapToGrid w:val="0"/>
          <w:lang w:val="en-GB"/>
        </w:rPr>
      </w:pPr>
      <w:r w:rsidRPr="000436FE">
        <w:rPr>
          <w:snapToGrid w:val="0"/>
          <w:lang w:val="en-GB"/>
        </w:rPr>
        <w:t xml:space="preserve">enhancing HPV vaccine coverage, particularly in those who are currently not receiving </w:t>
      </w:r>
      <w:r w:rsidR="00D30CE6">
        <w:rPr>
          <w:snapToGrid w:val="0"/>
          <w:lang w:val="en-GB"/>
        </w:rPr>
        <w:t>one</w:t>
      </w:r>
      <w:r w:rsidRPr="000436FE">
        <w:rPr>
          <w:snapToGrid w:val="0"/>
          <w:lang w:val="en-GB"/>
        </w:rPr>
        <w:t xml:space="preserve"> dose</w:t>
      </w:r>
    </w:p>
    <w:p w14:paraId="0AF342FD" w14:textId="77777777" w:rsidR="006D3348" w:rsidRPr="000436FE" w:rsidRDefault="006D3348" w:rsidP="000436FE">
      <w:pPr>
        <w:pStyle w:val="3-BodyText"/>
        <w:numPr>
          <w:ilvl w:val="1"/>
          <w:numId w:val="10"/>
        </w:numPr>
        <w:ind w:left="1418" w:hanging="284"/>
        <w:rPr>
          <w:snapToGrid w:val="0"/>
          <w:lang w:val="en-GB"/>
        </w:rPr>
      </w:pPr>
      <w:r w:rsidRPr="000436FE">
        <w:rPr>
          <w:snapToGrid w:val="0"/>
          <w:lang w:val="en-GB"/>
        </w:rPr>
        <w:t>enhancing disease surveillance for HPV infection and associated disease</w:t>
      </w:r>
    </w:p>
    <w:p w14:paraId="4212A44C" w14:textId="5A66A63D" w:rsidR="006D3348" w:rsidRPr="000436FE" w:rsidRDefault="006D3348" w:rsidP="000436FE">
      <w:pPr>
        <w:pStyle w:val="3-BodyText"/>
        <w:numPr>
          <w:ilvl w:val="1"/>
          <w:numId w:val="10"/>
        </w:numPr>
        <w:ind w:left="1418" w:hanging="284"/>
        <w:rPr>
          <w:snapToGrid w:val="0"/>
          <w:lang w:val="en-GB"/>
        </w:rPr>
      </w:pPr>
      <w:r w:rsidRPr="000436FE">
        <w:rPr>
          <w:snapToGrid w:val="0"/>
          <w:lang w:val="en-GB"/>
        </w:rPr>
        <w:t>evaluation of the HPV vaccination program following this change</w:t>
      </w:r>
    </w:p>
    <w:p w14:paraId="7370E50A" w14:textId="77777777" w:rsidR="00275CD2" w:rsidRPr="00D8553E" w:rsidRDefault="00275CD2" w:rsidP="00275CD2">
      <w:pPr>
        <w:rPr>
          <w:rFonts w:asciiTheme="minorHAnsi" w:hAnsiTheme="minorHAnsi" w:cs="Arial"/>
          <w:b/>
          <w:bCs/>
          <w:snapToGrid w:val="0"/>
          <w:lang w:val="en-GB"/>
        </w:rPr>
      </w:pPr>
      <w:r w:rsidRPr="00D8553E">
        <w:rPr>
          <w:rFonts w:asciiTheme="minorHAnsi" w:hAnsiTheme="minorHAnsi" w:cs="Arial"/>
          <w:b/>
          <w:bCs/>
          <w:snapToGrid w:val="0"/>
          <w:lang w:val="en-GB"/>
        </w:rPr>
        <w:t>Outcome:</w:t>
      </w:r>
    </w:p>
    <w:p w14:paraId="6086FF39" w14:textId="573D5256" w:rsidR="00DC4513" w:rsidRDefault="00275CD2" w:rsidP="007F5071">
      <w:pPr>
        <w:rPr>
          <w:rFonts w:asciiTheme="minorHAnsi" w:hAnsiTheme="minorHAnsi" w:cs="Arial"/>
          <w:bCs/>
          <w:snapToGrid w:val="0"/>
          <w:lang w:val="en-GB"/>
        </w:rPr>
      </w:pPr>
      <w:r w:rsidRPr="00D8553E">
        <w:rPr>
          <w:rFonts w:asciiTheme="minorHAnsi" w:hAnsiTheme="minorHAnsi" w:cs="Arial"/>
          <w:bCs/>
          <w:snapToGrid w:val="0"/>
          <w:lang w:val="en-GB"/>
        </w:rPr>
        <w:t>Recommended</w:t>
      </w:r>
    </w:p>
    <w:p w14:paraId="668C9F6E" w14:textId="77777777" w:rsidR="007F5071" w:rsidRDefault="007F5071" w:rsidP="007F5071">
      <w:pPr>
        <w:rPr>
          <w:snapToGrid w:val="0"/>
          <w:lang w:val="en-GB"/>
        </w:rPr>
      </w:pPr>
    </w:p>
    <w:p w14:paraId="4E4CA48E" w14:textId="77777777" w:rsidR="00275CD2" w:rsidRPr="00EC25A9" w:rsidRDefault="00275CD2" w:rsidP="00275CD2">
      <w:pPr>
        <w:pStyle w:val="2-SectionHeading"/>
        <w:rPr>
          <w:lang w:val="en-GB"/>
        </w:rPr>
      </w:pPr>
      <w:r w:rsidRPr="00EC25A9">
        <w:rPr>
          <w:lang w:val="en-GB"/>
        </w:rPr>
        <w:t>Recommended listing</w:t>
      </w:r>
    </w:p>
    <w:p w14:paraId="7E7932A4" w14:textId="15FB0CE6" w:rsidR="002C68D5" w:rsidRPr="006333ED" w:rsidRDefault="002C68D5" w:rsidP="002C68D5">
      <w:pPr>
        <w:pStyle w:val="3-BodyText"/>
        <w:rPr>
          <w:color w:val="0066FF"/>
        </w:rPr>
      </w:pPr>
      <w:r>
        <w:t>Amend current HPV 9-valent vaccine listing in the Determination:</w:t>
      </w:r>
    </w:p>
    <w:tbl>
      <w:tblPr>
        <w:tblW w:w="5000" w:type="pct"/>
        <w:tblInd w:w="28" w:type="dxa"/>
        <w:tblCellMar>
          <w:left w:w="28" w:type="dxa"/>
          <w:right w:w="28" w:type="dxa"/>
        </w:tblCellMar>
        <w:tblLook w:val="0000" w:firstRow="0" w:lastRow="0" w:firstColumn="0" w:lastColumn="0" w:noHBand="0" w:noVBand="0"/>
      </w:tblPr>
      <w:tblGrid>
        <w:gridCol w:w="2099"/>
        <w:gridCol w:w="1415"/>
        <w:gridCol w:w="2412"/>
        <w:gridCol w:w="3100"/>
      </w:tblGrid>
      <w:tr w:rsidR="002C68D5" w:rsidRPr="00037370" w14:paraId="53072A8F" w14:textId="77777777" w:rsidTr="003522FD">
        <w:trPr>
          <w:cantSplit/>
          <w:trHeight w:val="463"/>
        </w:trPr>
        <w:tc>
          <w:tcPr>
            <w:tcW w:w="1163" w:type="pct"/>
            <w:tcBorders>
              <w:top w:val="single" w:sz="4" w:space="0" w:color="auto"/>
              <w:bottom w:val="single" w:sz="4" w:space="0" w:color="auto"/>
            </w:tcBorders>
            <w:vAlign w:val="center"/>
          </w:tcPr>
          <w:p w14:paraId="74241B89" w14:textId="77777777" w:rsidR="002C68D5" w:rsidRPr="00037370" w:rsidRDefault="002C68D5" w:rsidP="003522FD">
            <w:pPr>
              <w:keepNext/>
              <w:rPr>
                <w:rFonts w:ascii="Arial Narrow" w:hAnsi="Arial Narrow"/>
                <w:b/>
                <w:sz w:val="20"/>
              </w:rPr>
            </w:pPr>
            <w:r w:rsidRPr="00037370">
              <w:rPr>
                <w:rFonts w:ascii="Arial Narrow" w:hAnsi="Arial Narrow"/>
                <w:b/>
                <w:sz w:val="20"/>
              </w:rPr>
              <w:t>Vaccine and the circumstances in which vaccine may be provided</w:t>
            </w:r>
          </w:p>
        </w:tc>
        <w:tc>
          <w:tcPr>
            <w:tcW w:w="784" w:type="pct"/>
            <w:tcBorders>
              <w:top w:val="single" w:sz="4" w:space="0" w:color="auto"/>
              <w:bottom w:val="single" w:sz="4" w:space="0" w:color="auto"/>
            </w:tcBorders>
            <w:vAlign w:val="center"/>
          </w:tcPr>
          <w:p w14:paraId="28413987" w14:textId="77777777" w:rsidR="002C68D5" w:rsidRPr="00037370" w:rsidRDefault="002C68D5" w:rsidP="003522FD">
            <w:pPr>
              <w:keepNext/>
              <w:jc w:val="center"/>
              <w:rPr>
                <w:rFonts w:ascii="Arial Narrow" w:hAnsi="Arial Narrow"/>
                <w:b/>
                <w:sz w:val="20"/>
              </w:rPr>
            </w:pPr>
            <w:r w:rsidRPr="00037370">
              <w:rPr>
                <w:rFonts w:ascii="Arial Narrow" w:hAnsi="Arial Narrow"/>
                <w:b/>
                <w:sz w:val="20"/>
              </w:rPr>
              <w:t>Brand</w:t>
            </w:r>
          </w:p>
        </w:tc>
        <w:tc>
          <w:tcPr>
            <w:tcW w:w="1336" w:type="pct"/>
            <w:tcBorders>
              <w:top w:val="single" w:sz="4" w:space="0" w:color="auto"/>
              <w:bottom w:val="single" w:sz="4" w:space="0" w:color="auto"/>
            </w:tcBorders>
            <w:vAlign w:val="center"/>
          </w:tcPr>
          <w:p w14:paraId="6948B31A" w14:textId="77777777" w:rsidR="002C68D5" w:rsidRPr="00037370" w:rsidRDefault="002C68D5" w:rsidP="003522FD">
            <w:pPr>
              <w:keepNext/>
              <w:jc w:val="center"/>
              <w:rPr>
                <w:rFonts w:ascii="Arial Narrow" w:hAnsi="Arial Narrow"/>
                <w:b/>
                <w:sz w:val="20"/>
              </w:rPr>
            </w:pPr>
            <w:r w:rsidRPr="00037370">
              <w:rPr>
                <w:rFonts w:ascii="Arial Narrow" w:hAnsi="Arial Narrow"/>
                <w:b/>
                <w:sz w:val="20"/>
              </w:rPr>
              <w:t>Formulation</w:t>
            </w:r>
          </w:p>
        </w:tc>
        <w:tc>
          <w:tcPr>
            <w:tcW w:w="1717" w:type="pct"/>
            <w:tcBorders>
              <w:top w:val="single" w:sz="4" w:space="0" w:color="auto"/>
              <w:bottom w:val="single" w:sz="4" w:space="0" w:color="auto"/>
            </w:tcBorders>
            <w:vAlign w:val="center"/>
          </w:tcPr>
          <w:p w14:paraId="250BDC17" w14:textId="77777777" w:rsidR="002C68D5" w:rsidRPr="00037370" w:rsidRDefault="002C68D5" w:rsidP="003522FD">
            <w:pPr>
              <w:keepNext/>
              <w:jc w:val="center"/>
              <w:rPr>
                <w:rFonts w:ascii="Arial Narrow" w:hAnsi="Arial Narrow"/>
                <w:b/>
                <w:sz w:val="20"/>
                <w:lang w:val="fr-FR"/>
              </w:rPr>
            </w:pPr>
            <w:r w:rsidRPr="00037370">
              <w:rPr>
                <w:rFonts w:ascii="Arial Narrow" w:hAnsi="Arial Narrow"/>
                <w:b/>
                <w:sz w:val="20"/>
                <w:lang w:val="fr-FR"/>
              </w:rPr>
              <w:t>Number and timing of doses</w:t>
            </w:r>
          </w:p>
        </w:tc>
      </w:tr>
      <w:tr w:rsidR="002C68D5" w:rsidRPr="00037370" w14:paraId="73982252" w14:textId="77777777" w:rsidTr="003522FD">
        <w:trPr>
          <w:cantSplit/>
          <w:trHeight w:val="567"/>
        </w:trPr>
        <w:tc>
          <w:tcPr>
            <w:tcW w:w="1163" w:type="pct"/>
            <w:tcBorders>
              <w:top w:val="single" w:sz="4" w:space="0" w:color="auto"/>
              <w:bottom w:val="single" w:sz="4" w:space="0" w:color="auto"/>
            </w:tcBorders>
            <w:vAlign w:val="center"/>
          </w:tcPr>
          <w:p w14:paraId="54F87F5F" w14:textId="614EFA03" w:rsidR="002C68D5" w:rsidRPr="00037370" w:rsidRDefault="002C68D5" w:rsidP="002C68D5">
            <w:pPr>
              <w:keepNext/>
              <w:jc w:val="left"/>
              <w:rPr>
                <w:rFonts w:ascii="Arial Narrow" w:hAnsi="Arial Narrow"/>
                <w:sz w:val="20"/>
              </w:rPr>
            </w:pPr>
            <w:r w:rsidRPr="00037370">
              <w:rPr>
                <w:rFonts w:ascii="Arial Narrow" w:hAnsi="Arial Narrow"/>
                <w:sz w:val="20"/>
              </w:rPr>
              <w:t>Human papillomavirus (HPV) (9</w:t>
            </w:r>
            <w:r w:rsidRPr="00037370">
              <w:rPr>
                <w:rFonts w:ascii="Cambria Math" w:hAnsi="Cambria Math" w:cs="Cambria Math"/>
                <w:sz w:val="20"/>
              </w:rPr>
              <w:t>‑</w:t>
            </w:r>
            <w:r w:rsidRPr="00037370">
              <w:rPr>
                <w:rFonts w:ascii="Arial Narrow" w:hAnsi="Arial Narrow"/>
                <w:sz w:val="20"/>
              </w:rPr>
              <w:t>valent)</w:t>
            </w:r>
          </w:p>
        </w:tc>
        <w:tc>
          <w:tcPr>
            <w:tcW w:w="784" w:type="pct"/>
            <w:tcBorders>
              <w:top w:val="single" w:sz="4" w:space="0" w:color="auto"/>
              <w:bottom w:val="single" w:sz="4" w:space="0" w:color="auto"/>
            </w:tcBorders>
            <w:vAlign w:val="center"/>
          </w:tcPr>
          <w:p w14:paraId="5C3B4E08" w14:textId="6AD470A9" w:rsidR="002C68D5" w:rsidRPr="00037370" w:rsidRDefault="002C68D5" w:rsidP="003522FD">
            <w:pPr>
              <w:keepNext/>
              <w:jc w:val="center"/>
              <w:rPr>
                <w:rFonts w:ascii="Arial Narrow" w:hAnsi="Arial Narrow"/>
                <w:sz w:val="20"/>
              </w:rPr>
            </w:pPr>
            <w:r w:rsidRPr="00037370">
              <w:rPr>
                <w:rFonts w:ascii="Arial Narrow" w:hAnsi="Arial Narrow"/>
                <w:sz w:val="20"/>
              </w:rPr>
              <w:t>Gardasil 9</w:t>
            </w:r>
          </w:p>
        </w:tc>
        <w:tc>
          <w:tcPr>
            <w:tcW w:w="1336" w:type="pct"/>
            <w:tcBorders>
              <w:top w:val="single" w:sz="4" w:space="0" w:color="auto"/>
              <w:bottom w:val="single" w:sz="4" w:space="0" w:color="auto"/>
            </w:tcBorders>
            <w:vAlign w:val="center"/>
          </w:tcPr>
          <w:p w14:paraId="6F315E16" w14:textId="77777777" w:rsidR="002C68D5" w:rsidRPr="00037370" w:rsidRDefault="002C68D5" w:rsidP="003522FD">
            <w:pPr>
              <w:keepNext/>
              <w:jc w:val="center"/>
              <w:rPr>
                <w:rFonts w:ascii="Arial Narrow" w:hAnsi="Arial Narrow"/>
                <w:sz w:val="20"/>
              </w:rPr>
            </w:pPr>
            <w:r w:rsidRPr="00037370">
              <w:rPr>
                <w:rFonts w:ascii="Arial Narrow" w:hAnsi="Arial Narrow"/>
                <w:sz w:val="20"/>
              </w:rPr>
              <w:t>Injection (0.5mL)</w:t>
            </w:r>
          </w:p>
          <w:p w14:paraId="2ABEA05D" w14:textId="77777777" w:rsidR="002C68D5" w:rsidRPr="00037370" w:rsidRDefault="002C68D5" w:rsidP="003522FD">
            <w:pPr>
              <w:keepNext/>
              <w:jc w:val="center"/>
              <w:rPr>
                <w:rFonts w:ascii="Arial Narrow" w:hAnsi="Arial Narrow"/>
                <w:sz w:val="20"/>
              </w:rPr>
            </w:pPr>
          </w:p>
          <w:p w14:paraId="3B3D5342" w14:textId="0BD5F903" w:rsidR="002C68D5" w:rsidRPr="00037370" w:rsidRDefault="002C68D5" w:rsidP="003522FD">
            <w:pPr>
              <w:keepNext/>
              <w:jc w:val="center"/>
              <w:rPr>
                <w:rFonts w:ascii="Arial Narrow" w:hAnsi="Arial Narrow"/>
                <w:sz w:val="20"/>
              </w:rPr>
            </w:pPr>
            <w:r w:rsidRPr="00037370">
              <w:rPr>
                <w:rFonts w:ascii="Arial Narrow" w:hAnsi="Arial Narrow"/>
                <w:sz w:val="20"/>
              </w:rPr>
              <w:t>Each of the following:</w:t>
            </w:r>
          </w:p>
          <w:p w14:paraId="70F4843C" w14:textId="77777777" w:rsidR="002C68D5" w:rsidRPr="00037370" w:rsidRDefault="002C68D5" w:rsidP="002C68D5">
            <w:pPr>
              <w:keepNext/>
              <w:jc w:val="center"/>
              <w:rPr>
                <w:rFonts w:ascii="Arial Narrow" w:hAnsi="Arial Narrow"/>
                <w:sz w:val="20"/>
              </w:rPr>
            </w:pPr>
            <w:r w:rsidRPr="00037370">
              <w:rPr>
                <w:rFonts w:ascii="Arial Narrow" w:hAnsi="Arial Narrow"/>
                <w:sz w:val="20"/>
              </w:rPr>
              <w:t xml:space="preserve">(a)  HPV 6 L1 protein </w:t>
            </w:r>
            <w:r w:rsidRPr="00037370">
              <w:rPr>
                <w:rFonts w:ascii="Cambria Math" w:hAnsi="Cambria Math" w:cs="Cambria Math"/>
                <w:sz w:val="20"/>
              </w:rPr>
              <w:t>‑</w:t>
            </w:r>
            <w:r w:rsidRPr="00037370">
              <w:rPr>
                <w:rFonts w:ascii="Arial Narrow" w:hAnsi="Arial Narrow"/>
                <w:sz w:val="20"/>
              </w:rPr>
              <w:t xml:space="preserve"> 30</w:t>
            </w:r>
            <w:r w:rsidRPr="00037370">
              <w:rPr>
                <w:rFonts w:ascii="Arial Narrow" w:hAnsi="Arial Narrow" w:cs="Arial Narrow"/>
                <w:sz w:val="20"/>
              </w:rPr>
              <w:t>μ</w:t>
            </w:r>
            <w:r w:rsidRPr="00037370">
              <w:rPr>
                <w:rFonts w:ascii="Arial Narrow" w:hAnsi="Arial Narrow"/>
                <w:sz w:val="20"/>
              </w:rPr>
              <w:t>g;</w:t>
            </w:r>
          </w:p>
          <w:p w14:paraId="6644E64C" w14:textId="77777777" w:rsidR="002C68D5" w:rsidRPr="00037370" w:rsidRDefault="002C68D5" w:rsidP="002C68D5">
            <w:pPr>
              <w:keepNext/>
              <w:jc w:val="center"/>
              <w:rPr>
                <w:rFonts w:ascii="Arial Narrow" w:hAnsi="Arial Narrow"/>
                <w:sz w:val="20"/>
              </w:rPr>
            </w:pPr>
            <w:r w:rsidRPr="00037370">
              <w:rPr>
                <w:rFonts w:ascii="Arial Narrow" w:hAnsi="Arial Narrow"/>
                <w:sz w:val="20"/>
              </w:rPr>
              <w:t xml:space="preserve">(b)  HPV 11 L1 protein </w:t>
            </w:r>
            <w:r w:rsidRPr="00037370">
              <w:rPr>
                <w:rFonts w:ascii="Cambria Math" w:hAnsi="Cambria Math" w:cs="Cambria Math"/>
                <w:sz w:val="20"/>
              </w:rPr>
              <w:t>‑</w:t>
            </w:r>
            <w:r w:rsidRPr="00037370">
              <w:rPr>
                <w:rFonts w:ascii="Arial Narrow" w:hAnsi="Arial Narrow"/>
                <w:sz w:val="20"/>
              </w:rPr>
              <w:t xml:space="preserve"> 40</w:t>
            </w:r>
            <w:r w:rsidRPr="00037370">
              <w:rPr>
                <w:rFonts w:ascii="Arial Narrow" w:hAnsi="Arial Narrow" w:cs="Arial Narrow"/>
                <w:sz w:val="20"/>
              </w:rPr>
              <w:t>μ</w:t>
            </w:r>
            <w:r w:rsidRPr="00037370">
              <w:rPr>
                <w:rFonts w:ascii="Arial Narrow" w:hAnsi="Arial Narrow"/>
                <w:sz w:val="20"/>
              </w:rPr>
              <w:t>g;</w:t>
            </w:r>
          </w:p>
          <w:p w14:paraId="503148D4" w14:textId="77777777" w:rsidR="002C68D5" w:rsidRPr="00037370" w:rsidRDefault="002C68D5" w:rsidP="002C68D5">
            <w:pPr>
              <w:keepNext/>
              <w:jc w:val="center"/>
              <w:rPr>
                <w:rFonts w:ascii="Arial Narrow" w:hAnsi="Arial Narrow"/>
                <w:sz w:val="20"/>
              </w:rPr>
            </w:pPr>
            <w:r w:rsidRPr="00037370">
              <w:rPr>
                <w:rFonts w:ascii="Arial Narrow" w:hAnsi="Arial Narrow"/>
                <w:sz w:val="20"/>
              </w:rPr>
              <w:t xml:space="preserve">(c)  HPV 16 L1 protein </w:t>
            </w:r>
            <w:r w:rsidRPr="00037370">
              <w:rPr>
                <w:rFonts w:ascii="Cambria Math" w:hAnsi="Cambria Math" w:cs="Cambria Math"/>
                <w:sz w:val="20"/>
              </w:rPr>
              <w:t>‑</w:t>
            </w:r>
            <w:r w:rsidRPr="00037370">
              <w:rPr>
                <w:rFonts w:ascii="Arial Narrow" w:hAnsi="Arial Narrow"/>
                <w:sz w:val="20"/>
              </w:rPr>
              <w:t xml:space="preserve"> 60</w:t>
            </w:r>
            <w:r w:rsidRPr="00037370">
              <w:rPr>
                <w:rFonts w:ascii="Arial Narrow" w:hAnsi="Arial Narrow" w:cs="Arial Narrow"/>
                <w:sz w:val="20"/>
              </w:rPr>
              <w:t>μ</w:t>
            </w:r>
            <w:r w:rsidRPr="00037370">
              <w:rPr>
                <w:rFonts w:ascii="Arial Narrow" w:hAnsi="Arial Narrow"/>
                <w:sz w:val="20"/>
              </w:rPr>
              <w:t xml:space="preserve">g; </w:t>
            </w:r>
          </w:p>
          <w:p w14:paraId="2A999244" w14:textId="77777777" w:rsidR="002C68D5" w:rsidRPr="00037370" w:rsidRDefault="002C68D5" w:rsidP="002C68D5">
            <w:pPr>
              <w:keepNext/>
              <w:jc w:val="center"/>
              <w:rPr>
                <w:rFonts w:ascii="Arial Narrow" w:hAnsi="Arial Narrow"/>
                <w:sz w:val="20"/>
              </w:rPr>
            </w:pPr>
            <w:r w:rsidRPr="00037370">
              <w:rPr>
                <w:rFonts w:ascii="Arial Narrow" w:hAnsi="Arial Narrow"/>
                <w:sz w:val="20"/>
              </w:rPr>
              <w:t xml:space="preserve">(d)  HPV 18 L1 protein </w:t>
            </w:r>
            <w:r w:rsidRPr="00037370">
              <w:rPr>
                <w:rFonts w:ascii="Cambria Math" w:hAnsi="Cambria Math" w:cs="Cambria Math"/>
                <w:sz w:val="20"/>
              </w:rPr>
              <w:t>‑</w:t>
            </w:r>
            <w:r w:rsidRPr="00037370">
              <w:rPr>
                <w:rFonts w:ascii="Arial Narrow" w:hAnsi="Arial Narrow"/>
                <w:sz w:val="20"/>
              </w:rPr>
              <w:t xml:space="preserve"> 40</w:t>
            </w:r>
            <w:r w:rsidRPr="00037370">
              <w:rPr>
                <w:rFonts w:ascii="Arial Narrow" w:hAnsi="Arial Narrow" w:cs="Arial Narrow"/>
                <w:sz w:val="20"/>
              </w:rPr>
              <w:t>μ</w:t>
            </w:r>
            <w:r w:rsidRPr="00037370">
              <w:rPr>
                <w:rFonts w:ascii="Arial Narrow" w:hAnsi="Arial Narrow"/>
                <w:sz w:val="20"/>
              </w:rPr>
              <w:t>g;</w:t>
            </w:r>
          </w:p>
          <w:p w14:paraId="1E79B442" w14:textId="77777777" w:rsidR="002C68D5" w:rsidRPr="00037370" w:rsidRDefault="002C68D5" w:rsidP="002C68D5">
            <w:pPr>
              <w:keepNext/>
              <w:jc w:val="center"/>
              <w:rPr>
                <w:rFonts w:ascii="Arial Narrow" w:hAnsi="Arial Narrow"/>
                <w:sz w:val="20"/>
              </w:rPr>
            </w:pPr>
            <w:r w:rsidRPr="00037370">
              <w:rPr>
                <w:rFonts w:ascii="Arial Narrow" w:hAnsi="Arial Narrow"/>
                <w:sz w:val="20"/>
              </w:rPr>
              <w:t xml:space="preserve">(e)  HPV 31 L1 protein </w:t>
            </w:r>
            <w:r w:rsidRPr="00037370">
              <w:rPr>
                <w:rFonts w:ascii="Cambria Math" w:hAnsi="Cambria Math" w:cs="Cambria Math"/>
                <w:sz w:val="20"/>
              </w:rPr>
              <w:t>‑</w:t>
            </w:r>
            <w:r w:rsidRPr="00037370">
              <w:rPr>
                <w:rFonts w:ascii="Arial Narrow" w:hAnsi="Arial Narrow"/>
                <w:sz w:val="20"/>
              </w:rPr>
              <w:t xml:space="preserve"> 20</w:t>
            </w:r>
            <w:r w:rsidRPr="00037370">
              <w:rPr>
                <w:rFonts w:ascii="Arial Narrow" w:hAnsi="Arial Narrow" w:cs="Arial Narrow"/>
                <w:sz w:val="20"/>
              </w:rPr>
              <w:t>μ</w:t>
            </w:r>
            <w:r w:rsidRPr="00037370">
              <w:rPr>
                <w:rFonts w:ascii="Arial Narrow" w:hAnsi="Arial Narrow"/>
                <w:sz w:val="20"/>
              </w:rPr>
              <w:t xml:space="preserve">g; </w:t>
            </w:r>
          </w:p>
          <w:p w14:paraId="624BCA7F" w14:textId="77777777" w:rsidR="002C68D5" w:rsidRPr="00037370" w:rsidRDefault="002C68D5" w:rsidP="002C68D5">
            <w:pPr>
              <w:keepNext/>
              <w:jc w:val="center"/>
              <w:rPr>
                <w:rFonts w:ascii="Arial Narrow" w:hAnsi="Arial Narrow"/>
                <w:sz w:val="20"/>
              </w:rPr>
            </w:pPr>
            <w:r w:rsidRPr="00037370">
              <w:rPr>
                <w:rFonts w:ascii="Arial Narrow" w:hAnsi="Arial Narrow"/>
                <w:sz w:val="20"/>
              </w:rPr>
              <w:t xml:space="preserve">(f)  HPV 33 L1 protein </w:t>
            </w:r>
            <w:r w:rsidRPr="00037370">
              <w:rPr>
                <w:rFonts w:ascii="Cambria Math" w:hAnsi="Cambria Math" w:cs="Cambria Math"/>
                <w:sz w:val="20"/>
              </w:rPr>
              <w:t>‑</w:t>
            </w:r>
            <w:r w:rsidRPr="00037370">
              <w:rPr>
                <w:rFonts w:ascii="Arial Narrow" w:hAnsi="Arial Narrow"/>
                <w:sz w:val="20"/>
              </w:rPr>
              <w:t xml:space="preserve"> 20</w:t>
            </w:r>
            <w:r w:rsidRPr="00037370">
              <w:rPr>
                <w:rFonts w:ascii="Arial Narrow" w:hAnsi="Arial Narrow" w:cs="Arial Narrow"/>
                <w:sz w:val="20"/>
              </w:rPr>
              <w:t>μ</w:t>
            </w:r>
            <w:r w:rsidRPr="00037370">
              <w:rPr>
                <w:rFonts w:ascii="Arial Narrow" w:hAnsi="Arial Narrow"/>
                <w:sz w:val="20"/>
              </w:rPr>
              <w:t>g;</w:t>
            </w:r>
          </w:p>
          <w:p w14:paraId="0D5FAAFD" w14:textId="77777777" w:rsidR="002C68D5" w:rsidRPr="00037370" w:rsidRDefault="002C68D5" w:rsidP="002C68D5">
            <w:pPr>
              <w:keepNext/>
              <w:jc w:val="center"/>
              <w:rPr>
                <w:rFonts w:ascii="Arial Narrow" w:hAnsi="Arial Narrow"/>
                <w:sz w:val="20"/>
              </w:rPr>
            </w:pPr>
            <w:r w:rsidRPr="00037370">
              <w:rPr>
                <w:rFonts w:ascii="Arial Narrow" w:hAnsi="Arial Narrow"/>
                <w:sz w:val="20"/>
              </w:rPr>
              <w:t xml:space="preserve">(g)  HPV 45 L1 protein </w:t>
            </w:r>
            <w:r w:rsidRPr="00037370">
              <w:rPr>
                <w:rFonts w:ascii="Cambria Math" w:hAnsi="Cambria Math" w:cs="Cambria Math"/>
                <w:sz w:val="20"/>
              </w:rPr>
              <w:t>‑</w:t>
            </w:r>
            <w:r w:rsidRPr="00037370">
              <w:rPr>
                <w:rFonts w:ascii="Arial Narrow" w:hAnsi="Arial Narrow"/>
                <w:sz w:val="20"/>
              </w:rPr>
              <w:t xml:space="preserve"> 20</w:t>
            </w:r>
            <w:r w:rsidRPr="00037370">
              <w:rPr>
                <w:rFonts w:ascii="Arial Narrow" w:hAnsi="Arial Narrow" w:cs="Arial Narrow"/>
                <w:sz w:val="20"/>
              </w:rPr>
              <w:t>μ</w:t>
            </w:r>
            <w:r w:rsidRPr="00037370">
              <w:rPr>
                <w:rFonts w:ascii="Arial Narrow" w:hAnsi="Arial Narrow"/>
                <w:sz w:val="20"/>
              </w:rPr>
              <w:t xml:space="preserve">g; </w:t>
            </w:r>
          </w:p>
          <w:p w14:paraId="789311CE" w14:textId="77777777" w:rsidR="002C68D5" w:rsidRPr="00037370" w:rsidRDefault="002C68D5" w:rsidP="002C68D5">
            <w:pPr>
              <w:keepNext/>
              <w:jc w:val="center"/>
              <w:rPr>
                <w:rFonts w:ascii="Arial Narrow" w:hAnsi="Arial Narrow"/>
                <w:sz w:val="20"/>
              </w:rPr>
            </w:pPr>
            <w:r w:rsidRPr="00037370">
              <w:rPr>
                <w:rFonts w:ascii="Arial Narrow" w:hAnsi="Arial Narrow"/>
                <w:sz w:val="20"/>
              </w:rPr>
              <w:t xml:space="preserve">(h)  HPV 52 L1 protein </w:t>
            </w:r>
            <w:r w:rsidRPr="00037370">
              <w:rPr>
                <w:rFonts w:ascii="Cambria Math" w:hAnsi="Cambria Math" w:cs="Cambria Math"/>
                <w:sz w:val="20"/>
              </w:rPr>
              <w:t>‑</w:t>
            </w:r>
            <w:r w:rsidRPr="00037370">
              <w:rPr>
                <w:rFonts w:ascii="Arial Narrow" w:hAnsi="Arial Narrow"/>
                <w:sz w:val="20"/>
              </w:rPr>
              <w:t xml:space="preserve"> 20</w:t>
            </w:r>
            <w:r w:rsidRPr="00037370">
              <w:rPr>
                <w:rFonts w:ascii="Arial Narrow" w:hAnsi="Arial Narrow" w:cs="Arial Narrow"/>
                <w:sz w:val="20"/>
              </w:rPr>
              <w:t>μ</w:t>
            </w:r>
            <w:r w:rsidRPr="00037370">
              <w:rPr>
                <w:rFonts w:ascii="Arial Narrow" w:hAnsi="Arial Narrow"/>
                <w:sz w:val="20"/>
              </w:rPr>
              <w:t>g;</w:t>
            </w:r>
          </w:p>
          <w:p w14:paraId="6A2D5FAC" w14:textId="6774978A" w:rsidR="002C68D5" w:rsidRPr="00037370" w:rsidRDefault="002C68D5" w:rsidP="002C68D5">
            <w:pPr>
              <w:keepNext/>
              <w:jc w:val="center"/>
              <w:rPr>
                <w:rFonts w:ascii="Arial Narrow" w:hAnsi="Arial Narrow"/>
                <w:sz w:val="20"/>
              </w:rPr>
            </w:pPr>
            <w:r w:rsidRPr="00037370">
              <w:rPr>
                <w:rFonts w:ascii="Arial Narrow" w:hAnsi="Arial Narrow"/>
                <w:sz w:val="20"/>
              </w:rPr>
              <w:t xml:space="preserve">(i)   HPV 58 L1 protein </w:t>
            </w:r>
            <w:r w:rsidRPr="00037370">
              <w:rPr>
                <w:rFonts w:ascii="Cambria Math" w:hAnsi="Cambria Math" w:cs="Cambria Math"/>
                <w:sz w:val="20"/>
              </w:rPr>
              <w:t>‑</w:t>
            </w:r>
            <w:r w:rsidRPr="00037370">
              <w:rPr>
                <w:rFonts w:ascii="Arial Narrow" w:hAnsi="Arial Narrow"/>
                <w:sz w:val="20"/>
              </w:rPr>
              <w:t xml:space="preserve"> 20μg.</w:t>
            </w:r>
          </w:p>
        </w:tc>
        <w:tc>
          <w:tcPr>
            <w:tcW w:w="1717" w:type="pct"/>
            <w:tcBorders>
              <w:top w:val="single" w:sz="4" w:space="0" w:color="auto"/>
              <w:bottom w:val="single" w:sz="4" w:space="0" w:color="auto"/>
            </w:tcBorders>
            <w:vAlign w:val="center"/>
          </w:tcPr>
          <w:p w14:paraId="69BC305C" w14:textId="77777777" w:rsidR="002C68D5" w:rsidRPr="00037370" w:rsidRDefault="002C68D5" w:rsidP="002C68D5">
            <w:pPr>
              <w:keepNext/>
              <w:jc w:val="center"/>
              <w:rPr>
                <w:rFonts w:ascii="Arial Narrow" w:hAnsi="Arial Narrow"/>
                <w:sz w:val="20"/>
              </w:rPr>
            </w:pPr>
            <w:r w:rsidRPr="00037370">
              <w:rPr>
                <w:rFonts w:ascii="Arial Narrow" w:hAnsi="Arial Narrow"/>
                <w:sz w:val="20"/>
              </w:rPr>
              <w:t>1 dose</w:t>
            </w:r>
          </w:p>
        </w:tc>
      </w:tr>
      <w:tr w:rsidR="002C68D5" w:rsidRPr="00037370" w14:paraId="22D3085E" w14:textId="77777777" w:rsidTr="003522FD">
        <w:trPr>
          <w:cantSplit/>
          <w:trHeight w:val="567"/>
        </w:trPr>
        <w:tc>
          <w:tcPr>
            <w:tcW w:w="5000" w:type="pct"/>
            <w:gridSpan w:val="4"/>
            <w:tcBorders>
              <w:top w:val="single" w:sz="4" w:space="0" w:color="auto"/>
            </w:tcBorders>
            <w:vAlign w:val="center"/>
          </w:tcPr>
          <w:p w14:paraId="2E698905" w14:textId="77777777" w:rsidR="002C68D5" w:rsidRPr="00037370" w:rsidRDefault="002C68D5" w:rsidP="003522FD">
            <w:pPr>
              <w:keepNext/>
              <w:rPr>
                <w:rFonts w:ascii="Arial Narrow" w:hAnsi="Arial Narrow"/>
                <w:sz w:val="20"/>
              </w:rPr>
            </w:pPr>
            <w:r w:rsidRPr="00037370">
              <w:rPr>
                <w:rFonts w:ascii="Arial Narrow" w:hAnsi="Arial Narrow"/>
                <w:sz w:val="20"/>
              </w:rPr>
              <w:t>Circumstances</w:t>
            </w:r>
          </w:p>
          <w:p w14:paraId="74B71CF8" w14:textId="4A7EB7C0" w:rsidR="002C68D5" w:rsidRPr="00037370" w:rsidRDefault="002C68D5" w:rsidP="591FE4C7">
            <w:pPr>
              <w:pStyle w:val="p2"/>
              <w:shd w:val="clear" w:color="auto" w:fill="FFFFFF" w:themeFill="background1"/>
              <w:spacing w:before="0" w:beforeAutospacing="0" w:after="0" w:afterAutospacing="0"/>
              <w:rPr>
                <w:rFonts w:ascii="Arial Narrow" w:hAnsi="Arial Narrow"/>
                <w:color w:val="000000" w:themeColor="text1"/>
                <w:sz w:val="20"/>
                <w:szCs w:val="20"/>
              </w:rPr>
            </w:pPr>
            <w:r w:rsidRPr="591FE4C7">
              <w:rPr>
                <w:rFonts w:ascii="Arial Narrow" w:hAnsi="Arial Narrow"/>
                <w:sz w:val="20"/>
                <w:szCs w:val="20"/>
              </w:rPr>
              <w:t>Vaccine may be provided to</w:t>
            </w:r>
            <w:r w:rsidR="051148E0" w:rsidRPr="591FE4C7">
              <w:rPr>
                <w:rFonts w:ascii="Arial Narrow" w:hAnsi="Arial Narrow"/>
                <w:sz w:val="20"/>
                <w:szCs w:val="20"/>
              </w:rPr>
              <w:t>:</w:t>
            </w:r>
          </w:p>
          <w:p w14:paraId="0EBDE375" w14:textId="466CAC17" w:rsidR="002C68D5" w:rsidRPr="00037370" w:rsidRDefault="051148E0" w:rsidP="591FE4C7">
            <w:pPr>
              <w:pStyle w:val="p2"/>
              <w:shd w:val="clear" w:color="auto" w:fill="FFFFFF" w:themeFill="background1"/>
              <w:spacing w:before="0" w:beforeAutospacing="0" w:after="0" w:afterAutospacing="0"/>
              <w:rPr>
                <w:rFonts w:ascii="Arial Narrow" w:hAnsi="Arial Narrow"/>
                <w:sz w:val="20"/>
                <w:szCs w:val="20"/>
              </w:rPr>
            </w:pPr>
            <w:r w:rsidRPr="591FE4C7">
              <w:rPr>
                <w:rFonts w:ascii="Arial Narrow" w:hAnsi="Arial Narrow"/>
                <w:sz w:val="20"/>
                <w:szCs w:val="20"/>
              </w:rPr>
              <w:t>(a)</w:t>
            </w:r>
            <w:r w:rsidR="002C68D5" w:rsidRPr="591FE4C7">
              <w:rPr>
                <w:rFonts w:ascii="Arial Narrow" w:hAnsi="Arial Narrow"/>
                <w:sz w:val="20"/>
                <w:szCs w:val="20"/>
              </w:rPr>
              <w:t xml:space="preserve"> a person who is at least 12 years of age but less than 14 years of age</w:t>
            </w:r>
            <w:r w:rsidR="60CEB39C" w:rsidRPr="591FE4C7">
              <w:rPr>
                <w:rFonts w:ascii="Arial Narrow" w:hAnsi="Arial Narrow"/>
                <w:sz w:val="20"/>
                <w:szCs w:val="20"/>
              </w:rPr>
              <w:t>; or</w:t>
            </w:r>
          </w:p>
          <w:p w14:paraId="33EB4472" w14:textId="77777777" w:rsidR="002C68D5" w:rsidRDefault="0A999191" w:rsidP="4425AC7B">
            <w:pPr>
              <w:pStyle w:val="p2"/>
              <w:shd w:val="clear" w:color="auto" w:fill="FFFFFF" w:themeFill="background1"/>
              <w:spacing w:before="0" w:beforeAutospacing="0" w:after="0" w:afterAutospacing="0"/>
              <w:rPr>
                <w:rFonts w:ascii="Arial Narrow" w:hAnsi="Arial Narrow"/>
                <w:sz w:val="20"/>
                <w:szCs w:val="20"/>
              </w:rPr>
            </w:pPr>
            <w:r w:rsidRPr="4425AC7B">
              <w:rPr>
                <w:rFonts w:ascii="Arial Narrow" w:hAnsi="Arial Narrow"/>
                <w:sz w:val="20"/>
                <w:szCs w:val="20"/>
              </w:rPr>
              <w:t>(b) a person up to and including 25 years of age</w:t>
            </w:r>
            <w:r w:rsidR="4FA0BB93" w:rsidRPr="4425AC7B">
              <w:rPr>
                <w:rFonts w:ascii="Arial Narrow" w:hAnsi="Arial Narrow"/>
                <w:sz w:val="20"/>
                <w:szCs w:val="20"/>
              </w:rPr>
              <w:t xml:space="preserve"> who has not received a single dose of HPV vaccine</w:t>
            </w:r>
          </w:p>
          <w:p w14:paraId="0C548DDD" w14:textId="6C028EC0" w:rsidR="00611AD6" w:rsidRPr="00611AD6" w:rsidRDefault="00611AD6" w:rsidP="00611AD6">
            <w:pPr>
              <w:rPr>
                <w:sz w:val="22"/>
                <w:szCs w:val="22"/>
              </w:rPr>
            </w:pPr>
            <w:r w:rsidRPr="00611AD6">
              <w:rPr>
                <w:rFonts w:ascii="Arial Narrow" w:hAnsi="Arial Narrow"/>
                <w:sz w:val="20"/>
                <w:szCs w:val="20"/>
              </w:rPr>
              <w:t>(c) Immunocompromised people up to and including 25 years of age – 3 doses</w:t>
            </w:r>
            <w:r>
              <w:rPr>
                <w:rFonts w:ascii="Arial Narrow" w:hAnsi="Arial Narrow"/>
                <w:sz w:val="20"/>
                <w:szCs w:val="20"/>
              </w:rPr>
              <w:t xml:space="preserve"> </w:t>
            </w:r>
          </w:p>
        </w:tc>
      </w:tr>
    </w:tbl>
    <w:p w14:paraId="70D2C2B4" w14:textId="77777777" w:rsidR="00991948" w:rsidRDefault="00991948" w:rsidP="4425AC7B">
      <w:pPr>
        <w:pStyle w:val="3-BodyText"/>
        <w:numPr>
          <w:ilvl w:val="1"/>
          <w:numId w:val="0"/>
        </w:numPr>
        <w:spacing w:after="0"/>
        <w:rPr>
          <w:b/>
          <w:i/>
        </w:rPr>
      </w:pPr>
    </w:p>
    <w:p w14:paraId="3EB738E9" w14:textId="5EF4CFBF" w:rsidR="00391CEB" w:rsidRPr="0061492E" w:rsidRDefault="00391CEB" w:rsidP="4425AC7B">
      <w:pPr>
        <w:pStyle w:val="3-BodyText"/>
        <w:numPr>
          <w:ilvl w:val="1"/>
          <w:numId w:val="0"/>
        </w:numPr>
        <w:spacing w:after="0"/>
        <w:rPr>
          <w:rFonts w:cstheme="minorHAnsi"/>
        </w:rPr>
      </w:pPr>
      <w:r w:rsidRPr="4425AC7B">
        <w:rPr>
          <w:b/>
          <w:i/>
        </w:rPr>
        <w:t xml:space="preserve">This </w:t>
      </w:r>
      <w:r w:rsidR="59A5354F" w:rsidRPr="4425AC7B">
        <w:rPr>
          <w:b/>
          <w:bCs/>
          <w:i/>
          <w:iCs/>
        </w:rPr>
        <w:t>NIP listing</w:t>
      </w:r>
      <w:r w:rsidRPr="4425AC7B">
        <w:rPr>
          <w:b/>
          <w:i/>
        </w:rPr>
        <w:t xml:space="preserve"> may be subject to further review. Should there be any changes made to the </w:t>
      </w:r>
      <w:r w:rsidR="4AE36510" w:rsidRPr="4425AC7B">
        <w:rPr>
          <w:b/>
          <w:bCs/>
          <w:i/>
          <w:iCs/>
        </w:rPr>
        <w:t>circumstances above</w:t>
      </w:r>
      <w:r w:rsidRPr="4425AC7B">
        <w:rPr>
          <w:b/>
          <w:i/>
        </w:rPr>
        <w:t xml:space="preserve"> the </w:t>
      </w:r>
      <w:r>
        <w:rPr>
          <w:rFonts w:cstheme="minorHAnsi"/>
          <w:b/>
          <w:bCs/>
          <w:i/>
          <w:iCs/>
        </w:rPr>
        <w:t>s</w:t>
      </w:r>
      <w:r w:rsidRPr="0061492E">
        <w:rPr>
          <w:rFonts w:cstheme="minorHAnsi"/>
          <w:b/>
          <w:bCs/>
          <w:i/>
          <w:iCs/>
        </w:rPr>
        <w:t>ponsor will be informed.</w:t>
      </w:r>
      <w:r w:rsidRPr="0061492E">
        <w:rPr>
          <w:rFonts w:cstheme="minorHAnsi"/>
        </w:rPr>
        <w:t xml:space="preserve"> </w:t>
      </w:r>
    </w:p>
    <w:p w14:paraId="4FC52D34" w14:textId="5FAC0CCD" w:rsidR="00201FB8" w:rsidRDefault="00201FB8" w:rsidP="00FD377A"/>
    <w:p w14:paraId="5702DE68" w14:textId="1D2F6749" w:rsidR="00104F99" w:rsidRDefault="00104F99" w:rsidP="007F5071">
      <w:pPr>
        <w:pStyle w:val="2-SectionHeading"/>
        <w:rPr>
          <w:bCs/>
          <w:lang w:val="en-GB"/>
        </w:rPr>
      </w:pPr>
      <w:r w:rsidRPr="00C07617">
        <w:t>Context for Decision</w:t>
      </w:r>
    </w:p>
    <w:p w14:paraId="241B1A1F" w14:textId="77777777" w:rsidR="00104F99" w:rsidRPr="007129F2" w:rsidRDefault="00104F99" w:rsidP="007F5071">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EC5CA23" w14:textId="18D3FD4F" w:rsidR="00104F99" w:rsidRPr="00C07617" w:rsidRDefault="00104F99" w:rsidP="007F5071">
      <w:pPr>
        <w:pStyle w:val="2-SectionHeading"/>
      </w:pPr>
      <w:r>
        <w:t>Sponsor’s Comment</w:t>
      </w:r>
    </w:p>
    <w:p w14:paraId="78105874" w14:textId="4F79E64E" w:rsidR="003B6E8E" w:rsidRPr="001179AC" w:rsidRDefault="003B6E8E" w:rsidP="007F5071">
      <w:pPr>
        <w:spacing w:after="120"/>
        <w:ind w:left="720"/>
        <w:rPr>
          <w:rFonts w:asciiTheme="minorHAnsi" w:hAnsiTheme="minorHAnsi" w:cs="Arial"/>
          <w:bCs/>
        </w:rPr>
      </w:pPr>
      <w:r w:rsidRPr="003B6E8E">
        <w:rPr>
          <w:rFonts w:asciiTheme="minorHAnsi" w:hAnsiTheme="minorHAnsi" w:cs="Arial"/>
          <w:bCs/>
        </w:rPr>
        <w:t>The PBAC has noted considerations for new recommendations include a focus on ensuring that time is taken to ensure this significant change is implemented well and we are very supportive of this. This includes a clear plan for enhancing vaccination coverage, disease surveillance and evaluation of the ongoing program.</w:t>
      </w:r>
    </w:p>
    <w:p w14:paraId="6673F3A1" w14:textId="09565B8E" w:rsidR="00192CF3" w:rsidRDefault="00192CF3" w:rsidP="007F5071">
      <w:pPr>
        <w:spacing w:after="120"/>
        <w:ind w:left="426" w:firstLine="294"/>
      </w:pPr>
    </w:p>
    <w:p w14:paraId="510317EC" w14:textId="77777777" w:rsidR="00192CF3" w:rsidRDefault="00192CF3" w:rsidP="00FD377A"/>
    <w:sectPr w:rsidR="00192CF3" w:rsidSect="0089058E">
      <w:pgSz w:w="11906" w:h="16838" w:code="9"/>
      <w:pgMar w:top="1440" w:right="1440" w:bottom="1440" w:left="1440" w:header="1440" w:footer="1440"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798E9" w14:textId="77777777" w:rsidR="003522FD" w:rsidRDefault="003522FD">
      <w:r>
        <w:separator/>
      </w:r>
    </w:p>
    <w:p w14:paraId="7BA1DDE9" w14:textId="77777777" w:rsidR="003522FD" w:rsidRDefault="003522FD"/>
    <w:p w14:paraId="0BCB277D" w14:textId="77777777" w:rsidR="003522FD" w:rsidRDefault="003522FD"/>
  </w:endnote>
  <w:endnote w:type="continuationSeparator" w:id="0">
    <w:p w14:paraId="7631F708" w14:textId="77777777" w:rsidR="003522FD" w:rsidRDefault="003522FD">
      <w:r>
        <w:continuationSeparator/>
      </w:r>
    </w:p>
    <w:p w14:paraId="75DEE929" w14:textId="77777777" w:rsidR="003522FD" w:rsidRDefault="003522FD"/>
    <w:p w14:paraId="03A3C275" w14:textId="77777777" w:rsidR="003522FD" w:rsidRDefault="003522FD"/>
  </w:endnote>
  <w:endnote w:type="continuationNotice" w:id="1">
    <w:p w14:paraId="733E5E86" w14:textId="77777777" w:rsidR="003522FD" w:rsidRDefault="003522FD"/>
    <w:p w14:paraId="3ABD2B4C" w14:textId="77777777" w:rsidR="003522FD" w:rsidRDefault="00352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C699" w14:textId="77777777" w:rsidR="00AB0EEE" w:rsidRDefault="00AB0EEE" w:rsidP="00CF066B">
    <w:pPr>
      <w:pStyle w:val="Footer"/>
    </w:pPr>
  </w:p>
  <w:p w14:paraId="74269979" w14:textId="5A28D1B4" w:rsidR="00CF066B" w:rsidRPr="0089058E" w:rsidRDefault="00645369" w:rsidP="00CF066B">
    <w:pPr>
      <w:pStyle w:val="Footer"/>
      <w:rPr>
        <w:b/>
        <w:bCs/>
      </w:rPr>
    </w:pPr>
    <w:r w:rsidRPr="0089058E">
      <w:rPr>
        <w:b/>
        <w:bCs/>
      </w:rPr>
      <w:fldChar w:fldCharType="begin"/>
    </w:r>
    <w:r w:rsidRPr="0089058E">
      <w:rPr>
        <w:b/>
        <w:bCs/>
      </w:rPr>
      <w:instrText xml:space="preserve"> PAGE   \* MERGEFORMAT </w:instrText>
    </w:r>
    <w:r w:rsidRPr="0089058E">
      <w:rPr>
        <w:b/>
        <w:bCs/>
      </w:rPr>
      <w:fldChar w:fldCharType="separate"/>
    </w:r>
    <w:r w:rsidRPr="0089058E">
      <w:rPr>
        <w:b/>
        <w:bCs/>
        <w:noProof/>
      </w:rPr>
      <w:t>1</w:t>
    </w:r>
    <w:r w:rsidRPr="0089058E">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ABF8" w14:textId="77777777" w:rsidR="003522FD" w:rsidRDefault="003522FD">
      <w:r>
        <w:separator/>
      </w:r>
    </w:p>
    <w:p w14:paraId="39D21E83" w14:textId="77777777" w:rsidR="003522FD" w:rsidRDefault="003522FD"/>
    <w:p w14:paraId="4CE96420" w14:textId="77777777" w:rsidR="003522FD" w:rsidRDefault="003522FD"/>
  </w:footnote>
  <w:footnote w:type="continuationSeparator" w:id="0">
    <w:p w14:paraId="5EF9264E" w14:textId="77777777" w:rsidR="003522FD" w:rsidRDefault="003522FD">
      <w:r>
        <w:continuationSeparator/>
      </w:r>
    </w:p>
    <w:p w14:paraId="173F5A0D" w14:textId="77777777" w:rsidR="003522FD" w:rsidRDefault="003522FD"/>
    <w:p w14:paraId="746E64C9" w14:textId="77777777" w:rsidR="003522FD" w:rsidRDefault="003522FD"/>
  </w:footnote>
  <w:footnote w:type="continuationNotice" w:id="1">
    <w:p w14:paraId="62D7F1B2" w14:textId="77777777" w:rsidR="003522FD" w:rsidRDefault="003522FD"/>
    <w:p w14:paraId="11602E68" w14:textId="77777777" w:rsidR="003522FD" w:rsidRDefault="003522FD"/>
  </w:footnote>
  <w:footnote w:id="2">
    <w:p w14:paraId="2666F2D2" w14:textId="4231B71E" w:rsidR="00773D9B" w:rsidRDefault="00773D9B">
      <w:pPr>
        <w:pStyle w:val="FootnoteText"/>
      </w:pPr>
      <w:r>
        <w:rPr>
          <w:rStyle w:val="FootnoteReference"/>
        </w:rPr>
        <w:footnoteRef/>
      </w:r>
      <w:r>
        <w:t xml:space="preserve"> </w:t>
      </w:r>
      <w:r w:rsidRPr="00C22CDF">
        <w:rPr>
          <w:noProof/>
        </w:rPr>
        <w:t>World Health Organization Strategic Advisory Group of Experts on Immunization. Meeting of the Strategic Advisory Group of Experts on Immunization. One-dose Human Papillomavirus (HPV) vaccine offers solid protection against cervical cancer. Weekly Epidemiological Record April 2022.</w:t>
      </w:r>
    </w:p>
  </w:footnote>
  <w:footnote w:id="3">
    <w:p w14:paraId="246F95EB" w14:textId="42DCAA4E" w:rsidR="00834B22" w:rsidRDefault="00834B22">
      <w:pPr>
        <w:pStyle w:val="FootnoteText"/>
      </w:pPr>
      <w:r>
        <w:rPr>
          <w:rStyle w:val="FootnoteReference"/>
        </w:rPr>
        <w:footnoteRef/>
      </w:r>
      <w:r>
        <w:t xml:space="preserve"> </w:t>
      </w:r>
      <w:r w:rsidRPr="00834B22">
        <w:t>Simms KT, Laprise JF, Smith MA, Lew JB, Caruana M, Brisson M, et al. Cost-effectiveness of the next generation nonavalent human papillomavirus vaccine in the context of primary human papillomavirus screening in Australia: a comparative modelling analysis. Lancet Public Heal. 2016;1(2):e66–75.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240165" w:rsidRPr="00A06225" w:rsidRDefault="00240165">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240165" w:rsidRPr="00A06225" w:rsidRDefault="00240165"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A06225" w:rsidRDefault="00240165">
          <w:pPr>
            <w:spacing w:line="276" w:lineRule="auto"/>
            <w:rPr>
              <w:rFonts w:ascii="Cambria" w:eastAsia="MS Gothic" w:hAnsi="Cambria"/>
              <w:b/>
              <w:bCs/>
              <w:color w:val="4F81BD"/>
            </w:rPr>
          </w:pPr>
        </w:p>
      </w:tc>
    </w:tr>
    <w:tr w:rsidR="0024016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A06225"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A06225"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A06225" w:rsidRDefault="00240165">
          <w:pPr>
            <w:spacing w:line="276" w:lineRule="auto"/>
            <w:rPr>
              <w:rFonts w:ascii="Cambria" w:eastAsia="MS Gothic" w:hAnsi="Cambria"/>
              <w:b/>
              <w:bCs/>
              <w:color w:val="4F81BD"/>
            </w:rPr>
          </w:pPr>
        </w:p>
      </w:tc>
    </w:tr>
  </w:tbl>
  <w:p w14:paraId="7DCC695F" w14:textId="77777777" w:rsidR="00240165" w:rsidRDefault="00240165"/>
  <w:p w14:paraId="25F34A60" w14:textId="77777777" w:rsidR="00240165" w:rsidRDefault="00240165"/>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A43E" w14:textId="70FFCC19" w:rsidR="00645369" w:rsidRDefault="00104F99" w:rsidP="00104F99">
    <w:pPr>
      <w:pStyle w:val="Header"/>
      <w:ind w:left="360"/>
      <w:jc w:val="center"/>
      <w:rPr>
        <w:rFonts w:asciiTheme="minorHAnsi" w:hAnsiTheme="minorHAnsi" w:cs="Arial"/>
        <w:i/>
        <w:color w:val="808080"/>
      </w:rPr>
    </w:pPr>
    <w:r>
      <w:rPr>
        <w:rFonts w:asciiTheme="minorHAnsi" w:hAnsiTheme="minorHAnsi" w:cs="Arial"/>
        <w:i/>
        <w:color w:val="808080"/>
      </w:rPr>
      <w:t>Public Summary Document</w:t>
    </w:r>
    <w:r w:rsidR="00645369" w:rsidRPr="00056684">
      <w:rPr>
        <w:rFonts w:asciiTheme="minorHAnsi" w:hAnsiTheme="minorHAnsi" w:cs="Arial"/>
        <w:i/>
        <w:color w:val="808080"/>
      </w:rPr>
      <w:t xml:space="preserve"> –</w:t>
    </w:r>
    <w:r w:rsidR="00645369">
      <w:rPr>
        <w:rFonts w:asciiTheme="minorHAnsi" w:hAnsiTheme="minorHAnsi" w:cs="Arial"/>
        <w:i/>
        <w:color w:val="808080"/>
      </w:rPr>
      <w:t xml:space="preserve"> December 2022 </w:t>
    </w:r>
    <w:r w:rsidR="00645369" w:rsidRPr="00056684">
      <w:rPr>
        <w:rFonts w:asciiTheme="minorHAnsi" w:hAnsiTheme="minorHAnsi" w:cs="Arial"/>
        <w:i/>
        <w:color w:val="808080"/>
      </w:rPr>
      <w:t>PBAC Meeting</w:t>
    </w:r>
  </w:p>
  <w:p w14:paraId="74A766A4" w14:textId="77777777" w:rsidR="00240165" w:rsidRDefault="00240165" w:rsidP="00CF0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593"/>
    <w:multiLevelType w:val="multilevel"/>
    <w:tmpl w:val="3E3E52B6"/>
    <w:lvl w:ilvl="0">
      <w:start w:val="1"/>
      <w:numFmt w:val="decimal"/>
      <w:lvlText w:val="%1"/>
      <w:lvlJc w:val="left"/>
      <w:pPr>
        <w:ind w:left="720" w:hanging="720"/>
      </w:pPr>
      <w:rPr>
        <w:rFonts w:hint="default"/>
        <w:b/>
        <w:sz w:val="32"/>
        <w:szCs w:val="32"/>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14:glow w14:rad="0">
          <w14:srgbClr w14:val="000000"/>
        </w14:glow>
        <w14:scene3d>
          <w14:camera w14:prst="orthographicFront"/>
          <w14:lightRig w14:rig="threePt" w14:dir="t">
            <w14:rot w14:lat="0" w14:lon="0" w14:rev="0"/>
          </w14:lightRig>
        </w14:scene3d>
      </w:rPr>
    </w:lvl>
  </w:abstractNum>
  <w:abstractNum w:abstractNumId="1" w15:restartNumberingAfterBreak="0">
    <w:nsid w:val="0F9D241A"/>
    <w:multiLevelType w:val="multilevel"/>
    <w:tmpl w:val="61B6F1AA"/>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color w:val="auto"/>
        <w:sz w:val="20"/>
        <w:szCs w:val="24"/>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32D271F7"/>
    <w:multiLevelType w:val="hybridMultilevel"/>
    <w:tmpl w:val="A698C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5859C7"/>
    <w:multiLevelType w:val="hybridMultilevel"/>
    <w:tmpl w:val="E686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730BB"/>
    <w:multiLevelType w:val="hybridMultilevel"/>
    <w:tmpl w:val="43C41538"/>
    <w:lvl w:ilvl="0" w:tplc="97C610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AC5FFD"/>
    <w:multiLevelType w:val="multilevel"/>
    <w:tmpl w:val="9B685900"/>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asciiTheme="minorHAnsi" w:hAnsiTheme="minorHAnsi" w:cstheme="minorHAnsi" w:hint="default"/>
        <w:b w:val="0"/>
        <w:bCs w:val="0"/>
        <w:color w:val="auto"/>
        <w:sz w:val="24"/>
        <w:szCs w:val="24"/>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66F46554"/>
    <w:multiLevelType w:val="hybridMultilevel"/>
    <w:tmpl w:val="1498704A"/>
    <w:lvl w:ilvl="0" w:tplc="1F266AB2">
      <w:start w:val="1"/>
      <w:numFmt w:val="bullet"/>
      <w:lvlText w:val=""/>
      <w:lvlJc w:val="left"/>
      <w:pPr>
        <w:tabs>
          <w:tab w:val="num" w:pos="720"/>
        </w:tabs>
        <w:ind w:left="720" w:hanging="360"/>
      </w:pPr>
      <w:rPr>
        <w:rFonts w:ascii="Symbol" w:hAnsi="Symbol" w:hint="default"/>
        <w:sz w:val="20"/>
      </w:rPr>
    </w:lvl>
    <w:lvl w:ilvl="1" w:tplc="ACE2F8D0">
      <w:start w:val="1"/>
      <w:numFmt w:val="bullet"/>
      <w:lvlText w:val=""/>
      <w:lvlJc w:val="left"/>
      <w:pPr>
        <w:tabs>
          <w:tab w:val="num" w:pos="1440"/>
        </w:tabs>
        <w:ind w:left="1440" w:hanging="360"/>
      </w:pPr>
      <w:rPr>
        <w:rFonts w:ascii="Symbol" w:hAnsi="Symbol" w:hint="default"/>
        <w:sz w:val="20"/>
      </w:rPr>
    </w:lvl>
    <w:lvl w:ilvl="2" w:tplc="07580236" w:tentative="1">
      <w:start w:val="1"/>
      <w:numFmt w:val="bullet"/>
      <w:lvlText w:val=""/>
      <w:lvlJc w:val="left"/>
      <w:pPr>
        <w:tabs>
          <w:tab w:val="num" w:pos="2160"/>
        </w:tabs>
        <w:ind w:left="2160" w:hanging="360"/>
      </w:pPr>
      <w:rPr>
        <w:rFonts w:ascii="Symbol" w:hAnsi="Symbol" w:hint="default"/>
        <w:sz w:val="20"/>
      </w:rPr>
    </w:lvl>
    <w:lvl w:ilvl="3" w:tplc="1EECB3EA" w:tentative="1">
      <w:start w:val="1"/>
      <w:numFmt w:val="bullet"/>
      <w:lvlText w:val=""/>
      <w:lvlJc w:val="left"/>
      <w:pPr>
        <w:tabs>
          <w:tab w:val="num" w:pos="2880"/>
        </w:tabs>
        <w:ind w:left="2880" w:hanging="360"/>
      </w:pPr>
      <w:rPr>
        <w:rFonts w:ascii="Symbol" w:hAnsi="Symbol" w:hint="default"/>
        <w:sz w:val="20"/>
      </w:rPr>
    </w:lvl>
    <w:lvl w:ilvl="4" w:tplc="AC1AD0A2" w:tentative="1">
      <w:start w:val="1"/>
      <w:numFmt w:val="bullet"/>
      <w:lvlText w:val=""/>
      <w:lvlJc w:val="left"/>
      <w:pPr>
        <w:tabs>
          <w:tab w:val="num" w:pos="3600"/>
        </w:tabs>
        <w:ind w:left="3600" w:hanging="360"/>
      </w:pPr>
      <w:rPr>
        <w:rFonts w:ascii="Symbol" w:hAnsi="Symbol" w:hint="default"/>
        <w:sz w:val="20"/>
      </w:rPr>
    </w:lvl>
    <w:lvl w:ilvl="5" w:tplc="5EC298C0" w:tentative="1">
      <w:start w:val="1"/>
      <w:numFmt w:val="bullet"/>
      <w:lvlText w:val=""/>
      <w:lvlJc w:val="left"/>
      <w:pPr>
        <w:tabs>
          <w:tab w:val="num" w:pos="4320"/>
        </w:tabs>
        <w:ind w:left="4320" w:hanging="360"/>
      </w:pPr>
      <w:rPr>
        <w:rFonts w:ascii="Symbol" w:hAnsi="Symbol" w:hint="default"/>
        <w:sz w:val="20"/>
      </w:rPr>
    </w:lvl>
    <w:lvl w:ilvl="6" w:tplc="A83CAAE6" w:tentative="1">
      <w:start w:val="1"/>
      <w:numFmt w:val="bullet"/>
      <w:lvlText w:val=""/>
      <w:lvlJc w:val="left"/>
      <w:pPr>
        <w:tabs>
          <w:tab w:val="num" w:pos="5040"/>
        </w:tabs>
        <w:ind w:left="5040" w:hanging="360"/>
      </w:pPr>
      <w:rPr>
        <w:rFonts w:ascii="Symbol" w:hAnsi="Symbol" w:hint="default"/>
        <w:sz w:val="20"/>
      </w:rPr>
    </w:lvl>
    <w:lvl w:ilvl="7" w:tplc="DFEE450C" w:tentative="1">
      <w:start w:val="1"/>
      <w:numFmt w:val="bullet"/>
      <w:lvlText w:val=""/>
      <w:lvlJc w:val="left"/>
      <w:pPr>
        <w:tabs>
          <w:tab w:val="num" w:pos="5760"/>
        </w:tabs>
        <w:ind w:left="5760" w:hanging="360"/>
      </w:pPr>
      <w:rPr>
        <w:rFonts w:ascii="Symbol" w:hAnsi="Symbol" w:hint="default"/>
        <w:sz w:val="20"/>
      </w:rPr>
    </w:lvl>
    <w:lvl w:ilvl="8" w:tplc="31783F62"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A76E49"/>
    <w:multiLevelType w:val="hybridMultilevel"/>
    <w:tmpl w:val="EECE0716"/>
    <w:lvl w:ilvl="0" w:tplc="708AD726">
      <w:start w:val="1"/>
      <w:numFmt w:val="bullet"/>
      <w:lvlText w:val=""/>
      <w:lvlJc w:val="left"/>
      <w:pPr>
        <w:tabs>
          <w:tab w:val="num" w:pos="720"/>
        </w:tabs>
        <w:ind w:left="720" w:hanging="360"/>
      </w:pPr>
      <w:rPr>
        <w:rFonts w:ascii="Symbol" w:hAnsi="Symbol" w:hint="default"/>
        <w:sz w:val="20"/>
      </w:rPr>
    </w:lvl>
    <w:lvl w:ilvl="1" w:tplc="5E50B1E6" w:tentative="1">
      <w:start w:val="1"/>
      <w:numFmt w:val="bullet"/>
      <w:lvlText w:val=""/>
      <w:lvlJc w:val="left"/>
      <w:pPr>
        <w:tabs>
          <w:tab w:val="num" w:pos="1440"/>
        </w:tabs>
        <w:ind w:left="1440" w:hanging="360"/>
      </w:pPr>
      <w:rPr>
        <w:rFonts w:ascii="Symbol" w:hAnsi="Symbol" w:hint="default"/>
        <w:sz w:val="20"/>
      </w:rPr>
    </w:lvl>
    <w:lvl w:ilvl="2" w:tplc="3B98A97A" w:tentative="1">
      <w:start w:val="1"/>
      <w:numFmt w:val="bullet"/>
      <w:lvlText w:val=""/>
      <w:lvlJc w:val="left"/>
      <w:pPr>
        <w:tabs>
          <w:tab w:val="num" w:pos="2160"/>
        </w:tabs>
        <w:ind w:left="2160" w:hanging="360"/>
      </w:pPr>
      <w:rPr>
        <w:rFonts w:ascii="Symbol" w:hAnsi="Symbol" w:hint="default"/>
        <w:sz w:val="20"/>
      </w:rPr>
    </w:lvl>
    <w:lvl w:ilvl="3" w:tplc="27A06D6C" w:tentative="1">
      <w:start w:val="1"/>
      <w:numFmt w:val="bullet"/>
      <w:lvlText w:val=""/>
      <w:lvlJc w:val="left"/>
      <w:pPr>
        <w:tabs>
          <w:tab w:val="num" w:pos="2880"/>
        </w:tabs>
        <w:ind w:left="2880" w:hanging="360"/>
      </w:pPr>
      <w:rPr>
        <w:rFonts w:ascii="Symbol" w:hAnsi="Symbol" w:hint="default"/>
        <w:sz w:val="20"/>
      </w:rPr>
    </w:lvl>
    <w:lvl w:ilvl="4" w:tplc="55BECDC2" w:tentative="1">
      <w:start w:val="1"/>
      <w:numFmt w:val="bullet"/>
      <w:lvlText w:val=""/>
      <w:lvlJc w:val="left"/>
      <w:pPr>
        <w:tabs>
          <w:tab w:val="num" w:pos="3600"/>
        </w:tabs>
        <w:ind w:left="3600" w:hanging="360"/>
      </w:pPr>
      <w:rPr>
        <w:rFonts w:ascii="Symbol" w:hAnsi="Symbol" w:hint="default"/>
        <w:sz w:val="20"/>
      </w:rPr>
    </w:lvl>
    <w:lvl w:ilvl="5" w:tplc="2E304728" w:tentative="1">
      <w:start w:val="1"/>
      <w:numFmt w:val="bullet"/>
      <w:lvlText w:val=""/>
      <w:lvlJc w:val="left"/>
      <w:pPr>
        <w:tabs>
          <w:tab w:val="num" w:pos="4320"/>
        </w:tabs>
        <w:ind w:left="4320" w:hanging="360"/>
      </w:pPr>
      <w:rPr>
        <w:rFonts w:ascii="Symbol" w:hAnsi="Symbol" w:hint="default"/>
        <w:sz w:val="20"/>
      </w:rPr>
    </w:lvl>
    <w:lvl w:ilvl="6" w:tplc="60A86D92" w:tentative="1">
      <w:start w:val="1"/>
      <w:numFmt w:val="bullet"/>
      <w:lvlText w:val=""/>
      <w:lvlJc w:val="left"/>
      <w:pPr>
        <w:tabs>
          <w:tab w:val="num" w:pos="5040"/>
        </w:tabs>
        <w:ind w:left="5040" w:hanging="360"/>
      </w:pPr>
      <w:rPr>
        <w:rFonts w:ascii="Symbol" w:hAnsi="Symbol" w:hint="default"/>
        <w:sz w:val="20"/>
      </w:rPr>
    </w:lvl>
    <w:lvl w:ilvl="7" w:tplc="E1CCDC9A" w:tentative="1">
      <w:start w:val="1"/>
      <w:numFmt w:val="bullet"/>
      <w:lvlText w:val=""/>
      <w:lvlJc w:val="left"/>
      <w:pPr>
        <w:tabs>
          <w:tab w:val="num" w:pos="5760"/>
        </w:tabs>
        <w:ind w:left="5760" w:hanging="360"/>
      </w:pPr>
      <w:rPr>
        <w:rFonts w:ascii="Symbol" w:hAnsi="Symbol" w:hint="default"/>
        <w:sz w:val="20"/>
      </w:rPr>
    </w:lvl>
    <w:lvl w:ilvl="8" w:tplc="8A1A7636"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1B67B6"/>
    <w:multiLevelType w:val="hybridMultilevel"/>
    <w:tmpl w:val="4D0E62B4"/>
    <w:lvl w:ilvl="0" w:tplc="4C08386A">
      <w:start w:val="1"/>
      <w:numFmt w:val="bullet"/>
      <w:lvlText w:val=""/>
      <w:lvlJc w:val="left"/>
      <w:pPr>
        <w:ind w:left="720" w:hanging="360"/>
      </w:pPr>
      <w:rPr>
        <w:rFonts w:ascii="Symbol" w:hAnsi="Symbol" w:hint="default"/>
      </w:rPr>
    </w:lvl>
    <w:lvl w:ilvl="1" w:tplc="8E361568">
      <w:start w:val="1"/>
      <w:numFmt w:val="bullet"/>
      <w:lvlText w:val="o"/>
      <w:lvlJc w:val="left"/>
      <w:pPr>
        <w:ind w:left="1440" w:hanging="360"/>
      </w:pPr>
      <w:rPr>
        <w:rFonts w:ascii="Courier New" w:hAnsi="Courier New" w:hint="default"/>
      </w:rPr>
    </w:lvl>
    <w:lvl w:ilvl="2" w:tplc="BF42C462">
      <w:start w:val="1"/>
      <w:numFmt w:val="bullet"/>
      <w:lvlText w:val=""/>
      <w:lvlJc w:val="left"/>
      <w:pPr>
        <w:ind w:left="2160" w:hanging="360"/>
      </w:pPr>
      <w:rPr>
        <w:rFonts w:ascii="Wingdings" w:hAnsi="Wingdings" w:hint="default"/>
      </w:rPr>
    </w:lvl>
    <w:lvl w:ilvl="3" w:tplc="78C458A8">
      <w:start w:val="1"/>
      <w:numFmt w:val="bullet"/>
      <w:lvlText w:val=""/>
      <w:lvlJc w:val="left"/>
      <w:pPr>
        <w:ind w:left="2880" w:hanging="360"/>
      </w:pPr>
      <w:rPr>
        <w:rFonts w:ascii="Symbol" w:hAnsi="Symbol" w:hint="default"/>
      </w:rPr>
    </w:lvl>
    <w:lvl w:ilvl="4" w:tplc="89481404">
      <w:start w:val="1"/>
      <w:numFmt w:val="bullet"/>
      <w:lvlText w:val="o"/>
      <w:lvlJc w:val="left"/>
      <w:pPr>
        <w:ind w:left="3600" w:hanging="360"/>
      </w:pPr>
      <w:rPr>
        <w:rFonts w:ascii="Courier New" w:hAnsi="Courier New" w:hint="default"/>
      </w:rPr>
    </w:lvl>
    <w:lvl w:ilvl="5" w:tplc="612C4CE8">
      <w:start w:val="1"/>
      <w:numFmt w:val="bullet"/>
      <w:lvlText w:val=""/>
      <w:lvlJc w:val="left"/>
      <w:pPr>
        <w:ind w:left="4320" w:hanging="360"/>
      </w:pPr>
      <w:rPr>
        <w:rFonts w:ascii="Wingdings" w:hAnsi="Wingdings" w:hint="default"/>
      </w:rPr>
    </w:lvl>
    <w:lvl w:ilvl="6" w:tplc="CF6E4A3E">
      <w:start w:val="1"/>
      <w:numFmt w:val="bullet"/>
      <w:lvlText w:val=""/>
      <w:lvlJc w:val="left"/>
      <w:pPr>
        <w:ind w:left="5040" w:hanging="360"/>
      </w:pPr>
      <w:rPr>
        <w:rFonts w:ascii="Symbol" w:hAnsi="Symbol" w:hint="default"/>
      </w:rPr>
    </w:lvl>
    <w:lvl w:ilvl="7" w:tplc="C20CE416">
      <w:start w:val="1"/>
      <w:numFmt w:val="bullet"/>
      <w:lvlText w:val="o"/>
      <w:lvlJc w:val="left"/>
      <w:pPr>
        <w:ind w:left="5760" w:hanging="360"/>
      </w:pPr>
      <w:rPr>
        <w:rFonts w:ascii="Courier New" w:hAnsi="Courier New" w:hint="default"/>
      </w:rPr>
    </w:lvl>
    <w:lvl w:ilvl="8" w:tplc="E400959E">
      <w:start w:val="1"/>
      <w:numFmt w:val="bullet"/>
      <w:lvlText w:val=""/>
      <w:lvlJc w:val="left"/>
      <w:pPr>
        <w:ind w:left="6480" w:hanging="360"/>
      </w:pPr>
      <w:rPr>
        <w:rFonts w:ascii="Wingdings" w:hAnsi="Wingdings" w:hint="default"/>
      </w:rPr>
    </w:lvl>
  </w:abstractNum>
  <w:abstractNum w:abstractNumId="9" w15:restartNumberingAfterBreak="0">
    <w:nsid w:val="784D033C"/>
    <w:multiLevelType w:val="multilevel"/>
    <w:tmpl w:val="988A610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6"/>
  </w:num>
  <w:num w:numId="5">
    <w:abstractNumId w:val="0"/>
  </w:num>
  <w:num w:numId="6">
    <w:abstractNumId w:val="5"/>
  </w:num>
  <w:num w:numId="7">
    <w:abstractNumId w:val="3"/>
  </w:num>
  <w:num w:numId="8">
    <w:abstractNumId w:val="5"/>
  </w:num>
  <w:num w:numId="9">
    <w:abstractNumId w:val="5"/>
  </w:num>
  <w:num w:numId="10">
    <w:abstractNumId w:val="1"/>
  </w:num>
  <w:num w:numId="11">
    <w:abstractNumId w:val="5"/>
  </w:num>
  <w:num w:numId="12">
    <w:abstractNumId w:val="2"/>
  </w:num>
  <w:num w:numId="13">
    <w:abstractNumId w:val="9"/>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2ED7"/>
    <w:rsid w:val="0000335D"/>
    <w:rsid w:val="00004F99"/>
    <w:rsid w:val="00011A59"/>
    <w:rsid w:val="00012B8F"/>
    <w:rsid w:val="00014AF4"/>
    <w:rsid w:val="0001563A"/>
    <w:rsid w:val="00016A41"/>
    <w:rsid w:val="000214D1"/>
    <w:rsid w:val="00024393"/>
    <w:rsid w:val="0002464A"/>
    <w:rsid w:val="00025A04"/>
    <w:rsid w:val="00025C76"/>
    <w:rsid w:val="000278AD"/>
    <w:rsid w:val="0003050E"/>
    <w:rsid w:val="00030A2E"/>
    <w:rsid w:val="0003106B"/>
    <w:rsid w:val="00032C00"/>
    <w:rsid w:val="00033C1D"/>
    <w:rsid w:val="00034905"/>
    <w:rsid w:val="0003691C"/>
    <w:rsid w:val="00037370"/>
    <w:rsid w:val="000421A1"/>
    <w:rsid w:val="0004240E"/>
    <w:rsid w:val="000436FE"/>
    <w:rsid w:val="00044EC4"/>
    <w:rsid w:val="00045E26"/>
    <w:rsid w:val="000514B5"/>
    <w:rsid w:val="0005322E"/>
    <w:rsid w:val="00054E2B"/>
    <w:rsid w:val="00057562"/>
    <w:rsid w:val="00060E64"/>
    <w:rsid w:val="00063E2C"/>
    <w:rsid w:val="00063E6E"/>
    <w:rsid w:val="00065BE4"/>
    <w:rsid w:val="00066193"/>
    <w:rsid w:val="00066755"/>
    <w:rsid w:val="00067B6B"/>
    <w:rsid w:val="00071A5B"/>
    <w:rsid w:val="0007337F"/>
    <w:rsid w:val="00076051"/>
    <w:rsid w:val="000763D5"/>
    <w:rsid w:val="00076C38"/>
    <w:rsid w:val="00077143"/>
    <w:rsid w:val="00077DF7"/>
    <w:rsid w:val="0008050C"/>
    <w:rsid w:val="0008132B"/>
    <w:rsid w:val="00081D44"/>
    <w:rsid w:val="00082169"/>
    <w:rsid w:val="00083131"/>
    <w:rsid w:val="000834BE"/>
    <w:rsid w:val="00083F01"/>
    <w:rsid w:val="00084892"/>
    <w:rsid w:val="00087C4C"/>
    <w:rsid w:val="00091798"/>
    <w:rsid w:val="000918CB"/>
    <w:rsid w:val="00091B06"/>
    <w:rsid w:val="00091B0E"/>
    <w:rsid w:val="000951C4"/>
    <w:rsid w:val="00095ADA"/>
    <w:rsid w:val="00095BD2"/>
    <w:rsid w:val="0009619D"/>
    <w:rsid w:val="000969AD"/>
    <w:rsid w:val="000975FB"/>
    <w:rsid w:val="000A0A64"/>
    <w:rsid w:val="000A2F40"/>
    <w:rsid w:val="000A3AA2"/>
    <w:rsid w:val="000A44B2"/>
    <w:rsid w:val="000A52F6"/>
    <w:rsid w:val="000A68AF"/>
    <w:rsid w:val="000B0D40"/>
    <w:rsid w:val="000B3AD1"/>
    <w:rsid w:val="000B44C3"/>
    <w:rsid w:val="000B558D"/>
    <w:rsid w:val="000B5A89"/>
    <w:rsid w:val="000B613B"/>
    <w:rsid w:val="000B65F6"/>
    <w:rsid w:val="000B7767"/>
    <w:rsid w:val="000B7EA5"/>
    <w:rsid w:val="000C1E25"/>
    <w:rsid w:val="000C268D"/>
    <w:rsid w:val="000C5F95"/>
    <w:rsid w:val="000C6996"/>
    <w:rsid w:val="000C6DF3"/>
    <w:rsid w:val="000C7C46"/>
    <w:rsid w:val="000D09E9"/>
    <w:rsid w:val="000D113F"/>
    <w:rsid w:val="000D11A1"/>
    <w:rsid w:val="000D23BA"/>
    <w:rsid w:val="000D4C30"/>
    <w:rsid w:val="000E0953"/>
    <w:rsid w:val="000E0EA4"/>
    <w:rsid w:val="000E19B7"/>
    <w:rsid w:val="000E20FC"/>
    <w:rsid w:val="000E34E2"/>
    <w:rsid w:val="000E3DFB"/>
    <w:rsid w:val="000E5EA1"/>
    <w:rsid w:val="000E681E"/>
    <w:rsid w:val="000E7E52"/>
    <w:rsid w:val="000F0003"/>
    <w:rsid w:val="000F3384"/>
    <w:rsid w:val="000F4E6A"/>
    <w:rsid w:val="000F533C"/>
    <w:rsid w:val="000F6668"/>
    <w:rsid w:val="000F7354"/>
    <w:rsid w:val="00100B85"/>
    <w:rsid w:val="0010155D"/>
    <w:rsid w:val="00101ABE"/>
    <w:rsid w:val="00102202"/>
    <w:rsid w:val="00102700"/>
    <w:rsid w:val="0010289B"/>
    <w:rsid w:val="00102A78"/>
    <w:rsid w:val="00103118"/>
    <w:rsid w:val="00103710"/>
    <w:rsid w:val="00104227"/>
    <w:rsid w:val="00104F99"/>
    <w:rsid w:val="00106F49"/>
    <w:rsid w:val="00107019"/>
    <w:rsid w:val="001107BF"/>
    <w:rsid w:val="00113649"/>
    <w:rsid w:val="00113D5C"/>
    <w:rsid w:val="00115DCF"/>
    <w:rsid w:val="00123A90"/>
    <w:rsid w:val="00123D89"/>
    <w:rsid w:val="00123F65"/>
    <w:rsid w:val="0012417C"/>
    <w:rsid w:val="00124BF2"/>
    <w:rsid w:val="0012597F"/>
    <w:rsid w:val="0012749D"/>
    <w:rsid w:val="001306A5"/>
    <w:rsid w:val="001311AE"/>
    <w:rsid w:val="0013378A"/>
    <w:rsid w:val="00140B74"/>
    <w:rsid w:val="00140BB7"/>
    <w:rsid w:val="00140D94"/>
    <w:rsid w:val="00142395"/>
    <w:rsid w:val="00142714"/>
    <w:rsid w:val="00144D09"/>
    <w:rsid w:val="00144FBA"/>
    <w:rsid w:val="001452ED"/>
    <w:rsid w:val="00147566"/>
    <w:rsid w:val="00147D84"/>
    <w:rsid w:val="001501AC"/>
    <w:rsid w:val="00151430"/>
    <w:rsid w:val="00153AD4"/>
    <w:rsid w:val="001549C1"/>
    <w:rsid w:val="00154CEE"/>
    <w:rsid w:val="00156C8D"/>
    <w:rsid w:val="00160F4D"/>
    <w:rsid w:val="00162618"/>
    <w:rsid w:val="00162BDD"/>
    <w:rsid w:val="00162D4E"/>
    <w:rsid w:val="00162FAB"/>
    <w:rsid w:val="00163329"/>
    <w:rsid w:val="001635C1"/>
    <w:rsid w:val="00163A86"/>
    <w:rsid w:val="00164623"/>
    <w:rsid w:val="001652DE"/>
    <w:rsid w:val="00165B64"/>
    <w:rsid w:val="00170095"/>
    <w:rsid w:val="00170F90"/>
    <w:rsid w:val="001745D9"/>
    <w:rsid w:val="00176B9D"/>
    <w:rsid w:val="00180713"/>
    <w:rsid w:val="00180720"/>
    <w:rsid w:val="00181282"/>
    <w:rsid w:val="00181379"/>
    <w:rsid w:val="001817CF"/>
    <w:rsid w:val="001830CE"/>
    <w:rsid w:val="001836E3"/>
    <w:rsid w:val="00183818"/>
    <w:rsid w:val="00184C39"/>
    <w:rsid w:val="00185E7C"/>
    <w:rsid w:val="0018643B"/>
    <w:rsid w:val="00192397"/>
    <w:rsid w:val="00192CF3"/>
    <w:rsid w:val="0019370D"/>
    <w:rsid w:val="00193967"/>
    <w:rsid w:val="00193C9A"/>
    <w:rsid w:val="00194AC4"/>
    <w:rsid w:val="00196307"/>
    <w:rsid w:val="001A0D10"/>
    <w:rsid w:val="001A2F9E"/>
    <w:rsid w:val="001A33EA"/>
    <w:rsid w:val="001A37AC"/>
    <w:rsid w:val="001A41E8"/>
    <w:rsid w:val="001A4413"/>
    <w:rsid w:val="001A4BF2"/>
    <w:rsid w:val="001A4C4F"/>
    <w:rsid w:val="001A5A2B"/>
    <w:rsid w:val="001A76FB"/>
    <w:rsid w:val="001B017F"/>
    <w:rsid w:val="001B0B79"/>
    <w:rsid w:val="001B2BBC"/>
    <w:rsid w:val="001B3A40"/>
    <w:rsid w:val="001B3FFE"/>
    <w:rsid w:val="001B5129"/>
    <w:rsid w:val="001B51F9"/>
    <w:rsid w:val="001C0B4C"/>
    <w:rsid w:val="001C0EC4"/>
    <w:rsid w:val="001C1195"/>
    <w:rsid w:val="001C12AE"/>
    <w:rsid w:val="001C19A8"/>
    <w:rsid w:val="001C1E84"/>
    <w:rsid w:val="001C2E42"/>
    <w:rsid w:val="001C758C"/>
    <w:rsid w:val="001D078F"/>
    <w:rsid w:val="001D1F5F"/>
    <w:rsid w:val="001D3CB1"/>
    <w:rsid w:val="001D69B5"/>
    <w:rsid w:val="001E06D2"/>
    <w:rsid w:val="001E17C4"/>
    <w:rsid w:val="001F005B"/>
    <w:rsid w:val="001F1850"/>
    <w:rsid w:val="001F1D9C"/>
    <w:rsid w:val="001F1FBF"/>
    <w:rsid w:val="001F22AE"/>
    <w:rsid w:val="001F2F1C"/>
    <w:rsid w:val="001F3189"/>
    <w:rsid w:val="001F36C0"/>
    <w:rsid w:val="001F65F7"/>
    <w:rsid w:val="00200DD7"/>
    <w:rsid w:val="00201FB8"/>
    <w:rsid w:val="002025D2"/>
    <w:rsid w:val="00203FAC"/>
    <w:rsid w:val="00205D4A"/>
    <w:rsid w:val="0020639B"/>
    <w:rsid w:val="002104BB"/>
    <w:rsid w:val="00211C77"/>
    <w:rsid w:val="00211CC4"/>
    <w:rsid w:val="002123F8"/>
    <w:rsid w:val="00213CFB"/>
    <w:rsid w:val="00215389"/>
    <w:rsid w:val="0021553C"/>
    <w:rsid w:val="0021557B"/>
    <w:rsid w:val="002174FD"/>
    <w:rsid w:val="00217BE1"/>
    <w:rsid w:val="0022016B"/>
    <w:rsid w:val="002214B9"/>
    <w:rsid w:val="002220A0"/>
    <w:rsid w:val="002223F8"/>
    <w:rsid w:val="00226F54"/>
    <w:rsid w:val="00230F63"/>
    <w:rsid w:val="00234252"/>
    <w:rsid w:val="0023466E"/>
    <w:rsid w:val="002366C6"/>
    <w:rsid w:val="00237AC6"/>
    <w:rsid w:val="00240165"/>
    <w:rsid w:val="00244139"/>
    <w:rsid w:val="00244490"/>
    <w:rsid w:val="00245B9C"/>
    <w:rsid w:val="00250240"/>
    <w:rsid w:val="00253499"/>
    <w:rsid w:val="00253FFF"/>
    <w:rsid w:val="002551A4"/>
    <w:rsid w:val="00257664"/>
    <w:rsid w:val="00265151"/>
    <w:rsid w:val="00265C2C"/>
    <w:rsid w:val="00266509"/>
    <w:rsid w:val="00271BA1"/>
    <w:rsid w:val="002735D0"/>
    <w:rsid w:val="00273AC5"/>
    <w:rsid w:val="00274455"/>
    <w:rsid w:val="00275CD2"/>
    <w:rsid w:val="002762FA"/>
    <w:rsid w:val="00277505"/>
    <w:rsid w:val="0028158C"/>
    <w:rsid w:val="002823B6"/>
    <w:rsid w:val="0028621E"/>
    <w:rsid w:val="00290C03"/>
    <w:rsid w:val="00292519"/>
    <w:rsid w:val="00294274"/>
    <w:rsid w:val="0029458F"/>
    <w:rsid w:val="00294BFF"/>
    <w:rsid w:val="00297C65"/>
    <w:rsid w:val="0029BCD3"/>
    <w:rsid w:val="002A018F"/>
    <w:rsid w:val="002A0E04"/>
    <w:rsid w:val="002A104C"/>
    <w:rsid w:val="002A1AED"/>
    <w:rsid w:val="002A1B50"/>
    <w:rsid w:val="002A1EF7"/>
    <w:rsid w:val="002A391F"/>
    <w:rsid w:val="002A494D"/>
    <w:rsid w:val="002A4960"/>
    <w:rsid w:val="002A636A"/>
    <w:rsid w:val="002B0992"/>
    <w:rsid w:val="002B0AE0"/>
    <w:rsid w:val="002B1AE6"/>
    <w:rsid w:val="002B1D51"/>
    <w:rsid w:val="002B2DE8"/>
    <w:rsid w:val="002B2F8F"/>
    <w:rsid w:val="002B30F8"/>
    <w:rsid w:val="002B388A"/>
    <w:rsid w:val="002B5596"/>
    <w:rsid w:val="002B77D7"/>
    <w:rsid w:val="002C212F"/>
    <w:rsid w:val="002C2F35"/>
    <w:rsid w:val="002C633F"/>
    <w:rsid w:val="002C68D5"/>
    <w:rsid w:val="002C6AA9"/>
    <w:rsid w:val="002C6AB5"/>
    <w:rsid w:val="002C7485"/>
    <w:rsid w:val="002D147F"/>
    <w:rsid w:val="002D2641"/>
    <w:rsid w:val="002D283A"/>
    <w:rsid w:val="002D4543"/>
    <w:rsid w:val="002D56F8"/>
    <w:rsid w:val="002E3153"/>
    <w:rsid w:val="002E340A"/>
    <w:rsid w:val="002E5292"/>
    <w:rsid w:val="002E647D"/>
    <w:rsid w:val="002E72CA"/>
    <w:rsid w:val="002F1D07"/>
    <w:rsid w:val="002F4A0E"/>
    <w:rsid w:val="002F600D"/>
    <w:rsid w:val="002F7E47"/>
    <w:rsid w:val="00300AD6"/>
    <w:rsid w:val="00300B1B"/>
    <w:rsid w:val="003019D0"/>
    <w:rsid w:val="00302370"/>
    <w:rsid w:val="003064AF"/>
    <w:rsid w:val="003104CC"/>
    <w:rsid w:val="00310A8B"/>
    <w:rsid w:val="00310B68"/>
    <w:rsid w:val="0031150D"/>
    <w:rsid w:val="0031236D"/>
    <w:rsid w:val="003160D2"/>
    <w:rsid w:val="00316A73"/>
    <w:rsid w:val="00317134"/>
    <w:rsid w:val="003173FC"/>
    <w:rsid w:val="00317C6C"/>
    <w:rsid w:val="00320B80"/>
    <w:rsid w:val="00320CD3"/>
    <w:rsid w:val="0032383D"/>
    <w:rsid w:val="00323FC6"/>
    <w:rsid w:val="00326E79"/>
    <w:rsid w:val="0032748A"/>
    <w:rsid w:val="003301B1"/>
    <w:rsid w:val="00331189"/>
    <w:rsid w:val="0033263D"/>
    <w:rsid w:val="0033484D"/>
    <w:rsid w:val="0033518A"/>
    <w:rsid w:val="00335192"/>
    <w:rsid w:val="00335535"/>
    <w:rsid w:val="003367EF"/>
    <w:rsid w:val="00337873"/>
    <w:rsid w:val="00341AE4"/>
    <w:rsid w:val="00345611"/>
    <w:rsid w:val="003476AD"/>
    <w:rsid w:val="003476EE"/>
    <w:rsid w:val="003522FD"/>
    <w:rsid w:val="00352F53"/>
    <w:rsid w:val="003541DD"/>
    <w:rsid w:val="00356405"/>
    <w:rsid w:val="00356E5B"/>
    <w:rsid w:val="00361E51"/>
    <w:rsid w:val="003727C7"/>
    <w:rsid w:val="003736C9"/>
    <w:rsid w:val="00380C12"/>
    <w:rsid w:val="00383027"/>
    <w:rsid w:val="00383B77"/>
    <w:rsid w:val="00384988"/>
    <w:rsid w:val="003872CF"/>
    <w:rsid w:val="00391CEB"/>
    <w:rsid w:val="0039782C"/>
    <w:rsid w:val="003A13A6"/>
    <w:rsid w:val="003A39F1"/>
    <w:rsid w:val="003A5B4A"/>
    <w:rsid w:val="003A5D95"/>
    <w:rsid w:val="003A6D6A"/>
    <w:rsid w:val="003B0D3A"/>
    <w:rsid w:val="003B2302"/>
    <w:rsid w:val="003B23C5"/>
    <w:rsid w:val="003B2A75"/>
    <w:rsid w:val="003B49B2"/>
    <w:rsid w:val="003B6124"/>
    <w:rsid w:val="003B6212"/>
    <w:rsid w:val="003B6395"/>
    <w:rsid w:val="003B6E8E"/>
    <w:rsid w:val="003B7960"/>
    <w:rsid w:val="003C092F"/>
    <w:rsid w:val="003C093A"/>
    <w:rsid w:val="003C1ECF"/>
    <w:rsid w:val="003C2FB5"/>
    <w:rsid w:val="003C3A84"/>
    <w:rsid w:val="003C3ABA"/>
    <w:rsid w:val="003C638F"/>
    <w:rsid w:val="003D24C5"/>
    <w:rsid w:val="003D2B3B"/>
    <w:rsid w:val="003D444D"/>
    <w:rsid w:val="003D4594"/>
    <w:rsid w:val="003D4AC4"/>
    <w:rsid w:val="003D63B7"/>
    <w:rsid w:val="003D74C5"/>
    <w:rsid w:val="003E3C10"/>
    <w:rsid w:val="003E4374"/>
    <w:rsid w:val="003E468B"/>
    <w:rsid w:val="003E4FE7"/>
    <w:rsid w:val="003E62BD"/>
    <w:rsid w:val="003F044F"/>
    <w:rsid w:val="003F0C3A"/>
    <w:rsid w:val="003F11DC"/>
    <w:rsid w:val="003F15F0"/>
    <w:rsid w:val="003F3228"/>
    <w:rsid w:val="003F59B9"/>
    <w:rsid w:val="003F5C8C"/>
    <w:rsid w:val="003F63CE"/>
    <w:rsid w:val="003F7193"/>
    <w:rsid w:val="003F775A"/>
    <w:rsid w:val="00400E55"/>
    <w:rsid w:val="00401069"/>
    <w:rsid w:val="0040128E"/>
    <w:rsid w:val="00401A0C"/>
    <w:rsid w:val="0040216B"/>
    <w:rsid w:val="00402189"/>
    <w:rsid w:val="00403127"/>
    <w:rsid w:val="00403359"/>
    <w:rsid w:val="00403AAA"/>
    <w:rsid w:val="0040445C"/>
    <w:rsid w:val="004049DB"/>
    <w:rsid w:val="00404BCA"/>
    <w:rsid w:val="00406CF5"/>
    <w:rsid w:val="00407679"/>
    <w:rsid w:val="00410DDD"/>
    <w:rsid w:val="00411AF9"/>
    <w:rsid w:val="00420400"/>
    <w:rsid w:val="00422154"/>
    <w:rsid w:val="004252EC"/>
    <w:rsid w:val="00426322"/>
    <w:rsid w:val="00427302"/>
    <w:rsid w:val="00427A00"/>
    <w:rsid w:val="00430B50"/>
    <w:rsid w:val="00430D39"/>
    <w:rsid w:val="00432D07"/>
    <w:rsid w:val="00432ECC"/>
    <w:rsid w:val="00436F8B"/>
    <w:rsid w:val="004379FF"/>
    <w:rsid w:val="00440C23"/>
    <w:rsid w:val="0044231E"/>
    <w:rsid w:val="00442C91"/>
    <w:rsid w:val="00442CB6"/>
    <w:rsid w:val="00443793"/>
    <w:rsid w:val="00444B5E"/>
    <w:rsid w:val="004465BD"/>
    <w:rsid w:val="00446938"/>
    <w:rsid w:val="00450029"/>
    <w:rsid w:val="004528FA"/>
    <w:rsid w:val="00455435"/>
    <w:rsid w:val="00461A44"/>
    <w:rsid w:val="00461E49"/>
    <w:rsid w:val="00462D26"/>
    <w:rsid w:val="0046385A"/>
    <w:rsid w:val="00464016"/>
    <w:rsid w:val="00464C5A"/>
    <w:rsid w:val="004666CC"/>
    <w:rsid w:val="00466ADA"/>
    <w:rsid w:val="004702BB"/>
    <w:rsid w:val="00473A87"/>
    <w:rsid w:val="0047494B"/>
    <w:rsid w:val="00476245"/>
    <w:rsid w:val="0047656E"/>
    <w:rsid w:val="00477A9B"/>
    <w:rsid w:val="004817E0"/>
    <w:rsid w:val="00481E1D"/>
    <w:rsid w:val="00483035"/>
    <w:rsid w:val="0048571E"/>
    <w:rsid w:val="00485940"/>
    <w:rsid w:val="00486AD4"/>
    <w:rsid w:val="00486C95"/>
    <w:rsid w:val="004877C2"/>
    <w:rsid w:val="004904B9"/>
    <w:rsid w:val="00491266"/>
    <w:rsid w:val="004936F0"/>
    <w:rsid w:val="00495F61"/>
    <w:rsid w:val="00496662"/>
    <w:rsid w:val="004A2484"/>
    <w:rsid w:val="004A502A"/>
    <w:rsid w:val="004A5A85"/>
    <w:rsid w:val="004A6A98"/>
    <w:rsid w:val="004A6AC6"/>
    <w:rsid w:val="004A71D1"/>
    <w:rsid w:val="004A7C5B"/>
    <w:rsid w:val="004B1845"/>
    <w:rsid w:val="004B2348"/>
    <w:rsid w:val="004B2BD2"/>
    <w:rsid w:val="004B2E01"/>
    <w:rsid w:val="004B2E98"/>
    <w:rsid w:val="004B3092"/>
    <w:rsid w:val="004B3F15"/>
    <w:rsid w:val="004B5640"/>
    <w:rsid w:val="004B6084"/>
    <w:rsid w:val="004B6093"/>
    <w:rsid w:val="004B768E"/>
    <w:rsid w:val="004B78EA"/>
    <w:rsid w:val="004BCF29"/>
    <w:rsid w:val="004C03D0"/>
    <w:rsid w:val="004C1BD7"/>
    <w:rsid w:val="004C239C"/>
    <w:rsid w:val="004C31FE"/>
    <w:rsid w:val="004C524C"/>
    <w:rsid w:val="004C55BA"/>
    <w:rsid w:val="004C5FFA"/>
    <w:rsid w:val="004C691D"/>
    <w:rsid w:val="004C6C07"/>
    <w:rsid w:val="004C76B3"/>
    <w:rsid w:val="004C7E15"/>
    <w:rsid w:val="004D2CD1"/>
    <w:rsid w:val="004D4FF6"/>
    <w:rsid w:val="004D5ADD"/>
    <w:rsid w:val="004E0B63"/>
    <w:rsid w:val="004E16AB"/>
    <w:rsid w:val="004E1B22"/>
    <w:rsid w:val="004E2122"/>
    <w:rsid w:val="004E2A41"/>
    <w:rsid w:val="004E3009"/>
    <w:rsid w:val="004E3F6F"/>
    <w:rsid w:val="004E692D"/>
    <w:rsid w:val="004E7230"/>
    <w:rsid w:val="004E7721"/>
    <w:rsid w:val="004E7D87"/>
    <w:rsid w:val="004F002E"/>
    <w:rsid w:val="004F2553"/>
    <w:rsid w:val="004F306A"/>
    <w:rsid w:val="004F5C3B"/>
    <w:rsid w:val="004F6160"/>
    <w:rsid w:val="00501400"/>
    <w:rsid w:val="00501554"/>
    <w:rsid w:val="00502AFE"/>
    <w:rsid w:val="00502B74"/>
    <w:rsid w:val="00502E64"/>
    <w:rsid w:val="00503134"/>
    <w:rsid w:val="00503AD7"/>
    <w:rsid w:val="00504E0C"/>
    <w:rsid w:val="00504E13"/>
    <w:rsid w:val="00510002"/>
    <w:rsid w:val="005109D4"/>
    <w:rsid w:val="00512142"/>
    <w:rsid w:val="00512422"/>
    <w:rsid w:val="005137FA"/>
    <w:rsid w:val="00513CE6"/>
    <w:rsid w:val="00514CD7"/>
    <w:rsid w:val="005167EC"/>
    <w:rsid w:val="005170DA"/>
    <w:rsid w:val="00520D6A"/>
    <w:rsid w:val="00521FF3"/>
    <w:rsid w:val="00522DB6"/>
    <w:rsid w:val="00524BBD"/>
    <w:rsid w:val="005264A7"/>
    <w:rsid w:val="0052792D"/>
    <w:rsid w:val="00527A99"/>
    <w:rsid w:val="00527F0D"/>
    <w:rsid w:val="005319B2"/>
    <w:rsid w:val="005322EB"/>
    <w:rsid w:val="00532402"/>
    <w:rsid w:val="00532C74"/>
    <w:rsid w:val="00534E2E"/>
    <w:rsid w:val="00537111"/>
    <w:rsid w:val="0054064C"/>
    <w:rsid w:val="00543B5B"/>
    <w:rsid w:val="00544552"/>
    <w:rsid w:val="00545130"/>
    <w:rsid w:val="0055277F"/>
    <w:rsid w:val="0055286A"/>
    <w:rsid w:val="0055485F"/>
    <w:rsid w:val="00555745"/>
    <w:rsid w:val="00557D4F"/>
    <w:rsid w:val="0056122E"/>
    <w:rsid w:val="00563B2B"/>
    <w:rsid w:val="0056484E"/>
    <w:rsid w:val="00567D8A"/>
    <w:rsid w:val="005708AE"/>
    <w:rsid w:val="00572E99"/>
    <w:rsid w:val="00573AB8"/>
    <w:rsid w:val="005764CD"/>
    <w:rsid w:val="00577C4D"/>
    <w:rsid w:val="00580532"/>
    <w:rsid w:val="00581932"/>
    <w:rsid w:val="00590F86"/>
    <w:rsid w:val="005963BB"/>
    <w:rsid w:val="005973FA"/>
    <w:rsid w:val="005A0B5C"/>
    <w:rsid w:val="005A1B1E"/>
    <w:rsid w:val="005A3173"/>
    <w:rsid w:val="005A3223"/>
    <w:rsid w:val="005A3796"/>
    <w:rsid w:val="005A3DA3"/>
    <w:rsid w:val="005A52C4"/>
    <w:rsid w:val="005A63A1"/>
    <w:rsid w:val="005A6D91"/>
    <w:rsid w:val="005A77EC"/>
    <w:rsid w:val="005B1740"/>
    <w:rsid w:val="005B38E7"/>
    <w:rsid w:val="005B6CAC"/>
    <w:rsid w:val="005C2265"/>
    <w:rsid w:val="005C44ED"/>
    <w:rsid w:val="005C4F73"/>
    <w:rsid w:val="005C5101"/>
    <w:rsid w:val="005C5307"/>
    <w:rsid w:val="005C5DF0"/>
    <w:rsid w:val="005C5E21"/>
    <w:rsid w:val="005D03AB"/>
    <w:rsid w:val="005D401D"/>
    <w:rsid w:val="005D5017"/>
    <w:rsid w:val="005D63FA"/>
    <w:rsid w:val="005D73C7"/>
    <w:rsid w:val="005E0C2D"/>
    <w:rsid w:val="005E0D82"/>
    <w:rsid w:val="005E1333"/>
    <w:rsid w:val="005E2548"/>
    <w:rsid w:val="005E3136"/>
    <w:rsid w:val="005E507D"/>
    <w:rsid w:val="005E7AF1"/>
    <w:rsid w:val="005F0AD0"/>
    <w:rsid w:val="005F4EF2"/>
    <w:rsid w:val="005F5C8A"/>
    <w:rsid w:val="0060110F"/>
    <w:rsid w:val="00601A91"/>
    <w:rsid w:val="00602BA3"/>
    <w:rsid w:val="0060364F"/>
    <w:rsid w:val="00603CD0"/>
    <w:rsid w:val="00605B63"/>
    <w:rsid w:val="00605F9A"/>
    <w:rsid w:val="00606442"/>
    <w:rsid w:val="00606EED"/>
    <w:rsid w:val="00611AD6"/>
    <w:rsid w:val="006128EC"/>
    <w:rsid w:val="00612A95"/>
    <w:rsid w:val="00612E34"/>
    <w:rsid w:val="00613C5F"/>
    <w:rsid w:val="00614159"/>
    <w:rsid w:val="006158A3"/>
    <w:rsid w:val="00615DDB"/>
    <w:rsid w:val="0061612E"/>
    <w:rsid w:val="00616C5F"/>
    <w:rsid w:val="00616DAC"/>
    <w:rsid w:val="00617725"/>
    <w:rsid w:val="00617C00"/>
    <w:rsid w:val="00625F75"/>
    <w:rsid w:val="006263BF"/>
    <w:rsid w:val="0062748A"/>
    <w:rsid w:val="00627C73"/>
    <w:rsid w:val="00627C7C"/>
    <w:rsid w:val="006309F1"/>
    <w:rsid w:val="00630A2C"/>
    <w:rsid w:val="00633018"/>
    <w:rsid w:val="0063682E"/>
    <w:rsid w:val="00640088"/>
    <w:rsid w:val="00642672"/>
    <w:rsid w:val="00642DA8"/>
    <w:rsid w:val="006436CD"/>
    <w:rsid w:val="00645369"/>
    <w:rsid w:val="0064668F"/>
    <w:rsid w:val="006502F4"/>
    <w:rsid w:val="00651169"/>
    <w:rsid w:val="00653D69"/>
    <w:rsid w:val="006552E6"/>
    <w:rsid w:val="0065560A"/>
    <w:rsid w:val="00655794"/>
    <w:rsid w:val="0065664F"/>
    <w:rsid w:val="00657C63"/>
    <w:rsid w:val="00661BF5"/>
    <w:rsid w:val="00661CBC"/>
    <w:rsid w:val="0066202B"/>
    <w:rsid w:val="0066212F"/>
    <w:rsid w:val="00662281"/>
    <w:rsid w:val="00662B85"/>
    <w:rsid w:val="00666C49"/>
    <w:rsid w:val="006670BE"/>
    <w:rsid w:val="00670A76"/>
    <w:rsid w:val="006711AA"/>
    <w:rsid w:val="00672B57"/>
    <w:rsid w:val="00673F1F"/>
    <w:rsid w:val="00675622"/>
    <w:rsid w:val="0067747D"/>
    <w:rsid w:val="00677FE8"/>
    <w:rsid w:val="006818D5"/>
    <w:rsid w:val="00681CA4"/>
    <w:rsid w:val="0068619E"/>
    <w:rsid w:val="00686C92"/>
    <w:rsid w:val="0069039D"/>
    <w:rsid w:val="006906DB"/>
    <w:rsid w:val="00691370"/>
    <w:rsid w:val="00691900"/>
    <w:rsid w:val="00691E6C"/>
    <w:rsid w:val="0069342D"/>
    <w:rsid w:val="00693DFB"/>
    <w:rsid w:val="00693EBC"/>
    <w:rsid w:val="006942CA"/>
    <w:rsid w:val="00694DB0"/>
    <w:rsid w:val="0069501D"/>
    <w:rsid w:val="00695501"/>
    <w:rsid w:val="00696129"/>
    <w:rsid w:val="00697083"/>
    <w:rsid w:val="00697CF2"/>
    <w:rsid w:val="006A12A5"/>
    <w:rsid w:val="006A2515"/>
    <w:rsid w:val="006A5E20"/>
    <w:rsid w:val="006A6900"/>
    <w:rsid w:val="006B0D94"/>
    <w:rsid w:val="006B485D"/>
    <w:rsid w:val="006B78C0"/>
    <w:rsid w:val="006C0C45"/>
    <w:rsid w:val="006C334C"/>
    <w:rsid w:val="006C5B33"/>
    <w:rsid w:val="006C6C10"/>
    <w:rsid w:val="006C708E"/>
    <w:rsid w:val="006D08D5"/>
    <w:rsid w:val="006D14E7"/>
    <w:rsid w:val="006D1751"/>
    <w:rsid w:val="006D2317"/>
    <w:rsid w:val="006D3348"/>
    <w:rsid w:val="006D4444"/>
    <w:rsid w:val="006D5017"/>
    <w:rsid w:val="006D6493"/>
    <w:rsid w:val="006D6EBC"/>
    <w:rsid w:val="006D6EC7"/>
    <w:rsid w:val="006E1BCD"/>
    <w:rsid w:val="006E2732"/>
    <w:rsid w:val="006E4F72"/>
    <w:rsid w:val="006E59CD"/>
    <w:rsid w:val="006F0A71"/>
    <w:rsid w:val="006F146E"/>
    <w:rsid w:val="006F40C2"/>
    <w:rsid w:val="006F5125"/>
    <w:rsid w:val="006F5FE8"/>
    <w:rsid w:val="006F728F"/>
    <w:rsid w:val="006F733D"/>
    <w:rsid w:val="007000A3"/>
    <w:rsid w:val="007005F8"/>
    <w:rsid w:val="007017CA"/>
    <w:rsid w:val="00702B6F"/>
    <w:rsid w:val="00704069"/>
    <w:rsid w:val="00706A2F"/>
    <w:rsid w:val="0070718E"/>
    <w:rsid w:val="00707E52"/>
    <w:rsid w:val="00710259"/>
    <w:rsid w:val="0071031F"/>
    <w:rsid w:val="0071333C"/>
    <w:rsid w:val="0071340B"/>
    <w:rsid w:val="0071436D"/>
    <w:rsid w:val="00715BBB"/>
    <w:rsid w:val="007172A5"/>
    <w:rsid w:val="007174BB"/>
    <w:rsid w:val="00717DE0"/>
    <w:rsid w:val="0072025D"/>
    <w:rsid w:val="00723328"/>
    <w:rsid w:val="00727013"/>
    <w:rsid w:val="0073137C"/>
    <w:rsid w:val="00732B55"/>
    <w:rsid w:val="007340B9"/>
    <w:rsid w:val="007353D3"/>
    <w:rsid w:val="0074156B"/>
    <w:rsid w:val="00741619"/>
    <w:rsid w:val="0074202A"/>
    <w:rsid w:val="00747092"/>
    <w:rsid w:val="007470C0"/>
    <w:rsid w:val="00751150"/>
    <w:rsid w:val="007526E6"/>
    <w:rsid w:val="00754DF9"/>
    <w:rsid w:val="00755220"/>
    <w:rsid w:val="007555E8"/>
    <w:rsid w:val="00755913"/>
    <w:rsid w:val="00755CC5"/>
    <w:rsid w:val="00763299"/>
    <w:rsid w:val="0076420C"/>
    <w:rsid w:val="0076527E"/>
    <w:rsid w:val="00766516"/>
    <w:rsid w:val="007673AB"/>
    <w:rsid w:val="00771D07"/>
    <w:rsid w:val="00771F5C"/>
    <w:rsid w:val="00773BE3"/>
    <w:rsid w:val="00773D9B"/>
    <w:rsid w:val="007740A8"/>
    <w:rsid w:val="007743DD"/>
    <w:rsid w:val="00774B2D"/>
    <w:rsid w:val="00774E2C"/>
    <w:rsid w:val="0077518D"/>
    <w:rsid w:val="007753C2"/>
    <w:rsid w:val="00777CE6"/>
    <w:rsid w:val="00780984"/>
    <w:rsid w:val="007838B8"/>
    <w:rsid w:val="007902F7"/>
    <w:rsid w:val="00790B33"/>
    <w:rsid w:val="007915BA"/>
    <w:rsid w:val="00791844"/>
    <w:rsid w:val="007949BD"/>
    <w:rsid w:val="00794EB5"/>
    <w:rsid w:val="00797559"/>
    <w:rsid w:val="007979BD"/>
    <w:rsid w:val="007A0A00"/>
    <w:rsid w:val="007A6A2F"/>
    <w:rsid w:val="007A7787"/>
    <w:rsid w:val="007B024E"/>
    <w:rsid w:val="007B3DDC"/>
    <w:rsid w:val="007B5836"/>
    <w:rsid w:val="007B72A6"/>
    <w:rsid w:val="007B77C8"/>
    <w:rsid w:val="007C06D2"/>
    <w:rsid w:val="007C08E0"/>
    <w:rsid w:val="007C0971"/>
    <w:rsid w:val="007C0E36"/>
    <w:rsid w:val="007C0F57"/>
    <w:rsid w:val="007C40B6"/>
    <w:rsid w:val="007C729F"/>
    <w:rsid w:val="007C7369"/>
    <w:rsid w:val="007D3748"/>
    <w:rsid w:val="007D503D"/>
    <w:rsid w:val="007D59E7"/>
    <w:rsid w:val="007D5F2A"/>
    <w:rsid w:val="007E1D28"/>
    <w:rsid w:val="007E2361"/>
    <w:rsid w:val="007E2CCE"/>
    <w:rsid w:val="007F0021"/>
    <w:rsid w:val="007F2641"/>
    <w:rsid w:val="007F32EE"/>
    <w:rsid w:val="007F5071"/>
    <w:rsid w:val="007F7C36"/>
    <w:rsid w:val="008055AF"/>
    <w:rsid w:val="008057CD"/>
    <w:rsid w:val="00806796"/>
    <w:rsid w:val="0080797F"/>
    <w:rsid w:val="00810167"/>
    <w:rsid w:val="00811CC0"/>
    <w:rsid w:val="008147AE"/>
    <w:rsid w:val="008151D6"/>
    <w:rsid w:val="008174A7"/>
    <w:rsid w:val="00821527"/>
    <w:rsid w:val="00822696"/>
    <w:rsid w:val="00825A6C"/>
    <w:rsid w:val="0082617E"/>
    <w:rsid w:val="008268BB"/>
    <w:rsid w:val="00826F6D"/>
    <w:rsid w:val="008306F3"/>
    <w:rsid w:val="00830E40"/>
    <w:rsid w:val="00832D9A"/>
    <w:rsid w:val="00834B22"/>
    <w:rsid w:val="00835C62"/>
    <w:rsid w:val="008368A1"/>
    <w:rsid w:val="00840EF7"/>
    <w:rsid w:val="00841D44"/>
    <w:rsid w:val="00844C0A"/>
    <w:rsid w:val="00846056"/>
    <w:rsid w:val="0084681F"/>
    <w:rsid w:val="0084748D"/>
    <w:rsid w:val="00847EC0"/>
    <w:rsid w:val="00850CE9"/>
    <w:rsid w:val="00852A9F"/>
    <w:rsid w:val="0085390A"/>
    <w:rsid w:val="00855BF2"/>
    <w:rsid w:val="00855FD6"/>
    <w:rsid w:val="0085653C"/>
    <w:rsid w:val="00856DDD"/>
    <w:rsid w:val="00857FC2"/>
    <w:rsid w:val="00863E68"/>
    <w:rsid w:val="008647B5"/>
    <w:rsid w:val="00867D64"/>
    <w:rsid w:val="008717F6"/>
    <w:rsid w:val="008745CD"/>
    <w:rsid w:val="00875DCB"/>
    <w:rsid w:val="0087755A"/>
    <w:rsid w:val="00881033"/>
    <w:rsid w:val="00882085"/>
    <w:rsid w:val="00883188"/>
    <w:rsid w:val="00884A0C"/>
    <w:rsid w:val="0088654A"/>
    <w:rsid w:val="00886ACA"/>
    <w:rsid w:val="0089031E"/>
    <w:rsid w:val="0089058E"/>
    <w:rsid w:val="0089460B"/>
    <w:rsid w:val="00897D58"/>
    <w:rsid w:val="00897F22"/>
    <w:rsid w:val="008A0B39"/>
    <w:rsid w:val="008A111E"/>
    <w:rsid w:val="008A17A3"/>
    <w:rsid w:val="008A1956"/>
    <w:rsid w:val="008A1E85"/>
    <w:rsid w:val="008A2419"/>
    <w:rsid w:val="008A3142"/>
    <w:rsid w:val="008A4937"/>
    <w:rsid w:val="008A50F1"/>
    <w:rsid w:val="008A53EC"/>
    <w:rsid w:val="008A59D9"/>
    <w:rsid w:val="008A643E"/>
    <w:rsid w:val="008A6819"/>
    <w:rsid w:val="008A6864"/>
    <w:rsid w:val="008A7889"/>
    <w:rsid w:val="008B2EC0"/>
    <w:rsid w:val="008B6DCF"/>
    <w:rsid w:val="008C35CD"/>
    <w:rsid w:val="008C7718"/>
    <w:rsid w:val="008D0945"/>
    <w:rsid w:val="008D108E"/>
    <w:rsid w:val="008D1409"/>
    <w:rsid w:val="008D15CC"/>
    <w:rsid w:val="008D1729"/>
    <w:rsid w:val="008D1B5C"/>
    <w:rsid w:val="008D3C82"/>
    <w:rsid w:val="008D447E"/>
    <w:rsid w:val="008D6ACF"/>
    <w:rsid w:val="008D7104"/>
    <w:rsid w:val="008D7A41"/>
    <w:rsid w:val="008E0570"/>
    <w:rsid w:val="008E2C72"/>
    <w:rsid w:val="008E3680"/>
    <w:rsid w:val="008E45EC"/>
    <w:rsid w:val="008E5454"/>
    <w:rsid w:val="008E5870"/>
    <w:rsid w:val="008E77E4"/>
    <w:rsid w:val="008F0213"/>
    <w:rsid w:val="008F07ED"/>
    <w:rsid w:val="008F0C4B"/>
    <w:rsid w:val="008F11F8"/>
    <w:rsid w:val="008F1434"/>
    <w:rsid w:val="008F2BB9"/>
    <w:rsid w:val="008F3D6A"/>
    <w:rsid w:val="008F406D"/>
    <w:rsid w:val="008F54C3"/>
    <w:rsid w:val="008F7355"/>
    <w:rsid w:val="00901938"/>
    <w:rsid w:val="009022E3"/>
    <w:rsid w:val="009023DC"/>
    <w:rsid w:val="009027C5"/>
    <w:rsid w:val="00904413"/>
    <w:rsid w:val="009053A2"/>
    <w:rsid w:val="00905BB7"/>
    <w:rsid w:val="009067B7"/>
    <w:rsid w:val="0090775A"/>
    <w:rsid w:val="00907DFD"/>
    <w:rsid w:val="0091348F"/>
    <w:rsid w:val="00916E04"/>
    <w:rsid w:val="00917D69"/>
    <w:rsid w:val="00920B6D"/>
    <w:rsid w:val="00921533"/>
    <w:rsid w:val="00923955"/>
    <w:rsid w:val="00926560"/>
    <w:rsid w:val="00926B15"/>
    <w:rsid w:val="0092794D"/>
    <w:rsid w:val="00930291"/>
    <w:rsid w:val="00930937"/>
    <w:rsid w:val="009324A6"/>
    <w:rsid w:val="00933E6C"/>
    <w:rsid w:val="00935356"/>
    <w:rsid w:val="00935A6E"/>
    <w:rsid w:val="00937958"/>
    <w:rsid w:val="009406E5"/>
    <w:rsid w:val="00941602"/>
    <w:rsid w:val="00942160"/>
    <w:rsid w:val="00946921"/>
    <w:rsid w:val="0095146F"/>
    <w:rsid w:val="00952370"/>
    <w:rsid w:val="00952854"/>
    <w:rsid w:val="009528D2"/>
    <w:rsid w:val="009555BD"/>
    <w:rsid w:val="00957944"/>
    <w:rsid w:val="00957D82"/>
    <w:rsid w:val="009602C5"/>
    <w:rsid w:val="00962223"/>
    <w:rsid w:val="0096252B"/>
    <w:rsid w:val="00966D0D"/>
    <w:rsid w:val="00967732"/>
    <w:rsid w:val="0096783C"/>
    <w:rsid w:val="00967908"/>
    <w:rsid w:val="009722B3"/>
    <w:rsid w:val="00973E24"/>
    <w:rsid w:val="00974C21"/>
    <w:rsid w:val="009755A1"/>
    <w:rsid w:val="00975948"/>
    <w:rsid w:val="00977BF3"/>
    <w:rsid w:val="00977E07"/>
    <w:rsid w:val="009803AC"/>
    <w:rsid w:val="009803E4"/>
    <w:rsid w:val="00980B0E"/>
    <w:rsid w:val="009836A3"/>
    <w:rsid w:val="009855A8"/>
    <w:rsid w:val="00985D1A"/>
    <w:rsid w:val="009860CA"/>
    <w:rsid w:val="009863D8"/>
    <w:rsid w:val="009913F4"/>
    <w:rsid w:val="00991782"/>
    <w:rsid w:val="00991948"/>
    <w:rsid w:val="009937F7"/>
    <w:rsid w:val="0099465B"/>
    <w:rsid w:val="009951A1"/>
    <w:rsid w:val="00997A44"/>
    <w:rsid w:val="009A0CDD"/>
    <w:rsid w:val="009A2A3D"/>
    <w:rsid w:val="009A3168"/>
    <w:rsid w:val="009A4199"/>
    <w:rsid w:val="009A4646"/>
    <w:rsid w:val="009A5D04"/>
    <w:rsid w:val="009A61CA"/>
    <w:rsid w:val="009A7223"/>
    <w:rsid w:val="009B0C64"/>
    <w:rsid w:val="009B0F67"/>
    <w:rsid w:val="009B3F8C"/>
    <w:rsid w:val="009B750F"/>
    <w:rsid w:val="009B7D8A"/>
    <w:rsid w:val="009C0EAF"/>
    <w:rsid w:val="009C1874"/>
    <w:rsid w:val="009C2357"/>
    <w:rsid w:val="009C5B72"/>
    <w:rsid w:val="009C703C"/>
    <w:rsid w:val="009D206E"/>
    <w:rsid w:val="009D2AEF"/>
    <w:rsid w:val="009D3CAA"/>
    <w:rsid w:val="009D3E13"/>
    <w:rsid w:val="009D505E"/>
    <w:rsid w:val="009D55E2"/>
    <w:rsid w:val="009D565C"/>
    <w:rsid w:val="009D6532"/>
    <w:rsid w:val="009D71FD"/>
    <w:rsid w:val="009E2378"/>
    <w:rsid w:val="009E2588"/>
    <w:rsid w:val="009E2E8E"/>
    <w:rsid w:val="009E2F63"/>
    <w:rsid w:val="009E3E54"/>
    <w:rsid w:val="009E40E1"/>
    <w:rsid w:val="009F0EFA"/>
    <w:rsid w:val="009F4E46"/>
    <w:rsid w:val="009F5B65"/>
    <w:rsid w:val="009F5F2E"/>
    <w:rsid w:val="00A01432"/>
    <w:rsid w:val="00A04FC9"/>
    <w:rsid w:val="00A06225"/>
    <w:rsid w:val="00A0658C"/>
    <w:rsid w:val="00A07C4C"/>
    <w:rsid w:val="00A110D1"/>
    <w:rsid w:val="00A12587"/>
    <w:rsid w:val="00A128E6"/>
    <w:rsid w:val="00A1369B"/>
    <w:rsid w:val="00A144D3"/>
    <w:rsid w:val="00A2261C"/>
    <w:rsid w:val="00A22AC3"/>
    <w:rsid w:val="00A23F3F"/>
    <w:rsid w:val="00A24067"/>
    <w:rsid w:val="00A24A4B"/>
    <w:rsid w:val="00A2631E"/>
    <w:rsid w:val="00A2744D"/>
    <w:rsid w:val="00A30D16"/>
    <w:rsid w:val="00A314DE"/>
    <w:rsid w:val="00A34E6C"/>
    <w:rsid w:val="00A34FD0"/>
    <w:rsid w:val="00A36398"/>
    <w:rsid w:val="00A36774"/>
    <w:rsid w:val="00A37C8D"/>
    <w:rsid w:val="00A4020E"/>
    <w:rsid w:val="00A40FB5"/>
    <w:rsid w:val="00A42826"/>
    <w:rsid w:val="00A429B3"/>
    <w:rsid w:val="00A44EC1"/>
    <w:rsid w:val="00A510E4"/>
    <w:rsid w:val="00A5273B"/>
    <w:rsid w:val="00A52898"/>
    <w:rsid w:val="00A53A9D"/>
    <w:rsid w:val="00A55FEE"/>
    <w:rsid w:val="00A57422"/>
    <w:rsid w:val="00A61014"/>
    <w:rsid w:val="00A62C1A"/>
    <w:rsid w:val="00A6426D"/>
    <w:rsid w:val="00A665C1"/>
    <w:rsid w:val="00A673A4"/>
    <w:rsid w:val="00A7001A"/>
    <w:rsid w:val="00A70622"/>
    <w:rsid w:val="00A70977"/>
    <w:rsid w:val="00A70D58"/>
    <w:rsid w:val="00A715BE"/>
    <w:rsid w:val="00A7402E"/>
    <w:rsid w:val="00A744F9"/>
    <w:rsid w:val="00A77613"/>
    <w:rsid w:val="00A77B87"/>
    <w:rsid w:val="00A81851"/>
    <w:rsid w:val="00A8390C"/>
    <w:rsid w:val="00A86AE0"/>
    <w:rsid w:val="00A91362"/>
    <w:rsid w:val="00A9151C"/>
    <w:rsid w:val="00A919C6"/>
    <w:rsid w:val="00A926DA"/>
    <w:rsid w:val="00A928BD"/>
    <w:rsid w:val="00A97DE9"/>
    <w:rsid w:val="00A97DF7"/>
    <w:rsid w:val="00AA12CD"/>
    <w:rsid w:val="00AA4D1C"/>
    <w:rsid w:val="00AA52FD"/>
    <w:rsid w:val="00AA5CEA"/>
    <w:rsid w:val="00AA6D62"/>
    <w:rsid w:val="00AA7006"/>
    <w:rsid w:val="00AB052E"/>
    <w:rsid w:val="00AB0EEE"/>
    <w:rsid w:val="00AB4783"/>
    <w:rsid w:val="00AB5856"/>
    <w:rsid w:val="00AB6234"/>
    <w:rsid w:val="00AC193C"/>
    <w:rsid w:val="00AC30C1"/>
    <w:rsid w:val="00AC4661"/>
    <w:rsid w:val="00AC4DE5"/>
    <w:rsid w:val="00AC5206"/>
    <w:rsid w:val="00AD3106"/>
    <w:rsid w:val="00AD4322"/>
    <w:rsid w:val="00AD5722"/>
    <w:rsid w:val="00AD57E5"/>
    <w:rsid w:val="00AE11A5"/>
    <w:rsid w:val="00AE13E2"/>
    <w:rsid w:val="00AE22D3"/>
    <w:rsid w:val="00AE334A"/>
    <w:rsid w:val="00AE5972"/>
    <w:rsid w:val="00AE5A49"/>
    <w:rsid w:val="00AE5D68"/>
    <w:rsid w:val="00AF11D8"/>
    <w:rsid w:val="00AF5867"/>
    <w:rsid w:val="00AF62DF"/>
    <w:rsid w:val="00AF68CC"/>
    <w:rsid w:val="00AF70D7"/>
    <w:rsid w:val="00B01FF4"/>
    <w:rsid w:val="00B02202"/>
    <w:rsid w:val="00B0261D"/>
    <w:rsid w:val="00B02726"/>
    <w:rsid w:val="00B0326D"/>
    <w:rsid w:val="00B06478"/>
    <w:rsid w:val="00B07533"/>
    <w:rsid w:val="00B07CFB"/>
    <w:rsid w:val="00B1059E"/>
    <w:rsid w:val="00B13B0D"/>
    <w:rsid w:val="00B14A36"/>
    <w:rsid w:val="00B16273"/>
    <w:rsid w:val="00B170A5"/>
    <w:rsid w:val="00B176C8"/>
    <w:rsid w:val="00B17EE5"/>
    <w:rsid w:val="00B205AA"/>
    <w:rsid w:val="00B22E84"/>
    <w:rsid w:val="00B233AD"/>
    <w:rsid w:val="00B23E25"/>
    <w:rsid w:val="00B245AE"/>
    <w:rsid w:val="00B246AA"/>
    <w:rsid w:val="00B25C79"/>
    <w:rsid w:val="00B25F75"/>
    <w:rsid w:val="00B26B3F"/>
    <w:rsid w:val="00B2778F"/>
    <w:rsid w:val="00B2799B"/>
    <w:rsid w:val="00B327E2"/>
    <w:rsid w:val="00B32BE5"/>
    <w:rsid w:val="00B33635"/>
    <w:rsid w:val="00B35648"/>
    <w:rsid w:val="00B36653"/>
    <w:rsid w:val="00B40811"/>
    <w:rsid w:val="00B42AF4"/>
    <w:rsid w:val="00B43E90"/>
    <w:rsid w:val="00B467DC"/>
    <w:rsid w:val="00B50CAB"/>
    <w:rsid w:val="00B50EB2"/>
    <w:rsid w:val="00B52AA2"/>
    <w:rsid w:val="00B53094"/>
    <w:rsid w:val="00B5392A"/>
    <w:rsid w:val="00B56118"/>
    <w:rsid w:val="00B566E1"/>
    <w:rsid w:val="00B61753"/>
    <w:rsid w:val="00B6773F"/>
    <w:rsid w:val="00B678BC"/>
    <w:rsid w:val="00B702B6"/>
    <w:rsid w:val="00B70D6E"/>
    <w:rsid w:val="00B70EB3"/>
    <w:rsid w:val="00B7286D"/>
    <w:rsid w:val="00B72906"/>
    <w:rsid w:val="00B7525E"/>
    <w:rsid w:val="00B760FB"/>
    <w:rsid w:val="00B767AB"/>
    <w:rsid w:val="00B801BA"/>
    <w:rsid w:val="00B812D6"/>
    <w:rsid w:val="00B8244F"/>
    <w:rsid w:val="00B84D5C"/>
    <w:rsid w:val="00B85AF6"/>
    <w:rsid w:val="00B94FAD"/>
    <w:rsid w:val="00B9554A"/>
    <w:rsid w:val="00B956ED"/>
    <w:rsid w:val="00B97407"/>
    <w:rsid w:val="00BA2DA8"/>
    <w:rsid w:val="00BA347C"/>
    <w:rsid w:val="00BA6DF1"/>
    <w:rsid w:val="00BA7641"/>
    <w:rsid w:val="00BB3469"/>
    <w:rsid w:val="00BB3F8F"/>
    <w:rsid w:val="00BB45E5"/>
    <w:rsid w:val="00BB5C49"/>
    <w:rsid w:val="00BB6240"/>
    <w:rsid w:val="00BB6285"/>
    <w:rsid w:val="00BB69F5"/>
    <w:rsid w:val="00BB7EC3"/>
    <w:rsid w:val="00BC241A"/>
    <w:rsid w:val="00BC3AD4"/>
    <w:rsid w:val="00BC470E"/>
    <w:rsid w:val="00BC4B9A"/>
    <w:rsid w:val="00BC5D35"/>
    <w:rsid w:val="00BC5F4F"/>
    <w:rsid w:val="00BD02C3"/>
    <w:rsid w:val="00BD1F0B"/>
    <w:rsid w:val="00BD376E"/>
    <w:rsid w:val="00BD3E47"/>
    <w:rsid w:val="00BD448E"/>
    <w:rsid w:val="00BD7483"/>
    <w:rsid w:val="00BD784C"/>
    <w:rsid w:val="00BD79CE"/>
    <w:rsid w:val="00BE020A"/>
    <w:rsid w:val="00BE13DF"/>
    <w:rsid w:val="00BE25D7"/>
    <w:rsid w:val="00BE3B0F"/>
    <w:rsid w:val="00BF092C"/>
    <w:rsid w:val="00BF219B"/>
    <w:rsid w:val="00BF27A0"/>
    <w:rsid w:val="00BF4CB6"/>
    <w:rsid w:val="00C00DA7"/>
    <w:rsid w:val="00C04AE8"/>
    <w:rsid w:val="00C04CDE"/>
    <w:rsid w:val="00C068A6"/>
    <w:rsid w:val="00C12768"/>
    <w:rsid w:val="00C12D70"/>
    <w:rsid w:val="00C13DDC"/>
    <w:rsid w:val="00C15A69"/>
    <w:rsid w:val="00C16724"/>
    <w:rsid w:val="00C21B09"/>
    <w:rsid w:val="00C2673A"/>
    <w:rsid w:val="00C272E4"/>
    <w:rsid w:val="00C277F5"/>
    <w:rsid w:val="00C27B58"/>
    <w:rsid w:val="00C33186"/>
    <w:rsid w:val="00C34897"/>
    <w:rsid w:val="00C35256"/>
    <w:rsid w:val="00C35996"/>
    <w:rsid w:val="00C35B1B"/>
    <w:rsid w:val="00C4747E"/>
    <w:rsid w:val="00C5151E"/>
    <w:rsid w:val="00C5342C"/>
    <w:rsid w:val="00C53B2B"/>
    <w:rsid w:val="00C57465"/>
    <w:rsid w:val="00C60272"/>
    <w:rsid w:val="00C603D4"/>
    <w:rsid w:val="00C6256A"/>
    <w:rsid w:val="00C64EBC"/>
    <w:rsid w:val="00C664D2"/>
    <w:rsid w:val="00C710E2"/>
    <w:rsid w:val="00C71C3F"/>
    <w:rsid w:val="00C71CC9"/>
    <w:rsid w:val="00C7409E"/>
    <w:rsid w:val="00C74D6D"/>
    <w:rsid w:val="00C76598"/>
    <w:rsid w:val="00C76657"/>
    <w:rsid w:val="00C76E76"/>
    <w:rsid w:val="00C77891"/>
    <w:rsid w:val="00C829A9"/>
    <w:rsid w:val="00C847C8"/>
    <w:rsid w:val="00C84DCF"/>
    <w:rsid w:val="00C87068"/>
    <w:rsid w:val="00C87B80"/>
    <w:rsid w:val="00C87FC6"/>
    <w:rsid w:val="00C91449"/>
    <w:rsid w:val="00C92D10"/>
    <w:rsid w:val="00C939E8"/>
    <w:rsid w:val="00C93DD9"/>
    <w:rsid w:val="00C96A05"/>
    <w:rsid w:val="00CA48D9"/>
    <w:rsid w:val="00CA615F"/>
    <w:rsid w:val="00CB1193"/>
    <w:rsid w:val="00CB33D5"/>
    <w:rsid w:val="00CB4767"/>
    <w:rsid w:val="00CB493D"/>
    <w:rsid w:val="00CB4CCF"/>
    <w:rsid w:val="00CB6990"/>
    <w:rsid w:val="00CB71E1"/>
    <w:rsid w:val="00CC06DC"/>
    <w:rsid w:val="00CC3B97"/>
    <w:rsid w:val="00CC3CA3"/>
    <w:rsid w:val="00CD0AC7"/>
    <w:rsid w:val="00CD7C0B"/>
    <w:rsid w:val="00CE10C4"/>
    <w:rsid w:val="00CE27B5"/>
    <w:rsid w:val="00CE41DC"/>
    <w:rsid w:val="00CE6DAF"/>
    <w:rsid w:val="00CE79F7"/>
    <w:rsid w:val="00CF066B"/>
    <w:rsid w:val="00CF410A"/>
    <w:rsid w:val="00D0321E"/>
    <w:rsid w:val="00D069EB"/>
    <w:rsid w:val="00D07A8A"/>
    <w:rsid w:val="00D10B6D"/>
    <w:rsid w:val="00D11199"/>
    <w:rsid w:val="00D1455A"/>
    <w:rsid w:val="00D14A70"/>
    <w:rsid w:val="00D15D14"/>
    <w:rsid w:val="00D16F18"/>
    <w:rsid w:val="00D22093"/>
    <w:rsid w:val="00D264FD"/>
    <w:rsid w:val="00D30CE6"/>
    <w:rsid w:val="00D31150"/>
    <w:rsid w:val="00D3138B"/>
    <w:rsid w:val="00D31B27"/>
    <w:rsid w:val="00D31FCE"/>
    <w:rsid w:val="00D3280C"/>
    <w:rsid w:val="00D3297F"/>
    <w:rsid w:val="00D34011"/>
    <w:rsid w:val="00D3406A"/>
    <w:rsid w:val="00D40B11"/>
    <w:rsid w:val="00D429EC"/>
    <w:rsid w:val="00D4358F"/>
    <w:rsid w:val="00D43F05"/>
    <w:rsid w:val="00D43F7E"/>
    <w:rsid w:val="00D441F1"/>
    <w:rsid w:val="00D44A15"/>
    <w:rsid w:val="00D44F0B"/>
    <w:rsid w:val="00D44FBE"/>
    <w:rsid w:val="00D4572C"/>
    <w:rsid w:val="00D469B2"/>
    <w:rsid w:val="00D5099C"/>
    <w:rsid w:val="00D51350"/>
    <w:rsid w:val="00D52BAC"/>
    <w:rsid w:val="00D54B09"/>
    <w:rsid w:val="00D54E77"/>
    <w:rsid w:val="00D5564B"/>
    <w:rsid w:val="00D56B05"/>
    <w:rsid w:val="00D60CBD"/>
    <w:rsid w:val="00D6243E"/>
    <w:rsid w:val="00D63E15"/>
    <w:rsid w:val="00D64B5A"/>
    <w:rsid w:val="00D65658"/>
    <w:rsid w:val="00D67CF5"/>
    <w:rsid w:val="00D67EB2"/>
    <w:rsid w:val="00D72B6F"/>
    <w:rsid w:val="00D73C9E"/>
    <w:rsid w:val="00D741EB"/>
    <w:rsid w:val="00D7679C"/>
    <w:rsid w:val="00D820F3"/>
    <w:rsid w:val="00D83605"/>
    <w:rsid w:val="00D84934"/>
    <w:rsid w:val="00D866EB"/>
    <w:rsid w:val="00D87D1A"/>
    <w:rsid w:val="00D905AA"/>
    <w:rsid w:val="00D90C10"/>
    <w:rsid w:val="00D91271"/>
    <w:rsid w:val="00D919F5"/>
    <w:rsid w:val="00D94140"/>
    <w:rsid w:val="00D945F6"/>
    <w:rsid w:val="00D94F03"/>
    <w:rsid w:val="00D95161"/>
    <w:rsid w:val="00D97556"/>
    <w:rsid w:val="00DA0A82"/>
    <w:rsid w:val="00DA0D14"/>
    <w:rsid w:val="00DA1FC9"/>
    <w:rsid w:val="00DA2CB5"/>
    <w:rsid w:val="00DA48AB"/>
    <w:rsid w:val="00DA4BAC"/>
    <w:rsid w:val="00DB0151"/>
    <w:rsid w:val="00DB50E1"/>
    <w:rsid w:val="00DB5EE1"/>
    <w:rsid w:val="00DC0566"/>
    <w:rsid w:val="00DC1499"/>
    <w:rsid w:val="00DC2C3E"/>
    <w:rsid w:val="00DC3137"/>
    <w:rsid w:val="00DC4513"/>
    <w:rsid w:val="00DC4880"/>
    <w:rsid w:val="00DD0546"/>
    <w:rsid w:val="00DD1913"/>
    <w:rsid w:val="00DD42AB"/>
    <w:rsid w:val="00DE06AF"/>
    <w:rsid w:val="00DE23AC"/>
    <w:rsid w:val="00DE6D27"/>
    <w:rsid w:val="00DF01F8"/>
    <w:rsid w:val="00DF021D"/>
    <w:rsid w:val="00DF0E57"/>
    <w:rsid w:val="00DF217D"/>
    <w:rsid w:val="00DF26A7"/>
    <w:rsid w:val="00DF28D3"/>
    <w:rsid w:val="00DF3277"/>
    <w:rsid w:val="00DF4FCD"/>
    <w:rsid w:val="00DF6E55"/>
    <w:rsid w:val="00DF6F5F"/>
    <w:rsid w:val="00DF77A1"/>
    <w:rsid w:val="00DF7919"/>
    <w:rsid w:val="00E0207E"/>
    <w:rsid w:val="00E02AE6"/>
    <w:rsid w:val="00E03716"/>
    <w:rsid w:val="00E03912"/>
    <w:rsid w:val="00E04748"/>
    <w:rsid w:val="00E06B81"/>
    <w:rsid w:val="00E078D9"/>
    <w:rsid w:val="00E10293"/>
    <w:rsid w:val="00E103A0"/>
    <w:rsid w:val="00E13543"/>
    <w:rsid w:val="00E13E60"/>
    <w:rsid w:val="00E13EA9"/>
    <w:rsid w:val="00E14EC8"/>
    <w:rsid w:val="00E15627"/>
    <w:rsid w:val="00E164B3"/>
    <w:rsid w:val="00E16910"/>
    <w:rsid w:val="00E16C00"/>
    <w:rsid w:val="00E22673"/>
    <w:rsid w:val="00E239E2"/>
    <w:rsid w:val="00E24E09"/>
    <w:rsid w:val="00E27234"/>
    <w:rsid w:val="00E3495C"/>
    <w:rsid w:val="00E42BDB"/>
    <w:rsid w:val="00E44F93"/>
    <w:rsid w:val="00E476F0"/>
    <w:rsid w:val="00E5726D"/>
    <w:rsid w:val="00E57C3B"/>
    <w:rsid w:val="00E57EEB"/>
    <w:rsid w:val="00E60EB7"/>
    <w:rsid w:val="00E62D94"/>
    <w:rsid w:val="00E64F37"/>
    <w:rsid w:val="00E65091"/>
    <w:rsid w:val="00E65E54"/>
    <w:rsid w:val="00E661C7"/>
    <w:rsid w:val="00E74E41"/>
    <w:rsid w:val="00E77ED5"/>
    <w:rsid w:val="00E80155"/>
    <w:rsid w:val="00E80A4E"/>
    <w:rsid w:val="00E80AE8"/>
    <w:rsid w:val="00E8134B"/>
    <w:rsid w:val="00E81E0D"/>
    <w:rsid w:val="00E81F28"/>
    <w:rsid w:val="00E834E5"/>
    <w:rsid w:val="00E83CE8"/>
    <w:rsid w:val="00E848C0"/>
    <w:rsid w:val="00E91B96"/>
    <w:rsid w:val="00E935DA"/>
    <w:rsid w:val="00E93D1E"/>
    <w:rsid w:val="00E93EEB"/>
    <w:rsid w:val="00E941A1"/>
    <w:rsid w:val="00E95CE3"/>
    <w:rsid w:val="00E97A7E"/>
    <w:rsid w:val="00EA0856"/>
    <w:rsid w:val="00EA252F"/>
    <w:rsid w:val="00EA2825"/>
    <w:rsid w:val="00EA6444"/>
    <w:rsid w:val="00EA6518"/>
    <w:rsid w:val="00EA6599"/>
    <w:rsid w:val="00EA71A2"/>
    <w:rsid w:val="00EA7466"/>
    <w:rsid w:val="00EA7EDE"/>
    <w:rsid w:val="00EB06F6"/>
    <w:rsid w:val="00EB0B63"/>
    <w:rsid w:val="00EB1442"/>
    <w:rsid w:val="00EB1936"/>
    <w:rsid w:val="00EB22B0"/>
    <w:rsid w:val="00EB265C"/>
    <w:rsid w:val="00EB3545"/>
    <w:rsid w:val="00EB3583"/>
    <w:rsid w:val="00EB37BE"/>
    <w:rsid w:val="00EB5088"/>
    <w:rsid w:val="00EB6912"/>
    <w:rsid w:val="00EB7878"/>
    <w:rsid w:val="00EC03D2"/>
    <w:rsid w:val="00EC135B"/>
    <w:rsid w:val="00EC2726"/>
    <w:rsid w:val="00EC6BC4"/>
    <w:rsid w:val="00ED1644"/>
    <w:rsid w:val="00ED2593"/>
    <w:rsid w:val="00ED79A6"/>
    <w:rsid w:val="00ED7D55"/>
    <w:rsid w:val="00ED7D9C"/>
    <w:rsid w:val="00EE031D"/>
    <w:rsid w:val="00EE1176"/>
    <w:rsid w:val="00EE31A2"/>
    <w:rsid w:val="00EE328C"/>
    <w:rsid w:val="00EE5E51"/>
    <w:rsid w:val="00EF0069"/>
    <w:rsid w:val="00EF44A0"/>
    <w:rsid w:val="00EF4580"/>
    <w:rsid w:val="00EF4FED"/>
    <w:rsid w:val="00EF5F45"/>
    <w:rsid w:val="00EF6843"/>
    <w:rsid w:val="00EF6FB3"/>
    <w:rsid w:val="00F007C6"/>
    <w:rsid w:val="00F0172E"/>
    <w:rsid w:val="00F04D98"/>
    <w:rsid w:val="00F04E72"/>
    <w:rsid w:val="00F050BD"/>
    <w:rsid w:val="00F05657"/>
    <w:rsid w:val="00F05AB0"/>
    <w:rsid w:val="00F061C0"/>
    <w:rsid w:val="00F06B75"/>
    <w:rsid w:val="00F102EE"/>
    <w:rsid w:val="00F1559A"/>
    <w:rsid w:val="00F17ED6"/>
    <w:rsid w:val="00F20676"/>
    <w:rsid w:val="00F209E2"/>
    <w:rsid w:val="00F25578"/>
    <w:rsid w:val="00F258E5"/>
    <w:rsid w:val="00F25B9C"/>
    <w:rsid w:val="00F265BA"/>
    <w:rsid w:val="00F2675A"/>
    <w:rsid w:val="00F26B99"/>
    <w:rsid w:val="00F26CC6"/>
    <w:rsid w:val="00F300BC"/>
    <w:rsid w:val="00F32525"/>
    <w:rsid w:val="00F3263C"/>
    <w:rsid w:val="00F3334E"/>
    <w:rsid w:val="00F36CCB"/>
    <w:rsid w:val="00F374E5"/>
    <w:rsid w:val="00F37B93"/>
    <w:rsid w:val="00F37BAD"/>
    <w:rsid w:val="00F37ECA"/>
    <w:rsid w:val="00F40A1C"/>
    <w:rsid w:val="00F41E8E"/>
    <w:rsid w:val="00F43AF2"/>
    <w:rsid w:val="00F445FC"/>
    <w:rsid w:val="00F45216"/>
    <w:rsid w:val="00F5007E"/>
    <w:rsid w:val="00F50EC4"/>
    <w:rsid w:val="00F52232"/>
    <w:rsid w:val="00F52DC2"/>
    <w:rsid w:val="00F53E49"/>
    <w:rsid w:val="00F550CF"/>
    <w:rsid w:val="00F553D2"/>
    <w:rsid w:val="00F57A6D"/>
    <w:rsid w:val="00F62F19"/>
    <w:rsid w:val="00F638CC"/>
    <w:rsid w:val="00F64247"/>
    <w:rsid w:val="00F64C9E"/>
    <w:rsid w:val="00F64CC1"/>
    <w:rsid w:val="00F64E08"/>
    <w:rsid w:val="00F66B47"/>
    <w:rsid w:val="00F720E0"/>
    <w:rsid w:val="00F72317"/>
    <w:rsid w:val="00F737B9"/>
    <w:rsid w:val="00F73DC1"/>
    <w:rsid w:val="00F7499A"/>
    <w:rsid w:val="00F75BB8"/>
    <w:rsid w:val="00F80475"/>
    <w:rsid w:val="00F81390"/>
    <w:rsid w:val="00F81F7A"/>
    <w:rsid w:val="00F8247A"/>
    <w:rsid w:val="00F82E5C"/>
    <w:rsid w:val="00F8362A"/>
    <w:rsid w:val="00F83F58"/>
    <w:rsid w:val="00F84637"/>
    <w:rsid w:val="00F87CEA"/>
    <w:rsid w:val="00F87DEF"/>
    <w:rsid w:val="00F900BB"/>
    <w:rsid w:val="00F90934"/>
    <w:rsid w:val="00F92F97"/>
    <w:rsid w:val="00F92FE5"/>
    <w:rsid w:val="00F95878"/>
    <w:rsid w:val="00F9629A"/>
    <w:rsid w:val="00F97EFC"/>
    <w:rsid w:val="00FA0C7C"/>
    <w:rsid w:val="00FA1BDD"/>
    <w:rsid w:val="00FA305C"/>
    <w:rsid w:val="00FA3921"/>
    <w:rsid w:val="00FA3C24"/>
    <w:rsid w:val="00FA462E"/>
    <w:rsid w:val="00FA4DD5"/>
    <w:rsid w:val="00FA50CD"/>
    <w:rsid w:val="00FA5883"/>
    <w:rsid w:val="00FA6055"/>
    <w:rsid w:val="00FA6562"/>
    <w:rsid w:val="00FB0B39"/>
    <w:rsid w:val="00FB2125"/>
    <w:rsid w:val="00FB322F"/>
    <w:rsid w:val="00FB3B52"/>
    <w:rsid w:val="00FB442F"/>
    <w:rsid w:val="00FC118C"/>
    <w:rsid w:val="00FC1929"/>
    <w:rsid w:val="00FC53C1"/>
    <w:rsid w:val="00FC5B46"/>
    <w:rsid w:val="00FD1D4F"/>
    <w:rsid w:val="00FD24BF"/>
    <w:rsid w:val="00FD25CA"/>
    <w:rsid w:val="00FD377A"/>
    <w:rsid w:val="00FD3A51"/>
    <w:rsid w:val="00FD3B6E"/>
    <w:rsid w:val="00FD480F"/>
    <w:rsid w:val="00FD56FD"/>
    <w:rsid w:val="00FD57EB"/>
    <w:rsid w:val="00FD6D8E"/>
    <w:rsid w:val="00FD716F"/>
    <w:rsid w:val="00FE0663"/>
    <w:rsid w:val="00FE0E94"/>
    <w:rsid w:val="00FE369C"/>
    <w:rsid w:val="00FE3CD9"/>
    <w:rsid w:val="00FE4E68"/>
    <w:rsid w:val="00FF00BD"/>
    <w:rsid w:val="00FF0B13"/>
    <w:rsid w:val="00FF1ED4"/>
    <w:rsid w:val="00FF2801"/>
    <w:rsid w:val="00FF552A"/>
    <w:rsid w:val="012A7082"/>
    <w:rsid w:val="0143FC8B"/>
    <w:rsid w:val="0175919D"/>
    <w:rsid w:val="01BAC867"/>
    <w:rsid w:val="0254441C"/>
    <w:rsid w:val="02E816C3"/>
    <w:rsid w:val="032394EB"/>
    <w:rsid w:val="033B2F40"/>
    <w:rsid w:val="04A12F4E"/>
    <w:rsid w:val="04DBE9EA"/>
    <w:rsid w:val="051148E0"/>
    <w:rsid w:val="05182518"/>
    <w:rsid w:val="051D99F9"/>
    <w:rsid w:val="05B612E3"/>
    <w:rsid w:val="0605216C"/>
    <w:rsid w:val="063EE9F7"/>
    <w:rsid w:val="069F379E"/>
    <w:rsid w:val="06C5BC92"/>
    <w:rsid w:val="07952535"/>
    <w:rsid w:val="07972937"/>
    <w:rsid w:val="07F5CE19"/>
    <w:rsid w:val="08185FB9"/>
    <w:rsid w:val="082A09EB"/>
    <w:rsid w:val="0A0C7AE1"/>
    <w:rsid w:val="0A663D94"/>
    <w:rsid w:val="0A999191"/>
    <w:rsid w:val="0B1BF5E7"/>
    <w:rsid w:val="0BCBA55D"/>
    <w:rsid w:val="0C259F92"/>
    <w:rsid w:val="0CF130DF"/>
    <w:rsid w:val="0CFE1DFD"/>
    <w:rsid w:val="0D4FC7CF"/>
    <w:rsid w:val="0D531315"/>
    <w:rsid w:val="0DC4E36E"/>
    <w:rsid w:val="0E5E506F"/>
    <w:rsid w:val="0ED2BAFE"/>
    <w:rsid w:val="0F5CF529"/>
    <w:rsid w:val="0FC31246"/>
    <w:rsid w:val="1023E0F9"/>
    <w:rsid w:val="1272477B"/>
    <w:rsid w:val="12B95C68"/>
    <w:rsid w:val="14521BF5"/>
    <w:rsid w:val="15107A79"/>
    <w:rsid w:val="1559BAC6"/>
    <w:rsid w:val="162998A6"/>
    <w:rsid w:val="17FD5F39"/>
    <w:rsid w:val="18657CF4"/>
    <w:rsid w:val="196DF7AF"/>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3A838E4"/>
    <w:rsid w:val="244B8CF8"/>
    <w:rsid w:val="24C0A041"/>
    <w:rsid w:val="24CA5046"/>
    <w:rsid w:val="24F49182"/>
    <w:rsid w:val="26615FE7"/>
    <w:rsid w:val="2678B15D"/>
    <w:rsid w:val="27394882"/>
    <w:rsid w:val="2836B318"/>
    <w:rsid w:val="29365BD7"/>
    <w:rsid w:val="29882150"/>
    <w:rsid w:val="29E0E709"/>
    <w:rsid w:val="2AA490C3"/>
    <w:rsid w:val="2BDCC100"/>
    <w:rsid w:val="2C4C1D68"/>
    <w:rsid w:val="2C7C3DFB"/>
    <w:rsid w:val="2D470254"/>
    <w:rsid w:val="2D8D4444"/>
    <w:rsid w:val="2E4579D6"/>
    <w:rsid w:val="2EF0545B"/>
    <w:rsid w:val="2FC97F8A"/>
    <w:rsid w:val="300EDF22"/>
    <w:rsid w:val="303628DD"/>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10A642"/>
    <w:rsid w:val="3A20C143"/>
    <w:rsid w:val="3A54C110"/>
    <w:rsid w:val="3BA095AD"/>
    <w:rsid w:val="3FD37402"/>
    <w:rsid w:val="40771079"/>
    <w:rsid w:val="40930EF5"/>
    <w:rsid w:val="4110CDB4"/>
    <w:rsid w:val="42691D0F"/>
    <w:rsid w:val="4372D6C2"/>
    <w:rsid w:val="4425AC7B"/>
    <w:rsid w:val="443448FB"/>
    <w:rsid w:val="44505BFC"/>
    <w:rsid w:val="44CD695E"/>
    <w:rsid w:val="450F5A46"/>
    <w:rsid w:val="456C4AA2"/>
    <w:rsid w:val="4641A0D0"/>
    <w:rsid w:val="4873567A"/>
    <w:rsid w:val="48F582C0"/>
    <w:rsid w:val="49B7B512"/>
    <w:rsid w:val="4AE36510"/>
    <w:rsid w:val="4AE86C22"/>
    <w:rsid w:val="4D21EA56"/>
    <w:rsid w:val="4DA14906"/>
    <w:rsid w:val="4DD74500"/>
    <w:rsid w:val="4E18C11A"/>
    <w:rsid w:val="4EE3854C"/>
    <w:rsid w:val="4F28A562"/>
    <w:rsid w:val="4FA0BB93"/>
    <w:rsid w:val="5006EBA3"/>
    <w:rsid w:val="5057B658"/>
    <w:rsid w:val="50AC0CD4"/>
    <w:rsid w:val="517C50E5"/>
    <w:rsid w:val="51A107A9"/>
    <w:rsid w:val="53229BC9"/>
    <w:rsid w:val="53B39A2E"/>
    <w:rsid w:val="54122CC2"/>
    <w:rsid w:val="54C17BA2"/>
    <w:rsid w:val="553311EF"/>
    <w:rsid w:val="55ACD1A0"/>
    <w:rsid w:val="56AFA43F"/>
    <w:rsid w:val="57BFD631"/>
    <w:rsid w:val="58963761"/>
    <w:rsid w:val="591FE4C7"/>
    <w:rsid w:val="593F501C"/>
    <w:rsid w:val="59A5354F"/>
    <w:rsid w:val="5A05D725"/>
    <w:rsid w:val="5B9D8C93"/>
    <w:rsid w:val="5C5A681D"/>
    <w:rsid w:val="5CB076C8"/>
    <w:rsid w:val="5D5832E9"/>
    <w:rsid w:val="5D80A09E"/>
    <w:rsid w:val="5DF2A876"/>
    <w:rsid w:val="5EBDDC85"/>
    <w:rsid w:val="5EF6C01D"/>
    <w:rsid w:val="5F8C18FC"/>
    <w:rsid w:val="600E03FD"/>
    <w:rsid w:val="60CEB39C"/>
    <w:rsid w:val="62AD93BA"/>
    <w:rsid w:val="63555756"/>
    <w:rsid w:val="642A31D2"/>
    <w:rsid w:val="644E444D"/>
    <w:rsid w:val="65573E26"/>
    <w:rsid w:val="65AD35BA"/>
    <w:rsid w:val="65C2D45A"/>
    <w:rsid w:val="6657D135"/>
    <w:rsid w:val="66D9E62A"/>
    <w:rsid w:val="6728F4B3"/>
    <w:rsid w:val="673BE400"/>
    <w:rsid w:val="67B6BAF7"/>
    <w:rsid w:val="688E929B"/>
    <w:rsid w:val="68E0347C"/>
    <w:rsid w:val="699B3EBB"/>
    <w:rsid w:val="6A2AAF49"/>
    <w:rsid w:val="6BAD574D"/>
    <w:rsid w:val="6CA77350"/>
    <w:rsid w:val="6D2906BD"/>
    <w:rsid w:val="6D4099E1"/>
    <w:rsid w:val="6F744910"/>
    <w:rsid w:val="6F75BCDD"/>
    <w:rsid w:val="709A626A"/>
    <w:rsid w:val="716D6D8F"/>
    <w:rsid w:val="731BA24E"/>
    <w:rsid w:val="73E7CF48"/>
    <w:rsid w:val="75D88EF6"/>
    <w:rsid w:val="764DA178"/>
    <w:rsid w:val="77B642A1"/>
    <w:rsid w:val="78063D85"/>
    <w:rsid w:val="78168F3E"/>
    <w:rsid w:val="78E271BD"/>
    <w:rsid w:val="78E93C4E"/>
    <w:rsid w:val="79E941EA"/>
    <w:rsid w:val="7A3DE86F"/>
    <w:rsid w:val="7AD6838E"/>
    <w:rsid w:val="7B180F93"/>
    <w:rsid w:val="7B1B6DA9"/>
    <w:rsid w:val="7B349606"/>
    <w:rsid w:val="7C63B7C1"/>
    <w:rsid w:val="7C71FACE"/>
    <w:rsid w:val="7C73E7A8"/>
    <w:rsid w:val="7C7878ED"/>
    <w:rsid w:val="7CBFAC14"/>
    <w:rsid w:val="7CDEBC17"/>
    <w:rsid w:val="7D61AEBC"/>
    <w:rsid w:val="7D98DA3E"/>
    <w:rsid w:val="7DAC400C"/>
    <w:rsid w:val="7E06DAC3"/>
    <w:rsid w:val="7E3EF267"/>
    <w:rsid w:val="7E77EEEF"/>
    <w:rsid w:val="7E784689"/>
    <w:rsid w:val="7E9A54A9"/>
    <w:rsid w:val="7EBC6617"/>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qFormat/>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Bullet 1,Bullets Points,Styl moj,Akapit z listą1,Akapit z listą11,Table Legend,Bullet1,ES Paragraph"/>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 1 Char,Bullets Points Char,Styl moj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1"/>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basedOn w:val="Normal"/>
    <w:next w:val="Normal"/>
    <w:unhideWhenUsed/>
    <w:rsid w:val="004E3009"/>
    <w:pPr>
      <w:spacing w:after="200"/>
    </w:pPr>
    <w:rPr>
      <w:i/>
      <w:iCs/>
      <w:color w:val="1F497D" w:themeColor="text2"/>
      <w:sz w:val="18"/>
      <w:szCs w:val="18"/>
    </w:rPr>
  </w:style>
  <w:style w:type="table" w:styleId="TableGridLight">
    <w:name w:val="Grid Table Light"/>
    <w:basedOn w:val="TableNormal"/>
    <w:uiPriority w:val="40"/>
    <w:rsid w:val="00BF21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BACHeading1">
    <w:name w:val="PBAC Heading 1"/>
    <w:qFormat/>
    <w:rsid w:val="00AE334A"/>
    <w:pPr>
      <w:ind w:left="720" w:hanging="720"/>
      <w:outlineLvl w:val="0"/>
    </w:pPr>
    <w:rPr>
      <w:rFonts w:ascii="Arial" w:hAnsi="Arial" w:cs="Arial"/>
      <w:b/>
      <w:snapToGrid w:val="0"/>
      <w:sz w:val="22"/>
      <w:szCs w:val="22"/>
      <w:lang w:eastAsia="en-US"/>
    </w:rPr>
  </w:style>
  <w:style w:type="paragraph" w:styleId="NormalWeb">
    <w:name w:val="Normal (Web)"/>
    <w:basedOn w:val="Normal"/>
    <w:uiPriority w:val="99"/>
    <w:unhideWhenUsed/>
    <w:rsid w:val="00850CE9"/>
    <w:pPr>
      <w:spacing w:before="100" w:beforeAutospacing="1" w:after="100" w:afterAutospacing="1"/>
      <w:jc w:val="left"/>
    </w:pPr>
    <w:rPr>
      <w:rFonts w:ascii="Times New Roman" w:hAnsi="Times New Roman"/>
    </w:rPr>
  </w:style>
  <w:style w:type="paragraph" w:customStyle="1" w:styleId="Default">
    <w:name w:val="Default"/>
    <w:rsid w:val="00527A99"/>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C6AB5"/>
    <w:rPr>
      <w:color w:val="605E5C"/>
      <w:shd w:val="clear" w:color="auto" w:fill="E1DFDD"/>
    </w:rPr>
  </w:style>
  <w:style w:type="paragraph" w:styleId="FootnoteText">
    <w:name w:val="footnote text"/>
    <w:basedOn w:val="Normal"/>
    <w:link w:val="FootnoteTextChar"/>
    <w:semiHidden/>
    <w:unhideWhenUsed/>
    <w:rsid w:val="000D4C30"/>
    <w:rPr>
      <w:sz w:val="20"/>
      <w:szCs w:val="20"/>
    </w:rPr>
  </w:style>
  <w:style w:type="character" w:customStyle="1" w:styleId="FootnoteTextChar">
    <w:name w:val="Footnote Text Char"/>
    <w:basedOn w:val="DefaultParagraphFont"/>
    <w:link w:val="FootnoteText"/>
    <w:semiHidden/>
    <w:rsid w:val="000D4C30"/>
    <w:rPr>
      <w:rFonts w:ascii="Calibri" w:hAnsi="Calibri"/>
    </w:rPr>
  </w:style>
  <w:style w:type="character" w:styleId="FootnoteReference">
    <w:name w:val="footnote reference"/>
    <w:basedOn w:val="DefaultParagraphFont"/>
    <w:semiHidden/>
    <w:unhideWhenUsed/>
    <w:rsid w:val="000D4C30"/>
    <w:rPr>
      <w:vertAlign w:val="superscript"/>
    </w:rPr>
  </w:style>
  <w:style w:type="paragraph" w:customStyle="1" w:styleId="FooterTableFigure">
    <w:name w:val="Footer Table/Figure"/>
    <w:basedOn w:val="Normal"/>
    <w:link w:val="FooterTableFigureChar"/>
    <w:qFormat/>
    <w:rsid w:val="002104B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2104BB"/>
    <w:rPr>
      <w:rFonts w:ascii="Arial Narrow" w:hAnsi="Arial Narrow" w:cs="Arial"/>
      <w:snapToGrid w:val="0"/>
      <w:sz w:val="18"/>
      <w:szCs w:val="22"/>
    </w:rPr>
  </w:style>
  <w:style w:type="paragraph" w:customStyle="1" w:styleId="Tabletext0">
    <w:name w:val="Table text"/>
    <w:basedOn w:val="Normal"/>
    <w:link w:val="TabletextChar0"/>
    <w:qFormat/>
    <w:rsid w:val="002104BB"/>
    <w:pPr>
      <w:jc w:val="left"/>
    </w:pPr>
    <w:rPr>
      <w:rFonts w:ascii="Arial Narrow" w:hAnsi="Arial Narrow"/>
      <w:snapToGrid w:val="0"/>
      <w:sz w:val="20"/>
    </w:rPr>
  </w:style>
  <w:style w:type="character" w:customStyle="1" w:styleId="TabletextChar0">
    <w:name w:val="Table text Char"/>
    <w:link w:val="Tabletext0"/>
    <w:rsid w:val="002104BB"/>
    <w:rPr>
      <w:rFonts w:ascii="Arial Narrow" w:hAnsi="Arial Narrow"/>
      <w:snapToGrid w:val="0"/>
      <w:szCs w:val="24"/>
    </w:rPr>
  </w:style>
  <w:style w:type="character" w:customStyle="1" w:styleId="BalloonTextChar">
    <w:name w:val="Balloon Text Char"/>
    <w:basedOn w:val="DefaultParagraphFont"/>
    <w:link w:val="BalloonText"/>
    <w:uiPriority w:val="99"/>
    <w:semiHidden/>
    <w:rsid w:val="002104BB"/>
    <w:rPr>
      <w:rFonts w:ascii="Tahoma" w:hAnsi="Tahoma" w:cs="Tahoma"/>
      <w:sz w:val="16"/>
      <w:szCs w:val="16"/>
    </w:rPr>
  </w:style>
  <w:style w:type="paragraph" w:customStyle="1" w:styleId="Source">
    <w:name w:val="Source"/>
    <w:basedOn w:val="Normal"/>
    <w:uiPriority w:val="35"/>
    <w:qFormat/>
    <w:rsid w:val="00200DD7"/>
    <w:pPr>
      <w:ind w:left="720" w:hanging="720"/>
    </w:pPr>
    <w:rPr>
      <w:rFonts w:cs="Arial"/>
    </w:rPr>
  </w:style>
  <w:style w:type="paragraph" w:customStyle="1" w:styleId="zr1">
    <w:name w:val="zr1"/>
    <w:basedOn w:val="Normal"/>
    <w:rsid w:val="002C68D5"/>
    <w:pPr>
      <w:spacing w:before="100" w:beforeAutospacing="1" w:after="100" w:afterAutospacing="1"/>
      <w:jc w:val="left"/>
    </w:pPr>
    <w:rPr>
      <w:rFonts w:ascii="Times New Roman" w:hAnsi="Times New Roman"/>
    </w:rPr>
  </w:style>
  <w:style w:type="paragraph" w:customStyle="1" w:styleId="p2">
    <w:name w:val="p2"/>
    <w:basedOn w:val="Normal"/>
    <w:rsid w:val="002C68D5"/>
    <w:pPr>
      <w:spacing w:before="100" w:beforeAutospacing="1" w:after="100" w:afterAutospacing="1"/>
      <w:jc w:val="left"/>
    </w:pPr>
    <w:rPr>
      <w:rFonts w:ascii="Times New Roman" w:hAnsi="Times New Roman"/>
    </w:rPr>
  </w:style>
  <w:style w:type="paragraph" w:customStyle="1" w:styleId="p3">
    <w:name w:val="p3"/>
    <w:basedOn w:val="Normal"/>
    <w:rsid w:val="002C68D5"/>
    <w:pPr>
      <w:spacing w:before="100" w:beforeAutospacing="1" w:after="100" w:afterAutospacing="1"/>
      <w:jc w:val="left"/>
    </w:pPr>
    <w:rPr>
      <w:rFonts w:ascii="Times New Roman" w:hAnsi="Times New Roman"/>
    </w:rPr>
  </w:style>
  <w:style w:type="paragraph" w:customStyle="1" w:styleId="zp1">
    <w:name w:val="zp1"/>
    <w:basedOn w:val="Normal"/>
    <w:rsid w:val="002C68D5"/>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14725101">
      <w:bodyDiv w:val="1"/>
      <w:marLeft w:val="0"/>
      <w:marRight w:val="0"/>
      <w:marTop w:val="0"/>
      <w:marBottom w:val="0"/>
      <w:divBdr>
        <w:top w:val="none" w:sz="0" w:space="0" w:color="auto"/>
        <w:left w:val="none" w:sz="0" w:space="0" w:color="auto"/>
        <w:bottom w:val="none" w:sz="0" w:space="0" w:color="auto"/>
        <w:right w:val="none" w:sz="0" w:space="0" w:color="auto"/>
      </w:divBdr>
    </w:div>
    <w:div w:id="328021190">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476923371">
      <w:bodyDiv w:val="1"/>
      <w:marLeft w:val="0"/>
      <w:marRight w:val="0"/>
      <w:marTop w:val="0"/>
      <w:marBottom w:val="0"/>
      <w:divBdr>
        <w:top w:val="none" w:sz="0" w:space="0" w:color="auto"/>
        <w:left w:val="none" w:sz="0" w:space="0" w:color="auto"/>
        <w:bottom w:val="none" w:sz="0" w:space="0" w:color="auto"/>
        <w:right w:val="none" w:sz="0" w:space="0" w:color="auto"/>
      </w:divBdr>
    </w:div>
    <w:div w:id="649555447">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15309641">
      <w:bodyDiv w:val="1"/>
      <w:marLeft w:val="0"/>
      <w:marRight w:val="0"/>
      <w:marTop w:val="0"/>
      <w:marBottom w:val="0"/>
      <w:divBdr>
        <w:top w:val="none" w:sz="0" w:space="0" w:color="auto"/>
        <w:left w:val="none" w:sz="0" w:space="0" w:color="auto"/>
        <w:bottom w:val="none" w:sz="0" w:space="0" w:color="auto"/>
        <w:right w:val="none" w:sz="0" w:space="0" w:color="auto"/>
      </w:divBdr>
    </w:div>
    <w:div w:id="1018889680">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8155608">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20310788">
      <w:bodyDiv w:val="1"/>
      <w:marLeft w:val="0"/>
      <w:marRight w:val="0"/>
      <w:marTop w:val="0"/>
      <w:marBottom w:val="0"/>
      <w:divBdr>
        <w:top w:val="none" w:sz="0" w:space="0" w:color="auto"/>
        <w:left w:val="none" w:sz="0" w:space="0" w:color="auto"/>
        <w:bottom w:val="none" w:sz="0" w:space="0" w:color="auto"/>
        <w:right w:val="none" w:sz="0" w:space="0" w:color="auto"/>
      </w:divBdr>
    </w:div>
    <w:div w:id="150852268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7911257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5913856">
      <w:bodyDiv w:val="1"/>
      <w:marLeft w:val="0"/>
      <w:marRight w:val="0"/>
      <w:marTop w:val="0"/>
      <w:marBottom w:val="0"/>
      <w:divBdr>
        <w:top w:val="none" w:sz="0" w:space="0" w:color="auto"/>
        <w:left w:val="none" w:sz="0" w:space="0" w:color="auto"/>
        <w:bottom w:val="none" w:sz="0" w:space="0" w:color="auto"/>
        <w:right w:val="none" w:sz="0" w:space="0" w:color="auto"/>
      </w:divBdr>
      <w:divsChild>
        <w:div w:id="46801049">
          <w:marLeft w:val="360"/>
          <w:marRight w:val="0"/>
          <w:marTop w:val="200"/>
          <w:marBottom w:val="0"/>
          <w:divBdr>
            <w:top w:val="none" w:sz="0" w:space="0" w:color="auto"/>
            <w:left w:val="none" w:sz="0" w:space="0" w:color="auto"/>
            <w:bottom w:val="none" w:sz="0" w:space="0" w:color="auto"/>
            <w:right w:val="none" w:sz="0" w:space="0" w:color="auto"/>
          </w:divBdr>
        </w:div>
        <w:div w:id="241111217">
          <w:marLeft w:val="360"/>
          <w:marRight w:val="0"/>
          <w:marTop w:val="200"/>
          <w:marBottom w:val="0"/>
          <w:divBdr>
            <w:top w:val="none" w:sz="0" w:space="0" w:color="auto"/>
            <w:left w:val="none" w:sz="0" w:space="0" w:color="auto"/>
            <w:bottom w:val="none" w:sz="0" w:space="0" w:color="auto"/>
            <w:right w:val="none" w:sz="0" w:space="0" w:color="auto"/>
          </w:divBdr>
        </w:div>
        <w:div w:id="807670535">
          <w:marLeft w:val="360"/>
          <w:marRight w:val="0"/>
          <w:marTop w:val="200"/>
          <w:marBottom w:val="0"/>
          <w:divBdr>
            <w:top w:val="none" w:sz="0" w:space="0" w:color="auto"/>
            <w:left w:val="none" w:sz="0" w:space="0" w:color="auto"/>
            <w:bottom w:val="none" w:sz="0" w:space="0" w:color="auto"/>
            <w:right w:val="none" w:sz="0" w:space="0" w:color="auto"/>
          </w:divBdr>
        </w:div>
        <w:div w:id="932208833">
          <w:marLeft w:val="360"/>
          <w:marRight w:val="0"/>
          <w:marTop w:val="200"/>
          <w:marBottom w:val="0"/>
          <w:divBdr>
            <w:top w:val="none" w:sz="0" w:space="0" w:color="auto"/>
            <w:left w:val="none" w:sz="0" w:space="0" w:color="auto"/>
            <w:bottom w:val="none" w:sz="0" w:space="0" w:color="auto"/>
            <w:right w:val="none" w:sz="0" w:space="0" w:color="auto"/>
          </w:divBdr>
        </w:div>
        <w:div w:id="1484926274">
          <w:marLeft w:val="360"/>
          <w:marRight w:val="0"/>
          <w:marTop w:val="200"/>
          <w:marBottom w:val="0"/>
          <w:divBdr>
            <w:top w:val="none" w:sz="0" w:space="0" w:color="auto"/>
            <w:left w:val="none" w:sz="0" w:space="0" w:color="auto"/>
            <w:bottom w:val="none" w:sz="0" w:space="0" w:color="auto"/>
            <w:right w:val="none" w:sz="0" w:space="0" w:color="auto"/>
          </w:divBdr>
        </w:div>
        <w:div w:id="1490437905">
          <w:marLeft w:val="360"/>
          <w:marRight w:val="0"/>
          <w:marTop w:val="200"/>
          <w:marBottom w:val="0"/>
          <w:divBdr>
            <w:top w:val="none" w:sz="0" w:space="0" w:color="auto"/>
            <w:left w:val="none" w:sz="0" w:space="0" w:color="auto"/>
            <w:bottom w:val="none" w:sz="0" w:space="0" w:color="auto"/>
            <w:right w:val="none" w:sz="0" w:space="0" w:color="auto"/>
          </w:divBdr>
        </w:div>
        <w:div w:id="1948195100">
          <w:marLeft w:val="360"/>
          <w:marRight w:val="0"/>
          <w:marTop w:val="200"/>
          <w:marBottom w:val="0"/>
          <w:divBdr>
            <w:top w:val="none" w:sz="0" w:space="0" w:color="auto"/>
            <w:left w:val="none" w:sz="0" w:space="0" w:color="auto"/>
            <w:bottom w:val="none" w:sz="0" w:space="0" w:color="auto"/>
            <w:right w:val="none" w:sz="0" w:space="0" w:color="auto"/>
          </w:divBdr>
        </w:div>
        <w:div w:id="2061323177">
          <w:marLeft w:val="360"/>
          <w:marRight w:val="0"/>
          <w:marTop w:val="200"/>
          <w:marBottom w:val="0"/>
          <w:divBdr>
            <w:top w:val="none" w:sz="0" w:space="0" w:color="auto"/>
            <w:left w:val="none" w:sz="0" w:space="0" w:color="auto"/>
            <w:bottom w:val="none" w:sz="0" w:space="0" w:color="auto"/>
            <w:right w:val="none" w:sz="0" w:space="0" w:color="auto"/>
          </w:divBdr>
        </w:div>
      </w:divsChild>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5144</Words>
  <Characters>27025</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32105</CharactersWithSpaces>
  <SharedDoc>false</SharedDoc>
  <HLinks>
    <vt:vector size="12" baseType="variant">
      <vt:variant>
        <vt:i4>3080313</vt:i4>
      </vt:variant>
      <vt:variant>
        <vt:i4>3</vt:i4>
      </vt:variant>
      <vt:variant>
        <vt:i4>0</vt:i4>
      </vt:variant>
      <vt:variant>
        <vt:i4>5</vt:i4>
      </vt:variant>
      <vt:variant>
        <vt:lpwstr>about:blank</vt:lpwstr>
      </vt:variant>
      <vt:variant>
        <vt:lpwstr/>
      </vt:variant>
      <vt:variant>
        <vt:i4>131078</vt:i4>
      </vt:variant>
      <vt:variant>
        <vt:i4>0</vt:i4>
      </vt:variant>
      <vt:variant>
        <vt:i4>0</vt:i4>
      </vt:variant>
      <vt:variant>
        <vt:i4>5</vt:i4>
      </vt:variant>
      <vt:variant>
        <vt:lpwstr>https://pubmed.ncbi.nlm.nih.gov/31017850/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2023-04-03T05:27:00Z</dcterms:created>
  <dcterms:modified xsi:type="dcterms:W3CDTF">2023-04-03T05:53:00Z</dcterms:modified>
</cp:coreProperties>
</file>