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A4FBE" w14:textId="6C87D58A" w:rsidR="00140812" w:rsidRPr="00140812" w:rsidRDefault="00140812" w:rsidP="00140812">
      <w:pPr>
        <w:rPr>
          <w:color w:val="FF0000"/>
        </w:rPr>
      </w:pPr>
      <w:bookmarkStart w:id="0" w:name="_Toc113980143"/>
      <w:r>
        <w:rPr>
          <w:color w:val="FF0000"/>
        </w:rPr>
        <w:t>An addendum to this Public Summary Document has been included at the end of the document.</w:t>
      </w:r>
    </w:p>
    <w:p w14:paraId="43A864C5" w14:textId="35EE8D95" w:rsidR="00433044" w:rsidRPr="007C7AEC" w:rsidRDefault="00B81017" w:rsidP="007C7AEC">
      <w:pPr>
        <w:pStyle w:val="COMH1-non-numbered"/>
      </w:pPr>
      <w:r w:rsidRPr="002E14F6">
        <w:t>6.07</w:t>
      </w:r>
      <w:r w:rsidR="00163F66" w:rsidRPr="002E14F6">
        <w:tab/>
      </w:r>
      <w:r w:rsidR="00EB72B8" w:rsidRPr="002E14F6">
        <w:t>RISEDRONIC ACID</w:t>
      </w:r>
      <w:r w:rsidR="00163F66" w:rsidRPr="002E14F6">
        <w:t>,</w:t>
      </w:r>
      <w:r w:rsidR="00163F66" w:rsidRPr="002E14F6">
        <w:br/>
      </w:r>
      <w:r w:rsidR="000E68B4" w:rsidRPr="002E14F6">
        <w:t>Tablet (enteric coated</w:t>
      </w:r>
      <w:r w:rsidR="00706F3E" w:rsidRPr="002E14F6">
        <w:t>)</w:t>
      </w:r>
      <w:r w:rsidR="00D84ECA">
        <w:t xml:space="preserve"> containing</w:t>
      </w:r>
      <w:r w:rsidR="007258DA">
        <w:t xml:space="preserve"> </w:t>
      </w:r>
      <w:r w:rsidR="00706F3E" w:rsidRPr="002E14F6">
        <w:t>risedronate sodium 35</w:t>
      </w:r>
      <w:r w:rsidR="0027235C">
        <w:t> </w:t>
      </w:r>
      <w:r w:rsidR="00706F3E" w:rsidRPr="002E14F6">
        <w:t>mg</w:t>
      </w:r>
      <w:r w:rsidR="00163F66" w:rsidRPr="002E14F6">
        <w:t>,</w:t>
      </w:r>
      <w:r w:rsidR="00163F66" w:rsidRPr="002E14F6">
        <w:br/>
      </w:r>
      <w:r w:rsidR="00706F3E" w:rsidRPr="002E14F6">
        <w:t>Actonel</w:t>
      </w:r>
      <w:r w:rsidR="00B60939" w:rsidRPr="002E14F6">
        <w:rPr>
          <w:vertAlign w:val="superscript"/>
        </w:rPr>
        <w:t>®</w:t>
      </w:r>
      <w:r w:rsidR="00706F3E" w:rsidRPr="002E14F6">
        <w:rPr>
          <w:vertAlign w:val="superscript"/>
        </w:rPr>
        <w:t xml:space="preserve"> </w:t>
      </w:r>
      <w:r w:rsidR="00706F3E" w:rsidRPr="002E14F6">
        <w:t>EC</w:t>
      </w:r>
      <w:r w:rsidR="004A6040" w:rsidRPr="002E14F6">
        <w:t>,</w:t>
      </w:r>
      <w:r w:rsidR="004A6040" w:rsidRPr="002E14F6">
        <w:br/>
      </w:r>
      <w:r w:rsidR="00706F3E" w:rsidRPr="002E14F6">
        <w:t>THERA</w:t>
      </w:r>
      <w:r w:rsidR="00BA3CD5" w:rsidRPr="002E14F6">
        <w:t>MEX AUSTRALIA PTY LTD</w:t>
      </w:r>
      <w:r w:rsidR="00B60939" w:rsidRPr="002E14F6">
        <w:t>.</w:t>
      </w:r>
      <w:bookmarkEnd w:id="0"/>
    </w:p>
    <w:p w14:paraId="11C00795" w14:textId="3DFB6D23" w:rsidR="00B50DB8" w:rsidRPr="002E14F6" w:rsidRDefault="00B50DB8" w:rsidP="004A6040">
      <w:pPr>
        <w:pStyle w:val="COMH1numbered"/>
      </w:pPr>
      <w:bookmarkStart w:id="1" w:name="_Toc113980145"/>
      <w:r w:rsidRPr="002E14F6">
        <w:t xml:space="preserve">Purpose of </w:t>
      </w:r>
      <w:r w:rsidR="00CD7193" w:rsidRPr="002E14F6">
        <w:t>s</w:t>
      </w:r>
      <w:r w:rsidR="00BB3A45" w:rsidRPr="002E14F6">
        <w:t>ubmission</w:t>
      </w:r>
      <w:bookmarkEnd w:id="1"/>
    </w:p>
    <w:p w14:paraId="19414AA1" w14:textId="5CC5244E" w:rsidR="002C2775" w:rsidRPr="00966B2C" w:rsidRDefault="007170DA" w:rsidP="00966B2C">
      <w:pPr>
        <w:widowControl w:val="0"/>
        <w:numPr>
          <w:ilvl w:val="1"/>
          <w:numId w:val="1"/>
        </w:numPr>
        <w:spacing w:after="120"/>
        <w:ind w:left="720" w:hanging="720"/>
        <w:rPr>
          <w:bCs/>
        </w:rPr>
      </w:pPr>
      <w:r w:rsidRPr="00966B2C">
        <w:rPr>
          <w:rFonts w:asciiTheme="minorHAnsi" w:hAnsiTheme="minorHAnsi"/>
          <w:bCs/>
          <w:snapToGrid w:val="0"/>
        </w:rPr>
        <w:t xml:space="preserve">The </w:t>
      </w:r>
      <w:r w:rsidR="00F73E08" w:rsidRPr="00966B2C">
        <w:rPr>
          <w:rFonts w:asciiTheme="minorHAnsi" w:hAnsiTheme="minorHAnsi"/>
          <w:bCs/>
          <w:snapToGrid w:val="0"/>
        </w:rPr>
        <w:t xml:space="preserve">Category </w:t>
      </w:r>
      <w:r w:rsidR="00CB0B91" w:rsidRPr="00966B2C">
        <w:rPr>
          <w:rFonts w:asciiTheme="minorHAnsi" w:hAnsiTheme="minorHAnsi"/>
          <w:bCs/>
          <w:snapToGrid w:val="0"/>
        </w:rPr>
        <w:t>2</w:t>
      </w:r>
      <w:r w:rsidR="00F73E08" w:rsidRPr="00966B2C">
        <w:rPr>
          <w:rFonts w:asciiTheme="minorHAnsi" w:hAnsiTheme="minorHAnsi"/>
          <w:bCs/>
          <w:snapToGrid w:val="0"/>
        </w:rPr>
        <w:t xml:space="preserve"> </w:t>
      </w:r>
      <w:r w:rsidRPr="00966B2C">
        <w:rPr>
          <w:rFonts w:asciiTheme="minorHAnsi" w:hAnsiTheme="minorHAnsi"/>
          <w:bCs/>
          <w:snapToGrid w:val="0"/>
        </w:rPr>
        <w:t>submission requested</w:t>
      </w:r>
      <w:r w:rsidR="00182DFB" w:rsidRPr="00966B2C">
        <w:rPr>
          <w:rFonts w:asciiTheme="minorHAnsi" w:hAnsiTheme="minorHAnsi"/>
          <w:bCs/>
          <w:snapToGrid w:val="0"/>
        </w:rPr>
        <w:t xml:space="preserve"> an expansion of the current </w:t>
      </w:r>
      <w:r w:rsidR="00DC7952" w:rsidRPr="00966B2C">
        <w:rPr>
          <w:rFonts w:asciiTheme="minorHAnsi" w:hAnsiTheme="minorHAnsi"/>
          <w:bCs/>
          <w:snapToGrid w:val="0"/>
        </w:rPr>
        <w:t>General Schedule,</w:t>
      </w:r>
      <w:r w:rsidR="00182DFB" w:rsidRPr="00966B2C">
        <w:rPr>
          <w:rFonts w:asciiTheme="minorHAnsi" w:hAnsiTheme="minorHAnsi"/>
          <w:bCs/>
          <w:snapToGrid w:val="0"/>
        </w:rPr>
        <w:t xml:space="preserve"> Restricted Benefit listing of the risedronate 35 mg enteric coated once a week tablet (Actonel EC) for primary prevention of </w:t>
      </w:r>
      <w:r w:rsidR="00105508" w:rsidRPr="00966B2C">
        <w:rPr>
          <w:rFonts w:asciiTheme="minorHAnsi" w:hAnsiTheme="minorHAnsi"/>
          <w:bCs/>
          <w:snapToGrid w:val="0"/>
        </w:rPr>
        <w:t xml:space="preserve">fractures in patients with </w:t>
      </w:r>
      <w:r w:rsidR="00182DFB" w:rsidRPr="00966B2C">
        <w:rPr>
          <w:rFonts w:asciiTheme="minorHAnsi" w:hAnsiTheme="minorHAnsi"/>
          <w:bCs/>
          <w:snapToGrid w:val="0"/>
        </w:rPr>
        <w:t>osteoporosis</w:t>
      </w:r>
      <w:r w:rsidR="00105508" w:rsidRPr="00966B2C">
        <w:rPr>
          <w:rFonts w:asciiTheme="minorHAnsi" w:hAnsiTheme="minorHAnsi"/>
          <w:bCs/>
          <w:snapToGrid w:val="0"/>
        </w:rPr>
        <w:t>/treatment of osteoporosis</w:t>
      </w:r>
      <w:r w:rsidR="00182DFB" w:rsidRPr="00966B2C">
        <w:rPr>
          <w:rFonts w:asciiTheme="minorHAnsi" w:hAnsiTheme="minorHAnsi"/>
          <w:bCs/>
          <w:snapToGrid w:val="0"/>
        </w:rPr>
        <w:t xml:space="preserve">, </w:t>
      </w:r>
      <w:r w:rsidR="00A06879" w:rsidRPr="00966B2C">
        <w:rPr>
          <w:rFonts w:asciiTheme="minorHAnsi" w:hAnsiTheme="minorHAnsi"/>
          <w:bCs/>
          <w:snapToGrid w:val="0"/>
        </w:rPr>
        <w:t xml:space="preserve">to </w:t>
      </w:r>
      <w:r w:rsidR="00CE6003" w:rsidRPr="00966B2C">
        <w:rPr>
          <w:rFonts w:asciiTheme="minorHAnsi" w:hAnsiTheme="minorHAnsi"/>
          <w:bCs/>
          <w:snapToGrid w:val="0"/>
        </w:rPr>
        <w:t>include patients below 70 years of age with a BMD T-score of -2.5 or less</w:t>
      </w:r>
      <w:r w:rsidR="00182DFB" w:rsidRPr="00966B2C">
        <w:rPr>
          <w:rFonts w:asciiTheme="minorHAnsi" w:hAnsiTheme="minorHAnsi"/>
          <w:bCs/>
          <w:snapToGrid w:val="0"/>
        </w:rPr>
        <w:t>.</w:t>
      </w:r>
    </w:p>
    <w:p w14:paraId="08F4378E" w14:textId="1A124BB1" w:rsidR="00ED1B60" w:rsidRPr="00966B2C" w:rsidRDefault="00ED1B60" w:rsidP="00966B2C">
      <w:pPr>
        <w:widowControl w:val="0"/>
        <w:numPr>
          <w:ilvl w:val="1"/>
          <w:numId w:val="1"/>
        </w:numPr>
        <w:spacing w:after="120"/>
        <w:ind w:left="720" w:hanging="720"/>
        <w:rPr>
          <w:bCs/>
        </w:rPr>
      </w:pPr>
      <w:r w:rsidRPr="00966B2C">
        <w:rPr>
          <w:rFonts w:asciiTheme="minorHAnsi" w:hAnsiTheme="minorHAnsi"/>
          <w:bCs/>
          <w:snapToGrid w:val="0"/>
        </w:rPr>
        <w:t xml:space="preserve">The submission requested that for commercial reasons, the expansion of the current listing be formulation-specific and should apply to the risedronate 35 mg enteric coated once a week tablet (Actonel EC brand, PBS item 8972F) only. </w:t>
      </w:r>
      <w:r w:rsidR="0085565F" w:rsidRPr="00966B2C">
        <w:rPr>
          <w:rFonts w:asciiTheme="minorHAnsi" w:hAnsiTheme="minorHAnsi"/>
          <w:bCs/>
          <w:snapToGrid w:val="0"/>
        </w:rPr>
        <w:t>There are potential policy implications related to the requested formulation-specific listing given the long history of PBAC considerations for osteoporosis medications</w:t>
      </w:r>
      <w:r w:rsidR="00C57DE0" w:rsidRPr="00966B2C">
        <w:rPr>
          <w:rFonts w:asciiTheme="minorHAnsi" w:hAnsiTheme="minorHAnsi"/>
          <w:bCs/>
          <w:snapToGrid w:val="0"/>
        </w:rPr>
        <w:t xml:space="preserve">, with </w:t>
      </w:r>
      <w:r w:rsidR="0085565F" w:rsidRPr="00966B2C">
        <w:rPr>
          <w:rFonts w:asciiTheme="minorHAnsi" w:hAnsiTheme="minorHAnsi"/>
          <w:bCs/>
          <w:snapToGrid w:val="0"/>
        </w:rPr>
        <w:t>considerable overlap in</w:t>
      </w:r>
      <w:r w:rsidR="00123848" w:rsidRPr="00966B2C">
        <w:rPr>
          <w:rFonts w:asciiTheme="minorHAnsi" w:hAnsiTheme="minorHAnsi"/>
          <w:bCs/>
          <w:snapToGrid w:val="0"/>
        </w:rPr>
        <w:t xml:space="preserve"> terms of clinical evidence, cost-effectiveness, and interchangeability. In particular, the clinical evidence and cost-effectiveness of alendronate versus placebo formed the basis of current listing</w:t>
      </w:r>
      <w:r w:rsidR="002C4832" w:rsidRPr="00966B2C">
        <w:rPr>
          <w:rFonts w:asciiTheme="minorHAnsi" w:hAnsiTheme="minorHAnsi"/>
          <w:bCs/>
          <w:snapToGrid w:val="0"/>
        </w:rPr>
        <w:t>s</w:t>
      </w:r>
      <w:r w:rsidR="00123848" w:rsidRPr="00966B2C">
        <w:rPr>
          <w:rFonts w:asciiTheme="minorHAnsi" w:hAnsiTheme="minorHAnsi"/>
          <w:bCs/>
          <w:snapToGrid w:val="0"/>
        </w:rPr>
        <w:t xml:space="preserve"> for</w:t>
      </w:r>
      <w:r w:rsidR="002C4832" w:rsidRPr="00966B2C">
        <w:rPr>
          <w:rFonts w:asciiTheme="minorHAnsi" w:hAnsiTheme="minorHAnsi"/>
          <w:bCs/>
          <w:snapToGrid w:val="0"/>
        </w:rPr>
        <w:t xml:space="preserve"> all therapies for the</w:t>
      </w:r>
      <w:r w:rsidR="00123848" w:rsidRPr="00966B2C">
        <w:rPr>
          <w:rFonts w:asciiTheme="minorHAnsi" w:hAnsiTheme="minorHAnsi"/>
          <w:bCs/>
          <w:snapToGrid w:val="0"/>
        </w:rPr>
        <w:t xml:space="preserve"> primary prevention of osteoporosis.  </w:t>
      </w:r>
    </w:p>
    <w:p w14:paraId="2C7EDEA5" w14:textId="22DE72BD" w:rsidR="00DD7B39" w:rsidRPr="00966B2C" w:rsidRDefault="00122DBE" w:rsidP="00966B2C">
      <w:pPr>
        <w:widowControl w:val="0"/>
        <w:numPr>
          <w:ilvl w:val="1"/>
          <w:numId w:val="1"/>
        </w:numPr>
        <w:spacing w:after="120"/>
        <w:ind w:left="720" w:hanging="720"/>
        <w:rPr>
          <w:bCs/>
        </w:rPr>
      </w:pPr>
      <w:r w:rsidRPr="00966B2C">
        <w:rPr>
          <w:rFonts w:asciiTheme="minorHAnsi" w:hAnsiTheme="minorHAnsi"/>
          <w:bCs/>
          <w:snapToGrid w:val="0"/>
        </w:rPr>
        <w:t xml:space="preserve">The submission refers to the risedronate 35 mg once weekly enteric coated formulation as risedronate delayed release (DR). The </w:t>
      </w:r>
      <w:r w:rsidR="004F3E42" w:rsidRPr="00966B2C">
        <w:rPr>
          <w:rFonts w:asciiTheme="minorHAnsi" w:hAnsiTheme="minorHAnsi"/>
          <w:bCs/>
          <w:snapToGrid w:val="0"/>
        </w:rPr>
        <w:t xml:space="preserve">evaluation </w:t>
      </w:r>
      <w:r w:rsidRPr="00966B2C">
        <w:rPr>
          <w:rFonts w:asciiTheme="minorHAnsi" w:hAnsiTheme="minorHAnsi"/>
          <w:bCs/>
          <w:snapToGrid w:val="0"/>
        </w:rPr>
        <w:t>refers to this formulation as risedronate enteric coated (EC) to maintain consistency with descriptions used on the PBS and in the product information.</w:t>
      </w:r>
    </w:p>
    <w:p w14:paraId="251FE9F5" w14:textId="77777777" w:rsidR="00420437" w:rsidRPr="00966B2C" w:rsidRDefault="005750C5" w:rsidP="00966B2C">
      <w:pPr>
        <w:widowControl w:val="0"/>
        <w:numPr>
          <w:ilvl w:val="1"/>
          <w:numId w:val="1"/>
        </w:numPr>
        <w:spacing w:after="120"/>
        <w:ind w:left="720" w:hanging="720"/>
        <w:rPr>
          <w:bCs/>
        </w:rPr>
      </w:pPr>
      <w:r w:rsidRPr="00966B2C">
        <w:rPr>
          <w:rFonts w:asciiTheme="minorHAnsi" w:hAnsiTheme="minorHAnsi"/>
          <w:bCs/>
          <w:snapToGrid w:val="0"/>
        </w:rPr>
        <w:t>Listing was requested on the basis of a cost-effectiveness analysis</w:t>
      </w:r>
      <w:r w:rsidR="00937B4C" w:rsidRPr="00966B2C">
        <w:rPr>
          <w:rFonts w:asciiTheme="minorHAnsi" w:hAnsiTheme="minorHAnsi"/>
          <w:bCs/>
          <w:snapToGrid w:val="0"/>
        </w:rPr>
        <w:t xml:space="preserve"> of early treatment with risedronate EC</w:t>
      </w:r>
      <w:r w:rsidRPr="00966B2C">
        <w:rPr>
          <w:rFonts w:asciiTheme="minorHAnsi" w:hAnsiTheme="minorHAnsi"/>
          <w:bCs/>
          <w:snapToGrid w:val="0"/>
        </w:rPr>
        <w:t xml:space="preserve"> versus </w:t>
      </w:r>
      <w:r w:rsidR="00937B4C" w:rsidRPr="00966B2C">
        <w:rPr>
          <w:rFonts w:asciiTheme="minorHAnsi" w:hAnsiTheme="minorHAnsi"/>
          <w:bCs/>
          <w:snapToGrid w:val="0"/>
        </w:rPr>
        <w:t xml:space="preserve">delayed treatment with standard of care therapies (based on age threshold and </w:t>
      </w:r>
      <w:r w:rsidR="0016392E" w:rsidRPr="00966B2C">
        <w:rPr>
          <w:rFonts w:asciiTheme="minorHAnsi" w:hAnsiTheme="minorHAnsi"/>
          <w:bCs/>
          <w:snapToGrid w:val="0"/>
        </w:rPr>
        <w:t>fracture history)</w:t>
      </w:r>
      <w:r w:rsidRPr="00966B2C">
        <w:rPr>
          <w:rFonts w:asciiTheme="minorHAnsi" w:hAnsiTheme="minorHAnsi"/>
          <w:bCs/>
          <w:snapToGrid w:val="0"/>
        </w:rPr>
        <w:t xml:space="preserve">. </w:t>
      </w:r>
    </w:p>
    <w:p w14:paraId="4D63827D" w14:textId="30E1F26E" w:rsidR="00E70EC2" w:rsidRPr="002E14F6" w:rsidRDefault="00E70EC2" w:rsidP="00E70EC2">
      <w:pPr>
        <w:pStyle w:val="COMtablefigcaption"/>
      </w:pPr>
      <w:bookmarkStart w:id="2" w:name="_Ref118976299"/>
      <w:r>
        <w:t xml:space="preserve">Table </w:t>
      </w:r>
      <w:r w:rsidR="00400174">
        <w:fldChar w:fldCharType="begin" w:fldLock="1"/>
      </w:r>
      <w:r w:rsidR="00400174">
        <w:instrText xml:space="preserve"> S</w:instrText>
      </w:r>
      <w:r w:rsidR="00400174">
        <w:instrText xml:space="preserve">EQ Table \* ARABIC </w:instrText>
      </w:r>
      <w:r w:rsidR="00400174">
        <w:fldChar w:fldCharType="separate"/>
      </w:r>
      <w:r w:rsidR="00C2719F">
        <w:rPr>
          <w:noProof/>
        </w:rPr>
        <w:t>1</w:t>
      </w:r>
      <w:r w:rsidR="00400174">
        <w:rPr>
          <w:noProof/>
        </w:rPr>
        <w:fldChar w:fldCharType="end"/>
      </w:r>
      <w:bookmarkEnd w:id="2"/>
      <w:r>
        <w:t xml:space="preserve">: </w:t>
      </w:r>
      <w:r w:rsidRPr="002E14F6">
        <w:t>Key components of the clinical issue addressed in the submission</w:t>
      </w:r>
      <w:r w:rsidR="006F65D2">
        <w:t xml:space="preserve"> (as stated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in the submission (as stated in the submission)"/>
      </w:tblPr>
      <w:tblGrid>
        <w:gridCol w:w="1255"/>
        <w:gridCol w:w="7901"/>
      </w:tblGrid>
      <w:tr w:rsidR="00420437" w:rsidRPr="002E14F6" w14:paraId="39C0673A" w14:textId="77777777" w:rsidTr="005F1ABD">
        <w:tc>
          <w:tcPr>
            <w:tcW w:w="1255" w:type="dxa"/>
            <w:vAlign w:val="center"/>
          </w:tcPr>
          <w:p w14:paraId="1004D8A0" w14:textId="77777777" w:rsidR="00420437" w:rsidRPr="002E14F6" w:rsidRDefault="00420437" w:rsidP="005F1ABD">
            <w:pPr>
              <w:pStyle w:val="COMTableheadingrow"/>
              <w:rPr>
                <w:lang w:val="en-AU"/>
              </w:rPr>
            </w:pPr>
            <w:r w:rsidRPr="002E14F6">
              <w:rPr>
                <w:lang w:val="en-AU"/>
              </w:rPr>
              <w:t>Component</w:t>
            </w:r>
          </w:p>
        </w:tc>
        <w:tc>
          <w:tcPr>
            <w:tcW w:w="7901" w:type="dxa"/>
            <w:vAlign w:val="center"/>
          </w:tcPr>
          <w:p w14:paraId="24F72E85" w14:textId="77777777" w:rsidR="00420437" w:rsidRPr="002E14F6" w:rsidRDefault="00420437" w:rsidP="005F1ABD">
            <w:pPr>
              <w:pStyle w:val="COMTableheadingrow"/>
              <w:rPr>
                <w:lang w:val="en-AU"/>
              </w:rPr>
            </w:pPr>
            <w:r w:rsidRPr="002E14F6">
              <w:rPr>
                <w:lang w:val="en-AU"/>
              </w:rPr>
              <w:t>Description</w:t>
            </w:r>
          </w:p>
        </w:tc>
      </w:tr>
      <w:tr w:rsidR="00420437" w:rsidRPr="002E14F6" w14:paraId="433F1456" w14:textId="77777777" w:rsidTr="005F1ABD">
        <w:tc>
          <w:tcPr>
            <w:tcW w:w="1255" w:type="dxa"/>
            <w:vAlign w:val="center"/>
          </w:tcPr>
          <w:p w14:paraId="2544FDC7" w14:textId="77777777" w:rsidR="00420437" w:rsidRPr="002E14F6" w:rsidRDefault="00420437" w:rsidP="005F1ABD">
            <w:pPr>
              <w:pStyle w:val="COMTabletext"/>
            </w:pPr>
            <w:r w:rsidRPr="002E14F6">
              <w:t>Population</w:t>
            </w:r>
          </w:p>
        </w:tc>
        <w:tc>
          <w:tcPr>
            <w:tcW w:w="7901" w:type="dxa"/>
            <w:vAlign w:val="center"/>
          </w:tcPr>
          <w:p w14:paraId="62C88FBC" w14:textId="77777777" w:rsidR="00420437" w:rsidRPr="002E14F6" w:rsidRDefault="00420437" w:rsidP="005F1ABD">
            <w:pPr>
              <w:pStyle w:val="COMTabletext"/>
            </w:pPr>
            <w:r w:rsidRPr="002E14F6">
              <w:t>Patients aged less than 70 years with osteoporosis (defined as those with a BMD T-score of -2.5 or less) and without a history of minimal trauma fracture</w:t>
            </w:r>
          </w:p>
        </w:tc>
      </w:tr>
      <w:tr w:rsidR="00420437" w:rsidRPr="002E14F6" w14:paraId="021A2AE4" w14:textId="77777777" w:rsidTr="005F1ABD">
        <w:tc>
          <w:tcPr>
            <w:tcW w:w="1255" w:type="dxa"/>
            <w:vAlign w:val="center"/>
          </w:tcPr>
          <w:p w14:paraId="65FBF670" w14:textId="77777777" w:rsidR="00420437" w:rsidRPr="002E14F6" w:rsidRDefault="00420437" w:rsidP="005F1ABD">
            <w:pPr>
              <w:pStyle w:val="COMTabletext"/>
            </w:pPr>
            <w:r w:rsidRPr="002E14F6">
              <w:t>Intervention</w:t>
            </w:r>
          </w:p>
        </w:tc>
        <w:tc>
          <w:tcPr>
            <w:tcW w:w="7901" w:type="dxa"/>
            <w:vAlign w:val="center"/>
          </w:tcPr>
          <w:p w14:paraId="0E2A26AB" w14:textId="77777777" w:rsidR="00420437" w:rsidRPr="002E14F6" w:rsidRDefault="00420437" w:rsidP="005F1ABD">
            <w:pPr>
              <w:pStyle w:val="COMTabletext"/>
              <w:rPr>
                <w:vertAlign w:val="superscript"/>
              </w:rPr>
            </w:pPr>
            <w:r w:rsidRPr="002E14F6">
              <w:t>Risedronate 35 mg once weekly enteric coated tablet (risedronate EC)</w:t>
            </w:r>
          </w:p>
        </w:tc>
      </w:tr>
      <w:tr w:rsidR="00420437" w:rsidRPr="002E14F6" w14:paraId="41015BBC" w14:textId="77777777" w:rsidTr="005F1ABD">
        <w:tc>
          <w:tcPr>
            <w:tcW w:w="1255" w:type="dxa"/>
            <w:vAlign w:val="center"/>
          </w:tcPr>
          <w:p w14:paraId="40EC2C38" w14:textId="77777777" w:rsidR="00420437" w:rsidRPr="002E14F6" w:rsidRDefault="00420437" w:rsidP="005F1ABD">
            <w:pPr>
              <w:pStyle w:val="COMTabletext"/>
            </w:pPr>
            <w:r w:rsidRPr="002E14F6">
              <w:t>Comparator</w:t>
            </w:r>
          </w:p>
        </w:tc>
        <w:tc>
          <w:tcPr>
            <w:tcW w:w="7901" w:type="dxa"/>
            <w:vAlign w:val="center"/>
          </w:tcPr>
          <w:p w14:paraId="3F692D73" w14:textId="77777777" w:rsidR="00420437" w:rsidRPr="002E14F6" w:rsidRDefault="00420437" w:rsidP="005F1ABD">
            <w:pPr>
              <w:pStyle w:val="COMTabletext"/>
            </w:pPr>
            <w:r w:rsidRPr="002E14F6">
              <w:t>Placebo or ‘watchful waiting’ (patient monitoring and standard management with calcium and vitamin D)</w:t>
            </w:r>
          </w:p>
        </w:tc>
      </w:tr>
      <w:tr w:rsidR="00420437" w:rsidRPr="002E14F6" w14:paraId="0EBAE1AB" w14:textId="77777777" w:rsidTr="005F1ABD">
        <w:tc>
          <w:tcPr>
            <w:tcW w:w="1255" w:type="dxa"/>
            <w:vAlign w:val="center"/>
          </w:tcPr>
          <w:p w14:paraId="6C2915A8" w14:textId="77777777" w:rsidR="00420437" w:rsidRPr="002E14F6" w:rsidRDefault="00420437" w:rsidP="005F1ABD">
            <w:pPr>
              <w:pStyle w:val="COMTabletext"/>
            </w:pPr>
            <w:r w:rsidRPr="002E14F6">
              <w:t>Outcomes</w:t>
            </w:r>
          </w:p>
        </w:tc>
        <w:tc>
          <w:tcPr>
            <w:tcW w:w="7901" w:type="dxa"/>
            <w:vAlign w:val="center"/>
          </w:tcPr>
          <w:p w14:paraId="7F30D07A" w14:textId="77777777" w:rsidR="00420437" w:rsidRPr="002E14F6" w:rsidRDefault="00420437" w:rsidP="005F1ABD">
            <w:pPr>
              <w:pStyle w:val="COMTabletext"/>
            </w:pPr>
            <w:r w:rsidRPr="002E14F6">
              <w:t>Prevention of osteoporosis-related fractures that leads to reduced morbidity and mortality</w:t>
            </w:r>
          </w:p>
        </w:tc>
      </w:tr>
      <w:tr w:rsidR="00420437" w:rsidRPr="002E14F6" w14:paraId="5812C8D8" w14:textId="77777777" w:rsidTr="005F1ABD">
        <w:tc>
          <w:tcPr>
            <w:tcW w:w="1255" w:type="dxa"/>
            <w:vAlign w:val="center"/>
          </w:tcPr>
          <w:p w14:paraId="32700EA6" w14:textId="77777777" w:rsidR="00420437" w:rsidRPr="002E14F6" w:rsidRDefault="00420437" w:rsidP="005F1ABD">
            <w:pPr>
              <w:pStyle w:val="COMTabletext"/>
            </w:pPr>
            <w:r w:rsidRPr="002E14F6">
              <w:t>Clinical claim</w:t>
            </w:r>
          </w:p>
        </w:tc>
        <w:tc>
          <w:tcPr>
            <w:tcW w:w="7901" w:type="dxa"/>
            <w:vAlign w:val="center"/>
          </w:tcPr>
          <w:p w14:paraId="0FEED29F" w14:textId="77777777" w:rsidR="00420437" w:rsidRPr="002E14F6" w:rsidRDefault="00420437" w:rsidP="005F1ABD">
            <w:pPr>
              <w:pStyle w:val="COMTabletext"/>
            </w:pPr>
            <w:r w:rsidRPr="002E14F6">
              <w:t>Risedronate EC is superior in terms of efficacy and non-inferior in terms of safety compared to placebo</w:t>
            </w:r>
          </w:p>
        </w:tc>
      </w:tr>
    </w:tbl>
    <w:p w14:paraId="63AFF151" w14:textId="77777777" w:rsidR="00420437" w:rsidRPr="002E14F6" w:rsidRDefault="00420437" w:rsidP="00420437">
      <w:pPr>
        <w:pStyle w:val="COMTablefooter"/>
      </w:pPr>
      <w:r w:rsidRPr="002E14F6">
        <w:t>Source: Table 1, p18 of the submission</w:t>
      </w:r>
    </w:p>
    <w:p w14:paraId="6B4AB6C2" w14:textId="7F01D731" w:rsidR="005C25FF" w:rsidRPr="002E14F6" w:rsidRDefault="005C25FF" w:rsidP="004A6040">
      <w:pPr>
        <w:pStyle w:val="COMH1numbered"/>
      </w:pPr>
      <w:bookmarkStart w:id="3" w:name="_Toc113980146"/>
      <w:r w:rsidRPr="002E14F6">
        <w:lastRenderedPageBreak/>
        <w:t>Background</w:t>
      </w:r>
      <w:bookmarkEnd w:id="3"/>
    </w:p>
    <w:p w14:paraId="2C521D6D" w14:textId="78CF03EE" w:rsidR="005C25FF" w:rsidRPr="002E14F6" w:rsidRDefault="005C25FF" w:rsidP="004A6040">
      <w:pPr>
        <w:pStyle w:val="COMH2-non-numbered"/>
      </w:pPr>
      <w:bookmarkStart w:id="4" w:name="_Toc22897638"/>
      <w:bookmarkStart w:id="5" w:name="_Toc113980147"/>
      <w:r w:rsidRPr="002E14F6">
        <w:t>Registration status</w:t>
      </w:r>
      <w:bookmarkEnd w:id="4"/>
      <w:bookmarkEnd w:id="5"/>
    </w:p>
    <w:p w14:paraId="5374AD55" w14:textId="2DA0404A" w:rsidR="005C25FF" w:rsidRPr="00966B2C" w:rsidRDefault="007E3219" w:rsidP="00966B2C">
      <w:pPr>
        <w:widowControl w:val="0"/>
        <w:numPr>
          <w:ilvl w:val="1"/>
          <w:numId w:val="1"/>
        </w:numPr>
        <w:spacing w:after="120"/>
        <w:ind w:left="720" w:hanging="720"/>
        <w:rPr>
          <w:bCs/>
        </w:rPr>
      </w:pPr>
      <w:r w:rsidRPr="00966B2C">
        <w:rPr>
          <w:rFonts w:asciiTheme="minorHAnsi" w:hAnsiTheme="minorHAnsi"/>
          <w:bCs/>
          <w:snapToGrid w:val="0"/>
        </w:rPr>
        <w:t>Risedronate EC was first approved by the TGA in March 2011 and is currently approved for the following indications:</w:t>
      </w:r>
    </w:p>
    <w:p w14:paraId="77CF1AC4" w14:textId="406394A7" w:rsidR="007E3219" w:rsidRPr="002E14F6" w:rsidRDefault="007E3219" w:rsidP="00AC2E27">
      <w:pPr>
        <w:pStyle w:val="COMexecsummbulletlist"/>
        <w:spacing w:after="0"/>
        <w:ind w:left="1134" w:hanging="357"/>
      </w:pPr>
      <w:r w:rsidRPr="002E14F6">
        <w:t>Treatment of osteoporosis.</w:t>
      </w:r>
    </w:p>
    <w:p w14:paraId="7CCE33A0" w14:textId="474AB032" w:rsidR="007E3219" w:rsidRPr="002E14F6" w:rsidRDefault="007E3219" w:rsidP="00AC2E27">
      <w:pPr>
        <w:pStyle w:val="COMexecsummbulletlist"/>
        <w:spacing w:after="0"/>
        <w:ind w:left="1134" w:hanging="357"/>
      </w:pPr>
      <w:r w:rsidRPr="002E14F6">
        <w:t>Treatment of glucocorticoid-induced osteoporosis.</w:t>
      </w:r>
    </w:p>
    <w:p w14:paraId="06A7C860" w14:textId="7F56CF81" w:rsidR="007E3219" w:rsidRPr="002E14F6" w:rsidRDefault="007E3219" w:rsidP="00AC2E27">
      <w:pPr>
        <w:pStyle w:val="COMexecsummbulletlist"/>
        <w:ind w:left="1134"/>
      </w:pPr>
      <w:r w:rsidRPr="002E14F6">
        <w:t>Preservation of bone mineral density in patients on long term corticosteroid therapy.</w:t>
      </w:r>
    </w:p>
    <w:p w14:paraId="1470274C" w14:textId="48915342" w:rsidR="007E3219" w:rsidRPr="00966B2C" w:rsidRDefault="007E3219" w:rsidP="00966B2C">
      <w:pPr>
        <w:widowControl w:val="0"/>
        <w:numPr>
          <w:ilvl w:val="1"/>
          <w:numId w:val="1"/>
        </w:numPr>
        <w:spacing w:after="120"/>
        <w:ind w:left="720" w:hanging="720"/>
        <w:rPr>
          <w:bCs/>
        </w:rPr>
      </w:pPr>
      <w:r w:rsidRPr="00966B2C">
        <w:rPr>
          <w:rFonts w:asciiTheme="minorHAnsi" w:hAnsiTheme="minorHAnsi"/>
          <w:bCs/>
          <w:snapToGrid w:val="0"/>
        </w:rPr>
        <w:t xml:space="preserve">No TGA documentation was included in the submission apart from the product information. The submission noted that risedronate EC has been subject to multiple sponsor transfers since the initial approval and the current sponsor faced challenges sourcing historical data for this product. </w:t>
      </w:r>
    </w:p>
    <w:p w14:paraId="0A33E246" w14:textId="3D748971" w:rsidR="003C04BA" w:rsidRPr="00D17225" w:rsidRDefault="003C04BA" w:rsidP="00D17225">
      <w:pPr>
        <w:pStyle w:val="COMBody"/>
        <w:ind w:left="709"/>
        <w:rPr>
          <w:b/>
          <w:i/>
          <w:iCs/>
        </w:rPr>
      </w:pPr>
      <w:bookmarkStart w:id="6" w:name="_Hlk76375324"/>
      <w:r w:rsidRPr="00D17225">
        <w:rPr>
          <w:i/>
          <w:iCs/>
        </w:rPr>
        <w:t>For more detail on PBAC’s view, see section 7 PBAC outcome.</w:t>
      </w:r>
      <w:bookmarkEnd w:id="6"/>
    </w:p>
    <w:p w14:paraId="22BAEBD6" w14:textId="5300C2F6" w:rsidR="00046D64" w:rsidRPr="002E14F6" w:rsidRDefault="00B50DB8" w:rsidP="004B1CB4">
      <w:pPr>
        <w:pStyle w:val="COMH1numbered"/>
      </w:pPr>
      <w:bookmarkStart w:id="7" w:name="_Toc107902078"/>
      <w:bookmarkStart w:id="8" w:name="_Toc113980148"/>
      <w:bookmarkEnd w:id="7"/>
      <w:r w:rsidRPr="002E14F6">
        <w:t>Requested listing</w:t>
      </w:r>
      <w:bookmarkEnd w:id="8"/>
    </w:p>
    <w:p w14:paraId="711DCC82" w14:textId="6A3A582D" w:rsidR="00D30D5B" w:rsidRPr="00966B2C" w:rsidRDefault="007C7A10" w:rsidP="00966B2C">
      <w:pPr>
        <w:widowControl w:val="0"/>
        <w:numPr>
          <w:ilvl w:val="1"/>
          <w:numId w:val="1"/>
        </w:numPr>
        <w:spacing w:after="120"/>
        <w:ind w:left="720" w:hanging="720"/>
        <w:rPr>
          <w:bCs/>
        </w:rPr>
      </w:pPr>
      <w:r w:rsidRPr="00966B2C">
        <w:rPr>
          <w:rFonts w:asciiTheme="minorHAnsi" w:hAnsiTheme="minorHAnsi"/>
          <w:bCs/>
          <w:snapToGrid w:val="0"/>
        </w:rPr>
        <w:t xml:space="preserve">The requested expansion of the current listing of risedronate EC for primary prevention of osteoporosis was based on a proposed </w:t>
      </w:r>
      <w:r w:rsidR="009C4563" w:rsidRPr="00966B2C">
        <w:rPr>
          <w:rFonts w:asciiTheme="minorHAnsi" w:hAnsiTheme="minorHAnsi"/>
          <w:bCs/>
          <w:snapToGrid w:val="0"/>
        </w:rPr>
        <w:t>removal</w:t>
      </w:r>
      <w:r w:rsidRPr="00966B2C">
        <w:rPr>
          <w:rFonts w:asciiTheme="minorHAnsi" w:hAnsiTheme="minorHAnsi"/>
          <w:bCs/>
          <w:snapToGrid w:val="0"/>
        </w:rPr>
        <w:t xml:space="preserve"> of the</w:t>
      </w:r>
      <w:r w:rsidR="00DC7952" w:rsidRPr="00966B2C">
        <w:rPr>
          <w:rFonts w:asciiTheme="minorHAnsi" w:hAnsiTheme="minorHAnsi"/>
          <w:bCs/>
          <w:snapToGrid w:val="0"/>
        </w:rPr>
        <w:t xml:space="preserve"> existing</w:t>
      </w:r>
      <w:r w:rsidRPr="00966B2C">
        <w:rPr>
          <w:rFonts w:asciiTheme="minorHAnsi" w:hAnsiTheme="minorHAnsi"/>
          <w:bCs/>
          <w:snapToGrid w:val="0"/>
        </w:rPr>
        <w:t xml:space="preserve"> age criterion</w:t>
      </w:r>
      <w:r w:rsidR="00DC7952" w:rsidRPr="00966B2C">
        <w:rPr>
          <w:rFonts w:asciiTheme="minorHAnsi" w:hAnsiTheme="minorHAnsi"/>
          <w:bCs/>
          <w:snapToGrid w:val="0"/>
        </w:rPr>
        <w:t>, which limits PBS-subsidised therapy to patients aged 70 years or over</w:t>
      </w:r>
      <w:r w:rsidRPr="00966B2C">
        <w:rPr>
          <w:rFonts w:asciiTheme="minorHAnsi" w:hAnsiTheme="minorHAnsi"/>
          <w:bCs/>
          <w:snapToGrid w:val="0"/>
        </w:rPr>
        <w:t>. This amendment was presented in a simple format with no other changes requested in the submission</w:t>
      </w:r>
      <w:r w:rsidR="006F65D2" w:rsidRPr="00966B2C">
        <w:rPr>
          <w:rFonts w:asciiTheme="minorHAnsi" w:hAnsiTheme="minorHAnsi"/>
          <w:bCs/>
          <w:snapToGrid w:val="0"/>
        </w:rPr>
        <w:t>.</w:t>
      </w:r>
      <w:r w:rsidRPr="00966B2C">
        <w:rPr>
          <w:rFonts w:asciiTheme="minorHAnsi" w:hAnsiTheme="minorHAnsi"/>
          <w:bCs/>
          <w:snapToGrid w:val="0"/>
        </w:rPr>
        <w:t xml:space="preserve"> Full details of the requested restriction were not presented in the submission but were assumed during the evaluation based on the existing PBS listing of risedronate EC. The requested listing is presented below with proposed deletions in strikethrough.</w:t>
      </w: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4"/>
        <w:gridCol w:w="1822"/>
        <w:gridCol w:w="832"/>
        <w:gridCol w:w="831"/>
        <w:gridCol w:w="832"/>
        <w:gridCol w:w="1656"/>
        <w:gridCol w:w="13"/>
      </w:tblGrid>
      <w:tr w:rsidR="00A41C74" w:rsidRPr="002E14F6" w14:paraId="7C3D36DE" w14:textId="77777777" w:rsidTr="001234B3">
        <w:trPr>
          <w:cantSplit/>
          <w:trHeight w:val="20"/>
        </w:trPr>
        <w:tc>
          <w:tcPr>
            <w:tcW w:w="3044" w:type="dxa"/>
            <w:vAlign w:val="center"/>
          </w:tcPr>
          <w:p w14:paraId="78A86E2A" w14:textId="77777777" w:rsidR="00A41C74" w:rsidRPr="002E14F6" w:rsidRDefault="00A41C74" w:rsidP="005F1ABD">
            <w:pPr>
              <w:keepNext/>
              <w:keepLines/>
              <w:rPr>
                <w:rFonts w:ascii="Arial Narrow" w:hAnsi="Arial Narrow"/>
                <w:b/>
                <w:bCs/>
                <w:sz w:val="20"/>
                <w:szCs w:val="20"/>
              </w:rPr>
            </w:pPr>
            <w:r w:rsidRPr="002E14F6">
              <w:rPr>
                <w:rFonts w:ascii="Arial Narrow" w:hAnsi="Arial Narrow"/>
                <w:b/>
                <w:bCs/>
                <w:sz w:val="20"/>
                <w:szCs w:val="20"/>
              </w:rPr>
              <w:t>MEDICINAL PRODUCT</w:t>
            </w:r>
          </w:p>
          <w:p w14:paraId="70973F5C" w14:textId="77777777" w:rsidR="00A41C74" w:rsidRPr="002E14F6" w:rsidRDefault="00A41C74" w:rsidP="005F1ABD">
            <w:pPr>
              <w:keepNext/>
              <w:keepLines/>
              <w:rPr>
                <w:rFonts w:ascii="Arial Narrow" w:hAnsi="Arial Narrow"/>
                <w:b/>
                <w:sz w:val="20"/>
                <w:szCs w:val="20"/>
              </w:rPr>
            </w:pPr>
            <w:r w:rsidRPr="002E14F6">
              <w:rPr>
                <w:rFonts w:ascii="Arial Narrow" w:hAnsi="Arial Narrow"/>
                <w:b/>
                <w:bCs/>
                <w:sz w:val="20"/>
                <w:szCs w:val="20"/>
              </w:rPr>
              <w:t>medicinal product pack</w:t>
            </w:r>
          </w:p>
        </w:tc>
        <w:tc>
          <w:tcPr>
            <w:tcW w:w="1822" w:type="dxa"/>
            <w:vAlign w:val="center"/>
          </w:tcPr>
          <w:p w14:paraId="7566A13B" w14:textId="77777777" w:rsidR="00A41C74" w:rsidRPr="002E14F6" w:rsidRDefault="00A41C74" w:rsidP="005F1ABD">
            <w:pPr>
              <w:pStyle w:val="COMTabletext"/>
              <w:keepLines/>
              <w:rPr>
                <w:b/>
                <w:bCs w:val="0"/>
                <w:szCs w:val="20"/>
              </w:rPr>
            </w:pPr>
            <w:r w:rsidRPr="002E14F6">
              <w:rPr>
                <w:b/>
                <w:bCs w:val="0"/>
                <w:snapToGrid w:val="0"/>
              </w:rPr>
              <w:t xml:space="preserve">Dispensed Price for Max. Qty </w:t>
            </w:r>
          </w:p>
        </w:tc>
        <w:tc>
          <w:tcPr>
            <w:tcW w:w="832" w:type="dxa"/>
            <w:vAlign w:val="center"/>
          </w:tcPr>
          <w:p w14:paraId="7D445B87" w14:textId="77777777" w:rsidR="00A41C74" w:rsidRPr="002E14F6" w:rsidRDefault="00A41C74" w:rsidP="005F1ABD">
            <w:pPr>
              <w:keepNext/>
              <w:keepLines/>
              <w:jc w:val="center"/>
              <w:rPr>
                <w:rFonts w:ascii="Arial Narrow" w:hAnsi="Arial Narrow"/>
                <w:b/>
                <w:sz w:val="20"/>
                <w:szCs w:val="20"/>
              </w:rPr>
            </w:pPr>
            <w:r w:rsidRPr="002E14F6">
              <w:rPr>
                <w:rFonts w:ascii="Arial Narrow" w:hAnsi="Arial Narrow"/>
                <w:b/>
                <w:sz w:val="20"/>
                <w:szCs w:val="20"/>
              </w:rPr>
              <w:t>Max. qty packs</w:t>
            </w:r>
          </w:p>
        </w:tc>
        <w:tc>
          <w:tcPr>
            <w:tcW w:w="831" w:type="dxa"/>
            <w:vAlign w:val="center"/>
          </w:tcPr>
          <w:p w14:paraId="42783710" w14:textId="77777777" w:rsidR="00A41C74" w:rsidRPr="002E14F6" w:rsidRDefault="00A41C74" w:rsidP="005F1ABD">
            <w:pPr>
              <w:keepNext/>
              <w:keepLines/>
              <w:jc w:val="center"/>
              <w:rPr>
                <w:rFonts w:ascii="Arial Narrow" w:hAnsi="Arial Narrow"/>
                <w:b/>
                <w:sz w:val="20"/>
                <w:szCs w:val="20"/>
              </w:rPr>
            </w:pPr>
            <w:r w:rsidRPr="002E14F6">
              <w:rPr>
                <w:rFonts w:ascii="Arial Narrow" w:hAnsi="Arial Narrow"/>
                <w:b/>
                <w:sz w:val="20"/>
                <w:szCs w:val="20"/>
              </w:rPr>
              <w:t>Max. qty units</w:t>
            </w:r>
          </w:p>
        </w:tc>
        <w:tc>
          <w:tcPr>
            <w:tcW w:w="832" w:type="dxa"/>
            <w:vAlign w:val="center"/>
          </w:tcPr>
          <w:p w14:paraId="18E545BE" w14:textId="77777777" w:rsidR="00A41C74" w:rsidRPr="002E14F6" w:rsidRDefault="00A41C74" w:rsidP="005F1ABD">
            <w:pPr>
              <w:keepNext/>
              <w:keepLines/>
              <w:jc w:val="center"/>
              <w:rPr>
                <w:rFonts w:ascii="Arial Narrow" w:hAnsi="Arial Narrow"/>
                <w:b/>
                <w:sz w:val="20"/>
                <w:szCs w:val="20"/>
              </w:rPr>
            </w:pPr>
            <w:r w:rsidRPr="002E14F6">
              <w:rPr>
                <w:rFonts w:ascii="Arial Narrow" w:hAnsi="Arial Narrow"/>
                <w:b/>
                <w:sz w:val="20"/>
                <w:szCs w:val="20"/>
              </w:rPr>
              <w:t>№.of</w:t>
            </w:r>
          </w:p>
          <w:p w14:paraId="2EB15733" w14:textId="77777777" w:rsidR="00A41C74" w:rsidRPr="002E14F6" w:rsidRDefault="00A41C74" w:rsidP="005F1ABD">
            <w:pPr>
              <w:keepNext/>
              <w:keepLines/>
              <w:jc w:val="center"/>
              <w:rPr>
                <w:rFonts w:ascii="Arial Narrow" w:hAnsi="Arial Narrow"/>
                <w:b/>
                <w:sz w:val="20"/>
                <w:szCs w:val="20"/>
              </w:rPr>
            </w:pPr>
            <w:r w:rsidRPr="002E14F6">
              <w:rPr>
                <w:rFonts w:ascii="Arial Narrow" w:hAnsi="Arial Narrow"/>
                <w:b/>
                <w:sz w:val="20"/>
                <w:szCs w:val="20"/>
              </w:rPr>
              <w:t>Rpts</w:t>
            </w:r>
          </w:p>
        </w:tc>
        <w:tc>
          <w:tcPr>
            <w:tcW w:w="1669" w:type="dxa"/>
            <w:gridSpan w:val="2"/>
            <w:vAlign w:val="center"/>
          </w:tcPr>
          <w:p w14:paraId="646B1CD0" w14:textId="77777777" w:rsidR="00A41C74" w:rsidRPr="002E14F6" w:rsidRDefault="00A41C74" w:rsidP="005F1ABD">
            <w:pPr>
              <w:keepNext/>
              <w:keepLines/>
              <w:rPr>
                <w:rFonts w:ascii="Arial Narrow" w:hAnsi="Arial Narrow"/>
                <w:b/>
                <w:sz w:val="20"/>
                <w:szCs w:val="20"/>
              </w:rPr>
            </w:pPr>
            <w:r w:rsidRPr="002E14F6">
              <w:rPr>
                <w:rFonts w:ascii="Arial Narrow" w:hAnsi="Arial Narrow"/>
                <w:b/>
                <w:sz w:val="20"/>
                <w:szCs w:val="20"/>
              </w:rPr>
              <w:t>Available brands</w:t>
            </w:r>
          </w:p>
        </w:tc>
      </w:tr>
      <w:tr w:rsidR="00A41C74" w:rsidRPr="002E14F6" w14:paraId="604693D6" w14:textId="77777777" w:rsidTr="001234B3">
        <w:trPr>
          <w:cantSplit/>
          <w:trHeight w:val="20"/>
        </w:trPr>
        <w:tc>
          <w:tcPr>
            <w:tcW w:w="9030" w:type="dxa"/>
            <w:gridSpan w:val="7"/>
            <w:vAlign w:val="center"/>
          </w:tcPr>
          <w:p w14:paraId="536EE4A6" w14:textId="77777777" w:rsidR="00A41C74" w:rsidRPr="002E14F6" w:rsidRDefault="00A41C74" w:rsidP="005F1ABD">
            <w:pPr>
              <w:pStyle w:val="COMTabletext"/>
              <w:keepLines/>
              <w:rPr>
                <w:rFonts w:cs="Arial"/>
                <w:szCs w:val="20"/>
              </w:rPr>
            </w:pPr>
            <w:r w:rsidRPr="002E14F6">
              <w:t>RISEDRONATE</w:t>
            </w:r>
            <w:r w:rsidRPr="002E14F6">
              <w:rPr>
                <w:rFonts w:cs="Arial"/>
                <w:color w:val="0066FF"/>
                <w:szCs w:val="20"/>
              </w:rPr>
              <w:t xml:space="preserve"> </w:t>
            </w:r>
          </w:p>
        </w:tc>
      </w:tr>
      <w:tr w:rsidR="00A41C74" w:rsidRPr="002E14F6" w14:paraId="4DBE9799" w14:textId="77777777" w:rsidTr="001234B3">
        <w:trPr>
          <w:cantSplit/>
          <w:trHeight w:val="20"/>
        </w:trPr>
        <w:tc>
          <w:tcPr>
            <w:tcW w:w="3044" w:type="dxa"/>
            <w:vAlign w:val="center"/>
          </w:tcPr>
          <w:p w14:paraId="0EA2694A" w14:textId="77777777" w:rsidR="00A41C74" w:rsidRPr="002E14F6" w:rsidRDefault="00A41C74" w:rsidP="005F1ABD">
            <w:pPr>
              <w:pStyle w:val="COMTabletext"/>
            </w:pPr>
            <w:r w:rsidRPr="002E14F6">
              <w:t xml:space="preserve">risedronate sodium 35 mg enteric tablet </w:t>
            </w:r>
          </w:p>
        </w:tc>
        <w:tc>
          <w:tcPr>
            <w:tcW w:w="1822" w:type="dxa"/>
            <w:vAlign w:val="center"/>
          </w:tcPr>
          <w:p w14:paraId="07ADE89E" w14:textId="77777777" w:rsidR="00A41C74" w:rsidRPr="002E14F6" w:rsidRDefault="00A41C74" w:rsidP="005F1ABD">
            <w:pPr>
              <w:pStyle w:val="COMTabletext"/>
              <w:keepLines/>
              <w:jc w:val="center"/>
              <w:rPr>
                <w:szCs w:val="20"/>
                <w:vertAlign w:val="superscript"/>
              </w:rPr>
            </w:pPr>
            <w:r w:rsidRPr="002E14F6">
              <w:t xml:space="preserve">$36.09 </w:t>
            </w:r>
            <w:r w:rsidRPr="002E14F6">
              <w:rPr>
                <w:vertAlign w:val="superscript"/>
              </w:rPr>
              <w:t>a</w:t>
            </w:r>
          </w:p>
        </w:tc>
        <w:tc>
          <w:tcPr>
            <w:tcW w:w="832" w:type="dxa"/>
            <w:vAlign w:val="center"/>
          </w:tcPr>
          <w:p w14:paraId="35C1B9BC" w14:textId="77777777" w:rsidR="00A41C74" w:rsidRPr="002E14F6" w:rsidRDefault="00A41C74" w:rsidP="005F1ABD">
            <w:pPr>
              <w:keepNext/>
              <w:keepLines/>
              <w:jc w:val="center"/>
              <w:rPr>
                <w:rFonts w:ascii="Arial Narrow" w:hAnsi="Arial Narrow"/>
                <w:sz w:val="20"/>
                <w:szCs w:val="20"/>
              </w:rPr>
            </w:pPr>
            <w:r w:rsidRPr="002E14F6">
              <w:rPr>
                <w:rFonts w:ascii="Arial Narrow" w:hAnsi="Arial Narrow"/>
                <w:sz w:val="20"/>
              </w:rPr>
              <w:t>1</w:t>
            </w:r>
          </w:p>
        </w:tc>
        <w:tc>
          <w:tcPr>
            <w:tcW w:w="831" w:type="dxa"/>
            <w:vAlign w:val="center"/>
          </w:tcPr>
          <w:p w14:paraId="63FF2DF2" w14:textId="77777777" w:rsidR="00A41C74" w:rsidRPr="002E14F6" w:rsidRDefault="00A41C74" w:rsidP="005F1ABD">
            <w:pPr>
              <w:keepNext/>
              <w:keepLines/>
              <w:jc w:val="center"/>
              <w:rPr>
                <w:rFonts w:ascii="Arial Narrow" w:hAnsi="Arial Narrow"/>
                <w:sz w:val="20"/>
                <w:szCs w:val="20"/>
              </w:rPr>
            </w:pPr>
            <w:r w:rsidRPr="002E14F6">
              <w:rPr>
                <w:rFonts w:ascii="Arial Narrow" w:hAnsi="Arial Narrow"/>
                <w:sz w:val="20"/>
              </w:rPr>
              <w:t>4</w:t>
            </w:r>
          </w:p>
        </w:tc>
        <w:tc>
          <w:tcPr>
            <w:tcW w:w="832" w:type="dxa"/>
            <w:vAlign w:val="center"/>
          </w:tcPr>
          <w:p w14:paraId="4F929626" w14:textId="77777777" w:rsidR="00A41C74" w:rsidRPr="002E14F6" w:rsidRDefault="00A41C74" w:rsidP="005F1ABD">
            <w:pPr>
              <w:keepNext/>
              <w:keepLines/>
              <w:jc w:val="center"/>
              <w:rPr>
                <w:rFonts w:ascii="Arial Narrow" w:hAnsi="Arial Narrow"/>
                <w:sz w:val="20"/>
                <w:szCs w:val="20"/>
              </w:rPr>
            </w:pPr>
            <w:r w:rsidRPr="002E14F6">
              <w:rPr>
                <w:rFonts w:ascii="Arial Narrow" w:hAnsi="Arial Narrow"/>
                <w:sz w:val="20"/>
              </w:rPr>
              <w:t>5</w:t>
            </w:r>
          </w:p>
        </w:tc>
        <w:tc>
          <w:tcPr>
            <w:tcW w:w="1669" w:type="dxa"/>
            <w:gridSpan w:val="2"/>
            <w:vAlign w:val="center"/>
          </w:tcPr>
          <w:p w14:paraId="45970599" w14:textId="77777777" w:rsidR="00A41C74" w:rsidRPr="002E14F6" w:rsidRDefault="00A41C74" w:rsidP="005F1ABD">
            <w:pPr>
              <w:keepNext/>
              <w:keepLines/>
              <w:rPr>
                <w:rFonts w:ascii="Arial Narrow" w:hAnsi="Arial Narrow"/>
                <w:color w:val="0066FF"/>
                <w:sz w:val="20"/>
                <w:szCs w:val="20"/>
              </w:rPr>
            </w:pPr>
            <w:r w:rsidRPr="002E14F6">
              <w:rPr>
                <w:rFonts w:ascii="Arial Narrow" w:hAnsi="Arial Narrow"/>
                <w:sz w:val="20"/>
                <w:szCs w:val="20"/>
              </w:rPr>
              <w:t>actonel EC</w:t>
            </w:r>
          </w:p>
        </w:tc>
      </w:tr>
      <w:tr w:rsidR="00A41C74" w:rsidRPr="002E14F6" w14:paraId="4EB7237A" w14:textId="77777777" w:rsidTr="001234B3">
        <w:tblPrEx>
          <w:tblCellMar>
            <w:top w:w="15" w:type="dxa"/>
            <w:bottom w:w="15" w:type="dxa"/>
          </w:tblCellMar>
          <w:tblLook w:val="04A0" w:firstRow="1" w:lastRow="0" w:firstColumn="1" w:lastColumn="0" w:noHBand="0" w:noVBand="1"/>
        </w:tblPrEx>
        <w:trPr>
          <w:gridAfter w:val="1"/>
          <w:wAfter w:w="13" w:type="dxa"/>
          <w:cantSplit/>
          <w:trHeight w:val="20"/>
        </w:trPr>
        <w:tc>
          <w:tcPr>
            <w:tcW w:w="9017" w:type="dxa"/>
            <w:gridSpan w:val="6"/>
          </w:tcPr>
          <w:p w14:paraId="2E8F68E0" w14:textId="77777777" w:rsidR="00A41C74" w:rsidRPr="002E14F6" w:rsidRDefault="00A41C74" w:rsidP="005F1ABD">
            <w:pPr>
              <w:pStyle w:val="COMTabletext"/>
              <w:keepLines/>
            </w:pPr>
            <w:r w:rsidRPr="002E14F6">
              <w:rPr>
                <w:b/>
              </w:rPr>
              <w:t xml:space="preserve">Category / Program: </w:t>
            </w:r>
            <w:r w:rsidRPr="002E14F6">
              <w:t>General Schedule</w:t>
            </w:r>
          </w:p>
        </w:tc>
      </w:tr>
      <w:tr w:rsidR="00A41C74" w:rsidRPr="002E14F6" w14:paraId="37C18105" w14:textId="77777777" w:rsidTr="001234B3">
        <w:tblPrEx>
          <w:tblCellMar>
            <w:top w:w="15" w:type="dxa"/>
            <w:bottom w:w="15" w:type="dxa"/>
          </w:tblCellMar>
          <w:tblLook w:val="04A0" w:firstRow="1" w:lastRow="0" w:firstColumn="1" w:lastColumn="0" w:noHBand="0" w:noVBand="1"/>
        </w:tblPrEx>
        <w:trPr>
          <w:gridAfter w:val="1"/>
          <w:wAfter w:w="13" w:type="dxa"/>
          <w:cantSplit/>
          <w:trHeight w:val="20"/>
        </w:trPr>
        <w:tc>
          <w:tcPr>
            <w:tcW w:w="9017" w:type="dxa"/>
            <w:gridSpan w:val="6"/>
          </w:tcPr>
          <w:p w14:paraId="62D8F1CF" w14:textId="77777777" w:rsidR="00A41C74" w:rsidRPr="002E14F6" w:rsidRDefault="00A41C74" w:rsidP="005F1ABD">
            <w:pPr>
              <w:pStyle w:val="COMTabletext"/>
              <w:keepLines/>
              <w:rPr>
                <w:b/>
              </w:rPr>
            </w:pPr>
            <w:r w:rsidRPr="002E14F6">
              <w:rPr>
                <w:b/>
              </w:rPr>
              <w:t xml:space="preserve">Prescriber type: </w:t>
            </w:r>
            <w:r w:rsidRPr="002E14F6">
              <w:fldChar w:fldCharType="begin" w:fldLock="1">
                <w:ffData>
                  <w:name w:val=""/>
                  <w:enabled/>
                  <w:calcOnExit w:val="0"/>
                  <w:checkBox>
                    <w:sizeAuto/>
                    <w:default w:val="1"/>
                  </w:checkBox>
                </w:ffData>
              </w:fldChar>
            </w:r>
            <w:r w:rsidRPr="002E14F6">
              <w:instrText xml:space="preserve"> FORMCHECKBOX </w:instrText>
            </w:r>
            <w:r w:rsidR="00400174">
              <w:fldChar w:fldCharType="separate"/>
            </w:r>
            <w:r w:rsidRPr="002E14F6">
              <w:fldChar w:fldCharType="end"/>
            </w:r>
            <w:r w:rsidRPr="002E14F6">
              <w:t xml:space="preserve">Medical Practitioners </w:t>
            </w:r>
            <w:r w:rsidRPr="002E14F6">
              <w:fldChar w:fldCharType="begin" w:fldLock="1">
                <w:ffData>
                  <w:name w:val="Check3"/>
                  <w:enabled/>
                  <w:calcOnExit w:val="0"/>
                  <w:checkBox>
                    <w:sizeAuto/>
                    <w:default w:val="1"/>
                  </w:checkBox>
                </w:ffData>
              </w:fldChar>
            </w:r>
            <w:r w:rsidRPr="002E14F6">
              <w:instrText xml:space="preserve"> FORMCHECKBOX </w:instrText>
            </w:r>
            <w:r w:rsidR="00400174">
              <w:fldChar w:fldCharType="separate"/>
            </w:r>
            <w:r w:rsidRPr="002E14F6">
              <w:fldChar w:fldCharType="end"/>
            </w:r>
            <w:r w:rsidRPr="002E14F6">
              <w:t xml:space="preserve">Nurse practitioners </w:t>
            </w:r>
          </w:p>
        </w:tc>
      </w:tr>
      <w:tr w:rsidR="00A41C74" w:rsidRPr="002E14F6" w14:paraId="53EF941C" w14:textId="77777777" w:rsidTr="001234B3">
        <w:tblPrEx>
          <w:tblCellMar>
            <w:top w:w="15" w:type="dxa"/>
            <w:bottom w:w="15" w:type="dxa"/>
          </w:tblCellMar>
          <w:tblLook w:val="04A0" w:firstRow="1" w:lastRow="0" w:firstColumn="1" w:lastColumn="0" w:noHBand="0" w:noVBand="1"/>
        </w:tblPrEx>
        <w:trPr>
          <w:gridAfter w:val="1"/>
          <w:wAfter w:w="13" w:type="dxa"/>
          <w:cantSplit/>
          <w:trHeight w:val="20"/>
        </w:trPr>
        <w:tc>
          <w:tcPr>
            <w:tcW w:w="9017" w:type="dxa"/>
            <w:gridSpan w:val="6"/>
          </w:tcPr>
          <w:p w14:paraId="157F6919" w14:textId="77777777" w:rsidR="00A41C74" w:rsidRPr="002E14F6" w:rsidRDefault="00A41C74" w:rsidP="005F1ABD">
            <w:pPr>
              <w:pStyle w:val="COMTabletext"/>
              <w:keepLines/>
              <w:rPr>
                <w:rFonts w:eastAsia="Times New Roman"/>
              </w:rPr>
            </w:pPr>
            <w:r w:rsidRPr="002E14F6">
              <w:rPr>
                <w:b/>
              </w:rPr>
              <w:t xml:space="preserve">Restriction type: </w:t>
            </w:r>
            <w:r w:rsidRPr="002E14F6">
              <w:rPr>
                <w:rFonts w:eastAsia="Times New Roman"/>
              </w:rPr>
              <w:fldChar w:fldCharType="begin" w:fldLock="1">
                <w:ffData>
                  <w:name w:val="Check1"/>
                  <w:enabled/>
                  <w:calcOnExit w:val="0"/>
                  <w:checkBox>
                    <w:sizeAuto/>
                    <w:default w:val="1"/>
                  </w:checkBox>
                </w:ffData>
              </w:fldChar>
            </w:r>
            <w:r w:rsidRPr="002E14F6">
              <w:rPr>
                <w:rFonts w:eastAsia="Times New Roman"/>
              </w:rPr>
              <w:instrText xml:space="preserve"> FORMCHECKBOX </w:instrText>
            </w:r>
            <w:r w:rsidR="00400174">
              <w:rPr>
                <w:rFonts w:eastAsia="Times New Roman"/>
              </w:rPr>
            </w:r>
            <w:r w:rsidR="00400174">
              <w:rPr>
                <w:rFonts w:eastAsia="Times New Roman"/>
              </w:rPr>
              <w:fldChar w:fldCharType="separate"/>
            </w:r>
            <w:r w:rsidRPr="002E14F6">
              <w:rPr>
                <w:rFonts w:eastAsia="Times New Roman"/>
              </w:rPr>
              <w:fldChar w:fldCharType="end"/>
            </w:r>
            <w:r w:rsidRPr="002E14F6">
              <w:rPr>
                <w:rFonts w:eastAsia="Times New Roman"/>
              </w:rPr>
              <w:t>Restricted benefit</w:t>
            </w:r>
          </w:p>
        </w:tc>
      </w:tr>
      <w:tr w:rsidR="00A41C74" w:rsidRPr="002E14F6" w14:paraId="2DE1182F" w14:textId="77777777" w:rsidTr="001234B3">
        <w:tblPrEx>
          <w:tblCellMar>
            <w:top w:w="15" w:type="dxa"/>
            <w:bottom w:w="15" w:type="dxa"/>
          </w:tblCellMar>
          <w:tblLook w:val="04A0" w:firstRow="1" w:lastRow="0" w:firstColumn="1" w:lastColumn="0" w:noHBand="0" w:noVBand="1"/>
        </w:tblPrEx>
        <w:trPr>
          <w:gridAfter w:val="1"/>
          <w:wAfter w:w="13" w:type="dxa"/>
          <w:cantSplit/>
          <w:trHeight w:val="20"/>
        </w:trPr>
        <w:tc>
          <w:tcPr>
            <w:tcW w:w="9017" w:type="dxa"/>
            <w:gridSpan w:val="6"/>
            <w:vAlign w:val="center"/>
          </w:tcPr>
          <w:p w14:paraId="2911E092" w14:textId="77777777" w:rsidR="00A41C74" w:rsidRPr="002E14F6" w:rsidRDefault="00A41C74" w:rsidP="005F1ABD">
            <w:pPr>
              <w:pStyle w:val="COMTabletext"/>
              <w:keepLines/>
              <w:rPr>
                <w:b/>
              </w:rPr>
            </w:pPr>
            <w:r w:rsidRPr="002E14F6">
              <w:rPr>
                <w:b/>
              </w:rPr>
              <w:t xml:space="preserve">Condition: </w:t>
            </w:r>
            <w:r w:rsidRPr="002E14F6">
              <w:t>Osteoporosis</w:t>
            </w:r>
            <w:r w:rsidRPr="002E14F6">
              <w:rPr>
                <w:color w:val="0066FF"/>
              </w:rPr>
              <w:t xml:space="preserve"> </w:t>
            </w:r>
          </w:p>
        </w:tc>
      </w:tr>
      <w:tr w:rsidR="00A41C74" w:rsidRPr="002E14F6" w14:paraId="7D62E077" w14:textId="77777777" w:rsidTr="001234B3">
        <w:tblPrEx>
          <w:tblCellMar>
            <w:top w:w="15" w:type="dxa"/>
            <w:bottom w:w="15" w:type="dxa"/>
          </w:tblCellMar>
          <w:tblLook w:val="04A0" w:firstRow="1" w:lastRow="0" w:firstColumn="1" w:lastColumn="0" w:noHBand="0" w:noVBand="1"/>
        </w:tblPrEx>
        <w:trPr>
          <w:gridAfter w:val="1"/>
          <w:wAfter w:w="13" w:type="dxa"/>
          <w:cantSplit/>
          <w:trHeight w:val="20"/>
        </w:trPr>
        <w:tc>
          <w:tcPr>
            <w:tcW w:w="9017" w:type="dxa"/>
            <w:gridSpan w:val="6"/>
            <w:vAlign w:val="center"/>
          </w:tcPr>
          <w:p w14:paraId="2F698011" w14:textId="77777777" w:rsidR="00A41C74" w:rsidRPr="002E14F6" w:rsidRDefault="00A41C74" w:rsidP="005F1ABD">
            <w:pPr>
              <w:pStyle w:val="COMTabletext"/>
              <w:keepLines/>
              <w:rPr>
                <w:b/>
              </w:rPr>
            </w:pPr>
            <w:r w:rsidRPr="002E14F6">
              <w:rPr>
                <w:b/>
                <w:strike/>
              </w:rPr>
              <w:t>Population criteria:</w:t>
            </w:r>
          </w:p>
        </w:tc>
      </w:tr>
      <w:tr w:rsidR="00A41C74" w:rsidRPr="002E14F6" w14:paraId="1CED7E1C" w14:textId="77777777" w:rsidTr="001234B3">
        <w:tblPrEx>
          <w:tblCellMar>
            <w:top w:w="15" w:type="dxa"/>
            <w:bottom w:w="15" w:type="dxa"/>
          </w:tblCellMar>
          <w:tblLook w:val="04A0" w:firstRow="1" w:lastRow="0" w:firstColumn="1" w:lastColumn="0" w:noHBand="0" w:noVBand="1"/>
        </w:tblPrEx>
        <w:trPr>
          <w:gridAfter w:val="1"/>
          <w:wAfter w:w="13" w:type="dxa"/>
          <w:cantSplit/>
          <w:trHeight w:val="20"/>
        </w:trPr>
        <w:tc>
          <w:tcPr>
            <w:tcW w:w="9017" w:type="dxa"/>
            <w:gridSpan w:val="6"/>
            <w:vAlign w:val="center"/>
          </w:tcPr>
          <w:p w14:paraId="554A42B2" w14:textId="77777777" w:rsidR="00A41C74" w:rsidRPr="002E14F6" w:rsidRDefault="00A41C74" w:rsidP="005F1ABD">
            <w:pPr>
              <w:pStyle w:val="COMTabletext"/>
              <w:keepLines/>
              <w:rPr>
                <w:b/>
              </w:rPr>
            </w:pPr>
            <w:r w:rsidRPr="002E14F6">
              <w:rPr>
                <w:strike/>
              </w:rPr>
              <w:t>Patient must be aged 70 years or older</w:t>
            </w:r>
          </w:p>
        </w:tc>
      </w:tr>
      <w:tr w:rsidR="00A41C74" w:rsidRPr="002E14F6" w14:paraId="009F72A9" w14:textId="77777777" w:rsidTr="001234B3">
        <w:tblPrEx>
          <w:tblCellMar>
            <w:top w:w="15" w:type="dxa"/>
            <w:bottom w:w="15" w:type="dxa"/>
          </w:tblCellMar>
          <w:tblLook w:val="04A0" w:firstRow="1" w:lastRow="0" w:firstColumn="1" w:lastColumn="0" w:noHBand="0" w:noVBand="1"/>
        </w:tblPrEx>
        <w:trPr>
          <w:gridAfter w:val="1"/>
          <w:wAfter w:w="13" w:type="dxa"/>
          <w:cantSplit/>
          <w:trHeight w:val="20"/>
        </w:trPr>
        <w:tc>
          <w:tcPr>
            <w:tcW w:w="9017" w:type="dxa"/>
            <w:gridSpan w:val="6"/>
            <w:vAlign w:val="center"/>
            <w:hideMark/>
          </w:tcPr>
          <w:p w14:paraId="5E0BAAAC" w14:textId="77777777" w:rsidR="00A41C74" w:rsidRPr="002E14F6" w:rsidRDefault="00A41C74" w:rsidP="005F1ABD">
            <w:pPr>
              <w:pStyle w:val="COMTabletext"/>
              <w:keepLines/>
            </w:pPr>
            <w:r w:rsidRPr="002E14F6">
              <w:rPr>
                <w:b/>
              </w:rPr>
              <w:t>Clinical criteria:</w:t>
            </w:r>
          </w:p>
        </w:tc>
      </w:tr>
      <w:tr w:rsidR="00A41C74" w:rsidRPr="002E14F6" w14:paraId="61733335" w14:textId="77777777" w:rsidTr="001234B3">
        <w:tblPrEx>
          <w:tblCellMar>
            <w:top w:w="15" w:type="dxa"/>
            <w:bottom w:w="15" w:type="dxa"/>
          </w:tblCellMar>
          <w:tblLook w:val="04A0" w:firstRow="1" w:lastRow="0" w:firstColumn="1" w:lastColumn="0" w:noHBand="0" w:noVBand="1"/>
        </w:tblPrEx>
        <w:trPr>
          <w:gridAfter w:val="1"/>
          <w:wAfter w:w="13" w:type="dxa"/>
          <w:cantSplit/>
          <w:trHeight w:val="20"/>
        </w:trPr>
        <w:tc>
          <w:tcPr>
            <w:tcW w:w="9017" w:type="dxa"/>
            <w:gridSpan w:val="6"/>
            <w:vAlign w:val="center"/>
          </w:tcPr>
          <w:p w14:paraId="7FFE7FA1" w14:textId="77777777" w:rsidR="00A41C74" w:rsidRPr="002E14F6" w:rsidRDefault="00A41C74" w:rsidP="005F1ABD">
            <w:pPr>
              <w:pStyle w:val="COMTabletext"/>
              <w:keepLines/>
            </w:pPr>
            <w:r w:rsidRPr="002E14F6">
              <w:t>Patient must have a Bone Mineral Density (BMD) T-score of -2.5 or less,</w:t>
            </w:r>
          </w:p>
        </w:tc>
      </w:tr>
      <w:tr w:rsidR="00A41C74" w:rsidRPr="002E14F6" w14:paraId="2597EBDB" w14:textId="77777777" w:rsidTr="001234B3">
        <w:tblPrEx>
          <w:tblCellMar>
            <w:top w:w="15" w:type="dxa"/>
            <w:bottom w:w="15" w:type="dxa"/>
          </w:tblCellMar>
          <w:tblLook w:val="04A0" w:firstRow="1" w:lastRow="0" w:firstColumn="1" w:lastColumn="0" w:noHBand="0" w:noVBand="1"/>
        </w:tblPrEx>
        <w:trPr>
          <w:gridAfter w:val="1"/>
          <w:wAfter w:w="13" w:type="dxa"/>
          <w:cantSplit/>
          <w:trHeight w:val="20"/>
        </w:trPr>
        <w:tc>
          <w:tcPr>
            <w:tcW w:w="9017" w:type="dxa"/>
            <w:gridSpan w:val="6"/>
            <w:vAlign w:val="center"/>
            <w:hideMark/>
          </w:tcPr>
          <w:p w14:paraId="1B80570A" w14:textId="77777777" w:rsidR="00A41C74" w:rsidRPr="002E14F6" w:rsidRDefault="00A41C74" w:rsidP="005F1ABD">
            <w:pPr>
              <w:pStyle w:val="COMTabletext"/>
              <w:keepLines/>
            </w:pPr>
            <w:r w:rsidRPr="002E14F6">
              <w:rPr>
                <w:b/>
              </w:rPr>
              <w:t>AND</w:t>
            </w:r>
          </w:p>
        </w:tc>
      </w:tr>
      <w:tr w:rsidR="00A41C74" w:rsidRPr="002E14F6" w14:paraId="43464374" w14:textId="77777777" w:rsidTr="001234B3">
        <w:tblPrEx>
          <w:tblCellMar>
            <w:top w:w="15" w:type="dxa"/>
            <w:bottom w:w="15" w:type="dxa"/>
          </w:tblCellMar>
          <w:tblLook w:val="04A0" w:firstRow="1" w:lastRow="0" w:firstColumn="1" w:lastColumn="0" w:noHBand="0" w:noVBand="1"/>
        </w:tblPrEx>
        <w:trPr>
          <w:gridAfter w:val="1"/>
          <w:wAfter w:w="13" w:type="dxa"/>
          <w:cantSplit/>
          <w:trHeight w:val="20"/>
        </w:trPr>
        <w:tc>
          <w:tcPr>
            <w:tcW w:w="9017" w:type="dxa"/>
            <w:gridSpan w:val="6"/>
            <w:vAlign w:val="center"/>
            <w:hideMark/>
          </w:tcPr>
          <w:p w14:paraId="50400680" w14:textId="77777777" w:rsidR="00A41C74" w:rsidRPr="002E14F6" w:rsidRDefault="00A41C74" w:rsidP="005F1ABD">
            <w:pPr>
              <w:pStyle w:val="COMTabletext"/>
              <w:keepLines/>
            </w:pPr>
            <w:r w:rsidRPr="002E14F6">
              <w:rPr>
                <w:b/>
              </w:rPr>
              <w:t>Clinical criteria:</w:t>
            </w:r>
          </w:p>
        </w:tc>
      </w:tr>
      <w:tr w:rsidR="00A41C74" w:rsidRPr="002E14F6" w14:paraId="1E1ED50D" w14:textId="77777777" w:rsidTr="001234B3">
        <w:tblPrEx>
          <w:tblCellMar>
            <w:top w:w="15" w:type="dxa"/>
            <w:bottom w:w="15" w:type="dxa"/>
          </w:tblCellMar>
          <w:tblLook w:val="04A0" w:firstRow="1" w:lastRow="0" w:firstColumn="1" w:lastColumn="0" w:noHBand="0" w:noVBand="1"/>
        </w:tblPrEx>
        <w:trPr>
          <w:gridAfter w:val="1"/>
          <w:wAfter w:w="13" w:type="dxa"/>
          <w:cantSplit/>
          <w:trHeight w:val="20"/>
        </w:trPr>
        <w:tc>
          <w:tcPr>
            <w:tcW w:w="9017" w:type="dxa"/>
            <w:gridSpan w:val="6"/>
            <w:vAlign w:val="center"/>
            <w:hideMark/>
          </w:tcPr>
          <w:p w14:paraId="799682A4" w14:textId="77777777" w:rsidR="00A41C74" w:rsidRPr="002E14F6" w:rsidRDefault="00A41C74" w:rsidP="005F1ABD">
            <w:pPr>
              <w:pStyle w:val="COMTabletext"/>
              <w:keepLines/>
            </w:pPr>
            <w:r w:rsidRPr="002E14F6">
              <w:t>Patient must not receive concomitant treatment with any other PBS-subsidised anti-resorptive agent for this condition</w:t>
            </w:r>
          </w:p>
        </w:tc>
      </w:tr>
      <w:tr w:rsidR="00A41C74" w:rsidRPr="002E14F6" w14:paraId="72D6E64C" w14:textId="77777777" w:rsidTr="001234B3">
        <w:tblPrEx>
          <w:tblCellMar>
            <w:top w:w="15" w:type="dxa"/>
            <w:bottom w:w="15" w:type="dxa"/>
          </w:tblCellMar>
          <w:tblLook w:val="04A0" w:firstRow="1" w:lastRow="0" w:firstColumn="1" w:lastColumn="0" w:noHBand="0" w:noVBand="1"/>
        </w:tblPrEx>
        <w:trPr>
          <w:gridAfter w:val="1"/>
          <w:wAfter w:w="13" w:type="dxa"/>
          <w:cantSplit/>
          <w:trHeight w:val="20"/>
        </w:trPr>
        <w:tc>
          <w:tcPr>
            <w:tcW w:w="9017" w:type="dxa"/>
            <w:gridSpan w:val="6"/>
            <w:vAlign w:val="center"/>
            <w:hideMark/>
          </w:tcPr>
          <w:p w14:paraId="1FE016C9" w14:textId="77777777" w:rsidR="00A41C74" w:rsidRPr="002E14F6" w:rsidRDefault="00A41C74" w:rsidP="005F1ABD">
            <w:pPr>
              <w:pStyle w:val="COMTabletext"/>
              <w:keepLines/>
            </w:pPr>
            <w:r w:rsidRPr="002E14F6">
              <w:rPr>
                <w:b/>
              </w:rPr>
              <w:t xml:space="preserve">Prescribing Instructions: </w:t>
            </w:r>
            <w:r w:rsidRPr="002E14F6">
              <w:rPr>
                <w:bCs w:val="0"/>
              </w:rPr>
              <w:t>The date, site (femoral neck or lumbar spine) and score of the qualifying BMD measurement must be documented in the patient's medical records when treatment is initiated</w:t>
            </w:r>
          </w:p>
        </w:tc>
      </w:tr>
      <w:tr w:rsidR="00A41C74" w:rsidRPr="002E14F6" w14:paraId="7C3761D8" w14:textId="77777777" w:rsidTr="001234B3">
        <w:tblPrEx>
          <w:tblCellMar>
            <w:top w:w="15" w:type="dxa"/>
            <w:bottom w:w="15" w:type="dxa"/>
          </w:tblCellMar>
          <w:tblLook w:val="04A0" w:firstRow="1" w:lastRow="0" w:firstColumn="1" w:lastColumn="0" w:noHBand="0" w:noVBand="1"/>
        </w:tblPrEx>
        <w:trPr>
          <w:gridAfter w:val="1"/>
          <w:wAfter w:w="13" w:type="dxa"/>
          <w:cantSplit/>
          <w:trHeight w:val="20"/>
        </w:trPr>
        <w:tc>
          <w:tcPr>
            <w:tcW w:w="9017" w:type="dxa"/>
            <w:gridSpan w:val="6"/>
            <w:vAlign w:val="center"/>
            <w:hideMark/>
          </w:tcPr>
          <w:p w14:paraId="394DE42D" w14:textId="77777777" w:rsidR="00A41C74" w:rsidRPr="002E14F6" w:rsidRDefault="00A41C74" w:rsidP="005F1ABD">
            <w:pPr>
              <w:pStyle w:val="COMTabletext"/>
              <w:keepLines/>
            </w:pPr>
            <w:r w:rsidRPr="002E14F6">
              <w:rPr>
                <w:b/>
              </w:rPr>
              <w:t xml:space="preserve">Note: </w:t>
            </w:r>
            <w:r w:rsidRPr="002E14F6">
              <w:rPr>
                <w:bCs w:val="0"/>
              </w:rPr>
              <w:t>Anti-resorptive agents in osteoporosis</w:t>
            </w:r>
            <w:r w:rsidRPr="002E14F6">
              <w:rPr>
                <w:b/>
              </w:rPr>
              <w:t xml:space="preserve"> </w:t>
            </w:r>
            <w:r w:rsidRPr="002E14F6">
              <w:rPr>
                <w:bCs w:val="0"/>
              </w:rPr>
              <w:t>include alendronate sodium, risedronate sodium, denosumab, raloxifene hydrochloride and zoledronic acid.</w:t>
            </w:r>
          </w:p>
        </w:tc>
      </w:tr>
    </w:tbl>
    <w:p w14:paraId="5723AC62" w14:textId="53FDB25A" w:rsidR="00A41C74" w:rsidRPr="002E14F6" w:rsidRDefault="001234B3" w:rsidP="001234B3">
      <w:pPr>
        <w:pStyle w:val="COMTablefooter"/>
        <w:rPr>
          <w:i/>
          <w:iCs/>
        </w:rPr>
      </w:pPr>
      <w:r w:rsidRPr="002E14F6">
        <w:rPr>
          <w:vertAlign w:val="superscript"/>
        </w:rPr>
        <w:t>a</w:t>
      </w:r>
      <w:r w:rsidRPr="002E14F6">
        <w:t xml:space="preserve"> PBS April 2022 Schedule. The price in the PBS July 2022 schedule was $36.15.</w:t>
      </w:r>
    </w:p>
    <w:p w14:paraId="038E1529" w14:textId="7B1A4D7C" w:rsidR="007A233A" w:rsidRPr="00966B2C" w:rsidRDefault="007A233A" w:rsidP="00966B2C">
      <w:pPr>
        <w:widowControl w:val="0"/>
        <w:numPr>
          <w:ilvl w:val="1"/>
          <w:numId w:val="1"/>
        </w:numPr>
        <w:spacing w:after="120"/>
        <w:ind w:left="720" w:hanging="720"/>
        <w:rPr>
          <w:bCs/>
        </w:rPr>
      </w:pPr>
      <w:r w:rsidRPr="001A75FD">
        <w:t xml:space="preserve">The requested restriction is consistent with the TGA indication (treatment of </w:t>
      </w:r>
      <w:r w:rsidRPr="00966B2C">
        <w:rPr>
          <w:rFonts w:asciiTheme="minorHAnsi" w:hAnsiTheme="minorHAnsi"/>
          <w:bCs/>
          <w:snapToGrid w:val="0"/>
        </w:rPr>
        <w:t>osteoporosis). This was defined as patients with a BMD T-score of -2.5 or less, which is consistent with the diagnostic threshold recommended in Australian guidelines.</w:t>
      </w:r>
    </w:p>
    <w:p w14:paraId="3596A6A4" w14:textId="0F0984FE" w:rsidR="00D17225" w:rsidRPr="00966B2C" w:rsidRDefault="007A233A" w:rsidP="00966B2C">
      <w:pPr>
        <w:widowControl w:val="0"/>
        <w:numPr>
          <w:ilvl w:val="1"/>
          <w:numId w:val="1"/>
        </w:numPr>
        <w:spacing w:after="120"/>
        <w:ind w:left="720" w:hanging="720"/>
        <w:rPr>
          <w:bCs/>
        </w:rPr>
      </w:pPr>
      <w:r w:rsidRPr="00966B2C">
        <w:rPr>
          <w:rFonts w:asciiTheme="minorHAnsi" w:hAnsiTheme="minorHAnsi"/>
          <w:bCs/>
          <w:snapToGrid w:val="0"/>
        </w:rPr>
        <w:t>The submission noted that the requested restriction was age agnostic, while the economic model and budget impact were based on the 50–69-year-old population. The submission claimed that the inclusion of patients younger than 50 years would have minimal impact on the overall cost-effectiveness and financial estimates</w:t>
      </w:r>
      <w:r w:rsidR="001234B3" w:rsidRPr="00966B2C">
        <w:rPr>
          <w:rFonts w:asciiTheme="minorHAnsi" w:hAnsiTheme="minorHAnsi"/>
          <w:bCs/>
          <w:snapToGrid w:val="0"/>
        </w:rPr>
        <w:t>,</w:t>
      </w:r>
      <w:r w:rsidRPr="00966B2C">
        <w:rPr>
          <w:rFonts w:asciiTheme="minorHAnsi" w:hAnsiTheme="minorHAnsi"/>
          <w:bCs/>
          <w:snapToGrid w:val="0"/>
        </w:rPr>
        <w:t xml:space="preserve"> as the size of the treated population in this age group is likely to be relatively small. Th</w:t>
      </w:r>
      <w:r w:rsidR="00117DDF" w:rsidRPr="00966B2C">
        <w:rPr>
          <w:rFonts w:asciiTheme="minorHAnsi" w:hAnsiTheme="minorHAnsi"/>
          <w:bCs/>
          <w:snapToGrid w:val="0"/>
        </w:rPr>
        <w:t xml:space="preserve">e evaluation considered this claim </w:t>
      </w:r>
      <w:r w:rsidRPr="00966B2C">
        <w:rPr>
          <w:rFonts w:asciiTheme="minorHAnsi" w:hAnsiTheme="minorHAnsi"/>
          <w:bCs/>
          <w:snapToGrid w:val="0"/>
        </w:rPr>
        <w:t>was reasonable given the use of BMD scanning in patients less than 50 years for the detection of primary osteoporosis in the absence of a prior fracture is likely to be minimal.</w:t>
      </w:r>
      <w:r w:rsidR="00117DDF" w:rsidRPr="00966B2C">
        <w:rPr>
          <w:rFonts w:asciiTheme="minorHAnsi" w:hAnsiTheme="minorHAnsi"/>
          <w:bCs/>
          <w:snapToGrid w:val="0"/>
        </w:rPr>
        <w:t xml:space="preserve"> </w:t>
      </w:r>
    </w:p>
    <w:p w14:paraId="2CB568B6" w14:textId="126E376F" w:rsidR="00D17225" w:rsidRPr="008E5873" w:rsidRDefault="00D17225" w:rsidP="008E5873">
      <w:pPr>
        <w:pStyle w:val="COMBody"/>
        <w:ind w:left="709"/>
        <w:rPr>
          <w:b/>
          <w:i/>
          <w:iCs/>
        </w:rPr>
      </w:pPr>
      <w:r w:rsidRPr="00D17225">
        <w:rPr>
          <w:i/>
          <w:iCs/>
        </w:rPr>
        <w:t>For more detail on PBAC’s view, see section 7 PBAC outcome.</w:t>
      </w:r>
    </w:p>
    <w:p w14:paraId="7075B85C" w14:textId="62A47B7B" w:rsidR="00B50DB8" w:rsidRPr="002E14F6" w:rsidDel="00195452" w:rsidRDefault="00203181" w:rsidP="004E18E9">
      <w:pPr>
        <w:pStyle w:val="COMH1numbered"/>
      </w:pPr>
      <w:bookmarkStart w:id="9" w:name="_Toc113980149"/>
      <w:r w:rsidRPr="002E14F6" w:rsidDel="00195452">
        <w:t xml:space="preserve">Population and </w:t>
      </w:r>
      <w:r w:rsidR="008E0D3C" w:rsidRPr="002E14F6" w:rsidDel="00195452">
        <w:t>d</w:t>
      </w:r>
      <w:r w:rsidRPr="002E14F6" w:rsidDel="00195452">
        <w:t>isease</w:t>
      </w:r>
      <w:bookmarkEnd w:id="9"/>
    </w:p>
    <w:p w14:paraId="21FDD135" w14:textId="58F5E604" w:rsidR="00894489" w:rsidRPr="00966B2C" w:rsidRDefault="00171B00" w:rsidP="00966B2C">
      <w:pPr>
        <w:widowControl w:val="0"/>
        <w:numPr>
          <w:ilvl w:val="1"/>
          <w:numId w:val="1"/>
        </w:numPr>
        <w:spacing w:after="120"/>
        <w:ind w:left="720" w:hanging="720"/>
        <w:rPr>
          <w:bCs/>
        </w:rPr>
      </w:pPr>
      <w:r w:rsidRPr="001A75FD">
        <w:t xml:space="preserve">Osteoporosis is a condition that occurs when the bones lose minerals more </w:t>
      </w:r>
      <w:r w:rsidRPr="00966B2C">
        <w:rPr>
          <w:rFonts w:asciiTheme="minorHAnsi" w:hAnsiTheme="minorHAnsi"/>
          <w:bCs/>
          <w:snapToGrid w:val="0"/>
        </w:rPr>
        <w:t>quickly than the body can replace them, leading to enhanced bone fragility (due to reduced bone mass and micro-architectural deterioration of bone tissue) and a consequent increase in fracture risk. Loss of bone strength occurs gradually over many years and usually shows no symptoms. The most common fractures occur at the hip, spine and wrist and can lead to increased mortality, long-lasting pain, reduced mobility and disability.</w:t>
      </w:r>
    </w:p>
    <w:p w14:paraId="6C85FC92" w14:textId="04D2962D" w:rsidR="0059065F" w:rsidRPr="00966B2C" w:rsidRDefault="0059065F" w:rsidP="00966B2C">
      <w:pPr>
        <w:widowControl w:val="0"/>
        <w:numPr>
          <w:ilvl w:val="1"/>
          <w:numId w:val="1"/>
        </w:numPr>
        <w:spacing w:after="120"/>
        <w:ind w:left="720" w:hanging="720"/>
        <w:rPr>
          <w:bCs/>
        </w:rPr>
      </w:pPr>
      <w:r w:rsidRPr="00966B2C">
        <w:rPr>
          <w:rFonts w:asciiTheme="minorHAnsi" w:hAnsiTheme="minorHAnsi"/>
          <w:bCs/>
          <w:snapToGrid w:val="0"/>
        </w:rPr>
        <w:t>The submission positioned risedronate EC for the treatment of patients aged less than 70 years with a BMD T-score of -2.5 or less</w:t>
      </w:r>
      <w:r w:rsidR="005046BB" w:rsidRPr="00966B2C">
        <w:rPr>
          <w:rFonts w:asciiTheme="minorHAnsi" w:hAnsiTheme="minorHAnsi"/>
          <w:bCs/>
          <w:snapToGrid w:val="0"/>
        </w:rPr>
        <w:t xml:space="preserve"> who are without fracture,</w:t>
      </w:r>
      <w:r w:rsidRPr="00966B2C">
        <w:rPr>
          <w:rFonts w:asciiTheme="minorHAnsi" w:hAnsiTheme="minorHAnsi"/>
          <w:bCs/>
          <w:snapToGrid w:val="0"/>
        </w:rPr>
        <w:t xml:space="preserve"> as an alternative to watchful waiting (ongoing monitoring and/or use of calcium and vitamin D supplements). The submission noted that there are no currently subsidised treatments for </w:t>
      </w:r>
      <w:r w:rsidR="002900A1" w:rsidRPr="00966B2C">
        <w:rPr>
          <w:rFonts w:asciiTheme="minorHAnsi" w:hAnsiTheme="minorHAnsi"/>
          <w:bCs/>
          <w:snapToGrid w:val="0"/>
        </w:rPr>
        <w:t>the targeted group</w:t>
      </w:r>
      <w:r w:rsidRPr="00966B2C">
        <w:rPr>
          <w:rFonts w:asciiTheme="minorHAnsi" w:hAnsiTheme="minorHAnsi"/>
          <w:bCs/>
          <w:snapToGrid w:val="0"/>
        </w:rPr>
        <w:t>, however, there is potential for patients to access a wide range of osteoporosis treatments (e.g. bisphosphonates and denosumab) on the private market. The degree of utilisation of osteoporosis treatments outside of PBS restrictions is currently unknown.</w:t>
      </w:r>
    </w:p>
    <w:p w14:paraId="3912E2FA" w14:textId="199ACD4D" w:rsidR="009D2C40" w:rsidRPr="00966B2C" w:rsidRDefault="00E56DC1" w:rsidP="00966B2C">
      <w:pPr>
        <w:widowControl w:val="0"/>
        <w:numPr>
          <w:ilvl w:val="1"/>
          <w:numId w:val="1"/>
        </w:numPr>
        <w:spacing w:after="120"/>
        <w:ind w:left="720" w:hanging="720"/>
        <w:rPr>
          <w:bCs/>
        </w:rPr>
      </w:pPr>
      <w:r w:rsidRPr="00966B2C">
        <w:rPr>
          <w:rFonts w:asciiTheme="minorHAnsi" w:hAnsiTheme="minorHAnsi"/>
          <w:bCs/>
          <w:snapToGrid w:val="0"/>
        </w:rPr>
        <w:t>The submission noted that in patients without fracture, MBS-subsidised BMD testing is currently limited to patients aged 70 years or older or patients with secondary osteoporosis. However, the submission claimed no expected changes to assessment and monitoring associated with the proposed listing of risedronate EC as these patients would likely be monitored in the same way as those currently receiving standard of care.</w:t>
      </w:r>
      <w:r w:rsidR="00F30F92" w:rsidRPr="00966B2C">
        <w:rPr>
          <w:rFonts w:asciiTheme="minorHAnsi" w:hAnsiTheme="minorHAnsi"/>
          <w:bCs/>
          <w:snapToGrid w:val="0"/>
        </w:rPr>
        <w:t xml:space="preserve"> The availability of risedronate EC for younger patients with a specified BMD threshold may increase the use of BMD tests in clinical practice. However, the additional population are not eligible for MBS-subsidised testing and therefore patients would be subject to out-of-pocket costs.</w:t>
      </w:r>
    </w:p>
    <w:p w14:paraId="18EC0CBB" w14:textId="7C9693FE" w:rsidR="00E56DC1" w:rsidRPr="00966B2C" w:rsidRDefault="00E56DC1" w:rsidP="00966B2C">
      <w:pPr>
        <w:widowControl w:val="0"/>
        <w:numPr>
          <w:ilvl w:val="1"/>
          <w:numId w:val="1"/>
        </w:numPr>
        <w:spacing w:after="120"/>
        <w:ind w:left="720" w:hanging="720"/>
        <w:rPr>
          <w:bCs/>
        </w:rPr>
      </w:pPr>
      <w:bookmarkStart w:id="10" w:name="_Hlk113452922"/>
      <w:r w:rsidRPr="00966B2C">
        <w:rPr>
          <w:rFonts w:asciiTheme="minorHAnsi" w:hAnsiTheme="minorHAnsi"/>
          <w:bCs/>
          <w:snapToGrid w:val="0"/>
        </w:rPr>
        <w:t>During the evaluation, the MSAC ESC Secretariat advised that there were no active applications seeking to amend the existing MBS items for BMD testing. The MSAC ESC Secretariat noted that MSAC application 1665 (seeking to use radiofrequency echographic multi spectrometry for bone density measurement) was considered at the</w:t>
      </w:r>
      <w:r w:rsidR="00CA252B" w:rsidRPr="00966B2C">
        <w:rPr>
          <w:rFonts w:asciiTheme="minorHAnsi" w:hAnsiTheme="minorHAnsi"/>
          <w:bCs/>
          <w:snapToGrid w:val="0"/>
        </w:rPr>
        <w:t xml:space="preserve"> </w:t>
      </w:r>
      <w:r w:rsidRPr="00966B2C">
        <w:rPr>
          <w:rFonts w:asciiTheme="minorHAnsi" w:hAnsiTheme="minorHAnsi"/>
          <w:bCs/>
          <w:snapToGrid w:val="0"/>
        </w:rPr>
        <w:t>July 2022</w:t>
      </w:r>
      <w:r w:rsidR="00CA252B" w:rsidRPr="00966B2C">
        <w:rPr>
          <w:rFonts w:asciiTheme="minorHAnsi" w:hAnsiTheme="minorHAnsi"/>
          <w:bCs/>
          <w:snapToGrid w:val="0"/>
        </w:rPr>
        <w:t xml:space="preserve"> MSAC</w:t>
      </w:r>
      <w:r w:rsidRPr="00966B2C">
        <w:rPr>
          <w:rFonts w:asciiTheme="minorHAnsi" w:hAnsiTheme="minorHAnsi"/>
          <w:bCs/>
          <w:snapToGrid w:val="0"/>
        </w:rPr>
        <w:t xml:space="preserve"> meeting, however, the application did not request changes to patient eligibility</w:t>
      </w:r>
      <w:r w:rsidR="00987186" w:rsidRPr="00966B2C">
        <w:rPr>
          <w:rFonts w:asciiTheme="minorHAnsi" w:hAnsiTheme="minorHAnsi"/>
          <w:bCs/>
          <w:snapToGrid w:val="0"/>
        </w:rPr>
        <w:t>/</w:t>
      </w:r>
      <w:r w:rsidR="00B43D75" w:rsidRPr="00966B2C">
        <w:rPr>
          <w:rFonts w:asciiTheme="minorHAnsi" w:hAnsiTheme="minorHAnsi"/>
          <w:bCs/>
          <w:snapToGrid w:val="0"/>
        </w:rPr>
        <w:t xml:space="preserve">use </w:t>
      </w:r>
      <w:r w:rsidR="00987186" w:rsidRPr="00966B2C">
        <w:rPr>
          <w:rFonts w:asciiTheme="minorHAnsi" w:hAnsiTheme="minorHAnsi"/>
          <w:bCs/>
          <w:snapToGrid w:val="0"/>
        </w:rPr>
        <w:t>in a broader population</w:t>
      </w:r>
      <w:r w:rsidRPr="00966B2C">
        <w:rPr>
          <w:rFonts w:asciiTheme="minorHAnsi" w:hAnsiTheme="minorHAnsi"/>
          <w:bCs/>
          <w:snapToGrid w:val="0"/>
        </w:rPr>
        <w:t>. The</w:t>
      </w:r>
      <w:r w:rsidR="00B43D75" w:rsidRPr="00966B2C">
        <w:rPr>
          <w:rFonts w:asciiTheme="minorHAnsi" w:hAnsiTheme="minorHAnsi"/>
          <w:bCs/>
          <w:snapToGrid w:val="0"/>
        </w:rPr>
        <w:t xml:space="preserve"> evaluation considered there</w:t>
      </w:r>
      <w:r w:rsidRPr="00966B2C">
        <w:rPr>
          <w:rFonts w:asciiTheme="minorHAnsi" w:hAnsiTheme="minorHAnsi"/>
          <w:bCs/>
          <w:snapToGrid w:val="0"/>
        </w:rPr>
        <w:t xml:space="preserve"> may be equity issues if subsidised BMD testing is not uniformly available to all patients eligible for PBS-subsidised osteoporosis treatment.</w:t>
      </w:r>
      <w:r w:rsidR="0091151B" w:rsidRPr="00966B2C">
        <w:rPr>
          <w:rFonts w:asciiTheme="minorHAnsi" w:hAnsiTheme="minorHAnsi"/>
          <w:bCs/>
          <w:snapToGrid w:val="0"/>
        </w:rPr>
        <w:t xml:space="preserve"> </w:t>
      </w:r>
    </w:p>
    <w:bookmarkEnd w:id="10"/>
    <w:p w14:paraId="5151544A" w14:textId="28733F03" w:rsidR="00E56DC1" w:rsidRPr="00966B2C" w:rsidRDefault="00E56DC1" w:rsidP="00966B2C">
      <w:pPr>
        <w:widowControl w:val="0"/>
        <w:numPr>
          <w:ilvl w:val="1"/>
          <w:numId w:val="1"/>
        </w:numPr>
        <w:spacing w:after="120"/>
        <w:ind w:left="720" w:hanging="720"/>
        <w:rPr>
          <w:bCs/>
        </w:rPr>
      </w:pPr>
      <w:r w:rsidRPr="00966B2C">
        <w:rPr>
          <w:rFonts w:asciiTheme="minorHAnsi" w:hAnsiTheme="minorHAnsi"/>
          <w:bCs/>
          <w:snapToGrid w:val="0"/>
        </w:rPr>
        <w:t>The PBAC previously considered that the logistics and funding of BMD testing requires resolution prior to any PBS listing of osteoporosis medications (alendronate P</w:t>
      </w:r>
      <w:r w:rsidR="00CA252B" w:rsidRPr="00966B2C">
        <w:rPr>
          <w:rFonts w:asciiTheme="minorHAnsi" w:hAnsiTheme="minorHAnsi"/>
          <w:bCs/>
          <w:snapToGrid w:val="0"/>
        </w:rPr>
        <w:t xml:space="preserve">ublic </w:t>
      </w:r>
      <w:r w:rsidRPr="00966B2C">
        <w:rPr>
          <w:rFonts w:asciiTheme="minorHAnsi" w:hAnsiTheme="minorHAnsi"/>
          <w:bCs/>
          <w:snapToGrid w:val="0"/>
        </w:rPr>
        <w:t>S</w:t>
      </w:r>
      <w:r w:rsidR="00CA252B" w:rsidRPr="00966B2C">
        <w:rPr>
          <w:rFonts w:asciiTheme="minorHAnsi" w:hAnsiTheme="minorHAnsi"/>
          <w:bCs/>
          <w:snapToGrid w:val="0"/>
        </w:rPr>
        <w:t xml:space="preserve">ummary </w:t>
      </w:r>
      <w:r w:rsidRPr="00966B2C">
        <w:rPr>
          <w:rFonts w:asciiTheme="minorHAnsi" w:hAnsiTheme="minorHAnsi"/>
          <w:bCs/>
          <w:snapToGrid w:val="0"/>
        </w:rPr>
        <w:t>D</w:t>
      </w:r>
      <w:r w:rsidR="00CA252B" w:rsidRPr="00966B2C">
        <w:rPr>
          <w:rFonts w:asciiTheme="minorHAnsi" w:hAnsiTheme="minorHAnsi"/>
          <w:bCs/>
          <w:snapToGrid w:val="0"/>
        </w:rPr>
        <w:t>ocument</w:t>
      </w:r>
      <w:r w:rsidR="005A400F" w:rsidRPr="00966B2C">
        <w:rPr>
          <w:rFonts w:asciiTheme="minorHAnsi" w:hAnsiTheme="minorHAnsi"/>
          <w:bCs/>
          <w:snapToGrid w:val="0"/>
        </w:rPr>
        <w:t xml:space="preserve"> (PSD)</w:t>
      </w:r>
      <w:r w:rsidRPr="00966B2C">
        <w:rPr>
          <w:rFonts w:asciiTheme="minorHAnsi" w:hAnsiTheme="minorHAnsi"/>
          <w:bCs/>
          <w:snapToGrid w:val="0"/>
        </w:rPr>
        <w:t>, July 2006 PBAC meeting). The existing PBS restrictions for primary prevention of osteoporosis are co</w:t>
      </w:r>
      <w:r w:rsidR="00987186" w:rsidRPr="00966B2C">
        <w:rPr>
          <w:rFonts w:asciiTheme="minorHAnsi" w:hAnsiTheme="minorHAnsi"/>
          <w:bCs/>
          <w:snapToGrid w:val="0"/>
        </w:rPr>
        <w:t>-</w:t>
      </w:r>
      <w:r w:rsidRPr="00966B2C">
        <w:rPr>
          <w:rFonts w:asciiTheme="minorHAnsi" w:hAnsiTheme="minorHAnsi"/>
          <w:bCs/>
          <w:snapToGrid w:val="0"/>
        </w:rPr>
        <w:t xml:space="preserve">dependent on MBS items for BMD testing, in particular, items 12320 (screening of patients aged 70 years or older) and 12322 (monitoring of patients aged 70 years and above with osteopenia). </w:t>
      </w:r>
    </w:p>
    <w:p w14:paraId="2E648B06" w14:textId="03DA7047" w:rsidR="0091151B" w:rsidRPr="00966B2C" w:rsidRDefault="0091151B" w:rsidP="00966B2C">
      <w:pPr>
        <w:widowControl w:val="0"/>
        <w:numPr>
          <w:ilvl w:val="1"/>
          <w:numId w:val="1"/>
        </w:numPr>
        <w:spacing w:after="120"/>
        <w:ind w:left="720" w:hanging="720"/>
        <w:rPr>
          <w:bCs/>
        </w:rPr>
      </w:pPr>
      <w:r w:rsidRPr="00966B2C">
        <w:rPr>
          <w:rFonts w:asciiTheme="minorHAnsi" w:hAnsiTheme="minorHAnsi"/>
          <w:bCs/>
          <w:snapToGrid w:val="0"/>
        </w:rPr>
        <w:t>The Pre-Sub-Committee Response (PSCR) agreed with the evaluation that there may be equity issues if subsidised BMD testing is not uniformly available to all patients eligible for PBS-subsidised osteoporosis treatment. The PSCR</w:t>
      </w:r>
      <w:r w:rsidR="005D5DCE">
        <w:rPr>
          <w:rFonts w:asciiTheme="minorHAnsi" w:hAnsiTheme="minorHAnsi"/>
          <w:bCs/>
          <w:snapToGrid w:val="0"/>
        </w:rPr>
        <w:t xml:space="preserve"> </w:t>
      </w:r>
      <w:r w:rsidRPr="00966B2C">
        <w:rPr>
          <w:rFonts w:asciiTheme="minorHAnsi" w:hAnsiTheme="minorHAnsi"/>
          <w:bCs/>
          <w:snapToGrid w:val="0"/>
        </w:rPr>
        <w:t>stated it support</w:t>
      </w:r>
      <w:r w:rsidR="008E1D84">
        <w:rPr>
          <w:rFonts w:asciiTheme="minorHAnsi" w:hAnsiTheme="minorHAnsi"/>
          <w:bCs/>
          <w:snapToGrid w:val="0"/>
        </w:rPr>
        <w:t>ed</w:t>
      </w:r>
      <w:r w:rsidRPr="00966B2C">
        <w:rPr>
          <w:rFonts w:asciiTheme="minorHAnsi" w:hAnsiTheme="minorHAnsi"/>
          <w:bCs/>
          <w:snapToGrid w:val="0"/>
        </w:rPr>
        <w:t xml:space="preserve"> collaboration between the PBAC and MSAC to optimise access to and prudent utilisation of subsidised BMD testing. The ESC noted the existing PBS restrictions for primary prevention of osteoporosis are co-dependent on MBS items for BMD testing. The ESC advised that any submission requesting changes to the existing PBS restrictions should also consider the consequences of parallel changes to the MBS items for prerequisite BMD testing. The ESC noted that the submission did not consider the costs associated with BMD testing in the additional population in either the economic evaluation or the financial estimates.</w:t>
      </w:r>
    </w:p>
    <w:p w14:paraId="2934EADF" w14:textId="5AC487A2" w:rsidR="006B1C27" w:rsidRPr="00966B2C" w:rsidRDefault="009F7EDA" w:rsidP="00966B2C">
      <w:pPr>
        <w:widowControl w:val="0"/>
        <w:numPr>
          <w:ilvl w:val="1"/>
          <w:numId w:val="1"/>
        </w:numPr>
        <w:spacing w:after="120"/>
        <w:ind w:left="720" w:hanging="720"/>
        <w:rPr>
          <w:bCs/>
        </w:rPr>
      </w:pPr>
      <w:r w:rsidRPr="00966B2C">
        <w:rPr>
          <w:rFonts w:asciiTheme="minorHAnsi" w:hAnsiTheme="minorHAnsi"/>
          <w:bCs/>
          <w:snapToGrid w:val="0"/>
        </w:rPr>
        <w:t xml:space="preserve">The submission claimed the removal of the age criterion is appropriate as each individual’s risk profile should be assessed according to a broad range of risk factors </w:t>
      </w:r>
      <w:r w:rsidRPr="00DC4D12">
        <w:rPr>
          <w:rFonts w:asciiTheme="minorHAnsi" w:hAnsiTheme="minorHAnsi"/>
          <w:bCs/>
          <w:snapToGrid w:val="0"/>
        </w:rPr>
        <w:t>including parental fracture history, co-morbidities, other medications and lifestyle factors. Th</w:t>
      </w:r>
      <w:r w:rsidR="00117DDF" w:rsidRPr="00DC4D12">
        <w:rPr>
          <w:rFonts w:asciiTheme="minorHAnsi" w:hAnsiTheme="minorHAnsi"/>
          <w:bCs/>
          <w:snapToGrid w:val="0"/>
        </w:rPr>
        <w:t xml:space="preserve">e evaluation considered </w:t>
      </w:r>
      <w:r w:rsidR="00517D69" w:rsidRPr="00DC4D12">
        <w:rPr>
          <w:rFonts w:asciiTheme="minorHAnsi" w:hAnsiTheme="minorHAnsi"/>
          <w:bCs/>
          <w:snapToGrid w:val="0"/>
        </w:rPr>
        <w:t xml:space="preserve">this </w:t>
      </w:r>
      <w:r w:rsidRPr="00DC4D12">
        <w:rPr>
          <w:rFonts w:asciiTheme="minorHAnsi" w:hAnsiTheme="minorHAnsi"/>
          <w:bCs/>
          <w:snapToGrid w:val="0"/>
        </w:rPr>
        <w:t>claim was reasonable, however, the submission did not clearly characterise specific risk profiles within the</w:t>
      </w:r>
      <w:r w:rsidR="00665C28" w:rsidRPr="00DC4D12">
        <w:rPr>
          <w:rFonts w:asciiTheme="minorHAnsi" w:hAnsiTheme="minorHAnsi"/>
          <w:bCs/>
          <w:snapToGrid w:val="0"/>
        </w:rPr>
        <w:t xml:space="preserve"> younger</w:t>
      </w:r>
      <w:r w:rsidRPr="00DC4D12">
        <w:rPr>
          <w:rFonts w:asciiTheme="minorHAnsi" w:hAnsiTheme="minorHAnsi"/>
          <w:bCs/>
          <w:snapToGrid w:val="0"/>
        </w:rPr>
        <w:t xml:space="preserve"> requested population who would meet the intervention thresholds specified in </w:t>
      </w:r>
      <w:r w:rsidR="00CF4962" w:rsidRPr="00DC4D12">
        <w:rPr>
          <w:rFonts w:asciiTheme="minorHAnsi" w:hAnsiTheme="minorHAnsi"/>
          <w:bCs/>
          <w:snapToGrid w:val="0"/>
        </w:rPr>
        <w:t>published</w:t>
      </w:r>
      <w:r w:rsidR="00F425D4" w:rsidRPr="00DC4D12">
        <w:rPr>
          <w:rFonts w:asciiTheme="minorHAnsi" w:hAnsiTheme="minorHAnsi"/>
          <w:bCs/>
          <w:snapToGrid w:val="0"/>
        </w:rPr>
        <w:t xml:space="preserve"> Australian</w:t>
      </w:r>
      <w:r w:rsidRPr="00DC4D12">
        <w:rPr>
          <w:rFonts w:asciiTheme="minorHAnsi" w:hAnsiTheme="minorHAnsi"/>
          <w:bCs/>
          <w:snapToGrid w:val="0"/>
        </w:rPr>
        <w:t xml:space="preserve"> guidelines</w:t>
      </w:r>
      <w:r w:rsidR="00F425D4" w:rsidRPr="00DC4D12">
        <w:rPr>
          <w:rFonts w:asciiTheme="minorHAnsi" w:hAnsiTheme="minorHAnsi"/>
          <w:bCs/>
          <w:snapToGrid w:val="0"/>
        </w:rPr>
        <w:t xml:space="preserve"> (Healthy Bones Australia May 2022 Position Statement)</w:t>
      </w:r>
      <w:r w:rsidRPr="00DC4D12">
        <w:rPr>
          <w:rFonts w:asciiTheme="minorHAnsi" w:hAnsiTheme="minorHAnsi"/>
          <w:bCs/>
          <w:snapToGrid w:val="0"/>
        </w:rPr>
        <w:t>. During the evaluation, a summary of age and BMD T-score thresholds that would meet the recommended treatment thresholds based on the Garvan risk calculator (10-year risk of any fragility fracture &gt;20% or hip fracture &gt;3%) was presented in</w:t>
      </w:r>
      <w:r w:rsidR="00E70EC2" w:rsidRPr="00DC4D12">
        <w:rPr>
          <w:rFonts w:asciiTheme="minorHAnsi" w:hAnsiTheme="minorHAnsi"/>
          <w:bCs/>
          <w:snapToGrid w:val="0"/>
        </w:rPr>
        <w:t xml:space="preserve"> </w:t>
      </w:r>
      <w:r w:rsidR="00E70EC2" w:rsidRPr="00966B2C">
        <w:rPr>
          <w:rFonts w:asciiTheme="minorHAnsi" w:hAnsiTheme="minorHAnsi"/>
          <w:bCs/>
          <w:snapToGrid w:val="0"/>
        </w:rPr>
        <w:fldChar w:fldCharType="begin" w:fldLock="1"/>
      </w:r>
      <w:r w:rsidR="00E70EC2" w:rsidRPr="00966B2C">
        <w:rPr>
          <w:rFonts w:asciiTheme="minorHAnsi" w:hAnsiTheme="minorHAnsi"/>
          <w:bCs/>
          <w:snapToGrid w:val="0"/>
        </w:rPr>
        <w:instrText xml:space="preserve"> REF _Ref112667243 \h  \* MERGEFORMAT </w:instrText>
      </w:r>
      <w:r w:rsidR="00E70EC2" w:rsidRPr="00966B2C">
        <w:rPr>
          <w:rFonts w:asciiTheme="minorHAnsi" w:hAnsiTheme="minorHAnsi"/>
          <w:bCs/>
          <w:snapToGrid w:val="0"/>
        </w:rPr>
      </w:r>
      <w:r w:rsidR="00E70EC2" w:rsidRPr="00966B2C">
        <w:rPr>
          <w:rFonts w:asciiTheme="minorHAnsi" w:hAnsiTheme="minorHAnsi"/>
          <w:bCs/>
          <w:snapToGrid w:val="0"/>
        </w:rPr>
        <w:fldChar w:fldCharType="separate"/>
      </w:r>
      <w:r w:rsidR="00E70EC2" w:rsidRPr="00966B2C">
        <w:rPr>
          <w:rFonts w:asciiTheme="minorHAnsi" w:hAnsiTheme="minorHAnsi"/>
          <w:bCs/>
          <w:snapToGrid w:val="0"/>
        </w:rPr>
        <w:t>Table 2</w:t>
      </w:r>
      <w:r w:rsidR="00E70EC2" w:rsidRPr="00966B2C">
        <w:rPr>
          <w:rFonts w:asciiTheme="minorHAnsi" w:hAnsiTheme="minorHAnsi"/>
          <w:bCs/>
          <w:snapToGrid w:val="0"/>
        </w:rPr>
        <w:fldChar w:fldCharType="end"/>
      </w:r>
      <w:r w:rsidR="00E70EC2" w:rsidRPr="00966B2C">
        <w:rPr>
          <w:rFonts w:asciiTheme="minorHAnsi" w:hAnsiTheme="minorHAnsi"/>
          <w:bCs/>
          <w:snapToGrid w:val="0"/>
        </w:rPr>
        <w:t xml:space="preserve"> </w:t>
      </w:r>
      <w:r w:rsidRPr="00966B2C">
        <w:rPr>
          <w:rFonts w:asciiTheme="minorHAnsi" w:hAnsiTheme="minorHAnsi"/>
          <w:bCs/>
          <w:snapToGrid w:val="0"/>
        </w:rPr>
        <w:t>below.</w:t>
      </w:r>
    </w:p>
    <w:p w14:paraId="7EEE54A5" w14:textId="7C1FCFA9" w:rsidR="00FB0C59" w:rsidRPr="002E14F6" w:rsidRDefault="00E70EC2" w:rsidP="00E70EC2">
      <w:pPr>
        <w:pStyle w:val="COMtablefigcaption"/>
      </w:pPr>
      <w:bookmarkStart w:id="11" w:name="_Ref112667243"/>
      <w:r>
        <w:t xml:space="preserve">Table </w:t>
      </w:r>
      <w:r w:rsidR="00400174">
        <w:fldChar w:fldCharType="begin" w:fldLock="1"/>
      </w:r>
      <w:r w:rsidR="00400174">
        <w:instrText xml:space="preserve"> SEQ Table \* ARABIC </w:instrText>
      </w:r>
      <w:r w:rsidR="00400174">
        <w:fldChar w:fldCharType="separate"/>
      </w:r>
      <w:r w:rsidR="00C2719F">
        <w:rPr>
          <w:noProof/>
        </w:rPr>
        <w:t>2</w:t>
      </w:r>
      <w:r w:rsidR="00400174">
        <w:rPr>
          <w:noProof/>
        </w:rPr>
        <w:fldChar w:fldCharType="end"/>
      </w:r>
      <w:bookmarkEnd w:id="11"/>
      <w:r>
        <w:t xml:space="preserve">: </w:t>
      </w:r>
      <w:r w:rsidRPr="002E14F6">
        <w:t>10-year fracture risk based on Garvan risk calculator without fracture or recent fall</w:t>
      </w:r>
    </w:p>
    <w:tbl>
      <w:tblPr>
        <w:tblStyle w:val="TableGrid"/>
        <w:tblW w:w="0" w:type="auto"/>
        <w:tblLook w:val="04A0" w:firstRow="1" w:lastRow="0" w:firstColumn="1" w:lastColumn="0" w:noHBand="0" w:noVBand="1"/>
        <w:tblCaption w:val="Table 2: 10-year fracture risk based on Garvan risk calculator without fracture or recent fall"/>
      </w:tblPr>
      <w:tblGrid>
        <w:gridCol w:w="1456"/>
        <w:gridCol w:w="1577"/>
        <w:gridCol w:w="1496"/>
        <w:gridCol w:w="1496"/>
        <w:gridCol w:w="1496"/>
        <w:gridCol w:w="1496"/>
      </w:tblGrid>
      <w:tr w:rsidR="00FB0C59" w:rsidRPr="002E14F6" w14:paraId="0644A56F" w14:textId="77777777" w:rsidTr="005F1ABD">
        <w:tc>
          <w:tcPr>
            <w:tcW w:w="1456" w:type="dxa"/>
            <w:vMerge w:val="restart"/>
            <w:vAlign w:val="center"/>
          </w:tcPr>
          <w:p w14:paraId="18323E99" w14:textId="77777777" w:rsidR="00FB0C59" w:rsidRPr="002E14F6" w:rsidRDefault="00FB0C59" w:rsidP="005F1ABD">
            <w:pPr>
              <w:pStyle w:val="COMTabletext"/>
              <w:rPr>
                <w:b/>
                <w:bCs w:val="0"/>
              </w:rPr>
            </w:pPr>
            <w:r w:rsidRPr="002E14F6">
              <w:rPr>
                <w:b/>
                <w:bCs w:val="0"/>
              </w:rPr>
              <w:t>Gender</w:t>
            </w:r>
          </w:p>
        </w:tc>
        <w:tc>
          <w:tcPr>
            <w:tcW w:w="1577" w:type="dxa"/>
            <w:vMerge w:val="restart"/>
            <w:vAlign w:val="center"/>
          </w:tcPr>
          <w:p w14:paraId="5A982269" w14:textId="77777777" w:rsidR="00FB0C59" w:rsidRPr="002E14F6" w:rsidRDefault="00FB0C59" w:rsidP="005F1ABD">
            <w:pPr>
              <w:pStyle w:val="COMTabletext"/>
              <w:jc w:val="center"/>
              <w:rPr>
                <w:b/>
                <w:bCs w:val="0"/>
              </w:rPr>
            </w:pPr>
            <w:r w:rsidRPr="002E14F6">
              <w:rPr>
                <w:b/>
                <w:bCs w:val="0"/>
              </w:rPr>
              <w:t>BMD T-score</w:t>
            </w:r>
          </w:p>
        </w:tc>
        <w:tc>
          <w:tcPr>
            <w:tcW w:w="5984" w:type="dxa"/>
            <w:gridSpan w:val="4"/>
          </w:tcPr>
          <w:p w14:paraId="196D0424" w14:textId="77777777" w:rsidR="00FB0C59" w:rsidRPr="002E14F6" w:rsidRDefault="00FB0C59" w:rsidP="005F1ABD">
            <w:pPr>
              <w:pStyle w:val="COMTabletext"/>
              <w:jc w:val="center"/>
              <w:rPr>
                <w:b/>
                <w:bCs w:val="0"/>
              </w:rPr>
            </w:pPr>
            <w:r w:rsidRPr="002E14F6">
              <w:rPr>
                <w:b/>
                <w:bCs w:val="0"/>
              </w:rPr>
              <w:t>Age, years</w:t>
            </w:r>
          </w:p>
        </w:tc>
      </w:tr>
      <w:tr w:rsidR="00FB0C59" w:rsidRPr="002E14F6" w14:paraId="6243C999" w14:textId="77777777" w:rsidTr="005F1ABD">
        <w:tc>
          <w:tcPr>
            <w:tcW w:w="1456" w:type="dxa"/>
            <w:vMerge/>
          </w:tcPr>
          <w:p w14:paraId="128B4A53" w14:textId="77777777" w:rsidR="00FB0C59" w:rsidRPr="002E14F6" w:rsidRDefault="00FB0C59" w:rsidP="005F1ABD">
            <w:pPr>
              <w:pStyle w:val="COMTabletext"/>
              <w:rPr>
                <w:b/>
                <w:bCs w:val="0"/>
              </w:rPr>
            </w:pPr>
          </w:p>
        </w:tc>
        <w:tc>
          <w:tcPr>
            <w:tcW w:w="1577" w:type="dxa"/>
            <w:vMerge/>
          </w:tcPr>
          <w:p w14:paraId="04AF1212" w14:textId="77777777" w:rsidR="00FB0C59" w:rsidRPr="002E14F6" w:rsidRDefault="00FB0C59" w:rsidP="005F1ABD">
            <w:pPr>
              <w:pStyle w:val="COMTabletext"/>
              <w:rPr>
                <w:b/>
                <w:bCs w:val="0"/>
              </w:rPr>
            </w:pPr>
          </w:p>
        </w:tc>
        <w:tc>
          <w:tcPr>
            <w:tcW w:w="1496" w:type="dxa"/>
          </w:tcPr>
          <w:p w14:paraId="4B54EDB1" w14:textId="77777777" w:rsidR="00FB0C59" w:rsidRPr="002E14F6" w:rsidRDefault="00FB0C59" w:rsidP="005F1ABD">
            <w:pPr>
              <w:pStyle w:val="COMTabletext"/>
              <w:jc w:val="center"/>
              <w:rPr>
                <w:b/>
                <w:bCs w:val="0"/>
              </w:rPr>
            </w:pPr>
            <w:r w:rsidRPr="002E14F6">
              <w:rPr>
                <w:b/>
                <w:bCs w:val="0"/>
              </w:rPr>
              <w:t>50</w:t>
            </w:r>
          </w:p>
        </w:tc>
        <w:tc>
          <w:tcPr>
            <w:tcW w:w="1496" w:type="dxa"/>
          </w:tcPr>
          <w:p w14:paraId="142F7F23" w14:textId="77777777" w:rsidR="00FB0C59" w:rsidRPr="002E14F6" w:rsidRDefault="00FB0C59" w:rsidP="005F1ABD">
            <w:pPr>
              <w:pStyle w:val="COMTabletext"/>
              <w:jc w:val="center"/>
              <w:rPr>
                <w:b/>
                <w:bCs w:val="0"/>
              </w:rPr>
            </w:pPr>
            <w:r w:rsidRPr="002E14F6">
              <w:rPr>
                <w:b/>
                <w:bCs w:val="0"/>
              </w:rPr>
              <w:t>55</w:t>
            </w:r>
          </w:p>
        </w:tc>
        <w:tc>
          <w:tcPr>
            <w:tcW w:w="1496" w:type="dxa"/>
          </w:tcPr>
          <w:p w14:paraId="7D2D2167" w14:textId="77777777" w:rsidR="00FB0C59" w:rsidRPr="002E14F6" w:rsidRDefault="00FB0C59" w:rsidP="005F1ABD">
            <w:pPr>
              <w:pStyle w:val="COMTabletext"/>
              <w:jc w:val="center"/>
              <w:rPr>
                <w:b/>
                <w:bCs w:val="0"/>
              </w:rPr>
            </w:pPr>
            <w:r w:rsidRPr="002E14F6">
              <w:rPr>
                <w:b/>
                <w:bCs w:val="0"/>
              </w:rPr>
              <w:t>60</w:t>
            </w:r>
          </w:p>
        </w:tc>
        <w:tc>
          <w:tcPr>
            <w:tcW w:w="1496" w:type="dxa"/>
          </w:tcPr>
          <w:p w14:paraId="47675564" w14:textId="77777777" w:rsidR="00FB0C59" w:rsidRPr="002E14F6" w:rsidRDefault="00FB0C59" w:rsidP="005F1ABD">
            <w:pPr>
              <w:pStyle w:val="COMTabletext"/>
              <w:jc w:val="center"/>
              <w:rPr>
                <w:b/>
                <w:bCs w:val="0"/>
              </w:rPr>
            </w:pPr>
            <w:r w:rsidRPr="002E14F6">
              <w:rPr>
                <w:b/>
                <w:bCs w:val="0"/>
              </w:rPr>
              <w:t>65</w:t>
            </w:r>
          </w:p>
        </w:tc>
      </w:tr>
      <w:tr w:rsidR="00FB0C59" w:rsidRPr="002E14F6" w14:paraId="72F8DDBC" w14:textId="77777777" w:rsidTr="005F1ABD">
        <w:tc>
          <w:tcPr>
            <w:tcW w:w="9017" w:type="dxa"/>
            <w:gridSpan w:val="6"/>
          </w:tcPr>
          <w:p w14:paraId="5D99DE7A" w14:textId="77777777" w:rsidR="00FB0C59" w:rsidRPr="002E14F6" w:rsidRDefault="00FB0C59" w:rsidP="005F1ABD">
            <w:pPr>
              <w:pStyle w:val="COMTabletext"/>
              <w:rPr>
                <w:b/>
                <w:bCs w:val="0"/>
              </w:rPr>
            </w:pPr>
            <w:r w:rsidRPr="002E14F6">
              <w:rPr>
                <w:b/>
                <w:bCs w:val="0"/>
              </w:rPr>
              <w:t>10-year risk of hip fracture</w:t>
            </w:r>
          </w:p>
        </w:tc>
      </w:tr>
      <w:tr w:rsidR="00FB0C59" w:rsidRPr="002E14F6" w14:paraId="3CA4EFEB" w14:textId="77777777" w:rsidTr="005F1ABD">
        <w:tc>
          <w:tcPr>
            <w:tcW w:w="1456" w:type="dxa"/>
            <w:vMerge w:val="restart"/>
            <w:vAlign w:val="center"/>
          </w:tcPr>
          <w:p w14:paraId="505F7952" w14:textId="77777777" w:rsidR="00FB0C59" w:rsidRPr="002E14F6" w:rsidRDefault="00FB0C59" w:rsidP="005F1ABD">
            <w:pPr>
              <w:pStyle w:val="COMTabletext"/>
            </w:pPr>
            <w:r w:rsidRPr="002E14F6">
              <w:t>Female</w:t>
            </w:r>
          </w:p>
        </w:tc>
        <w:tc>
          <w:tcPr>
            <w:tcW w:w="1577" w:type="dxa"/>
            <w:vAlign w:val="center"/>
          </w:tcPr>
          <w:p w14:paraId="79BE1AB9" w14:textId="77777777" w:rsidR="00FB0C59" w:rsidRPr="002E14F6" w:rsidRDefault="00FB0C59" w:rsidP="005F1ABD">
            <w:pPr>
              <w:pStyle w:val="COMTabletext"/>
              <w:jc w:val="center"/>
            </w:pPr>
            <w:r w:rsidRPr="002E14F6">
              <w:t>-2.5</w:t>
            </w:r>
          </w:p>
        </w:tc>
        <w:tc>
          <w:tcPr>
            <w:tcW w:w="1496" w:type="dxa"/>
            <w:vAlign w:val="center"/>
          </w:tcPr>
          <w:p w14:paraId="0D14268B" w14:textId="77777777" w:rsidR="00FB0C59" w:rsidRPr="002E14F6" w:rsidRDefault="00FB0C59" w:rsidP="005F1ABD">
            <w:pPr>
              <w:pStyle w:val="COMTabletext"/>
              <w:jc w:val="center"/>
            </w:pPr>
            <w:r w:rsidRPr="002E14F6">
              <w:t>2%</w:t>
            </w:r>
          </w:p>
        </w:tc>
        <w:tc>
          <w:tcPr>
            <w:tcW w:w="1496" w:type="dxa"/>
            <w:vAlign w:val="center"/>
          </w:tcPr>
          <w:p w14:paraId="5917555F" w14:textId="77777777" w:rsidR="00FB0C59" w:rsidRPr="002E14F6" w:rsidRDefault="00FB0C59" w:rsidP="005F1ABD">
            <w:pPr>
              <w:pStyle w:val="COMTabletext"/>
              <w:jc w:val="center"/>
            </w:pPr>
            <w:r w:rsidRPr="002E14F6">
              <w:t>3%</w:t>
            </w:r>
          </w:p>
        </w:tc>
        <w:tc>
          <w:tcPr>
            <w:tcW w:w="1496" w:type="dxa"/>
            <w:vAlign w:val="center"/>
          </w:tcPr>
          <w:p w14:paraId="6F330429" w14:textId="77777777" w:rsidR="00FB0C59" w:rsidRPr="002E14F6" w:rsidRDefault="00FB0C59" w:rsidP="005F1ABD">
            <w:pPr>
              <w:pStyle w:val="COMTabletext"/>
              <w:jc w:val="center"/>
            </w:pPr>
            <w:r w:rsidRPr="002E14F6">
              <w:t>3%</w:t>
            </w:r>
          </w:p>
        </w:tc>
        <w:tc>
          <w:tcPr>
            <w:tcW w:w="1496" w:type="dxa"/>
            <w:shd w:val="clear" w:color="auto" w:fill="FFC000"/>
            <w:vAlign w:val="center"/>
          </w:tcPr>
          <w:p w14:paraId="13339341" w14:textId="77777777" w:rsidR="00FB0C59" w:rsidRPr="002E14F6" w:rsidRDefault="00FB0C59" w:rsidP="005F1ABD">
            <w:pPr>
              <w:pStyle w:val="COMTabletext"/>
              <w:jc w:val="center"/>
            </w:pPr>
            <w:r w:rsidRPr="002E14F6">
              <w:t>4%</w:t>
            </w:r>
          </w:p>
        </w:tc>
      </w:tr>
      <w:tr w:rsidR="00FB0C59" w:rsidRPr="002E14F6" w14:paraId="2A1DCDD7" w14:textId="77777777" w:rsidTr="005F1ABD">
        <w:tc>
          <w:tcPr>
            <w:tcW w:w="1456" w:type="dxa"/>
            <w:vMerge/>
            <w:vAlign w:val="center"/>
          </w:tcPr>
          <w:p w14:paraId="1E94D2E7" w14:textId="77777777" w:rsidR="00FB0C59" w:rsidRPr="002E14F6" w:rsidRDefault="00FB0C59" w:rsidP="005F1ABD">
            <w:pPr>
              <w:pStyle w:val="COMTabletext"/>
            </w:pPr>
          </w:p>
        </w:tc>
        <w:tc>
          <w:tcPr>
            <w:tcW w:w="1577" w:type="dxa"/>
            <w:vAlign w:val="center"/>
          </w:tcPr>
          <w:p w14:paraId="4E6BBB2A" w14:textId="77777777" w:rsidR="00FB0C59" w:rsidRPr="002E14F6" w:rsidRDefault="00FB0C59" w:rsidP="005F1ABD">
            <w:pPr>
              <w:pStyle w:val="COMTabletext"/>
              <w:jc w:val="center"/>
            </w:pPr>
            <w:r w:rsidRPr="002E14F6">
              <w:t>-3.0</w:t>
            </w:r>
          </w:p>
        </w:tc>
        <w:tc>
          <w:tcPr>
            <w:tcW w:w="1496" w:type="dxa"/>
            <w:vAlign w:val="center"/>
          </w:tcPr>
          <w:p w14:paraId="15F80C88" w14:textId="77777777" w:rsidR="00FB0C59" w:rsidRPr="002E14F6" w:rsidRDefault="00FB0C59" w:rsidP="005F1ABD">
            <w:pPr>
              <w:pStyle w:val="COMTabletext"/>
              <w:jc w:val="center"/>
            </w:pPr>
            <w:r w:rsidRPr="002E14F6">
              <w:t>3%</w:t>
            </w:r>
          </w:p>
        </w:tc>
        <w:tc>
          <w:tcPr>
            <w:tcW w:w="1496" w:type="dxa"/>
            <w:shd w:val="clear" w:color="auto" w:fill="FFC000"/>
            <w:vAlign w:val="center"/>
          </w:tcPr>
          <w:p w14:paraId="680581D0" w14:textId="77777777" w:rsidR="00FB0C59" w:rsidRPr="002E14F6" w:rsidRDefault="00FB0C59" w:rsidP="005F1ABD">
            <w:pPr>
              <w:pStyle w:val="COMTabletext"/>
              <w:jc w:val="center"/>
            </w:pPr>
            <w:r w:rsidRPr="002E14F6">
              <w:t>4%</w:t>
            </w:r>
          </w:p>
        </w:tc>
        <w:tc>
          <w:tcPr>
            <w:tcW w:w="1496" w:type="dxa"/>
            <w:shd w:val="clear" w:color="auto" w:fill="FFC000"/>
            <w:vAlign w:val="center"/>
          </w:tcPr>
          <w:p w14:paraId="3652028C" w14:textId="77777777" w:rsidR="00FB0C59" w:rsidRPr="002E14F6" w:rsidRDefault="00FB0C59" w:rsidP="005F1ABD">
            <w:pPr>
              <w:pStyle w:val="COMTabletext"/>
              <w:jc w:val="center"/>
            </w:pPr>
            <w:r w:rsidRPr="002E14F6">
              <w:t>5%</w:t>
            </w:r>
          </w:p>
        </w:tc>
        <w:tc>
          <w:tcPr>
            <w:tcW w:w="1496" w:type="dxa"/>
            <w:shd w:val="clear" w:color="auto" w:fill="FFC000"/>
            <w:vAlign w:val="center"/>
          </w:tcPr>
          <w:p w14:paraId="0338839D" w14:textId="77777777" w:rsidR="00FB0C59" w:rsidRPr="002E14F6" w:rsidRDefault="00FB0C59" w:rsidP="005F1ABD">
            <w:pPr>
              <w:pStyle w:val="COMTabletext"/>
              <w:jc w:val="center"/>
            </w:pPr>
            <w:r w:rsidRPr="002E14F6">
              <w:t>7%</w:t>
            </w:r>
          </w:p>
        </w:tc>
      </w:tr>
      <w:tr w:rsidR="00FB0C59" w:rsidRPr="002E14F6" w14:paraId="332BED33" w14:textId="77777777" w:rsidTr="005F1ABD">
        <w:tc>
          <w:tcPr>
            <w:tcW w:w="1456" w:type="dxa"/>
            <w:vMerge w:val="restart"/>
            <w:vAlign w:val="center"/>
          </w:tcPr>
          <w:p w14:paraId="546E869A" w14:textId="77777777" w:rsidR="00FB0C59" w:rsidRPr="002E14F6" w:rsidRDefault="00FB0C59" w:rsidP="005F1ABD">
            <w:pPr>
              <w:pStyle w:val="COMTabletext"/>
            </w:pPr>
            <w:r w:rsidRPr="002E14F6">
              <w:t>Male</w:t>
            </w:r>
          </w:p>
        </w:tc>
        <w:tc>
          <w:tcPr>
            <w:tcW w:w="1577" w:type="dxa"/>
            <w:vAlign w:val="center"/>
          </w:tcPr>
          <w:p w14:paraId="2F2E9617" w14:textId="77777777" w:rsidR="00FB0C59" w:rsidRPr="002E14F6" w:rsidRDefault="00FB0C59" w:rsidP="005F1ABD">
            <w:pPr>
              <w:pStyle w:val="COMTabletext"/>
              <w:jc w:val="center"/>
            </w:pPr>
            <w:r w:rsidRPr="002E14F6">
              <w:t>-2.5</w:t>
            </w:r>
          </w:p>
        </w:tc>
        <w:tc>
          <w:tcPr>
            <w:tcW w:w="1496" w:type="dxa"/>
            <w:vAlign w:val="center"/>
          </w:tcPr>
          <w:p w14:paraId="2940C986" w14:textId="77777777" w:rsidR="00FB0C59" w:rsidRPr="002E14F6" w:rsidRDefault="00FB0C59" w:rsidP="005F1ABD">
            <w:pPr>
              <w:pStyle w:val="COMTabletext"/>
              <w:jc w:val="center"/>
            </w:pPr>
            <w:r w:rsidRPr="002E14F6">
              <w:t>0.6%</w:t>
            </w:r>
          </w:p>
        </w:tc>
        <w:tc>
          <w:tcPr>
            <w:tcW w:w="1496" w:type="dxa"/>
            <w:vAlign w:val="center"/>
          </w:tcPr>
          <w:p w14:paraId="357FD300" w14:textId="77777777" w:rsidR="00FB0C59" w:rsidRPr="002E14F6" w:rsidRDefault="00FB0C59" w:rsidP="005F1ABD">
            <w:pPr>
              <w:pStyle w:val="COMTabletext"/>
              <w:jc w:val="center"/>
            </w:pPr>
            <w:r w:rsidRPr="002E14F6">
              <w:t>1%</w:t>
            </w:r>
          </w:p>
        </w:tc>
        <w:tc>
          <w:tcPr>
            <w:tcW w:w="1496" w:type="dxa"/>
            <w:vAlign w:val="center"/>
          </w:tcPr>
          <w:p w14:paraId="03CE7F1F" w14:textId="77777777" w:rsidR="00FB0C59" w:rsidRPr="002E14F6" w:rsidRDefault="00FB0C59" w:rsidP="005F1ABD">
            <w:pPr>
              <w:pStyle w:val="COMTabletext"/>
              <w:jc w:val="center"/>
            </w:pPr>
            <w:r w:rsidRPr="002E14F6">
              <w:t>2%</w:t>
            </w:r>
          </w:p>
        </w:tc>
        <w:tc>
          <w:tcPr>
            <w:tcW w:w="1496" w:type="dxa"/>
            <w:vAlign w:val="center"/>
          </w:tcPr>
          <w:p w14:paraId="23EF6CC1" w14:textId="77777777" w:rsidR="00FB0C59" w:rsidRPr="002E14F6" w:rsidRDefault="00FB0C59" w:rsidP="005F1ABD">
            <w:pPr>
              <w:pStyle w:val="COMTabletext"/>
              <w:jc w:val="center"/>
            </w:pPr>
            <w:r w:rsidRPr="002E14F6">
              <w:t>3%</w:t>
            </w:r>
          </w:p>
        </w:tc>
      </w:tr>
      <w:tr w:rsidR="00FB0C59" w:rsidRPr="002E14F6" w14:paraId="773086B8" w14:textId="77777777" w:rsidTr="005F1ABD">
        <w:tc>
          <w:tcPr>
            <w:tcW w:w="1456" w:type="dxa"/>
            <w:vMerge/>
            <w:vAlign w:val="center"/>
          </w:tcPr>
          <w:p w14:paraId="37378323" w14:textId="77777777" w:rsidR="00FB0C59" w:rsidRPr="002E14F6" w:rsidRDefault="00FB0C59" w:rsidP="005F1ABD">
            <w:pPr>
              <w:pStyle w:val="COMTabletext"/>
            </w:pPr>
          </w:p>
        </w:tc>
        <w:tc>
          <w:tcPr>
            <w:tcW w:w="1577" w:type="dxa"/>
            <w:vAlign w:val="center"/>
          </w:tcPr>
          <w:p w14:paraId="67AEA5BC" w14:textId="77777777" w:rsidR="00FB0C59" w:rsidRPr="002E14F6" w:rsidRDefault="00FB0C59" w:rsidP="005F1ABD">
            <w:pPr>
              <w:pStyle w:val="COMTabletext"/>
              <w:jc w:val="center"/>
            </w:pPr>
            <w:r w:rsidRPr="002E14F6">
              <w:t>-3.0</w:t>
            </w:r>
          </w:p>
        </w:tc>
        <w:tc>
          <w:tcPr>
            <w:tcW w:w="1496" w:type="dxa"/>
            <w:vAlign w:val="center"/>
          </w:tcPr>
          <w:p w14:paraId="32191D33" w14:textId="77777777" w:rsidR="00FB0C59" w:rsidRPr="002E14F6" w:rsidRDefault="00FB0C59" w:rsidP="005F1ABD">
            <w:pPr>
              <w:pStyle w:val="COMTabletext"/>
              <w:jc w:val="center"/>
            </w:pPr>
            <w:r w:rsidRPr="002E14F6">
              <w:t>1%</w:t>
            </w:r>
          </w:p>
        </w:tc>
        <w:tc>
          <w:tcPr>
            <w:tcW w:w="1496" w:type="dxa"/>
            <w:vAlign w:val="center"/>
          </w:tcPr>
          <w:p w14:paraId="088209B1" w14:textId="77777777" w:rsidR="00FB0C59" w:rsidRPr="002E14F6" w:rsidRDefault="00FB0C59" w:rsidP="005F1ABD">
            <w:pPr>
              <w:pStyle w:val="COMTabletext"/>
              <w:jc w:val="center"/>
            </w:pPr>
            <w:r w:rsidRPr="002E14F6">
              <w:t>2%</w:t>
            </w:r>
          </w:p>
        </w:tc>
        <w:tc>
          <w:tcPr>
            <w:tcW w:w="1496" w:type="dxa"/>
            <w:vAlign w:val="center"/>
          </w:tcPr>
          <w:p w14:paraId="7FBA8ECF" w14:textId="77777777" w:rsidR="00FB0C59" w:rsidRPr="002E14F6" w:rsidRDefault="00FB0C59" w:rsidP="005F1ABD">
            <w:pPr>
              <w:pStyle w:val="COMTabletext"/>
              <w:jc w:val="center"/>
            </w:pPr>
            <w:r w:rsidRPr="002E14F6">
              <w:t>3%</w:t>
            </w:r>
          </w:p>
        </w:tc>
        <w:tc>
          <w:tcPr>
            <w:tcW w:w="1496" w:type="dxa"/>
            <w:shd w:val="clear" w:color="auto" w:fill="FFC000"/>
            <w:vAlign w:val="center"/>
          </w:tcPr>
          <w:p w14:paraId="33058E4A" w14:textId="77777777" w:rsidR="00FB0C59" w:rsidRPr="002E14F6" w:rsidRDefault="00FB0C59" w:rsidP="005F1ABD">
            <w:pPr>
              <w:pStyle w:val="COMTabletext"/>
              <w:jc w:val="center"/>
            </w:pPr>
            <w:r w:rsidRPr="002E14F6">
              <w:t>5%</w:t>
            </w:r>
          </w:p>
        </w:tc>
      </w:tr>
      <w:tr w:rsidR="00FB0C59" w:rsidRPr="002E14F6" w14:paraId="5F6BE947" w14:textId="77777777" w:rsidTr="005F1ABD">
        <w:tc>
          <w:tcPr>
            <w:tcW w:w="9017" w:type="dxa"/>
            <w:gridSpan w:val="6"/>
            <w:vAlign w:val="center"/>
          </w:tcPr>
          <w:p w14:paraId="1BAD38E2" w14:textId="77777777" w:rsidR="00FB0C59" w:rsidRPr="002E14F6" w:rsidRDefault="00FB0C59" w:rsidP="005F1ABD">
            <w:pPr>
              <w:pStyle w:val="COMTabletext"/>
              <w:rPr>
                <w:b/>
                <w:bCs w:val="0"/>
              </w:rPr>
            </w:pPr>
            <w:r w:rsidRPr="002E14F6">
              <w:rPr>
                <w:b/>
                <w:bCs w:val="0"/>
              </w:rPr>
              <w:t>10-year risk of any fragility fracture</w:t>
            </w:r>
          </w:p>
        </w:tc>
      </w:tr>
      <w:tr w:rsidR="00FB0C59" w:rsidRPr="002E14F6" w14:paraId="4CA04EDB" w14:textId="77777777" w:rsidTr="005F1ABD">
        <w:tc>
          <w:tcPr>
            <w:tcW w:w="1456" w:type="dxa"/>
            <w:vMerge w:val="restart"/>
            <w:vAlign w:val="center"/>
          </w:tcPr>
          <w:p w14:paraId="49E124F4" w14:textId="77777777" w:rsidR="00FB0C59" w:rsidRPr="002E14F6" w:rsidRDefault="00FB0C59" w:rsidP="005F1ABD">
            <w:pPr>
              <w:pStyle w:val="COMTabletext"/>
            </w:pPr>
            <w:r w:rsidRPr="002E14F6">
              <w:t>Female</w:t>
            </w:r>
          </w:p>
        </w:tc>
        <w:tc>
          <w:tcPr>
            <w:tcW w:w="1577" w:type="dxa"/>
            <w:vAlign w:val="center"/>
          </w:tcPr>
          <w:p w14:paraId="5D538E83" w14:textId="77777777" w:rsidR="00FB0C59" w:rsidRPr="002E14F6" w:rsidRDefault="00FB0C59" w:rsidP="005F1ABD">
            <w:pPr>
              <w:pStyle w:val="COMTabletext"/>
              <w:jc w:val="center"/>
            </w:pPr>
            <w:r w:rsidRPr="002E14F6">
              <w:t>-2.5</w:t>
            </w:r>
          </w:p>
        </w:tc>
        <w:tc>
          <w:tcPr>
            <w:tcW w:w="1496" w:type="dxa"/>
            <w:vAlign w:val="center"/>
          </w:tcPr>
          <w:p w14:paraId="698F2AAD" w14:textId="77777777" w:rsidR="00FB0C59" w:rsidRPr="002E14F6" w:rsidRDefault="00FB0C59" w:rsidP="005F1ABD">
            <w:pPr>
              <w:pStyle w:val="COMTabletext"/>
              <w:jc w:val="center"/>
            </w:pPr>
            <w:r w:rsidRPr="002E14F6">
              <w:t>12%</w:t>
            </w:r>
          </w:p>
        </w:tc>
        <w:tc>
          <w:tcPr>
            <w:tcW w:w="1496" w:type="dxa"/>
            <w:vAlign w:val="center"/>
          </w:tcPr>
          <w:p w14:paraId="34652F0D" w14:textId="77777777" w:rsidR="00FB0C59" w:rsidRPr="002E14F6" w:rsidRDefault="00FB0C59" w:rsidP="005F1ABD">
            <w:pPr>
              <w:pStyle w:val="COMTabletext"/>
              <w:jc w:val="center"/>
            </w:pPr>
            <w:r w:rsidRPr="002E14F6">
              <w:t>14%</w:t>
            </w:r>
          </w:p>
        </w:tc>
        <w:tc>
          <w:tcPr>
            <w:tcW w:w="1496" w:type="dxa"/>
            <w:vAlign w:val="center"/>
          </w:tcPr>
          <w:p w14:paraId="28CAD765" w14:textId="77777777" w:rsidR="00FB0C59" w:rsidRPr="002E14F6" w:rsidRDefault="00FB0C59" w:rsidP="005F1ABD">
            <w:pPr>
              <w:pStyle w:val="COMTabletext"/>
              <w:jc w:val="center"/>
            </w:pPr>
            <w:r w:rsidRPr="002E14F6">
              <w:t>16%</w:t>
            </w:r>
          </w:p>
        </w:tc>
        <w:tc>
          <w:tcPr>
            <w:tcW w:w="1496" w:type="dxa"/>
            <w:vAlign w:val="center"/>
          </w:tcPr>
          <w:p w14:paraId="08B61716" w14:textId="77777777" w:rsidR="00FB0C59" w:rsidRPr="002E14F6" w:rsidRDefault="00FB0C59" w:rsidP="005F1ABD">
            <w:pPr>
              <w:pStyle w:val="COMTabletext"/>
              <w:jc w:val="center"/>
            </w:pPr>
            <w:r w:rsidRPr="002E14F6">
              <w:t>18%</w:t>
            </w:r>
          </w:p>
        </w:tc>
      </w:tr>
      <w:tr w:rsidR="00FB0C59" w:rsidRPr="002E14F6" w14:paraId="23D13E60" w14:textId="77777777" w:rsidTr="005F1ABD">
        <w:tc>
          <w:tcPr>
            <w:tcW w:w="1456" w:type="dxa"/>
            <w:vMerge/>
            <w:vAlign w:val="center"/>
          </w:tcPr>
          <w:p w14:paraId="3CFDF350" w14:textId="77777777" w:rsidR="00FB0C59" w:rsidRPr="002E14F6" w:rsidRDefault="00FB0C59" w:rsidP="005F1ABD">
            <w:pPr>
              <w:pStyle w:val="COMTabletext"/>
            </w:pPr>
          </w:p>
        </w:tc>
        <w:tc>
          <w:tcPr>
            <w:tcW w:w="1577" w:type="dxa"/>
            <w:vAlign w:val="center"/>
          </w:tcPr>
          <w:p w14:paraId="756C1009" w14:textId="77777777" w:rsidR="00FB0C59" w:rsidRPr="002E14F6" w:rsidRDefault="00FB0C59" w:rsidP="005F1ABD">
            <w:pPr>
              <w:pStyle w:val="COMTabletext"/>
              <w:jc w:val="center"/>
            </w:pPr>
            <w:r w:rsidRPr="002E14F6">
              <w:t>-3.0</w:t>
            </w:r>
          </w:p>
        </w:tc>
        <w:tc>
          <w:tcPr>
            <w:tcW w:w="1496" w:type="dxa"/>
            <w:vAlign w:val="center"/>
          </w:tcPr>
          <w:p w14:paraId="4DB03084" w14:textId="77777777" w:rsidR="00FB0C59" w:rsidRPr="002E14F6" w:rsidRDefault="00FB0C59" w:rsidP="005F1ABD">
            <w:pPr>
              <w:pStyle w:val="COMTabletext"/>
              <w:jc w:val="center"/>
            </w:pPr>
            <w:r w:rsidRPr="002E14F6">
              <w:t>14%</w:t>
            </w:r>
          </w:p>
        </w:tc>
        <w:tc>
          <w:tcPr>
            <w:tcW w:w="1496" w:type="dxa"/>
            <w:vAlign w:val="center"/>
          </w:tcPr>
          <w:p w14:paraId="7B420C8B" w14:textId="77777777" w:rsidR="00FB0C59" w:rsidRPr="002E14F6" w:rsidRDefault="00FB0C59" w:rsidP="005F1ABD">
            <w:pPr>
              <w:pStyle w:val="COMTabletext"/>
              <w:jc w:val="center"/>
            </w:pPr>
            <w:r w:rsidRPr="002E14F6">
              <w:t>16%</w:t>
            </w:r>
          </w:p>
        </w:tc>
        <w:tc>
          <w:tcPr>
            <w:tcW w:w="1496" w:type="dxa"/>
            <w:vAlign w:val="center"/>
          </w:tcPr>
          <w:p w14:paraId="2FE83379" w14:textId="77777777" w:rsidR="00FB0C59" w:rsidRPr="002E14F6" w:rsidRDefault="00FB0C59" w:rsidP="005F1ABD">
            <w:pPr>
              <w:pStyle w:val="COMTabletext"/>
              <w:jc w:val="center"/>
            </w:pPr>
            <w:r w:rsidRPr="002E14F6">
              <w:t>19%</w:t>
            </w:r>
          </w:p>
        </w:tc>
        <w:tc>
          <w:tcPr>
            <w:tcW w:w="1496" w:type="dxa"/>
            <w:shd w:val="clear" w:color="auto" w:fill="FFC000"/>
            <w:vAlign w:val="center"/>
          </w:tcPr>
          <w:p w14:paraId="7A0B6FE9" w14:textId="77777777" w:rsidR="00FB0C59" w:rsidRPr="002E14F6" w:rsidRDefault="00FB0C59" w:rsidP="005F1ABD">
            <w:pPr>
              <w:pStyle w:val="COMTabletext"/>
              <w:jc w:val="center"/>
            </w:pPr>
            <w:r w:rsidRPr="002E14F6">
              <w:t>22%</w:t>
            </w:r>
          </w:p>
        </w:tc>
      </w:tr>
      <w:tr w:rsidR="00FB0C59" w:rsidRPr="002E14F6" w14:paraId="0D4771FB" w14:textId="77777777" w:rsidTr="005F1ABD">
        <w:tc>
          <w:tcPr>
            <w:tcW w:w="1456" w:type="dxa"/>
            <w:vMerge w:val="restart"/>
            <w:vAlign w:val="center"/>
          </w:tcPr>
          <w:p w14:paraId="2D529EC0" w14:textId="77777777" w:rsidR="00FB0C59" w:rsidRPr="002E14F6" w:rsidRDefault="00FB0C59" w:rsidP="005F1ABD">
            <w:pPr>
              <w:pStyle w:val="COMTabletext"/>
            </w:pPr>
            <w:r w:rsidRPr="002E14F6">
              <w:t>Male</w:t>
            </w:r>
          </w:p>
        </w:tc>
        <w:tc>
          <w:tcPr>
            <w:tcW w:w="1577" w:type="dxa"/>
            <w:vAlign w:val="center"/>
          </w:tcPr>
          <w:p w14:paraId="55A0F63A" w14:textId="77777777" w:rsidR="00FB0C59" w:rsidRPr="002E14F6" w:rsidRDefault="00FB0C59" w:rsidP="005F1ABD">
            <w:pPr>
              <w:pStyle w:val="COMTabletext"/>
              <w:jc w:val="center"/>
            </w:pPr>
            <w:r w:rsidRPr="002E14F6">
              <w:t>-2.5</w:t>
            </w:r>
          </w:p>
        </w:tc>
        <w:tc>
          <w:tcPr>
            <w:tcW w:w="1496" w:type="dxa"/>
            <w:vAlign w:val="center"/>
          </w:tcPr>
          <w:p w14:paraId="1B12FE0B" w14:textId="77777777" w:rsidR="00FB0C59" w:rsidRPr="002E14F6" w:rsidRDefault="00FB0C59" w:rsidP="005F1ABD">
            <w:pPr>
              <w:pStyle w:val="COMTabletext"/>
              <w:jc w:val="center"/>
            </w:pPr>
            <w:r w:rsidRPr="002E14F6">
              <w:t>3%</w:t>
            </w:r>
          </w:p>
        </w:tc>
        <w:tc>
          <w:tcPr>
            <w:tcW w:w="1496" w:type="dxa"/>
            <w:vAlign w:val="center"/>
          </w:tcPr>
          <w:p w14:paraId="42A89FD9" w14:textId="77777777" w:rsidR="00FB0C59" w:rsidRPr="002E14F6" w:rsidRDefault="00FB0C59" w:rsidP="005F1ABD">
            <w:pPr>
              <w:pStyle w:val="COMTabletext"/>
              <w:jc w:val="center"/>
            </w:pPr>
            <w:r w:rsidRPr="002E14F6">
              <w:t>4%</w:t>
            </w:r>
          </w:p>
        </w:tc>
        <w:tc>
          <w:tcPr>
            <w:tcW w:w="1496" w:type="dxa"/>
            <w:vAlign w:val="center"/>
          </w:tcPr>
          <w:p w14:paraId="5A0915FB" w14:textId="77777777" w:rsidR="00FB0C59" w:rsidRPr="002E14F6" w:rsidRDefault="00FB0C59" w:rsidP="005F1ABD">
            <w:pPr>
              <w:pStyle w:val="COMTabletext"/>
              <w:jc w:val="center"/>
            </w:pPr>
            <w:r w:rsidRPr="002E14F6">
              <w:t>6%</w:t>
            </w:r>
          </w:p>
        </w:tc>
        <w:tc>
          <w:tcPr>
            <w:tcW w:w="1496" w:type="dxa"/>
            <w:vAlign w:val="center"/>
          </w:tcPr>
          <w:p w14:paraId="299D2955" w14:textId="77777777" w:rsidR="00FB0C59" w:rsidRPr="002E14F6" w:rsidRDefault="00FB0C59" w:rsidP="005F1ABD">
            <w:pPr>
              <w:pStyle w:val="COMTabletext"/>
              <w:jc w:val="center"/>
            </w:pPr>
            <w:r w:rsidRPr="002E14F6">
              <w:t>9%</w:t>
            </w:r>
          </w:p>
        </w:tc>
      </w:tr>
      <w:tr w:rsidR="00FB0C59" w:rsidRPr="002E14F6" w14:paraId="3CA3ABA5" w14:textId="77777777" w:rsidTr="005F1ABD">
        <w:tc>
          <w:tcPr>
            <w:tcW w:w="1456" w:type="dxa"/>
            <w:vMerge/>
            <w:vAlign w:val="center"/>
          </w:tcPr>
          <w:p w14:paraId="08EC6455" w14:textId="77777777" w:rsidR="00FB0C59" w:rsidRPr="002E14F6" w:rsidRDefault="00FB0C59" w:rsidP="005F1ABD">
            <w:pPr>
              <w:pStyle w:val="COMTabletext"/>
            </w:pPr>
          </w:p>
        </w:tc>
        <w:tc>
          <w:tcPr>
            <w:tcW w:w="1577" w:type="dxa"/>
            <w:vAlign w:val="center"/>
          </w:tcPr>
          <w:p w14:paraId="6FD1C28E" w14:textId="77777777" w:rsidR="00FB0C59" w:rsidRPr="002E14F6" w:rsidRDefault="00FB0C59" w:rsidP="005F1ABD">
            <w:pPr>
              <w:pStyle w:val="COMTabletext"/>
              <w:jc w:val="center"/>
            </w:pPr>
            <w:r w:rsidRPr="002E14F6">
              <w:t>-3.0</w:t>
            </w:r>
          </w:p>
        </w:tc>
        <w:tc>
          <w:tcPr>
            <w:tcW w:w="1496" w:type="dxa"/>
            <w:vAlign w:val="center"/>
          </w:tcPr>
          <w:p w14:paraId="5D21ABD5" w14:textId="77777777" w:rsidR="00FB0C59" w:rsidRPr="002E14F6" w:rsidRDefault="00FB0C59" w:rsidP="005F1ABD">
            <w:pPr>
              <w:pStyle w:val="COMTabletext"/>
              <w:jc w:val="center"/>
            </w:pPr>
            <w:r w:rsidRPr="002E14F6">
              <w:t>3%</w:t>
            </w:r>
          </w:p>
        </w:tc>
        <w:tc>
          <w:tcPr>
            <w:tcW w:w="1496" w:type="dxa"/>
            <w:vAlign w:val="center"/>
          </w:tcPr>
          <w:p w14:paraId="6FC9FA18" w14:textId="77777777" w:rsidR="00FB0C59" w:rsidRPr="002E14F6" w:rsidRDefault="00FB0C59" w:rsidP="005F1ABD">
            <w:pPr>
              <w:pStyle w:val="COMTabletext"/>
              <w:jc w:val="center"/>
            </w:pPr>
            <w:r w:rsidRPr="002E14F6">
              <w:t>5%</w:t>
            </w:r>
          </w:p>
        </w:tc>
        <w:tc>
          <w:tcPr>
            <w:tcW w:w="1496" w:type="dxa"/>
            <w:vAlign w:val="center"/>
          </w:tcPr>
          <w:p w14:paraId="328C6441" w14:textId="77777777" w:rsidR="00FB0C59" w:rsidRPr="002E14F6" w:rsidRDefault="00FB0C59" w:rsidP="005F1ABD">
            <w:pPr>
              <w:pStyle w:val="COMTabletext"/>
              <w:jc w:val="center"/>
            </w:pPr>
            <w:r w:rsidRPr="002E14F6">
              <w:t>7%</w:t>
            </w:r>
          </w:p>
        </w:tc>
        <w:tc>
          <w:tcPr>
            <w:tcW w:w="1496" w:type="dxa"/>
            <w:vAlign w:val="center"/>
          </w:tcPr>
          <w:p w14:paraId="4EEEDD11" w14:textId="77777777" w:rsidR="00FB0C59" w:rsidRPr="002E14F6" w:rsidRDefault="00FB0C59" w:rsidP="005F1ABD">
            <w:pPr>
              <w:pStyle w:val="COMTabletext"/>
              <w:jc w:val="center"/>
            </w:pPr>
            <w:r w:rsidRPr="002E14F6">
              <w:t>11%</w:t>
            </w:r>
          </w:p>
        </w:tc>
      </w:tr>
    </w:tbl>
    <w:p w14:paraId="6DFCA3F1" w14:textId="77777777" w:rsidR="00FB0C59" w:rsidRPr="002E14F6" w:rsidRDefault="00FB0C59" w:rsidP="00D349BB">
      <w:pPr>
        <w:pStyle w:val="COMTablefooter"/>
      </w:pPr>
      <w:r w:rsidRPr="002E14F6">
        <w:rPr>
          <w:rStyle w:val="COMTablefooterChar"/>
        </w:rPr>
        <w:t>Source: estimated during the evaluation using the Garvan risk calculator (</w:t>
      </w:r>
      <w:hyperlink r:id="rId8" w:history="1">
        <w:r w:rsidRPr="002E14F6">
          <w:rPr>
            <w:rStyle w:val="COMTablefooterChar"/>
          </w:rPr>
          <w:t>https://www.garvan.org.au/promotions/bone-fracture-risk/calculator/</w:t>
        </w:r>
      </w:hyperlink>
      <w:r w:rsidRPr="002E14F6">
        <w:t xml:space="preserve">) </w:t>
      </w:r>
    </w:p>
    <w:p w14:paraId="102A4DF0" w14:textId="675F799F" w:rsidR="00FB0C59" w:rsidRPr="002E14F6" w:rsidRDefault="00FB0C59" w:rsidP="00D349BB">
      <w:pPr>
        <w:pStyle w:val="COMTablefooter"/>
        <w:rPr>
          <w:rStyle w:val="COMTablefooterChar"/>
        </w:rPr>
      </w:pPr>
      <w:r w:rsidRPr="002E14F6">
        <w:rPr>
          <w:rStyle w:val="COMTablefooterChar"/>
        </w:rPr>
        <w:t>Note: Estimates highlighted in orange represent absolute fracture risk that</w:t>
      </w:r>
      <w:r w:rsidR="007110E5">
        <w:rPr>
          <w:rStyle w:val="COMTablefooterChar"/>
        </w:rPr>
        <w:t xml:space="preserve"> met or</w:t>
      </w:r>
      <w:r w:rsidRPr="002E14F6">
        <w:rPr>
          <w:rStyle w:val="COMTablefooterChar"/>
        </w:rPr>
        <w:t xml:space="preserve"> exceed recommended treatment thresholds (10-year risk of any fragility fracture &gt;20% or hip fracture &gt;3%)</w:t>
      </w:r>
    </w:p>
    <w:p w14:paraId="34F9A011" w14:textId="2832425B" w:rsidR="002C2775" w:rsidRPr="00966B2C" w:rsidRDefault="00891D7D" w:rsidP="00966B2C">
      <w:pPr>
        <w:widowControl w:val="0"/>
        <w:numPr>
          <w:ilvl w:val="1"/>
          <w:numId w:val="1"/>
        </w:numPr>
        <w:spacing w:after="120"/>
        <w:ind w:left="720" w:hanging="720"/>
        <w:rPr>
          <w:bCs/>
        </w:rPr>
      </w:pPr>
      <w:r w:rsidRPr="00966B2C">
        <w:rPr>
          <w:rFonts w:asciiTheme="minorHAnsi" w:hAnsiTheme="minorHAnsi"/>
          <w:bCs/>
          <w:snapToGrid w:val="0"/>
        </w:rPr>
        <w:t>The calculated risk estimates suggest that the following patients would meet recommended treatment thresholds based on absolute fracture risk, which is narrower than the population requested in the submission:</w:t>
      </w:r>
    </w:p>
    <w:p w14:paraId="1C8D50C6" w14:textId="5DD03A17" w:rsidR="00891D7D" w:rsidRPr="001A75FD" w:rsidRDefault="00891D7D" w:rsidP="008E1D84">
      <w:pPr>
        <w:pStyle w:val="COMexecsummbulletlist"/>
        <w:spacing w:after="0"/>
        <w:ind w:left="1134" w:hanging="357"/>
      </w:pPr>
      <w:r w:rsidRPr="001A75FD">
        <w:t>Females aged 55 years and above with a BMD T-score of -3.0 or less</w:t>
      </w:r>
      <w:r w:rsidR="00665C28" w:rsidRPr="001A75FD">
        <w:t>.</w:t>
      </w:r>
    </w:p>
    <w:p w14:paraId="266C74F2" w14:textId="18516192" w:rsidR="00891D7D" w:rsidRPr="001A75FD" w:rsidRDefault="00891D7D" w:rsidP="008E1D84">
      <w:pPr>
        <w:pStyle w:val="COMexecsummbulletlist"/>
        <w:spacing w:after="0"/>
        <w:ind w:left="1134" w:hanging="357"/>
      </w:pPr>
      <w:r w:rsidRPr="001A75FD">
        <w:t>Females aged 65 years and above with a BMD T-score of -2.5 or less</w:t>
      </w:r>
      <w:r w:rsidR="00665C28" w:rsidRPr="001A75FD">
        <w:t>.</w:t>
      </w:r>
    </w:p>
    <w:p w14:paraId="2B2855EE" w14:textId="069711A7" w:rsidR="00891D7D" w:rsidRDefault="00891D7D" w:rsidP="008E5873">
      <w:pPr>
        <w:pStyle w:val="COMexecsummbulletlist"/>
        <w:ind w:left="1134" w:hanging="357"/>
      </w:pPr>
      <w:r w:rsidRPr="001A75FD">
        <w:t>Males aged 65 years and above with a BMD T-score of -3.0 or less.</w:t>
      </w:r>
    </w:p>
    <w:p w14:paraId="6C8CDFB9" w14:textId="046B2945" w:rsidR="008F1929" w:rsidRPr="00B600AA" w:rsidDel="00195452" w:rsidRDefault="008F1929" w:rsidP="008F1929">
      <w:pPr>
        <w:pStyle w:val="COMexecsummbulletlist"/>
        <w:numPr>
          <w:ilvl w:val="0"/>
          <w:numId w:val="0"/>
        </w:numPr>
        <w:ind w:left="774"/>
      </w:pPr>
      <w:r w:rsidRPr="00B600AA">
        <w:t xml:space="preserve">The PSCR stated that the sponsor supported management of an expanded restriction to incorporate subgroups of patients most at risk of fracture due to minimal trauma and those most likely to clinically benefit from anti-resorptive treatment. The ESC advised that consideration </w:t>
      </w:r>
      <w:r w:rsidR="00CA278E" w:rsidRPr="00B600AA">
        <w:t>sh</w:t>
      </w:r>
      <w:r w:rsidRPr="00B600AA">
        <w:t xml:space="preserve">ould be given to more clearly specifying who in the expanded population would meet the threshold for treatment as per current Australian guidelines. </w:t>
      </w:r>
    </w:p>
    <w:p w14:paraId="11FCAAEE" w14:textId="7B774BF3" w:rsidR="007627BE" w:rsidRPr="00966B2C" w:rsidRDefault="00831D81" w:rsidP="00966B2C">
      <w:pPr>
        <w:widowControl w:val="0"/>
        <w:numPr>
          <w:ilvl w:val="1"/>
          <w:numId w:val="1"/>
        </w:numPr>
        <w:spacing w:after="120"/>
        <w:ind w:left="720" w:hanging="720"/>
        <w:rPr>
          <w:bCs/>
        </w:rPr>
      </w:pPr>
      <w:r w:rsidRPr="00966B2C">
        <w:rPr>
          <w:rFonts w:asciiTheme="minorHAnsi" w:hAnsiTheme="minorHAnsi"/>
          <w:bCs/>
          <w:snapToGrid w:val="0"/>
        </w:rPr>
        <w:t>The optimal duration of therapy is uncertain, with the most recent guidelines stating that treatment should be lifelong (Healthy Bones Australia May 2022) while older guidelines (RACGP Osteoporosis Guidelines 2017) suggest that treatment breaks may be considered after 5 to 10 years of treatment with bisphosphonates. Treatment breaks are not recommended in patients initiated on denosumab due to the rapid decline of treatment benefit after cessation of therapy and increased risk of fracture.</w:t>
      </w:r>
    </w:p>
    <w:p w14:paraId="2AA9B625" w14:textId="1E1ADE9C" w:rsidR="0069496F" w:rsidRDefault="0069496F" w:rsidP="0069496F">
      <w:pPr>
        <w:pStyle w:val="COMexecsumnumberedpara"/>
        <w:ind w:left="720" w:hanging="720"/>
      </w:pPr>
      <w:bookmarkStart w:id="12" w:name="_Ref120526799"/>
      <w:r>
        <w:t>The PBAC recalled that in September 2021 the Committee had deferred the consideration of alendronate, risedronate, and zoledronic acid for the treatment of osteoporosis in patients aged under 70 who have not had a prior fracture due to minimal trauma. At that time, the PBAC was of a mind to recommend alendronate and zoledronic acid, but deferred consideration pending a review of the Medical Benefits Scheme (MBS) implications, to ensure that the bone densitometry MBS items could be aligned with the PBAC recommendations. At that time, the PBAC was also of a mind to recommend risedronate for both populations on a cost-minimisation basis to alendronate. In September 2021, the PBAC did not recommend denosumab for either population (PBAC Meeting Outcomes, September 2021</w:t>
      </w:r>
      <w:r w:rsidRPr="001A75FD">
        <w:t xml:space="preserve"> PBAC meeting).</w:t>
      </w:r>
      <w:r>
        <w:t xml:space="preserve"> </w:t>
      </w:r>
      <w:r w:rsidR="007929A8">
        <w:t xml:space="preserve">The </w:t>
      </w:r>
      <w:r w:rsidR="00591049">
        <w:t xml:space="preserve">PSD </w:t>
      </w:r>
      <w:r w:rsidR="007929A8">
        <w:t>for the September 2021 meeting were ratified and published post the lodgement of the risedronate submission for the November 2021 meeting.</w:t>
      </w:r>
      <w:bookmarkEnd w:id="12"/>
      <w:r w:rsidR="007929A8">
        <w:t xml:space="preserve">  </w:t>
      </w:r>
    </w:p>
    <w:p w14:paraId="579E453B" w14:textId="087E3B4D" w:rsidR="00D17225" w:rsidRPr="00D17225" w:rsidDel="00195452" w:rsidRDefault="00D17225" w:rsidP="00966B2C">
      <w:pPr>
        <w:pStyle w:val="COMBody"/>
        <w:ind w:left="709"/>
      </w:pPr>
      <w:r w:rsidRPr="00D17225">
        <w:rPr>
          <w:i/>
          <w:iCs/>
        </w:rPr>
        <w:t>For more detail on PBAC’s view, see section 7 PBAC outcome.</w:t>
      </w:r>
    </w:p>
    <w:p w14:paraId="51E5AE96" w14:textId="136A63B1" w:rsidR="00B50DB8" w:rsidRPr="002E14F6" w:rsidRDefault="00B50DB8" w:rsidP="004E18E9">
      <w:pPr>
        <w:pStyle w:val="COMH1numbered"/>
      </w:pPr>
      <w:bookmarkStart w:id="13" w:name="_Toc113980150"/>
      <w:r w:rsidRPr="002E14F6">
        <w:t>Comparator</w:t>
      </w:r>
      <w:bookmarkEnd w:id="13"/>
    </w:p>
    <w:p w14:paraId="747A75CC" w14:textId="06DC6BB8" w:rsidR="00A05472" w:rsidRPr="00966B2C" w:rsidRDefault="00F23B24" w:rsidP="00966B2C">
      <w:pPr>
        <w:widowControl w:val="0"/>
        <w:numPr>
          <w:ilvl w:val="1"/>
          <w:numId w:val="1"/>
        </w:numPr>
        <w:spacing w:after="120"/>
        <w:ind w:left="720" w:hanging="720"/>
        <w:rPr>
          <w:bCs/>
          <w:snapToGrid w:val="0"/>
        </w:rPr>
      </w:pPr>
      <w:r w:rsidRPr="00966B2C">
        <w:rPr>
          <w:rFonts w:asciiTheme="minorHAnsi" w:hAnsiTheme="minorHAnsi"/>
          <w:bCs/>
          <w:snapToGrid w:val="0"/>
        </w:rPr>
        <w:t>The submission nominated placebo or ‘watchful waiting’ (patient monitoring and standard management with calcium and vitamin D) as the main comparator. The submission claimed there are currently no available treatments for the requested subgroup aged less than 70 years with BMD T-score of -2.5 or less and no prior fracture. Available osteoporosis treatments have broader TGA-approved indications for the treatment of osteoporosis, however, utilisation of these treatments outside of PBS restrictions is unknown.</w:t>
      </w:r>
    </w:p>
    <w:p w14:paraId="10842976" w14:textId="52A1DED8" w:rsidR="00F23B24" w:rsidRPr="00966B2C" w:rsidRDefault="00F23B24" w:rsidP="00966B2C">
      <w:pPr>
        <w:widowControl w:val="0"/>
        <w:numPr>
          <w:ilvl w:val="1"/>
          <w:numId w:val="1"/>
        </w:numPr>
        <w:spacing w:after="120"/>
        <w:ind w:left="720" w:hanging="720"/>
        <w:rPr>
          <w:bCs/>
          <w:snapToGrid w:val="0"/>
        </w:rPr>
      </w:pPr>
      <w:r w:rsidRPr="00966B2C">
        <w:rPr>
          <w:rFonts w:asciiTheme="minorHAnsi" w:hAnsiTheme="minorHAnsi"/>
          <w:bCs/>
          <w:snapToGrid w:val="0"/>
        </w:rPr>
        <w:t>The submission also claimed the PBAC has previously accepted placebo/watchful waiting as appropriate in previous considerations of osteoporosis treatments for primary prevention populations. The nominated comparator was appropriate.</w:t>
      </w:r>
    </w:p>
    <w:p w14:paraId="26EED8C4" w14:textId="08D359BA" w:rsidR="00F23B24" w:rsidRDefault="00F23B24" w:rsidP="00966B2C">
      <w:pPr>
        <w:widowControl w:val="0"/>
        <w:numPr>
          <w:ilvl w:val="1"/>
          <w:numId w:val="1"/>
        </w:numPr>
        <w:spacing w:after="120"/>
        <w:ind w:left="720" w:hanging="720"/>
      </w:pPr>
      <w:r w:rsidRPr="00966B2C">
        <w:rPr>
          <w:rFonts w:asciiTheme="minorHAnsi" w:hAnsiTheme="minorHAnsi"/>
          <w:bCs/>
          <w:snapToGrid w:val="0"/>
        </w:rPr>
        <w:t xml:space="preserve">The submission claimed that the proposed listing of risedronate EC will reduce the risk of, and delay the time to, first fracture in the requested PBS population, therefore, it is expected that </w:t>
      </w:r>
      <w:r w:rsidR="00940AD8" w:rsidRPr="00966B2C">
        <w:rPr>
          <w:rFonts w:asciiTheme="minorHAnsi" w:hAnsiTheme="minorHAnsi"/>
          <w:bCs/>
          <w:snapToGrid w:val="0"/>
        </w:rPr>
        <w:t xml:space="preserve">usage </w:t>
      </w:r>
      <w:r w:rsidRPr="00966B2C">
        <w:rPr>
          <w:rFonts w:asciiTheme="minorHAnsi" w:hAnsiTheme="minorHAnsi"/>
          <w:bCs/>
          <w:snapToGrid w:val="0"/>
        </w:rPr>
        <w:t xml:space="preserve">of standard of care </w:t>
      </w:r>
      <w:r w:rsidR="001442C9" w:rsidRPr="00966B2C">
        <w:rPr>
          <w:rFonts w:asciiTheme="minorHAnsi" w:hAnsiTheme="minorHAnsi"/>
          <w:bCs/>
          <w:snapToGrid w:val="0"/>
        </w:rPr>
        <w:t>therapies</w:t>
      </w:r>
      <w:r w:rsidRPr="00966B2C">
        <w:rPr>
          <w:rFonts w:asciiTheme="minorHAnsi" w:hAnsiTheme="minorHAnsi"/>
          <w:bCs/>
          <w:snapToGrid w:val="0"/>
        </w:rPr>
        <w:t xml:space="preserve"> typically prescribed following the first fracture will be reduced. The impact of risedronate EC on the usage of </w:t>
      </w:r>
      <w:r w:rsidR="001442C9" w:rsidRPr="00966B2C">
        <w:rPr>
          <w:rFonts w:asciiTheme="minorHAnsi" w:hAnsiTheme="minorHAnsi"/>
          <w:bCs/>
          <w:snapToGrid w:val="0"/>
        </w:rPr>
        <w:t>standard of care therapies</w:t>
      </w:r>
      <w:r w:rsidR="00496119" w:rsidRPr="00966B2C">
        <w:rPr>
          <w:rFonts w:asciiTheme="minorHAnsi" w:hAnsiTheme="minorHAnsi"/>
          <w:bCs/>
          <w:snapToGrid w:val="0"/>
        </w:rPr>
        <w:t xml:space="preserve"> (predominantly denosumab)</w:t>
      </w:r>
      <w:r w:rsidRPr="00966B2C">
        <w:rPr>
          <w:rFonts w:asciiTheme="minorHAnsi" w:hAnsiTheme="minorHAnsi"/>
          <w:bCs/>
          <w:snapToGrid w:val="0"/>
        </w:rPr>
        <w:t xml:space="preserve"> was included in the economic model and budget impact estimates of the submission. The submission did not consider the potential</w:t>
      </w:r>
      <w:r w:rsidRPr="001A75FD">
        <w:t xml:space="preserve"> impact of risedronate on the use of later-line therapies such as romosozumab and teriparatide. </w:t>
      </w:r>
    </w:p>
    <w:p w14:paraId="3F8E79F4" w14:textId="77777777" w:rsidR="00D17225" w:rsidRPr="00D17225" w:rsidRDefault="00D17225" w:rsidP="00D17225">
      <w:pPr>
        <w:pStyle w:val="COMBody"/>
        <w:ind w:left="709"/>
        <w:rPr>
          <w:b/>
          <w:i/>
          <w:iCs/>
        </w:rPr>
      </w:pPr>
      <w:r w:rsidRPr="00D17225">
        <w:rPr>
          <w:i/>
          <w:iCs/>
        </w:rPr>
        <w:t>For more detail on PBAC’s view, see section 7 PBAC outcome.</w:t>
      </w:r>
    </w:p>
    <w:p w14:paraId="5E5D623C" w14:textId="77777777" w:rsidR="00D17225" w:rsidRPr="00D17225" w:rsidRDefault="00D17225" w:rsidP="00D17225"/>
    <w:p w14:paraId="7F9C27C8" w14:textId="77777777" w:rsidR="00223D5A" w:rsidRPr="002E14F6" w:rsidRDefault="00223D5A" w:rsidP="00223D5A">
      <w:pPr>
        <w:pStyle w:val="COMH1numbered"/>
      </w:pPr>
      <w:bookmarkStart w:id="14" w:name="_Toc113980151"/>
      <w:bookmarkStart w:id="15" w:name="_Toc22897640"/>
      <w:r w:rsidRPr="002E14F6">
        <w:t>Consideration of the evidence</w:t>
      </w:r>
      <w:bookmarkEnd w:id="14"/>
    </w:p>
    <w:p w14:paraId="4ECBD0A1" w14:textId="77777777" w:rsidR="003C04BA" w:rsidRPr="008D2EC2" w:rsidRDefault="003C04BA" w:rsidP="00D84ECA">
      <w:pPr>
        <w:pStyle w:val="COMH2-non-numbered"/>
      </w:pPr>
      <w:bookmarkStart w:id="16" w:name="_Toc113980152"/>
      <w:r w:rsidRPr="008D2EC2">
        <w:t>Sponsor hearing</w:t>
      </w:r>
    </w:p>
    <w:p w14:paraId="7E71531F" w14:textId="3182BA3F" w:rsidR="00E357A2" w:rsidRPr="00966B2C" w:rsidRDefault="00E357A2" w:rsidP="00966B2C">
      <w:pPr>
        <w:widowControl w:val="0"/>
        <w:numPr>
          <w:ilvl w:val="1"/>
          <w:numId w:val="1"/>
        </w:numPr>
        <w:spacing w:after="120"/>
        <w:ind w:left="720" w:hanging="720"/>
        <w:rPr>
          <w:rFonts w:asciiTheme="minorHAnsi" w:hAnsiTheme="minorHAnsi"/>
          <w:bCs/>
          <w:snapToGrid w:val="0"/>
        </w:rPr>
      </w:pPr>
      <w:bookmarkStart w:id="17" w:name="_Hlk76382586"/>
      <w:r w:rsidRPr="008D2EC2">
        <w:rPr>
          <w:rFonts w:asciiTheme="minorHAnsi" w:hAnsiTheme="minorHAnsi"/>
          <w:bCs/>
          <w:snapToGrid w:val="0"/>
        </w:rPr>
        <w:t xml:space="preserve">The Sponsor requested a hearing for this item. The clinician described the prevalence of </w:t>
      </w:r>
      <w:r w:rsidR="00763D03" w:rsidRPr="008D2EC2">
        <w:rPr>
          <w:rFonts w:asciiTheme="minorHAnsi" w:hAnsiTheme="minorHAnsi"/>
          <w:bCs/>
          <w:snapToGrid w:val="0"/>
        </w:rPr>
        <w:t xml:space="preserve">osteoporosis in Australia and stated women aged between 60 -70 years old were a group of high need for subsidised treatment options. Further, the clinician noted bone loss accelerates as patients </w:t>
      </w:r>
      <w:r w:rsidR="00763D03" w:rsidRPr="007929A8">
        <w:rPr>
          <w:rFonts w:asciiTheme="minorHAnsi" w:hAnsiTheme="minorHAnsi"/>
          <w:bCs/>
          <w:snapToGrid w:val="0"/>
        </w:rPr>
        <w:t xml:space="preserve">get older </w:t>
      </w:r>
      <w:r w:rsidR="00207A08">
        <w:rPr>
          <w:rFonts w:asciiTheme="minorHAnsi" w:hAnsiTheme="minorHAnsi"/>
          <w:bCs/>
          <w:snapToGrid w:val="0"/>
        </w:rPr>
        <w:t>and</w:t>
      </w:r>
      <w:r w:rsidR="00763D03" w:rsidRPr="007929A8">
        <w:rPr>
          <w:rFonts w:asciiTheme="minorHAnsi" w:hAnsiTheme="minorHAnsi"/>
          <w:bCs/>
          <w:snapToGrid w:val="0"/>
        </w:rPr>
        <w:t xml:space="preserve"> </w:t>
      </w:r>
      <w:r w:rsidR="001814B6" w:rsidRPr="007929A8">
        <w:rPr>
          <w:rFonts w:asciiTheme="minorHAnsi" w:hAnsiTheme="minorHAnsi"/>
          <w:bCs/>
          <w:snapToGrid w:val="0"/>
        </w:rPr>
        <w:t>bone remodelling increases</w:t>
      </w:r>
      <w:r w:rsidR="00763D03" w:rsidRPr="007929A8">
        <w:rPr>
          <w:rFonts w:asciiTheme="minorHAnsi" w:hAnsiTheme="minorHAnsi"/>
          <w:bCs/>
          <w:snapToGrid w:val="0"/>
        </w:rPr>
        <w:t>, further highlighting the need for earlier intervention than current restrictions.</w:t>
      </w:r>
      <w:bookmarkStart w:id="18" w:name="_Ref120453651"/>
    </w:p>
    <w:bookmarkEnd w:id="17"/>
    <w:bookmarkEnd w:id="18"/>
    <w:p w14:paraId="644DB7D4" w14:textId="77777777" w:rsidR="003C04BA" w:rsidRPr="004C76DE" w:rsidRDefault="003C04BA" w:rsidP="00D84ECA">
      <w:pPr>
        <w:pStyle w:val="COMH2-non-numbered"/>
      </w:pPr>
      <w:r w:rsidRPr="007929A8">
        <w:t>Consumer comments</w:t>
      </w:r>
    </w:p>
    <w:p w14:paraId="5D47EC0F" w14:textId="5E864F04" w:rsidR="008179F0" w:rsidRPr="004C76DE" w:rsidRDefault="00763D03" w:rsidP="008179F0">
      <w:pPr>
        <w:widowControl w:val="0"/>
        <w:numPr>
          <w:ilvl w:val="1"/>
          <w:numId w:val="1"/>
        </w:numPr>
        <w:spacing w:after="120"/>
        <w:ind w:left="720" w:hanging="720"/>
        <w:rPr>
          <w:rFonts w:asciiTheme="minorHAnsi" w:hAnsiTheme="minorHAnsi"/>
          <w:bCs/>
          <w:snapToGrid w:val="0"/>
        </w:rPr>
      </w:pPr>
      <w:bookmarkStart w:id="19" w:name="_Ref120453421"/>
      <w:bookmarkStart w:id="20" w:name="_Hlk97141415"/>
      <w:r w:rsidRPr="004C76DE">
        <w:rPr>
          <w:rFonts w:asciiTheme="minorHAnsi" w:hAnsiTheme="minorHAnsi"/>
          <w:bCs/>
          <w:snapToGrid w:val="0"/>
        </w:rPr>
        <w:t xml:space="preserve">The PBAC noted the advice received from specialist medical </w:t>
      </w:r>
      <w:r w:rsidR="008179F0" w:rsidRPr="004C76DE">
        <w:rPr>
          <w:rFonts w:asciiTheme="minorHAnsi" w:hAnsiTheme="minorHAnsi"/>
          <w:bCs/>
          <w:snapToGrid w:val="0"/>
        </w:rPr>
        <w:t>organisations</w:t>
      </w:r>
      <w:r w:rsidRPr="004C76DE">
        <w:rPr>
          <w:rFonts w:asciiTheme="minorHAnsi" w:hAnsiTheme="minorHAnsi"/>
          <w:bCs/>
          <w:snapToGrid w:val="0"/>
        </w:rPr>
        <w:t xml:space="preserve"> including the Australian and New Zealand Bone and Mineral Society (ANZBMS), the Endocrine Society of Australia (ESA), and the Royal Australian and New Zealand College of Obstetricians and Gynaecologists (RANZCOG</w:t>
      </w:r>
      <w:r w:rsidR="008179F0" w:rsidRPr="004C76DE">
        <w:rPr>
          <w:rFonts w:asciiTheme="minorHAnsi" w:hAnsiTheme="minorHAnsi"/>
          <w:bCs/>
          <w:snapToGrid w:val="0"/>
        </w:rPr>
        <w:t>),</w:t>
      </w:r>
      <w:r w:rsidRPr="004C76DE">
        <w:rPr>
          <w:rFonts w:asciiTheme="minorHAnsi" w:hAnsiTheme="minorHAnsi"/>
          <w:bCs/>
          <w:snapToGrid w:val="0"/>
        </w:rPr>
        <w:t xml:space="preserve"> and </w:t>
      </w:r>
      <w:r w:rsidR="008179F0" w:rsidRPr="004C76DE">
        <w:rPr>
          <w:rFonts w:asciiTheme="minorHAnsi" w:hAnsiTheme="minorHAnsi"/>
          <w:bCs/>
          <w:snapToGrid w:val="0"/>
        </w:rPr>
        <w:t xml:space="preserve">advice from the consumer organisation Healthy Bones Australia. A summary of </w:t>
      </w:r>
      <w:r w:rsidR="001814B6">
        <w:rPr>
          <w:rFonts w:asciiTheme="minorHAnsi" w:hAnsiTheme="minorHAnsi"/>
          <w:bCs/>
          <w:snapToGrid w:val="0"/>
        </w:rPr>
        <w:t xml:space="preserve">the </w:t>
      </w:r>
      <w:r w:rsidR="008179F0" w:rsidRPr="004C76DE">
        <w:rPr>
          <w:rFonts w:asciiTheme="minorHAnsi" w:hAnsiTheme="minorHAnsi"/>
          <w:bCs/>
          <w:snapToGrid w:val="0"/>
        </w:rPr>
        <w:t xml:space="preserve">advice is </w:t>
      </w:r>
      <w:r w:rsidR="001814B6">
        <w:rPr>
          <w:rFonts w:asciiTheme="minorHAnsi" w:hAnsiTheme="minorHAnsi"/>
          <w:bCs/>
          <w:snapToGrid w:val="0"/>
        </w:rPr>
        <w:t xml:space="preserve">provided </w:t>
      </w:r>
      <w:r w:rsidR="008179F0" w:rsidRPr="004C76DE">
        <w:rPr>
          <w:rFonts w:asciiTheme="minorHAnsi" w:hAnsiTheme="minorHAnsi"/>
          <w:bCs/>
          <w:snapToGrid w:val="0"/>
        </w:rPr>
        <w:t>below:</w:t>
      </w:r>
      <w:bookmarkEnd w:id="19"/>
    </w:p>
    <w:p w14:paraId="048367B3" w14:textId="021D06F5" w:rsidR="008179F0" w:rsidRDefault="008179F0" w:rsidP="00E900CC">
      <w:pPr>
        <w:pStyle w:val="COMexecsummbulletlist"/>
        <w:spacing w:after="0"/>
        <w:ind w:left="1134"/>
      </w:pPr>
      <w:r>
        <w:t>The ANZBMS advised it was open to expanded PBS criteria for risedronate for patients aged 50 years and over at increased risk of fracture, however was not supportive of expanding the listing to patients aged under 50 years, due to the lack of clear evidence of benefit and risk of adverse events</w:t>
      </w:r>
      <w:r w:rsidR="004C76DE">
        <w:t>.</w:t>
      </w:r>
    </w:p>
    <w:p w14:paraId="4D3B1AE1" w14:textId="11832972" w:rsidR="008179F0" w:rsidRDefault="008179F0" w:rsidP="00E900CC">
      <w:pPr>
        <w:pStyle w:val="COMexecsummbulletlist"/>
        <w:spacing w:after="0"/>
        <w:ind w:left="1134"/>
      </w:pPr>
      <w:r>
        <w:t xml:space="preserve">The ESA advised it was of the view that removing the age restriction entirely </w:t>
      </w:r>
      <w:r w:rsidR="004C76DE">
        <w:t>would create a risk of inappropriate use of risedronate in premenopausal women or younger individuals without specialist consideration, which may lead to adverse outcomes</w:t>
      </w:r>
      <w:r w:rsidR="00BE2E64">
        <w:t>. Instead, ESA</w:t>
      </w:r>
      <w:r w:rsidR="004C76DE">
        <w:t xml:space="preserve"> was supportive of amending the age restriction, such as subsidising therapy in patients over the age of 50 with </w:t>
      </w:r>
      <w:r w:rsidR="00BE2E64">
        <w:t>low</w:t>
      </w:r>
      <w:r w:rsidR="004C76DE">
        <w:t xml:space="preserve"> BMD T-scores and</w:t>
      </w:r>
      <w:r w:rsidR="00BE2E64">
        <w:t xml:space="preserve"> at risk of</w:t>
      </w:r>
      <w:r w:rsidR="004C76DE">
        <w:t xml:space="preserve"> fracture. </w:t>
      </w:r>
    </w:p>
    <w:p w14:paraId="5A58E918" w14:textId="71B1498C" w:rsidR="004C76DE" w:rsidRDefault="004C76DE" w:rsidP="00E900CC">
      <w:pPr>
        <w:pStyle w:val="COMexecsummbulletlist"/>
        <w:spacing w:after="0"/>
        <w:ind w:left="1134"/>
      </w:pPr>
      <w:r>
        <w:t>RANZCOG advised it was of the view there is a potential for harm with widespread prescribing of risedronate, particularly to reproductive age women, as bisphosphonates are long acting and there is a paucity of evidence of the effects of these agents on the foetal skeleton.</w:t>
      </w:r>
      <w:r w:rsidR="001920E6">
        <w:t xml:space="preserve"> RANZCOG noted fracture risks calculators were readily available and considered it was challenging to set a fracture risk threshold at which risedronate should be PBS subsidised and considered a fracture risk between 5-10% over the next 10 years may be a reasonable approach.</w:t>
      </w:r>
      <w:r>
        <w:t xml:space="preserve"> On that basis, RANZCOG advised </w:t>
      </w:r>
      <w:r w:rsidR="008D2EC2">
        <w:t xml:space="preserve">it was supportive of amending the </w:t>
      </w:r>
      <w:r w:rsidR="00BE2E64">
        <w:t xml:space="preserve">lower </w:t>
      </w:r>
      <w:r w:rsidR="008D2EC2">
        <w:t>age limit of risedronate in women to 50-55 years old.</w:t>
      </w:r>
    </w:p>
    <w:p w14:paraId="3D405656" w14:textId="73F9A5D4" w:rsidR="008D2EC2" w:rsidRPr="001A75FD" w:rsidRDefault="008D2EC2" w:rsidP="00E900CC">
      <w:pPr>
        <w:pStyle w:val="COMexecsummbulletlist"/>
        <w:spacing w:after="0"/>
        <w:ind w:left="1134"/>
      </w:pPr>
      <w:r>
        <w:t xml:space="preserve">Healthy Bones Australia advised it was supportive of expanded access to risedronate, for both patients in the primary and secondary prevention settings. A second input from the Chair of the Healthy Bones Australia Board reiterated the benefit that more patients would be eligible for risedronate if the listing were expanded, which </w:t>
      </w:r>
      <w:r w:rsidR="00BE2E64">
        <w:t xml:space="preserve">they stated </w:t>
      </w:r>
      <w:r>
        <w:t>would reduce the public health care burden of fractures in society and the individual.</w:t>
      </w:r>
    </w:p>
    <w:p w14:paraId="3A0891BB" w14:textId="77777777" w:rsidR="00F00520" w:rsidRPr="00F00520" w:rsidRDefault="00F00520" w:rsidP="008179F0">
      <w:pPr>
        <w:pStyle w:val="ListBullet"/>
        <w:numPr>
          <w:ilvl w:val="0"/>
          <w:numId w:val="0"/>
        </w:numPr>
        <w:ind w:left="360"/>
      </w:pPr>
    </w:p>
    <w:bookmarkEnd w:id="20"/>
    <w:p w14:paraId="609C0765" w14:textId="4C8ACE35" w:rsidR="00B60939" w:rsidRPr="002E14F6" w:rsidRDefault="00B60939" w:rsidP="002E4F02">
      <w:pPr>
        <w:pStyle w:val="COMH2-non-numbered"/>
      </w:pPr>
      <w:r w:rsidRPr="002E14F6">
        <w:t>Clinical trials</w:t>
      </w:r>
      <w:bookmarkEnd w:id="15"/>
      <w:bookmarkEnd w:id="16"/>
    </w:p>
    <w:p w14:paraId="7B2D774D" w14:textId="2E31FB24" w:rsidR="00AB1C57" w:rsidRPr="00473112" w:rsidRDefault="00AB1C57" w:rsidP="00966B2C">
      <w:pPr>
        <w:widowControl w:val="0"/>
        <w:numPr>
          <w:ilvl w:val="1"/>
          <w:numId w:val="1"/>
        </w:numPr>
        <w:spacing w:after="120"/>
        <w:ind w:left="720" w:hanging="720"/>
        <w:rPr>
          <w:bCs/>
        </w:rPr>
      </w:pPr>
      <w:r w:rsidRPr="00966B2C">
        <w:rPr>
          <w:rFonts w:asciiTheme="minorHAnsi" w:hAnsiTheme="minorHAnsi"/>
          <w:bCs/>
          <w:snapToGrid w:val="0"/>
        </w:rPr>
        <w:t xml:space="preserve">The following trials and analyses were previously considered by the PBAC in </w:t>
      </w:r>
      <w:r w:rsidRPr="00473112">
        <w:rPr>
          <w:rFonts w:asciiTheme="minorHAnsi" w:hAnsiTheme="minorHAnsi"/>
          <w:bCs/>
          <w:snapToGrid w:val="0"/>
        </w:rPr>
        <w:t xml:space="preserve">risedronate </w:t>
      </w:r>
      <w:r w:rsidR="00940AD8" w:rsidRPr="00473112">
        <w:rPr>
          <w:rFonts w:asciiTheme="minorHAnsi" w:hAnsiTheme="minorHAnsi"/>
          <w:bCs/>
          <w:snapToGrid w:val="0"/>
        </w:rPr>
        <w:t xml:space="preserve">submissions </w:t>
      </w:r>
      <w:r w:rsidRPr="00473112">
        <w:rPr>
          <w:rFonts w:asciiTheme="minorHAnsi" w:hAnsiTheme="minorHAnsi"/>
          <w:bCs/>
          <w:snapToGrid w:val="0"/>
        </w:rPr>
        <w:t>for primary prevention of osteoporosis (PBAC meetings held between June 2003 and March 2013):</w:t>
      </w:r>
    </w:p>
    <w:p w14:paraId="1A46BAB0" w14:textId="77777777" w:rsidR="00AB1C57" w:rsidRPr="001A75FD" w:rsidRDefault="00AB1C57" w:rsidP="00E667D9">
      <w:pPr>
        <w:pStyle w:val="COMexecsummbulletlist"/>
        <w:spacing w:after="0"/>
        <w:ind w:left="1134"/>
      </w:pPr>
      <w:r w:rsidRPr="001A75FD">
        <w:t>Direct comparison of BMD outcomes with risedronate versus placebo in postmenopausal women with BMD T-score of -2 or less (BMD-MN).</w:t>
      </w:r>
    </w:p>
    <w:p w14:paraId="2674B334" w14:textId="77777777" w:rsidR="00AB1C57" w:rsidRPr="001A75FD" w:rsidRDefault="00AB1C57" w:rsidP="00E667D9">
      <w:pPr>
        <w:pStyle w:val="COMexecsummbulletlist"/>
        <w:spacing w:after="0"/>
        <w:ind w:left="1134"/>
      </w:pPr>
      <w:r w:rsidRPr="001A75FD">
        <w:t>Direct comparison of BMD outcomes with risedronate versus placebo in postmenopausal women with BMD T-score of -2 or less (BMD-NA).</w:t>
      </w:r>
    </w:p>
    <w:p w14:paraId="660B8D62" w14:textId="77777777" w:rsidR="00AB1C57" w:rsidRPr="001A75FD" w:rsidRDefault="00AB1C57" w:rsidP="00E667D9">
      <w:pPr>
        <w:pStyle w:val="COMexecsummbulletlist"/>
        <w:spacing w:after="0"/>
        <w:ind w:left="1134"/>
      </w:pPr>
      <w:r w:rsidRPr="001A75FD">
        <w:t>Direct comparison of hip fracture outcomes with risedronate versus placebo in postmenopausal women aged 70 years or older, with very low BMD (T-score &lt;-3 or &lt;-4) and/or risk factors for hip fracture (HIP).</w:t>
      </w:r>
    </w:p>
    <w:p w14:paraId="643BCAFB" w14:textId="77777777" w:rsidR="00AB1C57" w:rsidRPr="001A75FD" w:rsidRDefault="00AB1C57" w:rsidP="00E667D9">
      <w:pPr>
        <w:pStyle w:val="COMexecsummbulletlist"/>
        <w:spacing w:after="0"/>
        <w:ind w:left="1134"/>
      </w:pPr>
      <w:r w:rsidRPr="001A75FD">
        <w:t>Direct comparison of vertebral fracture outcomes with risedronate versus placebo in postmenopausal women with multiple prior vertebral fractures (VERT-MN).</w:t>
      </w:r>
    </w:p>
    <w:p w14:paraId="64E6EBFA" w14:textId="77777777" w:rsidR="00AB1C57" w:rsidRPr="001A75FD" w:rsidRDefault="00AB1C57" w:rsidP="00E667D9">
      <w:pPr>
        <w:pStyle w:val="COMexecsummbulletlist"/>
        <w:spacing w:after="0"/>
        <w:ind w:left="1134"/>
      </w:pPr>
      <w:r w:rsidRPr="001A75FD">
        <w:t>Direct comparison of vertebral fracture outcomes with risedronate versus placebo in postmenopausal women with at least one prior vertebral fracture (VERT-NA).</w:t>
      </w:r>
    </w:p>
    <w:p w14:paraId="09F7CC23" w14:textId="77777777" w:rsidR="00AB1C57" w:rsidRPr="001A75FD" w:rsidRDefault="00AB1C57" w:rsidP="00E667D9">
      <w:pPr>
        <w:pStyle w:val="COMexecsummbulletlist"/>
        <w:spacing w:after="0"/>
        <w:ind w:left="1134"/>
      </w:pPr>
      <w:r w:rsidRPr="001A75FD">
        <w:t>Post hoc subgroup analysis of nonvertebral fracture outcomes in postmenopausal women with or without vertebral fracture, with BMD T-score of less than -2.5 using data from the BMD-MN, BMD-NA, VERT-MN and VERT-NA trials (Harrington 2004).</w:t>
      </w:r>
    </w:p>
    <w:p w14:paraId="025F06ED" w14:textId="77777777" w:rsidR="00AB1C57" w:rsidRPr="001A75FD" w:rsidRDefault="00AB1C57" w:rsidP="00E667D9">
      <w:pPr>
        <w:pStyle w:val="COMexecsummbulletlist"/>
        <w:spacing w:after="0"/>
        <w:ind w:left="1134"/>
      </w:pPr>
      <w:r w:rsidRPr="001A75FD">
        <w:t xml:space="preserve">Post hoc subgroup analysis of vertebral fracture outcomes in postmenopausal women without vertebral fracture, with BMD T-score of less than -2.5 using data from the BMD-MN, BMD-NA, HIP and VERT-NA trials (Heaney 2002). </w:t>
      </w:r>
    </w:p>
    <w:p w14:paraId="12996C05" w14:textId="77777777" w:rsidR="00AB1C57" w:rsidRPr="001A75FD" w:rsidRDefault="00AB1C57" w:rsidP="00E667D9">
      <w:pPr>
        <w:pStyle w:val="COMexecsummbulletlist"/>
        <w:ind w:left="1134"/>
      </w:pPr>
      <w:r w:rsidRPr="001A75FD">
        <w:t xml:space="preserve">Indirect comparison of vertebral, nonvertebral and hip fracture outcomes in postmenopausal women without vertebral fracture, with BMD T-score of less than -2.5, between risedronate (BMD-MN, BMD-NA, VERT-NA, HIP trials) and alendronate (FIT-CFA trial) (risedronate PSD, March 2013 PBAC meeting). </w:t>
      </w:r>
    </w:p>
    <w:p w14:paraId="17DE34DC" w14:textId="19D38DB9" w:rsidR="007F1017" w:rsidRPr="00966B2C" w:rsidRDefault="00AB1C57" w:rsidP="00966B2C">
      <w:pPr>
        <w:widowControl w:val="0"/>
        <w:numPr>
          <w:ilvl w:val="1"/>
          <w:numId w:val="1"/>
        </w:numPr>
        <w:spacing w:after="120"/>
        <w:ind w:left="720" w:hanging="720"/>
        <w:rPr>
          <w:bCs/>
        </w:rPr>
      </w:pPr>
      <w:r w:rsidRPr="00966B2C">
        <w:rPr>
          <w:rFonts w:asciiTheme="minorHAnsi" w:hAnsiTheme="minorHAnsi"/>
          <w:bCs/>
          <w:snapToGrid w:val="0"/>
        </w:rPr>
        <w:t>The submission was based on direct comparisons of risedronate versus placebo in the BMD-MN, BMD-NA, VERT-MN and VERT-NA trials. The submission excluded the HIP trial as it was conducted in the wrong population. The applicability of results from the HIP trial to the requested PBS population may be limited as it was conducted in older patients with very low BMD, however, this appears to be the only trial of risedronate that included hip fracture outcomes.</w:t>
      </w:r>
    </w:p>
    <w:p w14:paraId="63F0BA83" w14:textId="1B01E181" w:rsidR="00AB1C57" w:rsidRPr="00966B2C" w:rsidRDefault="00AB1C57" w:rsidP="00966B2C">
      <w:pPr>
        <w:widowControl w:val="0"/>
        <w:numPr>
          <w:ilvl w:val="1"/>
          <w:numId w:val="1"/>
        </w:numPr>
        <w:spacing w:after="120"/>
        <w:ind w:left="720" w:hanging="720"/>
        <w:rPr>
          <w:bCs/>
        </w:rPr>
      </w:pPr>
      <w:r w:rsidRPr="00966B2C">
        <w:rPr>
          <w:rFonts w:asciiTheme="minorHAnsi" w:hAnsiTheme="minorHAnsi"/>
          <w:bCs/>
          <w:snapToGrid w:val="0"/>
        </w:rPr>
        <w:t xml:space="preserve">The submission included a post hoc pooled analysis of four trials of risedronate (BMD-MN, BMD-NA, VERT-MN and VERT-NA) that assessed the relationship between age and treatment effect (Boonen 2010). This analysis has not previously been considered by the PBAC.  </w:t>
      </w:r>
    </w:p>
    <w:p w14:paraId="3234C544" w14:textId="67EC2057" w:rsidR="00685957" w:rsidRPr="00966B2C" w:rsidRDefault="00685957" w:rsidP="00966B2C">
      <w:pPr>
        <w:widowControl w:val="0"/>
        <w:numPr>
          <w:ilvl w:val="1"/>
          <w:numId w:val="1"/>
        </w:numPr>
        <w:spacing w:after="120"/>
        <w:ind w:left="720" w:hanging="720"/>
        <w:rPr>
          <w:bCs/>
        </w:rPr>
      </w:pPr>
      <w:r w:rsidRPr="00966B2C">
        <w:rPr>
          <w:rFonts w:asciiTheme="minorHAnsi" w:hAnsiTheme="minorHAnsi"/>
          <w:bCs/>
          <w:snapToGrid w:val="0"/>
        </w:rPr>
        <w:t>The submission provided supportive evidence based on BMD outcomes from a non-inferiority trial of risedronate EC versus risedronate immediate release in postmenopausal women with osteoporosis (Fantasia). This trial has not been previously considered by the PBAC, however, risedronate EC was recommended by the PBAC on a cost-minimisation basis against other immediate release formulations of risedronate (PBAC Outcomes Statement, March 2011 PBAC meeting).</w:t>
      </w:r>
    </w:p>
    <w:p w14:paraId="20B580B6" w14:textId="049252DA" w:rsidR="000F49CE" w:rsidRPr="00966B2C" w:rsidRDefault="006F3155" w:rsidP="00966B2C">
      <w:pPr>
        <w:widowControl w:val="0"/>
        <w:numPr>
          <w:ilvl w:val="1"/>
          <w:numId w:val="1"/>
        </w:numPr>
        <w:spacing w:after="120"/>
        <w:ind w:left="720" w:hanging="720"/>
        <w:rPr>
          <w:bCs/>
        </w:rPr>
      </w:pPr>
      <w:r w:rsidRPr="00966B2C">
        <w:rPr>
          <w:rFonts w:asciiTheme="minorHAnsi" w:hAnsiTheme="minorHAnsi"/>
          <w:bCs/>
          <w:snapToGrid w:val="0"/>
        </w:rPr>
        <w:t>During the evaluation,</w:t>
      </w:r>
      <w:r w:rsidR="00C53123" w:rsidRPr="00966B2C">
        <w:rPr>
          <w:rFonts w:asciiTheme="minorHAnsi" w:hAnsiTheme="minorHAnsi"/>
          <w:bCs/>
          <w:snapToGrid w:val="0"/>
        </w:rPr>
        <w:t xml:space="preserve"> summaries of</w:t>
      </w:r>
      <w:r w:rsidRPr="00966B2C">
        <w:rPr>
          <w:rFonts w:asciiTheme="minorHAnsi" w:hAnsiTheme="minorHAnsi"/>
          <w:bCs/>
          <w:snapToGrid w:val="0"/>
        </w:rPr>
        <w:t xml:space="preserve"> the HIP trial and post hoc subgroup analyses (Harrington 2004 and Heaney 2002) that were previously considered by the PBAC were included. Data from the indirect comparison of risedronate and alendronate previously considered by the PBAC were also included </w:t>
      </w:r>
      <w:r w:rsidR="000B1F28" w:rsidRPr="00966B2C">
        <w:rPr>
          <w:rFonts w:asciiTheme="minorHAnsi" w:hAnsiTheme="minorHAnsi"/>
          <w:bCs/>
          <w:snapToGrid w:val="0"/>
        </w:rPr>
        <w:t xml:space="preserve">as supportive evidence </w:t>
      </w:r>
      <w:r w:rsidRPr="00966B2C">
        <w:rPr>
          <w:rFonts w:asciiTheme="minorHAnsi" w:hAnsiTheme="minorHAnsi"/>
          <w:bCs/>
          <w:snapToGrid w:val="0"/>
        </w:rPr>
        <w:t>during the evaluation, as modelled treatment benefits for risedronate in the economic model were derived from data for alendronate (assuming equivalence between treatments).</w:t>
      </w:r>
    </w:p>
    <w:p w14:paraId="2B59ABAC" w14:textId="0652EB3D" w:rsidR="00862502" w:rsidRPr="00966B2C" w:rsidRDefault="00A73134" w:rsidP="00966B2C">
      <w:pPr>
        <w:widowControl w:val="0"/>
        <w:numPr>
          <w:ilvl w:val="1"/>
          <w:numId w:val="1"/>
        </w:numPr>
        <w:spacing w:after="120"/>
        <w:ind w:left="720" w:hanging="720"/>
        <w:rPr>
          <w:bCs/>
        </w:rPr>
      </w:pPr>
      <w:r w:rsidRPr="00966B2C">
        <w:rPr>
          <w:rFonts w:asciiTheme="minorHAnsi" w:hAnsiTheme="minorHAnsi"/>
          <w:bCs/>
          <w:snapToGrid w:val="0"/>
        </w:rPr>
        <w:t xml:space="preserve">Details of the trials presented in the submission </w:t>
      </w:r>
      <w:r w:rsidR="000B1F28" w:rsidRPr="00966B2C">
        <w:rPr>
          <w:rFonts w:asciiTheme="minorHAnsi" w:hAnsiTheme="minorHAnsi"/>
          <w:bCs/>
          <w:snapToGrid w:val="0"/>
        </w:rPr>
        <w:t xml:space="preserve">and included during the evaluation </w:t>
      </w:r>
      <w:r w:rsidRPr="00966B2C">
        <w:rPr>
          <w:rFonts w:asciiTheme="minorHAnsi" w:hAnsiTheme="minorHAnsi"/>
          <w:bCs/>
          <w:snapToGrid w:val="0"/>
        </w:rPr>
        <w:t xml:space="preserve">are provided in </w:t>
      </w:r>
      <w:r w:rsidR="00E0310D" w:rsidRPr="00966B2C">
        <w:rPr>
          <w:rFonts w:asciiTheme="minorHAnsi" w:hAnsiTheme="minorHAnsi"/>
          <w:bCs/>
          <w:snapToGrid w:val="0"/>
        </w:rPr>
        <w:fldChar w:fldCharType="begin" w:fldLock="1"/>
      </w:r>
      <w:r w:rsidR="00E0310D" w:rsidRPr="00966B2C">
        <w:rPr>
          <w:rFonts w:asciiTheme="minorHAnsi" w:hAnsiTheme="minorHAnsi"/>
          <w:bCs/>
          <w:snapToGrid w:val="0"/>
        </w:rPr>
        <w:instrText xml:space="preserve"> REF _Ref112667361 \h </w:instrText>
      </w:r>
      <w:r w:rsidR="001A75FD" w:rsidRPr="00966B2C">
        <w:rPr>
          <w:rFonts w:asciiTheme="minorHAnsi" w:hAnsiTheme="minorHAnsi"/>
          <w:bCs/>
          <w:snapToGrid w:val="0"/>
        </w:rPr>
        <w:instrText xml:space="preserve"> \* MERGEFORMAT </w:instrText>
      </w:r>
      <w:r w:rsidR="00E0310D" w:rsidRPr="00966B2C">
        <w:rPr>
          <w:rFonts w:asciiTheme="minorHAnsi" w:hAnsiTheme="minorHAnsi"/>
          <w:bCs/>
          <w:snapToGrid w:val="0"/>
        </w:rPr>
      </w:r>
      <w:r w:rsidR="00E0310D" w:rsidRPr="00966B2C">
        <w:rPr>
          <w:rFonts w:asciiTheme="minorHAnsi" w:hAnsiTheme="minorHAnsi"/>
          <w:bCs/>
          <w:snapToGrid w:val="0"/>
        </w:rPr>
        <w:fldChar w:fldCharType="separate"/>
      </w:r>
      <w:r w:rsidR="00E0310D" w:rsidRPr="00966B2C">
        <w:rPr>
          <w:rFonts w:asciiTheme="minorHAnsi" w:hAnsiTheme="minorHAnsi"/>
          <w:bCs/>
          <w:snapToGrid w:val="0"/>
        </w:rPr>
        <w:t>Table 3</w:t>
      </w:r>
      <w:r w:rsidR="00E0310D" w:rsidRPr="00966B2C">
        <w:rPr>
          <w:rFonts w:asciiTheme="minorHAnsi" w:hAnsiTheme="minorHAnsi"/>
          <w:bCs/>
          <w:snapToGrid w:val="0"/>
        </w:rPr>
        <w:fldChar w:fldCharType="end"/>
      </w:r>
      <w:r w:rsidRPr="00966B2C">
        <w:rPr>
          <w:rFonts w:asciiTheme="minorHAnsi" w:hAnsiTheme="minorHAnsi"/>
          <w:bCs/>
          <w:snapToGrid w:val="0"/>
        </w:rPr>
        <w:t>.</w:t>
      </w:r>
    </w:p>
    <w:p w14:paraId="77DFE5D6" w14:textId="57291282" w:rsidR="00E70D07" w:rsidRPr="00E0310D" w:rsidRDefault="00E0310D" w:rsidP="00E0310D">
      <w:pPr>
        <w:pStyle w:val="COMtablefigcaption"/>
      </w:pPr>
      <w:bookmarkStart w:id="21" w:name="_Ref112667361"/>
      <w:r>
        <w:t xml:space="preserve">Table </w:t>
      </w:r>
      <w:r w:rsidR="00400174">
        <w:fldChar w:fldCharType="begin" w:fldLock="1"/>
      </w:r>
      <w:r w:rsidR="00400174">
        <w:instrText xml:space="preserve"> SEQ Table \* ARABIC </w:instrText>
      </w:r>
      <w:r w:rsidR="00400174">
        <w:fldChar w:fldCharType="separate"/>
      </w:r>
      <w:r w:rsidR="00C2719F">
        <w:rPr>
          <w:noProof/>
        </w:rPr>
        <w:t>3</w:t>
      </w:r>
      <w:r w:rsidR="00400174">
        <w:rPr>
          <w:noProof/>
        </w:rPr>
        <w:fldChar w:fldCharType="end"/>
      </w:r>
      <w:bookmarkEnd w:id="21"/>
      <w:r>
        <w:t xml:space="preserve">: </w:t>
      </w:r>
      <w:r w:rsidRPr="00E0310D">
        <w:t>Trials and associated reports presented in the submission and included during the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submission and included during the evaluation"/>
      </w:tblPr>
      <w:tblGrid>
        <w:gridCol w:w="1435"/>
        <w:gridCol w:w="5459"/>
        <w:gridCol w:w="2123"/>
      </w:tblGrid>
      <w:tr w:rsidR="00E70D07" w:rsidRPr="00F46FE2" w14:paraId="7DA43B40" w14:textId="77777777" w:rsidTr="005F1ABD">
        <w:trPr>
          <w:tblHeader/>
        </w:trPr>
        <w:tc>
          <w:tcPr>
            <w:tcW w:w="796" w:type="pct"/>
            <w:tcBorders>
              <w:bottom w:val="single" w:sz="4" w:space="0" w:color="auto"/>
            </w:tcBorders>
            <w:vAlign w:val="center"/>
          </w:tcPr>
          <w:p w14:paraId="63814DA8" w14:textId="77777777" w:rsidR="00E70D07" w:rsidRPr="00F46FE2" w:rsidRDefault="00E70D07" w:rsidP="005F1ABD">
            <w:pPr>
              <w:pStyle w:val="COMTableheadingrow"/>
              <w:rPr>
                <w:lang w:val="en-AU"/>
              </w:rPr>
            </w:pPr>
            <w:r w:rsidRPr="00F46FE2">
              <w:rPr>
                <w:lang w:val="en-AU"/>
              </w:rPr>
              <w:t>Study ID</w:t>
            </w:r>
          </w:p>
        </w:tc>
        <w:tc>
          <w:tcPr>
            <w:tcW w:w="3027" w:type="pct"/>
            <w:tcBorders>
              <w:bottom w:val="single" w:sz="4" w:space="0" w:color="auto"/>
            </w:tcBorders>
            <w:vAlign w:val="center"/>
          </w:tcPr>
          <w:p w14:paraId="728D1D3D" w14:textId="4004E11D" w:rsidR="00E70D07" w:rsidRPr="00F46FE2" w:rsidRDefault="00E70D07" w:rsidP="005F1ABD">
            <w:pPr>
              <w:pStyle w:val="COMTableheadingrow"/>
              <w:rPr>
                <w:lang w:val="en-AU"/>
              </w:rPr>
            </w:pPr>
            <w:r w:rsidRPr="00F46FE2">
              <w:rPr>
                <w:lang w:val="en-AU"/>
              </w:rPr>
              <w:t>Protocol title/Publication title</w:t>
            </w:r>
          </w:p>
        </w:tc>
        <w:tc>
          <w:tcPr>
            <w:tcW w:w="1177" w:type="pct"/>
            <w:tcBorders>
              <w:bottom w:val="single" w:sz="4" w:space="0" w:color="auto"/>
            </w:tcBorders>
            <w:vAlign w:val="center"/>
          </w:tcPr>
          <w:p w14:paraId="2AA7ACFD" w14:textId="77777777" w:rsidR="00E70D07" w:rsidRPr="00F46FE2" w:rsidRDefault="00E70D07" w:rsidP="005F1ABD">
            <w:pPr>
              <w:pStyle w:val="COMTableheadingrow"/>
              <w:rPr>
                <w:lang w:val="en-AU"/>
              </w:rPr>
            </w:pPr>
            <w:r w:rsidRPr="00F46FE2">
              <w:rPr>
                <w:lang w:val="en-AU"/>
              </w:rPr>
              <w:t>Publication citation</w:t>
            </w:r>
          </w:p>
        </w:tc>
      </w:tr>
      <w:tr w:rsidR="00E70D07" w:rsidRPr="00F46FE2" w14:paraId="369A8956" w14:textId="77777777" w:rsidTr="005F1ABD">
        <w:tc>
          <w:tcPr>
            <w:tcW w:w="5000" w:type="pct"/>
            <w:gridSpan w:val="3"/>
            <w:tcBorders>
              <w:top w:val="single" w:sz="4" w:space="0" w:color="auto"/>
              <w:bottom w:val="single" w:sz="4" w:space="0" w:color="auto"/>
            </w:tcBorders>
            <w:vAlign w:val="center"/>
          </w:tcPr>
          <w:p w14:paraId="2082022F" w14:textId="77777777" w:rsidR="00E70D07" w:rsidRPr="00F46FE2" w:rsidRDefault="00E70D07" w:rsidP="005F1ABD">
            <w:pPr>
              <w:pStyle w:val="COMTabletext"/>
              <w:rPr>
                <w:szCs w:val="18"/>
              </w:rPr>
            </w:pPr>
            <w:r w:rsidRPr="00F46FE2">
              <w:rPr>
                <w:b/>
                <w:bCs w:val="0"/>
              </w:rPr>
              <w:t>Randomised trials of risedronate vs placebo</w:t>
            </w:r>
          </w:p>
        </w:tc>
      </w:tr>
      <w:tr w:rsidR="00E70D07" w:rsidRPr="00F46FE2" w14:paraId="37CDE778" w14:textId="77777777" w:rsidTr="005F1ABD">
        <w:tc>
          <w:tcPr>
            <w:tcW w:w="796" w:type="pct"/>
            <w:tcBorders>
              <w:top w:val="single" w:sz="4" w:space="0" w:color="auto"/>
              <w:bottom w:val="single" w:sz="4" w:space="0" w:color="auto"/>
            </w:tcBorders>
          </w:tcPr>
          <w:p w14:paraId="61936DEC" w14:textId="77777777" w:rsidR="00E70D07" w:rsidRPr="00F46FE2" w:rsidRDefault="00E70D07" w:rsidP="005F1ABD">
            <w:pPr>
              <w:pStyle w:val="COMTabletext"/>
            </w:pPr>
            <w:r w:rsidRPr="00F46FE2">
              <w:t>BMD-MN</w:t>
            </w:r>
          </w:p>
        </w:tc>
        <w:tc>
          <w:tcPr>
            <w:tcW w:w="3027" w:type="pct"/>
            <w:tcBorders>
              <w:top w:val="single" w:sz="4" w:space="0" w:color="auto"/>
              <w:bottom w:val="single" w:sz="4" w:space="0" w:color="auto"/>
            </w:tcBorders>
          </w:tcPr>
          <w:p w14:paraId="6FECF416" w14:textId="77777777" w:rsidR="00E70D07" w:rsidRPr="00F46FE2" w:rsidRDefault="00E70D07" w:rsidP="005F1ABD">
            <w:pPr>
              <w:pStyle w:val="COMTabletext"/>
              <w:rPr>
                <w:szCs w:val="18"/>
              </w:rPr>
            </w:pPr>
            <w:r w:rsidRPr="00F46FE2">
              <w:rPr>
                <w:szCs w:val="18"/>
              </w:rPr>
              <w:t>Fogelman I et al (2000). Risedronate reverses bone loss in postmenopausal women with low bone mass: results from a multinational, double-blind, placebo-controlled trial.</w:t>
            </w:r>
          </w:p>
        </w:tc>
        <w:tc>
          <w:tcPr>
            <w:tcW w:w="1177" w:type="pct"/>
            <w:tcBorders>
              <w:top w:val="single" w:sz="4" w:space="0" w:color="auto"/>
              <w:bottom w:val="single" w:sz="4" w:space="0" w:color="auto"/>
            </w:tcBorders>
          </w:tcPr>
          <w:p w14:paraId="705CEBC5" w14:textId="77777777" w:rsidR="00E70D07" w:rsidRPr="00F46FE2" w:rsidRDefault="00E70D07" w:rsidP="005F1ABD">
            <w:pPr>
              <w:pStyle w:val="COMTabletext"/>
              <w:rPr>
                <w:szCs w:val="18"/>
              </w:rPr>
            </w:pPr>
            <w:r w:rsidRPr="00F46FE2">
              <w:rPr>
                <w:szCs w:val="18"/>
              </w:rPr>
              <w:t>The Journal of Clinical Endocrinology &amp; Metabolism 85(5):1895-1900</w:t>
            </w:r>
          </w:p>
        </w:tc>
      </w:tr>
      <w:tr w:rsidR="00E70D07" w:rsidRPr="00F46FE2" w14:paraId="6B87AFC1" w14:textId="77777777" w:rsidTr="005F1ABD">
        <w:tc>
          <w:tcPr>
            <w:tcW w:w="796" w:type="pct"/>
            <w:tcBorders>
              <w:top w:val="single" w:sz="4" w:space="0" w:color="auto"/>
              <w:bottom w:val="single" w:sz="4" w:space="0" w:color="auto"/>
            </w:tcBorders>
          </w:tcPr>
          <w:p w14:paraId="7135A6A8" w14:textId="77777777" w:rsidR="00E70D07" w:rsidRPr="00F46FE2" w:rsidRDefault="00E70D07" w:rsidP="005F1ABD">
            <w:pPr>
              <w:pStyle w:val="COMTabletext"/>
            </w:pPr>
            <w:r w:rsidRPr="00F46FE2">
              <w:t>BMD-NA</w:t>
            </w:r>
          </w:p>
        </w:tc>
        <w:tc>
          <w:tcPr>
            <w:tcW w:w="3027" w:type="pct"/>
            <w:tcBorders>
              <w:top w:val="single" w:sz="4" w:space="0" w:color="auto"/>
              <w:bottom w:val="single" w:sz="4" w:space="0" w:color="auto"/>
            </w:tcBorders>
          </w:tcPr>
          <w:p w14:paraId="3247607C" w14:textId="77777777" w:rsidR="00E70D07" w:rsidRPr="00F46FE2" w:rsidRDefault="00E70D07" w:rsidP="005F1ABD">
            <w:pPr>
              <w:pStyle w:val="COMTabletext"/>
              <w:rPr>
                <w:szCs w:val="18"/>
              </w:rPr>
            </w:pPr>
            <w:r w:rsidRPr="00F46FE2">
              <w:rPr>
                <w:szCs w:val="18"/>
              </w:rPr>
              <w:t>McClung MR et al (1998). Risedronate increases bone mineral density at the hip, spine and radius in postmenopausal women with low bone mass.</w:t>
            </w:r>
          </w:p>
        </w:tc>
        <w:tc>
          <w:tcPr>
            <w:tcW w:w="1177" w:type="pct"/>
            <w:tcBorders>
              <w:top w:val="single" w:sz="4" w:space="0" w:color="auto"/>
              <w:bottom w:val="single" w:sz="4" w:space="0" w:color="auto"/>
            </w:tcBorders>
          </w:tcPr>
          <w:p w14:paraId="774D4CC9" w14:textId="77777777" w:rsidR="00E70D07" w:rsidRPr="00F46FE2" w:rsidRDefault="00E70D07" w:rsidP="005F1ABD">
            <w:pPr>
              <w:pStyle w:val="COMTabletext"/>
            </w:pPr>
            <w:r w:rsidRPr="00F46FE2">
              <w:t>Osteoporosis International 8(suppl 3):111, Abstract P349</w:t>
            </w:r>
          </w:p>
        </w:tc>
      </w:tr>
      <w:tr w:rsidR="00E70D07" w:rsidRPr="00F46FE2" w14:paraId="60D66A12" w14:textId="77777777" w:rsidTr="005F1ABD">
        <w:tc>
          <w:tcPr>
            <w:tcW w:w="796" w:type="pct"/>
            <w:tcBorders>
              <w:top w:val="single" w:sz="4" w:space="0" w:color="auto"/>
              <w:bottom w:val="single" w:sz="4" w:space="0" w:color="auto"/>
            </w:tcBorders>
          </w:tcPr>
          <w:p w14:paraId="4F6E7F51" w14:textId="77777777" w:rsidR="00E70D07" w:rsidRPr="00F46FE2" w:rsidRDefault="00E70D07" w:rsidP="005F1ABD">
            <w:pPr>
              <w:pStyle w:val="COMTabletext"/>
            </w:pPr>
            <w:r w:rsidRPr="00F46FE2">
              <w:t>HIP</w:t>
            </w:r>
          </w:p>
        </w:tc>
        <w:tc>
          <w:tcPr>
            <w:tcW w:w="3027" w:type="pct"/>
            <w:tcBorders>
              <w:top w:val="single" w:sz="4" w:space="0" w:color="auto"/>
              <w:bottom w:val="single" w:sz="4" w:space="0" w:color="auto"/>
            </w:tcBorders>
          </w:tcPr>
          <w:p w14:paraId="5D17182C" w14:textId="77777777" w:rsidR="00E70D07" w:rsidRPr="00F46FE2" w:rsidRDefault="00E70D07" w:rsidP="005F1ABD">
            <w:pPr>
              <w:pStyle w:val="COMTabletext"/>
              <w:rPr>
                <w:szCs w:val="18"/>
              </w:rPr>
            </w:pPr>
            <w:r w:rsidRPr="00F46FE2">
              <w:rPr>
                <w:szCs w:val="18"/>
              </w:rPr>
              <w:t>McClung MR et al (2001). Effect of risedronate on the risk of hip fracture in elderly women.</w:t>
            </w:r>
          </w:p>
        </w:tc>
        <w:tc>
          <w:tcPr>
            <w:tcW w:w="1177" w:type="pct"/>
            <w:tcBorders>
              <w:top w:val="single" w:sz="4" w:space="0" w:color="auto"/>
              <w:bottom w:val="single" w:sz="4" w:space="0" w:color="auto"/>
            </w:tcBorders>
          </w:tcPr>
          <w:p w14:paraId="5A073057" w14:textId="77777777" w:rsidR="00E70D07" w:rsidRPr="00F46FE2" w:rsidRDefault="00E70D07" w:rsidP="005F1ABD">
            <w:pPr>
              <w:pStyle w:val="COMTabletext"/>
            </w:pPr>
            <w:r w:rsidRPr="00F46FE2">
              <w:t>New England Journal of Medicine 344(5):333-340</w:t>
            </w:r>
          </w:p>
        </w:tc>
      </w:tr>
      <w:tr w:rsidR="00E70D07" w:rsidRPr="00F46FE2" w14:paraId="13DF5E35" w14:textId="77777777" w:rsidTr="005F1ABD">
        <w:tc>
          <w:tcPr>
            <w:tcW w:w="796" w:type="pct"/>
            <w:tcBorders>
              <w:top w:val="single" w:sz="4" w:space="0" w:color="auto"/>
              <w:bottom w:val="single" w:sz="4" w:space="0" w:color="auto"/>
            </w:tcBorders>
          </w:tcPr>
          <w:p w14:paraId="1CB02708" w14:textId="77777777" w:rsidR="00E70D07" w:rsidRPr="00F46FE2" w:rsidRDefault="00E70D07" w:rsidP="005F1ABD">
            <w:pPr>
              <w:pStyle w:val="COMTabletext"/>
            </w:pPr>
            <w:r w:rsidRPr="00F46FE2">
              <w:t>VERT-MN</w:t>
            </w:r>
          </w:p>
        </w:tc>
        <w:tc>
          <w:tcPr>
            <w:tcW w:w="3027" w:type="pct"/>
            <w:tcBorders>
              <w:top w:val="single" w:sz="4" w:space="0" w:color="auto"/>
              <w:bottom w:val="single" w:sz="4" w:space="0" w:color="auto"/>
            </w:tcBorders>
          </w:tcPr>
          <w:p w14:paraId="2CD6265D" w14:textId="77777777" w:rsidR="00E70D07" w:rsidRPr="00F46FE2" w:rsidRDefault="00E70D07" w:rsidP="005F1ABD">
            <w:pPr>
              <w:pStyle w:val="COMTabletext"/>
              <w:rPr>
                <w:szCs w:val="18"/>
              </w:rPr>
            </w:pPr>
            <w:r w:rsidRPr="00F46FE2">
              <w:rPr>
                <w:szCs w:val="18"/>
              </w:rPr>
              <w:t>Reginster JY et al (2000). Randomized trial of the effects of risedronate on vertebral fractures in women with established postmenopausal osteoporosis.</w:t>
            </w:r>
          </w:p>
        </w:tc>
        <w:tc>
          <w:tcPr>
            <w:tcW w:w="1177" w:type="pct"/>
            <w:tcBorders>
              <w:top w:val="single" w:sz="4" w:space="0" w:color="auto"/>
              <w:bottom w:val="single" w:sz="4" w:space="0" w:color="auto"/>
            </w:tcBorders>
          </w:tcPr>
          <w:p w14:paraId="2E8A8A10" w14:textId="77777777" w:rsidR="00E70D07" w:rsidRPr="00F46FE2" w:rsidRDefault="00E70D07" w:rsidP="005F1ABD">
            <w:pPr>
              <w:pStyle w:val="COMTabletext"/>
            </w:pPr>
            <w:r w:rsidRPr="00F46FE2">
              <w:t>Osteoporosis International 11:83-91</w:t>
            </w:r>
          </w:p>
        </w:tc>
      </w:tr>
      <w:tr w:rsidR="00E70D07" w:rsidRPr="00F46FE2" w14:paraId="397965EF" w14:textId="77777777" w:rsidTr="005F1ABD">
        <w:tc>
          <w:tcPr>
            <w:tcW w:w="796" w:type="pct"/>
            <w:tcBorders>
              <w:top w:val="single" w:sz="4" w:space="0" w:color="auto"/>
              <w:bottom w:val="single" w:sz="4" w:space="0" w:color="auto"/>
            </w:tcBorders>
          </w:tcPr>
          <w:p w14:paraId="7B2DDB49" w14:textId="77777777" w:rsidR="00E70D07" w:rsidRPr="00F46FE2" w:rsidRDefault="00E70D07" w:rsidP="005F1ABD">
            <w:pPr>
              <w:pStyle w:val="COMTabletext"/>
            </w:pPr>
            <w:r w:rsidRPr="00F46FE2">
              <w:t>VERT-NA</w:t>
            </w:r>
          </w:p>
        </w:tc>
        <w:tc>
          <w:tcPr>
            <w:tcW w:w="3027" w:type="pct"/>
            <w:tcBorders>
              <w:top w:val="single" w:sz="4" w:space="0" w:color="auto"/>
              <w:bottom w:val="single" w:sz="4" w:space="0" w:color="auto"/>
            </w:tcBorders>
          </w:tcPr>
          <w:p w14:paraId="29427D07" w14:textId="77777777" w:rsidR="00E70D07" w:rsidRPr="00F46FE2" w:rsidRDefault="00E70D07" w:rsidP="005F1ABD">
            <w:pPr>
              <w:pStyle w:val="COMTabletext"/>
              <w:rPr>
                <w:szCs w:val="18"/>
              </w:rPr>
            </w:pPr>
            <w:r w:rsidRPr="00F46FE2">
              <w:rPr>
                <w:szCs w:val="18"/>
              </w:rPr>
              <w:t>Harris et al (1999). Effects of risedronate treatment on vertebral and nonvertebral fractures in women with postmenopausal osteoporosis.</w:t>
            </w:r>
          </w:p>
        </w:tc>
        <w:tc>
          <w:tcPr>
            <w:tcW w:w="1177" w:type="pct"/>
            <w:tcBorders>
              <w:top w:val="single" w:sz="4" w:space="0" w:color="auto"/>
              <w:bottom w:val="single" w:sz="4" w:space="0" w:color="auto"/>
            </w:tcBorders>
          </w:tcPr>
          <w:p w14:paraId="76C3329B" w14:textId="77777777" w:rsidR="00E70D07" w:rsidRPr="00F46FE2" w:rsidRDefault="00E70D07" w:rsidP="005F1ABD">
            <w:pPr>
              <w:pStyle w:val="COMTabletext"/>
            </w:pPr>
            <w:r w:rsidRPr="00F46FE2">
              <w:t>The Journal of the American Medical Association 282(14):1344-1352</w:t>
            </w:r>
          </w:p>
        </w:tc>
      </w:tr>
      <w:tr w:rsidR="00E70D07" w:rsidRPr="00F46FE2" w14:paraId="5155CA64" w14:textId="77777777" w:rsidTr="005F1ABD">
        <w:tc>
          <w:tcPr>
            <w:tcW w:w="5000" w:type="pct"/>
            <w:gridSpan w:val="3"/>
            <w:tcBorders>
              <w:top w:val="single" w:sz="4" w:space="0" w:color="auto"/>
              <w:bottom w:val="single" w:sz="4" w:space="0" w:color="auto"/>
            </w:tcBorders>
            <w:vAlign w:val="center"/>
          </w:tcPr>
          <w:p w14:paraId="014864F5" w14:textId="77777777" w:rsidR="00E70D07" w:rsidRPr="00F46FE2" w:rsidRDefault="00E70D07" w:rsidP="005F1ABD">
            <w:pPr>
              <w:pStyle w:val="COMTabletext"/>
              <w:rPr>
                <w:b/>
                <w:bCs w:val="0"/>
              </w:rPr>
            </w:pPr>
            <w:r w:rsidRPr="00F46FE2">
              <w:rPr>
                <w:b/>
                <w:bCs w:val="0"/>
              </w:rPr>
              <w:t>Meta-analyses of risedronate vs placebo</w:t>
            </w:r>
          </w:p>
        </w:tc>
      </w:tr>
      <w:tr w:rsidR="00E70D07" w:rsidRPr="00F46FE2" w14:paraId="21D35B10" w14:textId="77777777" w:rsidTr="005F1ABD">
        <w:tc>
          <w:tcPr>
            <w:tcW w:w="796" w:type="pct"/>
            <w:tcBorders>
              <w:top w:val="single" w:sz="4" w:space="0" w:color="auto"/>
              <w:bottom w:val="single" w:sz="4" w:space="0" w:color="auto"/>
            </w:tcBorders>
          </w:tcPr>
          <w:p w14:paraId="634251CB" w14:textId="77777777" w:rsidR="00E70D07" w:rsidRPr="00F46FE2" w:rsidRDefault="00E70D07" w:rsidP="005F1ABD">
            <w:pPr>
              <w:pStyle w:val="COMTabletext"/>
            </w:pPr>
            <w:r w:rsidRPr="00F46FE2">
              <w:t>Boonen 2010</w:t>
            </w:r>
          </w:p>
        </w:tc>
        <w:tc>
          <w:tcPr>
            <w:tcW w:w="3027" w:type="pct"/>
            <w:tcBorders>
              <w:top w:val="single" w:sz="4" w:space="0" w:color="auto"/>
              <w:bottom w:val="single" w:sz="4" w:space="0" w:color="auto"/>
            </w:tcBorders>
          </w:tcPr>
          <w:p w14:paraId="0248BA88" w14:textId="77777777" w:rsidR="00E70D07" w:rsidRPr="00F46FE2" w:rsidRDefault="00E70D07" w:rsidP="005F1ABD">
            <w:pPr>
              <w:pStyle w:val="COMTabletext"/>
              <w:rPr>
                <w:szCs w:val="18"/>
              </w:rPr>
            </w:pPr>
            <w:r w:rsidRPr="00F46FE2">
              <w:rPr>
                <w:szCs w:val="18"/>
              </w:rPr>
              <w:t>Boonen S et al (2010). Assessment of the relationship between age and the effect of risedronate treatment in women with postmenopausal osteoporosis: a pooled analysis of four studies.</w:t>
            </w:r>
          </w:p>
        </w:tc>
        <w:tc>
          <w:tcPr>
            <w:tcW w:w="1177" w:type="pct"/>
            <w:tcBorders>
              <w:top w:val="single" w:sz="4" w:space="0" w:color="auto"/>
              <w:bottom w:val="single" w:sz="4" w:space="0" w:color="auto"/>
            </w:tcBorders>
          </w:tcPr>
          <w:p w14:paraId="3B28A875" w14:textId="77777777" w:rsidR="00E70D07" w:rsidRPr="00F46FE2" w:rsidRDefault="00E70D07" w:rsidP="005F1ABD">
            <w:pPr>
              <w:pStyle w:val="COMTabletext"/>
            </w:pPr>
            <w:r w:rsidRPr="00F46FE2">
              <w:t>The Journal of the American Geriatrics Society 58:658-663</w:t>
            </w:r>
          </w:p>
        </w:tc>
      </w:tr>
      <w:tr w:rsidR="00E70D07" w:rsidRPr="00F46FE2" w14:paraId="31101784" w14:textId="77777777" w:rsidTr="005F1ABD">
        <w:tc>
          <w:tcPr>
            <w:tcW w:w="796" w:type="pct"/>
            <w:tcBorders>
              <w:top w:val="single" w:sz="4" w:space="0" w:color="auto"/>
              <w:bottom w:val="single" w:sz="4" w:space="0" w:color="auto"/>
            </w:tcBorders>
          </w:tcPr>
          <w:p w14:paraId="44593507" w14:textId="77777777" w:rsidR="00E70D07" w:rsidRPr="00F46FE2" w:rsidRDefault="00E70D07" w:rsidP="005F1ABD">
            <w:pPr>
              <w:pStyle w:val="COMTabletext"/>
            </w:pPr>
            <w:r w:rsidRPr="00F46FE2">
              <w:t>Harrington 2004</w:t>
            </w:r>
          </w:p>
        </w:tc>
        <w:tc>
          <w:tcPr>
            <w:tcW w:w="3027" w:type="pct"/>
            <w:tcBorders>
              <w:top w:val="single" w:sz="4" w:space="0" w:color="auto"/>
              <w:bottom w:val="single" w:sz="4" w:space="0" w:color="auto"/>
            </w:tcBorders>
          </w:tcPr>
          <w:p w14:paraId="2D541A92" w14:textId="77777777" w:rsidR="00E70D07" w:rsidRPr="00F46FE2" w:rsidRDefault="00E70D07" w:rsidP="005F1ABD">
            <w:pPr>
              <w:pStyle w:val="COMTabletext"/>
              <w:rPr>
                <w:szCs w:val="18"/>
              </w:rPr>
            </w:pPr>
            <w:r w:rsidRPr="00F46FE2">
              <w:rPr>
                <w:szCs w:val="18"/>
              </w:rPr>
              <w:t>Harrington JT et al (2004). Risedronate rapidly reduces the risk for nonvertebral fractures in women with postmenopausal osteoporosis.</w:t>
            </w:r>
          </w:p>
        </w:tc>
        <w:tc>
          <w:tcPr>
            <w:tcW w:w="1177" w:type="pct"/>
            <w:tcBorders>
              <w:top w:val="single" w:sz="4" w:space="0" w:color="auto"/>
              <w:bottom w:val="single" w:sz="4" w:space="0" w:color="auto"/>
            </w:tcBorders>
          </w:tcPr>
          <w:p w14:paraId="0E8C2264" w14:textId="77777777" w:rsidR="00E70D07" w:rsidRPr="00F46FE2" w:rsidRDefault="00E70D07" w:rsidP="005F1ABD">
            <w:pPr>
              <w:pStyle w:val="COMTabletext"/>
            </w:pPr>
            <w:r w:rsidRPr="00F46FE2">
              <w:t>Calcified Tissue International 74:129-135</w:t>
            </w:r>
          </w:p>
        </w:tc>
      </w:tr>
      <w:tr w:rsidR="00E70D07" w:rsidRPr="00F46FE2" w14:paraId="50182667" w14:textId="77777777" w:rsidTr="005F1ABD">
        <w:tc>
          <w:tcPr>
            <w:tcW w:w="796" w:type="pct"/>
            <w:tcBorders>
              <w:top w:val="single" w:sz="4" w:space="0" w:color="auto"/>
              <w:bottom w:val="single" w:sz="4" w:space="0" w:color="auto"/>
            </w:tcBorders>
          </w:tcPr>
          <w:p w14:paraId="5162FDD7" w14:textId="77777777" w:rsidR="00E70D07" w:rsidRPr="00F46FE2" w:rsidRDefault="00E70D07" w:rsidP="005F1ABD">
            <w:pPr>
              <w:pStyle w:val="COMTabletext"/>
            </w:pPr>
            <w:r w:rsidRPr="00F46FE2">
              <w:t>Heaney 2002</w:t>
            </w:r>
          </w:p>
        </w:tc>
        <w:tc>
          <w:tcPr>
            <w:tcW w:w="3027" w:type="pct"/>
            <w:tcBorders>
              <w:top w:val="single" w:sz="4" w:space="0" w:color="auto"/>
              <w:bottom w:val="single" w:sz="4" w:space="0" w:color="auto"/>
            </w:tcBorders>
          </w:tcPr>
          <w:p w14:paraId="5DB1079B" w14:textId="77777777" w:rsidR="00E70D07" w:rsidRPr="00F46FE2" w:rsidRDefault="00E70D07" w:rsidP="005F1ABD">
            <w:pPr>
              <w:pStyle w:val="COMTabletext"/>
              <w:rPr>
                <w:szCs w:val="18"/>
              </w:rPr>
            </w:pPr>
            <w:r w:rsidRPr="00F46FE2">
              <w:rPr>
                <w:szCs w:val="18"/>
              </w:rPr>
              <w:t>Heaney RP et al (2002). Risedronate reduces the risk of first vertebral fracture in osteoporotic women.</w:t>
            </w:r>
          </w:p>
        </w:tc>
        <w:tc>
          <w:tcPr>
            <w:tcW w:w="1177" w:type="pct"/>
            <w:tcBorders>
              <w:top w:val="single" w:sz="4" w:space="0" w:color="auto"/>
              <w:bottom w:val="single" w:sz="4" w:space="0" w:color="auto"/>
            </w:tcBorders>
          </w:tcPr>
          <w:p w14:paraId="6B7DB1BA" w14:textId="77777777" w:rsidR="00E70D07" w:rsidRPr="00F46FE2" w:rsidRDefault="00E70D07" w:rsidP="005F1ABD">
            <w:pPr>
              <w:pStyle w:val="COMTabletext"/>
            </w:pPr>
            <w:r w:rsidRPr="00F46FE2">
              <w:t>Osteoporosis International 13:501-505</w:t>
            </w:r>
          </w:p>
        </w:tc>
      </w:tr>
    </w:tbl>
    <w:p w14:paraId="6742BEC0" w14:textId="77777777" w:rsidR="00E70D07" w:rsidRPr="002E14F6" w:rsidRDefault="00E70D07" w:rsidP="00E70D07">
      <w:pPr>
        <w:pStyle w:val="COMTablefooter"/>
        <w:rPr>
          <w:sz w:val="20"/>
        </w:rPr>
      </w:pPr>
      <w:r w:rsidRPr="002E14F6">
        <w:t>Source: Table 14, p55; Table 38, p106 and Attachment 3 of the submission</w:t>
      </w:r>
    </w:p>
    <w:p w14:paraId="1DD06D7D" w14:textId="6469D6D0" w:rsidR="007F1017" w:rsidRPr="00966B2C" w:rsidRDefault="008F120A" w:rsidP="00966B2C">
      <w:pPr>
        <w:widowControl w:val="0"/>
        <w:numPr>
          <w:ilvl w:val="1"/>
          <w:numId w:val="1"/>
        </w:numPr>
        <w:spacing w:after="120"/>
        <w:ind w:left="720" w:hanging="720"/>
        <w:rPr>
          <w:bCs/>
        </w:rPr>
      </w:pPr>
      <w:r w:rsidRPr="00966B2C">
        <w:rPr>
          <w:rFonts w:asciiTheme="minorHAnsi" w:hAnsiTheme="minorHAnsi"/>
          <w:bCs/>
          <w:snapToGrid w:val="0"/>
        </w:rPr>
        <w:t xml:space="preserve">The key features of the </w:t>
      </w:r>
      <w:r w:rsidR="000E1E41" w:rsidRPr="00966B2C">
        <w:rPr>
          <w:rFonts w:asciiTheme="minorHAnsi" w:hAnsiTheme="minorHAnsi"/>
          <w:bCs/>
          <w:snapToGrid w:val="0"/>
        </w:rPr>
        <w:t>included trials</w:t>
      </w:r>
      <w:r w:rsidRPr="00966B2C">
        <w:rPr>
          <w:rFonts w:asciiTheme="minorHAnsi" w:hAnsiTheme="minorHAnsi"/>
          <w:bCs/>
          <w:snapToGrid w:val="0"/>
        </w:rPr>
        <w:t xml:space="preserve"> </w:t>
      </w:r>
      <w:r w:rsidR="007E62A2" w:rsidRPr="00966B2C">
        <w:rPr>
          <w:rFonts w:asciiTheme="minorHAnsi" w:hAnsiTheme="minorHAnsi"/>
          <w:bCs/>
          <w:snapToGrid w:val="0"/>
        </w:rPr>
        <w:t xml:space="preserve">and studies </w:t>
      </w:r>
      <w:r w:rsidRPr="00966B2C">
        <w:rPr>
          <w:rFonts w:asciiTheme="minorHAnsi" w:hAnsiTheme="minorHAnsi"/>
          <w:bCs/>
          <w:snapToGrid w:val="0"/>
        </w:rPr>
        <w:t>are summarised in</w:t>
      </w:r>
      <w:r w:rsidR="00D6076E" w:rsidRPr="00966B2C">
        <w:rPr>
          <w:rFonts w:asciiTheme="minorHAnsi" w:hAnsiTheme="minorHAnsi"/>
          <w:bCs/>
          <w:snapToGrid w:val="0"/>
        </w:rPr>
        <w:t xml:space="preserve"> </w:t>
      </w:r>
      <w:r w:rsidR="00D6076E" w:rsidRPr="00966B2C">
        <w:rPr>
          <w:rFonts w:asciiTheme="minorHAnsi" w:hAnsiTheme="minorHAnsi"/>
          <w:bCs/>
          <w:snapToGrid w:val="0"/>
        </w:rPr>
        <w:fldChar w:fldCharType="begin" w:fldLock="1"/>
      </w:r>
      <w:r w:rsidR="00D6076E" w:rsidRPr="00966B2C">
        <w:rPr>
          <w:rFonts w:asciiTheme="minorHAnsi" w:hAnsiTheme="minorHAnsi"/>
          <w:bCs/>
          <w:snapToGrid w:val="0"/>
        </w:rPr>
        <w:instrText xml:space="preserve"> REF _Ref104804098 \h  \* MERGEFORMAT </w:instrText>
      </w:r>
      <w:r w:rsidR="00D6076E" w:rsidRPr="00966B2C">
        <w:rPr>
          <w:rFonts w:asciiTheme="minorHAnsi" w:hAnsiTheme="minorHAnsi"/>
          <w:bCs/>
          <w:snapToGrid w:val="0"/>
        </w:rPr>
      </w:r>
      <w:r w:rsidR="00D6076E" w:rsidRPr="00966B2C">
        <w:rPr>
          <w:rFonts w:asciiTheme="minorHAnsi" w:hAnsiTheme="minorHAnsi"/>
          <w:bCs/>
          <w:snapToGrid w:val="0"/>
        </w:rPr>
        <w:fldChar w:fldCharType="separate"/>
      </w:r>
      <w:r w:rsidR="009F6120" w:rsidRPr="00966B2C">
        <w:rPr>
          <w:rFonts w:asciiTheme="minorHAnsi" w:hAnsiTheme="minorHAnsi"/>
          <w:bCs/>
          <w:snapToGrid w:val="0"/>
        </w:rPr>
        <w:t>Table 4</w:t>
      </w:r>
      <w:r w:rsidR="00D6076E" w:rsidRPr="00966B2C">
        <w:rPr>
          <w:rFonts w:asciiTheme="minorHAnsi" w:hAnsiTheme="minorHAnsi"/>
          <w:bCs/>
          <w:snapToGrid w:val="0"/>
        </w:rPr>
        <w:fldChar w:fldCharType="end"/>
      </w:r>
      <w:r w:rsidRPr="00966B2C">
        <w:rPr>
          <w:rFonts w:asciiTheme="minorHAnsi" w:hAnsiTheme="minorHAnsi"/>
          <w:bCs/>
          <w:snapToGrid w:val="0"/>
        </w:rPr>
        <w:t>.</w:t>
      </w:r>
    </w:p>
    <w:p w14:paraId="355E2F15" w14:textId="048FAD48" w:rsidR="007F1017" w:rsidRPr="002E14F6" w:rsidRDefault="00696EF9" w:rsidP="00FD4ED6">
      <w:pPr>
        <w:pStyle w:val="COMtablefigcaption"/>
      </w:pPr>
      <w:bookmarkStart w:id="22" w:name="_Ref104804098"/>
      <w:r w:rsidRPr="002E14F6">
        <w:t xml:space="preserve">Table </w:t>
      </w:r>
      <w:r w:rsidR="00400174">
        <w:fldChar w:fldCharType="begin" w:fldLock="1"/>
      </w:r>
      <w:r w:rsidR="00400174">
        <w:instrText xml:space="preserve"> SEQ Table \* ARABIC </w:instrText>
      </w:r>
      <w:r w:rsidR="00400174">
        <w:fldChar w:fldCharType="separate"/>
      </w:r>
      <w:r w:rsidR="00660AED">
        <w:rPr>
          <w:noProof/>
        </w:rPr>
        <w:t>4</w:t>
      </w:r>
      <w:r w:rsidR="00400174">
        <w:rPr>
          <w:noProof/>
        </w:rPr>
        <w:fldChar w:fldCharType="end"/>
      </w:r>
      <w:bookmarkEnd w:id="22"/>
      <w:r w:rsidR="00D6076E" w:rsidRPr="002E14F6">
        <w:t xml:space="preserve">: </w:t>
      </w:r>
      <w:r w:rsidR="007F1017" w:rsidRPr="002E14F6">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903"/>
        <w:gridCol w:w="741"/>
        <w:gridCol w:w="1888"/>
        <w:gridCol w:w="830"/>
        <w:gridCol w:w="1838"/>
        <w:gridCol w:w="1125"/>
        <w:gridCol w:w="1692"/>
      </w:tblGrid>
      <w:tr w:rsidR="00B41614" w:rsidRPr="00F46FE2" w14:paraId="53DD7CC6" w14:textId="77777777" w:rsidTr="00330C51">
        <w:trPr>
          <w:cantSplit/>
          <w:tblHeader/>
        </w:trPr>
        <w:tc>
          <w:tcPr>
            <w:tcW w:w="501" w:type="pct"/>
            <w:shd w:val="clear" w:color="auto" w:fill="auto"/>
            <w:vAlign w:val="center"/>
          </w:tcPr>
          <w:p w14:paraId="794116BC" w14:textId="77777777" w:rsidR="007F1017" w:rsidRPr="00F46FE2" w:rsidRDefault="007F1017" w:rsidP="001E34DF">
            <w:pPr>
              <w:pStyle w:val="COMTableheadingrow"/>
              <w:rPr>
                <w:lang w:val="en-AU"/>
              </w:rPr>
            </w:pPr>
            <w:r w:rsidRPr="00F46FE2">
              <w:rPr>
                <w:lang w:val="en-AU"/>
              </w:rPr>
              <w:t>Trial</w:t>
            </w:r>
          </w:p>
        </w:tc>
        <w:tc>
          <w:tcPr>
            <w:tcW w:w="411" w:type="pct"/>
            <w:shd w:val="clear" w:color="auto" w:fill="auto"/>
            <w:vAlign w:val="center"/>
          </w:tcPr>
          <w:p w14:paraId="51122FE5" w14:textId="77777777" w:rsidR="007F1017" w:rsidRPr="00F46FE2" w:rsidRDefault="007F1017" w:rsidP="00EC5836">
            <w:pPr>
              <w:pStyle w:val="COMTableheadingrow"/>
              <w:jc w:val="center"/>
              <w:rPr>
                <w:lang w:val="en-AU"/>
              </w:rPr>
            </w:pPr>
            <w:r w:rsidRPr="00F46FE2">
              <w:rPr>
                <w:lang w:val="en-AU"/>
              </w:rPr>
              <w:t>N</w:t>
            </w:r>
          </w:p>
        </w:tc>
        <w:tc>
          <w:tcPr>
            <w:tcW w:w="1047" w:type="pct"/>
            <w:shd w:val="clear" w:color="auto" w:fill="auto"/>
            <w:vAlign w:val="center"/>
          </w:tcPr>
          <w:p w14:paraId="41C438EF" w14:textId="77777777" w:rsidR="007F1017" w:rsidRPr="00F46FE2" w:rsidRDefault="007F1017" w:rsidP="00EC5836">
            <w:pPr>
              <w:pStyle w:val="COMTableheadingrow"/>
              <w:jc w:val="center"/>
              <w:rPr>
                <w:lang w:val="en-AU"/>
              </w:rPr>
            </w:pPr>
            <w:r w:rsidRPr="00F46FE2">
              <w:rPr>
                <w:lang w:val="en-AU"/>
              </w:rPr>
              <w:t>Design/ duration</w:t>
            </w:r>
          </w:p>
        </w:tc>
        <w:tc>
          <w:tcPr>
            <w:tcW w:w="460" w:type="pct"/>
            <w:shd w:val="clear" w:color="auto" w:fill="auto"/>
            <w:vAlign w:val="center"/>
          </w:tcPr>
          <w:p w14:paraId="1FC91360" w14:textId="77777777" w:rsidR="007F1017" w:rsidRPr="00F46FE2" w:rsidRDefault="007F1017" w:rsidP="00EC5836">
            <w:pPr>
              <w:pStyle w:val="COMTableheadingrow"/>
              <w:jc w:val="center"/>
              <w:rPr>
                <w:lang w:val="en-AU"/>
              </w:rPr>
            </w:pPr>
            <w:r w:rsidRPr="00F46FE2">
              <w:rPr>
                <w:lang w:val="en-AU"/>
              </w:rPr>
              <w:t>Risk of bias</w:t>
            </w:r>
          </w:p>
        </w:tc>
        <w:tc>
          <w:tcPr>
            <w:tcW w:w="1019" w:type="pct"/>
            <w:shd w:val="clear" w:color="auto" w:fill="auto"/>
            <w:vAlign w:val="center"/>
          </w:tcPr>
          <w:p w14:paraId="7FF90896" w14:textId="77777777" w:rsidR="007F1017" w:rsidRPr="00F46FE2" w:rsidRDefault="007F1017" w:rsidP="00EC5836">
            <w:pPr>
              <w:pStyle w:val="COMTableheadingrow"/>
              <w:jc w:val="center"/>
              <w:rPr>
                <w:lang w:val="en-AU"/>
              </w:rPr>
            </w:pPr>
            <w:r w:rsidRPr="00F46FE2">
              <w:rPr>
                <w:lang w:val="en-AU"/>
              </w:rPr>
              <w:t>Patient population</w:t>
            </w:r>
          </w:p>
        </w:tc>
        <w:tc>
          <w:tcPr>
            <w:tcW w:w="623" w:type="pct"/>
            <w:shd w:val="clear" w:color="auto" w:fill="auto"/>
            <w:vAlign w:val="center"/>
          </w:tcPr>
          <w:p w14:paraId="0FCB63F9" w14:textId="45ED194D" w:rsidR="007F1017" w:rsidRPr="00F46FE2" w:rsidRDefault="007F1017" w:rsidP="00EC5836">
            <w:pPr>
              <w:pStyle w:val="COMTableheadingrow"/>
              <w:jc w:val="center"/>
              <w:rPr>
                <w:lang w:val="en-AU"/>
              </w:rPr>
            </w:pPr>
            <w:r w:rsidRPr="00F46FE2">
              <w:rPr>
                <w:lang w:val="en-AU"/>
              </w:rPr>
              <w:t>Outcomes</w:t>
            </w:r>
          </w:p>
        </w:tc>
        <w:tc>
          <w:tcPr>
            <w:tcW w:w="938" w:type="pct"/>
            <w:shd w:val="clear" w:color="auto" w:fill="auto"/>
            <w:vAlign w:val="center"/>
          </w:tcPr>
          <w:p w14:paraId="08C6F624" w14:textId="77777777" w:rsidR="007F1017" w:rsidRPr="00F46FE2" w:rsidRDefault="007F1017" w:rsidP="00EC5836">
            <w:pPr>
              <w:pStyle w:val="COMTableheadingrow"/>
              <w:jc w:val="center"/>
              <w:rPr>
                <w:lang w:val="en-AU"/>
              </w:rPr>
            </w:pPr>
            <w:r w:rsidRPr="00F46FE2">
              <w:rPr>
                <w:lang w:val="en-AU"/>
              </w:rPr>
              <w:t>Use in modelled evaluation</w:t>
            </w:r>
          </w:p>
        </w:tc>
      </w:tr>
      <w:tr w:rsidR="007F1017" w:rsidRPr="00F46FE2" w14:paraId="2A03CD4B" w14:textId="77777777" w:rsidTr="00682BA6">
        <w:trPr>
          <w:cantSplit/>
        </w:trPr>
        <w:tc>
          <w:tcPr>
            <w:tcW w:w="5000" w:type="pct"/>
            <w:gridSpan w:val="7"/>
            <w:shd w:val="clear" w:color="auto" w:fill="auto"/>
            <w:vAlign w:val="center"/>
          </w:tcPr>
          <w:p w14:paraId="73088C85" w14:textId="65552500" w:rsidR="007F1017" w:rsidRPr="00F46FE2" w:rsidRDefault="0040639E" w:rsidP="00EC5836">
            <w:pPr>
              <w:pStyle w:val="COMTableheadingrow"/>
              <w:rPr>
                <w:lang w:val="en-AU"/>
              </w:rPr>
            </w:pPr>
            <w:r w:rsidRPr="00F46FE2">
              <w:rPr>
                <w:lang w:val="en-AU"/>
              </w:rPr>
              <w:t>Risedronate versus placebo</w:t>
            </w:r>
          </w:p>
        </w:tc>
      </w:tr>
      <w:tr w:rsidR="00B41614" w:rsidRPr="00F46FE2" w14:paraId="4EE88DCB" w14:textId="77777777" w:rsidTr="00330C51">
        <w:trPr>
          <w:cantSplit/>
        </w:trPr>
        <w:tc>
          <w:tcPr>
            <w:tcW w:w="501" w:type="pct"/>
            <w:shd w:val="clear" w:color="auto" w:fill="auto"/>
            <w:vAlign w:val="center"/>
          </w:tcPr>
          <w:p w14:paraId="6EE77D33" w14:textId="5C380005" w:rsidR="007F1017" w:rsidRPr="00F46FE2" w:rsidRDefault="00146709" w:rsidP="00EC5836">
            <w:pPr>
              <w:pStyle w:val="COMTabletext"/>
            </w:pPr>
            <w:r w:rsidRPr="00F46FE2">
              <w:t>BMD-MN</w:t>
            </w:r>
          </w:p>
        </w:tc>
        <w:tc>
          <w:tcPr>
            <w:tcW w:w="411" w:type="pct"/>
            <w:shd w:val="clear" w:color="auto" w:fill="auto"/>
            <w:vAlign w:val="center"/>
          </w:tcPr>
          <w:p w14:paraId="41BB0E41" w14:textId="6DF37D60" w:rsidR="007F1017" w:rsidRPr="00F46FE2" w:rsidRDefault="008F0997" w:rsidP="00EC5836">
            <w:pPr>
              <w:pStyle w:val="COMTabletext"/>
              <w:jc w:val="center"/>
            </w:pPr>
            <w:r w:rsidRPr="00F46FE2">
              <w:t>541</w:t>
            </w:r>
          </w:p>
        </w:tc>
        <w:tc>
          <w:tcPr>
            <w:tcW w:w="1047" w:type="pct"/>
            <w:shd w:val="clear" w:color="auto" w:fill="auto"/>
            <w:vAlign w:val="center"/>
          </w:tcPr>
          <w:p w14:paraId="744D08AC" w14:textId="04D78043" w:rsidR="00CA27C1" w:rsidRPr="00F46FE2" w:rsidRDefault="00D9158C" w:rsidP="00F85AAD">
            <w:pPr>
              <w:pStyle w:val="COMTabletext"/>
              <w:jc w:val="center"/>
            </w:pPr>
            <w:r w:rsidRPr="00F46FE2">
              <w:t xml:space="preserve">MC, </w:t>
            </w:r>
            <w:r w:rsidR="00CA27C1" w:rsidRPr="00F46FE2">
              <w:t>R, DB</w:t>
            </w:r>
            <w:r w:rsidR="00F85AAD" w:rsidRPr="00F46FE2">
              <w:t xml:space="preserve">, </w:t>
            </w:r>
            <w:r w:rsidR="00CA27C1" w:rsidRPr="00F46FE2">
              <w:t>2 years</w:t>
            </w:r>
          </w:p>
        </w:tc>
        <w:tc>
          <w:tcPr>
            <w:tcW w:w="460" w:type="pct"/>
            <w:shd w:val="clear" w:color="auto" w:fill="auto"/>
            <w:vAlign w:val="center"/>
          </w:tcPr>
          <w:p w14:paraId="4A529D74" w14:textId="4C06346A" w:rsidR="007F1017" w:rsidRPr="00F46FE2" w:rsidRDefault="00885BC8" w:rsidP="00EC5836">
            <w:pPr>
              <w:pStyle w:val="COMTabletext"/>
              <w:jc w:val="center"/>
            </w:pPr>
            <w:r w:rsidRPr="00F46FE2">
              <w:t>Unclear</w:t>
            </w:r>
          </w:p>
        </w:tc>
        <w:tc>
          <w:tcPr>
            <w:tcW w:w="1019" w:type="pct"/>
            <w:shd w:val="clear" w:color="auto" w:fill="auto"/>
            <w:vAlign w:val="center"/>
          </w:tcPr>
          <w:p w14:paraId="5E6F456D" w14:textId="1C537732" w:rsidR="007F1017" w:rsidRPr="00F46FE2" w:rsidRDefault="00F85AAD" w:rsidP="00EC5836">
            <w:pPr>
              <w:pStyle w:val="COMTabletext"/>
              <w:jc w:val="center"/>
            </w:pPr>
            <w:r w:rsidRPr="00F46FE2">
              <w:t xml:space="preserve">Postmenopausal women with </w:t>
            </w:r>
            <w:r w:rsidR="00B629D8" w:rsidRPr="00F46FE2">
              <w:t>low BMD</w:t>
            </w:r>
          </w:p>
        </w:tc>
        <w:tc>
          <w:tcPr>
            <w:tcW w:w="623" w:type="pct"/>
            <w:shd w:val="clear" w:color="auto" w:fill="auto"/>
            <w:vAlign w:val="center"/>
          </w:tcPr>
          <w:p w14:paraId="6DC76214" w14:textId="245F5DCB" w:rsidR="007F1017" w:rsidRPr="00F46FE2" w:rsidRDefault="001A0319" w:rsidP="00EC5836">
            <w:pPr>
              <w:pStyle w:val="COMTabletext"/>
              <w:jc w:val="center"/>
            </w:pPr>
            <w:r w:rsidRPr="00F46FE2">
              <w:t>BMD</w:t>
            </w:r>
          </w:p>
        </w:tc>
        <w:tc>
          <w:tcPr>
            <w:tcW w:w="938" w:type="pct"/>
            <w:shd w:val="clear" w:color="auto" w:fill="auto"/>
            <w:vAlign w:val="center"/>
          </w:tcPr>
          <w:p w14:paraId="150A804C" w14:textId="77777777" w:rsidR="007F1017" w:rsidRPr="00F46FE2" w:rsidRDefault="007F1017" w:rsidP="00EC5836">
            <w:pPr>
              <w:pStyle w:val="COMTabletext"/>
              <w:jc w:val="center"/>
            </w:pPr>
            <w:r w:rsidRPr="00F46FE2">
              <w:t>Not used</w:t>
            </w:r>
          </w:p>
        </w:tc>
      </w:tr>
      <w:tr w:rsidR="00B41614" w:rsidRPr="00F46FE2" w14:paraId="13A6895C" w14:textId="77777777" w:rsidTr="00330C51">
        <w:trPr>
          <w:cantSplit/>
        </w:trPr>
        <w:tc>
          <w:tcPr>
            <w:tcW w:w="501" w:type="pct"/>
            <w:shd w:val="clear" w:color="auto" w:fill="auto"/>
            <w:vAlign w:val="center"/>
          </w:tcPr>
          <w:p w14:paraId="4A9488B3" w14:textId="3610C1AF" w:rsidR="007F1017" w:rsidRPr="00F46FE2" w:rsidRDefault="00146709" w:rsidP="00EC5836">
            <w:pPr>
              <w:pStyle w:val="COMTabletext"/>
            </w:pPr>
            <w:r w:rsidRPr="00F46FE2">
              <w:t>BMD-NA</w:t>
            </w:r>
          </w:p>
        </w:tc>
        <w:tc>
          <w:tcPr>
            <w:tcW w:w="411" w:type="pct"/>
            <w:shd w:val="clear" w:color="auto" w:fill="auto"/>
            <w:vAlign w:val="center"/>
          </w:tcPr>
          <w:p w14:paraId="3F4D20B5" w14:textId="12AA159F" w:rsidR="007F1017" w:rsidRPr="00F46FE2" w:rsidRDefault="008F0997" w:rsidP="00EC5836">
            <w:pPr>
              <w:pStyle w:val="COMTabletext"/>
              <w:jc w:val="center"/>
            </w:pPr>
            <w:r w:rsidRPr="00F46FE2">
              <w:t>648</w:t>
            </w:r>
          </w:p>
        </w:tc>
        <w:tc>
          <w:tcPr>
            <w:tcW w:w="1047" w:type="pct"/>
            <w:shd w:val="clear" w:color="auto" w:fill="auto"/>
            <w:vAlign w:val="center"/>
          </w:tcPr>
          <w:p w14:paraId="68D92FE7" w14:textId="41E27FDA" w:rsidR="00CA27C1" w:rsidRPr="00F46FE2" w:rsidRDefault="00CA27C1" w:rsidP="00F85AAD">
            <w:pPr>
              <w:pStyle w:val="COMTabletext"/>
              <w:jc w:val="center"/>
            </w:pPr>
            <w:r w:rsidRPr="00F46FE2">
              <w:t>MC, R, DB</w:t>
            </w:r>
            <w:r w:rsidR="00F85AAD" w:rsidRPr="00F46FE2">
              <w:t xml:space="preserve">, </w:t>
            </w:r>
            <w:r w:rsidRPr="00F46FE2">
              <w:t>18 months</w:t>
            </w:r>
          </w:p>
        </w:tc>
        <w:tc>
          <w:tcPr>
            <w:tcW w:w="460" w:type="pct"/>
            <w:shd w:val="clear" w:color="auto" w:fill="auto"/>
            <w:vAlign w:val="center"/>
          </w:tcPr>
          <w:p w14:paraId="6F0F93F8" w14:textId="4DFECF4D" w:rsidR="007F1017" w:rsidRPr="00F46FE2" w:rsidRDefault="00885BC8" w:rsidP="00EC5836">
            <w:pPr>
              <w:pStyle w:val="COMTabletext"/>
              <w:jc w:val="center"/>
            </w:pPr>
            <w:r w:rsidRPr="00F46FE2">
              <w:t>Unclear</w:t>
            </w:r>
          </w:p>
        </w:tc>
        <w:tc>
          <w:tcPr>
            <w:tcW w:w="1019" w:type="pct"/>
            <w:shd w:val="clear" w:color="auto" w:fill="auto"/>
            <w:vAlign w:val="center"/>
          </w:tcPr>
          <w:p w14:paraId="43AC963E" w14:textId="49C9B6E9" w:rsidR="007F1017" w:rsidRPr="00F46FE2" w:rsidRDefault="00B629D8" w:rsidP="00EC5836">
            <w:pPr>
              <w:pStyle w:val="COMTabletext"/>
              <w:jc w:val="center"/>
            </w:pPr>
            <w:r w:rsidRPr="00F46FE2">
              <w:t>Postmenopausal women with low BMD</w:t>
            </w:r>
          </w:p>
        </w:tc>
        <w:tc>
          <w:tcPr>
            <w:tcW w:w="623" w:type="pct"/>
            <w:shd w:val="clear" w:color="auto" w:fill="auto"/>
            <w:vAlign w:val="center"/>
          </w:tcPr>
          <w:p w14:paraId="4F0C99D2" w14:textId="1100A2EB" w:rsidR="007F1017" w:rsidRPr="00F46FE2" w:rsidRDefault="001A0319" w:rsidP="00EC5836">
            <w:pPr>
              <w:pStyle w:val="COMTabletext"/>
              <w:jc w:val="center"/>
            </w:pPr>
            <w:r w:rsidRPr="00F46FE2">
              <w:t>BMD</w:t>
            </w:r>
          </w:p>
        </w:tc>
        <w:tc>
          <w:tcPr>
            <w:tcW w:w="938" w:type="pct"/>
            <w:shd w:val="clear" w:color="auto" w:fill="auto"/>
            <w:vAlign w:val="center"/>
          </w:tcPr>
          <w:p w14:paraId="3175EA34" w14:textId="77777777" w:rsidR="007F1017" w:rsidRPr="00F46FE2" w:rsidRDefault="007F1017" w:rsidP="00EC5836">
            <w:pPr>
              <w:pStyle w:val="COMTabletext"/>
              <w:jc w:val="center"/>
            </w:pPr>
            <w:r w:rsidRPr="00F46FE2">
              <w:t>Not used</w:t>
            </w:r>
          </w:p>
        </w:tc>
      </w:tr>
      <w:tr w:rsidR="00B41614" w:rsidRPr="00F46FE2" w14:paraId="6DAFAEAF" w14:textId="77777777" w:rsidTr="00330C51">
        <w:trPr>
          <w:cantSplit/>
        </w:trPr>
        <w:tc>
          <w:tcPr>
            <w:tcW w:w="501" w:type="pct"/>
            <w:shd w:val="clear" w:color="auto" w:fill="auto"/>
            <w:vAlign w:val="center"/>
          </w:tcPr>
          <w:p w14:paraId="76F0584C" w14:textId="1DA3BF7B" w:rsidR="007F1017" w:rsidRPr="00F46FE2" w:rsidRDefault="00146709" w:rsidP="00EC5836">
            <w:pPr>
              <w:pStyle w:val="COMTabletext"/>
            </w:pPr>
            <w:r w:rsidRPr="00F46FE2">
              <w:t>HIP</w:t>
            </w:r>
          </w:p>
        </w:tc>
        <w:tc>
          <w:tcPr>
            <w:tcW w:w="411" w:type="pct"/>
            <w:shd w:val="clear" w:color="auto" w:fill="auto"/>
            <w:vAlign w:val="center"/>
          </w:tcPr>
          <w:p w14:paraId="7D785F8E" w14:textId="6327A30C" w:rsidR="007F1017" w:rsidRPr="00F46FE2" w:rsidRDefault="008F0997" w:rsidP="00EC5836">
            <w:pPr>
              <w:pStyle w:val="COMTabletext"/>
              <w:jc w:val="center"/>
            </w:pPr>
            <w:r w:rsidRPr="00F46FE2">
              <w:t>9,331</w:t>
            </w:r>
          </w:p>
        </w:tc>
        <w:tc>
          <w:tcPr>
            <w:tcW w:w="1047" w:type="pct"/>
            <w:shd w:val="clear" w:color="auto" w:fill="auto"/>
            <w:vAlign w:val="center"/>
          </w:tcPr>
          <w:p w14:paraId="4F10C1AA" w14:textId="78C02110" w:rsidR="00CA27C1" w:rsidRPr="00F46FE2" w:rsidRDefault="00CA27C1" w:rsidP="00F85AAD">
            <w:pPr>
              <w:pStyle w:val="COMTabletext"/>
              <w:jc w:val="center"/>
            </w:pPr>
            <w:r w:rsidRPr="00F46FE2">
              <w:t>MC, R, DB</w:t>
            </w:r>
            <w:r w:rsidR="00F85AAD" w:rsidRPr="00F46FE2">
              <w:t xml:space="preserve">, </w:t>
            </w:r>
            <w:r w:rsidRPr="00F46FE2">
              <w:t>3 years</w:t>
            </w:r>
          </w:p>
        </w:tc>
        <w:tc>
          <w:tcPr>
            <w:tcW w:w="460" w:type="pct"/>
            <w:shd w:val="clear" w:color="auto" w:fill="auto"/>
            <w:vAlign w:val="center"/>
          </w:tcPr>
          <w:p w14:paraId="50E27A90" w14:textId="009AD0C6" w:rsidR="007F1017" w:rsidRPr="00F46FE2" w:rsidRDefault="00885BC8" w:rsidP="00EC5836">
            <w:pPr>
              <w:pStyle w:val="COMTabletext"/>
              <w:jc w:val="center"/>
            </w:pPr>
            <w:r w:rsidRPr="00F46FE2">
              <w:t>Unclear</w:t>
            </w:r>
          </w:p>
        </w:tc>
        <w:tc>
          <w:tcPr>
            <w:tcW w:w="1019" w:type="pct"/>
            <w:shd w:val="clear" w:color="auto" w:fill="auto"/>
            <w:vAlign w:val="center"/>
          </w:tcPr>
          <w:p w14:paraId="1B84BE0E" w14:textId="2782ED40" w:rsidR="007F1017" w:rsidRPr="00F46FE2" w:rsidRDefault="00330C51" w:rsidP="00EC5836">
            <w:pPr>
              <w:pStyle w:val="COMTabletext"/>
              <w:jc w:val="center"/>
            </w:pPr>
            <w:r w:rsidRPr="00F46FE2">
              <w:t>Postmenopausal women aged ≥70 years with very low BMD and/or risk factors</w:t>
            </w:r>
          </w:p>
        </w:tc>
        <w:tc>
          <w:tcPr>
            <w:tcW w:w="623" w:type="pct"/>
            <w:shd w:val="clear" w:color="auto" w:fill="auto"/>
            <w:vAlign w:val="center"/>
          </w:tcPr>
          <w:p w14:paraId="4E7BED76" w14:textId="0E84B049" w:rsidR="007F1017" w:rsidRPr="00F46FE2" w:rsidRDefault="001A0319" w:rsidP="00EC5836">
            <w:pPr>
              <w:pStyle w:val="COMTabletext"/>
              <w:jc w:val="center"/>
            </w:pPr>
            <w:r w:rsidRPr="00F46FE2">
              <w:t>Hip fracture</w:t>
            </w:r>
          </w:p>
        </w:tc>
        <w:tc>
          <w:tcPr>
            <w:tcW w:w="938" w:type="pct"/>
            <w:shd w:val="clear" w:color="auto" w:fill="auto"/>
            <w:vAlign w:val="center"/>
          </w:tcPr>
          <w:p w14:paraId="0351A18F" w14:textId="77777777" w:rsidR="007F1017" w:rsidRPr="00F46FE2" w:rsidRDefault="007F1017" w:rsidP="00EC5836">
            <w:pPr>
              <w:pStyle w:val="COMTabletext"/>
              <w:jc w:val="center"/>
            </w:pPr>
            <w:r w:rsidRPr="00F46FE2">
              <w:t>Not used</w:t>
            </w:r>
          </w:p>
        </w:tc>
      </w:tr>
      <w:tr w:rsidR="00531A4A" w:rsidRPr="00F46FE2" w14:paraId="2EDAFC26" w14:textId="77777777" w:rsidTr="00330C51">
        <w:trPr>
          <w:cantSplit/>
        </w:trPr>
        <w:tc>
          <w:tcPr>
            <w:tcW w:w="501" w:type="pct"/>
            <w:shd w:val="clear" w:color="auto" w:fill="auto"/>
            <w:vAlign w:val="center"/>
          </w:tcPr>
          <w:p w14:paraId="320E039C" w14:textId="470FA883" w:rsidR="00531A4A" w:rsidRPr="00F46FE2" w:rsidRDefault="00531A4A" w:rsidP="00531A4A">
            <w:pPr>
              <w:pStyle w:val="COMTabletext"/>
            </w:pPr>
            <w:r w:rsidRPr="00F46FE2">
              <w:t>VERT-MN</w:t>
            </w:r>
          </w:p>
        </w:tc>
        <w:tc>
          <w:tcPr>
            <w:tcW w:w="411" w:type="pct"/>
            <w:shd w:val="clear" w:color="auto" w:fill="auto"/>
            <w:vAlign w:val="center"/>
          </w:tcPr>
          <w:p w14:paraId="5EAD394F" w14:textId="05D5BAFE" w:rsidR="00531A4A" w:rsidRPr="00F46FE2" w:rsidRDefault="008F0997" w:rsidP="00531A4A">
            <w:pPr>
              <w:pStyle w:val="COMTabletext"/>
              <w:jc w:val="center"/>
            </w:pPr>
            <w:r w:rsidRPr="00F46FE2">
              <w:t>1,226</w:t>
            </w:r>
          </w:p>
        </w:tc>
        <w:tc>
          <w:tcPr>
            <w:tcW w:w="1047" w:type="pct"/>
            <w:shd w:val="clear" w:color="auto" w:fill="auto"/>
            <w:vAlign w:val="center"/>
          </w:tcPr>
          <w:p w14:paraId="367C6A09" w14:textId="31DBCFD9" w:rsidR="00CA27C1" w:rsidRPr="00F46FE2" w:rsidRDefault="00CA27C1" w:rsidP="00F85AAD">
            <w:pPr>
              <w:pStyle w:val="COMTabletext"/>
              <w:jc w:val="center"/>
            </w:pPr>
            <w:r w:rsidRPr="00F46FE2">
              <w:t>MC, R, DB</w:t>
            </w:r>
            <w:r w:rsidR="00F85AAD" w:rsidRPr="00F46FE2">
              <w:t xml:space="preserve">, </w:t>
            </w:r>
            <w:r w:rsidRPr="00F46FE2">
              <w:t>3 years</w:t>
            </w:r>
          </w:p>
        </w:tc>
        <w:tc>
          <w:tcPr>
            <w:tcW w:w="460" w:type="pct"/>
            <w:shd w:val="clear" w:color="auto" w:fill="auto"/>
            <w:vAlign w:val="center"/>
          </w:tcPr>
          <w:p w14:paraId="5DFCA90B" w14:textId="14161044" w:rsidR="00531A4A" w:rsidRPr="00F46FE2" w:rsidRDefault="00885BC8" w:rsidP="00531A4A">
            <w:pPr>
              <w:pStyle w:val="COMTabletext"/>
              <w:jc w:val="center"/>
            </w:pPr>
            <w:r w:rsidRPr="00F46FE2">
              <w:t>Unclear</w:t>
            </w:r>
          </w:p>
        </w:tc>
        <w:tc>
          <w:tcPr>
            <w:tcW w:w="1019" w:type="pct"/>
            <w:shd w:val="clear" w:color="auto" w:fill="auto"/>
            <w:vAlign w:val="center"/>
          </w:tcPr>
          <w:p w14:paraId="40EDF9AA" w14:textId="0815180B" w:rsidR="00531A4A" w:rsidRPr="00F46FE2" w:rsidRDefault="00330C51" w:rsidP="00531A4A">
            <w:pPr>
              <w:pStyle w:val="COMTabletext"/>
              <w:jc w:val="center"/>
            </w:pPr>
            <w:r w:rsidRPr="00F46FE2">
              <w:t>Postmenopausal women with multiple vertebral fractures</w:t>
            </w:r>
          </w:p>
        </w:tc>
        <w:tc>
          <w:tcPr>
            <w:tcW w:w="623" w:type="pct"/>
            <w:shd w:val="clear" w:color="auto" w:fill="auto"/>
            <w:vAlign w:val="center"/>
          </w:tcPr>
          <w:p w14:paraId="048FD377" w14:textId="6C50D5B3" w:rsidR="00531A4A" w:rsidRPr="00F46FE2" w:rsidRDefault="001A0319" w:rsidP="00531A4A">
            <w:pPr>
              <w:pStyle w:val="COMTabletext"/>
              <w:jc w:val="center"/>
            </w:pPr>
            <w:r w:rsidRPr="00F46FE2">
              <w:t>Vertebral fracture</w:t>
            </w:r>
          </w:p>
        </w:tc>
        <w:tc>
          <w:tcPr>
            <w:tcW w:w="938" w:type="pct"/>
            <w:shd w:val="clear" w:color="auto" w:fill="auto"/>
            <w:vAlign w:val="center"/>
          </w:tcPr>
          <w:p w14:paraId="1CB03481" w14:textId="2BFEEBD7" w:rsidR="00531A4A" w:rsidRPr="00F46FE2" w:rsidRDefault="00531A4A" w:rsidP="00531A4A">
            <w:pPr>
              <w:pStyle w:val="COMTabletext"/>
              <w:jc w:val="center"/>
            </w:pPr>
            <w:r w:rsidRPr="00F46FE2">
              <w:t>Not used</w:t>
            </w:r>
          </w:p>
        </w:tc>
      </w:tr>
      <w:tr w:rsidR="00531A4A" w:rsidRPr="00F46FE2" w14:paraId="60C10401" w14:textId="77777777" w:rsidTr="00330C51">
        <w:trPr>
          <w:cantSplit/>
        </w:trPr>
        <w:tc>
          <w:tcPr>
            <w:tcW w:w="501" w:type="pct"/>
            <w:shd w:val="clear" w:color="auto" w:fill="auto"/>
            <w:vAlign w:val="center"/>
          </w:tcPr>
          <w:p w14:paraId="323B9F49" w14:textId="2D2555AC" w:rsidR="00531A4A" w:rsidRPr="00F46FE2" w:rsidRDefault="00531A4A" w:rsidP="00531A4A">
            <w:pPr>
              <w:pStyle w:val="COMTabletext"/>
            </w:pPr>
            <w:r w:rsidRPr="00F46FE2">
              <w:t>VERT-NA</w:t>
            </w:r>
          </w:p>
        </w:tc>
        <w:tc>
          <w:tcPr>
            <w:tcW w:w="411" w:type="pct"/>
            <w:shd w:val="clear" w:color="auto" w:fill="auto"/>
            <w:vAlign w:val="center"/>
          </w:tcPr>
          <w:p w14:paraId="345A8485" w14:textId="47C18C2A" w:rsidR="00531A4A" w:rsidRPr="00F46FE2" w:rsidRDefault="008F0997" w:rsidP="00531A4A">
            <w:pPr>
              <w:pStyle w:val="COMTabletext"/>
              <w:jc w:val="center"/>
            </w:pPr>
            <w:r w:rsidRPr="00F46FE2">
              <w:t>2,458</w:t>
            </w:r>
          </w:p>
        </w:tc>
        <w:tc>
          <w:tcPr>
            <w:tcW w:w="1047" w:type="pct"/>
            <w:shd w:val="clear" w:color="auto" w:fill="auto"/>
            <w:vAlign w:val="center"/>
          </w:tcPr>
          <w:p w14:paraId="0F9AA35C" w14:textId="0F7E054A" w:rsidR="00CA27C1" w:rsidRPr="00F46FE2" w:rsidRDefault="00CA27C1" w:rsidP="00F85AAD">
            <w:pPr>
              <w:pStyle w:val="COMTabletext"/>
              <w:jc w:val="center"/>
            </w:pPr>
            <w:r w:rsidRPr="00F46FE2">
              <w:t>MC, R, DB</w:t>
            </w:r>
            <w:r w:rsidR="00F85AAD" w:rsidRPr="00F46FE2">
              <w:t xml:space="preserve">, </w:t>
            </w:r>
            <w:r w:rsidR="007C10F4" w:rsidRPr="00F46FE2">
              <w:t>3</w:t>
            </w:r>
            <w:r w:rsidRPr="00F46FE2">
              <w:t xml:space="preserve"> years</w:t>
            </w:r>
          </w:p>
        </w:tc>
        <w:tc>
          <w:tcPr>
            <w:tcW w:w="460" w:type="pct"/>
            <w:shd w:val="clear" w:color="auto" w:fill="auto"/>
            <w:vAlign w:val="center"/>
          </w:tcPr>
          <w:p w14:paraId="3A79A703" w14:textId="4118FE73" w:rsidR="00531A4A" w:rsidRPr="00F46FE2" w:rsidRDefault="00885BC8" w:rsidP="00531A4A">
            <w:pPr>
              <w:pStyle w:val="COMTabletext"/>
              <w:jc w:val="center"/>
            </w:pPr>
            <w:r w:rsidRPr="00F46FE2">
              <w:t>Low</w:t>
            </w:r>
          </w:p>
        </w:tc>
        <w:tc>
          <w:tcPr>
            <w:tcW w:w="1019" w:type="pct"/>
            <w:shd w:val="clear" w:color="auto" w:fill="auto"/>
            <w:vAlign w:val="center"/>
          </w:tcPr>
          <w:p w14:paraId="6808E678" w14:textId="63B73FBD" w:rsidR="00531A4A" w:rsidRPr="00F46FE2" w:rsidRDefault="00330C51" w:rsidP="00531A4A">
            <w:pPr>
              <w:pStyle w:val="COMTabletext"/>
              <w:jc w:val="center"/>
            </w:pPr>
            <w:r w:rsidRPr="00F46FE2">
              <w:t>Postmenopausal women with ≥1 vertebral fracture</w:t>
            </w:r>
          </w:p>
        </w:tc>
        <w:tc>
          <w:tcPr>
            <w:tcW w:w="623" w:type="pct"/>
            <w:shd w:val="clear" w:color="auto" w:fill="auto"/>
            <w:vAlign w:val="center"/>
          </w:tcPr>
          <w:p w14:paraId="387E7544" w14:textId="3B051349" w:rsidR="00531A4A" w:rsidRPr="00F46FE2" w:rsidRDefault="001A0319" w:rsidP="00531A4A">
            <w:pPr>
              <w:pStyle w:val="COMTabletext"/>
              <w:jc w:val="center"/>
            </w:pPr>
            <w:r w:rsidRPr="00F46FE2">
              <w:t>Vertebral fracture</w:t>
            </w:r>
          </w:p>
        </w:tc>
        <w:tc>
          <w:tcPr>
            <w:tcW w:w="938" w:type="pct"/>
            <w:shd w:val="clear" w:color="auto" w:fill="auto"/>
            <w:vAlign w:val="center"/>
          </w:tcPr>
          <w:p w14:paraId="66658C37" w14:textId="6DAA5C90" w:rsidR="00531A4A" w:rsidRPr="00F46FE2" w:rsidRDefault="00531A4A" w:rsidP="00531A4A">
            <w:pPr>
              <w:pStyle w:val="COMTabletext"/>
              <w:jc w:val="center"/>
            </w:pPr>
            <w:r w:rsidRPr="00F46FE2">
              <w:t>Not used</w:t>
            </w:r>
          </w:p>
        </w:tc>
      </w:tr>
      <w:tr w:rsidR="00531A4A" w:rsidRPr="00F46FE2" w14:paraId="0F9290DD" w14:textId="77777777" w:rsidTr="00330C51">
        <w:trPr>
          <w:cantSplit/>
        </w:trPr>
        <w:tc>
          <w:tcPr>
            <w:tcW w:w="501" w:type="pct"/>
            <w:shd w:val="clear" w:color="auto" w:fill="auto"/>
            <w:vAlign w:val="center"/>
          </w:tcPr>
          <w:p w14:paraId="07CD5136" w14:textId="14B96D59" w:rsidR="00531A4A" w:rsidRPr="00F46FE2" w:rsidRDefault="00531A4A" w:rsidP="00531A4A">
            <w:pPr>
              <w:pStyle w:val="COMTabletext"/>
            </w:pPr>
            <w:r w:rsidRPr="00F46FE2">
              <w:t>Boonen 2010</w:t>
            </w:r>
          </w:p>
        </w:tc>
        <w:tc>
          <w:tcPr>
            <w:tcW w:w="411" w:type="pct"/>
            <w:shd w:val="clear" w:color="auto" w:fill="auto"/>
            <w:vAlign w:val="center"/>
          </w:tcPr>
          <w:p w14:paraId="6AB142BB" w14:textId="7423F490" w:rsidR="00531A4A" w:rsidRPr="00F46FE2" w:rsidRDefault="005665F2" w:rsidP="00531A4A">
            <w:pPr>
              <w:pStyle w:val="COMTabletext"/>
              <w:jc w:val="center"/>
            </w:pPr>
            <w:r w:rsidRPr="00F46FE2">
              <w:t>3,229</w:t>
            </w:r>
          </w:p>
        </w:tc>
        <w:tc>
          <w:tcPr>
            <w:tcW w:w="3150" w:type="pct"/>
            <w:gridSpan w:val="4"/>
            <w:shd w:val="clear" w:color="auto" w:fill="auto"/>
            <w:vAlign w:val="center"/>
          </w:tcPr>
          <w:p w14:paraId="2D59F007" w14:textId="36F8EBB0" w:rsidR="00531A4A" w:rsidRPr="00F46FE2" w:rsidRDefault="00531A4A" w:rsidP="00531A4A">
            <w:pPr>
              <w:pStyle w:val="COMTabletext"/>
              <w:jc w:val="center"/>
            </w:pPr>
            <w:r w:rsidRPr="00F46FE2">
              <w:t xml:space="preserve">Included </w:t>
            </w:r>
            <w:r w:rsidR="00E366A7" w:rsidRPr="00F46FE2">
              <w:t>BMD-MN, BMD-NA, VERT-MN and VERT-NA trials</w:t>
            </w:r>
            <w:r w:rsidRPr="00F46FE2">
              <w:t xml:space="preserve">; </w:t>
            </w:r>
            <w:r w:rsidR="00EC3D65" w:rsidRPr="00F46FE2">
              <w:t xml:space="preserve">post hoc pooled analysis; </w:t>
            </w:r>
            <w:r w:rsidR="007528F0" w:rsidRPr="00F46FE2">
              <w:t>assessed the relationship between age and treatment effect</w:t>
            </w:r>
          </w:p>
        </w:tc>
        <w:tc>
          <w:tcPr>
            <w:tcW w:w="938" w:type="pct"/>
            <w:shd w:val="clear" w:color="auto" w:fill="auto"/>
            <w:vAlign w:val="center"/>
          </w:tcPr>
          <w:p w14:paraId="6E5A0C30" w14:textId="2518821D" w:rsidR="00531A4A" w:rsidRPr="00F46FE2" w:rsidRDefault="00531A4A" w:rsidP="00531A4A">
            <w:pPr>
              <w:pStyle w:val="COMTabletext"/>
              <w:jc w:val="center"/>
            </w:pPr>
            <w:r w:rsidRPr="00F46FE2">
              <w:t>Risedronate fracture risk reductions used in sensitivity analyses</w:t>
            </w:r>
          </w:p>
        </w:tc>
      </w:tr>
      <w:tr w:rsidR="007528F0" w:rsidRPr="00F46FE2" w14:paraId="28762BB8" w14:textId="77777777" w:rsidTr="00330C51">
        <w:trPr>
          <w:cantSplit/>
        </w:trPr>
        <w:tc>
          <w:tcPr>
            <w:tcW w:w="501" w:type="pct"/>
            <w:shd w:val="clear" w:color="auto" w:fill="auto"/>
            <w:vAlign w:val="center"/>
          </w:tcPr>
          <w:p w14:paraId="04CC38D8" w14:textId="64247588" w:rsidR="007528F0" w:rsidRPr="00F46FE2" w:rsidRDefault="007528F0" w:rsidP="00531A4A">
            <w:pPr>
              <w:pStyle w:val="COMTabletext"/>
            </w:pPr>
            <w:r w:rsidRPr="00F46FE2">
              <w:t>Harrington 2004</w:t>
            </w:r>
            <w:r w:rsidR="00E37EB8" w:rsidRPr="00F46FE2">
              <w:t xml:space="preserve"> </w:t>
            </w:r>
          </w:p>
        </w:tc>
        <w:tc>
          <w:tcPr>
            <w:tcW w:w="411" w:type="pct"/>
            <w:shd w:val="clear" w:color="auto" w:fill="auto"/>
            <w:vAlign w:val="center"/>
          </w:tcPr>
          <w:p w14:paraId="29AD5FAE" w14:textId="75A114A9" w:rsidR="007528F0" w:rsidRPr="00F46FE2" w:rsidRDefault="005665F2" w:rsidP="00531A4A">
            <w:pPr>
              <w:pStyle w:val="COMTabletext"/>
              <w:jc w:val="center"/>
            </w:pPr>
            <w:r w:rsidRPr="00F46FE2">
              <w:t>1,172</w:t>
            </w:r>
          </w:p>
        </w:tc>
        <w:tc>
          <w:tcPr>
            <w:tcW w:w="3150" w:type="pct"/>
            <w:gridSpan w:val="4"/>
            <w:shd w:val="clear" w:color="auto" w:fill="auto"/>
            <w:vAlign w:val="center"/>
          </w:tcPr>
          <w:p w14:paraId="47B4E9B7" w14:textId="23207897" w:rsidR="007528F0" w:rsidRPr="00F46FE2" w:rsidRDefault="007528F0" w:rsidP="00531A4A">
            <w:pPr>
              <w:pStyle w:val="COMTabletext"/>
              <w:jc w:val="center"/>
            </w:pPr>
            <w:r w:rsidRPr="00F46FE2">
              <w:t xml:space="preserve">Included </w:t>
            </w:r>
            <w:r w:rsidR="00EC3D65" w:rsidRPr="00F46FE2">
              <w:t>BMD</w:t>
            </w:r>
            <w:r w:rsidR="00CC1D87" w:rsidRPr="00F46FE2">
              <w:t>-MN, BMD-NA, VERT-MN and VERT-NA trials</w:t>
            </w:r>
            <w:r w:rsidR="00EC3D65" w:rsidRPr="00F46FE2">
              <w:t xml:space="preserve">; post hoc subgroup </w:t>
            </w:r>
            <w:r w:rsidR="00B355BA" w:rsidRPr="00F46FE2">
              <w:t>analysis of patients with/without vertebral fracture</w:t>
            </w:r>
            <w:r w:rsidR="00AC7C0E" w:rsidRPr="00F46FE2">
              <w:t xml:space="preserve"> with BMD T-score ≤-2.5; assessed nonvertebral fracture outcomes</w:t>
            </w:r>
          </w:p>
        </w:tc>
        <w:tc>
          <w:tcPr>
            <w:tcW w:w="938" w:type="pct"/>
            <w:shd w:val="clear" w:color="auto" w:fill="auto"/>
            <w:vAlign w:val="center"/>
          </w:tcPr>
          <w:p w14:paraId="0276F3DE" w14:textId="5E2842CA" w:rsidR="007528F0" w:rsidRPr="00F46FE2" w:rsidRDefault="007528F0" w:rsidP="00531A4A">
            <w:pPr>
              <w:pStyle w:val="COMTabletext"/>
              <w:jc w:val="center"/>
            </w:pPr>
            <w:r w:rsidRPr="00F46FE2">
              <w:t>Not used</w:t>
            </w:r>
          </w:p>
        </w:tc>
      </w:tr>
      <w:tr w:rsidR="007528F0" w:rsidRPr="00F46FE2" w14:paraId="6BB16954" w14:textId="77777777" w:rsidTr="00330C51">
        <w:trPr>
          <w:cantSplit/>
        </w:trPr>
        <w:tc>
          <w:tcPr>
            <w:tcW w:w="501" w:type="pct"/>
            <w:shd w:val="clear" w:color="auto" w:fill="auto"/>
            <w:vAlign w:val="center"/>
          </w:tcPr>
          <w:p w14:paraId="587801CB" w14:textId="4CC7EDED" w:rsidR="007528F0" w:rsidRPr="00F46FE2" w:rsidRDefault="007528F0" w:rsidP="00531A4A">
            <w:pPr>
              <w:pStyle w:val="COMTabletext"/>
            </w:pPr>
            <w:r w:rsidRPr="00F46FE2">
              <w:t>Heaney 2002</w:t>
            </w:r>
          </w:p>
        </w:tc>
        <w:tc>
          <w:tcPr>
            <w:tcW w:w="411" w:type="pct"/>
            <w:shd w:val="clear" w:color="auto" w:fill="auto"/>
            <w:vAlign w:val="center"/>
          </w:tcPr>
          <w:p w14:paraId="0EE9B253" w14:textId="08302450" w:rsidR="007528F0" w:rsidRPr="00F46FE2" w:rsidRDefault="007E62A2" w:rsidP="00531A4A">
            <w:pPr>
              <w:pStyle w:val="COMTabletext"/>
              <w:jc w:val="center"/>
            </w:pPr>
            <w:r w:rsidRPr="00F46FE2">
              <w:t>640</w:t>
            </w:r>
          </w:p>
        </w:tc>
        <w:tc>
          <w:tcPr>
            <w:tcW w:w="3150" w:type="pct"/>
            <w:gridSpan w:val="4"/>
            <w:shd w:val="clear" w:color="auto" w:fill="auto"/>
            <w:vAlign w:val="center"/>
          </w:tcPr>
          <w:p w14:paraId="6B2D10A5" w14:textId="3BE68649" w:rsidR="007528F0" w:rsidRPr="00F46FE2" w:rsidRDefault="00AC7C0E" w:rsidP="00531A4A">
            <w:pPr>
              <w:pStyle w:val="COMTabletext"/>
              <w:jc w:val="center"/>
            </w:pPr>
            <w:r w:rsidRPr="00F46FE2">
              <w:t>Included BMD-MN</w:t>
            </w:r>
            <w:r w:rsidR="00A97BD7" w:rsidRPr="00F46FE2">
              <w:t xml:space="preserve">, BMD-NA, HIP and VERT-NA trials; post hoc subgroup analysis of patients without vertebral fracture with BMD T-score ≤-2.5; assessed </w:t>
            </w:r>
            <w:r w:rsidR="008F0997" w:rsidRPr="00F46FE2">
              <w:t>vertebral fracture outcomes</w:t>
            </w:r>
          </w:p>
        </w:tc>
        <w:tc>
          <w:tcPr>
            <w:tcW w:w="938" w:type="pct"/>
            <w:shd w:val="clear" w:color="auto" w:fill="auto"/>
            <w:vAlign w:val="center"/>
          </w:tcPr>
          <w:p w14:paraId="3AE4843A" w14:textId="49973758" w:rsidR="007528F0" w:rsidRPr="00F46FE2" w:rsidRDefault="007528F0" w:rsidP="00531A4A">
            <w:pPr>
              <w:pStyle w:val="COMTabletext"/>
              <w:jc w:val="center"/>
            </w:pPr>
            <w:r w:rsidRPr="00F46FE2">
              <w:t>Not used</w:t>
            </w:r>
          </w:p>
        </w:tc>
      </w:tr>
    </w:tbl>
    <w:p w14:paraId="560080D2" w14:textId="2FC1C8C5" w:rsidR="00045017" w:rsidRPr="002E14F6" w:rsidRDefault="00045017" w:rsidP="00EC5836">
      <w:pPr>
        <w:pStyle w:val="COMTablefooter"/>
      </w:pPr>
      <w:r w:rsidRPr="002E14F6">
        <w:t xml:space="preserve">Source: </w:t>
      </w:r>
      <w:r w:rsidR="00E86B84" w:rsidRPr="002E14F6">
        <w:t>Section 2A.3.3, pp59-61 of the submission and study publications</w:t>
      </w:r>
    </w:p>
    <w:p w14:paraId="38400B01" w14:textId="4D24DED7" w:rsidR="00E86B84" w:rsidRPr="002E14F6" w:rsidRDefault="00E86B84" w:rsidP="00EC5836">
      <w:pPr>
        <w:pStyle w:val="COMTablefooter"/>
      </w:pPr>
      <w:r w:rsidRPr="002E14F6">
        <w:t xml:space="preserve">Abbreviations: </w:t>
      </w:r>
      <w:r w:rsidR="002C2953" w:rsidRPr="002E14F6">
        <w:t>BMD, bone mineral density; DB, double-blind; MC, multi-centre; R, randomised</w:t>
      </w:r>
    </w:p>
    <w:p w14:paraId="02F991DA" w14:textId="75958CA9" w:rsidR="004F51FA" w:rsidRPr="00966B2C" w:rsidRDefault="004F51FA" w:rsidP="00966B2C">
      <w:pPr>
        <w:widowControl w:val="0"/>
        <w:numPr>
          <w:ilvl w:val="1"/>
          <w:numId w:val="1"/>
        </w:numPr>
        <w:spacing w:after="120"/>
        <w:ind w:left="720" w:hanging="720"/>
        <w:rPr>
          <w:bCs/>
        </w:rPr>
      </w:pPr>
      <w:r w:rsidRPr="00966B2C">
        <w:rPr>
          <w:rFonts w:asciiTheme="minorHAnsi" w:hAnsiTheme="minorHAnsi"/>
          <w:bCs/>
          <w:snapToGrid w:val="0"/>
        </w:rPr>
        <w:t>There was insufficient information reported in the trial publications for the BMD-MN, BMD-NA, HIP and VERT-MN trials to determine the risk of bias. None of the publications reported adequate details regarding random sequence generation and allocation concealment, and blinding of outcome assessment. There was limited reporting for the BMD-NA trial that was only published in an abstract.</w:t>
      </w:r>
    </w:p>
    <w:p w14:paraId="4899E35E" w14:textId="715FC4B8" w:rsidR="007F1017" w:rsidRPr="00966B2C" w:rsidRDefault="004F51FA" w:rsidP="00966B2C">
      <w:pPr>
        <w:widowControl w:val="0"/>
        <w:numPr>
          <w:ilvl w:val="1"/>
          <w:numId w:val="1"/>
        </w:numPr>
        <w:spacing w:after="120"/>
        <w:ind w:left="720" w:hanging="720"/>
        <w:rPr>
          <w:bCs/>
        </w:rPr>
      </w:pPr>
      <w:r w:rsidRPr="00966B2C">
        <w:rPr>
          <w:rFonts w:asciiTheme="minorHAnsi" w:hAnsiTheme="minorHAnsi"/>
          <w:bCs/>
          <w:snapToGrid w:val="0"/>
        </w:rPr>
        <w:t xml:space="preserve">Following protocol amendment, the risedronate 2.5 mg arms of the BMD-MN, VERT-MN and VERT-NA trials were discontinued prematurely. This was due to data from other trials suggesting the 2.5 mg dose was less effective and had a similar safety profile to the 5 mg dose. Any further discussions in the </w:t>
      </w:r>
      <w:r w:rsidR="00591049">
        <w:rPr>
          <w:rFonts w:asciiTheme="minorHAnsi" w:hAnsiTheme="minorHAnsi"/>
          <w:bCs/>
          <w:snapToGrid w:val="0"/>
        </w:rPr>
        <w:t>PSD</w:t>
      </w:r>
      <w:r w:rsidR="00FF1854">
        <w:rPr>
          <w:rFonts w:asciiTheme="minorHAnsi" w:hAnsiTheme="minorHAnsi"/>
          <w:bCs/>
          <w:snapToGrid w:val="0"/>
        </w:rPr>
        <w:t xml:space="preserve"> </w:t>
      </w:r>
      <w:r w:rsidRPr="00966B2C">
        <w:rPr>
          <w:rFonts w:asciiTheme="minorHAnsi" w:hAnsiTheme="minorHAnsi"/>
          <w:bCs/>
          <w:snapToGrid w:val="0"/>
        </w:rPr>
        <w:t>regarding these trials will be focussed on the 5 mg dose regimen only</w:t>
      </w:r>
      <w:r w:rsidR="00A8158A" w:rsidRPr="00966B2C">
        <w:rPr>
          <w:rFonts w:asciiTheme="minorHAnsi" w:hAnsiTheme="minorHAnsi"/>
          <w:bCs/>
          <w:snapToGrid w:val="0"/>
        </w:rPr>
        <w:t>,</w:t>
      </w:r>
      <w:r w:rsidR="00A12585" w:rsidRPr="00966B2C">
        <w:rPr>
          <w:rFonts w:asciiTheme="minorHAnsi" w:hAnsiTheme="minorHAnsi"/>
          <w:bCs/>
          <w:snapToGrid w:val="0"/>
        </w:rPr>
        <w:t xml:space="preserve"> which is</w:t>
      </w:r>
      <w:r w:rsidR="007C10F4" w:rsidRPr="00966B2C">
        <w:rPr>
          <w:rFonts w:asciiTheme="minorHAnsi" w:hAnsiTheme="minorHAnsi"/>
          <w:bCs/>
          <w:snapToGrid w:val="0"/>
        </w:rPr>
        <w:t xml:space="preserve"> the</w:t>
      </w:r>
      <w:r w:rsidR="00A12585" w:rsidRPr="00966B2C">
        <w:rPr>
          <w:rFonts w:asciiTheme="minorHAnsi" w:hAnsiTheme="minorHAnsi"/>
          <w:bCs/>
          <w:snapToGrid w:val="0"/>
        </w:rPr>
        <w:t xml:space="preserve"> recommended dose in the product information. </w:t>
      </w:r>
    </w:p>
    <w:p w14:paraId="4A4FE085" w14:textId="16A6DB88" w:rsidR="00B60939" w:rsidRPr="002E14F6" w:rsidRDefault="00B60939" w:rsidP="00EC5836">
      <w:pPr>
        <w:pStyle w:val="COMH2-non-numbered"/>
      </w:pPr>
      <w:bookmarkStart w:id="23" w:name="_Toc22897641"/>
      <w:bookmarkStart w:id="24" w:name="_Toc113980153"/>
      <w:r w:rsidRPr="002E14F6">
        <w:t>Comparative effectiveness</w:t>
      </w:r>
      <w:bookmarkEnd w:id="23"/>
      <w:bookmarkEnd w:id="24"/>
    </w:p>
    <w:p w14:paraId="28593FB8" w14:textId="45B3FC88" w:rsidR="002C2775" w:rsidRPr="00966B2C" w:rsidRDefault="005A400F" w:rsidP="00966B2C">
      <w:pPr>
        <w:widowControl w:val="0"/>
        <w:numPr>
          <w:ilvl w:val="1"/>
          <w:numId w:val="1"/>
        </w:numPr>
        <w:spacing w:after="120"/>
        <w:ind w:left="720" w:hanging="720"/>
        <w:rPr>
          <w:bCs/>
        </w:rPr>
      </w:pPr>
      <w:r w:rsidRPr="00966B2C">
        <w:rPr>
          <w:rFonts w:asciiTheme="minorHAnsi" w:hAnsiTheme="minorHAnsi"/>
          <w:bCs/>
          <w:snapToGrid w:val="0"/>
        </w:rPr>
        <w:fldChar w:fldCharType="begin" w:fldLock="1"/>
      </w:r>
      <w:r w:rsidRPr="00966B2C">
        <w:rPr>
          <w:rFonts w:asciiTheme="minorHAnsi" w:hAnsiTheme="minorHAnsi"/>
          <w:bCs/>
          <w:snapToGrid w:val="0"/>
        </w:rPr>
        <w:instrText xml:space="preserve"> REF _Ref112762169 \h </w:instrText>
      </w:r>
      <w:r w:rsidR="00473112">
        <w:rPr>
          <w:rFonts w:asciiTheme="minorHAnsi" w:hAnsiTheme="minorHAnsi"/>
          <w:bCs/>
          <w:snapToGrid w:val="0"/>
        </w:rPr>
        <w:instrText xml:space="preserve"> \* MERGEFORMAT </w:instrText>
      </w:r>
      <w:r w:rsidRPr="00966B2C">
        <w:rPr>
          <w:rFonts w:asciiTheme="minorHAnsi" w:hAnsiTheme="minorHAnsi"/>
          <w:bCs/>
          <w:snapToGrid w:val="0"/>
        </w:rPr>
      </w:r>
      <w:r w:rsidRPr="00966B2C">
        <w:rPr>
          <w:rFonts w:asciiTheme="minorHAnsi" w:hAnsiTheme="minorHAnsi"/>
          <w:bCs/>
          <w:snapToGrid w:val="0"/>
        </w:rPr>
        <w:fldChar w:fldCharType="separate"/>
      </w:r>
      <w:r w:rsidRPr="00966B2C">
        <w:rPr>
          <w:rFonts w:asciiTheme="minorHAnsi" w:hAnsiTheme="minorHAnsi"/>
          <w:bCs/>
          <w:snapToGrid w:val="0"/>
        </w:rPr>
        <w:t>Table 5</w:t>
      </w:r>
      <w:r w:rsidRPr="00966B2C">
        <w:rPr>
          <w:rFonts w:asciiTheme="minorHAnsi" w:hAnsiTheme="minorHAnsi"/>
          <w:bCs/>
          <w:snapToGrid w:val="0"/>
        </w:rPr>
        <w:fldChar w:fldCharType="end"/>
      </w:r>
      <w:r w:rsidR="004310EB" w:rsidRPr="00966B2C">
        <w:rPr>
          <w:rFonts w:asciiTheme="minorHAnsi" w:hAnsiTheme="minorHAnsi"/>
          <w:bCs/>
          <w:snapToGrid w:val="0"/>
        </w:rPr>
        <w:t xml:space="preserve"> below presents the key fracture outcomes reported in the included trials. </w:t>
      </w:r>
      <w:r w:rsidR="008F4332" w:rsidRPr="00966B2C">
        <w:rPr>
          <w:rFonts w:asciiTheme="minorHAnsi" w:hAnsiTheme="minorHAnsi"/>
          <w:bCs/>
          <w:snapToGrid w:val="0"/>
        </w:rPr>
        <w:t>No fracture outcomes were available in the published abstract of the BMD-NA trial</w:t>
      </w:r>
      <w:r w:rsidR="00AF2F61" w:rsidRPr="00966B2C">
        <w:rPr>
          <w:rFonts w:asciiTheme="minorHAnsi" w:hAnsiTheme="minorHAnsi"/>
          <w:bCs/>
          <w:snapToGrid w:val="0"/>
        </w:rPr>
        <w:t>.</w:t>
      </w:r>
    </w:p>
    <w:p w14:paraId="3A0EFDAC" w14:textId="39440B30" w:rsidR="00BD5465" w:rsidRPr="002E14F6" w:rsidRDefault="00E0310D" w:rsidP="00E0310D">
      <w:pPr>
        <w:pStyle w:val="COMtablefigcaption"/>
      </w:pPr>
      <w:bookmarkStart w:id="25" w:name="_Ref112762169"/>
      <w:r>
        <w:t xml:space="preserve">Table </w:t>
      </w:r>
      <w:r w:rsidR="00400174">
        <w:fldChar w:fldCharType="begin" w:fldLock="1"/>
      </w:r>
      <w:r w:rsidR="00400174">
        <w:instrText xml:space="preserve"> SEQ Table \* ARABIC </w:instrText>
      </w:r>
      <w:r w:rsidR="00400174">
        <w:fldChar w:fldCharType="separate"/>
      </w:r>
      <w:r w:rsidR="00C2719F">
        <w:rPr>
          <w:noProof/>
        </w:rPr>
        <w:t>5</w:t>
      </w:r>
      <w:r w:rsidR="00400174">
        <w:rPr>
          <w:noProof/>
        </w:rPr>
        <w:fldChar w:fldCharType="end"/>
      </w:r>
      <w:bookmarkEnd w:id="25"/>
      <w:r>
        <w:t xml:space="preserve">: </w:t>
      </w:r>
      <w:r w:rsidRPr="00E0310D">
        <w:t>Key fracture outcomes reported in the included trials</w:t>
      </w:r>
    </w:p>
    <w:tbl>
      <w:tblPr>
        <w:tblStyle w:val="TableGrid"/>
        <w:tblW w:w="0" w:type="auto"/>
        <w:tblCellMar>
          <w:left w:w="28" w:type="dxa"/>
          <w:right w:w="28" w:type="dxa"/>
        </w:tblCellMar>
        <w:tblLook w:val="04A0" w:firstRow="1" w:lastRow="0" w:firstColumn="1" w:lastColumn="0" w:noHBand="0" w:noVBand="1"/>
        <w:tblCaption w:val="Table 5: Key fracture outcomes reported in the included trials"/>
      </w:tblPr>
      <w:tblGrid>
        <w:gridCol w:w="1297"/>
        <w:gridCol w:w="1176"/>
        <w:gridCol w:w="1596"/>
        <w:gridCol w:w="1609"/>
        <w:gridCol w:w="1848"/>
        <w:gridCol w:w="1491"/>
      </w:tblGrid>
      <w:tr w:rsidR="00BD5465" w:rsidRPr="002E14F6" w14:paraId="0798C4AC" w14:textId="77777777" w:rsidTr="005F1ABD">
        <w:tc>
          <w:tcPr>
            <w:tcW w:w="1297" w:type="dxa"/>
          </w:tcPr>
          <w:p w14:paraId="6C267012" w14:textId="77777777" w:rsidR="00BD5465" w:rsidRPr="002E14F6" w:rsidRDefault="00BD5465" w:rsidP="005F1ABD">
            <w:pPr>
              <w:pStyle w:val="COMTableheadingrow"/>
              <w:rPr>
                <w:lang w:val="en-AU"/>
              </w:rPr>
            </w:pPr>
            <w:r w:rsidRPr="002E14F6">
              <w:rPr>
                <w:lang w:val="en-AU"/>
              </w:rPr>
              <w:t>Outcome</w:t>
            </w:r>
          </w:p>
        </w:tc>
        <w:tc>
          <w:tcPr>
            <w:tcW w:w="1176" w:type="dxa"/>
          </w:tcPr>
          <w:p w14:paraId="19A65269" w14:textId="77777777" w:rsidR="00BD5465" w:rsidRPr="002E14F6" w:rsidRDefault="00BD5465" w:rsidP="005F1ABD">
            <w:pPr>
              <w:pStyle w:val="COMTableheadingrow"/>
              <w:rPr>
                <w:lang w:val="en-AU"/>
              </w:rPr>
            </w:pPr>
            <w:r w:rsidRPr="002E14F6">
              <w:rPr>
                <w:lang w:val="en-AU"/>
              </w:rPr>
              <w:t>Trial</w:t>
            </w:r>
          </w:p>
        </w:tc>
        <w:tc>
          <w:tcPr>
            <w:tcW w:w="1596" w:type="dxa"/>
            <w:vAlign w:val="center"/>
          </w:tcPr>
          <w:p w14:paraId="1CB440F7" w14:textId="77777777" w:rsidR="00BD5465" w:rsidRPr="002E14F6" w:rsidRDefault="00BD5465" w:rsidP="005F1ABD">
            <w:pPr>
              <w:pStyle w:val="COMTableheadingrow"/>
              <w:jc w:val="center"/>
              <w:rPr>
                <w:vertAlign w:val="superscript"/>
                <w:lang w:val="en-AU"/>
              </w:rPr>
            </w:pPr>
            <w:r w:rsidRPr="002E14F6">
              <w:rPr>
                <w:lang w:val="en-AU"/>
              </w:rPr>
              <w:t xml:space="preserve">Risedronate 5 mg </w:t>
            </w:r>
            <w:r w:rsidRPr="002E14F6">
              <w:rPr>
                <w:vertAlign w:val="superscript"/>
                <w:lang w:val="en-AU"/>
              </w:rPr>
              <w:t>a</w:t>
            </w:r>
          </w:p>
        </w:tc>
        <w:tc>
          <w:tcPr>
            <w:tcW w:w="1609" w:type="dxa"/>
            <w:vAlign w:val="center"/>
          </w:tcPr>
          <w:p w14:paraId="4A2D0DC2" w14:textId="77777777" w:rsidR="00BD5465" w:rsidRPr="002E14F6" w:rsidRDefault="00BD5465" w:rsidP="005F1ABD">
            <w:pPr>
              <w:pStyle w:val="COMTableheadingrow"/>
              <w:jc w:val="center"/>
              <w:rPr>
                <w:lang w:val="en-AU"/>
              </w:rPr>
            </w:pPr>
            <w:r w:rsidRPr="002E14F6">
              <w:rPr>
                <w:lang w:val="en-AU"/>
              </w:rPr>
              <w:t>Placebo</w:t>
            </w:r>
          </w:p>
        </w:tc>
        <w:tc>
          <w:tcPr>
            <w:tcW w:w="1848" w:type="dxa"/>
            <w:vAlign w:val="center"/>
          </w:tcPr>
          <w:p w14:paraId="3D75B700" w14:textId="77777777" w:rsidR="00BD5465" w:rsidRPr="002E14F6" w:rsidRDefault="00BD5465" w:rsidP="005F1ABD">
            <w:pPr>
              <w:pStyle w:val="COMTableheadingrow"/>
              <w:jc w:val="center"/>
              <w:rPr>
                <w:lang w:val="en-AU"/>
              </w:rPr>
            </w:pPr>
            <w:r w:rsidRPr="002E14F6">
              <w:rPr>
                <w:lang w:val="en-AU"/>
              </w:rPr>
              <w:t>Relative risk (95% CI)</w:t>
            </w:r>
          </w:p>
        </w:tc>
        <w:tc>
          <w:tcPr>
            <w:tcW w:w="1491" w:type="dxa"/>
            <w:vAlign w:val="center"/>
          </w:tcPr>
          <w:p w14:paraId="67FA4793" w14:textId="77777777" w:rsidR="00BD5465" w:rsidRPr="002E14F6" w:rsidRDefault="00BD5465" w:rsidP="005F1ABD">
            <w:pPr>
              <w:pStyle w:val="COMTableheadingrow"/>
              <w:jc w:val="center"/>
              <w:rPr>
                <w:vertAlign w:val="superscript"/>
                <w:lang w:val="en-AU"/>
              </w:rPr>
            </w:pPr>
            <w:r w:rsidRPr="002E14F6">
              <w:rPr>
                <w:lang w:val="en-AU"/>
              </w:rPr>
              <w:t xml:space="preserve">NNT </w:t>
            </w:r>
            <w:r w:rsidRPr="002E14F6">
              <w:rPr>
                <w:vertAlign w:val="superscript"/>
                <w:lang w:val="en-AU"/>
              </w:rPr>
              <w:t>b</w:t>
            </w:r>
          </w:p>
        </w:tc>
      </w:tr>
      <w:tr w:rsidR="00BD5465" w:rsidRPr="002E14F6" w14:paraId="29CA67E9" w14:textId="77777777" w:rsidTr="005F1ABD">
        <w:tc>
          <w:tcPr>
            <w:tcW w:w="9017" w:type="dxa"/>
            <w:gridSpan w:val="6"/>
          </w:tcPr>
          <w:p w14:paraId="0ABDAE0A" w14:textId="77777777" w:rsidR="00BD5465" w:rsidRPr="002E14F6" w:rsidRDefault="00BD5465" w:rsidP="005F1ABD">
            <w:pPr>
              <w:pStyle w:val="COMTableheadingrow"/>
              <w:rPr>
                <w:lang w:val="en-AU"/>
              </w:rPr>
            </w:pPr>
            <w:r w:rsidRPr="002E14F6">
              <w:rPr>
                <w:lang w:val="en-AU"/>
              </w:rPr>
              <w:t>Incidence of new vertebral fracture (radiographic), n/N (%)</w:t>
            </w:r>
          </w:p>
        </w:tc>
      </w:tr>
      <w:tr w:rsidR="00BD5465" w:rsidRPr="002E14F6" w14:paraId="16FFA1F0" w14:textId="77777777" w:rsidTr="005F1ABD">
        <w:tc>
          <w:tcPr>
            <w:tcW w:w="1297" w:type="dxa"/>
            <w:vMerge w:val="restart"/>
            <w:vAlign w:val="center"/>
          </w:tcPr>
          <w:p w14:paraId="55012AE9" w14:textId="77777777" w:rsidR="00BD5465" w:rsidRPr="002E14F6" w:rsidRDefault="00BD5465" w:rsidP="005F1ABD">
            <w:pPr>
              <w:pStyle w:val="COMTabletext"/>
            </w:pPr>
            <w:r w:rsidRPr="002E14F6">
              <w:t>Cumulative to 1 year</w:t>
            </w:r>
          </w:p>
        </w:tc>
        <w:tc>
          <w:tcPr>
            <w:tcW w:w="1176" w:type="dxa"/>
            <w:vAlign w:val="center"/>
          </w:tcPr>
          <w:p w14:paraId="28D8219C" w14:textId="77777777" w:rsidR="00BD5465" w:rsidRPr="002E14F6" w:rsidRDefault="00BD5465" w:rsidP="005F1ABD">
            <w:pPr>
              <w:pStyle w:val="COMTabletext"/>
            </w:pPr>
            <w:r w:rsidRPr="002E14F6">
              <w:t>VERT-MN</w:t>
            </w:r>
          </w:p>
        </w:tc>
        <w:tc>
          <w:tcPr>
            <w:tcW w:w="1596" w:type="dxa"/>
            <w:vAlign w:val="center"/>
          </w:tcPr>
          <w:p w14:paraId="068E25E8" w14:textId="77777777" w:rsidR="00BD5465" w:rsidRPr="002E14F6" w:rsidRDefault="00BD5465" w:rsidP="005F1ABD">
            <w:pPr>
              <w:pStyle w:val="COMTabletext"/>
              <w:jc w:val="center"/>
            </w:pPr>
            <w:r w:rsidRPr="002E14F6">
              <w:t>19/333 (5.6)</w:t>
            </w:r>
          </w:p>
        </w:tc>
        <w:tc>
          <w:tcPr>
            <w:tcW w:w="1609" w:type="dxa"/>
            <w:vAlign w:val="center"/>
          </w:tcPr>
          <w:p w14:paraId="1650ECA8" w14:textId="77777777" w:rsidR="00BD5465" w:rsidRPr="002E14F6" w:rsidRDefault="00BD5465" w:rsidP="005F1ABD">
            <w:pPr>
              <w:pStyle w:val="COMTabletext"/>
              <w:jc w:val="center"/>
            </w:pPr>
            <w:r w:rsidRPr="002E14F6">
              <w:t>45/334 (13.0)</w:t>
            </w:r>
          </w:p>
        </w:tc>
        <w:tc>
          <w:tcPr>
            <w:tcW w:w="1848" w:type="dxa"/>
            <w:vAlign w:val="center"/>
          </w:tcPr>
          <w:p w14:paraId="3993A56D" w14:textId="77777777" w:rsidR="00BD5465" w:rsidRPr="002E14F6" w:rsidRDefault="00BD5465" w:rsidP="005F1ABD">
            <w:pPr>
              <w:pStyle w:val="COMTabletext"/>
              <w:jc w:val="center"/>
            </w:pPr>
            <w:r w:rsidRPr="002E14F6">
              <w:t>0.39 (0.22, 0.68)</w:t>
            </w:r>
          </w:p>
        </w:tc>
        <w:tc>
          <w:tcPr>
            <w:tcW w:w="1491" w:type="dxa"/>
            <w:vAlign w:val="center"/>
          </w:tcPr>
          <w:p w14:paraId="703E0982" w14:textId="77777777" w:rsidR="00BD5465" w:rsidRPr="00893772" w:rsidRDefault="00BD5465" w:rsidP="005F1ABD">
            <w:pPr>
              <w:pStyle w:val="COMTabletext"/>
              <w:jc w:val="center"/>
            </w:pPr>
            <w:r w:rsidRPr="00893772">
              <w:t>14</w:t>
            </w:r>
          </w:p>
        </w:tc>
      </w:tr>
      <w:tr w:rsidR="00BD5465" w:rsidRPr="002E14F6" w14:paraId="2860FCBA" w14:textId="77777777" w:rsidTr="005F1ABD">
        <w:tc>
          <w:tcPr>
            <w:tcW w:w="1297" w:type="dxa"/>
            <w:vMerge/>
            <w:vAlign w:val="center"/>
          </w:tcPr>
          <w:p w14:paraId="67F42244" w14:textId="77777777" w:rsidR="00BD5465" w:rsidRPr="002E14F6" w:rsidRDefault="00BD5465" w:rsidP="005F1ABD">
            <w:pPr>
              <w:pStyle w:val="COMTabletext"/>
            </w:pPr>
          </w:p>
        </w:tc>
        <w:tc>
          <w:tcPr>
            <w:tcW w:w="1176" w:type="dxa"/>
            <w:vAlign w:val="center"/>
          </w:tcPr>
          <w:p w14:paraId="1BD37FBE" w14:textId="77777777" w:rsidR="00BD5465" w:rsidRPr="002E14F6" w:rsidRDefault="00BD5465" w:rsidP="005F1ABD">
            <w:pPr>
              <w:pStyle w:val="COMTabletext"/>
            </w:pPr>
            <w:r w:rsidRPr="002E14F6">
              <w:t>VERT-NA</w:t>
            </w:r>
          </w:p>
        </w:tc>
        <w:tc>
          <w:tcPr>
            <w:tcW w:w="1596" w:type="dxa"/>
            <w:vAlign w:val="center"/>
          </w:tcPr>
          <w:p w14:paraId="1BD86B3A" w14:textId="77777777" w:rsidR="00BD5465" w:rsidRPr="002E14F6" w:rsidRDefault="00BD5465" w:rsidP="005F1ABD">
            <w:pPr>
              <w:pStyle w:val="COMTabletext"/>
              <w:jc w:val="center"/>
            </w:pPr>
            <w:r w:rsidRPr="002E14F6">
              <w:t>16/669 (2.4)</w:t>
            </w:r>
          </w:p>
        </w:tc>
        <w:tc>
          <w:tcPr>
            <w:tcW w:w="1609" w:type="dxa"/>
            <w:vAlign w:val="center"/>
          </w:tcPr>
          <w:p w14:paraId="58964352" w14:textId="77777777" w:rsidR="00BD5465" w:rsidRPr="002E14F6" w:rsidRDefault="00BD5465" w:rsidP="005F1ABD">
            <w:pPr>
              <w:pStyle w:val="COMTabletext"/>
              <w:jc w:val="center"/>
            </w:pPr>
            <w:r w:rsidRPr="002E14F6">
              <w:t>42/660 (6.4)</w:t>
            </w:r>
          </w:p>
        </w:tc>
        <w:tc>
          <w:tcPr>
            <w:tcW w:w="1848" w:type="dxa"/>
            <w:vAlign w:val="center"/>
          </w:tcPr>
          <w:p w14:paraId="17A183EC" w14:textId="77777777" w:rsidR="00BD5465" w:rsidRPr="002E14F6" w:rsidRDefault="00BD5465" w:rsidP="005F1ABD">
            <w:pPr>
              <w:pStyle w:val="COMTabletext"/>
              <w:jc w:val="center"/>
            </w:pPr>
            <w:r w:rsidRPr="002E14F6">
              <w:t>0.35 (0.19, 0.62)</w:t>
            </w:r>
          </w:p>
        </w:tc>
        <w:tc>
          <w:tcPr>
            <w:tcW w:w="1491" w:type="dxa"/>
            <w:vAlign w:val="center"/>
          </w:tcPr>
          <w:p w14:paraId="2A4EB420" w14:textId="77777777" w:rsidR="00BD5465" w:rsidRPr="00893772" w:rsidRDefault="00BD5465" w:rsidP="005F1ABD">
            <w:pPr>
              <w:pStyle w:val="COMTabletext"/>
              <w:jc w:val="center"/>
            </w:pPr>
            <w:r w:rsidRPr="00893772">
              <w:t>25</w:t>
            </w:r>
          </w:p>
        </w:tc>
      </w:tr>
      <w:tr w:rsidR="00BD5465" w:rsidRPr="002E14F6" w14:paraId="0DE8D83E" w14:textId="77777777" w:rsidTr="005F1ABD">
        <w:tc>
          <w:tcPr>
            <w:tcW w:w="1297" w:type="dxa"/>
            <w:vAlign w:val="center"/>
          </w:tcPr>
          <w:p w14:paraId="2BCC41E4" w14:textId="77777777" w:rsidR="00BD5465" w:rsidRPr="002E14F6" w:rsidRDefault="00BD5465" w:rsidP="005F1ABD">
            <w:pPr>
              <w:pStyle w:val="COMTabletext"/>
            </w:pPr>
            <w:r w:rsidRPr="002E14F6">
              <w:t>Cumulative to 2 years</w:t>
            </w:r>
          </w:p>
        </w:tc>
        <w:tc>
          <w:tcPr>
            <w:tcW w:w="1176" w:type="dxa"/>
            <w:vAlign w:val="center"/>
          </w:tcPr>
          <w:p w14:paraId="560884E5" w14:textId="77777777" w:rsidR="00BD5465" w:rsidRPr="002E14F6" w:rsidRDefault="00BD5465" w:rsidP="005F1ABD">
            <w:pPr>
              <w:pStyle w:val="COMTabletext"/>
              <w:rPr>
                <w:vertAlign w:val="superscript"/>
              </w:rPr>
            </w:pPr>
            <w:r w:rsidRPr="002E14F6">
              <w:t xml:space="preserve">BMD-MN </w:t>
            </w:r>
            <w:r w:rsidRPr="002E14F6">
              <w:rPr>
                <w:vertAlign w:val="superscript"/>
              </w:rPr>
              <w:t>c</w:t>
            </w:r>
          </w:p>
        </w:tc>
        <w:tc>
          <w:tcPr>
            <w:tcW w:w="1596" w:type="dxa"/>
            <w:vAlign w:val="center"/>
          </w:tcPr>
          <w:p w14:paraId="1FDF2075" w14:textId="77777777" w:rsidR="00BD5465" w:rsidRPr="002E14F6" w:rsidRDefault="00BD5465" w:rsidP="005F1ABD">
            <w:pPr>
              <w:pStyle w:val="COMTabletext"/>
              <w:jc w:val="center"/>
            </w:pPr>
            <w:r w:rsidRPr="002E14F6">
              <w:t>8/112 (7)</w:t>
            </w:r>
          </w:p>
        </w:tc>
        <w:tc>
          <w:tcPr>
            <w:tcW w:w="1609" w:type="dxa"/>
            <w:vAlign w:val="center"/>
          </w:tcPr>
          <w:p w14:paraId="4DECE51F" w14:textId="77777777" w:rsidR="00BD5465" w:rsidRPr="002E14F6" w:rsidRDefault="00BD5465" w:rsidP="005F1ABD">
            <w:pPr>
              <w:pStyle w:val="COMTabletext"/>
              <w:jc w:val="center"/>
            </w:pPr>
            <w:r w:rsidRPr="002E14F6">
              <w:t>17/125 (14)</w:t>
            </w:r>
          </w:p>
        </w:tc>
        <w:tc>
          <w:tcPr>
            <w:tcW w:w="1848" w:type="dxa"/>
            <w:vAlign w:val="center"/>
          </w:tcPr>
          <w:p w14:paraId="141EAE15" w14:textId="77777777" w:rsidR="00BD5465" w:rsidRPr="002E14F6" w:rsidRDefault="00BD5465" w:rsidP="005F1ABD">
            <w:pPr>
              <w:pStyle w:val="COMTabletext"/>
              <w:jc w:val="center"/>
            </w:pPr>
            <w:r w:rsidRPr="002E14F6">
              <w:t>NE</w:t>
            </w:r>
          </w:p>
        </w:tc>
        <w:tc>
          <w:tcPr>
            <w:tcW w:w="1491" w:type="dxa"/>
            <w:vAlign w:val="center"/>
          </w:tcPr>
          <w:p w14:paraId="78090A9B" w14:textId="77777777" w:rsidR="00BD5465" w:rsidRPr="00893772" w:rsidRDefault="00BD5465" w:rsidP="005F1ABD">
            <w:pPr>
              <w:pStyle w:val="COMTabletext"/>
              <w:jc w:val="center"/>
            </w:pPr>
            <w:r w:rsidRPr="00893772">
              <w:t>15</w:t>
            </w:r>
          </w:p>
        </w:tc>
      </w:tr>
      <w:tr w:rsidR="00BD5465" w:rsidRPr="002E14F6" w14:paraId="5642B0D8" w14:textId="77777777" w:rsidTr="005F1ABD">
        <w:tc>
          <w:tcPr>
            <w:tcW w:w="1297" w:type="dxa"/>
            <w:vMerge w:val="restart"/>
            <w:vAlign w:val="center"/>
          </w:tcPr>
          <w:p w14:paraId="38BC86C9" w14:textId="77777777" w:rsidR="00BD5465" w:rsidRPr="002E14F6" w:rsidRDefault="00BD5465" w:rsidP="005F1ABD">
            <w:pPr>
              <w:pStyle w:val="COMTabletext"/>
            </w:pPr>
            <w:r w:rsidRPr="002E14F6">
              <w:t>Cumulative to 3 years</w:t>
            </w:r>
          </w:p>
        </w:tc>
        <w:tc>
          <w:tcPr>
            <w:tcW w:w="1176" w:type="dxa"/>
            <w:vAlign w:val="center"/>
          </w:tcPr>
          <w:p w14:paraId="338B92B4" w14:textId="77777777" w:rsidR="00BD5465" w:rsidRPr="002E14F6" w:rsidRDefault="00BD5465" w:rsidP="005F1ABD">
            <w:pPr>
              <w:pStyle w:val="COMTabletext"/>
            </w:pPr>
            <w:r w:rsidRPr="002E14F6">
              <w:t>VERT-MN</w:t>
            </w:r>
          </w:p>
        </w:tc>
        <w:tc>
          <w:tcPr>
            <w:tcW w:w="1596" w:type="dxa"/>
            <w:vAlign w:val="center"/>
          </w:tcPr>
          <w:p w14:paraId="0C87DA63" w14:textId="77777777" w:rsidR="00BD5465" w:rsidRPr="002E14F6" w:rsidRDefault="00BD5465" w:rsidP="005F1ABD">
            <w:pPr>
              <w:pStyle w:val="COMTabletext"/>
              <w:jc w:val="center"/>
            </w:pPr>
            <w:r w:rsidRPr="002E14F6">
              <w:t>53/344 (18.1)</w:t>
            </w:r>
          </w:p>
        </w:tc>
        <w:tc>
          <w:tcPr>
            <w:tcW w:w="1609" w:type="dxa"/>
            <w:vAlign w:val="center"/>
          </w:tcPr>
          <w:p w14:paraId="52D1B705" w14:textId="77777777" w:rsidR="00BD5465" w:rsidRPr="002E14F6" w:rsidRDefault="00BD5465" w:rsidP="005F1ABD">
            <w:pPr>
              <w:pStyle w:val="COMTabletext"/>
              <w:jc w:val="center"/>
            </w:pPr>
            <w:r w:rsidRPr="002E14F6">
              <w:t>89/346 (29.0)</w:t>
            </w:r>
          </w:p>
        </w:tc>
        <w:tc>
          <w:tcPr>
            <w:tcW w:w="1848" w:type="dxa"/>
            <w:vAlign w:val="center"/>
          </w:tcPr>
          <w:p w14:paraId="5267175A" w14:textId="77777777" w:rsidR="00BD5465" w:rsidRPr="002E14F6" w:rsidRDefault="00BD5465" w:rsidP="005F1ABD">
            <w:pPr>
              <w:pStyle w:val="COMTabletext"/>
              <w:jc w:val="center"/>
              <w:rPr>
                <w:b/>
                <w:bCs w:val="0"/>
              </w:rPr>
            </w:pPr>
            <w:r w:rsidRPr="002E14F6">
              <w:rPr>
                <w:b/>
                <w:bCs w:val="0"/>
              </w:rPr>
              <w:t>0.51 (0.36, 0.73)</w:t>
            </w:r>
          </w:p>
        </w:tc>
        <w:tc>
          <w:tcPr>
            <w:tcW w:w="1491" w:type="dxa"/>
            <w:vAlign w:val="center"/>
          </w:tcPr>
          <w:p w14:paraId="57F7BE0C" w14:textId="77777777" w:rsidR="00BD5465" w:rsidRPr="00893772" w:rsidRDefault="00BD5465" w:rsidP="005F1ABD">
            <w:pPr>
              <w:pStyle w:val="COMTabletext"/>
              <w:jc w:val="center"/>
            </w:pPr>
            <w:r w:rsidRPr="00893772">
              <w:t>10</w:t>
            </w:r>
          </w:p>
        </w:tc>
      </w:tr>
      <w:tr w:rsidR="00BD5465" w:rsidRPr="002E14F6" w14:paraId="79708C39" w14:textId="77777777" w:rsidTr="005F1ABD">
        <w:tc>
          <w:tcPr>
            <w:tcW w:w="1297" w:type="dxa"/>
            <w:vMerge/>
          </w:tcPr>
          <w:p w14:paraId="57872A2E" w14:textId="77777777" w:rsidR="00BD5465" w:rsidRPr="002E14F6" w:rsidRDefault="00BD5465" w:rsidP="005F1ABD">
            <w:pPr>
              <w:pStyle w:val="COMTabletext"/>
            </w:pPr>
          </w:p>
        </w:tc>
        <w:tc>
          <w:tcPr>
            <w:tcW w:w="1176" w:type="dxa"/>
            <w:vAlign w:val="center"/>
          </w:tcPr>
          <w:p w14:paraId="776A0D23" w14:textId="77777777" w:rsidR="00BD5465" w:rsidRPr="002E14F6" w:rsidRDefault="00BD5465" w:rsidP="005F1ABD">
            <w:pPr>
              <w:pStyle w:val="COMTabletext"/>
            </w:pPr>
            <w:r w:rsidRPr="002E14F6">
              <w:t>VERT-NA</w:t>
            </w:r>
          </w:p>
        </w:tc>
        <w:tc>
          <w:tcPr>
            <w:tcW w:w="1596" w:type="dxa"/>
            <w:vAlign w:val="center"/>
          </w:tcPr>
          <w:p w14:paraId="3A86DD2B" w14:textId="77777777" w:rsidR="00BD5465" w:rsidRPr="002E14F6" w:rsidRDefault="00BD5465" w:rsidP="005F1ABD">
            <w:pPr>
              <w:pStyle w:val="COMTabletext"/>
              <w:jc w:val="center"/>
            </w:pPr>
            <w:r w:rsidRPr="002E14F6">
              <w:t>61/696 (11.3)</w:t>
            </w:r>
          </w:p>
        </w:tc>
        <w:tc>
          <w:tcPr>
            <w:tcW w:w="1609" w:type="dxa"/>
            <w:vAlign w:val="center"/>
          </w:tcPr>
          <w:p w14:paraId="62DF925C" w14:textId="77777777" w:rsidR="00BD5465" w:rsidRPr="002E14F6" w:rsidRDefault="00BD5465" w:rsidP="005F1ABD">
            <w:pPr>
              <w:pStyle w:val="COMTabletext"/>
              <w:jc w:val="center"/>
            </w:pPr>
            <w:r w:rsidRPr="002E14F6">
              <w:t>93/678 (16.3)</w:t>
            </w:r>
          </w:p>
        </w:tc>
        <w:tc>
          <w:tcPr>
            <w:tcW w:w="1848" w:type="dxa"/>
            <w:vAlign w:val="center"/>
          </w:tcPr>
          <w:p w14:paraId="35FEC829" w14:textId="77777777" w:rsidR="00BD5465" w:rsidRPr="002E14F6" w:rsidRDefault="00BD5465" w:rsidP="005F1ABD">
            <w:pPr>
              <w:pStyle w:val="COMTabletext"/>
              <w:jc w:val="center"/>
              <w:rPr>
                <w:b/>
                <w:bCs w:val="0"/>
              </w:rPr>
            </w:pPr>
            <w:r w:rsidRPr="002E14F6">
              <w:rPr>
                <w:b/>
                <w:bCs w:val="0"/>
              </w:rPr>
              <w:t>0.59 (0.43, 0.82)</w:t>
            </w:r>
          </w:p>
        </w:tc>
        <w:tc>
          <w:tcPr>
            <w:tcW w:w="1491" w:type="dxa"/>
            <w:vAlign w:val="center"/>
          </w:tcPr>
          <w:p w14:paraId="0A51A696" w14:textId="77777777" w:rsidR="00BD5465" w:rsidRPr="00893772" w:rsidRDefault="00BD5465" w:rsidP="005F1ABD">
            <w:pPr>
              <w:pStyle w:val="COMTabletext"/>
              <w:jc w:val="center"/>
            </w:pPr>
            <w:r w:rsidRPr="00893772">
              <w:t>20</w:t>
            </w:r>
          </w:p>
        </w:tc>
      </w:tr>
      <w:tr w:rsidR="00BD5465" w:rsidRPr="002E14F6" w14:paraId="0A63BCF2" w14:textId="77777777" w:rsidTr="005F1ABD">
        <w:tc>
          <w:tcPr>
            <w:tcW w:w="9017" w:type="dxa"/>
            <w:gridSpan w:val="6"/>
          </w:tcPr>
          <w:p w14:paraId="6DC06EB3" w14:textId="77777777" w:rsidR="00BD5465" w:rsidRPr="002E14F6" w:rsidRDefault="00BD5465" w:rsidP="005F1ABD">
            <w:pPr>
              <w:pStyle w:val="COMTableheadingrow"/>
              <w:rPr>
                <w:lang w:val="en-AU"/>
              </w:rPr>
            </w:pPr>
            <w:r w:rsidRPr="002E14F6">
              <w:rPr>
                <w:lang w:val="en-AU"/>
              </w:rPr>
              <w:t>Incidence of nonvertebral fracture (radiographically confirmed clinical fractures of the clavicle, humerus, wrist, pelvis, hip or leg), n/N (%)</w:t>
            </w:r>
          </w:p>
        </w:tc>
      </w:tr>
      <w:tr w:rsidR="00BD5465" w:rsidRPr="002E14F6" w14:paraId="74C2DD02" w14:textId="77777777" w:rsidTr="005F1ABD">
        <w:tc>
          <w:tcPr>
            <w:tcW w:w="1297" w:type="dxa"/>
            <w:vAlign w:val="center"/>
          </w:tcPr>
          <w:p w14:paraId="2F544364" w14:textId="77777777" w:rsidR="00BD5465" w:rsidRPr="002E14F6" w:rsidRDefault="00BD5465" w:rsidP="005F1ABD">
            <w:pPr>
              <w:pStyle w:val="COMTabletext"/>
            </w:pPr>
            <w:r w:rsidRPr="002E14F6">
              <w:t>Cumulative to 2 years</w:t>
            </w:r>
          </w:p>
        </w:tc>
        <w:tc>
          <w:tcPr>
            <w:tcW w:w="1176" w:type="dxa"/>
            <w:vAlign w:val="center"/>
          </w:tcPr>
          <w:p w14:paraId="4EAA2500" w14:textId="77777777" w:rsidR="00BD5465" w:rsidRPr="002E14F6" w:rsidRDefault="00BD5465" w:rsidP="005F1ABD">
            <w:pPr>
              <w:pStyle w:val="COMTabletext"/>
              <w:rPr>
                <w:vertAlign w:val="superscript"/>
              </w:rPr>
            </w:pPr>
            <w:r w:rsidRPr="002E14F6">
              <w:t xml:space="preserve">BMD-MN </w:t>
            </w:r>
            <w:r w:rsidRPr="002E14F6">
              <w:rPr>
                <w:vertAlign w:val="superscript"/>
              </w:rPr>
              <w:t>c</w:t>
            </w:r>
          </w:p>
        </w:tc>
        <w:tc>
          <w:tcPr>
            <w:tcW w:w="1596" w:type="dxa"/>
            <w:vAlign w:val="center"/>
          </w:tcPr>
          <w:p w14:paraId="705A4A63" w14:textId="77777777" w:rsidR="00BD5465" w:rsidRPr="002E14F6" w:rsidRDefault="00BD5465" w:rsidP="005F1ABD">
            <w:pPr>
              <w:pStyle w:val="COMTabletext"/>
              <w:jc w:val="center"/>
            </w:pPr>
            <w:r w:rsidRPr="002E14F6">
              <w:t>7/140 (5)</w:t>
            </w:r>
          </w:p>
        </w:tc>
        <w:tc>
          <w:tcPr>
            <w:tcW w:w="1609" w:type="dxa"/>
            <w:vAlign w:val="center"/>
          </w:tcPr>
          <w:p w14:paraId="52E4AC8D" w14:textId="77777777" w:rsidR="00BD5465" w:rsidRPr="002E14F6" w:rsidRDefault="00BD5465" w:rsidP="005F1ABD">
            <w:pPr>
              <w:pStyle w:val="COMTabletext"/>
              <w:jc w:val="center"/>
            </w:pPr>
            <w:r w:rsidRPr="002E14F6">
              <w:t>13/145 (9)</w:t>
            </w:r>
          </w:p>
        </w:tc>
        <w:tc>
          <w:tcPr>
            <w:tcW w:w="1848" w:type="dxa"/>
            <w:vAlign w:val="center"/>
          </w:tcPr>
          <w:p w14:paraId="29BC8F57" w14:textId="77777777" w:rsidR="00BD5465" w:rsidRPr="002E14F6" w:rsidRDefault="00BD5465" w:rsidP="005F1ABD">
            <w:pPr>
              <w:pStyle w:val="COMTabletext"/>
              <w:jc w:val="center"/>
            </w:pPr>
            <w:r w:rsidRPr="002E14F6">
              <w:t>NE</w:t>
            </w:r>
          </w:p>
        </w:tc>
        <w:tc>
          <w:tcPr>
            <w:tcW w:w="1491" w:type="dxa"/>
            <w:vAlign w:val="center"/>
          </w:tcPr>
          <w:p w14:paraId="41D3C895" w14:textId="77777777" w:rsidR="00BD5465" w:rsidRPr="00893772" w:rsidRDefault="00BD5465" w:rsidP="005F1ABD">
            <w:pPr>
              <w:pStyle w:val="COMTabletext"/>
              <w:jc w:val="center"/>
            </w:pPr>
            <w:r w:rsidRPr="00893772">
              <w:t>25</w:t>
            </w:r>
          </w:p>
        </w:tc>
      </w:tr>
      <w:tr w:rsidR="00BD5465" w:rsidRPr="002E14F6" w14:paraId="585598E4" w14:textId="77777777" w:rsidTr="005F1ABD">
        <w:tc>
          <w:tcPr>
            <w:tcW w:w="1297" w:type="dxa"/>
            <w:vMerge w:val="restart"/>
            <w:vAlign w:val="center"/>
          </w:tcPr>
          <w:p w14:paraId="72A5909B" w14:textId="77777777" w:rsidR="00BD5465" w:rsidRPr="002E14F6" w:rsidRDefault="00BD5465" w:rsidP="005F1ABD">
            <w:pPr>
              <w:pStyle w:val="COMTabletext"/>
            </w:pPr>
            <w:r w:rsidRPr="002E14F6">
              <w:t>Cumulative to 3 years</w:t>
            </w:r>
          </w:p>
        </w:tc>
        <w:tc>
          <w:tcPr>
            <w:tcW w:w="1176" w:type="dxa"/>
            <w:vAlign w:val="center"/>
          </w:tcPr>
          <w:p w14:paraId="54A98650" w14:textId="77777777" w:rsidR="00BD5465" w:rsidRPr="002E14F6" w:rsidRDefault="00BD5465" w:rsidP="005F1ABD">
            <w:pPr>
              <w:pStyle w:val="COMTabletext"/>
            </w:pPr>
            <w:r w:rsidRPr="002E14F6">
              <w:t xml:space="preserve">HIP </w:t>
            </w:r>
            <w:r w:rsidRPr="002E14F6">
              <w:rPr>
                <w:vertAlign w:val="superscript"/>
              </w:rPr>
              <w:t>d</w:t>
            </w:r>
          </w:p>
        </w:tc>
        <w:tc>
          <w:tcPr>
            <w:tcW w:w="1596" w:type="dxa"/>
            <w:vAlign w:val="center"/>
          </w:tcPr>
          <w:p w14:paraId="06929C95" w14:textId="77777777" w:rsidR="00BD5465" w:rsidRPr="002E14F6" w:rsidRDefault="00BD5465" w:rsidP="005F1ABD">
            <w:pPr>
              <w:pStyle w:val="COMTabletext"/>
              <w:jc w:val="center"/>
            </w:pPr>
            <w:r w:rsidRPr="002E14F6">
              <w:t>9.4%</w:t>
            </w:r>
          </w:p>
        </w:tc>
        <w:tc>
          <w:tcPr>
            <w:tcW w:w="1609" w:type="dxa"/>
            <w:vAlign w:val="center"/>
          </w:tcPr>
          <w:p w14:paraId="418DBAB9" w14:textId="77777777" w:rsidR="00BD5465" w:rsidRPr="002E14F6" w:rsidRDefault="00BD5465" w:rsidP="005F1ABD">
            <w:pPr>
              <w:pStyle w:val="COMTabletext"/>
              <w:jc w:val="center"/>
            </w:pPr>
            <w:r w:rsidRPr="002E14F6">
              <w:t>11.2%</w:t>
            </w:r>
          </w:p>
        </w:tc>
        <w:tc>
          <w:tcPr>
            <w:tcW w:w="1848" w:type="dxa"/>
            <w:vAlign w:val="center"/>
          </w:tcPr>
          <w:p w14:paraId="754126B1" w14:textId="77777777" w:rsidR="00BD5465" w:rsidRPr="002E14F6" w:rsidRDefault="00BD5465" w:rsidP="005F1ABD">
            <w:pPr>
              <w:pStyle w:val="COMTabletext"/>
              <w:jc w:val="center"/>
            </w:pPr>
            <w:r w:rsidRPr="002E14F6">
              <w:t>0.8 (0.7, 1.0)</w:t>
            </w:r>
          </w:p>
        </w:tc>
        <w:tc>
          <w:tcPr>
            <w:tcW w:w="1491" w:type="dxa"/>
            <w:vAlign w:val="center"/>
          </w:tcPr>
          <w:p w14:paraId="5F764C2F" w14:textId="77777777" w:rsidR="00BD5465" w:rsidRPr="00893772" w:rsidRDefault="00BD5465" w:rsidP="005F1ABD">
            <w:pPr>
              <w:pStyle w:val="COMTabletext"/>
              <w:jc w:val="center"/>
            </w:pPr>
            <w:r w:rsidRPr="00893772">
              <w:t>56</w:t>
            </w:r>
          </w:p>
        </w:tc>
      </w:tr>
      <w:tr w:rsidR="00BD5465" w:rsidRPr="002E14F6" w14:paraId="3E59DDD0" w14:textId="77777777" w:rsidTr="005F1ABD">
        <w:tc>
          <w:tcPr>
            <w:tcW w:w="1297" w:type="dxa"/>
            <w:vMerge/>
          </w:tcPr>
          <w:p w14:paraId="66D7394B" w14:textId="77777777" w:rsidR="00BD5465" w:rsidRPr="002E14F6" w:rsidRDefault="00BD5465" w:rsidP="005F1ABD">
            <w:pPr>
              <w:pStyle w:val="COMTabletext"/>
            </w:pPr>
          </w:p>
        </w:tc>
        <w:tc>
          <w:tcPr>
            <w:tcW w:w="1176" w:type="dxa"/>
            <w:vAlign w:val="center"/>
          </w:tcPr>
          <w:p w14:paraId="69BDE39C" w14:textId="77777777" w:rsidR="00BD5465" w:rsidRPr="002E14F6" w:rsidRDefault="00BD5465" w:rsidP="005F1ABD">
            <w:pPr>
              <w:pStyle w:val="COMTabletext"/>
            </w:pPr>
            <w:r w:rsidRPr="002E14F6">
              <w:t>VERT-MN</w:t>
            </w:r>
          </w:p>
        </w:tc>
        <w:tc>
          <w:tcPr>
            <w:tcW w:w="1596" w:type="dxa"/>
            <w:vAlign w:val="center"/>
          </w:tcPr>
          <w:p w14:paraId="34D1D10F" w14:textId="77777777" w:rsidR="00BD5465" w:rsidRPr="002E14F6" w:rsidRDefault="00BD5465" w:rsidP="005F1ABD">
            <w:pPr>
              <w:pStyle w:val="COMTabletext"/>
              <w:jc w:val="center"/>
            </w:pPr>
            <w:r w:rsidRPr="002E14F6">
              <w:t>36/406 (10.9)</w:t>
            </w:r>
          </w:p>
        </w:tc>
        <w:tc>
          <w:tcPr>
            <w:tcW w:w="1609" w:type="dxa"/>
            <w:vAlign w:val="center"/>
          </w:tcPr>
          <w:p w14:paraId="704DE9D0" w14:textId="77777777" w:rsidR="00BD5465" w:rsidRPr="002E14F6" w:rsidRDefault="00BD5465" w:rsidP="005F1ABD">
            <w:pPr>
              <w:pStyle w:val="COMTabletext"/>
              <w:jc w:val="center"/>
            </w:pPr>
            <w:r w:rsidRPr="002E14F6">
              <w:t>51/406 (16.0)</w:t>
            </w:r>
          </w:p>
        </w:tc>
        <w:tc>
          <w:tcPr>
            <w:tcW w:w="1848" w:type="dxa"/>
            <w:vAlign w:val="center"/>
          </w:tcPr>
          <w:p w14:paraId="780FC7B2" w14:textId="77777777" w:rsidR="00BD5465" w:rsidRPr="002E14F6" w:rsidRDefault="00BD5465" w:rsidP="005F1ABD">
            <w:pPr>
              <w:pStyle w:val="COMTabletext"/>
              <w:jc w:val="center"/>
            </w:pPr>
            <w:r w:rsidRPr="002E14F6">
              <w:t>0.67 (0.44, 1.04)</w:t>
            </w:r>
          </w:p>
        </w:tc>
        <w:tc>
          <w:tcPr>
            <w:tcW w:w="1491" w:type="dxa"/>
            <w:vAlign w:val="center"/>
          </w:tcPr>
          <w:p w14:paraId="106CF0AD" w14:textId="77777777" w:rsidR="00BD5465" w:rsidRPr="00893772" w:rsidRDefault="00BD5465" w:rsidP="005F1ABD">
            <w:pPr>
              <w:pStyle w:val="COMTabletext"/>
              <w:jc w:val="center"/>
            </w:pPr>
            <w:r w:rsidRPr="00893772">
              <w:t>20</w:t>
            </w:r>
          </w:p>
        </w:tc>
      </w:tr>
      <w:tr w:rsidR="00BD5465" w:rsidRPr="002E14F6" w14:paraId="6A1D775F" w14:textId="77777777" w:rsidTr="005F1ABD">
        <w:tc>
          <w:tcPr>
            <w:tcW w:w="1297" w:type="dxa"/>
            <w:vMerge/>
          </w:tcPr>
          <w:p w14:paraId="189F3A8C" w14:textId="77777777" w:rsidR="00BD5465" w:rsidRPr="002E14F6" w:rsidRDefault="00BD5465" w:rsidP="005F1ABD">
            <w:pPr>
              <w:pStyle w:val="COMTabletext"/>
            </w:pPr>
          </w:p>
        </w:tc>
        <w:tc>
          <w:tcPr>
            <w:tcW w:w="1176" w:type="dxa"/>
            <w:vAlign w:val="center"/>
          </w:tcPr>
          <w:p w14:paraId="2F95D95D" w14:textId="77777777" w:rsidR="00BD5465" w:rsidRPr="002E14F6" w:rsidRDefault="00BD5465" w:rsidP="005F1ABD">
            <w:pPr>
              <w:pStyle w:val="COMTabletext"/>
            </w:pPr>
            <w:r w:rsidRPr="002E14F6">
              <w:t>VERT-NA</w:t>
            </w:r>
          </w:p>
        </w:tc>
        <w:tc>
          <w:tcPr>
            <w:tcW w:w="1596" w:type="dxa"/>
            <w:vAlign w:val="center"/>
          </w:tcPr>
          <w:p w14:paraId="22C089B9" w14:textId="77777777" w:rsidR="00BD5465" w:rsidRPr="002E14F6" w:rsidRDefault="00BD5465" w:rsidP="005F1ABD">
            <w:pPr>
              <w:pStyle w:val="COMTabletext"/>
              <w:jc w:val="center"/>
            </w:pPr>
            <w:r w:rsidRPr="002E14F6">
              <w:t>33/812 (5.2)</w:t>
            </w:r>
          </w:p>
        </w:tc>
        <w:tc>
          <w:tcPr>
            <w:tcW w:w="1609" w:type="dxa"/>
            <w:vAlign w:val="center"/>
          </w:tcPr>
          <w:p w14:paraId="4F7035E1" w14:textId="77777777" w:rsidR="00BD5465" w:rsidRPr="002E14F6" w:rsidRDefault="00BD5465" w:rsidP="005F1ABD">
            <w:pPr>
              <w:pStyle w:val="COMTabletext"/>
              <w:jc w:val="center"/>
            </w:pPr>
            <w:r w:rsidRPr="002E14F6">
              <w:t>52/815 (8.4)</w:t>
            </w:r>
          </w:p>
        </w:tc>
        <w:tc>
          <w:tcPr>
            <w:tcW w:w="1848" w:type="dxa"/>
            <w:vAlign w:val="center"/>
          </w:tcPr>
          <w:p w14:paraId="1ECFD102" w14:textId="77777777" w:rsidR="00BD5465" w:rsidRPr="002E14F6" w:rsidRDefault="00BD5465" w:rsidP="005F1ABD">
            <w:pPr>
              <w:pStyle w:val="COMTabletext"/>
              <w:jc w:val="center"/>
            </w:pPr>
            <w:r w:rsidRPr="002E14F6">
              <w:t>0.60 (0.39, 0.94)</w:t>
            </w:r>
          </w:p>
        </w:tc>
        <w:tc>
          <w:tcPr>
            <w:tcW w:w="1491" w:type="dxa"/>
            <w:vAlign w:val="center"/>
          </w:tcPr>
          <w:p w14:paraId="2591EC28" w14:textId="77777777" w:rsidR="00BD5465" w:rsidRPr="00893772" w:rsidRDefault="00BD5465" w:rsidP="005F1ABD">
            <w:pPr>
              <w:pStyle w:val="COMTabletext"/>
              <w:jc w:val="center"/>
            </w:pPr>
            <w:r w:rsidRPr="00893772">
              <w:t>32</w:t>
            </w:r>
          </w:p>
        </w:tc>
      </w:tr>
      <w:tr w:rsidR="00BD5465" w:rsidRPr="002E14F6" w14:paraId="57071AC7" w14:textId="77777777" w:rsidTr="005F1ABD">
        <w:tc>
          <w:tcPr>
            <w:tcW w:w="9017" w:type="dxa"/>
            <w:gridSpan w:val="6"/>
          </w:tcPr>
          <w:p w14:paraId="0779643D" w14:textId="77777777" w:rsidR="00BD5465" w:rsidRPr="00893772" w:rsidRDefault="00BD5465" w:rsidP="005F1ABD">
            <w:pPr>
              <w:pStyle w:val="COMTableheadingrow"/>
              <w:rPr>
                <w:lang w:val="en-AU"/>
              </w:rPr>
            </w:pPr>
            <w:r w:rsidRPr="00893772">
              <w:rPr>
                <w:lang w:val="en-AU"/>
              </w:rPr>
              <w:t>Incidence of hip fracture, n/N (%)</w:t>
            </w:r>
          </w:p>
        </w:tc>
      </w:tr>
      <w:tr w:rsidR="00BD5465" w:rsidRPr="002E14F6" w14:paraId="27B71315" w14:textId="77777777" w:rsidTr="005F1ABD">
        <w:tc>
          <w:tcPr>
            <w:tcW w:w="1297" w:type="dxa"/>
          </w:tcPr>
          <w:p w14:paraId="469B1AFC" w14:textId="77777777" w:rsidR="00BD5465" w:rsidRPr="002E14F6" w:rsidRDefault="00BD5465" w:rsidP="005F1ABD">
            <w:pPr>
              <w:pStyle w:val="COMTabletext"/>
            </w:pPr>
            <w:r w:rsidRPr="002E14F6">
              <w:t>Cumulative to 3 years</w:t>
            </w:r>
          </w:p>
        </w:tc>
        <w:tc>
          <w:tcPr>
            <w:tcW w:w="1176" w:type="dxa"/>
            <w:vAlign w:val="center"/>
          </w:tcPr>
          <w:p w14:paraId="47671574" w14:textId="77777777" w:rsidR="00BD5465" w:rsidRPr="002E14F6" w:rsidRDefault="00BD5465" w:rsidP="005F1ABD">
            <w:pPr>
              <w:pStyle w:val="COMTabletext"/>
            </w:pPr>
            <w:r w:rsidRPr="002E14F6">
              <w:t>HIP</w:t>
            </w:r>
          </w:p>
        </w:tc>
        <w:tc>
          <w:tcPr>
            <w:tcW w:w="1596" w:type="dxa"/>
            <w:vAlign w:val="center"/>
          </w:tcPr>
          <w:p w14:paraId="58AEF029" w14:textId="77777777" w:rsidR="00BD5465" w:rsidRPr="002E14F6" w:rsidRDefault="00BD5465" w:rsidP="005F1ABD">
            <w:pPr>
              <w:pStyle w:val="COMTabletext"/>
              <w:jc w:val="center"/>
            </w:pPr>
            <w:r w:rsidRPr="002E14F6">
              <w:t>137/6,197 (2.8)</w:t>
            </w:r>
          </w:p>
        </w:tc>
        <w:tc>
          <w:tcPr>
            <w:tcW w:w="1609" w:type="dxa"/>
            <w:vAlign w:val="center"/>
          </w:tcPr>
          <w:p w14:paraId="4A4039BF" w14:textId="77777777" w:rsidR="00BD5465" w:rsidRPr="002E14F6" w:rsidRDefault="00BD5465" w:rsidP="005F1ABD">
            <w:pPr>
              <w:pStyle w:val="COMTabletext"/>
              <w:jc w:val="center"/>
            </w:pPr>
            <w:r w:rsidRPr="002E14F6">
              <w:t>95/3,134 (3.9)</w:t>
            </w:r>
          </w:p>
        </w:tc>
        <w:tc>
          <w:tcPr>
            <w:tcW w:w="1848" w:type="dxa"/>
            <w:vAlign w:val="center"/>
          </w:tcPr>
          <w:p w14:paraId="1CF440F6" w14:textId="77777777" w:rsidR="00BD5465" w:rsidRPr="002E14F6" w:rsidRDefault="00BD5465" w:rsidP="005F1ABD">
            <w:pPr>
              <w:pStyle w:val="COMTabletext"/>
              <w:jc w:val="center"/>
              <w:rPr>
                <w:b/>
                <w:bCs w:val="0"/>
              </w:rPr>
            </w:pPr>
            <w:r w:rsidRPr="002E14F6">
              <w:rPr>
                <w:b/>
                <w:bCs w:val="0"/>
              </w:rPr>
              <w:t>0.7 (0.6, 0.9)</w:t>
            </w:r>
          </w:p>
        </w:tc>
        <w:tc>
          <w:tcPr>
            <w:tcW w:w="1491" w:type="dxa"/>
            <w:vAlign w:val="center"/>
          </w:tcPr>
          <w:p w14:paraId="616CD869" w14:textId="77777777" w:rsidR="00BD5465" w:rsidRPr="00893772" w:rsidRDefault="00BD5465" w:rsidP="005F1ABD">
            <w:pPr>
              <w:pStyle w:val="COMTabletext"/>
              <w:jc w:val="center"/>
            </w:pPr>
            <w:r w:rsidRPr="00893772">
              <w:t>91</w:t>
            </w:r>
          </w:p>
        </w:tc>
      </w:tr>
    </w:tbl>
    <w:p w14:paraId="3563C56D" w14:textId="77777777" w:rsidR="00BD5465" w:rsidRPr="002E14F6" w:rsidRDefault="00BD5465" w:rsidP="00BD5465">
      <w:pPr>
        <w:pStyle w:val="COMTablefooter"/>
      </w:pPr>
      <w:r w:rsidRPr="002E14F6">
        <w:t>Source: Sections 2A.5.1.1 and 2A.5.1.2, pp78-82 of the submission and the McClung 2001 publication</w:t>
      </w:r>
    </w:p>
    <w:p w14:paraId="4F99B44C" w14:textId="77777777" w:rsidR="00BD5465" w:rsidRPr="002E14F6" w:rsidRDefault="00BD5465" w:rsidP="00BD5465">
      <w:pPr>
        <w:pStyle w:val="COMTablefooter"/>
      </w:pPr>
      <w:r w:rsidRPr="002E14F6">
        <w:t>Abbreviations: CI, confidence interval; NE, not estimated; NNT, number needed to treat</w:t>
      </w:r>
    </w:p>
    <w:p w14:paraId="56A6AF4F" w14:textId="77777777" w:rsidR="00BD5465" w:rsidRPr="002E14F6" w:rsidRDefault="00BD5465" w:rsidP="00BD5465">
      <w:pPr>
        <w:pStyle w:val="COMTablefooter"/>
      </w:pPr>
      <w:r w:rsidRPr="002E14F6">
        <w:rPr>
          <w:vertAlign w:val="superscript"/>
        </w:rPr>
        <w:t>a</w:t>
      </w:r>
      <w:r w:rsidRPr="002E14F6">
        <w:t xml:space="preserve"> Results from the BMD-MN, BMD-NA, VERT-MN and VERT-NA trials were from the risedronate 5 mg arm only. Efficacy analyses for the HIP trial were based on pooled risedronate 2.5 mg and 5 mg groups.</w:t>
      </w:r>
    </w:p>
    <w:p w14:paraId="53A05286" w14:textId="2F452D0E" w:rsidR="00BD5465" w:rsidRPr="002E14F6" w:rsidRDefault="00BD5465" w:rsidP="00BD5465">
      <w:pPr>
        <w:pStyle w:val="COMTablefooter"/>
      </w:pPr>
      <w:r w:rsidRPr="002E14F6">
        <w:rPr>
          <w:vertAlign w:val="superscript"/>
        </w:rPr>
        <w:t>b</w:t>
      </w:r>
      <w:r w:rsidRPr="002E14F6">
        <w:t xml:space="preserve"> </w:t>
      </w:r>
      <w:r w:rsidR="00893772">
        <w:t>E</w:t>
      </w:r>
      <w:r w:rsidRPr="002E14F6">
        <w:t>stimates were calculated during the evaluation using crude risk difference. Estimates were rounded up to the nearest integer.</w:t>
      </w:r>
    </w:p>
    <w:p w14:paraId="488ABCF0" w14:textId="77777777" w:rsidR="00BD5465" w:rsidRPr="002E14F6" w:rsidRDefault="00BD5465" w:rsidP="00BD5465">
      <w:pPr>
        <w:pStyle w:val="COMTablefooter"/>
      </w:pPr>
      <w:r w:rsidRPr="002E14F6">
        <w:rPr>
          <w:vertAlign w:val="superscript"/>
        </w:rPr>
        <w:t>c</w:t>
      </w:r>
      <w:r w:rsidRPr="002E14F6">
        <w:t xml:space="preserve"> Safety outcome reported in a subset of patients with known fracture status only. Limited reporting in the trial publication.</w:t>
      </w:r>
    </w:p>
    <w:p w14:paraId="0D7F305D" w14:textId="77777777" w:rsidR="00BD5465" w:rsidRPr="002E14F6" w:rsidRDefault="00BD5465" w:rsidP="00BD5465">
      <w:pPr>
        <w:pStyle w:val="COMTablefooter"/>
      </w:pPr>
      <w:r w:rsidRPr="002E14F6">
        <w:rPr>
          <w:vertAlign w:val="superscript"/>
        </w:rPr>
        <w:t>d</w:t>
      </w:r>
      <w:r w:rsidRPr="002E14F6">
        <w:t xml:space="preserve"> Secondary endpoint; limited reporting in the trial publication. </w:t>
      </w:r>
    </w:p>
    <w:p w14:paraId="636F05D9" w14:textId="68830983" w:rsidR="00BD5465" w:rsidRPr="002E14F6" w:rsidRDefault="00BD5465" w:rsidP="00BD5465">
      <w:pPr>
        <w:pStyle w:val="COMTablefooter"/>
      </w:pPr>
      <w:r w:rsidRPr="002E14F6">
        <w:t>Note: Bolding indicate</w:t>
      </w:r>
      <w:r w:rsidR="00B00320">
        <w:t>s</w:t>
      </w:r>
      <w:r w:rsidRPr="002E14F6">
        <w:t xml:space="preserve"> results that were statistically significant and were the primary endpoints of the trials. It was unclear whether the results for other outcomes were adjusted for multiplicity. </w:t>
      </w:r>
    </w:p>
    <w:p w14:paraId="6529ABF5" w14:textId="6C195D36" w:rsidR="00DF6341" w:rsidRPr="00966B2C" w:rsidRDefault="00502C8E" w:rsidP="00966B2C">
      <w:pPr>
        <w:widowControl w:val="0"/>
        <w:numPr>
          <w:ilvl w:val="1"/>
          <w:numId w:val="1"/>
        </w:numPr>
        <w:spacing w:after="120"/>
        <w:ind w:left="720" w:hanging="720"/>
        <w:rPr>
          <w:bCs/>
        </w:rPr>
      </w:pPr>
      <w:r w:rsidRPr="00966B2C">
        <w:rPr>
          <w:rFonts w:asciiTheme="minorHAnsi" w:hAnsiTheme="minorHAnsi"/>
          <w:bCs/>
          <w:snapToGrid w:val="0"/>
        </w:rPr>
        <w:t>Treatment with risedronate 5 mg was associated with a statistically significant decrease in the incidence of new vertebral fractures compared to placebo, over planned trial durations of 3 years. Treatment with risedronate 5 mg was also associated with decreases in the incidence of nonvertebral fractures over the 3-year duration.</w:t>
      </w:r>
    </w:p>
    <w:p w14:paraId="2419DC67" w14:textId="4FA9DED7" w:rsidR="00502C8E" w:rsidRPr="00966B2C" w:rsidRDefault="00502C8E" w:rsidP="00966B2C">
      <w:pPr>
        <w:widowControl w:val="0"/>
        <w:numPr>
          <w:ilvl w:val="1"/>
          <w:numId w:val="1"/>
        </w:numPr>
        <w:spacing w:after="120"/>
        <w:ind w:left="720" w:hanging="720"/>
        <w:rPr>
          <w:bCs/>
        </w:rPr>
      </w:pPr>
      <w:r w:rsidRPr="00966B2C">
        <w:rPr>
          <w:rFonts w:asciiTheme="minorHAnsi" w:hAnsiTheme="minorHAnsi"/>
          <w:bCs/>
          <w:snapToGrid w:val="0"/>
        </w:rPr>
        <w:t>Treatment with risedronate 2.5 mg and 5 mg (pooled) was associated with a statistically significant decrease in the incidence of hip fracture compared to placebo, over a planned trial duration of 3 years (mean 2.3 years follow-up).</w:t>
      </w:r>
    </w:p>
    <w:p w14:paraId="42D6B3C0" w14:textId="37E5D8AD" w:rsidR="00502C8E" w:rsidRPr="00966B2C" w:rsidRDefault="00502C8E" w:rsidP="00966B2C">
      <w:pPr>
        <w:widowControl w:val="0"/>
        <w:numPr>
          <w:ilvl w:val="1"/>
          <w:numId w:val="1"/>
        </w:numPr>
        <w:spacing w:after="120"/>
        <w:ind w:left="720" w:hanging="720"/>
        <w:rPr>
          <w:bCs/>
        </w:rPr>
      </w:pPr>
      <w:r w:rsidRPr="00966B2C">
        <w:rPr>
          <w:rFonts w:asciiTheme="minorHAnsi" w:hAnsiTheme="minorHAnsi"/>
          <w:bCs/>
          <w:snapToGrid w:val="0"/>
        </w:rPr>
        <w:t>The assessment and results for fracture outcomes at each site were not documented consistently across the available trial publications. The VERT trials were designed to detect morphometric vertebral fractures (radiographic based on annual scans) while the BMD-MN trial captured fractures detected as adverse events only. The detection of nonvertebral fractures appeared to be based on clinical (symptomatic) fractures that were radiographically confirmed, however, there was limited documentation available for adequate verification.</w:t>
      </w:r>
    </w:p>
    <w:p w14:paraId="07B623A4" w14:textId="44FB8DCF" w:rsidR="00502C8E" w:rsidRPr="00966B2C" w:rsidRDefault="00502C8E" w:rsidP="00966B2C">
      <w:pPr>
        <w:widowControl w:val="0"/>
        <w:numPr>
          <w:ilvl w:val="1"/>
          <w:numId w:val="1"/>
        </w:numPr>
        <w:spacing w:after="120"/>
        <w:ind w:left="720" w:hanging="720"/>
        <w:rPr>
          <w:bCs/>
        </w:rPr>
      </w:pPr>
      <w:r w:rsidRPr="00966B2C">
        <w:rPr>
          <w:rFonts w:asciiTheme="minorHAnsi" w:hAnsiTheme="minorHAnsi"/>
          <w:bCs/>
          <w:snapToGrid w:val="0"/>
        </w:rPr>
        <w:t>The statistical significance of secondary/exploratory fracture outcomes was uncertain due to limited documentation. It was unclear whether the results were adjusted for multiplicity.</w:t>
      </w:r>
    </w:p>
    <w:p w14:paraId="78FBD5CD" w14:textId="61E00A36" w:rsidR="00502C8E" w:rsidRPr="00966B2C" w:rsidRDefault="00E15079" w:rsidP="00966B2C">
      <w:pPr>
        <w:widowControl w:val="0"/>
        <w:numPr>
          <w:ilvl w:val="1"/>
          <w:numId w:val="1"/>
        </w:numPr>
        <w:spacing w:after="120"/>
        <w:ind w:left="720" w:hanging="720"/>
        <w:rPr>
          <w:bCs/>
        </w:rPr>
      </w:pPr>
      <w:r w:rsidRPr="00966B2C">
        <w:rPr>
          <w:rFonts w:asciiTheme="minorHAnsi" w:hAnsiTheme="minorHAnsi"/>
          <w:bCs/>
          <w:snapToGrid w:val="0"/>
        </w:rPr>
        <w:t>No quality of life outcomes were captured in the included trials.</w:t>
      </w:r>
    </w:p>
    <w:p w14:paraId="6AF4A2AA" w14:textId="57BE5B7E" w:rsidR="00EC447B" w:rsidRPr="00966B2C" w:rsidRDefault="00EC447B" w:rsidP="00966B2C">
      <w:pPr>
        <w:widowControl w:val="0"/>
        <w:numPr>
          <w:ilvl w:val="1"/>
          <w:numId w:val="1"/>
        </w:numPr>
        <w:spacing w:after="120"/>
        <w:ind w:left="720" w:hanging="720"/>
        <w:rPr>
          <w:bCs/>
        </w:rPr>
      </w:pPr>
      <w:r w:rsidRPr="00966B2C">
        <w:rPr>
          <w:rFonts w:asciiTheme="minorHAnsi" w:hAnsiTheme="minorHAnsi"/>
          <w:bCs/>
          <w:snapToGrid w:val="0"/>
        </w:rPr>
        <w:t xml:space="preserve">No </w:t>
      </w:r>
      <w:r w:rsidR="007B6C73" w:rsidRPr="00966B2C">
        <w:rPr>
          <w:rFonts w:asciiTheme="minorHAnsi" w:hAnsiTheme="minorHAnsi"/>
          <w:bCs/>
          <w:snapToGrid w:val="0"/>
        </w:rPr>
        <w:t xml:space="preserve">subgroup analyses were presented in the submission. </w:t>
      </w:r>
      <w:r w:rsidR="00BC720B" w:rsidRPr="00966B2C">
        <w:rPr>
          <w:rFonts w:asciiTheme="minorHAnsi" w:hAnsiTheme="minorHAnsi"/>
          <w:bCs/>
          <w:snapToGrid w:val="0"/>
        </w:rPr>
        <w:t>There was limited reporting in the available trial publications, with no pre-specified subgroup analyses reported for the BMD-MN, BMD-NA, VERT-MN and VERT-NA trials.</w:t>
      </w:r>
    </w:p>
    <w:p w14:paraId="307CF1F1" w14:textId="4596B280" w:rsidR="00BC720B" w:rsidRPr="00966B2C" w:rsidRDefault="00BC720B" w:rsidP="00966B2C">
      <w:pPr>
        <w:widowControl w:val="0"/>
        <w:numPr>
          <w:ilvl w:val="1"/>
          <w:numId w:val="1"/>
        </w:numPr>
        <w:spacing w:after="120"/>
        <w:ind w:left="720" w:hanging="720"/>
        <w:rPr>
          <w:bCs/>
        </w:rPr>
      </w:pPr>
      <w:r w:rsidRPr="00966B2C">
        <w:rPr>
          <w:rFonts w:asciiTheme="minorHAnsi" w:hAnsiTheme="minorHAnsi"/>
          <w:bCs/>
          <w:snapToGrid w:val="0"/>
        </w:rPr>
        <w:t>Results from pre-specified and post hoc subgroup analyses reported in the HIP trial publication indicate</w:t>
      </w:r>
      <w:r w:rsidR="00740670" w:rsidRPr="00966B2C">
        <w:rPr>
          <w:rFonts w:asciiTheme="minorHAnsi" w:hAnsiTheme="minorHAnsi"/>
          <w:bCs/>
          <w:snapToGrid w:val="0"/>
        </w:rPr>
        <w:t>d</w:t>
      </w:r>
      <w:r w:rsidRPr="00966B2C">
        <w:rPr>
          <w:rFonts w:asciiTheme="minorHAnsi" w:hAnsiTheme="minorHAnsi"/>
          <w:bCs/>
          <w:snapToGrid w:val="0"/>
        </w:rPr>
        <w:t xml:space="preserve"> that treatment with risedronate (pooled 2.5 mg and 5 mg arms) was associated with a reduction in hip fracture compared to placebo, in younger patients aged between 70-79 years but no apparent effect in patients aged 80 years and above. In patients aged 70-79 years, risedronate was associated with a reduction in hip fracture in patients with a prior fracture but no apparent effect in those without fracture. These results should be interpreted with caution due to limited reporting of patient characteristics in addition to missing baseline data for some patients including BMD measures and fracture status.   </w:t>
      </w:r>
    </w:p>
    <w:p w14:paraId="01EA7888" w14:textId="78C3431D" w:rsidR="0025089E" w:rsidRPr="00966B2C" w:rsidRDefault="00964BC3" w:rsidP="00966B2C">
      <w:pPr>
        <w:widowControl w:val="0"/>
        <w:numPr>
          <w:ilvl w:val="1"/>
          <w:numId w:val="1"/>
        </w:numPr>
        <w:spacing w:after="120"/>
        <w:ind w:left="720" w:hanging="720"/>
        <w:rPr>
          <w:bCs/>
        </w:rPr>
      </w:pPr>
      <w:bookmarkStart w:id="26" w:name="_Ref116386489"/>
      <w:r w:rsidRPr="00966B2C">
        <w:rPr>
          <w:rFonts w:asciiTheme="minorHAnsi" w:hAnsiTheme="minorHAnsi"/>
          <w:bCs/>
          <w:snapToGrid w:val="0"/>
        </w:rPr>
        <w:t>The submission acknowledged that the populations in the included trials were not representative of the target PBS population in terms of patient demographics (age, gender) and disease severity/fracture risk (mixed primary and secondary prevention populations).</w:t>
      </w:r>
      <w:bookmarkEnd w:id="26"/>
      <w:r w:rsidR="00DA0DEE" w:rsidRPr="00966B2C">
        <w:rPr>
          <w:rFonts w:asciiTheme="minorHAnsi" w:hAnsiTheme="minorHAnsi"/>
          <w:bCs/>
          <w:snapToGrid w:val="0"/>
        </w:rPr>
        <w:t xml:space="preserve"> </w:t>
      </w:r>
    </w:p>
    <w:p w14:paraId="1C04A2D2" w14:textId="669C462E" w:rsidR="009E07BD" w:rsidRPr="001A75FD" w:rsidRDefault="000E64C3" w:rsidP="00966B2C">
      <w:pPr>
        <w:widowControl w:val="0"/>
        <w:numPr>
          <w:ilvl w:val="1"/>
          <w:numId w:val="1"/>
        </w:numPr>
        <w:spacing w:after="120"/>
        <w:ind w:left="720" w:hanging="720"/>
      </w:pPr>
      <w:bookmarkStart w:id="27" w:name="_Ref120461929"/>
      <w:r w:rsidRPr="00966B2C">
        <w:rPr>
          <w:rFonts w:asciiTheme="minorHAnsi" w:hAnsiTheme="minorHAnsi"/>
          <w:bCs/>
          <w:snapToGrid w:val="0"/>
        </w:rPr>
        <w:t xml:space="preserve">The submission presented </w:t>
      </w:r>
      <w:r w:rsidR="00674F57" w:rsidRPr="00966B2C">
        <w:rPr>
          <w:rFonts w:asciiTheme="minorHAnsi" w:hAnsiTheme="minorHAnsi"/>
          <w:bCs/>
          <w:snapToGrid w:val="0"/>
        </w:rPr>
        <w:t xml:space="preserve">a post hoc pooled analysis of four trials of risedronate (BMD-MN, BMD-NA, VERT-MN and VERT-NA) that assessed the effect of age on the incidence of fractures and of risedronate treatment on fracture risk in different age groups in postmenopausal women with osteoporosis (Boonen 2010). </w:t>
      </w:r>
      <w:r w:rsidR="00473112">
        <w:rPr>
          <w:rFonts w:asciiTheme="minorHAnsi" w:hAnsiTheme="minorHAnsi"/>
          <w:bCs/>
          <w:snapToGrid w:val="0"/>
        </w:rPr>
        <w:t xml:space="preserve">On average, patients in each treatment group were 68 years old (placebo: 67.7 </w:t>
      </w:r>
      <w:r w:rsidR="00473112">
        <w:rPr>
          <w:rFonts w:asciiTheme="minorHAnsi" w:hAnsiTheme="minorHAnsi" w:cstheme="minorHAnsi"/>
          <w:bCs/>
          <w:snapToGrid w:val="0"/>
        </w:rPr>
        <w:t xml:space="preserve">± </w:t>
      </w:r>
      <w:r w:rsidR="00473112">
        <w:rPr>
          <w:rFonts w:asciiTheme="minorHAnsi" w:hAnsiTheme="minorHAnsi"/>
          <w:bCs/>
          <w:snapToGrid w:val="0"/>
        </w:rPr>
        <w:t xml:space="preserve">7.6 </w:t>
      </w:r>
      <w:r w:rsidR="00917BA8">
        <w:rPr>
          <w:rFonts w:asciiTheme="minorHAnsi" w:hAnsiTheme="minorHAnsi"/>
          <w:bCs/>
          <w:snapToGrid w:val="0"/>
        </w:rPr>
        <w:t>(range 38-85) years</w:t>
      </w:r>
      <w:r w:rsidR="00473112">
        <w:rPr>
          <w:rFonts w:asciiTheme="minorHAnsi" w:hAnsiTheme="minorHAnsi"/>
          <w:bCs/>
          <w:snapToGrid w:val="0"/>
        </w:rPr>
        <w:t xml:space="preserve">, risedronate: 67.9 </w:t>
      </w:r>
      <w:r w:rsidR="00473112">
        <w:rPr>
          <w:rFonts w:asciiTheme="minorHAnsi" w:hAnsiTheme="minorHAnsi" w:cstheme="minorHAnsi"/>
          <w:bCs/>
          <w:snapToGrid w:val="0"/>
        </w:rPr>
        <w:t>±</w:t>
      </w:r>
      <w:r w:rsidR="00473112">
        <w:rPr>
          <w:rFonts w:asciiTheme="minorHAnsi" w:hAnsiTheme="minorHAnsi"/>
          <w:bCs/>
          <w:snapToGrid w:val="0"/>
        </w:rPr>
        <w:t xml:space="preserve"> 7.9 </w:t>
      </w:r>
      <w:r w:rsidR="00917BA8">
        <w:rPr>
          <w:rFonts w:asciiTheme="minorHAnsi" w:hAnsiTheme="minorHAnsi"/>
          <w:bCs/>
          <w:snapToGrid w:val="0"/>
        </w:rPr>
        <w:t xml:space="preserve">(range 39-85) </w:t>
      </w:r>
      <w:r w:rsidR="00473112">
        <w:rPr>
          <w:rFonts w:asciiTheme="minorHAnsi" w:hAnsiTheme="minorHAnsi"/>
          <w:bCs/>
          <w:snapToGrid w:val="0"/>
        </w:rPr>
        <w:t xml:space="preserve">years) and had a mean lumbar spine T-score of -2.6. </w:t>
      </w:r>
      <w:r w:rsidR="008C6731" w:rsidRPr="00966B2C">
        <w:rPr>
          <w:rFonts w:asciiTheme="minorHAnsi" w:hAnsiTheme="minorHAnsi"/>
          <w:bCs/>
          <w:snapToGrid w:val="0"/>
        </w:rPr>
        <w:t xml:space="preserve">Pooled 3-year fracture risk data from the </w:t>
      </w:r>
      <w:r w:rsidR="00182B7C" w:rsidRPr="00966B2C">
        <w:rPr>
          <w:rFonts w:asciiTheme="minorHAnsi" w:hAnsiTheme="minorHAnsi"/>
          <w:bCs/>
          <w:snapToGrid w:val="0"/>
        </w:rPr>
        <w:t>Boonen study</w:t>
      </w:r>
      <w:r w:rsidR="008C6731" w:rsidRPr="00966B2C">
        <w:rPr>
          <w:rFonts w:asciiTheme="minorHAnsi" w:hAnsiTheme="minorHAnsi"/>
          <w:bCs/>
          <w:snapToGrid w:val="0"/>
        </w:rPr>
        <w:t xml:space="preserve"> indicated </w:t>
      </w:r>
      <w:r w:rsidR="00874884" w:rsidRPr="00DC4D12">
        <w:rPr>
          <w:rFonts w:asciiTheme="minorHAnsi" w:hAnsiTheme="minorHAnsi"/>
          <w:bCs/>
          <w:snapToGrid w:val="0"/>
        </w:rPr>
        <w:t>lower</w:t>
      </w:r>
      <w:r w:rsidR="00EC00E7" w:rsidRPr="00DC4D12">
        <w:rPr>
          <w:rFonts w:asciiTheme="minorHAnsi" w:hAnsiTheme="minorHAnsi"/>
          <w:bCs/>
          <w:snapToGrid w:val="0"/>
        </w:rPr>
        <w:t xml:space="preserve"> fracture risks across all fracture types (any fracture, clinical fracture, nonvertebral fracture and morphometric vertebral fracture) </w:t>
      </w:r>
      <w:r w:rsidR="00874884" w:rsidRPr="00DC4D12">
        <w:rPr>
          <w:rFonts w:asciiTheme="minorHAnsi" w:hAnsiTheme="minorHAnsi"/>
          <w:bCs/>
          <w:snapToGrid w:val="0"/>
        </w:rPr>
        <w:t xml:space="preserve">in the risedronate group compared to the placebo group. </w:t>
      </w:r>
      <w:r w:rsidR="00913C68" w:rsidRPr="00DC4D12">
        <w:rPr>
          <w:rFonts w:asciiTheme="minorHAnsi" w:hAnsiTheme="minorHAnsi"/>
          <w:bCs/>
          <w:snapToGrid w:val="0"/>
        </w:rPr>
        <w:t>Results from a Cox regression mo</w:t>
      </w:r>
      <w:r w:rsidR="00057168" w:rsidRPr="00DC4D12">
        <w:rPr>
          <w:rFonts w:asciiTheme="minorHAnsi" w:hAnsiTheme="minorHAnsi"/>
          <w:bCs/>
          <w:snapToGrid w:val="0"/>
        </w:rPr>
        <w:t>del indicate that fracture risks were statistically significantly greater in older patients. On average, for every 1-year increase in age, a patient’s risk for any fracture increased by 3.6% (95% CI: 2.3%, 5.0%). The findings were similar for clinical fractures, nonvertebral fractures and morphometric vertebral fractures.</w:t>
      </w:r>
      <w:r w:rsidR="00AE7E13" w:rsidRPr="00DC4D12">
        <w:rPr>
          <w:rFonts w:asciiTheme="minorHAnsi" w:hAnsiTheme="minorHAnsi"/>
          <w:bCs/>
          <w:snapToGrid w:val="0"/>
        </w:rPr>
        <w:t xml:space="preserve"> The results also indicate that irrespective of age, risedronate reduced fracture risk by 41% to 46% across the four fracture types. </w:t>
      </w:r>
      <w:r w:rsidR="009B4D9C" w:rsidRPr="00DC4D12">
        <w:rPr>
          <w:rFonts w:asciiTheme="minorHAnsi" w:hAnsiTheme="minorHAnsi"/>
          <w:bCs/>
          <w:snapToGrid w:val="0"/>
        </w:rPr>
        <w:t>T</w:t>
      </w:r>
      <w:r w:rsidR="00993CB3" w:rsidRPr="00DC4D12">
        <w:rPr>
          <w:rFonts w:asciiTheme="minorHAnsi" w:hAnsiTheme="minorHAnsi"/>
          <w:bCs/>
          <w:snapToGrid w:val="0"/>
        </w:rPr>
        <w:t xml:space="preserve">he results from </w:t>
      </w:r>
      <w:r w:rsidR="00AE3F0A" w:rsidRPr="00DC4D12">
        <w:rPr>
          <w:rFonts w:asciiTheme="minorHAnsi" w:hAnsiTheme="minorHAnsi"/>
          <w:bCs/>
          <w:snapToGrid w:val="0"/>
        </w:rPr>
        <w:t>this study</w:t>
      </w:r>
      <w:r w:rsidR="00993CB3" w:rsidRPr="00DC4D12">
        <w:rPr>
          <w:rFonts w:asciiTheme="minorHAnsi" w:hAnsiTheme="minorHAnsi"/>
          <w:bCs/>
          <w:snapToGrid w:val="0"/>
        </w:rPr>
        <w:t xml:space="preserve"> should be interpreted with caution as the data were analysed retrospectively</w:t>
      </w:r>
      <w:r w:rsidR="009B4D9C" w:rsidRPr="00DC4D12">
        <w:rPr>
          <w:rFonts w:asciiTheme="minorHAnsi" w:hAnsiTheme="minorHAnsi"/>
          <w:bCs/>
          <w:snapToGrid w:val="0"/>
        </w:rPr>
        <w:t xml:space="preserve">, with </w:t>
      </w:r>
      <w:r w:rsidR="00A313A5" w:rsidRPr="00DC4D12">
        <w:rPr>
          <w:rFonts w:asciiTheme="minorHAnsi" w:hAnsiTheme="minorHAnsi"/>
          <w:bCs/>
          <w:snapToGrid w:val="0"/>
        </w:rPr>
        <w:t>differences in the assessment of fracture outcomes across the included trials</w:t>
      </w:r>
      <w:r w:rsidR="00554704" w:rsidRPr="00DC4D12">
        <w:rPr>
          <w:rFonts w:asciiTheme="minorHAnsi" w:hAnsiTheme="minorHAnsi"/>
          <w:bCs/>
          <w:snapToGrid w:val="0"/>
        </w:rPr>
        <w:t>.</w:t>
      </w:r>
      <w:r w:rsidR="00DA7E25" w:rsidRPr="00DC4D12">
        <w:rPr>
          <w:rFonts w:asciiTheme="minorHAnsi" w:hAnsiTheme="minorHAnsi"/>
          <w:bCs/>
          <w:snapToGrid w:val="0"/>
        </w:rPr>
        <w:t xml:space="preserve"> </w:t>
      </w:r>
      <w:r w:rsidR="009E07BD" w:rsidRPr="00DC4D12">
        <w:rPr>
          <w:rFonts w:asciiTheme="minorHAnsi" w:hAnsiTheme="minorHAnsi"/>
          <w:bCs/>
          <w:snapToGrid w:val="0"/>
        </w:rPr>
        <w:t xml:space="preserve">The PSCR noted that 28% of patients included in Boonen 2010 were assessed for primary prevention and argued that the study represents the best available evidence that demonstrates age is not a treatment effect modifier and so the relative risk benefits with oral bisphosphonate therapies should be observed in younger age groups as with older age groups. </w:t>
      </w:r>
      <w:r w:rsidR="002023F3" w:rsidRPr="00DC4D12">
        <w:rPr>
          <w:rFonts w:asciiTheme="minorHAnsi" w:hAnsiTheme="minorHAnsi"/>
          <w:bCs/>
          <w:snapToGrid w:val="0"/>
        </w:rPr>
        <w:t>The ESC considered that while Boonen</w:t>
      </w:r>
      <w:r w:rsidR="002023F3" w:rsidRPr="00B600AA">
        <w:t xml:space="preserve"> 2010 may represent the best available evidence, the primary prevention patients (28%) were not separated from the secondary prevention patients. </w:t>
      </w:r>
      <w:r w:rsidR="00847141" w:rsidRPr="00B600AA">
        <w:t>The ESC considered there are no data to suggest that age has an impact on the relative treatment benefit with risedronate, however, the Boonen study also showed that there is an increasing fracture risk with age. T</w:t>
      </w:r>
      <w:r w:rsidR="009E07BD" w:rsidRPr="00B600AA">
        <w:t xml:space="preserve">he ESC considered the absolute benefit associated with risedronate in a younger population without fracture is likely to be smaller than observed in the trials. The </w:t>
      </w:r>
      <w:r w:rsidR="0002701F" w:rsidRPr="00B600AA">
        <w:t xml:space="preserve">ESC noted the </w:t>
      </w:r>
      <w:r w:rsidR="009E07BD" w:rsidRPr="00B600AA">
        <w:t xml:space="preserve">included trials were also relatively old, conducted more than 20 years ago. Fracture risks in the trial populations may not represent contemporary risks in the current setting given improvements in the diagnosis and management of osteoporosis over time. </w:t>
      </w:r>
      <w:r w:rsidR="001920E6">
        <w:t xml:space="preserve">The </w:t>
      </w:r>
      <w:r w:rsidR="005A462C">
        <w:t>p</w:t>
      </w:r>
      <w:r w:rsidR="001920E6">
        <w:t>re-PBAC Response acknowledged the view of the ESC that the Boonen 2010 study likely represents the best publicly available evidence for risedronate in the proposed population and reiterated it was not possible to separate the primary and secondary prevention populations within the data, therefore absolute risk reductions for these sub-populations could not be derived.</w:t>
      </w:r>
      <w:bookmarkEnd w:id="27"/>
    </w:p>
    <w:p w14:paraId="00E1B8D7" w14:textId="414AA0E2" w:rsidR="00F22C59" w:rsidRPr="00966B2C" w:rsidRDefault="00F22C59" w:rsidP="00966B2C">
      <w:pPr>
        <w:widowControl w:val="0"/>
        <w:numPr>
          <w:ilvl w:val="1"/>
          <w:numId w:val="1"/>
        </w:numPr>
        <w:spacing w:after="120"/>
        <w:ind w:left="720" w:hanging="720"/>
        <w:rPr>
          <w:bCs/>
        </w:rPr>
      </w:pPr>
      <w:bookmarkStart w:id="28" w:name="_Ref120532728"/>
      <w:r w:rsidRPr="001A75FD">
        <w:t xml:space="preserve">The submission claimed that the key trials of risedronate have </w:t>
      </w:r>
      <w:r w:rsidRPr="00966B2C">
        <w:rPr>
          <w:rFonts w:asciiTheme="minorHAnsi" w:hAnsiTheme="minorHAnsi"/>
          <w:bCs/>
          <w:snapToGrid w:val="0"/>
        </w:rPr>
        <w:t xml:space="preserve">previously been considered by the PBAC and current listings are not restricted to women </w:t>
      </w:r>
      <w:r w:rsidRPr="00DC4D12">
        <w:rPr>
          <w:rFonts w:asciiTheme="minorHAnsi" w:hAnsiTheme="minorHAnsi"/>
          <w:bCs/>
          <w:snapToGrid w:val="0"/>
        </w:rPr>
        <w:t>only. Therefore, the submission claimed it is reasonable to consider that the PBAC has historically considered risedronate to be effective in males. No data were presented in the submission to support the treatment benefit of risedronate in males. During the evaluation, data were identified supporting improvements in BMD with risedronate treatment in men</w:t>
      </w:r>
      <w:r w:rsidR="005D5C69" w:rsidRPr="00DC4D12">
        <w:rPr>
          <w:rFonts w:asciiTheme="minorHAnsi" w:hAnsiTheme="minorHAnsi"/>
          <w:bCs/>
          <w:snapToGrid w:val="0"/>
        </w:rPr>
        <w:t>,</w:t>
      </w:r>
      <w:r w:rsidRPr="00DC4D12">
        <w:rPr>
          <w:rFonts w:asciiTheme="minorHAnsi" w:hAnsiTheme="minorHAnsi"/>
          <w:bCs/>
          <w:snapToGrid w:val="0"/>
        </w:rPr>
        <w:t xml:space="preserve"> while fracture outcomes were limited and exploratory only (Boonen 2009; placebo-controlled trial of risedronate in males with prevalent vertebral fracture).</w:t>
      </w:r>
      <w:bookmarkEnd w:id="28"/>
      <w:r w:rsidRPr="00DC4D12">
        <w:rPr>
          <w:rFonts w:asciiTheme="minorHAnsi" w:hAnsiTheme="minorHAnsi"/>
          <w:bCs/>
          <w:snapToGrid w:val="0"/>
        </w:rPr>
        <w:t xml:space="preserve">  </w:t>
      </w:r>
    </w:p>
    <w:p w14:paraId="2745A3A9" w14:textId="4F75FED3" w:rsidR="002D18DE" w:rsidRPr="00966B2C" w:rsidRDefault="00C5660E" w:rsidP="00966B2C">
      <w:pPr>
        <w:widowControl w:val="0"/>
        <w:numPr>
          <w:ilvl w:val="1"/>
          <w:numId w:val="1"/>
        </w:numPr>
        <w:spacing w:after="120"/>
        <w:ind w:left="720" w:hanging="720"/>
        <w:rPr>
          <w:bCs/>
        </w:rPr>
      </w:pPr>
      <w:r w:rsidRPr="00966B2C">
        <w:rPr>
          <w:rFonts w:asciiTheme="minorHAnsi" w:hAnsiTheme="minorHAnsi"/>
          <w:bCs/>
          <w:snapToGrid w:val="0"/>
        </w:rPr>
        <w:t xml:space="preserve">The submission noted that the included trials consisted of mixed primary and secondary prevention populations. However, the submission considered that the benefits observed in the trials would be applicable to the primary prevention population. </w:t>
      </w:r>
      <w:r w:rsidR="00A870A6" w:rsidRPr="00DC4D12">
        <w:rPr>
          <w:rFonts w:asciiTheme="minorHAnsi" w:hAnsiTheme="minorHAnsi"/>
          <w:bCs/>
          <w:snapToGrid w:val="0"/>
        </w:rPr>
        <w:t xml:space="preserve">No data were presented in the submission in support of this claim. </w:t>
      </w:r>
    </w:p>
    <w:p w14:paraId="52B237EF" w14:textId="18F988F2" w:rsidR="00E3700B" w:rsidRPr="00966B2C" w:rsidRDefault="003208BB" w:rsidP="00966B2C">
      <w:pPr>
        <w:widowControl w:val="0"/>
        <w:numPr>
          <w:ilvl w:val="1"/>
          <w:numId w:val="1"/>
        </w:numPr>
        <w:spacing w:after="120"/>
        <w:ind w:left="720" w:hanging="720"/>
        <w:rPr>
          <w:bCs/>
        </w:rPr>
      </w:pPr>
      <w:r w:rsidRPr="00966B2C">
        <w:rPr>
          <w:rFonts w:asciiTheme="minorHAnsi" w:hAnsiTheme="minorHAnsi"/>
          <w:bCs/>
          <w:snapToGrid w:val="0"/>
        </w:rPr>
        <w:t xml:space="preserve">The PBAC has previously considered </w:t>
      </w:r>
      <w:r w:rsidR="00494009" w:rsidRPr="00966B2C">
        <w:rPr>
          <w:rFonts w:asciiTheme="minorHAnsi" w:hAnsiTheme="minorHAnsi"/>
          <w:bCs/>
          <w:snapToGrid w:val="0"/>
        </w:rPr>
        <w:t>results from</w:t>
      </w:r>
      <w:r w:rsidR="00740670" w:rsidRPr="00966B2C">
        <w:rPr>
          <w:rFonts w:asciiTheme="minorHAnsi" w:hAnsiTheme="minorHAnsi"/>
          <w:bCs/>
          <w:snapToGrid w:val="0"/>
        </w:rPr>
        <w:t xml:space="preserve"> </w:t>
      </w:r>
      <w:r w:rsidRPr="00966B2C">
        <w:rPr>
          <w:rFonts w:asciiTheme="minorHAnsi" w:hAnsiTheme="minorHAnsi"/>
          <w:bCs/>
          <w:snapToGrid w:val="0"/>
        </w:rPr>
        <w:t>post hoc subgroup analys</w:t>
      </w:r>
      <w:r w:rsidR="00740670" w:rsidRPr="00DC4D12">
        <w:rPr>
          <w:rFonts w:asciiTheme="minorHAnsi" w:hAnsiTheme="minorHAnsi"/>
          <w:bCs/>
          <w:snapToGrid w:val="0"/>
        </w:rPr>
        <w:t xml:space="preserve">es of patients </w:t>
      </w:r>
      <w:r w:rsidR="00494009" w:rsidRPr="00DC4D12">
        <w:rPr>
          <w:rFonts w:asciiTheme="minorHAnsi" w:hAnsiTheme="minorHAnsi"/>
          <w:bCs/>
          <w:snapToGrid w:val="0"/>
        </w:rPr>
        <w:t>without prevalent vertebral fractures and a BMD T-score of less than -2.5</w:t>
      </w:r>
      <w:r w:rsidR="00C50642" w:rsidRPr="00DC4D12">
        <w:rPr>
          <w:rFonts w:asciiTheme="minorHAnsi" w:hAnsiTheme="minorHAnsi"/>
          <w:bCs/>
          <w:snapToGrid w:val="0"/>
        </w:rPr>
        <w:t xml:space="preserve"> from the BMD-MN, BMD-NA, HIP and VERT-NA trials</w:t>
      </w:r>
      <w:r w:rsidR="00494009" w:rsidRPr="00DC4D12">
        <w:rPr>
          <w:rFonts w:asciiTheme="minorHAnsi" w:hAnsiTheme="minorHAnsi"/>
          <w:bCs/>
          <w:snapToGrid w:val="0"/>
        </w:rPr>
        <w:t xml:space="preserve"> (</w:t>
      </w:r>
      <w:r w:rsidR="00B924C1" w:rsidRPr="00DC4D12">
        <w:rPr>
          <w:rFonts w:asciiTheme="minorHAnsi" w:hAnsiTheme="minorHAnsi"/>
          <w:bCs/>
          <w:snapToGrid w:val="0"/>
        </w:rPr>
        <w:t>Heaney 2002</w:t>
      </w:r>
      <w:r w:rsidR="00494009" w:rsidRPr="00DC4D12">
        <w:rPr>
          <w:rFonts w:asciiTheme="minorHAnsi" w:hAnsiTheme="minorHAnsi"/>
          <w:bCs/>
          <w:snapToGrid w:val="0"/>
        </w:rPr>
        <w:t xml:space="preserve">) and </w:t>
      </w:r>
      <w:r w:rsidR="00B924C1" w:rsidRPr="00DC4D12">
        <w:rPr>
          <w:rFonts w:asciiTheme="minorHAnsi" w:hAnsiTheme="minorHAnsi"/>
          <w:bCs/>
          <w:snapToGrid w:val="0"/>
        </w:rPr>
        <w:t>in patients with BMD T-score of less than -2.5 from the BMD-MN, BMD-NA, VERT-MN and VERT-NA trials</w:t>
      </w:r>
      <w:r w:rsidR="00474C95" w:rsidRPr="00DC4D12">
        <w:rPr>
          <w:rFonts w:asciiTheme="minorHAnsi" w:hAnsiTheme="minorHAnsi"/>
          <w:bCs/>
          <w:snapToGrid w:val="0"/>
        </w:rPr>
        <w:t xml:space="preserve"> (</w:t>
      </w:r>
      <w:r w:rsidR="00B924C1" w:rsidRPr="00DC4D12">
        <w:rPr>
          <w:rFonts w:asciiTheme="minorHAnsi" w:hAnsiTheme="minorHAnsi"/>
          <w:bCs/>
          <w:snapToGrid w:val="0"/>
        </w:rPr>
        <w:t>Harrington 2004</w:t>
      </w:r>
      <w:r w:rsidR="00474C95" w:rsidRPr="00DC4D12">
        <w:rPr>
          <w:rFonts w:asciiTheme="minorHAnsi" w:hAnsiTheme="minorHAnsi"/>
          <w:bCs/>
          <w:snapToGrid w:val="0"/>
        </w:rPr>
        <w:t>).</w:t>
      </w:r>
      <w:r w:rsidR="00587A82" w:rsidRPr="00DC4D12">
        <w:rPr>
          <w:rFonts w:asciiTheme="minorHAnsi" w:hAnsiTheme="minorHAnsi"/>
          <w:bCs/>
          <w:snapToGrid w:val="0"/>
        </w:rPr>
        <w:t xml:space="preserve"> Based on this body of evidence, the PBAC considered that there was uncertain benefit associated with risedronate </w:t>
      </w:r>
      <w:r w:rsidR="00AF08CB" w:rsidRPr="00DC4D12">
        <w:rPr>
          <w:rFonts w:asciiTheme="minorHAnsi" w:hAnsiTheme="minorHAnsi"/>
          <w:bCs/>
          <w:snapToGrid w:val="0"/>
        </w:rPr>
        <w:t xml:space="preserve">versus placebo </w:t>
      </w:r>
      <w:r w:rsidR="00587A82" w:rsidRPr="00DC4D12">
        <w:rPr>
          <w:rFonts w:asciiTheme="minorHAnsi" w:hAnsiTheme="minorHAnsi"/>
          <w:bCs/>
          <w:snapToGrid w:val="0"/>
        </w:rPr>
        <w:t xml:space="preserve">for the clinically relevant outcomes of nonvertebral fracture and hip fracture in patients with BMD T-scores of ≤-2.5 (risedronate PSD, July 2006 PBAC meeting).  </w:t>
      </w:r>
    </w:p>
    <w:p w14:paraId="339F0829" w14:textId="5E05A5D9" w:rsidR="00AE7E13" w:rsidRPr="00966B2C" w:rsidRDefault="00C304AE" w:rsidP="00966B2C">
      <w:pPr>
        <w:widowControl w:val="0"/>
        <w:numPr>
          <w:ilvl w:val="1"/>
          <w:numId w:val="1"/>
        </w:numPr>
        <w:spacing w:after="120"/>
        <w:ind w:left="720" w:hanging="720"/>
        <w:rPr>
          <w:bCs/>
        </w:rPr>
      </w:pPr>
      <w:r w:rsidRPr="00966B2C">
        <w:rPr>
          <w:rFonts w:asciiTheme="minorHAnsi" w:hAnsiTheme="minorHAnsi"/>
          <w:bCs/>
          <w:snapToGrid w:val="0"/>
        </w:rPr>
        <w:t>None of the included trials administered the risedronate EC once weekly formulation, however,</w:t>
      </w:r>
      <w:r w:rsidR="00BB64AB" w:rsidRPr="00DC4D12">
        <w:rPr>
          <w:rFonts w:asciiTheme="minorHAnsi" w:hAnsiTheme="minorHAnsi"/>
          <w:bCs/>
          <w:snapToGrid w:val="0"/>
        </w:rPr>
        <w:t xml:space="preserve"> </w:t>
      </w:r>
      <w:r w:rsidRPr="00DC4D12">
        <w:rPr>
          <w:rFonts w:asciiTheme="minorHAnsi" w:hAnsiTheme="minorHAnsi"/>
          <w:bCs/>
          <w:snapToGrid w:val="0"/>
        </w:rPr>
        <w:t>t</w:t>
      </w:r>
      <w:r w:rsidR="00BB64AB" w:rsidRPr="00DC4D12">
        <w:rPr>
          <w:rFonts w:asciiTheme="minorHAnsi" w:hAnsiTheme="minorHAnsi"/>
          <w:bCs/>
          <w:snapToGrid w:val="0"/>
        </w:rPr>
        <w:t>he submission provided supportive data from a comparison of risedronate EC and risedronate 5 mg immediate release, suggesting non-inferiority between these formulations in terms of efficacy and safety. The results were consistent with the PBAC’s previous consideration, recommending the listing of various risedronate enteric coated formulations on a cost-minimisation basis against risedronate immediate release formulations (PBAC Outcomes Statement, March 2011 PBAC meeting).</w:t>
      </w:r>
    </w:p>
    <w:p w14:paraId="19B864BB" w14:textId="2035F9D1" w:rsidR="001065DF" w:rsidRPr="00966B2C" w:rsidRDefault="001065DF" w:rsidP="00966B2C">
      <w:pPr>
        <w:widowControl w:val="0"/>
        <w:numPr>
          <w:ilvl w:val="1"/>
          <w:numId w:val="1"/>
        </w:numPr>
        <w:spacing w:after="120"/>
        <w:ind w:left="720" w:hanging="720"/>
        <w:rPr>
          <w:bCs/>
        </w:rPr>
      </w:pPr>
      <w:r w:rsidRPr="00966B2C">
        <w:rPr>
          <w:rFonts w:asciiTheme="minorHAnsi" w:hAnsiTheme="minorHAnsi"/>
          <w:bCs/>
          <w:snapToGrid w:val="0"/>
        </w:rPr>
        <w:t>The included trials had planned treatment durations of up to 3 years only</w:t>
      </w:r>
      <w:r w:rsidR="0094126C" w:rsidRPr="00966B2C">
        <w:rPr>
          <w:rFonts w:asciiTheme="minorHAnsi" w:hAnsiTheme="minorHAnsi"/>
          <w:bCs/>
          <w:snapToGrid w:val="0"/>
        </w:rPr>
        <w:t>, with no reported treatment adherence or persistence data</w:t>
      </w:r>
      <w:r w:rsidRPr="00DC4D12">
        <w:rPr>
          <w:rFonts w:asciiTheme="minorHAnsi" w:hAnsiTheme="minorHAnsi"/>
          <w:bCs/>
          <w:snapToGrid w:val="0"/>
        </w:rPr>
        <w:t>. No long-term data were provided in the submission to support longer term treatment benefit with risedronate</w:t>
      </w:r>
      <w:r w:rsidR="00DA4FEC" w:rsidRPr="00DC4D12">
        <w:rPr>
          <w:rFonts w:asciiTheme="minorHAnsi" w:hAnsiTheme="minorHAnsi"/>
          <w:bCs/>
          <w:snapToGrid w:val="0"/>
        </w:rPr>
        <w:t>, which is reliant on persistence to treatment</w:t>
      </w:r>
      <w:r w:rsidRPr="00DC4D12">
        <w:rPr>
          <w:rFonts w:asciiTheme="minorHAnsi" w:hAnsiTheme="minorHAnsi"/>
          <w:bCs/>
          <w:snapToGrid w:val="0"/>
        </w:rPr>
        <w:t xml:space="preserve">. </w:t>
      </w:r>
    </w:p>
    <w:p w14:paraId="277530A0" w14:textId="02F3C988" w:rsidR="00F97CE1" w:rsidRPr="00966B2C" w:rsidRDefault="0090632D" w:rsidP="00966B2C">
      <w:pPr>
        <w:widowControl w:val="0"/>
        <w:numPr>
          <w:ilvl w:val="1"/>
          <w:numId w:val="1"/>
        </w:numPr>
        <w:spacing w:after="120"/>
        <w:ind w:left="720" w:hanging="720"/>
        <w:rPr>
          <w:bCs/>
        </w:rPr>
      </w:pPr>
      <w:r w:rsidRPr="00966B2C">
        <w:rPr>
          <w:rFonts w:asciiTheme="minorHAnsi" w:hAnsiTheme="minorHAnsi"/>
          <w:bCs/>
          <w:snapToGrid w:val="0"/>
        </w:rPr>
        <w:t>The submission claimed that the treatment effect of risedronate on hip and non-hip fracture (modelled health states in the economic evaluation) in the target population could not be sourced from the clinical evidence presented based on the BMD and VERT tria</w:t>
      </w:r>
      <w:r w:rsidRPr="00DC4D12">
        <w:rPr>
          <w:rFonts w:asciiTheme="minorHAnsi" w:hAnsiTheme="minorHAnsi"/>
          <w:bCs/>
          <w:snapToGrid w:val="0"/>
        </w:rPr>
        <w:t>ls that were not powered to detect differences in the incidence of hip and non-hip fracture.</w:t>
      </w:r>
      <w:r w:rsidR="00AF45EE" w:rsidRPr="00DC4D12">
        <w:rPr>
          <w:rFonts w:asciiTheme="minorHAnsi" w:hAnsiTheme="minorHAnsi"/>
          <w:bCs/>
          <w:snapToGrid w:val="0"/>
        </w:rPr>
        <w:t xml:space="preserve"> The submission claimed that the PBAC previously considered risedronate to be non-inferior to alendronate in terms of efficacy and safety, therefore it was reasonable to use treatment effect estimates for alendronate in the economic model as a proxy for treatment benefit associated with risedronate. Treatment effect estimates were derived from a published indirect comparison of denosumab and alendronate (denosumab PSD, March 2012 PBAC meeting) and assumptions</w:t>
      </w:r>
      <w:r w:rsidR="00304B3C" w:rsidRPr="00DC4D12">
        <w:rPr>
          <w:rFonts w:asciiTheme="minorHAnsi" w:hAnsiTheme="minorHAnsi"/>
          <w:bCs/>
          <w:snapToGrid w:val="0"/>
        </w:rPr>
        <w:t>. No justification was provided for the selected source</w:t>
      </w:r>
      <w:r w:rsidR="00010D10" w:rsidRPr="00DC4D12">
        <w:rPr>
          <w:rFonts w:asciiTheme="minorHAnsi" w:hAnsiTheme="minorHAnsi"/>
          <w:bCs/>
          <w:snapToGrid w:val="0"/>
        </w:rPr>
        <w:t xml:space="preserve">, given potentially relevant </w:t>
      </w:r>
      <w:r w:rsidR="00037511" w:rsidRPr="00DC4D12">
        <w:rPr>
          <w:rFonts w:asciiTheme="minorHAnsi" w:hAnsiTheme="minorHAnsi"/>
          <w:bCs/>
          <w:snapToGrid w:val="0"/>
        </w:rPr>
        <w:t>results were available from an indirect comparison of risedronate and alendronate in the subgroup of patients without prevalent vertebral fracture and BMD T-score ≤-2.5 (risedronate PSD, March 2013 PBAC meeting).</w:t>
      </w:r>
      <w:r w:rsidR="00D87EC6" w:rsidRPr="00DC4D12">
        <w:rPr>
          <w:rFonts w:asciiTheme="minorHAnsi" w:hAnsiTheme="minorHAnsi"/>
          <w:bCs/>
          <w:snapToGrid w:val="0"/>
        </w:rPr>
        <w:t xml:space="preserve"> </w:t>
      </w:r>
    </w:p>
    <w:p w14:paraId="23C8EA24" w14:textId="7E351246" w:rsidR="009B52CC" w:rsidRPr="00966B2C" w:rsidRDefault="009B52CC" w:rsidP="00966B2C">
      <w:pPr>
        <w:widowControl w:val="0"/>
        <w:numPr>
          <w:ilvl w:val="1"/>
          <w:numId w:val="1"/>
        </w:numPr>
        <w:spacing w:after="120"/>
        <w:ind w:left="720" w:hanging="720"/>
        <w:rPr>
          <w:bCs/>
        </w:rPr>
      </w:pPr>
      <w:r w:rsidRPr="00966B2C">
        <w:rPr>
          <w:rFonts w:asciiTheme="minorHAnsi" w:hAnsiTheme="minorHAnsi"/>
          <w:bCs/>
          <w:snapToGrid w:val="0"/>
        </w:rPr>
        <w:t xml:space="preserve">The </w:t>
      </w:r>
      <w:r w:rsidR="007B5629" w:rsidRPr="00966B2C">
        <w:rPr>
          <w:rFonts w:asciiTheme="minorHAnsi" w:hAnsiTheme="minorHAnsi"/>
          <w:bCs/>
          <w:snapToGrid w:val="0"/>
        </w:rPr>
        <w:t>indirect comparison was</w:t>
      </w:r>
      <w:r w:rsidRPr="00966B2C">
        <w:rPr>
          <w:rFonts w:asciiTheme="minorHAnsi" w:hAnsiTheme="minorHAnsi"/>
          <w:bCs/>
          <w:snapToGrid w:val="0"/>
        </w:rPr>
        <w:t xml:space="preserve"> presented in the risedronate submission to support the expansion of the primary prevention listing (patients aged ≥70 years, with BMD T-score &lt;</w:t>
      </w:r>
      <w:r w:rsidRPr="00DC4D12">
        <w:rPr>
          <w:rFonts w:asciiTheme="minorHAnsi" w:hAnsiTheme="minorHAnsi"/>
          <w:bCs/>
          <w:snapToGrid w:val="0"/>
        </w:rPr>
        <w:t>-3.0 who are without fracture) to include matching patients with BMD T-scores between -3.0 and -2.5</w:t>
      </w:r>
      <w:r w:rsidR="007B5629" w:rsidRPr="00DC4D12">
        <w:rPr>
          <w:rFonts w:asciiTheme="minorHAnsi" w:hAnsiTheme="minorHAnsi"/>
          <w:bCs/>
          <w:snapToGrid w:val="0"/>
        </w:rPr>
        <w:t xml:space="preserve"> (risedronate PSD, March 2013 PBAC meeting)</w:t>
      </w:r>
      <w:r w:rsidRPr="00DC4D12">
        <w:rPr>
          <w:rFonts w:asciiTheme="minorHAnsi" w:hAnsiTheme="minorHAnsi"/>
          <w:bCs/>
          <w:snapToGrid w:val="0"/>
        </w:rPr>
        <w:t xml:space="preserve">. </w:t>
      </w:r>
      <w:r w:rsidR="00BF734A" w:rsidRPr="00DC4D12">
        <w:rPr>
          <w:rFonts w:asciiTheme="minorHAnsi" w:hAnsiTheme="minorHAnsi"/>
          <w:bCs/>
          <w:snapToGrid w:val="0"/>
        </w:rPr>
        <w:t>In March 2013, t</w:t>
      </w:r>
      <w:r w:rsidRPr="00DC4D12">
        <w:rPr>
          <w:rFonts w:asciiTheme="minorHAnsi" w:hAnsiTheme="minorHAnsi"/>
          <w:bCs/>
          <w:snapToGrid w:val="0"/>
        </w:rPr>
        <w:t xml:space="preserve">he PBAC noted that the presented trial data did not match the target patient population. However, the PBAC recalled that it had previously accepted that risedronate was non-inferior to alendronate in the primary prevention setting for osteoporosis. </w:t>
      </w:r>
      <w:r w:rsidR="00BF734A" w:rsidRPr="00DC4D12">
        <w:rPr>
          <w:rFonts w:asciiTheme="minorHAnsi" w:hAnsiTheme="minorHAnsi"/>
          <w:bCs/>
          <w:snapToGrid w:val="0"/>
        </w:rPr>
        <w:t>At that time, t</w:t>
      </w:r>
      <w:r w:rsidRPr="00DC4D12">
        <w:rPr>
          <w:rFonts w:asciiTheme="minorHAnsi" w:hAnsiTheme="minorHAnsi"/>
          <w:bCs/>
          <w:snapToGrid w:val="0"/>
        </w:rPr>
        <w:t>he PBAC accepted that there was no pharmacological reason to expect any difference in treatment effect between the target population and the broader primary prevention population</w:t>
      </w:r>
      <w:r w:rsidR="00BF734A" w:rsidRPr="00DC4D12">
        <w:rPr>
          <w:rFonts w:asciiTheme="minorHAnsi" w:hAnsiTheme="minorHAnsi"/>
          <w:bCs/>
          <w:snapToGrid w:val="0"/>
        </w:rPr>
        <w:t xml:space="preserve"> (risedronate PSD, March 2013 PBAC meeting)</w:t>
      </w:r>
      <w:r w:rsidRPr="00DC4D12">
        <w:rPr>
          <w:rFonts w:asciiTheme="minorHAnsi" w:hAnsiTheme="minorHAnsi"/>
          <w:bCs/>
          <w:snapToGrid w:val="0"/>
        </w:rPr>
        <w:t>.</w:t>
      </w:r>
    </w:p>
    <w:p w14:paraId="45EEC6CB" w14:textId="0F5C5196" w:rsidR="00B22D2B" w:rsidRPr="00966B2C" w:rsidRDefault="00B22D2B" w:rsidP="00966B2C">
      <w:pPr>
        <w:widowControl w:val="0"/>
        <w:numPr>
          <w:ilvl w:val="1"/>
          <w:numId w:val="1"/>
        </w:numPr>
        <w:spacing w:after="120"/>
        <w:ind w:left="720" w:hanging="720"/>
        <w:rPr>
          <w:bCs/>
        </w:rPr>
      </w:pPr>
      <w:r w:rsidRPr="00966B2C">
        <w:rPr>
          <w:rFonts w:asciiTheme="minorHAnsi" w:hAnsiTheme="minorHAnsi"/>
          <w:bCs/>
          <w:snapToGrid w:val="0"/>
        </w:rPr>
        <w:t>The ESC considered that the rationale for using alendronate as a proxy for the treatment benefit for risedronate was inadequately justified. The ESC advised the use of these data added to the uncertainty associated with estimating the treatment effects of risedronate in the propos</w:t>
      </w:r>
      <w:r w:rsidRPr="00DC4D12">
        <w:rPr>
          <w:rFonts w:asciiTheme="minorHAnsi" w:hAnsiTheme="minorHAnsi"/>
          <w:bCs/>
          <w:snapToGrid w:val="0"/>
        </w:rPr>
        <w:t>ed PBS population.</w:t>
      </w:r>
    </w:p>
    <w:p w14:paraId="1452C351" w14:textId="0D19F1B0" w:rsidR="00B60939" w:rsidRPr="002E14F6" w:rsidRDefault="00B60939" w:rsidP="00D86231">
      <w:pPr>
        <w:pStyle w:val="COMH2-non-numbered"/>
      </w:pPr>
      <w:bookmarkStart w:id="29" w:name="_Toc22897642"/>
      <w:bookmarkStart w:id="30" w:name="_Toc113980154"/>
      <w:r w:rsidRPr="002E14F6">
        <w:t>Comparative harms</w:t>
      </w:r>
      <w:bookmarkEnd w:id="29"/>
      <w:bookmarkEnd w:id="30"/>
    </w:p>
    <w:p w14:paraId="7A563673" w14:textId="6F94AAEF" w:rsidR="004708BB" w:rsidRPr="00966B2C" w:rsidRDefault="003030CD" w:rsidP="00DC4D12">
      <w:pPr>
        <w:widowControl w:val="0"/>
        <w:numPr>
          <w:ilvl w:val="1"/>
          <w:numId w:val="1"/>
        </w:numPr>
        <w:spacing w:after="120"/>
        <w:ind w:left="720" w:hanging="720"/>
        <w:rPr>
          <w:bCs/>
        </w:rPr>
      </w:pPr>
      <w:r w:rsidRPr="00DC4D12">
        <w:rPr>
          <w:rFonts w:asciiTheme="minorHAnsi" w:hAnsiTheme="minorHAnsi"/>
          <w:bCs/>
          <w:snapToGrid w:val="0"/>
        </w:rPr>
        <w:t xml:space="preserve">The submission noted that the safety profile of risedronate has previously been considered by the PBAC. Therefore, a high-level summary of adverse events in the included trials was provided in the submission. </w:t>
      </w:r>
      <w:r w:rsidR="000E64EC" w:rsidRPr="00DC4D12">
        <w:rPr>
          <w:rFonts w:asciiTheme="minorHAnsi" w:hAnsiTheme="minorHAnsi"/>
          <w:bCs/>
          <w:snapToGrid w:val="0"/>
        </w:rPr>
        <w:t xml:space="preserve">The included trials were conducted in older patients (mean ages of 65 years and above) in mixed primary and secondary prevention populations and may not be representative of the safety profile of risedronate in the requested population. </w:t>
      </w:r>
      <w:r w:rsidR="004708BB" w:rsidRPr="00DC4D12">
        <w:rPr>
          <w:rFonts w:asciiTheme="minorHAnsi" w:hAnsiTheme="minorHAnsi"/>
          <w:bCs/>
          <w:snapToGrid w:val="0"/>
        </w:rPr>
        <w:t>While acknowledging the uncertainty around the risk-benefit profile in younger patients, the PSCR argued post-marketing safety surveillance data captures usage in patients of all ages with no age-related safety issues identified.</w:t>
      </w:r>
    </w:p>
    <w:p w14:paraId="2DAF16D1" w14:textId="463FD9A5" w:rsidR="00B60939" w:rsidRPr="00966B2C" w:rsidRDefault="003030CD" w:rsidP="00DC4D12">
      <w:pPr>
        <w:widowControl w:val="0"/>
        <w:numPr>
          <w:ilvl w:val="1"/>
          <w:numId w:val="1"/>
        </w:numPr>
        <w:spacing w:after="120"/>
        <w:ind w:left="720" w:hanging="720"/>
        <w:rPr>
          <w:bCs/>
        </w:rPr>
      </w:pPr>
      <w:r w:rsidRPr="00DC4D12">
        <w:rPr>
          <w:rFonts w:asciiTheme="minorHAnsi" w:hAnsiTheme="minorHAnsi"/>
          <w:bCs/>
          <w:snapToGrid w:val="0"/>
        </w:rPr>
        <w:t>No safety data were reported in the published abstract of the BMD-NA trial. A summary of adverse event data from the trials (including the HIP trial) w</w:t>
      </w:r>
      <w:r w:rsidR="000E30D1" w:rsidRPr="00DC4D12">
        <w:rPr>
          <w:rFonts w:asciiTheme="minorHAnsi" w:hAnsiTheme="minorHAnsi"/>
          <w:bCs/>
          <w:snapToGrid w:val="0"/>
        </w:rPr>
        <w:t>as</w:t>
      </w:r>
      <w:r w:rsidRPr="00DC4D12">
        <w:rPr>
          <w:rFonts w:asciiTheme="minorHAnsi" w:hAnsiTheme="minorHAnsi"/>
          <w:bCs/>
          <w:snapToGrid w:val="0"/>
        </w:rPr>
        <w:t xml:space="preserve"> presented during the evaluation (see </w:t>
      </w:r>
      <w:r w:rsidR="00E0310D" w:rsidRPr="00DC4D12">
        <w:rPr>
          <w:rFonts w:asciiTheme="minorHAnsi" w:hAnsiTheme="minorHAnsi"/>
          <w:bCs/>
          <w:snapToGrid w:val="0"/>
        </w:rPr>
        <w:fldChar w:fldCharType="begin" w:fldLock="1"/>
      </w:r>
      <w:r w:rsidR="00E0310D" w:rsidRPr="00DC4D12">
        <w:rPr>
          <w:rFonts w:asciiTheme="minorHAnsi" w:hAnsiTheme="minorHAnsi"/>
          <w:bCs/>
          <w:snapToGrid w:val="0"/>
        </w:rPr>
        <w:instrText xml:space="preserve"> REF _Ref112667446 \h  \* MERGEFORMAT </w:instrText>
      </w:r>
      <w:r w:rsidR="00E0310D" w:rsidRPr="00DC4D12">
        <w:rPr>
          <w:rFonts w:asciiTheme="minorHAnsi" w:hAnsiTheme="minorHAnsi"/>
          <w:bCs/>
          <w:snapToGrid w:val="0"/>
        </w:rPr>
      </w:r>
      <w:r w:rsidR="00E0310D" w:rsidRPr="00DC4D12">
        <w:rPr>
          <w:rFonts w:asciiTheme="minorHAnsi" w:hAnsiTheme="minorHAnsi"/>
          <w:bCs/>
          <w:snapToGrid w:val="0"/>
        </w:rPr>
        <w:fldChar w:fldCharType="separate"/>
      </w:r>
      <w:r w:rsidR="00E0310D" w:rsidRPr="00DC4D12">
        <w:rPr>
          <w:rFonts w:asciiTheme="minorHAnsi" w:hAnsiTheme="minorHAnsi"/>
          <w:bCs/>
          <w:snapToGrid w:val="0"/>
        </w:rPr>
        <w:t>Table 6</w:t>
      </w:r>
      <w:r w:rsidR="00E0310D" w:rsidRPr="00DC4D12">
        <w:rPr>
          <w:rFonts w:asciiTheme="minorHAnsi" w:hAnsiTheme="minorHAnsi"/>
          <w:bCs/>
          <w:snapToGrid w:val="0"/>
        </w:rPr>
        <w:fldChar w:fldCharType="end"/>
      </w:r>
      <w:r w:rsidRPr="00DC4D12">
        <w:rPr>
          <w:rFonts w:asciiTheme="minorHAnsi" w:hAnsiTheme="minorHAnsi"/>
          <w:bCs/>
          <w:snapToGrid w:val="0"/>
        </w:rPr>
        <w:t xml:space="preserve"> below).</w:t>
      </w:r>
    </w:p>
    <w:p w14:paraId="1C06D612" w14:textId="1596FC68" w:rsidR="003030CD" w:rsidRPr="002E14F6" w:rsidRDefault="00E0310D" w:rsidP="00E0310D">
      <w:pPr>
        <w:pStyle w:val="COMtablefigcaption"/>
      </w:pPr>
      <w:bookmarkStart w:id="31" w:name="_Ref112667446"/>
      <w:r>
        <w:t xml:space="preserve">Table </w:t>
      </w:r>
      <w:r w:rsidR="00400174">
        <w:fldChar w:fldCharType="begin" w:fldLock="1"/>
      </w:r>
      <w:r w:rsidR="00400174">
        <w:instrText xml:space="preserve"> SEQ Table \* ARABIC </w:instrText>
      </w:r>
      <w:r w:rsidR="00400174">
        <w:fldChar w:fldCharType="separate"/>
      </w:r>
      <w:r w:rsidR="00C2719F">
        <w:rPr>
          <w:noProof/>
        </w:rPr>
        <w:t>6</w:t>
      </w:r>
      <w:r w:rsidR="00400174">
        <w:rPr>
          <w:noProof/>
        </w:rPr>
        <w:fldChar w:fldCharType="end"/>
      </w:r>
      <w:bookmarkEnd w:id="31"/>
      <w:r>
        <w:t xml:space="preserve">: </w:t>
      </w:r>
      <w:r w:rsidRPr="00E0310D">
        <w:t>Summary of key adverse events in the randomised trials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Summary of key adverse events in the randomised trials"/>
      </w:tblPr>
      <w:tblGrid>
        <w:gridCol w:w="1829"/>
        <w:gridCol w:w="1437"/>
        <w:gridCol w:w="1438"/>
        <w:gridCol w:w="1437"/>
        <w:gridCol w:w="1438"/>
        <w:gridCol w:w="1438"/>
      </w:tblGrid>
      <w:tr w:rsidR="003030CD" w:rsidRPr="002E14F6" w14:paraId="6EC2FFC7" w14:textId="77777777" w:rsidTr="005F1ABD">
        <w:trPr>
          <w:tblHeader/>
        </w:trPr>
        <w:tc>
          <w:tcPr>
            <w:tcW w:w="1829" w:type="dxa"/>
            <w:vMerge w:val="restart"/>
            <w:vAlign w:val="center"/>
          </w:tcPr>
          <w:p w14:paraId="4D4F3F97" w14:textId="77777777" w:rsidR="003030CD" w:rsidRPr="002E14F6" w:rsidRDefault="003030CD" w:rsidP="005F1ABD">
            <w:pPr>
              <w:pStyle w:val="COMTableheadingrow"/>
              <w:rPr>
                <w:lang w:val="en-AU"/>
              </w:rPr>
            </w:pPr>
            <w:r w:rsidRPr="002E14F6">
              <w:rPr>
                <w:lang w:val="en-AU"/>
              </w:rPr>
              <w:t>Trial ID</w:t>
            </w:r>
          </w:p>
        </w:tc>
        <w:tc>
          <w:tcPr>
            <w:tcW w:w="7188" w:type="dxa"/>
            <w:gridSpan w:val="5"/>
          </w:tcPr>
          <w:p w14:paraId="74474F88" w14:textId="77777777" w:rsidR="003030CD" w:rsidRPr="002E14F6" w:rsidRDefault="003030CD" w:rsidP="005F1ABD">
            <w:pPr>
              <w:pStyle w:val="COMTableheadingrow"/>
              <w:jc w:val="center"/>
              <w:rPr>
                <w:lang w:val="en-AU"/>
              </w:rPr>
            </w:pPr>
            <w:r w:rsidRPr="002E14F6">
              <w:rPr>
                <w:lang w:val="en-AU"/>
              </w:rPr>
              <w:t>Patients with events, n/N (%)</w:t>
            </w:r>
          </w:p>
        </w:tc>
      </w:tr>
      <w:tr w:rsidR="003030CD" w:rsidRPr="002E14F6" w14:paraId="2DC23CA4" w14:textId="77777777" w:rsidTr="005F1ABD">
        <w:tc>
          <w:tcPr>
            <w:tcW w:w="1829" w:type="dxa"/>
            <w:vMerge/>
            <w:vAlign w:val="center"/>
          </w:tcPr>
          <w:p w14:paraId="49DB5A5F" w14:textId="77777777" w:rsidR="003030CD" w:rsidRPr="002E14F6" w:rsidRDefault="003030CD" w:rsidP="005F1ABD">
            <w:pPr>
              <w:pStyle w:val="COMTabletext"/>
            </w:pPr>
          </w:p>
        </w:tc>
        <w:tc>
          <w:tcPr>
            <w:tcW w:w="1437" w:type="dxa"/>
            <w:vAlign w:val="center"/>
          </w:tcPr>
          <w:p w14:paraId="7F26C9B2" w14:textId="77777777" w:rsidR="003030CD" w:rsidRPr="002E14F6" w:rsidRDefault="003030CD" w:rsidP="005F1ABD">
            <w:pPr>
              <w:pStyle w:val="COMTableheadingrow"/>
              <w:jc w:val="center"/>
              <w:rPr>
                <w:lang w:val="en-AU"/>
              </w:rPr>
            </w:pPr>
            <w:r w:rsidRPr="002E14F6">
              <w:rPr>
                <w:lang w:val="en-AU"/>
              </w:rPr>
              <w:t>Any adverse event</w:t>
            </w:r>
          </w:p>
        </w:tc>
        <w:tc>
          <w:tcPr>
            <w:tcW w:w="1438" w:type="dxa"/>
            <w:vAlign w:val="center"/>
          </w:tcPr>
          <w:p w14:paraId="0E14B40B" w14:textId="77777777" w:rsidR="003030CD" w:rsidRPr="002E14F6" w:rsidRDefault="003030CD" w:rsidP="005F1ABD">
            <w:pPr>
              <w:pStyle w:val="COMTableheadingrow"/>
              <w:jc w:val="center"/>
              <w:rPr>
                <w:lang w:val="en-AU"/>
              </w:rPr>
            </w:pPr>
            <w:r w:rsidRPr="002E14F6">
              <w:rPr>
                <w:lang w:val="en-AU"/>
              </w:rPr>
              <w:t>Treatment-related adverse event</w:t>
            </w:r>
          </w:p>
        </w:tc>
        <w:tc>
          <w:tcPr>
            <w:tcW w:w="1437" w:type="dxa"/>
            <w:vAlign w:val="center"/>
          </w:tcPr>
          <w:p w14:paraId="4B4BBF92" w14:textId="77777777" w:rsidR="003030CD" w:rsidRPr="002E14F6" w:rsidRDefault="003030CD" w:rsidP="005F1ABD">
            <w:pPr>
              <w:pStyle w:val="COMTableheadingrow"/>
              <w:jc w:val="center"/>
              <w:rPr>
                <w:lang w:val="en-AU"/>
              </w:rPr>
            </w:pPr>
            <w:r w:rsidRPr="002E14F6">
              <w:rPr>
                <w:lang w:val="en-AU"/>
              </w:rPr>
              <w:t>Serious adverse event</w:t>
            </w:r>
          </w:p>
        </w:tc>
        <w:tc>
          <w:tcPr>
            <w:tcW w:w="1438" w:type="dxa"/>
            <w:vAlign w:val="center"/>
          </w:tcPr>
          <w:p w14:paraId="34011902" w14:textId="77777777" w:rsidR="003030CD" w:rsidRPr="002E14F6" w:rsidRDefault="003030CD" w:rsidP="005F1ABD">
            <w:pPr>
              <w:pStyle w:val="COMTableheadingrow"/>
              <w:jc w:val="center"/>
              <w:rPr>
                <w:lang w:val="en-AU"/>
              </w:rPr>
            </w:pPr>
            <w:r w:rsidRPr="002E14F6">
              <w:rPr>
                <w:lang w:val="en-AU"/>
              </w:rPr>
              <w:t>Withdrawal due to adverse events</w:t>
            </w:r>
          </w:p>
        </w:tc>
        <w:tc>
          <w:tcPr>
            <w:tcW w:w="1438" w:type="dxa"/>
            <w:vAlign w:val="center"/>
          </w:tcPr>
          <w:p w14:paraId="29293AD1" w14:textId="77777777" w:rsidR="003030CD" w:rsidRPr="002E14F6" w:rsidRDefault="003030CD" w:rsidP="005F1ABD">
            <w:pPr>
              <w:pStyle w:val="COMTableheadingrow"/>
              <w:jc w:val="center"/>
              <w:rPr>
                <w:lang w:val="en-AU"/>
              </w:rPr>
            </w:pPr>
            <w:r w:rsidRPr="002E14F6">
              <w:rPr>
                <w:lang w:val="en-AU"/>
              </w:rPr>
              <w:t>Any upper GI event</w:t>
            </w:r>
          </w:p>
        </w:tc>
      </w:tr>
      <w:tr w:rsidR="003030CD" w:rsidRPr="002E14F6" w14:paraId="1E0C8B68" w14:textId="77777777" w:rsidTr="005F1ABD">
        <w:tc>
          <w:tcPr>
            <w:tcW w:w="9017" w:type="dxa"/>
            <w:gridSpan w:val="6"/>
            <w:vAlign w:val="center"/>
          </w:tcPr>
          <w:p w14:paraId="0F9D3BD1" w14:textId="77777777" w:rsidR="003030CD" w:rsidRPr="002E14F6" w:rsidRDefault="003030CD" w:rsidP="005F1ABD">
            <w:pPr>
              <w:pStyle w:val="COMTableheadingrow"/>
              <w:rPr>
                <w:lang w:val="en-AU"/>
              </w:rPr>
            </w:pPr>
            <w:r w:rsidRPr="002E14F6">
              <w:rPr>
                <w:lang w:val="en-AU"/>
              </w:rPr>
              <w:t>BMD-MN (1 year)</w:t>
            </w:r>
          </w:p>
        </w:tc>
      </w:tr>
      <w:tr w:rsidR="003030CD" w:rsidRPr="002E14F6" w14:paraId="5F2DE23F" w14:textId="77777777" w:rsidTr="005F1ABD">
        <w:tc>
          <w:tcPr>
            <w:tcW w:w="1829" w:type="dxa"/>
            <w:vAlign w:val="center"/>
          </w:tcPr>
          <w:p w14:paraId="624CDD63" w14:textId="77777777" w:rsidR="003030CD" w:rsidRPr="002E14F6" w:rsidRDefault="003030CD" w:rsidP="005F1ABD">
            <w:pPr>
              <w:pStyle w:val="COMTabletext"/>
            </w:pPr>
            <w:r w:rsidRPr="002E14F6">
              <w:t>- Risedronate 2.5 mg</w:t>
            </w:r>
          </w:p>
        </w:tc>
        <w:tc>
          <w:tcPr>
            <w:tcW w:w="1437" w:type="dxa"/>
            <w:vAlign w:val="center"/>
          </w:tcPr>
          <w:p w14:paraId="39D5F92E" w14:textId="77777777" w:rsidR="003030CD" w:rsidRPr="002E14F6" w:rsidRDefault="003030CD" w:rsidP="005F1ABD">
            <w:pPr>
              <w:pStyle w:val="COMTabletext"/>
              <w:jc w:val="center"/>
            </w:pPr>
            <w:r w:rsidRPr="002E14F6">
              <w:t>172/185 (93)</w:t>
            </w:r>
          </w:p>
        </w:tc>
        <w:tc>
          <w:tcPr>
            <w:tcW w:w="1438" w:type="dxa"/>
            <w:vAlign w:val="center"/>
          </w:tcPr>
          <w:p w14:paraId="60C527DC" w14:textId="77777777" w:rsidR="003030CD" w:rsidRPr="002E14F6" w:rsidRDefault="003030CD" w:rsidP="005F1ABD">
            <w:pPr>
              <w:pStyle w:val="COMTabletext"/>
              <w:jc w:val="center"/>
            </w:pPr>
            <w:r w:rsidRPr="002E14F6">
              <w:t>NR</w:t>
            </w:r>
          </w:p>
        </w:tc>
        <w:tc>
          <w:tcPr>
            <w:tcW w:w="1437" w:type="dxa"/>
            <w:vAlign w:val="center"/>
          </w:tcPr>
          <w:p w14:paraId="06970E13" w14:textId="77777777" w:rsidR="003030CD" w:rsidRPr="002E14F6" w:rsidRDefault="003030CD" w:rsidP="005F1ABD">
            <w:pPr>
              <w:pStyle w:val="COMTabletext"/>
              <w:jc w:val="center"/>
            </w:pPr>
            <w:r w:rsidRPr="002E14F6">
              <w:t>21/185 (11)</w:t>
            </w:r>
          </w:p>
        </w:tc>
        <w:tc>
          <w:tcPr>
            <w:tcW w:w="1438" w:type="dxa"/>
            <w:vAlign w:val="center"/>
          </w:tcPr>
          <w:p w14:paraId="6C0398A3" w14:textId="77777777" w:rsidR="003030CD" w:rsidRPr="002E14F6" w:rsidRDefault="003030CD" w:rsidP="005F1ABD">
            <w:pPr>
              <w:pStyle w:val="COMTabletext"/>
              <w:jc w:val="center"/>
            </w:pPr>
            <w:r w:rsidRPr="002E14F6">
              <w:t>18/185 (10)</w:t>
            </w:r>
          </w:p>
        </w:tc>
        <w:tc>
          <w:tcPr>
            <w:tcW w:w="1438" w:type="dxa"/>
            <w:vAlign w:val="center"/>
          </w:tcPr>
          <w:p w14:paraId="610385B9" w14:textId="77777777" w:rsidR="003030CD" w:rsidRPr="002E14F6" w:rsidRDefault="003030CD" w:rsidP="005F1ABD">
            <w:pPr>
              <w:pStyle w:val="COMTabletext"/>
              <w:jc w:val="center"/>
            </w:pPr>
            <w:r w:rsidRPr="002E14F6">
              <w:t>55/185 (30)</w:t>
            </w:r>
          </w:p>
        </w:tc>
      </w:tr>
      <w:tr w:rsidR="003030CD" w:rsidRPr="002E14F6" w14:paraId="448887CF" w14:textId="77777777" w:rsidTr="005F1ABD">
        <w:tc>
          <w:tcPr>
            <w:tcW w:w="1829" w:type="dxa"/>
            <w:vAlign w:val="center"/>
          </w:tcPr>
          <w:p w14:paraId="7E4D7522" w14:textId="77777777" w:rsidR="003030CD" w:rsidRPr="002E14F6" w:rsidRDefault="003030CD" w:rsidP="005F1ABD">
            <w:pPr>
              <w:pStyle w:val="COMTabletext"/>
            </w:pPr>
            <w:r w:rsidRPr="002E14F6">
              <w:t xml:space="preserve">- Risedronate 5 mg </w:t>
            </w:r>
          </w:p>
        </w:tc>
        <w:tc>
          <w:tcPr>
            <w:tcW w:w="1437" w:type="dxa"/>
            <w:vAlign w:val="center"/>
          </w:tcPr>
          <w:p w14:paraId="7C9388EB" w14:textId="77777777" w:rsidR="003030CD" w:rsidRPr="002E14F6" w:rsidRDefault="003030CD" w:rsidP="005F1ABD">
            <w:pPr>
              <w:pStyle w:val="COMTabletext"/>
              <w:jc w:val="center"/>
            </w:pPr>
            <w:r w:rsidRPr="002E14F6">
              <w:t>169/178 (95)</w:t>
            </w:r>
          </w:p>
        </w:tc>
        <w:tc>
          <w:tcPr>
            <w:tcW w:w="1438" w:type="dxa"/>
            <w:vAlign w:val="center"/>
          </w:tcPr>
          <w:p w14:paraId="42F88B0B" w14:textId="77777777" w:rsidR="003030CD" w:rsidRPr="002E14F6" w:rsidRDefault="003030CD" w:rsidP="005F1ABD">
            <w:pPr>
              <w:pStyle w:val="COMTabletext"/>
              <w:jc w:val="center"/>
            </w:pPr>
            <w:r w:rsidRPr="002E14F6">
              <w:t>NR</w:t>
            </w:r>
          </w:p>
        </w:tc>
        <w:tc>
          <w:tcPr>
            <w:tcW w:w="1437" w:type="dxa"/>
            <w:vAlign w:val="center"/>
          </w:tcPr>
          <w:p w14:paraId="53FAFF95" w14:textId="77777777" w:rsidR="003030CD" w:rsidRPr="002E14F6" w:rsidRDefault="003030CD" w:rsidP="005F1ABD">
            <w:pPr>
              <w:pStyle w:val="COMTabletext"/>
              <w:jc w:val="center"/>
            </w:pPr>
            <w:r w:rsidRPr="002E14F6">
              <w:t>26/178 (15)</w:t>
            </w:r>
          </w:p>
        </w:tc>
        <w:tc>
          <w:tcPr>
            <w:tcW w:w="1438" w:type="dxa"/>
            <w:vAlign w:val="center"/>
          </w:tcPr>
          <w:p w14:paraId="5F2BE81F" w14:textId="77777777" w:rsidR="003030CD" w:rsidRPr="002E14F6" w:rsidRDefault="003030CD" w:rsidP="005F1ABD">
            <w:pPr>
              <w:pStyle w:val="COMTabletext"/>
              <w:jc w:val="center"/>
            </w:pPr>
            <w:r w:rsidRPr="002E14F6">
              <w:t>19/178 (11)</w:t>
            </w:r>
          </w:p>
        </w:tc>
        <w:tc>
          <w:tcPr>
            <w:tcW w:w="1438" w:type="dxa"/>
            <w:vAlign w:val="center"/>
          </w:tcPr>
          <w:p w14:paraId="3274C3CE" w14:textId="77777777" w:rsidR="003030CD" w:rsidRPr="002E14F6" w:rsidRDefault="003030CD" w:rsidP="005F1ABD">
            <w:pPr>
              <w:pStyle w:val="COMTabletext"/>
              <w:jc w:val="center"/>
            </w:pPr>
            <w:r w:rsidRPr="002E14F6">
              <w:t>40/178 (23)</w:t>
            </w:r>
          </w:p>
        </w:tc>
      </w:tr>
      <w:tr w:rsidR="003030CD" w:rsidRPr="002E14F6" w14:paraId="5F8C6CAB" w14:textId="77777777" w:rsidTr="005F1ABD">
        <w:tc>
          <w:tcPr>
            <w:tcW w:w="1829" w:type="dxa"/>
            <w:vAlign w:val="center"/>
          </w:tcPr>
          <w:p w14:paraId="44CEDF19" w14:textId="77777777" w:rsidR="003030CD" w:rsidRPr="002E14F6" w:rsidRDefault="003030CD" w:rsidP="005F1ABD">
            <w:pPr>
              <w:pStyle w:val="COMTabletext"/>
            </w:pPr>
            <w:r w:rsidRPr="002E14F6">
              <w:t>- Placebo</w:t>
            </w:r>
          </w:p>
        </w:tc>
        <w:tc>
          <w:tcPr>
            <w:tcW w:w="1437" w:type="dxa"/>
            <w:vAlign w:val="center"/>
          </w:tcPr>
          <w:p w14:paraId="4F51A630" w14:textId="77777777" w:rsidR="003030CD" w:rsidRPr="002E14F6" w:rsidRDefault="003030CD" w:rsidP="005F1ABD">
            <w:pPr>
              <w:pStyle w:val="COMTabletext"/>
              <w:jc w:val="center"/>
            </w:pPr>
            <w:r w:rsidRPr="002E14F6">
              <w:t>172/179 (96)</w:t>
            </w:r>
          </w:p>
        </w:tc>
        <w:tc>
          <w:tcPr>
            <w:tcW w:w="1438" w:type="dxa"/>
            <w:vAlign w:val="center"/>
          </w:tcPr>
          <w:p w14:paraId="0A614CB1" w14:textId="77777777" w:rsidR="003030CD" w:rsidRPr="002E14F6" w:rsidRDefault="003030CD" w:rsidP="005F1ABD">
            <w:pPr>
              <w:pStyle w:val="COMTabletext"/>
              <w:jc w:val="center"/>
            </w:pPr>
            <w:r w:rsidRPr="002E14F6">
              <w:t>NR</w:t>
            </w:r>
          </w:p>
        </w:tc>
        <w:tc>
          <w:tcPr>
            <w:tcW w:w="1437" w:type="dxa"/>
            <w:vAlign w:val="center"/>
          </w:tcPr>
          <w:p w14:paraId="51C7E031" w14:textId="77777777" w:rsidR="003030CD" w:rsidRPr="002E14F6" w:rsidRDefault="003030CD" w:rsidP="005F1ABD">
            <w:pPr>
              <w:pStyle w:val="COMTabletext"/>
              <w:jc w:val="center"/>
            </w:pPr>
            <w:r w:rsidRPr="002E14F6">
              <w:t>27/179 (15)</w:t>
            </w:r>
          </w:p>
        </w:tc>
        <w:tc>
          <w:tcPr>
            <w:tcW w:w="1438" w:type="dxa"/>
            <w:vAlign w:val="center"/>
          </w:tcPr>
          <w:p w14:paraId="7BF092FC" w14:textId="77777777" w:rsidR="003030CD" w:rsidRPr="002E14F6" w:rsidRDefault="003030CD" w:rsidP="005F1ABD">
            <w:pPr>
              <w:pStyle w:val="COMTabletext"/>
              <w:jc w:val="center"/>
            </w:pPr>
            <w:r w:rsidRPr="002E14F6">
              <w:t>14/179 (8)</w:t>
            </w:r>
          </w:p>
        </w:tc>
        <w:tc>
          <w:tcPr>
            <w:tcW w:w="1438" w:type="dxa"/>
            <w:vAlign w:val="center"/>
          </w:tcPr>
          <w:p w14:paraId="5743CFEC" w14:textId="77777777" w:rsidR="003030CD" w:rsidRPr="002E14F6" w:rsidRDefault="003030CD" w:rsidP="005F1ABD">
            <w:pPr>
              <w:pStyle w:val="COMTabletext"/>
              <w:jc w:val="center"/>
            </w:pPr>
            <w:r w:rsidRPr="002E14F6">
              <w:t>47/179 (26)</w:t>
            </w:r>
          </w:p>
        </w:tc>
      </w:tr>
      <w:tr w:rsidR="003030CD" w:rsidRPr="002E14F6" w14:paraId="7823563A" w14:textId="77777777" w:rsidTr="005F1ABD">
        <w:tc>
          <w:tcPr>
            <w:tcW w:w="9017" w:type="dxa"/>
            <w:gridSpan w:val="6"/>
            <w:vAlign w:val="center"/>
          </w:tcPr>
          <w:p w14:paraId="2931D774" w14:textId="77777777" w:rsidR="003030CD" w:rsidRPr="002E14F6" w:rsidRDefault="003030CD" w:rsidP="005F1ABD">
            <w:pPr>
              <w:pStyle w:val="COMTableheadingrow"/>
              <w:rPr>
                <w:lang w:val="en-AU"/>
              </w:rPr>
            </w:pPr>
            <w:r w:rsidRPr="002E14F6">
              <w:rPr>
                <w:lang w:val="en-AU"/>
              </w:rPr>
              <w:t>HIP (3 years)</w:t>
            </w:r>
          </w:p>
        </w:tc>
      </w:tr>
      <w:tr w:rsidR="003030CD" w:rsidRPr="002E14F6" w14:paraId="6531DB22" w14:textId="77777777" w:rsidTr="005F1ABD">
        <w:tc>
          <w:tcPr>
            <w:tcW w:w="1829" w:type="dxa"/>
            <w:vAlign w:val="center"/>
          </w:tcPr>
          <w:p w14:paraId="7EAFEE25" w14:textId="77777777" w:rsidR="003030CD" w:rsidRPr="002E14F6" w:rsidRDefault="003030CD" w:rsidP="005F1ABD">
            <w:pPr>
              <w:pStyle w:val="COMTabletext"/>
            </w:pPr>
            <w:r w:rsidRPr="002E14F6">
              <w:t>- Risedronate 2.5 mg</w:t>
            </w:r>
          </w:p>
        </w:tc>
        <w:tc>
          <w:tcPr>
            <w:tcW w:w="1437" w:type="dxa"/>
            <w:vAlign w:val="center"/>
          </w:tcPr>
          <w:p w14:paraId="3E50040B" w14:textId="77777777" w:rsidR="003030CD" w:rsidRPr="002E14F6" w:rsidRDefault="003030CD" w:rsidP="005F1ABD">
            <w:pPr>
              <w:pStyle w:val="COMTabletext"/>
              <w:jc w:val="center"/>
            </w:pPr>
            <w:r w:rsidRPr="002E14F6">
              <w:t>2,762/3,093 (89)</w:t>
            </w:r>
          </w:p>
        </w:tc>
        <w:tc>
          <w:tcPr>
            <w:tcW w:w="1438" w:type="dxa"/>
            <w:vAlign w:val="center"/>
          </w:tcPr>
          <w:p w14:paraId="1EB7E48D" w14:textId="77777777" w:rsidR="003030CD" w:rsidRPr="002E14F6" w:rsidRDefault="003030CD" w:rsidP="005F1ABD">
            <w:pPr>
              <w:pStyle w:val="COMTabletext"/>
              <w:jc w:val="center"/>
            </w:pPr>
            <w:r w:rsidRPr="002E14F6">
              <w:t>NR</w:t>
            </w:r>
          </w:p>
        </w:tc>
        <w:tc>
          <w:tcPr>
            <w:tcW w:w="1437" w:type="dxa"/>
            <w:vAlign w:val="center"/>
          </w:tcPr>
          <w:p w14:paraId="0FC7C4CD" w14:textId="77777777" w:rsidR="003030CD" w:rsidRPr="002E14F6" w:rsidRDefault="003030CD" w:rsidP="005F1ABD">
            <w:pPr>
              <w:pStyle w:val="COMTabletext"/>
              <w:jc w:val="center"/>
            </w:pPr>
            <w:r w:rsidRPr="002E14F6">
              <w:t>946/3,093 (31)</w:t>
            </w:r>
          </w:p>
        </w:tc>
        <w:tc>
          <w:tcPr>
            <w:tcW w:w="1438" w:type="dxa"/>
            <w:vAlign w:val="center"/>
          </w:tcPr>
          <w:p w14:paraId="7DD59C33" w14:textId="77777777" w:rsidR="003030CD" w:rsidRPr="002E14F6" w:rsidRDefault="003030CD" w:rsidP="005F1ABD">
            <w:pPr>
              <w:pStyle w:val="COMTabletext"/>
              <w:jc w:val="center"/>
            </w:pPr>
            <w:r w:rsidRPr="002E14F6">
              <w:t>548/3,093 (18)</w:t>
            </w:r>
          </w:p>
        </w:tc>
        <w:tc>
          <w:tcPr>
            <w:tcW w:w="1438" w:type="dxa"/>
            <w:vAlign w:val="center"/>
          </w:tcPr>
          <w:p w14:paraId="06D6456B" w14:textId="77777777" w:rsidR="003030CD" w:rsidRPr="002E14F6" w:rsidRDefault="003030CD" w:rsidP="005F1ABD">
            <w:pPr>
              <w:pStyle w:val="COMTabletext"/>
              <w:jc w:val="center"/>
            </w:pPr>
            <w:r w:rsidRPr="002E14F6">
              <w:t>690/3,093 (22)</w:t>
            </w:r>
          </w:p>
        </w:tc>
      </w:tr>
      <w:tr w:rsidR="003030CD" w:rsidRPr="002E14F6" w14:paraId="6628C68E" w14:textId="77777777" w:rsidTr="005F1ABD">
        <w:tc>
          <w:tcPr>
            <w:tcW w:w="1829" w:type="dxa"/>
            <w:vAlign w:val="center"/>
          </w:tcPr>
          <w:p w14:paraId="44B08935" w14:textId="77777777" w:rsidR="003030CD" w:rsidRPr="002E14F6" w:rsidRDefault="003030CD" w:rsidP="005F1ABD">
            <w:pPr>
              <w:pStyle w:val="COMTabletext"/>
            </w:pPr>
            <w:r w:rsidRPr="002E14F6">
              <w:t>- Risedronate 5 mg</w:t>
            </w:r>
          </w:p>
        </w:tc>
        <w:tc>
          <w:tcPr>
            <w:tcW w:w="1437" w:type="dxa"/>
            <w:vAlign w:val="center"/>
          </w:tcPr>
          <w:p w14:paraId="438C98A3" w14:textId="77777777" w:rsidR="003030CD" w:rsidRPr="002E14F6" w:rsidRDefault="003030CD" w:rsidP="005F1ABD">
            <w:pPr>
              <w:pStyle w:val="COMTabletext"/>
              <w:jc w:val="center"/>
            </w:pPr>
            <w:r w:rsidRPr="002E14F6">
              <w:t>2,786/3,104 (90)</w:t>
            </w:r>
          </w:p>
        </w:tc>
        <w:tc>
          <w:tcPr>
            <w:tcW w:w="1438" w:type="dxa"/>
            <w:vAlign w:val="center"/>
          </w:tcPr>
          <w:p w14:paraId="03C86BA7" w14:textId="77777777" w:rsidR="003030CD" w:rsidRPr="002E14F6" w:rsidRDefault="003030CD" w:rsidP="005F1ABD">
            <w:pPr>
              <w:pStyle w:val="COMTabletext"/>
              <w:jc w:val="center"/>
            </w:pPr>
            <w:r w:rsidRPr="002E14F6">
              <w:t>NR</w:t>
            </w:r>
          </w:p>
        </w:tc>
        <w:tc>
          <w:tcPr>
            <w:tcW w:w="1437" w:type="dxa"/>
            <w:vAlign w:val="center"/>
          </w:tcPr>
          <w:p w14:paraId="3AD68F41" w14:textId="77777777" w:rsidR="003030CD" w:rsidRPr="002E14F6" w:rsidRDefault="003030CD" w:rsidP="005F1ABD">
            <w:pPr>
              <w:pStyle w:val="COMTabletext"/>
              <w:jc w:val="center"/>
            </w:pPr>
            <w:r w:rsidRPr="002E14F6">
              <w:t>943/3,104 (30)</w:t>
            </w:r>
          </w:p>
        </w:tc>
        <w:tc>
          <w:tcPr>
            <w:tcW w:w="1438" w:type="dxa"/>
            <w:vAlign w:val="center"/>
          </w:tcPr>
          <w:p w14:paraId="5442832F" w14:textId="77777777" w:rsidR="003030CD" w:rsidRPr="002E14F6" w:rsidRDefault="003030CD" w:rsidP="005F1ABD">
            <w:pPr>
              <w:pStyle w:val="COMTabletext"/>
              <w:jc w:val="center"/>
            </w:pPr>
            <w:r w:rsidRPr="002E14F6">
              <w:t>550/3,104 (18)</w:t>
            </w:r>
          </w:p>
        </w:tc>
        <w:tc>
          <w:tcPr>
            <w:tcW w:w="1438" w:type="dxa"/>
            <w:vAlign w:val="center"/>
          </w:tcPr>
          <w:p w14:paraId="16AF825C" w14:textId="77777777" w:rsidR="003030CD" w:rsidRPr="002E14F6" w:rsidRDefault="003030CD" w:rsidP="005F1ABD">
            <w:pPr>
              <w:pStyle w:val="COMTabletext"/>
              <w:jc w:val="center"/>
            </w:pPr>
            <w:r w:rsidRPr="002E14F6">
              <w:t>564/3,134 (18)</w:t>
            </w:r>
          </w:p>
        </w:tc>
      </w:tr>
      <w:tr w:rsidR="003030CD" w:rsidRPr="002E14F6" w14:paraId="5C845533" w14:textId="77777777" w:rsidTr="005F1ABD">
        <w:tc>
          <w:tcPr>
            <w:tcW w:w="1829" w:type="dxa"/>
            <w:vAlign w:val="center"/>
          </w:tcPr>
          <w:p w14:paraId="45562C33" w14:textId="77777777" w:rsidR="003030CD" w:rsidRPr="002E14F6" w:rsidRDefault="003030CD" w:rsidP="005F1ABD">
            <w:pPr>
              <w:pStyle w:val="COMTabletext"/>
            </w:pPr>
            <w:r w:rsidRPr="002E14F6">
              <w:t>- Placebo</w:t>
            </w:r>
          </w:p>
        </w:tc>
        <w:tc>
          <w:tcPr>
            <w:tcW w:w="1437" w:type="dxa"/>
            <w:vAlign w:val="center"/>
          </w:tcPr>
          <w:p w14:paraId="15EA689C" w14:textId="77777777" w:rsidR="003030CD" w:rsidRPr="002E14F6" w:rsidRDefault="003030CD" w:rsidP="005F1ABD">
            <w:pPr>
              <w:pStyle w:val="COMTabletext"/>
              <w:jc w:val="center"/>
            </w:pPr>
            <w:r w:rsidRPr="002E14F6">
              <w:t>2,805/3,134 (90)</w:t>
            </w:r>
          </w:p>
        </w:tc>
        <w:tc>
          <w:tcPr>
            <w:tcW w:w="1438" w:type="dxa"/>
            <w:vAlign w:val="center"/>
          </w:tcPr>
          <w:p w14:paraId="5CBBF878" w14:textId="77777777" w:rsidR="003030CD" w:rsidRPr="002E14F6" w:rsidRDefault="003030CD" w:rsidP="005F1ABD">
            <w:pPr>
              <w:pStyle w:val="COMTabletext"/>
              <w:jc w:val="center"/>
            </w:pPr>
            <w:r w:rsidRPr="002E14F6">
              <w:t>NR</w:t>
            </w:r>
          </w:p>
        </w:tc>
        <w:tc>
          <w:tcPr>
            <w:tcW w:w="1437" w:type="dxa"/>
            <w:vAlign w:val="center"/>
          </w:tcPr>
          <w:p w14:paraId="3237FE98" w14:textId="77777777" w:rsidR="003030CD" w:rsidRPr="002E14F6" w:rsidRDefault="003030CD" w:rsidP="005F1ABD">
            <w:pPr>
              <w:pStyle w:val="COMTabletext"/>
              <w:jc w:val="center"/>
            </w:pPr>
            <w:r w:rsidRPr="002E14F6">
              <w:t>973/3,134 (31)</w:t>
            </w:r>
          </w:p>
        </w:tc>
        <w:tc>
          <w:tcPr>
            <w:tcW w:w="1438" w:type="dxa"/>
            <w:vAlign w:val="center"/>
          </w:tcPr>
          <w:p w14:paraId="292ECF62" w14:textId="77777777" w:rsidR="003030CD" w:rsidRPr="002E14F6" w:rsidRDefault="003030CD" w:rsidP="005F1ABD">
            <w:pPr>
              <w:pStyle w:val="COMTabletext"/>
              <w:jc w:val="center"/>
            </w:pPr>
            <w:r w:rsidRPr="002E14F6">
              <w:t>564/3,134 (18)</w:t>
            </w:r>
          </w:p>
        </w:tc>
        <w:tc>
          <w:tcPr>
            <w:tcW w:w="1438" w:type="dxa"/>
            <w:vAlign w:val="center"/>
          </w:tcPr>
          <w:p w14:paraId="03D6A4FE" w14:textId="77777777" w:rsidR="003030CD" w:rsidRPr="002E14F6" w:rsidRDefault="003030CD" w:rsidP="005F1ABD">
            <w:pPr>
              <w:pStyle w:val="COMTabletext"/>
              <w:jc w:val="center"/>
            </w:pPr>
            <w:r w:rsidRPr="002E14F6">
              <w:t>684/3,134 (22)</w:t>
            </w:r>
          </w:p>
        </w:tc>
      </w:tr>
      <w:tr w:rsidR="003030CD" w:rsidRPr="002E14F6" w14:paraId="416C2257" w14:textId="77777777" w:rsidTr="005F1ABD">
        <w:tc>
          <w:tcPr>
            <w:tcW w:w="9017" w:type="dxa"/>
            <w:gridSpan w:val="6"/>
            <w:vAlign w:val="center"/>
          </w:tcPr>
          <w:p w14:paraId="5BC576D1" w14:textId="77777777" w:rsidR="003030CD" w:rsidRPr="002E14F6" w:rsidRDefault="003030CD" w:rsidP="005F1ABD">
            <w:pPr>
              <w:pStyle w:val="COMTableheadingrow"/>
              <w:rPr>
                <w:lang w:val="en-AU"/>
              </w:rPr>
            </w:pPr>
            <w:r w:rsidRPr="002E14F6">
              <w:rPr>
                <w:lang w:val="en-AU"/>
              </w:rPr>
              <w:t>VERT-MN (3 years)</w:t>
            </w:r>
          </w:p>
        </w:tc>
      </w:tr>
      <w:tr w:rsidR="003030CD" w:rsidRPr="002E14F6" w14:paraId="0789BC81" w14:textId="77777777" w:rsidTr="005F1ABD">
        <w:tc>
          <w:tcPr>
            <w:tcW w:w="1829" w:type="dxa"/>
            <w:vAlign w:val="center"/>
          </w:tcPr>
          <w:p w14:paraId="6C6E4B74" w14:textId="77777777" w:rsidR="003030CD" w:rsidRPr="002E14F6" w:rsidRDefault="003030CD" w:rsidP="005F1ABD">
            <w:pPr>
              <w:pStyle w:val="COMTabletext"/>
            </w:pPr>
            <w:r w:rsidRPr="002E14F6">
              <w:t>- Risedronate 2.5 mg</w:t>
            </w:r>
          </w:p>
        </w:tc>
        <w:tc>
          <w:tcPr>
            <w:tcW w:w="1437" w:type="dxa"/>
            <w:vAlign w:val="center"/>
          </w:tcPr>
          <w:p w14:paraId="5E5197E7" w14:textId="77777777" w:rsidR="003030CD" w:rsidRPr="002E14F6" w:rsidRDefault="003030CD" w:rsidP="005F1ABD">
            <w:pPr>
              <w:pStyle w:val="COMTabletext"/>
              <w:jc w:val="center"/>
            </w:pPr>
            <w:r w:rsidRPr="002E14F6">
              <w:t>374/408 (92)</w:t>
            </w:r>
          </w:p>
        </w:tc>
        <w:tc>
          <w:tcPr>
            <w:tcW w:w="1438" w:type="dxa"/>
            <w:vAlign w:val="center"/>
          </w:tcPr>
          <w:p w14:paraId="7B3D4F02" w14:textId="77777777" w:rsidR="003030CD" w:rsidRPr="002E14F6" w:rsidRDefault="003030CD" w:rsidP="005F1ABD">
            <w:pPr>
              <w:pStyle w:val="COMTabletext"/>
              <w:jc w:val="center"/>
            </w:pPr>
            <w:r w:rsidRPr="002E14F6">
              <w:t>109/408 (27)</w:t>
            </w:r>
          </w:p>
        </w:tc>
        <w:tc>
          <w:tcPr>
            <w:tcW w:w="1437" w:type="dxa"/>
            <w:vAlign w:val="center"/>
          </w:tcPr>
          <w:p w14:paraId="7A0CF49D" w14:textId="77777777" w:rsidR="003030CD" w:rsidRPr="002E14F6" w:rsidRDefault="003030CD" w:rsidP="005F1ABD">
            <w:pPr>
              <w:pStyle w:val="COMTabletext"/>
              <w:jc w:val="center"/>
            </w:pPr>
            <w:r w:rsidRPr="002E14F6">
              <w:t>124/408 (30)</w:t>
            </w:r>
          </w:p>
        </w:tc>
        <w:tc>
          <w:tcPr>
            <w:tcW w:w="1438" w:type="dxa"/>
            <w:vAlign w:val="center"/>
          </w:tcPr>
          <w:p w14:paraId="5E1112A9" w14:textId="77777777" w:rsidR="003030CD" w:rsidRPr="002E14F6" w:rsidRDefault="003030CD" w:rsidP="005F1ABD">
            <w:pPr>
              <w:pStyle w:val="COMTabletext"/>
              <w:jc w:val="center"/>
            </w:pPr>
            <w:r w:rsidRPr="002E14F6">
              <w:t>51/408 (13)</w:t>
            </w:r>
          </w:p>
        </w:tc>
        <w:tc>
          <w:tcPr>
            <w:tcW w:w="1438" w:type="dxa"/>
            <w:vAlign w:val="center"/>
          </w:tcPr>
          <w:p w14:paraId="5005BF53" w14:textId="77777777" w:rsidR="003030CD" w:rsidRPr="002E14F6" w:rsidRDefault="003030CD" w:rsidP="005F1ABD">
            <w:pPr>
              <w:pStyle w:val="COMTabletext"/>
              <w:jc w:val="center"/>
            </w:pPr>
            <w:r w:rsidRPr="002E14F6">
              <w:t>94/408 (23)</w:t>
            </w:r>
          </w:p>
        </w:tc>
      </w:tr>
      <w:tr w:rsidR="003030CD" w:rsidRPr="002E14F6" w14:paraId="534D7332" w14:textId="77777777" w:rsidTr="005F1ABD">
        <w:tc>
          <w:tcPr>
            <w:tcW w:w="1829" w:type="dxa"/>
            <w:vAlign w:val="center"/>
          </w:tcPr>
          <w:p w14:paraId="4A11632D" w14:textId="77777777" w:rsidR="003030CD" w:rsidRPr="002E14F6" w:rsidRDefault="003030CD" w:rsidP="005F1ABD">
            <w:pPr>
              <w:pStyle w:val="COMTabletext"/>
            </w:pPr>
            <w:r w:rsidRPr="002E14F6">
              <w:t>- Risedronate 5 mg</w:t>
            </w:r>
          </w:p>
        </w:tc>
        <w:tc>
          <w:tcPr>
            <w:tcW w:w="1437" w:type="dxa"/>
            <w:vAlign w:val="center"/>
          </w:tcPr>
          <w:p w14:paraId="181685AC" w14:textId="77777777" w:rsidR="003030CD" w:rsidRPr="002E14F6" w:rsidRDefault="003030CD" w:rsidP="005F1ABD">
            <w:pPr>
              <w:pStyle w:val="COMTabletext"/>
              <w:jc w:val="center"/>
            </w:pPr>
            <w:r w:rsidRPr="002E14F6">
              <w:t>374/407 (92)</w:t>
            </w:r>
          </w:p>
        </w:tc>
        <w:tc>
          <w:tcPr>
            <w:tcW w:w="1438" w:type="dxa"/>
            <w:vAlign w:val="center"/>
          </w:tcPr>
          <w:p w14:paraId="3312E689" w14:textId="77777777" w:rsidR="003030CD" w:rsidRPr="002E14F6" w:rsidRDefault="003030CD" w:rsidP="005F1ABD">
            <w:pPr>
              <w:pStyle w:val="COMTabletext"/>
              <w:jc w:val="center"/>
            </w:pPr>
            <w:r w:rsidRPr="002E14F6">
              <w:t>116/407 (28)</w:t>
            </w:r>
          </w:p>
        </w:tc>
        <w:tc>
          <w:tcPr>
            <w:tcW w:w="1437" w:type="dxa"/>
            <w:vAlign w:val="center"/>
          </w:tcPr>
          <w:p w14:paraId="7722E172" w14:textId="77777777" w:rsidR="003030CD" w:rsidRPr="002E14F6" w:rsidRDefault="003030CD" w:rsidP="005F1ABD">
            <w:pPr>
              <w:pStyle w:val="COMTabletext"/>
              <w:jc w:val="center"/>
            </w:pPr>
            <w:r w:rsidRPr="002E14F6">
              <w:t>151/407 (37)</w:t>
            </w:r>
          </w:p>
        </w:tc>
        <w:tc>
          <w:tcPr>
            <w:tcW w:w="1438" w:type="dxa"/>
            <w:vAlign w:val="center"/>
          </w:tcPr>
          <w:p w14:paraId="102FBDCA" w14:textId="77777777" w:rsidR="003030CD" w:rsidRPr="002E14F6" w:rsidRDefault="003030CD" w:rsidP="005F1ABD">
            <w:pPr>
              <w:pStyle w:val="COMTabletext"/>
              <w:jc w:val="center"/>
            </w:pPr>
            <w:r w:rsidRPr="002E14F6">
              <w:t>63/407 (15)</w:t>
            </w:r>
          </w:p>
        </w:tc>
        <w:tc>
          <w:tcPr>
            <w:tcW w:w="1438" w:type="dxa"/>
            <w:vAlign w:val="center"/>
          </w:tcPr>
          <w:p w14:paraId="1290AD1A" w14:textId="77777777" w:rsidR="003030CD" w:rsidRPr="002E14F6" w:rsidRDefault="003030CD" w:rsidP="005F1ABD">
            <w:pPr>
              <w:pStyle w:val="COMTabletext"/>
              <w:jc w:val="center"/>
            </w:pPr>
            <w:r w:rsidRPr="002E14F6">
              <w:t>109/407 (27)</w:t>
            </w:r>
          </w:p>
        </w:tc>
      </w:tr>
      <w:tr w:rsidR="003030CD" w:rsidRPr="002E14F6" w14:paraId="537CD575" w14:textId="77777777" w:rsidTr="005F1ABD">
        <w:tc>
          <w:tcPr>
            <w:tcW w:w="1829" w:type="dxa"/>
            <w:vAlign w:val="center"/>
          </w:tcPr>
          <w:p w14:paraId="5D491A35" w14:textId="77777777" w:rsidR="003030CD" w:rsidRPr="002E14F6" w:rsidRDefault="003030CD" w:rsidP="005F1ABD">
            <w:pPr>
              <w:pStyle w:val="COMTabletext"/>
            </w:pPr>
            <w:r w:rsidRPr="002E14F6">
              <w:t>- Placebo</w:t>
            </w:r>
          </w:p>
        </w:tc>
        <w:tc>
          <w:tcPr>
            <w:tcW w:w="1437" w:type="dxa"/>
            <w:vAlign w:val="center"/>
          </w:tcPr>
          <w:p w14:paraId="587F4350" w14:textId="77777777" w:rsidR="003030CD" w:rsidRPr="002E14F6" w:rsidRDefault="003030CD" w:rsidP="005F1ABD">
            <w:pPr>
              <w:pStyle w:val="COMTabletext"/>
              <w:jc w:val="center"/>
            </w:pPr>
            <w:r w:rsidRPr="002E14F6">
              <w:t>370/407 (91)</w:t>
            </w:r>
          </w:p>
        </w:tc>
        <w:tc>
          <w:tcPr>
            <w:tcW w:w="1438" w:type="dxa"/>
            <w:vAlign w:val="center"/>
          </w:tcPr>
          <w:p w14:paraId="254628A9" w14:textId="77777777" w:rsidR="003030CD" w:rsidRPr="002E14F6" w:rsidRDefault="003030CD" w:rsidP="005F1ABD">
            <w:pPr>
              <w:pStyle w:val="COMTabletext"/>
              <w:jc w:val="center"/>
            </w:pPr>
            <w:r w:rsidRPr="002E14F6">
              <w:t>129/407 (32)</w:t>
            </w:r>
          </w:p>
        </w:tc>
        <w:tc>
          <w:tcPr>
            <w:tcW w:w="1437" w:type="dxa"/>
            <w:vAlign w:val="center"/>
          </w:tcPr>
          <w:p w14:paraId="0F9291A5" w14:textId="77777777" w:rsidR="003030CD" w:rsidRPr="002E14F6" w:rsidRDefault="003030CD" w:rsidP="005F1ABD">
            <w:pPr>
              <w:pStyle w:val="COMTabletext"/>
              <w:jc w:val="center"/>
            </w:pPr>
            <w:r w:rsidRPr="002E14F6">
              <w:t>135/407 (33)</w:t>
            </w:r>
          </w:p>
        </w:tc>
        <w:tc>
          <w:tcPr>
            <w:tcW w:w="1438" w:type="dxa"/>
            <w:vAlign w:val="center"/>
          </w:tcPr>
          <w:p w14:paraId="04EA2DE7" w14:textId="77777777" w:rsidR="003030CD" w:rsidRPr="002E14F6" w:rsidRDefault="003030CD" w:rsidP="005F1ABD">
            <w:pPr>
              <w:pStyle w:val="COMTabletext"/>
              <w:jc w:val="center"/>
            </w:pPr>
            <w:r w:rsidRPr="002E14F6">
              <w:t>81/407 (20)</w:t>
            </w:r>
          </w:p>
        </w:tc>
        <w:tc>
          <w:tcPr>
            <w:tcW w:w="1438" w:type="dxa"/>
            <w:vAlign w:val="center"/>
          </w:tcPr>
          <w:p w14:paraId="26EFAAEC" w14:textId="77777777" w:rsidR="003030CD" w:rsidRPr="002E14F6" w:rsidRDefault="003030CD" w:rsidP="005F1ABD">
            <w:pPr>
              <w:pStyle w:val="COMTabletext"/>
              <w:jc w:val="center"/>
            </w:pPr>
            <w:r w:rsidRPr="002E14F6">
              <w:t>104/407 (26)</w:t>
            </w:r>
          </w:p>
        </w:tc>
      </w:tr>
      <w:tr w:rsidR="003030CD" w:rsidRPr="002E14F6" w14:paraId="1A4FA8FF" w14:textId="77777777" w:rsidTr="005F1ABD">
        <w:tc>
          <w:tcPr>
            <w:tcW w:w="9017" w:type="dxa"/>
            <w:gridSpan w:val="6"/>
            <w:vAlign w:val="center"/>
          </w:tcPr>
          <w:p w14:paraId="7715CC68" w14:textId="77777777" w:rsidR="003030CD" w:rsidRPr="002E14F6" w:rsidRDefault="003030CD" w:rsidP="005F1ABD">
            <w:pPr>
              <w:pStyle w:val="COMTableheadingrow"/>
              <w:rPr>
                <w:lang w:val="en-AU"/>
              </w:rPr>
            </w:pPr>
            <w:r w:rsidRPr="002E14F6">
              <w:rPr>
                <w:lang w:val="en-AU"/>
              </w:rPr>
              <w:t>VERT-NA (3 years)</w:t>
            </w:r>
          </w:p>
        </w:tc>
      </w:tr>
      <w:tr w:rsidR="003030CD" w:rsidRPr="002E14F6" w14:paraId="50D6637E" w14:textId="77777777" w:rsidTr="005F1ABD">
        <w:tc>
          <w:tcPr>
            <w:tcW w:w="1829" w:type="dxa"/>
            <w:vAlign w:val="center"/>
          </w:tcPr>
          <w:p w14:paraId="7D12F1CF" w14:textId="77777777" w:rsidR="003030CD" w:rsidRPr="002E14F6" w:rsidRDefault="003030CD" w:rsidP="005F1ABD">
            <w:pPr>
              <w:pStyle w:val="COMTabletext"/>
            </w:pPr>
            <w:r w:rsidRPr="002E14F6">
              <w:t>- Risedronate 5 mg</w:t>
            </w:r>
          </w:p>
        </w:tc>
        <w:tc>
          <w:tcPr>
            <w:tcW w:w="1437" w:type="dxa"/>
            <w:vAlign w:val="center"/>
          </w:tcPr>
          <w:p w14:paraId="5AD394B9" w14:textId="77777777" w:rsidR="003030CD" w:rsidRPr="002E14F6" w:rsidRDefault="003030CD" w:rsidP="005F1ABD">
            <w:pPr>
              <w:pStyle w:val="COMTabletext"/>
              <w:jc w:val="center"/>
            </w:pPr>
            <w:r w:rsidRPr="002E14F6">
              <w:t>785/813 (97)</w:t>
            </w:r>
          </w:p>
        </w:tc>
        <w:tc>
          <w:tcPr>
            <w:tcW w:w="1438" w:type="dxa"/>
            <w:vAlign w:val="center"/>
          </w:tcPr>
          <w:p w14:paraId="01FD673C" w14:textId="77777777" w:rsidR="003030CD" w:rsidRPr="002E14F6" w:rsidRDefault="003030CD" w:rsidP="005F1ABD">
            <w:pPr>
              <w:pStyle w:val="COMTabletext"/>
              <w:jc w:val="center"/>
            </w:pPr>
            <w:r w:rsidRPr="002E14F6">
              <w:t>273/813 (34)</w:t>
            </w:r>
          </w:p>
        </w:tc>
        <w:tc>
          <w:tcPr>
            <w:tcW w:w="1437" w:type="dxa"/>
            <w:vAlign w:val="center"/>
          </w:tcPr>
          <w:p w14:paraId="716E1D18" w14:textId="77777777" w:rsidR="003030CD" w:rsidRPr="002E14F6" w:rsidRDefault="003030CD" w:rsidP="005F1ABD">
            <w:pPr>
              <w:pStyle w:val="COMTabletext"/>
              <w:jc w:val="center"/>
            </w:pPr>
            <w:r w:rsidRPr="002E14F6">
              <w:t>237/813 (29)</w:t>
            </w:r>
          </w:p>
        </w:tc>
        <w:tc>
          <w:tcPr>
            <w:tcW w:w="1438" w:type="dxa"/>
            <w:vAlign w:val="center"/>
          </w:tcPr>
          <w:p w14:paraId="285F19AF" w14:textId="77777777" w:rsidR="003030CD" w:rsidRPr="002E14F6" w:rsidRDefault="003030CD" w:rsidP="005F1ABD">
            <w:pPr>
              <w:pStyle w:val="COMTabletext"/>
              <w:jc w:val="center"/>
            </w:pPr>
            <w:r w:rsidRPr="002E14F6">
              <w:t>138/813 (17)</w:t>
            </w:r>
          </w:p>
        </w:tc>
        <w:tc>
          <w:tcPr>
            <w:tcW w:w="1438" w:type="dxa"/>
            <w:vAlign w:val="center"/>
          </w:tcPr>
          <w:p w14:paraId="636911A2" w14:textId="77777777" w:rsidR="003030CD" w:rsidRPr="002E14F6" w:rsidRDefault="003030CD" w:rsidP="005F1ABD">
            <w:pPr>
              <w:pStyle w:val="COMTabletext"/>
              <w:jc w:val="center"/>
            </w:pPr>
            <w:r w:rsidRPr="002E14F6">
              <w:t>245/813 (30)</w:t>
            </w:r>
          </w:p>
        </w:tc>
      </w:tr>
      <w:tr w:rsidR="003030CD" w:rsidRPr="002E14F6" w14:paraId="7E5C9054" w14:textId="77777777" w:rsidTr="005F1ABD">
        <w:tc>
          <w:tcPr>
            <w:tcW w:w="1829" w:type="dxa"/>
            <w:vAlign w:val="center"/>
          </w:tcPr>
          <w:p w14:paraId="4BB3CB57" w14:textId="77777777" w:rsidR="003030CD" w:rsidRPr="002E14F6" w:rsidRDefault="003030CD" w:rsidP="005F1ABD">
            <w:pPr>
              <w:pStyle w:val="COMTabletext"/>
            </w:pPr>
            <w:r w:rsidRPr="002E14F6">
              <w:t>- Placebo</w:t>
            </w:r>
          </w:p>
        </w:tc>
        <w:tc>
          <w:tcPr>
            <w:tcW w:w="1437" w:type="dxa"/>
            <w:vAlign w:val="center"/>
          </w:tcPr>
          <w:p w14:paraId="4B8C9807" w14:textId="77777777" w:rsidR="003030CD" w:rsidRPr="002E14F6" w:rsidRDefault="003030CD" w:rsidP="005F1ABD">
            <w:pPr>
              <w:pStyle w:val="COMTabletext"/>
              <w:jc w:val="center"/>
            </w:pPr>
            <w:r w:rsidRPr="002E14F6">
              <w:t>774/815 (95)</w:t>
            </w:r>
          </w:p>
        </w:tc>
        <w:tc>
          <w:tcPr>
            <w:tcW w:w="1438" w:type="dxa"/>
            <w:vAlign w:val="center"/>
          </w:tcPr>
          <w:p w14:paraId="6BB1330F" w14:textId="77777777" w:rsidR="003030CD" w:rsidRPr="002E14F6" w:rsidRDefault="003030CD" w:rsidP="005F1ABD">
            <w:pPr>
              <w:pStyle w:val="COMTabletext"/>
              <w:jc w:val="center"/>
            </w:pPr>
            <w:r w:rsidRPr="002E14F6">
              <w:t>236/815 (29)</w:t>
            </w:r>
          </w:p>
        </w:tc>
        <w:tc>
          <w:tcPr>
            <w:tcW w:w="1437" w:type="dxa"/>
            <w:vAlign w:val="center"/>
          </w:tcPr>
          <w:p w14:paraId="0800C395" w14:textId="77777777" w:rsidR="003030CD" w:rsidRPr="002E14F6" w:rsidRDefault="003030CD" w:rsidP="005F1ABD">
            <w:pPr>
              <w:pStyle w:val="COMTabletext"/>
              <w:jc w:val="center"/>
            </w:pPr>
            <w:r w:rsidRPr="002E14F6">
              <w:t>219/815 (27)</w:t>
            </w:r>
          </w:p>
        </w:tc>
        <w:tc>
          <w:tcPr>
            <w:tcW w:w="1438" w:type="dxa"/>
            <w:vAlign w:val="center"/>
          </w:tcPr>
          <w:p w14:paraId="205BEBCB" w14:textId="77777777" w:rsidR="003030CD" w:rsidRPr="002E14F6" w:rsidRDefault="003030CD" w:rsidP="005F1ABD">
            <w:pPr>
              <w:pStyle w:val="COMTabletext"/>
              <w:jc w:val="center"/>
            </w:pPr>
            <w:r w:rsidRPr="002E14F6">
              <w:t>136/815 (17)</w:t>
            </w:r>
          </w:p>
        </w:tc>
        <w:tc>
          <w:tcPr>
            <w:tcW w:w="1438" w:type="dxa"/>
            <w:vAlign w:val="center"/>
          </w:tcPr>
          <w:p w14:paraId="01719B39" w14:textId="77777777" w:rsidR="003030CD" w:rsidRPr="002E14F6" w:rsidRDefault="003030CD" w:rsidP="005F1ABD">
            <w:pPr>
              <w:pStyle w:val="COMTabletext"/>
              <w:jc w:val="center"/>
            </w:pPr>
            <w:r w:rsidRPr="002E14F6">
              <w:t>219/815 (27)</w:t>
            </w:r>
          </w:p>
        </w:tc>
      </w:tr>
    </w:tbl>
    <w:p w14:paraId="4019D051" w14:textId="77777777" w:rsidR="003030CD" w:rsidRPr="002E14F6" w:rsidRDefault="003030CD" w:rsidP="003030CD">
      <w:pPr>
        <w:pStyle w:val="COMTablefooter"/>
      </w:pPr>
      <w:r w:rsidRPr="002E14F6">
        <w:t>Source: Table 27, p90 of the submission and the McClung 2001 publication</w:t>
      </w:r>
    </w:p>
    <w:p w14:paraId="217D68DE" w14:textId="46E90BFF" w:rsidR="003030CD" w:rsidRPr="002E14F6" w:rsidRDefault="003030CD" w:rsidP="005E0219">
      <w:pPr>
        <w:pStyle w:val="COMTablefooter"/>
        <w:rPr>
          <w:sz w:val="20"/>
        </w:rPr>
      </w:pPr>
      <w:r w:rsidRPr="002E14F6">
        <w:t>Abbreviation: GI, gastrointestinal</w:t>
      </w:r>
    </w:p>
    <w:p w14:paraId="486A9E3B" w14:textId="31FE32A3" w:rsidR="003030CD" w:rsidRPr="00966B2C" w:rsidRDefault="00560069" w:rsidP="00DC4D12">
      <w:pPr>
        <w:widowControl w:val="0"/>
        <w:numPr>
          <w:ilvl w:val="1"/>
          <w:numId w:val="1"/>
        </w:numPr>
        <w:spacing w:after="120"/>
        <w:ind w:left="720" w:hanging="720"/>
        <w:rPr>
          <w:bCs/>
        </w:rPr>
      </w:pPr>
      <w:r w:rsidRPr="001A75FD">
        <w:t xml:space="preserve">The submission claimed the adverse event profiles of the risedronate and </w:t>
      </w:r>
      <w:r w:rsidRPr="00DC4D12">
        <w:rPr>
          <w:rFonts w:asciiTheme="minorHAnsi" w:hAnsiTheme="minorHAnsi"/>
          <w:bCs/>
          <w:snapToGrid w:val="0"/>
        </w:rPr>
        <w:t>placebo groups across the studies were similar. Overall, the reporting of adverse events was brief and limited to summaries available in trial publications only.</w:t>
      </w:r>
    </w:p>
    <w:p w14:paraId="7FE97698" w14:textId="78B172EE" w:rsidR="00560069" w:rsidRPr="00966B2C" w:rsidRDefault="00560069" w:rsidP="00DC4D12">
      <w:pPr>
        <w:widowControl w:val="0"/>
        <w:numPr>
          <w:ilvl w:val="1"/>
          <w:numId w:val="1"/>
        </w:numPr>
        <w:spacing w:after="120"/>
        <w:ind w:left="720" w:hanging="720"/>
        <w:rPr>
          <w:bCs/>
        </w:rPr>
      </w:pPr>
      <w:r w:rsidRPr="00DC4D12">
        <w:rPr>
          <w:rFonts w:asciiTheme="minorHAnsi" w:hAnsiTheme="minorHAnsi"/>
          <w:bCs/>
          <w:snapToGrid w:val="0"/>
        </w:rPr>
        <w:t>The use of risedronate (all formulations and combination products) for the treatment of osteoporosis is well established. The adverse event profile is also well known, with the product information for risedronate including special warnings and precautions for use. The product information notes that bisphosphonates have been associated with oesophagitis, gastritis, oesophageal ulcerations and gastroduodenal ulcerations. Caution is recommended should treatment be considered in patients with a history of gastroesophageal disorders and/or are unable to take the tablet as recommended.</w:t>
      </w:r>
    </w:p>
    <w:p w14:paraId="4A931556" w14:textId="4B4DD0CE" w:rsidR="00CA421C" w:rsidRPr="00966B2C" w:rsidRDefault="00AC390B" w:rsidP="00DC4D12">
      <w:pPr>
        <w:widowControl w:val="0"/>
        <w:numPr>
          <w:ilvl w:val="1"/>
          <w:numId w:val="1"/>
        </w:numPr>
        <w:spacing w:after="120"/>
        <w:ind w:left="720" w:hanging="720"/>
        <w:rPr>
          <w:bCs/>
        </w:rPr>
      </w:pPr>
      <w:r w:rsidRPr="00DC4D12">
        <w:rPr>
          <w:rFonts w:asciiTheme="minorHAnsi" w:hAnsiTheme="minorHAnsi"/>
          <w:bCs/>
          <w:snapToGrid w:val="0"/>
        </w:rPr>
        <w:t xml:space="preserve">The submission provided supportive safety data from the </w:t>
      </w:r>
      <w:r w:rsidR="00A93339" w:rsidRPr="00DC4D12">
        <w:rPr>
          <w:rFonts w:asciiTheme="minorHAnsi" w:hAnsiTheme="minorHAnsi"/>
          <w:bCs/>
          <w:snapToGrid w:val="0"/>
        </w:rPr>
        <w:t>three treatment groups in the Fantasia trial (risedronate EC before breakfast, risedronate EC after breakfast and risedronate immediate release). The incidence of upper and lower gastrointestinal adverse events was similar across groups. However, the incidence of events related to upper abdominal pain was higher in the risedronate EC before breakfast group than in the other two groups; most of these events were judged to be mild to moderate. Overall, the tolerability of weekly risedronate EC was similar to that observed with daily risedronate immediate release.</w:t>
      </w:r>
    </w:p>
    <w:p w14:paraId="03505198" w14:textId="5B2A0E8C" w:rsidR="00A938D0" w:rsidRPr="00966B2C" w:rsidRDefault="00A938D0" w:rsidP="00DC4D12">
      <w:pPr>
        <w:widowControl w:val="0"/>
        <w:numPr>
          <w:ilvl w:val="1"/>
          <w:numId w:val="1"/>
        </w:numPr>
        <w:spacing w:after="120"/>
        <w:ind w:left="720" w:hanging="720"/>
        <w:rPr>
          <w:bCs/>
        </w:rPr>
      </w:pPr>
      <w:r w:rsidRPr="00DC4D12">
        <w:rPr>
          <w:rFonts w:asciiTheme="minorHAnsi" w:hAnsiTheme="minorHAnsi"/>
          <w:bCs/>
          <w:snapToGrid w:val="0"/>
        </w:rPr>
        <w:t xml:space="preserve">The submission provided data on potential safety concerns beyond those identified in the included trials, based on the Fantasia trial and the Periodic Safety Update Report (PSUR) for all strengths and formulations of risedronate covering the April 2016 to March 2021 reporting period.   </w:t>
      </w:r>
    </w:p>
    <w:p w14:paraId="642A8538" w14:textId="194D57D3" w:rsidR="00AC2773" w:rsidRPr="00966B2C" w:rsidRDefault="00A938D0" w:rsidP="00DC4D12">
      <w:pPr>
        <w:widowControl w:val="0"/>
        <w:numPr>
          <w:ilvl w:val="1"/>
          <w:numId w:val="1"/>
        </w:numPr>
        <w:spacing w:after="120"/>
        <w:ind w:left="720" w:hanging="720"/>
        <w:rPr>
          <w:bCs/>
        </w:rPr>
      </w:pPr>
      <w:r w:rsidRPr="00DC4D12">
        <w:rPr>
          <w:rFonts w:asciiTheme="minorHAnsi" w:hAnsiTheme="minorHAnsi"/>
          <w:bCs/>
          <w:snapToGrid w:val="0"/>
        </w:rPr>
        <w:t>Important identified risks in the PSUR were osteonecrosis of the jaw, iritis/uveitis, hypersensitivity and skin reactions, hypocalcaemia and interaction with medicinal products containing polyvalent cations (e.g. calcium, magnesium, iron, aluminium) that affect the absorption of risedronate. Important potential risks were atypical femoral fracture, osteonecrosis of external auditory canal, serious upper gastrointestinal irritation, severe musculoskeletal pain and serious hepatic disorders. Missing information included use in children, use in pregnant women, effect in lactating women, effect on fertility and use in patients with severe renal impairment. No new safety signals were identified during the most recent reporting interval.</w:t>
      </w:r>
      <w:r w:rsidR="001920E6" w:rsidRPr="00DC4D12">
        <w:rPr>
          <w:rFonts w:asciiTheme="minorHAnsi" w:hAnsiTheme="minorHAnsi"/>
          <w:bCs/>
          <w:snapToGrid w:val="0"/>
        </w:rPr>
        <w:t xml:space="preserve"> The Pre-PBAC Response reiterated the </w:t>
      </w:r>
      <w:r w:rsidR="00B957EE" w:rsidRPr="00DC4D12">
        <w:rPr>
          <w:rFonts w:asciiTheme="minorHAnsi" w:hAnsiTheme="minorHAnsi"/>
          <w:bCs/>
          <w:snapToGrid w:val="0"/>
        </w:rPr>
        <w:t xml:space="preserve">safety profile of risedronate was well characterised, with well-defined mitigation strategies. </w:t>
      </w:r>
    </w:p>
    <w:p w14:paraId="04908C7F" w14:textId="415B9B7D" w:rsidR="007F1017" w:rsidRPr="002E14F6" w:rsidRDefault="007F1017" w:rsidP="00D86231">
      <w:pPr>
        <w:pStyle w:val="COMH2-non-numbered"/>
      </w:pPr>
      <w:bookmarkStart w:id="32" w:name="_Toc22897643"/>
      <w:bookmarkStart w:id="33" w:name="_Toc113980155"/>
      <w:r w:rsidRPr="002E14F6">
        <w:t>Benefits/harms</w:t>
      </w:r>
      <w:bookmarkEnd w:id="32"/>
      <w:bookmarkEnd w:id="33"/>
    </w:p>
    <w:p w14:paraId="33696279" w14:textId="3E922A1D" w:rsidR="002E1071" w:rsidRPr="00966B2C" w:rsidRDefault="003303FA" w:rsidP="00DC4D12">
      <w:pPr>
        <w:widowControl w:val="0"/>
        <w:numPr>
          <w:ilvl w:val="1"/>
          <w:numId w:val="1"/>
        </w:numPr>
        <w:spacing w:after="120"/>
        <w:ind w:left="720" w:hanging="720"/>
        <w:rPr>
          <w:bCs/>
        </w:rPr>
      </w:pPr>
      <w:r w:rsidRPr="00DC4D12">
        <w:rPr>
          <w:rFonts w:asciiTheme="minorHAnsi" w:hAnsiTheme="minorHAnsi"/>
          <w:bCs/>
          <w:snapToGrid w:val="0"/>
        </w:rPr>
        <w:t>The clinical evidence included in the submission was based on the broader population with osteoporosis that may not be representative of</w:t>
      </w:r>
      <w:r w:rsidR="00B21B8F" w:rsidRPr="00DC4D12">
        <w:rPr>
          <w:rFonts w:asciiTheme="minorHAnsi" w:hAnsiTheme="minorHAnsi"/>
          <w:bCs/>
          <w:snapToGrid w:val="0"/>
        </w:rPr>
        <w:t xml:space="preserve"> the absolute treatment benefit and safety profile of risedronate EC in </w:t>
      </w:r>
      <w:r w:rsidR="00C227A0" w:rsidRPr="00DC4D12">
        <w:rPr>
          <w:rFonts w:asciiTheme="minorHAnsi" w:hAnsiTheme="minorHAnsi"/>
          <w:bCs/>
          <w:snapToGrid w:val="0"/>
        </w:rPr>
        <w:t xml:space="preserve">the younger subgroup of </w:t>
      </w:r>
      <w:r w:rsidR="005C70D9" w:rsidRPr="00DC4D12">
        <w:rPr>
          <w:rFonts w:asciiTheme="minorHAnsi" w:hAnsiTheme="minorHAnsi"/>
          <w:bCs/>
          <w:snapToGrid w:val="0"/>
        </w:rPr>
        <w:t>patients</w:t>
      </w:r>
      <w:r w:rsidR="00E253FD" w:rsidRPr="00DC4D12">
        <w:rPr>
          <w:rFonts w:asciiTheme="minorHAnsi" w:hAnsiTheme="minorHAnsi"/>
          <w:bCs/>
          <w:snapToGrid w:val="0"/>
        </w:rPr>
        <w:t xml:space="preserve"> </w:t>
      </w:r>
      <w:r w:rsidR="00C227A0" w:rsidRPr="00DC4D12">
        <w:rPr>
          <w:rFonts w:asciiTheme="minorHAnsi" w:hAnsiTheme="minorHAnsi"/>
          <w:bCs/>
          <w:snapToGrid w:val="0"/>
        </w:rPr>
        <w:t>who are</w:t>
      </w:r>
      <w:r w:rsidR="00E253FD" w:rsidRPr="00DC4D12">
        <w:rPr>
          <w:rFonts w:asciiTheme="minorHAnsi" w:hAnsiTheme="minorHAnsi"/>
          <w:bCs/>
          <w:snapToGrid w:val="0"/>
        </w:rPr>
        <w:t xml:space="preserve"> without fracture. </w:t>
      </w:r>
      <w:r w:rsidR="00DE0DA5" w:rsidRPr="00DC4D12">
        <w:rPr>
          <w:rFonts w:asciiTheme="minorHAnsi" w:hAnsiTheme="minorHAnsi"/>
          <w:bCs/>
          <w:snapToGrid w:val="0"/>
        </w:rPr>
        <w:t xml:space="preserve">The </w:t>
      </w:r>
      <w:r w:rsidRPr="00DC4D12">
        <w:rPr>
          <w:rFonts w:asciiTheme="minorHAnsi" w:hAnsiTheme="minorHAnsi"/>
          <w:bCs/>
          <w:snapToGrid w:val="0"/>
        </w:rPr>
        <w:t>risk-benefit</w:t>
      </w:r>
      <w:r w:rsidR="00DE0DA5" w:rsidRPr="00DC4D12">
        <w:rPr>
          <w:rFonts w:asciiTheme="minorHAnsi" w:hAnsiTheme="minorHAnsi"/>
          <w:bCs/>
          <w:snapToGrid w:val="0"/>
        </w:rPr>
        <w:t xml:space="preserve"> profile of risedronate EC in the requested population is unknown. </w:t>
      </w:r>
    </w:p>
    <w:p w14:paraId="7A1772B6" w14:textId="23BB3145" w:rsidR="00B60939" w:rsidRPr="002E14F6" w:rsidRDefault="00B60939" w:rsidP="00E9094A">
      <w:pPr>
        <w:pStyle w:val="COMH2-non-numbered"/>
      </w:pPr>
      <w:bookmarkStart w:id="34" w:name="_Toc22897644"/>
      <w:bookmarkStart w:id="35" w:name="_Toc113980156"/>
      <w:r w:rsidRPr="002E14F6">
        <w:t>Clinical claim</w:t>
      </w:r>
      <w:bookmarkEnd w:id="34"/>
      <w:bookmarkEnd w:id="35"/>
    </w:p>
    <w:p w14:paraId="289EAA5E" w14:textId="026410C5" w:rsidR="007C70FF" w:rsidRPr="00966B2C" w:rsidRDefault="007B41F0" w:rsidP="00DC4D12">
      <w:pPr>
        <w:widowControl w:val="0"/>
        <w:numPr>
          <w:ilvl w:val="1"/>
          <w:numId w:val="1"/>
        </w:numPr>
        <w:spacing w:after="120"/>
        <w:ind w:left="720" w:hanging="720"/>
        <w:rPr>
          <w:bCs/>
        </w:rPr>
      </w:pPr>
      <w:r w:rsidRPr="00DC4D12">
        <w:rPr>
          <w:rFonts w:asciiTheme="minorHAnsi" w:hAnsiTheme="minorHAnsi"/>
          <w:bCs/>
          <w:snapToGrid w:val="0"/>
        </w:rPr>
        <w:t xml:space="preserve">The submission described risedronate EC as superior in terms of efficacy and non-inferior in terms of </w:t>
      </w:r>
      <w:r w:rsidR="008879D5" w:rsidRPr="00DC4D12">
        <w:rPr>
          <w:rFonts w:asciiTheme="minorHAnsi" w:hAnsiTheme="minorHAnsi"/>
          <w:bCs/>
          <w:snapToGrid w:val="0"/>
        </w:rPr>
        <w:t xml:space="preserve">safety compared to placebo. </w:t>
      </w:r>
    </w:p>
    <w:p w14:paraId="1B558623" w14:textId="0CD41C00" w:rsidR="00867010" w:rsidRPr="00966B2C" w:rsidRDefault="008879D5" w:rsidP="00DC4D12">
      <w:pPr>
        <w:widowControl w:val="0"/>
        <w:numPr>
          <w:ilvl w:val="1"/>
          <w:numId w:val="1"/>
        </w:numPr>
        <w:spacing w:after="120"/>
        <w:ind w:left="720" w:hanging="720"/>
        <w:rPr>
          <w:bCs/>
        </w:rPr>
      </w:pPr>
      <w:r w:rsidRPr="00DC4D12">
        <w:rPr>
          <w:rFonts w:asciiTheme="minorHAnsi" w:hAnsiTheme="minorHAnsi"/>
          <w:bCs/>
          <w:snapToGrid w:val="0"/>
        </w:rPr>
        <w:t>The clinical evidence included in the submission was based on the risedronate 5</w:t>
      </w:r>
      <w:r w:rsidR="00202608">
        <w:rPr>
          <w:rFonts w:asciiTheme="minorHAnsi" w:hAnsiTheme="minorHAnsi"/>
          <w:bCs/>
          <w:snapToGrid w:val="0"/>
        </w:rPr>
        <w:t> </w:t>
      </w:r>
      <w:r w:rsidRPr="00DC4D12">
        <w:rPr>
          <w:rFonts w:asciiTheme="minorHAnsi" w:hAnsiTheme="minorHAnsi"/>
          <w:bCs/>
          <w:snapToGrid w:val="0"/>
        </w:rPr>
        <w:t>mg daily immediate release formulation only, however, the</w:t>
      </w:r>
      <w:r w:rsidR="0040503B" w:rsidRPr="00DC4D12">
        <w:rPr>
          <w:rFonts w:asciiTheme="minorHAnsi" w:hAnsiTheme="minorHAnsi"/>
          <w:bCs/>
          <w:snapToGrid w:val="0"/>
        </w:rPr>
        <w:t xml:space="preserve"> supportive </w:t>
      </w:r>
      <w:r w:rsidR="00867010" w:rsidRPr="00DC4D12">
        <w:rPr>
          <w:rFonts w:asciiTheme="minorHAnsi" w:hAnsiTheme="minorHAnsi"/>
          <w:bCs/>
          <w:snapToGrid w:val="0"/>
        </w:rPr>
        <w:t>data suggests non-inferiority in terms of efficacy between the risedronate EC once weekly and risedronate 5 mg immediate release formulations which is consistent with prior</w:t>
      </w:r>
      <w:r w:rsidRPr="00DC4D12">
        <w:rPr>
          <w:rFonts w:asciiTheme="minorHAnsi" w:hAnsiTheme="minorHAnsi"/>
          <w:bCs/>
          <w:snapToGrid w:val="0"/>
        </w:rPr>
        <w:t xml:space="preserve"> PBAC </w:t>
      </w:r>
      <w:r w:rsidR="00867010" w:rsidRPr="00DC4D12">
        <w:rPr>
          <w:rFonts w:asciiTheme="minorHAnsi" w:hAnsiTheme="minorHAnsi"/>
          <w:bCs/>
          <w:snapToGrid w:val="0"/>
        </w:rPr>
        <w:t>considerations of</w:t>
      </w:r>
      <w:r w:rsidR="00CE1BB8" w:rsidRPr="00DC4D12">
        <w:rPr>
          <w:rFonts w:asciiTheme="minorHAnsi" w:hAnsiTheme="minorHAnsi"/>
          <w:bCs/>
          <w:snapToGrid w:val="0"/>
        </w:rPr>
        <w:t xml:space="preserve"> various risedronate formulations</w:t>
      </w:r>
      <w:r w:rsidR="00867010" w:rsidRPr="00DC4D12">
        <w:rPr>
          <w:rFonts w:asciiTheme="minorHAnsi" w:hAnsiTheme="minorHAnsi"/>
          <w:bCs/>
          <w:snapToGrid w:val="0"/>
        </w:rPr>
        <w:t>.</w:t>
      </w:r>
    </w:p>
    <w:p w14:paraId="00681B22" w14:textId="356E7B94" w:rsidR="00867010" w:rsidRPr="00966B2C" w:rsidRDefault="00867010" w:rsidP="00DC4D12">
      <w:pPr>
        <w:widowControl w:val="0"/>
        <w:numPr>
          <w:ilvl w:val="1"/>
          <w:numId w:val="1"/>
        </w:numPr>
        <w:spacing w:after="120"/>
        <w:ind w:left="720" w:hanging="720"/>
        <w:rPr>
          <w:bCs/>
        </w:rPr>
      </w:pPr>
      <w:r w:rsidRPr="00DC4D12">
        <w:rPr>
          <w:rFonts w:asciiTheme="minorHAnsi" w:hAnsiTheme="minorHAnsi"/>
          <w:bCs/>
          <w:snapToGrid w:val="0"/>
        </w:rPr>
        <w:t>The submission claimed that risedronate EC was superior in terms of safety compared to risedronate immediate release due to the unique formulation (consisting of a chelating agent and enter</w:t>
      </w:r>
      <w:r w:rsidR="00DA7346" w:rsidRPr="00DC4D12">
        <w:rPr>
          <w:rFonts w:asciiTheme="minorHAnsi" w:hAnsiTheme="minorHAnsi"/>
          <w:bCs/>
          <w:snapToGrid w:val="0"/>
        </w:rPr>
        <w:t>ic</w:t>
      </w:r>
      <w:r w:rsidRPr="00DC4D12">
        <w:rPr>
          <w:rFonts w:asciiTheme="minorHAnsi" w:hAnsiTheme="minorHAnsi"/>
          <w:bCs/>
          <w:snapToGrid w:val="0"/>
        </w:rPr>
        <w:t xml:space="preserve">-coating) which theoretically provides protection from food interactions. This claim was inadequately supported by the data </w:t>
      </w:r>
      <w:r w:rsidR="00C00448" w:rsidRPr="00DC4D12">
        <w:rPr>
          <w:rFonts w:asciiTheme="minorHAnsi" w:hAnsiTheme="minorHAnsi"/>
          <w:bCs/>
          <w:snapToGrid w:val="0"/>
        </w:rPr>
        <w:t>presented,</w:t>
      </w:r>
      <w:r w:rsidRPr="00DC4D12">
        <w:rPr>
          <w:rFonts w:asciiTheme="minorHAnsi" w:hAnsiTheme="minorHAnsi"/>
          <w:bCs/>
          <w:snapToGrid w:val="0"/>
        </w:rPr>
        <w:t xml:space="preserve"> which suggest similar safety profiles between risedronate EC and risedronate immediate release formulations.</w:t>
      </w:r>
      <w:r w:rsidR="00957E7B" w:rsidRPr="00DC4D12">
        <w:rPr>
          <w:rFonts w:asciiTheme="minorHAnsi" w:hAnsiTheme="minorHAnsi"/>
          <w:bCs/>
          <w:snapToGrid w:val="0"/>
        </w:rPr>
        <w:t xml:space="preserve"> The PSCR stated that the claim was made in error and acknowledged there no robust clinical evidence to support such a claim. </w:t>
      </w:r>
    </w:p>
    <w:p w14:paraId="38474A90" w14:textId="6DB8AFAA" w:rsidR="00C00448" w:rsidRPr="00966B2C" w:rsidRDefault="0044731F" w:rsidP="00DC4D12">
      <w:pPr>
        <w:widowControl w:val="0"/>
        <w:numPr>
          <w:ilvl w:val="1"/>
          <w:numId w:val="1"/>
        </w:numPr>
        <w:spacing w:after="120"/>
        <w:ind w:left="720" w:hanging="720"/>
        <w:rPr>
          <w:bCs/>
        </w:rPr>
      </w:pPr>
      <w:bookmarkStart w:id="36" w:name="_Ref120458960"/>
      <w:r w:rsidRPr="00DC4D12">
        <w:rPr>
          <w:rFonts w:asciiTheme="minorHAnsi" w:hAnsiTheme="minorHAnsi"/>
          <w:bCs/>
          <w:snapToGrid w:val="0"/>
        </w:rPr>
        <w:t xml:space="preserve">The submission acknowledged that the pivotal trial evidence has previously been considered by the PBAC. </w:t>
      </w:r>
      <w:r w:rsidR="00BD5A2E" w:rsidRPr="00DC4D12">
        <w:rPr>
          <w:rFonts w:asciiTheme="minorHAnsi" w:hAnsiTheme="minorHAnsi"/>
          <w:bCs/>
          <w:snapToGrid w:val="0"/>
        </w:rPr>
        <w:t>Based on</w:t>
      </w:r>
      <w:r w:rsidR="00FD3D5B" w:rsidRPr="00DC4D12">
        <w:rPr>
          <w:rFonts w:asciiTheme="minorHAnsi" w:hAnsiTheme="minorHAnsi"/>
          <w:bCs/>
          <w:snapToGrid w:val="0"/>
        </w:rPr>
        <w:t xml:space="preserve"> broader evidence than presented in the submission, </w:t>
      </w:r>
      <w:r w:rsidR="00BD5A2E" w:rsidRPr="00DC4D12">
        <w:rPr>
          <w:rFonts w:asciiTheme="minorHAnsi" w:hAnsiTheme="minorHAnsi"/>
          <w:bCs/>
          <w:snapToGrid w:val="0"/>
        </w:rPr>
        <w:t>the PBAC previously</w:t>
      </w:r>
      <w:r w:rsidR="00FD3D5B" w:rsidRPr="00DC4D12">
        <w:rPr>
          <w:rFonts w:asciiTheme="minorHAnsi" w:hAnsiTheme="minorHAnsi"/>
          <w:bCs/>
          <w:snapToGrid w:val="0"/>
        </w:rPr>
        <w:t xml:space="preserve"> considered that </w:t>
      </w:r>
      <w:r w:rsidR="00BD5A2E" w:rsidRPr="00DC4D12">
        <w:rPr>
          <w:rFonts w:asciiTheme="minorHAnsi" w:hAnsiTheme="minorHAnsi"/>
          <w:bCs/>
          <w:snapToGrid w:val="0"/>
        </w:rPr>
        <w:t>there was uncertain benefit associated with risedronate for the clinically relevant outcomes of nonvertebral fracture and hip fracture in patients with BMD T-scores of ≤-2.5 (risedronate PSD, July 2006 PBAC meeting).</w:t>
      </w:r>
      <w:bookmarkEnd w:id="36"/>
      <w:r w:rsidR="00BD5A2E" w:rsidRPr="00DC4D12">
        <w:rPr>
          <w:rFonts w:asciiTheme="minorHAnsi" w:hAnsiTheme="minorHAnsi"/>
          <w:bCs/>
          <w:snapToGrid w:val="0"/>
        </w:rPr>
        <w:t xml:space="preserve">  </w:t>
      </w:r>
    </w:p>
    <w:p w14:paraId="61380949" w14:textId="107FFB80" w:rsidR="00BD5A2E" w:rsidRPr="00966B2C" w:rsidRDefault="00BD5A2E" w:rsidP="00DC4D12">
      <w:pPr>
        <w:widowControl w:val="0"/>
        <w:numPr>
          <w:ilvl w:val="1"/>
          <w:numId w:val="1"/>
        </w:numPr>
        <w:spacing w:after="120"/>
        <w:ind w:left="720" w:hanging="720"/>
        <w:rPr>
          <w:bCs/>
        </w:rPr>
      </w:pPr>
      <w:r w:rsidRPr="00DC4D12">
        <w:rPr>
          <w:rFonts w:asciiTheme="minorHAnsi" w:hAnsiTheme="minorHAnsi"/>
          <w:bCs/>
          <w:snapToGrid w:val="0"/>
        </w:rPr>
        <w:t>The current listings of risedronate for primary prevention were recommended on a cost-minimisation basis with alendronate. The initial primary prevention listing for alendronate was supported by evidence indicating that alendronate reduces morphometric vertebral, hip, nonvertebral and other fractures, but not clinical vertebral fractures, in patients with a BMD T-score ≤-2.5 (alendronate PSD, July 2006 PBAC meeting). There was also trial evidence of both absolute and relative fracture risk reduction, supporting the hypothesis that the benefit of alendronate depends on the baseline risk of patients and that there would be greater benefit in the requested subgroup. In recommending the extension to the primary prevention listing for alendronate (BMD T-score threshold of -2.5 instead of -3.0), the PBAC noted the provision of tests for interaction suggesting that age, BMD T-score and falls history were not treatment effect modifiers (alendronate PSD, July 2011 PBAC meeting).</w:t>
      </w:r>
    </w:p>
    <w:p w14:paraId="18E0189F" w14:textId="6A87A4C5" w:rsidR="00BD5A2E" w:rsidRPr="00966B2C" w:rsidRDefault="00BD5A2E" w:rsidP="00DC4D12">
      <w:pPr>
        <w:widowControl w:val="0"/>
        <w:numPr>
          <w:ilvl w:val="1"/>
          <w:numId w:val="1"/>
        </w:numPr>
        <w:spacing w:after="120"/>
        <w:ind w:left="720" w:hanging="720"/>
        <w:rPr>
          <w:bCs/>
        </w:rPr>
      </w:pPr>
      <w:r w:rsidRPr="00DC4D12">
        <w:rPr>
          <w:rFonts w:asciiTheme="minorHAnsi" w:hAnsiTheme="minorHAnsi"/>
          <w:bCs/>
          <w:snapToGrid w:val="0"/>
        </w:rPr>
        <w:t xml:space="preserve">Overall, the body of evidence for risedronate for clinically relevant fracture outcomes remains weak. The submission did not provide evidence supporting absolute or relative risk reductions for clinically relevant outcomes in the requested population. </w:t>
      </w:r>
      <w:r w:rsidR="00EC57D8" w:rsidRPr="00DC4D12">
        <w:rPr>
          <w:rFonts w:asciiTheme="minorHAnsi" w:hAnsiTheme="minorHAnsi"/>
          <w:bCs/>
          <w:snapToGrid w:val="0"/>
        </w:rPr>
        <w:t xml:space="preserve">The PSCR argued that Boonen 2010 represents the best available evidence that demonstrates age is not a treatment effect modifier and so the relative risk benefits with oral bisphosphonate therapies should be observed in younger age groups as with older age groups. </w:t>
      </w:r>
      <w:r w:rsidR="00196667" w:rsidRPr="00DC4D12">
        <w:rPr>
          <w:rFonts w:asciiTheme="minorHAnsi" w:hAnsiTheme="minorHAnsi"/>
          <w:bCs/>
          <w:snapToGrid w:val="0"/>
        </w:rPr>
        <w:t xml:space="preserve">The ESC considered there are no data to suggest that age has an impact on the relative treatment benefit with risedronate, however, the Boonen study also showed that there is an increasing fracture risk with age. </w:t>
      </w:r>
      <w:r w:rsidR="00EC57D8" w:rsidRPr="00DC4D12">
        <w:rPr>
          <w:rFonts w:asciiTheme="minorHAnsi" w:hAnsiTheme="minorHAnsi"/>
          <w:bCs/>
          <w:snapToGrid w:val="0"/>
        </w:rPr>
        <w:t>The ESC considered the</w:t>
      </w:r>
      <w:r w:rsidR="00196667" w:rsidRPr="00DC4D12">
        <w:rPr>
          <w:rFonts w:asciiTheme="minorHAnsi" w:hAnsiTheme="minorHAnsi"/>
          <w:bCs/>
          <w:snapToGrid w:val="0"/>
        </w:rPr>
        <w:t xml:space="preserve"> absolute </w:t>
      </w:r>
      <w:r w:rsidRPr="00DC4D12">
        <w:rPr>
          <w:rFonts w:asciiTheme="minorHAnsi" w:hAnsiTheme="minorHAnsi"/>
          <w:bCs/>
          <w:snapToGrid w:val="0"/>
        </w:rPr>
        <w:t xml:space="preserve">magnitude of benefit associated with risedronate in a younger population without fracture is likely to be smaller than observed in the trials.  </w:t>
      </w:r>
    </w:p>
    <w:p w14:paraId="1EE07219" w14:textId="42D657F6" w:rsidR="00BD5A2E" w:rsidRPr="00966B2C" w:rsidRDefault="00BD5A2E" w:rsidP="00DC4D12">
      <w:pPr>
        <w:widowControl w:val="0"/>
        <w:numPr>
          <w:ilvl w:val="1"/>
          <w:numId w:val="1"/>
        </w:numPr>
        <w:spacing w:after="120"/>
        <w:ind w:left="720" w:hanging="720"/>
        <w:rPr>
          <w:bCs/>
        </w:rPr>
      </w:pPr>
      <w:bookmarkStart w:id="37" w:name="_Ref116399621"/>
      <w:r w:rsidRPr="00DC4D12">
        <w:rPr>
          <w:rFonts w:asciiTheme="minorHAnsi" w:hAnsiTheme="minorHAnsi"/>
          <w:bCs/>
          <w:snapToGrid w:val="0"/>
        </w:rPr>
        <w:t>The PBAC has not previously considered risedronate to have non-inferior safety compared to placebo. The submission noted that the PBAC considered risedronate to have non-inferior safety to alendronate, however, the PBAC has not previously accepted that alendronate was of comparable safety and tolerability compared to placebo. The risk-benefit assessment of alendronate was an outstanding issue for</w:t>
      </w:r>
      <w:r w:rsidR="00CA0F47" w:rsidRPr="00DC4D12">
        <w:rPr>
          <w:rFonts w:asciiTheme="minorHAnsi" w:hAnsiTheme="minorHAnsi"/>
          <w:bCs/>
          <w:snapToGrid w:val="0"/>
        </w:rPr>
        <w:t xml:space="preserve"> the</w:t>
      </w:r>
      <w:r w:rsidRPr="00DC4D12">
        <w:rPr>
          <w:rFonts w:asciiTheme="minorHAnsi" w:hAnsiTheme="minorHAnsi"/>
          <w:bCs/>
          <w:snapToGrid w:val="0"/>
        </w:rPr>
        <w:t xml:space="preserve"> PBAC when considering the extension of the primary prevention listing (i.e. patients aged ≥70 years with a BMD T-score between -3.0 and -2.5) (alendronate PSD, July 2011 PBAC meeting). </w:t>
      </w:r>
      <w:r w:rsidR="00650229" w:rsidRPr="00DC4D12">
        <w:rPr>
          <w:rFonts w:asciiTheme="minorHAnsi" w:hAnsiTheme="minorHAnsi"/>
          <w:bCs/>
          <w:snapToGrid w:val="0"/>
        </w:rPr>
        <w:t>In July 2011, t</w:t>
      </w:r>
      <w:r w:rsidRPr="00DC4D12">
        <w:rPr>
          <w:rFonts w:asciiTheme="minorHAnsi" w:hAnsiTheme="minorHAnsi"/>
          <w:bCs/>
          <w:snapToGrid w:val="0"/>
        </w:rPr>
        <w:t xml:space="preserve">he PBAC considered that the additional patients would have a lower risk of fracture but were likely to be at a similar risk of adverse events as patients already eligible at the time. </w:t>
      </w:r>
      <w:r w:rsidR="00650229" w:rsidRPr="00DC4D12">
        <w:rPr>
          <w:rFonts w:asciiTheme="minorHAnsi" w:hAnsiTheme="minorHAnsi"/>
          <w:bCs/>
          <w:snapToGrid w:val="0"/>
        </w:rPr>
        <w:t>At that time, t</w:t>
      </w:r>
      <w:r w:rsidRPr="00DC4D12">
        <w:rPr>
          <w:rFonts w:asciiTheme="minorHAnsi" w:hAnsiTheme="minorHAnsi"/>
          <w:bCs/>
          <w:snapToGrid w:val="0"/>
        </w:rPr>
        <w:t>he PBAC was concerned as to the likely extent to which adverse events would offset gains in terms of fracture risk reduction but noted the inclusion of sensitivity analyses (in the cost-effectiveness analysis) to assess the impact of rare safety events of concern (osteonecrosis of the jaw, atypical femoral fractures, and oesophageal cancer).</w:t>
      </w:r>
      <w:bookmarkEnd w:id="37"/>
      <w:r w:rsidRPr="00DC4D12">
        <w:rPr>
          <w:rFonts w:asciiTheme="minorHAnsi" w:hAnsiTheme="minorHAnsi"/>
          <w:bCs/>
          <w:snapToGrid w:val="0"/>
        </w:rPr>
        <w:t xml:space="preserve">   </w:t>
      </w:r>
    </w:p>
    <w:p w14:paraId="31CDCCF5" w14:textId="70C908C2" w:rsidR="004708BB" w:rsidRPr="00966B2C" w:rsidRDefault="001676F0" w:rsidP="00DC4D12">
      <w:pPr>
        <w:widowControl w:val="0"/>
        <w:numPr>
          <w:ilvl w:val="1"/>
          <w:numId w:val="1"/>
        </w:numPr>
        <w:spacing w:after="120"/>
        <w:ind w:left="720" w:hanging="720"/>
        <w:rPr>
          <w:bCs/>
        </w:rPr>
      </w:pPr>
      <w:r w:rsidRPr="00DC4D12">
        <w:rPr>
          <w:rFonts w:asciiTheme="minorHAnsi" w:hAnsiTheme="minorHAnsi"/>
          <w:bCs/>
          <w:snapToGrid w:val="0"/>
        </w:rPr>
        <w:t xml:space="preserve">The submission only provided high-level summaries of adverse events from the included trials based on the premise that </w:t>
      </w:r>
      <w:r w:rsidR="00C70411" w:rsidRPr="00DC4D12">
        <w:rPr>
          <w:rFonts w:asciiTheme="minorHAnsi" w:hAnsiTheme="minorHAnsi"/>
          <w:bCs/>
          <w:snapToGrid w:val="0"/>
        </w:rPr>
        <w:t xml:space="preserve">the </w:t>
      </w:r>
      <w:r w:rsidRPr="00DC4D12">
        <w:rPr>
          <w:rFonts w:asciiTheme="minorHAnsi" w:hAnsiTheme="minorHAnsi"/>
          <w:bCs/>
          <w:snapToGrid w:val="0"/>
        </w:rPr>
        <w:t>PBAC had already considered the safety profile of risedronate in prior submissions. The included trials were conducted in older patients (mean ages of 65 years and above) in mixed primary and secondary prevention populations and may not be representative of the safety profile of risedronate in the requested population.</w:t>
      </w:r>
      <w:r w:rsidR="004708BB" w:rsidRPr="00DC4D12">
        <w:rPr>
          <w:rFonts w:asciiTheme="minorHAnsi" w:hAnsiTheme="minorHAnsi"/>
          <w:bCs/>
          <w:snapToGrid w:val="0"/>
        </w:rPr>
        <w:t xml:space="preserve"> The PSCR argued post-marketing safety surveillance data captures usage in patients of all ages with no age-related safety issues identified.</w:t>
      </w:r>
    </w:p>
    <w:p w14:paraId="1BCC9A99" w14:textId="451C13AB" w:rsidR="003C35CB" w:rsidRPr="00966B2C" w:rsidRDefault="003C35CB" w:rsidP="00DC4D12">
      <w:pPr>
        <w:widowControl w:val="0"/>
        <w:numPr>
          <w:ilvl w:val="1"/>
          <w:numId w:val="1"/>
        </w:numPr>
        <w:spacing w:after="120"/>
        <w:ind w:left="720" w:hanging="720"/>
        <w:rPr>
          <w:bCs/>
        </w:rPr>
      </w:pPr>
      <w:r w:rsidRPr="00DC4D12">
        <w:rPr>
          <w:rFonts w:asciiTheme="minorHAnsi" w:hAnsiTheme="minorHAnsi"/>
          <w:bCs/>
          <w:snapToGrid w:val="0"/>
        </w:rPr>
        <w:t xml:space="preserve">Overall, the </w:t>
      </w:r>
      <w:r w:rsidR="004708BB" w:rsidRPr="00DC4D12">
        <w:rPr>
          <w:rFonts w:asciiTheme="minorHAnsi" w:hAnsiTheme="minorHAnsi"/>
          <w:bCs/>
          <w:snapToGrid w:val="0"/>
        </w:rPr>
        <w:t xml:space="preserve">ESC agreed with the evaluation that the </w:t>
      </w:r>
      <w:r w:rsidRPr="00DC4D12">
        <w:rPr>
          <w:rFonts w:asciiTheme="minorHAnsi" w:hAnsiTheme="minorHAnsi"/>
          <w:bCs/>
          <w:snapToGrid w:val="0"/>
        </w:rPr>
        <w:t>risk-benefit profile in the additional population is uncertain given the absolute fracture risk would be lower than the currently eligible population.</w:t>
      </w:r>
      <w:r w:rsidR="004708BB" w:rsidRPr="00DC4D12">
        <w:rPr>
          <w:rFonts w:asciiTheme="minorHAnsi" w:hAnsiTheme="minorHAnsi"/>
          <w:bCs/>
          <w:snapToGrid w:val="0"/>
        </w:rPr>
        <w:t xml:space="preserve"> </w:t>
      </w:r>
    </w:p>
    <w:p w14:paraId="670805DC" w14:textId="44D6B39C" w:rsidR="003C04BA" w:rsidRPr="00966B2C" w:rsidRDefault="003C04BA" w:rsidP="00DC4D12">
      <w:pPr>
        <w:widowControl w:val="0"/>
        <w:numPr>
          <w:ilvl w:val="1"/>
          <w:numId w:val="1"/>
        </w:numPr>
        <w:spacing w:after="120"/>
        <w:ind w:left="720" w:hanging="720"/>
        <w:rPr>
          <w:bCs/>
        </w:rPr>
      </w:pPr>
      <w:bookmarkStart w:id="38" w:name="_Hlk76376200"/>
      <w:r w:rsidRPr="00DC4D12">
        <w:rPr>
          <w:rFonts w:asciiTheme="minorHAnsi" w:hAnsiTheme="minorHAnsi"/>
          <w:bCs/>
          <w:snapToGrid w:val="0"/>
        </w:rPr>
        <w:t xml:space="preserve">The PBAC considered that the claim of superior comparative effectiveness </w:t>
      </w:r>
      <w:r w:rsidR="00EB449D" w:rsidRPr="00DC4D12">
        <w:rPr>
          <w:rFonts w:asciiTheme="minorHAnsi" w:hAnsiTheme="minorHAnsi"/>
          <w:bCs/>
          <w:snapToGrid w:val="0"/>
        </w:rPr>
        <w:t xml:space="preserve">versus placebo </w:t>
      </w:r>
      <w:r w:rsidRPr="00DC4D12">
        <w:rPr>
          <w:rFonts w:asciiTheme="minorHAnsi" w:hAnsiTheme="minorHAnsi"/>
          <w:bCs/>
          <w:snapToGrid w:val="0"/>
        </w:rPr>
        <w:t xml:space="preserve">was </w:t>
      </w:r>
      <w:r w:rsidR="00EB449D" w:rsidRPr="00DC4D12">
        <w:rPr>
          <w:rFonts w:asciiTheme="minorHAnsi" w:hAnsiTheme="minorHAnsi"/>
          <w:bCs/>
          <w:snapToGrid w:val="0"/>
        </w:rPr>
        <w:t xml:space="preserve">uncertain but likely </w:t>
      </w:r>
      <w:r w:rsidRPr="00DC4D12">
        <w:rPr>
          <w:rFonts w:asciiTheme="minorHAnsi" w:hAnsiTheme="minorHAnsi"/>
          <w:bCs/>
          <w:snapToGrid w:val="0"/>
        </w:rPr>
        <w:t>reasonable</w:t>
      </w:r>
      <w:r w:rsidR="001416D5" w:rsidRPr="00DC4D12">
        <w:rPr>
          <w:rFonts w:asciiTheme="minorHAnsi" w:hAnsiTheme="minorHAnsi"/>
          <w:bCs/>
          <w:snapToGrid w:val="0"/>
        </w:rPr>
        <w:t>,</w:t>
      </w:r>
      <w:r w:rsidR="00EB449D" w:rsidRPr="00DC4D12">
        <w:rPr>
          <w:rFonts w:asciiTheme="minorHAnsi" w:hAnsiTheme="minorHAnsi"/>
          <w:bCs/>
          <w:snapToGrid w:val="0"/>
        </w:rPr>
        <w:t xml:space="preserve"> with the absolute magnitude of benefit in a younger population without fracture likely to be smaller than observed in the trials</w:t>
      </w:r>
      <w:r w:rsidRPr="00DC4D12">
        <w:rPr>
          <w:rFonts w:asciiTheme="minorHAnsi" w:hAnsiTheme="minorHAnsi"/>
          <w:bCs/>
          <w:snapToGrid w:val="0"/>
        </w:rPr>
        <w:t>.</w:t>
      </w:r>
      <w:r w:rsidR="00400A9A">
        <w:rPr>
          <w:rFonts w:asciiTheme="minorHAnsi" w:hAnsiTheme="minorHAnsi"/>
          <w:bCs/>
          <w:snapToGrid w:val="0"/>
        </w:rPr>
        <w:t xml:space="preserve"> </w:t>
      </w:r>
      <w:r w:rsidR="00400A9A" w:rsidRPr="004B1117">
        <w:rPr>
          <w:rFonts w:asciiTheme="minorHAnsi" w:hAnsiTheme="minorHAnsi"/>
          <w:snapToGrid w:val="0"/>
          <w:lang w:val="en-GB" w:eastAsia="en-US"/>
        </w:rPr>
        <w:t xml:space="preserve">To reduce the uncertainty associated with the </w:t>
      </w:r>
      <w:r w:rsidR="00400A9A">
        <w:rPr>
          <w:rFonts w:asciiTheme="minorHAnsi" w:hAnsiTheme="minorHAnsi"/>
          <w:snapToGrid w:val="0"/>
          <w:lang w:val="en-GB" w:eastAsia="en-US"/>
        </w:rPr>
        <w:t xml:space="preserve">clinical claim the </w:t>
      </w:r>
      <w:r w:rsidR="00400A9A" w:rsidRPr="00712899">
        <w:rPr>
          <w:rFonts w:asciiTheme="minorHAnsi" w:hAnsiTheme="minorHAnsi"/>
          <w:snapToGrid w:val="0"/>
          <w:lang w:val="en-GB" w:eastAsia="en-US"/>
        </w:rPr>
        <w:t xml:space="preserve">PBAC considered </w:t>
      </w:r>
      <w:r w:rsidR="00400A9A">
        <w:rPr>
          <w:rFonts w:asciiTheme="minorHAnsi" w:hAnsiTheme="minorHAnsi"/>
          <w:snapToGrid w:val="0"/>
          <w:lang w:val="en-GB" w:eastAsia="en-US"/>
        </w:rPr>
        <w:t xml:space="preserve">the </w:t>
      </w:r>
      <w:r w:rsidR="00400A9A" w:rsidRPr="00712899">
        <w:rPr>
          <w:rFonts w:asciiTheme="minorHAnsi" w:hAnsiTheme="minorHAnsi"/>
          <w:snapToGrid w:val="0"/>
          <w:lang w:val="en-GB" w:eastAsia="en-US"/>
        </w:rPr>
        <w:t xml:space="preserve">listing </w:t>
      </w:r>
      <w:r w:rsidR="00400A9A">
        <w:rPr>
          <w:rFonts w:asciiTheme="minorHAnsi" w:hAnsiTheme="minorHAnsi"/>
          <w:snapToGrid w:val="0"/>
          <w:lang w:val="en-GB" w:eastAsia="en-US"/>
        </w:rPr>
        <w:t xml:space="preserve">should be restricted </w:t>
      </w:r>
      <w:r w:rsidR="00400A9A" w:rsidRPr="00712899">
        <w:rPr>
          <w:rFonts w:asciiTheme="minorHAnsi" w:hAnsiTheme="minorHAnsi"/>
          <w:snapToGrid w:val="0"/>
          <w:lang w:val="en-GB" w:eastAsia="en-US"/>
        </w:rPr>
        <w:t xml:space="preserve">to patients aged 60 years and </w:t>
      </w:r>
      <w:r w:rsidR="00400A9A">
        <w:rPr>
          <w:rFonts w:asciiTheme="minorHAnsi" w:hAnsiTheme="minorHAnsi"/>
          <w:snapToGrid w:val="0"/>
          <w:lang w:val="en-GB" w:eastAsia="en-US"/>
        </w:rPr>
        <w:t>above</w:t>
      </w:r>
      <w:r w:rsidR="00400A9A" w:rsidRPr="00712899">
        <w:rPr>
          <w:rFonts w:asciiTheme="minorHAnsi" w:hAnsiTheme="minorHAnsi"/>
          <w:snapToGrid w:val="0"/>
          <w:lang w:val="en-GB" w:eastAsia="en-US"/>
        </w:rPr>
        <w:t>.</w:t>
      </w:r>
    </w:p>
    <w:p w14:paraId="612B5D10" w14:textId="0D2FA808" w:rsidR="003C04BA" w:rsidRPr="00966B2C" w:rsidRDefault="003C04BA" w:rsidP="00DC4D12">
      <w:pPr>
        <w:widowControl w:val="0"/>
        <w:numPr>
          <w:ilvl w:val="1"/>
          <w:numId w:val="1"/>
        </w:numPr>
        <w:spacing w:after="120"/>
        <w:ind w:left="720" w:hanging="720"/>
        <w:rPr>
          <w:bCs/>
        </w:rPr>
      </w:pPr>
      <w:r w:rsidRPr="00DC4D12">
        <w:rPr>
          <w:rFonts w:asciiTheme="minorHAnsi" w:hAnsiTheme="minorHAnsi"/>
          <w:bCs/>
          <w:snapToGrid w:val="0"/>
        </w:rPr>
        <w:t>The PBAC considered that the claim of non-inferior</w:t>
      </w:r>
      <w:r w:rsidR="001416D5" w:rsidRPr="00DC4D12">
        <w:rPr>
          <w:rFonts w:asciiTheme="minorHAnsi" w:hAnsiTheme="minorHAnsi"/>
          <w:bCs/>
          <w:snapToGrid w:val="0"/>
        </w:rPr>
        <w:t xml:space="preserve"> </w:t>
      </w:r>
      <w:r w:rsidRPr="00DC4D12">
        <w:rPr>
          <w:rFonts w:asciiTheme="minorHAnsi" w:hAnsiTheme="minorHAnsi"/>
          <w:bCs/>
          <w:snapToGrid w:val="0"/>
        </w:rPr>
        <w:t>comparative safety was not adequately supported by the data</w:t>
      </w:r>
      <w:bookmarkEnd w:id="38"/>
      <w:r w:rsidR="001416D5" w:rsidRPr="00DC4D12">
        <w:rPr>
          <w:rFonts w:asciiTheme="minorHAnsi" w:hAnsiTheme="minorHAnsi"/>
          <w:bCs/>
          <w:snapToGrid w:val="0"/>
        </w:rPr>
        <w:t>.</w:t>
      </w:r>
    </w:p>
    <w:p w14:paraId="74A1172E" w14:textId="128C170E" w:rsidR="00B60939" w:rsidRPr="002E14F6" w:rsidRDefault="00B60939" w:rsidP="00E9094A">
      <w:pPr>
        <w:pStyle w:val="COMH2-non-numbered"/>
      </w:pPr>
      <w:bookmarkStart w:id="39" w:name="_Toc22897645"/>
      <w:bookmarkStart w:id="40" w:name="_Toc113980157"/>
      <w:r w:rsidRPr="002E14F6">
        <w:t>Economic analysis</w:t>
      </w:r>
      <w:bookmarkEnd w:id="39"/>
      <w:bookmarkEnd w:id="40"/>
      <w:r w:rsidR="00491B3A" w:rsidRPr="002E14F6">
        <w:t xml:space="preserve"> </w:t>
      </w:r>
    </w:p>
    <w:p w14:paraId="14C1E8F9" w14:textId="12EFA675" w:rsidR="00275C5A" w:rsidRPr="00966B2C" w:rsidRDefault="007730F4" w:rsidP="00DC4D12">
      <w:pPr>
        <w:widowControl w:val="0"/>
        <w:numPr>
          <w:ilvl w:val="1"/>
          <w:numId w:val="1"/>
        </w:numPr>
        <w:spacing w:after="120"/>
        <w:ind w:left="720" w:hanging="720"/>
        <w:rPr>
          <w:bCs/>
        </w:rPr>
      </w:pPr>
      <w:r w:rsidRPr="00DC4D12">
        <w:rPr>
          <w:rFonts w:asciiTheme="minorHAnsi" w:hAnsiTheme="minorHAnsi"/>
          <w:bCs/>
          <w:snapToGrid w:val="0"/>
        </w:rPr>
        <w:t>The economic evaluation was based on early initiation of treatment with risedronate EC in eligible patients aged less than 70 years, versus delayed treatment with standard of care therapies (predominantly denosumab) in patients who fracture or reach the age of 70 years. The modelled population was synthesised using epidemiological data, with fracture risks estimated using the Garvan risk calculator, treatment effects derived from subgroups of the alendronate (FIT-CFA) and denosumab (FREEDOM) placebo-controlled trials as well as other modelled variables. The economic evaluation was presented as a cost-effectiveness/cost-utility analysis.</w:t>
      </w:r>
    </w:p>
    <w:p w14:paraId="40A903EB" w14:textId="72B486F9" w:rsidR="00FE74B6" w:rsidRPr="00C5021E" w:rsidRDefault="00C5021E" w:rsidP="00C5021E">
      <w:pPr>
        <w:pStyle w:val="COMtablefigcaption"/>
      </w:pPr>
      <w:r>
        <w:t xml:space="preserve">Table </w:t>
      </w:r>
      <w:r w:rsidR="00400174">
        <w:fldChar w:fldCharType="begin" w:fldLock="1"/>
      </w:r>
      <w:r w:rsidR="00400174">
        <w:instrText xml:space="preserve"> SEQ Table \* ARABIC </w:instrText>
      </w:r>
      <w:r w:rsidR="00400174">
        <w:fldChar w:fldCharType="separate"/>
      </w:r>
      <w:r w:rsidR="00C2719F">
        <w:rPr>
          <w:noProof/>
        </w:rPr>
        <w:t>7</w:t>
      </w:r>
      <w:r w:rsidR="00400174">
        <w:rPr>
          <w:noProof/>
        </w:rPr>
        <w:fldChar w:fldCharType="end"/>
      </w:r>
      <w:r>
        <w:t xml:space="preserve">: </w:t>
      </w:r>
      <w:r w:rsidRPr="00C5021E">
        <w:t>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7: Key components of the economic evaluation"/>
      </w:tblPr>
      <w:tblGrid>
        <w:gridCol w:w="1702"/>
        <w:gridCol w:w="7315"/>
      </w:tblGrid>
      <w:tr w:rsidR="00FE74B6" w:rsidRPr="002E14F6" w14:paraId="2FF508ED" w14:textId="77777777" w:rsidTr="005F1ABD">
        <w:tc>
          <w:tcPr>
            <w:tcW w:w="944" w:type="pct"/>
            <w:vAlign w:val="center"/>
          </w:tcPr>
          <w:p w14:paraId="2F0822F7" w14:textId="77777777" w:rsidR="00FE74B6" w:rsidRPr="002E14F6" w:rsidRDefault="00FE74B6" w:rsidP="005F1ABD">
            <w:pPr>
              <w:pStyle w:val="COMTableheadingrow"/>
              <w:rPr>
                <w:lang w:val="en-AU"/>
              </w:rPr>
            </w:pPr>
            <w:r w:rsidRPr="002E14F6">
              <w:rPr>
                <w:lang w:val="en-AU"/>
              </w:rPr>
              <w:t>Component</w:t>
            </w:r>
          </w:p>
        </w:tc>
        <w:tc>
          <w:tcPr>
            <w:tcW w:w="4056" w:type="pct"/>
            <w:vAlign w:val="center"/>
          </w:tcPr>
          <w:p w14:paraId="66323A57" w14:textId="77777777" w:rsidR="00FE74B6" w:rsidRPr="002E14F6" w:rsidRDefault="00FE74B6" w:rsidP="005F1ABD">
            <w:pPr>
              <w:pStyle w:val="COMTableheadingrow"/>
              <w:rPr>
                <w:lang w:val="en-AU"/>
              </w:rPr>
            </w:pPr>
            <w:r w:rsidRPr="002E14F6">
              <w:rPr>
                <w:lang w:val="en-AU"/>
              </w:rPr>
              <w:t>Description</w:t>
            </w:r>
          </w:p>
        </w:tc>
      </w:tr>
      <w:tr w:rsidR="00FE74B6" w:rsidRPr="002E14F6" w14:paraId="3F78C88A" w14:textId="77777777" w:rsidTr="005F1ABD">
        <w:tc>
          <w:tcPr>
            <w:tcW w:w="944" w:type="pct"/>
            <w:vAlign w:val="center"/>
          </w:tcPr>
          <w:p w14:paraId="28AC4AB5" w14:textId="77777777" w:rsidR="00FE74B6" w:rsidRPr="002E14F6" w:rsidRDefault="00FE74B6" w:rsidP="005F1ABD">
            <w:pPr>
              <w:pStyle w:val="COMTabletext"/>
            </w:pPr>
            <w:r w:rsidRPr="002E14F6">
              <w:t>Treatments</w:t>
            </w:r>
          </w:p>
        </w:tc>
        <w:tc>
          <w:tcPr>
            <w:tcW w:w="4056" w:type="pct"/>
            <w:vAlign w:val="center"/>
          </w:tcPr>
          <w:p w14:paraId="74BADB37" w14:textId="47874D5C" w:rsidR="00FE74B6" w:rsidRPr="002E14F6" w:rsidRDefault="00FE74B6" w:rsidP="005F1ABD">
            <w:pPr>
              <w:pStyle w:val="COMTabletext"/>
            </w:pPr>
            <w:r w:rsidRPr="002E14F6">
              <w:t>Early treatment with risedronate EC versus delayed standard of care</w:t>
            </w:r>
            <w:r w:rsidR="00E102FA" w:rsidRPr="002E14F6">
              <w:t xml:space="preserve"> therapies</w:t>
            </w:r>
            <w:r w:rsidRPr="002E14F6">
              <w:t xml:space="preserve"> (oral bisphosphonates, zoledronic acid, denosumab)</w:t>
            </w:r>
          </w:p>
        </w:tc>
      </w:tr>
      <w:tr w:rsidR="00FE74B6" w:rsidRPr="002E14F6" w14:paraId="675DF2D6" w14:textId="77777777" w:rsidTr="005F1ABD">
        <w:tc>
          <w:tcPr>
            <w:tcW w:w="944" w:type="pct"/>
            <w:vAlign w:val="center"/>
          </w:tcPr>
          <w:p w14:paraId="17B21DD8" w14:textId="77777777" w:rsidR="00FE74B6" w:rsidRPr="002E14F6" w:rsidRDefault="00FE74B6" w:rsidP="005F1ABD">
            <w:pPr>
              <w:pStyle w:val="COMTabletext"/>
            </w:pPr>
            <w:r w:rsidRPr="002E14F6">
              <w:t>Outcomes</w:t>
            </w:r>
          </w:p>
        </w:tc>
        <w:tc>
          <w:tcPr>
            <w:tcW w:w="4056" w:type="pct"/>
            <w:vAlign w:val="center"/>
          </w:tcPr>
          <w:p w14:paraId="272F946D" w14:textId="77777777" w:rsidR="00FE74B6" w:rsidRPr="002E14F6" w:rsidRDefault="00FE74B6" w:rsidP="005F1ABD">
            <w:pPr>
              <w:pStyle w:val="COMTabletext"/>
            </w:pPr>
            <w:r w:rsidRPr="002E14F6">
              <w:t>Fracture avoidance, life years and quality-adjusted life years (QALYs)</w:t>
            </w:r>
          </w:p>
        </w:tc>
      </w:tr>
      <w:tr w:rsidR="00FE74B6" w:rsidRPr="002E14F6" w14:paraId="0C1FFB2B" w14:textId="77777777" w:rsidTr="005F1ABD">
        <w:tc>
          <w:tcPr>
            <w:tcW w:w="944" w:type="pct"/>
            <w:vAlign w:val="center"/>
          </w:tcPr>
          <w:p w14:paraId="1A39E266" w14:textId="77777777" w:rsidR="00FE74B6" w:rsidRPr="002E14F6" w:rsidRDefault="00FE74B6" w:rsidP="005F1ABD">
            <w:pPr>
              <w:pStyle w:val="COMTabletext"/>
            </w:pPr>
            <w:r w:rsidRPr="002E14F6">
              <w:t>Time horizon</w:t>
            </w:r>
          </w:p>
        </w:tc>
        <w:tc>
          <w:tcPr>
            <w:tcW w:w="4056" w:type="pct"/>
            <w:vAlign w:val="center"/>
          </w:tcPr>
          <w:p w14:paraId="39AF10B0" w14:textId="77777777" w:rsidR="00FE74B6" w:rsidRPr="002E14F6" w:rsidRDefault="00FE74B6" w:rsidP="005F1ABD">
            <w:pPr>
              <w:pStyle w:val="COMTabletext"/>
            </w:pPr>
            <w:r w:rsidRPr="002E14F6">
              <w:t>20 years</w:t>
            </w:r>
          </w:p>
        </w:tc>
      </w:tr>
      <w:tr w:rsidR="00FE74B6" w:rsidRPr="002E14F6" w14:paraId="7A54CCF2" w14:textId="77777777" w:rsidTr="005F1ABD">
        <w:tc>
          <w:tcPr>
            <w:tcW w:w="944" w:type="pct"/>
            <w:vAlign w:val="center"/>
          </w:tcPr>
          <w:p w14:paraId="41F3622F" w14:textId="77777777" w:rsidR="00FE74B6" w:rsidRPr="002E14F6" w:rsidRDefault="00FE74B6" w:rsidP="005F1ABD">
            <w:pPr>
              <w:pStyle w:val="COMTabletext"/>
            </w:pPr>
            <w:r w:rsidRPr="002E14F6">
              <w:t>Methods used to generate results</w:t>
            </w:r>
          </w:p>
        </w:tc>
        <w:tc>
          <w:tcPr>
            <w:tcW w:w="4056" w:type="pct"/>
            <w:vAlign w:val="center"/>
          </w:tcPr>
          <w:p w14:paraId="310A7C71" w14:textId="77777777" w:rsidR="00FE74B6" w:rsidRPr="002E14F6" w:rsidRDefault="00FE74B6" w:rsidP="005F1ABD">
            <w:pPr>
              <w:pStyle w:val="COMTabletext"/>
            </w:pPr>
            <w:r w:rsidRPr="002E14F6">
              <w:t>Markov cohort state transition model (half-cycle corrected costs and outcomes)</w:t>
            </w:r>
          </w:p>
        </w:tc>
      </w:tr>
      <w:tr w:rsidR="00FE74B6" w:rsidRPr="002E14F6" w14:paraId="4A7A4E8F" w14:textId="77777777" w:rsidTr="005F1ABD">
        <w:tc>
          <w:tcPr>
            <w:tcW w:w="944" w:type="pct"/>
            <w:vAlign w:val="center"/>
          </w:tcPr>
          <w:p w14:paraId="22474E36" w14:textId="77777777" w:rsidR="00FE74B6" w:rsidRPr="002E14F6" w:rsidRDefault="00FE74B6" w:rsidP="005F1ABD">
            <w:pPr>
              <w:pStyle w:val="COMTabletext"/>
            </w:pPr>
            <w:r w:rsidRPr="002E14F6">
              <w:t>Health states</w:t>
            </w:r>
          </w:p>
        </w:tc>
        <w:tc>
          <w:tcPr>
            <w:tcW w:w="4056" w:type="pct"/>
            <w:vAlign w:val="center"/>
          </w:tcPr>
          <w:p w14:paraId="24902F7B" w14:textId="77777777" w:rsidR="00FE74B6" w:rsidRPr="002E14F6" w:rsidRDefault="00FE74B6" w:rsidP="005F1ABD">
            <w:pPr>
              <w:pStyle w:val="COMTabletext"/>
            </w:pPr>
            <w:r w:rsidRPr="002E14F6">
              <w:t>6 health states including a no fracture health state (baseline), 2 acute fracture health states (new hip and new non-hip), 2 post-fracture health states (prior hip and prior non-hip) and dead</w:t>
            </w:r>
          </w:p>
        </w:tc>
      </w:tr>
      <w:tr w:rsidR="00FE74B6" w:rsidRPr="002E14F6" w14:paraId="5EF18223" w14:textId="77777777" w:rsidTr="005F1ABD">
        <w:tc>
          <w:tcPr>
            <w:tcW w:w="944" w:type="pct"/>
            <w:vAlign w:val="center"/>
          </w:tcPr>
          <w:p w14:paraId="5124ABB9" w14:textId="77777777" w:rsidR="00FE74B6" w:rsidRPr="002E14F6" w:rsidRDefault="00FE74B6" w:rsidP="005F1ABD">
            <w:pPr>
              <w:pStyle w:val="COMTabletext"/>
            </w:pPr>
            <w:r w:rsidRPr="002E14F6">
              <w:t>Cycle length</w:t>
            </w:r>
          </w:p>
        </w:tc>
        <w:tc>
          <w:tcPr>
            <w:tcW w:w="4056" w:type="pct"/>
            <w:vAlign w:val="center"/>
          </w:tcPr>
          <w:p w14:paraId="06DCC801" w14:textId="77777777" w:rsidR="00FE74B6" w:rsidRPr="002E14F6" w:rsidRDefault="00FE74B6" w:rsidP="005F1ABD">
            <w:pPr>
              <w:pStyle w:val="COMTabletext"/>
            </w:pPr>
            <w:r w:rsidRPr="002E14F6">
              <w:t>Annual</w:t>
            </w:r>
          </w:p>
        </w:tc>
      </w:tr>
      <w:tr w:rsidR="00FE74B6" w:rsidRPr="002E14F6" w14:paraId="1689979F" w14:textId="77777777" w:rsidTr="005F1ABD">
        <w:tc>
          <w:tcPr>
            <w:tcW w:w="944" w:type="pct"/>
            <w:vAlign w:val="center"/>
          </w:tcPr>
          <w:p w14:paraId="721A6642" w14:textId="77777777" w:rsidR="00FE74B6" w:rsidRPr="002E14F6" w:rsidRDefault="00FE74B6" w:rsidP="005F1ABD">
            <w:pPr>
              <w:pStyle w:val="COMTabletext"/>
            </w:pPr>
            <w:r w:rsidRPr="002E14F6">
              <w:t>Transition probabilities</w:t>
            </w:r>
          </w:p>
        </w:tc>
        <w:tc>
          <w:tcPr>
            <w:tcW w:w="4056" w:type="pct"/>
            <w:vAlign w:val="center"/>
          </w:tcPr>
          <w:p w14:paraId="79D1E13E" w14:textId="77777777" w:rsidR="00FE74B6" w:rsidRPr="002E14F6" w:rsidRDefault="00FE74B6" w:rsidP="005F1ABD">
            <w:pPr>
              <w:pStyle w:val="COMTabletext"/>
            </w:pPr>
            <w:r w:rsidRPr="002E14F6">
              <w:t xml:space="preserve">Fracture risks were estimated using the Garvan risk calculator using modelled patient characteristics and assumptions. </w:t>
            </w:r>
          </w:p>
          <w:p w14:paraId="03BAFDB0" w14:textId="77777777" w:rsidR="00FE74B6" w:rsidRPr="002E14F6" w:rsidRDefault="00FE74B6" w:rsidP="005F1ABD">
            <w:pPr>
              <w:pStyle w:val="COMTabletext"/>
            </w:pPr>
          </w:p>
          <w:p w14:paraId="37A30DA6" w14:textId="77777777" w:rsidR="00FE74B6" w:rsidRPr="002E14F6" w:rsidRDefault="00FE74B6" w:rsidP="005F1ABD">
            <w:pPr>
              <w:pStyle w:val="COMTabletext"/>
            </w:pPr>
            <w:r w:rsidRPr="002E14F6">
              <w:t>Treatment effect estimates for standard of care were based on estimated treatment effects for alendronate, denosumab, risedronate and zoledronic acid. Individual treatment effects were derived from published results of an indirect comparison of alendronate (FIT-CFA) and denosumab (FREEDOM) placebo-controlled trials in subgroups with BMD T-scores &lt;-2.5 who are without fracture (denosumab PSD, March 2012 PBAC meeting). Treatment effects for risedronate and zoledronic acid were assumed to be equivalent to alendronate. A weighted treatment effect was calculated using PBS utilisation data.</w:t>
            </w:r>
          </w:p>
          <w:p w14:paraId="054F6270" w14:textId="77777777" w:rsidR="00FE74B6" w:rsidRPr="002E14F6" w:rsidRDefault="00FE74B6" w:rsidP="005F1ABD">
            <w:pPr>
              <w:pStyle w:val="COMTabletext"/>
            </w:pPr>
          </w:p>
          <w:p w14:paraId="518020F4" w14:textId="77777777" w:rsidR="00FE74B6" w:rsidRPr="002E14F6" w:rsidRDefault="00FE74B6" w:rsidP="005F1ABD">
            <w:pPr>
              <w:pStyle w:val="COMTabletext"/>
            </w:pPr>
            <w:r w:rsidRPr="002E14F6">
              <w:t>Treatment effect estimates for risedronate EC were based on estimated treatment effects for alendronate (same source as for standard of care, see above), as a proxy for risedronate EC.</w:t>
            </w:r>
          </w:p>
          <w:p w14:paraId="3B7D084F" w14:textId="77777777" w:rsidR="00FE74B6" w:rsidRPr="002E14F6" w:rsidRDefault="00FE74B6" w:rsidP="005F1ABD">
            <w:pPr>
              <w:pStyle w:val="COMTabletext"/>
            </w:pPr>
          </w:p>
          <w:p w14:paraId="46B4861B" w14:textId="77777777" w:rsidR="00FE74B6" w:rsidRPr="002E14F6" w:rsidRDefault="00FE74B6" w:rsidP="005F1ABD">
            <w:pPr>
              <w:pStyle w:val="COMTabletext"/>
            </w:pPr>
            <w:r w:rsidRPr="002E14F6">
              <w:t>Mortality estimates were based on Australian life tables, adjusted using fracture-related mortality multipliers derived from the Dubbo Osteoporosis Epidemiology Study.</w:t>
            </w:r>
          </w:p>
        </w:tc>
      </w:tr>
      <w:tr w:rsidR="00FE74B6" w:rsidRPr="002E14F6" w14:paraId="6AD56896" w14:textId="77777777" w:rsidTr="005F1ABD">
        <w:tc>
          <w:tcPr>
            <w:tcW w:w="944" w:type="pct"/>
            <w:vAlign w:val="center"/>
          </w:tcPr>
          <w:p w14:paraId="378A7220" w14:textId="77777777" w:rsidR="00FE74B6" w:rsidRPr="002E14F6" w:rsidRDefault="00FE74B6" w:rsidP="005F1ABD">
            <w:pPr>
              <w:pStyle w:val="COMTabletext"/>
            </w:pPr>
            <w:r w:rsidRPr="002E14F6">
              <w:t>Health related quality of life</w:t>
            </w:r>
          </w:p>
        </w:tc>
        <w:tc>
          <w:tcPr>
            <w:tcW w:w="4056" w:type="pct"/>
            <w:vAlign w:val="center"/>
          </w:tcPr>
          <w:p w14:paraId="5548F46A" w14:textId="77777777" w:rsidR="00FE74B6" w:rsidRPr="002E14F6" w:rsidRDefault="00FE74B6" w:rsidP="005F1ABD">
            <w:pPr>
              <w:pStyle w:val="COMTabletext"/>
            </w:pPr>
            <w:r w:rsidRPr="002E14F6">
              <w:t>Baseline utility estimates from the general Australian population (Clemens 2014). Utility values for fracture health states were based on utility multipliers used in a published cost-effectiveness study for osteoporosis (Karnon 2016; sourced from the Peasgood 2009 utility study and Chau 2012 cost-effectiveness analysis) applied to baseline utility estimates.</w:t>
            </w:r>
          </w:p>
        </w:tc>
      </w:tr>
      <w:tr w:rsidR="00FE74B6" w:rsidRPr="002E14F6" w14:paraId="1FC31BA5" w14:textId="77777777" w:rsidTr="005F1ABD">
        <w:tc>
          <w:tcPr>
            <w:tcW w:w="944" w:type="pct"/>
            <w:vAlign w:val="center"/>
          </w:tcPr>
          <w:p w14:paraId="181A39C8" w14:textId="77777777" w:rsidR="00FE74B6" w:rsidRPr="002E14F6" w:rsidRDefault="00FE74B6" w:rsidP="005F1ABD">
            <w:pPr>
              <w:pStyle w:val="COMTabletext"/>
            </w:pPr>
            <w:r w:rsidRPr="002E14F6">
              <w:t>Costs</w:t>
            </w:r>
          </w:p>
        </w:tc>
        <w:tc>
          <w:tcPr>
            <w:tcW w:w="4056" w:type="pct"/>
            <w:vAlign w:val="center"/>
          </w:tcPr>
          <w:p w14:paraId="412767BA" w14:textId="77777777" w:rsidR="00FE74B6" w:rsidRPr="002E14F6" w:rsidRDefault="00FE74B6" w:rsidP="005F1ABD">
            <w:pPr>
              <w:pStyle w:val="COMTabletext"/>
            </w:pPr>
            <w:r w:rsidRPr="002E14F6">
              <w:t>Drug acquisition costs were estimated using the published DPMQs for risedronate and alendronate (all formulations and combination products), zoledronic acid and denosumab. A weighted cost for standard of care was calculated using PBS utilisation data. Administration costs for denosumab and zoledronic acid were based on MBS costs for GP and specialist visits. Monitoring costs were based on MBS costs for BMD testing. Acute fracture costs were derived from the AusICUROS study, inflated to 2022 estimates using the CPI. Ongoing fracture costs were based on costs of nursing home care published in an Australian osteoporosis burden of disease study (Watts 2013).</w:t>
            </w:r>
          </w:p>
        </w:tc>
      </w:tr>
      <w:tr w:rsidR="00FE74B6" w:rsidRPr="002E14F6" w14:paraId="561951ED" w14:textId="77777777" w:rsidTr="005F1ABD">
        <w:tc>
          <w:tcPr>
            <w:tcW w:w="944" w:type="pct"/>
            <w:vAlign w:val="center"/>
          </w:tcPr>
          <w:p w14:paraId="1B0850F3" w14:textId="77777777" w:rsidR="00FE74B6" w:rsidRPr="002E14F6" w:rsidRDefault="00FE74B6" w:rsidP="005F1ABD">
            <w:pPr>
              <w:pStyle w:val="COMTabletext"/>
            </w:pPr>
            <w:r w:rsidRPr="002E14F6">
              <w:t>Software package</w:t>
            </w:r>
          </w:p>
        </w:tc>
        <w:tc>
          <w:tcPr>
            <w:tcW w:w="4056" w:type="pct"/>
            <w:vAlign w:val="center"/>
          </w:tcPr>
          <w:p w14:paraId="2916431C" w14:textId="77777777" w:rsidR="00FE74B6" w:rsidRPr="002E14F6" w:rsidRDefault="00FE74B6" w:rsidP="005F1ABD">
            <w:pPr>
              <w:pStyle w:val="COMTabletext"/>
            </w:pPr>
            <w:r w:rsidRPr="002E14F6">
              <w:t>Excel</w:t>
            </w:r>
          </w:p>
        </w:tc>
      </w:tr>
    </w:tbl>
    <w:p w14:paraId="2468D940" w14:textId="77777777" w:rsidR="00FE74B6" w:rsidRPr="002E14F6" w:rsidRDefault="00FE74B6" w:rsidP="00FE74B6">
      <w:pPr>
        <w:pStyle w:val="COMTablefooter"/>
      </w:pPr>
      <w:r w:rsidRPr="002E14F6">
        <w:t>Source: Table 50, p126 of the submission</w:t>
      </w:r>
    </w:p>
    <w:p w14:paraId="65633228" w14:textId="77777777" w:rsidR="00FE74B6" w:rsidRPr="002E14F6" w:rsidRDefault="00FE74B6" w:rsidP="00FE74B6">
      <w:pPr>
        <w:pStyle w:val="COMTablefooter"/>
      </w:pPr>
      <w:r w:rsidRPr="002E14F6">
        <w:t>Abbreviations: BMD, bone mineral density; CPI, consumer price index</w:t>
      </w:r>
    </w:p>
    <w:p w14:paraId="201AC199" w14:textId="6FFD8F52" w:rsidR="005722AE" w:rsidRPr="00966B2C" w:rsidRDefault="00612368" w:rsidP="00DC4D12">
      <w:pPr>
        <w:widowControl w:val="0"/>
        <w:numPr>
          <w:ilvl w:val="1"/>
          <w:numId w:val="1"/>
        </w:numPr>
        <w:spacing w:after="120"/>
        <w:ind w:left="720" w:hanging="720"/>
        <w:rPr>
          <w:bCs/>
        </w:rPr>
      </w:pPr>
      <w:r w:rsidRPr="00DC4D12">
        <w:rPr>
          <w:rFonts w:asciiTheme="minorHAnsi" w:hAnsiTheme="minorHAnsi"/>
          <w:bCs/>
          <w:snapToGrid w:val="0"/>
        </w:rPr>
        <w:t xml:space="preserve">The </w:t>
      </w:r>
      <w:r w:rsidR="004F4CD2" w:rsidRPr="00DC4D12">
        <w:rPr>
          <w:rFonts w:asciiTheme="minorHAnsi" w:hAnsiTheme="minorHAnsi"/>
          <w:bCs/>
          <w:snapToGrid w:val="0"/>
        </w:rPr>
        <w:t xml:space="preserve">ESC noted that </w:t>
      </w:r>
      <w:r w:rsidRPr="00DC4D12">
        <w:rPr>
          <w:rFonts w:asciiTheme="minorHAnsi" w:hAnsiTheme="minorHAnsi"/>
          <w:bCs/>
          <w:snapToGrid w:val="0"/>
        </w:rPr>
        <w:t xml:space="preserve">economic model did not incorporate costs associated with the determination of treatment eligibility with risedronate EC, which would require screening a potentially large population for low BMD. </w:t>
      </w:r>
    </w:p>
    <w:p w14:paraId="34DE58A3" w14:textId="77777777" w:rsidR="008D2F89" w:rsidRPr="00966B2C" w:rsidRDefault="005722AE" w:rsidP="00DC4D12">
      <w:pPr>
        <w:widowControl w:val="0"/>
        <w:numPr>
          <w:ilvl w:val="1"/>
          <w:numId w:val="1"/>
        </w:numPr>
        <w:spacing w:after="120"/>
        <w:ind w:left="720" w:hanging="720"/>
        <w:rPr>
          <w:bCs/>
        </w:rPr>
      </w:pPr>
      <w:r w:rsidRPr="00DC4D12">
        <w:rPr>
          <w:rFonts w:asciiTheme="minorHAnsi" w:hAnsiTheme="minorHAnsi"/>
          <w:bCs/>
          <w:snapToGrid w:val="0"/>
        </w:rPr>
        <w:t xml:space="preserve">All patients start in the baseline health state of no fracture. In each annual cycle, patients can have no event or experience a hip fracture, non-hip fracture or death. Patients experiencing a hip or non-hip fracture enter corresponding new hip or non-hip fracture health states. After a year, patients in the new hip or non-hip fracture health states can have no event, </w:t>
      </w:r>
      <w:r w:rsidR="00282161" w:rsidRPr="00DC4D12">
        <w:rPr>
          <w:rFonts w:asciiTheme="minorHAnsi" w:hAnsiTheme="minorHAnsi"/>
          <w:bCs/>
          <w:snapToGrid w:val="0"/>
        </w:rPr>
        <w:t xml:space="preserve">or </w:t>
      </w:r>
      <w:r w:rsidRPr="00DC4D12">
        <w:rPr>
          <w:rFonts w:asciiTheme="minorHAnsi" w:hAnsiTheme="minorHAnsi"/>
          <w:bCs/>
          <w:snapToGrid w:val="0"/>
        </w:rPr>
        <w:t>experience another hip</w:t>
      </w:r>
      <w:r w:rsidR="00DF2C4B" w:rsidRPr="00DC4D12">
        <w:rPr>
          <w:rFonts w:asciiTheme="minorHAnsi" w:hAnsiTheme="minorHAnsi"/>
          <w:bCs/>
          <w:snapToGrid w:val="0"/>
        </w:rPr>
        <w:t xml:space="preserve"> fracture,</w:t>
      </w:r>
      <w:r w:rsidRPr="00DC4D12">
        <w:rPr>
          <w:rFonts w:asciiTheme="minorHAnsi" w:hAnsiTheme="minorHAnsi"/>
          <w:bCs/>
          <w:snapToGrid w:val="0"/>
        </w:rPr>
        <w:t xml:space="preserve"> or non-hip fracture or death. Patients who have no event transition to corresponding prior hip or non-hip fracture health states, while patients who experience another fracture transition to the relevant new hip or non-hip fracture health state. Patients in all fracture states are attributed elevated mortality risks due to fracture.</w:t>
      </w:r>
    </w:p>
    <w:p w14:paraId="3E959079" w14:textId="0A7439AE" w:rsidR="00314946" w:rsidRPr="00966B2C" w:rsidRDefault="008D2F89" w:rsidP="00DC4D12">
      <w:pPr>
        <w:widowControl w:val="0"/>
        <w:numPr>
          <w:ilvl w:val="1"/>
          <w:numId w:val="1"/>
        </w:numPr>
        <w:spacing w:after="120"/>
        <w:ind w:left="720" w:hanging="720"/>
        <w:rPr>
          <w:bCs/>
        </w:rPr>
      </w:pPr>
      <w:r w:rsidRPr="00DC4D12">
        <w:rPr>
          <w:rFonts w:asciiTheme="minorHAnsi" w:hAnsiTheme="minorHAnsi"/>
          <w:bCs/>
          <w:snapToGrid w:val="0"/>
        </w:rPr>
        <w:t xml:space="preserve">The ESC noted concerns surrounding the likely extent to which adverse events would offset gains in terms of fracture risk reduction in patients with lower underlying fracture risk (see paragraph </w:t>
      </w:r>
      <w:r w:rsidRPr="00DC4D12">
        <w:rPr>
          <w:rFonts w:asciiTheme="minorHAnsi" w:hAnsiTheme="minorHAnsi"/>
          <w:bCs/>
          <w:snapToGrid w:val="0"/>
        </w:rPr>
        <w:fldChar w:fldCharType="begin" w:fldLock="1"/>
      </w:r>
      <w:r w:rsidRPr="00DC4D12">
        <w:rPr>
          <w:rFonts w:asciiTheme="minorHAnsi" w:hAnsiTheme="minorHAnsi"/>
          <w:bCs/>
          <w:snapToGrid w:val="0"/>
        </w:rPr>
        <w:instrText xml:space="preserve"> REF _Ref116399621 \r \h </w:instrText>
      </w:r>
      <w:r w:rsidR="00314946" w:rsidRPr="00DC4D12">
        <w:rPr>
          <w:rFonts w:asciiTheme="minorHAnsi" w:hAnsiTheme="minorHAnsi"/>
          <w:bCs/>
          <w:snapToGrid w:val="0"/>
        </w:rPr>
        <w:instrText xml:space="preserve"> \* MERGEFORMAT </w:instrText>
      </w:r>
      <w:r w:rsidRPr="00DC4D12">
        <w:rPr>
          <w:rFonts w:asciiTheme="minorHAnsi" w:hAnsiTheme="minorHAnsi"/>
          <w:bCs/>
          <w:snapToGrid w:val="0"/>
        </w:rPr>
      </w:r>
      <w:r w:rsidRPr="00DC4D12">
        <w:rPr>
          <w:rFonts w:asciiTheme="minorHAnsi" w:hAnsiTheme="minorHAnsi"/>
          <w:bCs/>
          <w:snapToGrid w:val="0"/>
        </w:rPr>
        <w:fldChar w:fldCharType="separate"/>
      </w:r>
      <w:r w:rsidR="008E5873">
        <w:rPr>
          <w:rFonts w:asciiTheme="minorHAnsi" w:hAnsiTheme="minorHAnsi"/>
          <w:bCs/>
          <w:snapToGrid w:val="0"/>
        </w:rPr>
        <w:t>6.44</w:t>
      </w:r>
      <w:r w:rsidRPr="00DC4D12">
        <w:rPr>
          <w:rFonts w:asciiTheme="minorHAnsi" w:hAnsiTheme="minorHAnsi"/>
          <w:bCs/>
          <w:snapToGrid w:val="0"/>
        </w:rPr>
        <w:fldChar w:fldCharType="end"/>
      </w:r>
      <w:r w:rsidRPr="00DC4D12">
        <w:rPr>
          <w:rFonts w:asciiTheme="minorHAnsi" w:hAnsiTheme="minorHAnsi"/>
          <w:bCs/>
          <w:snapToGrid w:val="0"/>
        </w:rPr>
        <w:t xml:space="preserve">). The ESC noted that </w:t>
      </w:r>
      <w:r w:rsidR="00314946" w:rsidRPr="00DC4D12">
        <w:rPr>
          <w:rFonts w:asciiTheme="minorHAnsi" w:hAnsiTheme="minorHAnsi"/>
          <w:bCs/>
          <w:snapToGrid w:val="0"/>
        </w:rPr>
        <w:t xml:space="preserve">the impact of rare safety events of concern (osteonecrosis of the jaw, atypical femoral fractures, and oesophageal cancer) was not explored in the model.   </w:t>
      </w:r>
    </w:p>
    <w:p w14:paraId="44EEE865" w14:textId="2DB657D0" w:rsidR="00AA352A" w:rsidRPr="00966B2C" w:rsidRDefault="00AA352A" w:rsidP="00DC4D12">
      <w:pPr>
        <w:widowControl w:val="0"/>
        <w:numPr>
          <w:ilvl w:val="1"/>
          <w:numId w:val="1"/>
        </w:numPr>
        <w:spacing w:after="120"/>
        <w:ind w:left="720" w:hanging="720"/>
        <w:rPr>
          <w:bCs/>
        </w:rPr>
      </w:pPr>
      <w:r w:rsidRPr="00DC4D12">
        <w:rPr>
          <w:rFonts w:asciiTheme="minorHAnsi" w:hAnsiTheme="minorHAnsi"/>
          <w:bCs/>
          <w:snapToGrid w:val="0"/>
        </w:rPr>
        <w:t xml:space="preserve">The submission acknowledged that the structure of the model limited the ability to track events occurring </w:t>
      </w:r>
      <w:r w:rsidR="00CA0F47" w:rsidRPr="00DC4D12">
        <w:rPr>
          <w:rFonts w:asciiTheme="minorHAnsi" w:hAnsiTheme="minorHAnsi"/>
          <w:bCs/>
          <w:snapToGrid w:val="0"/>
        </w:rPr>
        <w:t>in</w:t>
      </w:r>
      <w:r w:rsidRPr="00DC4D12">
        <w:rPr>
          <w:rFonts w:asciiTheme="minorHAnsi" w:hAnsiTheme="minorHAnsi"/>
          <w:bCs/>
          <w:snapToGrid w:val="0"/>
        </w:rPr>
        <w:t xml:space="preserve"> patients over time. This </w:t>
      </w:r>
      <w:r w:rsidR="002E2BBB" w:rsidRPr="00DC4D12">
        <w:rPr>
          <w:rFonts w:asciiTheme="minorHAnsi" w:hAnsiTheme="minorHAnsi"/>
          <w:bCs/>
          <w:snapToGrid w:val="0"/>
        </w:rPr>
        <w:t>constraint</w:t>
      </w:r>
      <w:r w:rsidRPr="00DC4D12">
        <w:rPr>
          <w:rFonts w:asciiTheme="minorHAnsi" w:hAnsiTheme="minorHAnsi"/>
          <w:bCs/>
          <w:snapToGrid w:val="0"/>
        </w:rPr>
        <w:t xml:space="preserve"> necessitated the use of simplifying assumptions with regards to fracture risks, mortality risks and the attribution of fracture-related costs and consequences in the model (</w:t>
      </w:r>
      <w:r w:rsidR="007804B5" w:rsidRPr="00DC4D12">
        <w:rPr>
          <w:rFonts w:asciiTheme="minorHAnsi" w:hAnsiTheme="minorHAnsi"/>
          <w:bCs/>
          <w:snapToGrid w:val="0"/>
        </w:rPr>
        <w:t>fixed, based on one prior fracture/fall only</w:t>
      </w:r>
      <w:r w:rsidRPr="00DC4D12">
        <w:rPr>
          <w:rFonts w:asciiTheme="minorHAnsi" w:hAnsiTheme="minorHAnsi"/>
          <w:bCs/>
          <w:snapToGrid w:val="0"/>
        </w:rPr>
        <w:t xml:space="preserve">). The model structure also had </w:t>
      </w:r>
      <w:r w:rsidR="00694D84" w:rsidRPr="00DC4D12">
        <w:rPr>
          <w:rFonts w:asciiTheme="minorHAnsi" w:hAnsiTheme="minorHAnsi"/>
          <w:bCs/>
          <w:snapToGrid w:val="0"/>
        </w:rPr>
        <w:t>unreasonable</w:t>
      </w:r>
      <w:r w:rsidRPr="00DC4D12">
        <w:rPr>
          <w:rFonts w:asciiTheme="minorHAnsi" w:hAnsiTheme="minorHAnsi"/>
          <w:bCs/>
          <w:snapToGrid w:val="0"/>
        </w:rPr>
        <w:t xml:space="preserve"> impacts on patient flow, for example, </w:t>
      </w:r>
      <w:r w:rsidR="00902894" w:rsidRPr="00DC4D12">
        <w:rPr>
          <w:rFonts w:asciiTheme="minorHAnsi" w:hAnsiTheme="minorHAnsi"/>
          <w:bCs/>
          <w:snapToGrid w:val="0"/>
        </w:rPr>
        <w:t xml:space="preserve">a </w:t>
      </w:r>
      <w:r w:rsidRPr="00DC4D12">
        <w:rPr>
          <w:rFonts w:asciiTheme="minorHAnsi" w:hAnsiTheme="minorHAnsi"/>
          <w:bCs/>
          <w:snapToGrid w:val="0"/>
        </w:rPr>
        <w:t xml:space="preserve">patient with </w:t>
      </w:r>
      <w:r w:rsidR="002570DB" w:rsidRPr="00DC4D12">
        <w:rPr>
          <w:rFonts w:asciiTheme="minorHAnsi" w:hAnsiTheme="minorHAnsi"/>
          <w:bCs/>
          <w:snapToGrid w:val="0"/>
        </w:rPr>
        <w:t xml:space="preserve">multiple fractures (e.g. </w:t>
      </w:r>
      <w:r w:rsidR="00902894" w:rsidRPr="00DC4D12">
        <w:rPr>
          <w:rFonts w:asciiTheme="minorHAnsi" w:hAnsiTheme="minorHAnsi"/>
          <w:bCs/>
          <w:snapToGrid w:val="0"/>
        </w:rPr>
        <w:t>hip fracture then non-hip fracture) could</w:t>
      </w:r>
      <w:r w:rsidR="00717EA3" w:rsidRPr="00DC4D12">
        <w:rPr>
          <w:rFonts w:asciiTheme="minorHAnsi" w:hAnsiTheme="minorHAnsi"/>
          <w:bCs/>
          <w:snapToGrid w:val="0"/>
        </w:rPr>
        <w:t xml:space="preserve"> accrue </w:t>
      </w:r>
      <w:r w:rsidR="00B372B0" w:rsidRPr="00DC4D12">
        <w:rPr>
          <w:rFonts w:asciiTheme="minorHAnsi" w:hAnsiTheme="minorHAnsi"/>
          <w:bCs/>
          <w:snapToGrid w:val="0"/>
        </w:rPr>
        <w:t xml:space="preserve">lower ongoing costs and have better quality of life than patients with a single hip fracture. </w:t>
      </w:r>
      <w:r w:rsidRPr="00DC4D12">
        <w:rPr>
          <w:rFonts w:asciiTheme="minorHAnsi" w:hAnsiTheme="minorHAnsi"/>
          <w:bCs/>
          <w:snapToGrid w:val="0"/>
        </w:rPr>
        <w:t xml:space="preserve"> </w:t>
      </w:r>
    </w:p>
    <w:p w14:paraId="08CD8EB1" w14:textId="6B61E998" w:rsidR="002E2BBB" w:rsidRPr="00966B2C" w:rsidRDefault="002E2BBB" w:rsidP="00DC4D12">
      <w:pPr>
        <w:widowControl w:val="0"/>
        <w:numPr>
          <w:ilvl w:val="1"/>
          <w:numId w:val="1"/>
        </w:numPr>
        <w:spacing w:after="120"/>
        <w:ind w:left="720" w:hanging="720"/>
        <w:rPr>
          <w:bCs/>
        </w:rPr>
      </w:pPr>
      <w:bookmarkStart w:id="41" w:name="_Ref116396497"/>
      <w:r w:rsidRPr="00DC4D12">
        <w:rPr>
          <w:rFonts w:asciiTheme="minorHAnsi" w:hAnsiTheme="minorHAnsi"/>
          <w:bCs/>
          <w:snapToGrid w:val="0"/>
        </w:rPr>
        <w:t xml:space="preserve">All patients are assumed to be continually persistent to treatment over the 20-year model duration, with patients in the risedronate arm switching to standard of care therapy (predominantly denosumab) upon experiencing a fracture; and patients in the </w:t>
      </w:r>
      <w:r w:rsidR="00CB19C9" w:rsidRPr="00DC4D12">
        <w:rPr>
          <w:rFonts w:asciiTheme="minorHAnsi" w:hAnsiTheme="minorHAnsi"/>
          <w:bCs/>
          <w:snapToGrid w:val="0"/>
        </w:rPr>
        <w:t>delayed standard of care</w:t>
      </w:r>
      <w:r w:rsidRPr="00DC4D12">
        <w:rPr>
          <w:rFonts w:asciiTheme="minorHAnsi" w:hAnsiTheme="minorHAnsi"/>
          <w:bCs/>
          <w:snapToGrid w:val="0"/>
        </w:rPr>
        <w:t xml:space="preserve"> arm initiating standard of care therapy upon experiencing a fracture or </w:t>
      </w:r>
      <w:r w:rsidR="00922508" w:rsidRPr="00DC4D12">
        <w:rPr>
          <w:rFonts w:asciiTheme="minorHAnsi" w:hAnsiTheme="minorHAnsi"/>
          <w:bCs/>
          <w:snapToGrid w:val="0"/>
        </w:rPr>
        <w:t>at</w:t>
      </w:r>
      <w:r w:rsidRPr="00DC4D12">
        <w:rPr>
          <w:rFonts w:asciiTheme="minorHAnsi" w:hAnsiTheme="minorHAnsi"/>
          <w:bCs/>
          <w:snapToGrid w:val="0"/>
        </w:rPr>
        <w:t xml:space="preserve"> age 70 years, whichever occurs first. All patients are attributed lifelong treatment costs and benefits (either risedronate or standard of care). This assumption was </w:t>
      </w:r>
      <w:r w:rsidR="00E8647B" w:rsidRPr="00DC4D12">
        <w:rPr>
          <w:rFonts w:asciiTheme="minorHAnsi" w:hAnsiTheme="minorHAnsi"/>
          <w:bCs/>
          <w:snapToGrid w:val="0"/>
        </w:rPr>
        <w:t>i</w:t>
      </w:r>
      <w:r w:rsidR="00452083" w:rsidRPr="00DC4D12">
        <w:rPr>
          <w:rFonts w:asciiTheme="minorHAnsi" w:hAnsiTheme="minorHAnsi"/>
          <w:bCs/>
          <w:snapToGrid w:val="0"/>
        </w:rPr>
        <w:t xml:space="preserve">nappropriate, inconsistent with utilisation estimates (based on 1 year of </w:t>
      </w:r>
      <w:r w:rsidR="00747578" w:rsidRPr="00DC4D12">
        <w:rPr>
          <w:rFonts w:asciiTheme="minorHAnsi" w:hAnsiTheme="minorHAnsi"/>
          <w:bCs/>
          <w:snapToGrid w:val="0"/>
        </w:rPr>
        <w:t xml:space="preserve">risedronate EC treatment) </w:t>
      </w:r>
      <w:r w:rsidR="009E0A11" w:rsidRPr="00DC4D12">
        <w:rPr>
          <w:rFonts w:asciiTheme="minorHAnsi" w:hAnsiTheme="minorHAnsi"/>
          <w:bCs/>
          <w:snapToGrid w:val="0"/>
        </w:rPr>
        <w:t xml:space="preserve">and is unlikely to reflect clinical practice. </w:t>
      </w:r>
      <w:r w:rsidR="002E2F85" w:rsidRPr="00DC4D12">
        <w:rPr>
          <w:rFonts w:asciiTheme="minorHAnsi" w:hAnsiTheme="minorHAnsi"/>
          <w:bCs/>
          <w:snapToGrid w:val="0"/>
        </w:rPr>
        <w:t xml:space="preserve">The PBAC has previously considered the assumption of continuing treatment benefits to be of significant concern </w:t>
      </w:r>
      <w:r w:rsidR="00922CDB" w:rsidRPr="00DC4D12">
        <w:rPr>
          <w:rFonts w:asciiTheme="minorHAnsi" w:hAnsiTheme="minorHAnsi"/>
          <w:bCs/>
          <w:snapToGrid w:val="0"/>
        </w:rPr>
        <w:t xml:space="preserve">for osteoporosis </w:t>
      </w:r>
      <w:r w:rsidR="00CC2819" w:rsidRPr="00DC4D12">
        <w:rPr>
          <w:rFonts w:asciiTheme="minorHAnsi" w:hAnsiTheme="minorHAnsi"/>
          <w:bCs/>
          <w:snapToGrid w:val="0"/>
        </w:rPr>
        <w:t xml:space="preserve">medications </w:t>
      </w:r>
      <w:r w:rsidR="00922CDB" w:rsidRPr="00DC4D12">
        <w:rPr>
          <w:rFonts w:asciiTheme="minorHAnsi" w:hAnsiTheme="minorHAnsi"/>
          <w:bCs/>
          <w:snapToGrid w:val="0"/>
        </w:rPr>
        <w:t>given the less than ideal rates of persistence in practice</w:t>
      </w:r>
      <w:r w:rsidR="0002688E" w:rsidRPr="00DC4D12">
        <w:rPr>
          <w:rFonts w:asciiTheme="minorHAnsi" w:hAnsiTheme="minorHAnsi"/>
          <w:bCs/>
          <w:snapToGrid w:val="0"/>
        </w:rPr>
        <w:t xml:space="preserve"> (para 7.13, romosozumab PSD, November 2018 PBAC meeting). The most optimistic results from a DUSC review suggest approximately 50% of patients remain on oral bisphosphonates at 1 year and approximately 50% of patients remain on denosumab at 4 years</w:t>
      </w:r>
      <w:r w:rsidR="00161CA8" w:rsidRPr="00DC4D12">
        <w:rPr>
          <w:rFonts w:asciiTheme="minorHAnsi" w:hAnsiTheme="minorHAnsi"/>
          <w:bCs/>
          <w:snapToGrid w:val="0"/>
        </w:rPr>
        <w:t xml:space="preserve"> (DUSC review of denosumab, October 2020 report). </w:t>
      </w:r>
      <w:r w:rsidR="00C40A86" w:rsidRPr="00DC4D12">
        <w:rPr>
          <w:rFonts w:asciiTheme="minorHAnsi" w:hAnsiTheme="minorHAnsi"/>
          <w:bCs/>
          <w:snapToGrid w:val="0"/>
        </w:rPr>
        <w:t>The PSCR argued that as the persistence of the antiresorptive agents considered in the analysis are similar, the relative persistence is expected to have an immaterial impact on the cost-effectiveness of the proposed scenario. The ESC disagreed with the PSCR and considered the assumption that all patients in the standard of care arm aged 70 years and over would commence and continue therapy was not consistent with clinical practice and noted that it increased costs in that arm. In addition, the ESC agreed with the evaluation that the assumption of lifelong treatment costs and benefits was not appropriate and was not reflective of clinical practice. The ESC considered that modelled estimates over the 20 year time horizon are highly uncertain given the lack of long-term efficacy data which is also dependent on persistence to treatment. As such, the ESC considered a shorter time horizon of 10 years would be more appropriate.</w:t>
      </w:r>
      <w:bookmarkEnd w:id="41"/>
      <w:r w:rsidR="00C40A86" w:rsidRPr="00DC4D12">
        <w:rPr>
          <w:rFonts w:asciiTheme="minorHAnsi" w:hAnsiTheme="minorHAnsi"/>
          <w:bCs/>
          <w:snapToGrid w:val="0"/>
        </w:rPr>
        <w:t xml:space="preserve">  </w:t>
      </w:r>
    </w:p>
    <w:p w14:paraId="2417C7C2" w14:textId="46D96BA5" w:rsidR="00061ABC" w:rsidRPr="00966B2C" w:rsidRDefault="00061ABC" w:rsidP="00DC4D12">
      <w:pPr>
        <w:widowControl w:val="0"/>
        <w:numPr>
          <w:ilvl w:val="1"/>
          <w:numId w:val="1"/>
        </w:numPr>
        <w:spacing w:after="120"/>
        <w:ind w:left="720" w:hanging="720"/>
        <w:rPr>
          <w:bCs/>
        </w:rPr>
      </w:pPr>
      <w:r w:rsidRPr="00DC4D12">
        <w:rPr>
          <w:rFonts w:asciiTheme="minorHAnsi" w:hAnsiTheme="minorHAnsi"/>
          <w:bCs/>
          <w:snapToGrid w:val="0"/>
        </w:rPr>
        <w:t xml:space="preserve">The model structure was primarily based on </w:t>
      </w:r>
      <w:r w:rsidR="008B06C1" w:rsidRPr="00DC4D12">
        <w:rPr>
          <w:rFonts w:asciiTheme="minorHAnsi" w:hAnsiTheme="minorHAnsi"/>
          <w:bCs/>
          <w:snapToGrid w:val="0"/>
        </w:rPr>
        <w:t>a</w:t>
      </w:r>
      <w:r w:rsidRPr="00DC4D12">
        <w:rPr>
          <w:rFonts w:asciiTheme="minorHAnsi" w:hAnsiTheme="minorHAnsi"/>
          <w:bCs/>
          <w:snapToGrid w:val="0"/>
        </w:rPr>
        <w:t xml:space="preserve"> published </w:t>
      </w:r>
      <w:r w:rsidR="008B06C1" w:rsidRPr="00DC4D12">
        <w:rPr>
          <w:rFonts w:asciiTheme="minorHAnsi" w:hAnsiTheme="minorHAnsi"/>
          <w:bCs/>
          <w:snapToGrid w:val="0"/>
        </w:rPr>
        <w:t xml:space="preserve">Australian </w:t>
      </w:r>
      <w:r w:rsidRPr="00DC4D12">
        <w:rPr>
          <w:rFonts w:asciiTheme="minorHAnsi" w:hAnsiTheme="minorHAnsi"/>
          <w:bCs/>
          <w:snapToGrid w:val="0"/>
        </w:rPr>
        <w:t>economic evaluation of denosumab versus alendronate</w:t>
      </w:r>
      <w:r w:rsidR="007D13E2" w:rsidRPr="00DC4D12">
        <w:rPr>
          <w:rFonts w:asciiTheme="minorHAnsi" w:hAnsiTheme="minorHAnsi"/>
          <w:bCs/>
          <w:snapToGrid w:val="0"/>
        </w:rPr>
        <w:t>, representative of the population in the denosumab placebo-controlled FREEDOM trial (mean age 72 years,</w:t>
      </w:r>
      <w:r w:rsidR="00C2257F" w:rsidRPr="00DC4D12">
        <w:rPr>
          <w:rFonts w:asciiTheme="minorHAnsi" w:hAnsiTheme="minorHAnsi"/>
          <w:bCs/>
          <w:snapToGrid w:val="0"/>
        </w:rPr>
        <w:t xml:space="preserve"> mean</w:t>
      </w:r>
      <w:r w:rsidR="007D13E2" w:rsidRPr="00DC4D12">
        <w:rPr>
          <w:rFonts w:asciiTheme="minorHAnsi" w:hAnsiTheme="minorHAnsi"/>
          <w:bCs/>
          <w:snapToGrid w:val="0"/>
        </w:rPr>
        <w:t xml:space="preserve"> femoral neck BMD T-score -2.15</w:t>
      </w:r>
      <w:r w:rsidR="00C2257F" w:rsidRPr="00DC4D12">
        <w:rPr>
          <w:rFonts w:asciiTheme="minorHAnsi" w:hAnsiTheme="minorHAnsi"/>
          <w:bCs/>
          <w:snapToGrid w:val="0"/>
        </w:rPr>
        <w:t>, mixed primary/secondary prevention population)</w:t>
      </w:r>
      <w:r w:rsidR="00C34082" w:rsidRPr="00DC4D12">
        <w:rPr>
          <w:rFonts w:asciiTheme="minorHAnsi" w:hAnsiTheme="minorHAnsi"/>
          <w:bCs/>
          <w:snapToGrid w:val="0"/>
        </w:rPr>
        <w:t xml:space="preserve"> (Karnon 2016). Compared to the model in the submission, the Karnon 2016 model </w:t>
      </w:r>
      <w:r w:rsidR="00E7300B" w:rsidRPr="00DC4D12">
        <w:rPr>
          <w:rFonts w:asciiTheme="minorHAnsi" w:hAnsiTheme="minorHAnsi"/>
          <w:bCs/>
          <w:snapToGrid w:val="0"/>
        </w:rPr>
        <w:t xml:space="preserve">used a shorter time horizon of 10 years, applied </w:t>
      </w:r>
      <w:r w:rsidR="00FF27EF" w:rsidRPr="00DC4D12">
        <w:rPr>
          <w:rFonts w:asciiTheme="minorHAnsi" w:hAnsiTheme="minorHAnsi"/>
          <w:bCs/>
          <w:snapToGrid w:val="0"/>
        </w:rPr>
        <w:t>estimates of non-persistence</w:t>
      </w:r>
      <w:r w:rsidR="005A5C3D" w:rsidRPr="00DC4D12">
        <w:rPr>
          <w:rFonts w:asciiTheme="minorHAnsi" w:hAnsiTheme="minorHAnsi"/>
          <w:bCs/>
          <w:snapToGrid w:val="0"/>
        </w:rPr>
        <w:t xml:space="preserve"> over</w:t>
      </w:r>
      <w:r w:rsidR="00FF27EF" w:rsidRPr="00DC4D12">
        <w:rPr>
          <w:rFonts w:asciiTheme="minorHAnsi" w:hAnsiTheme="minorHAnsi"/>
          <w:bCs/>
          <w:snapToGrid w:val="0"/>
        </w:rPr>
        <w:t xml:space="preserve"> 5-year durations of treatment</w:t>
      </w:r>
      <w:r w:rsidR="005A5C3D" w:rsidRPr="00DC4D12">
        <w:rPr>
          <w:rFonts w:asciiTheme="minorHAnsi" w:hAnsiTheme="minorHAnsi"/>
          <w:bCs/>
          <w:snapToGrid w:val="0"/>
        </w:rPr>
        <w:t xml:space="preserve">, did not include use of later line therapies </w:t>
      </w:r>
      <w:r w:rsidR="00D25722" w:rsidRPr="00DC4D12">
        <w:rPr>
          <w:rFonts w:asciiTheme="minorHAnsi" w:hAnsiTheme="minorHAnsi"/>
          <w:bCs/>
          <w:snapToGrid w:val="0"/>
        </w:rPr>
        <w:t xml:space="preserve">and used trial-based sources to model fracture risk. </w:t>
      </w:r>
      <w:r w:rsidR="00FF27EF" w:rsidRPr="00DC4D12">
        <w:rPr>
          <w:rFonts w:asciiTheme="minorHAnsi" w:hAnsiTheme="minorHAnsi"/>
          <w:bCs/>
          <w:snapToGrid w:val="0"/>
        </w:rPr>
        <w:t xml:space="preserve"> </w:t>
      </w:r>
    </w:p>
    <w:p w14:paraId="4EC8F674" w14:textId="2A0FA551" w:rsidR="00EE210B" w:rsidRPr="00966B2C" w:rsidRDefault="00885126" w:rsidP="00DC4D12">
      <w:pPr>
        <w:widowControl w:val="0"/>
        <w:numPr>
          <w:ilvl w:val="1"/>
          <w:numId w:val="1"/>
        </w:numPr>
        <w:spacing w:after="120"/>
        <w:ind w:left="720" w:hanging="720"/>
        <w:rPr>
          <w:bCs/>
        </w:rPr>
      </w:pPr>
      <w:r w:rsidRPr="00DC4D12">
        <w:rPr>
          <w:rFonts w:asciiTheme="minorHAnsi" w:hAnsiTheme="minorHAnsi"/>
          <w:bCs/>
          <w:snapToGrid w:val="0"/>
        </w:rPr>
        <w:t>M</w:t>
      </w:r>
      <w:r w:rsidR="00B96DA3" w:rsidRPr="00DC4D12">
        <w:rPr>
          <w:rFonts w:asciiTheme="minorHAnsi" w:hAnsiTheme="minorHAnsi"/>
          <w:bCs/>
          <w:snapToGrid w:val="0"/>
        </w:rPr>
        <w:t>any published economic models, including those previously considered by the PBAC for osteoporosis</w:t>
      </w:r>
      <w:r w:rsidRPr="00DC4D12">
        <w:rPr>
          <w:rFonts w:asciiTheme="minorHAnsi" w:hAnsiTheme="minorHAnsi"/>
          <w:bCs/>
          <w:snapToGrid w:val="0"/>
        </w:rPr>
        <w:t>,</w:t>
      </w:r>
      <w:r w:rsidR="00B96DA3" w:rsidRPr="00DC4D12">
        <w:rPr>
          <w:rFonts w:asciiTheme="minorHAnsi" w:hAnsiTheme="minorHAnsi"/>
          <w:bCs/>
          <w:snapToGrid w:val="0"/>
        </w:rPr>
        <w:t xml:space="preserve"> have used a microsimulation rather than </w:t>
      </w:r>
      <w:r w:rsidR="00ED6CFA" w:rsidRPr="00DC4D12">
        <w:rPr>
          <w:rFonts w:asciiTheme="minorHAnsi" w:hAnsiTheme="minorHAnsi"/>
          <w:bCs/>
          <w:snapToGrid w:val="0"/>
        </w:rPr>
        <w:t xml:space="preserve">the </w:t>
      </w:r>
      <w:r w:rsidR="00B96DA3" w:rsidRPr="00DC4D12">
        <w:rPr>
          <w:rFonts w:asciiTheme="minorHAnsi" w:hAnsiTheme="minorHAnsi"/>
          <w:bCs/>
          <w:snapToGrid w:val="0"/>
        </w:rPr>
        <w:t xml:space="preserve">cohort </w:t>
      </w:r>
      <w:r w:rsidR="003A6A6E" w:rsidRPr="00DC4D12">
        <w:rPr>
          <w:rFonts w:asciiTheme="minorHAnsi" w:hAnsiTheme="minorHAnsi"/>
          <w:bCs/>
          <w:snapToGrid w:val="0"/>
        </w:rPr>
        <w:t>approach</w:t>
      </w:r>
      <w:r w:rsidR="00B96DA3" w:rsidRPr="00DC4D12">
        <w:rPr>
          <w:rFonts w:asciiTheme="minorHAnsi" w:hAnsiTheme="minorHAnsi"/>
          <w:bCs/>
          <w:snapToGrid w:val="0"/>
        </w:rPr>
        <w:t xml:space="preserve"> used in the submission. </w:t>
      </w:r>
      <w:r w:rsidRPr="00DC4D12">
        <w:rPr>
          <w:rFonts w:asciiTheme="minorHAnsi" w:hAnsiTheme="minorHAnsi"/>
          <w:bCs/>
          <w:snapToGrid w:val="0"/>
        </w:rPr>
        <w:t xml:space="preserve">A microsimulation would have greater ability to track patients over time, particularly when the occurrence of events influences both treatment decisions and long-term consequences </w:t>
      </w:r>
      <w:r w:rsidR="00332710" w:rsidRPr="00DC4D12">
        <w:rPr>
          <w:rFonts w:asciiTheme="minorHAnsi" w:hAnsiTheme="minorHAnsi"/>
          <w:bCs/>
          <w:snapToGrid w:val="0"/>
        </w:rPr>
        <w:t>such as</w:t>
      </w:r>
      <w:r w:rsidRPr="00DC4D12">
        <w:rPr>
          <w:rFonts w:asciiTheme="minorHAnsi" w:hAnsiTheme="minorHAnsi"/>
          <w:bCs/>
          <w:snapToGrid w:val="0"/>
        </w:rPr>
        <w:t xml:space="preserve"> the risk of subsequent events and mortality.</w:t>
      </w:r>
    </w:p>
    <w:p w14:paraId="7D454916" w14:textId="11C91E1E" w:rsidR="00576B27" w:rsidRPr="00966B2C" w:rsidRDefault="00F7299C" w:rsidP="00DC4D12">
      <w:pPr>
        <w:widowControl w:val="0"/>
        <w:numPr>
          <w:ilvl w:val="1"/>
          <w:numId w:val="1"/>
        </w:numPr>
        <w:spacing w:after="120"/>
        <w:ind w:left="720" w:hanging="720"/>
        <w:rPr>
          <w:bCs/>
        </w:rPr>
      </w:pPr>
      <w:r w:rsidRPr="00DC4D12">
        <w:rPr>
          <w:rFonts w:asciiTheme="minorHAnsi" w:hAnsiTheme="minorHAnsi"/>
          <w:bCs/>
          <w:snapToGrid w:val="0"/>
        </w:rPr>
        <w:t xml:space="preserve">Key drivers of the economic model are summarised in </w:t>
      </w:r>
      <w:r w:rsidR="00D05C77" w:rsidRPr="00DC4D12">
        <w:rPr>
          <w:rFonts w:asciiTheme="minorHAnsi" w:hAnsiTheme="minorHAnsi"/>
          <w:bCs/>
          <w:snapToGrid w:val="0"/>
        </w:rPr>
        <w:fldChar w:fldCharType="begin" w:fldLock="1"/>
      </w:r>
      <w:r w:rsidR="00D05C77" w:rsidRPr="00DC4D12">
        <w:rPr>
          <w:rFonts w:asciiTheme="minorHAnsi" w:hAnsiTheme="minorHAnsi"/>
          <w:bCs/>
          <w:snapToGrid w:val="0"/>
        </w:rPr>
        <w:instrText xml:space="preserve"> REF _Ref112667625 \h </w:instrText>
      </w:r>
      <w:r w:rsidR="001A75FD" w:rsidRPr="00DC4D12">
        <w:rPr>
          <w:rFonts w:asciiTheme="minorHAnsi" w:hAnsiTheme="minorHAnsi"/>
          <w:bCs/>
          <w:snapToGrid w:val="0"/>
        </w:rPr>
        <w:instrText xml:space="preserve"> \* MERGEFORMAT </w:instrText>
      </w:r>
      <w:r w:rsidR="00D05C77" w:rsidRPr="00DC4D12">
        <w:rPr>
          <w:rFonts w:asciiTheme="minorHAnsi" w:hAnsiTheme="minorHAnsi"/>
          <w:bCs/>
          <w:snapToGrid w:val="0"/>
        </w:rPr>
      </w:r>
      <w:r w:rsidR="00D05C77" w:rsidRPr="00DC4D12">
        <w:rPr>
          <w:rFonts w:asciiTheme="minorHAnsi" w:hAnsiTheme="minorHAnsi"/>
          <w:bCs/>
          <w:snapToGrid w:val="0"/>
        </w:rPr>
        <w:fldChar w:fldCharType="separate"/>
      </w:r>
      <w:r w:rsidR="00D05C77" w:rsidRPr="00DC4D12">
        <w:rPr>
          <w:rFonts w:asciiTheme="minorHAnsi" w:hAnsiTheme="minorHAnsi"/>
          <w:bCs/>
          <w:snapToGrid w:val="0"/>
        </w:rPr>
        <w:t>Table 8</w:t>
      </w:r>
      <w:r w:rsidR="00D05C77" w:rsidRPr="00DC4D12">
        <w:rPr>
          <w:rFonts w:asciiTheme="minorHAnsi" w:hAnsiTheme="minorHAnsi"/>
          <w:bCs/>
          <w:snapToGrid w:val="0"/>
        </w:rPr>
        <w:fldChar w:fldCharType="end"/>
      </w:r>
      <w:r w:rsidR="00D05C77" w:rsidRPr="00DC4D12">
        <w:rPr>
          <w:rFonts w:asciiTheme="minorHAnsi" w:hAnsiTheme="minorHAnsi"/>
          <w:bCs/>
          <w:snapToGrid w:val="0"/>
        </w:rPr>
        <w:t xml:space="preserve"> </w:t>
      </w:r>
      <w:r w:rsidRPr="00DC4D12">
        <w:rPr>
          <w:rFonts w:asciiTheme="minorHAnsi" w:hAnsiTheme="minorHAnsi"/>
          <w:bCs/>
          <w:snapToGrid w:val="0"/>
        </w:rPr>
        <w:t xml:space="preserve">below. </w:t>
      </w:r>
    </w:p>
    <w:p w14:paraId="650D49D7" w14:textId="3419DE23" w:rsidR="0021383C" w:rsidRPr="002E14F6" w:rsidRDefault="00D05C77" w:rsidP="00D05C77">
      <w:pPr>
        <w:pStyle w:val="COMtablefigcaption"/>
      </w:pPr>
      <w:bookmarkStart w:id="42" w:name="_Ref112667625"/>
      <w:r>
        <w:t xml:space="preserve">Table </w:t>
      </w:r>
      <w:r w:rsidR="00400174">
        <w:fldChar w:fldCharType="begin" w:fldLock="1"/>
      </w:r>
      <w:r w:rsidR="00400174">
        <w:instrText xml:space="preserve"> SEQ Table \* ARABIC </w:instrText>
      </w:r>
      <w:r w:rsidR="00400174">
        <w:fldChar w:fldCharType="separate"/>
      </w:r>
      <w:r w:rsidR="00C2719F">
        <w:rPr>
          <w:noProof/>
        </w:rPr>
        <w:t>8</w:t>
      </w:r>
      <w:r w:rsidR="00400174">
        <w:rPr>
          <w:noProof/>
        </w:rPr>
        <w:fldChar w:fldCharType="end"/>
      </w:r>
      <w:bookmarkEnd w:id="42"/>
      <w:r>
        <w:t xml:space="preserve">: </w:t>
      </w:r>
      <w:r w:rsidRPr="00D05C77">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8: Key drivers of the model"/>
      </w:tblPr>
      <w:tblGrid>
        <w:gridCol w:w="1129"/>
        <w:gridCol w:w="6802"/>
        <w:gridCol w:w="1086"/>
      </w:tblGrid>
      <w:tr w:rsidR="0021383C" w:rsidRPr="001A75FD" w14:paraId="670B706C" w14:textId="77777777" w:rsidTr="00FC2EFB">
        <w:trPr>
          <w:tblHeader/>
        </w:trPr>
        <w:tc>
          <w:tcPr>
            <w:tcW w:w="626" w:type="pct"/>
            <w:shd w:val="clear" w:color="auto" w:fill="auto"/>
            <w:vAlign w:val="center"/>
          </w:tcPr>
          <w:p w14:paraId="49D6BCEF" w14:textId="77777777" w:rsidR="0021383C" w:rsidRPr="001A75FD" w:rsidRDefault="0021383C" w:rsidP="001363E7">
            <w:pPr>
              <w:pStyle w:val="COMTableheadingrow"/>
              <w:rPr>
                <w:lang w:val="en-AU"/>
              </w:rPr>
            </w:pPr>
            <w:r w:rsidRPr="001A75FD">
              <w:rPr>
                <w:lang w:val="en-AU"/>
              </w:rPr>
              <w:t>Description</w:t>
            </w:r>
          </w:p>
        </w:tc>
        <w:tc>
          <w:tcPr>
            <w:tcW w:w="3772" w:type="pct"/>
            <w:shd w:val="clear" w:color="auto" w:fill="auto"/>
            <w:vAlign w:val="center"/>
          </w:tcPr>
          <w:p w14:paraId="4E1AF204" w14:textId="77777777" w:rsidR="0021383C" w:rsidRPr="001A75FD" w:rsidRDefault="0021383C" w:rsidP="001363E7">
            <w:pPr>
              <w:pStyle w:val="COMTableheadingrow"/>
              <w:rPr>
                <w:lang w:val="en-AU"/>
              </w:rPr>
            </w:pPr>
            <w:r w:rsidRPr="001A75FD">
              <w:rPr>
                <w:lang w:val="en-AU"/>
              </w:rPr>
              <w:t>Method/Value</w:t>
            </w:r>
          </w:p>
        </w:tc>
        <w:tc>
          <w:tcPr>
            <w:tcW w:w="602" w:type="pct"/>
            <w:shd w:val="clear" w:color="auto" w:fill="auto"/>
            <w:vAlign w:val="center"/>
          </w:tcPr>
          <w:p w14:paraId="36E41521" w14:textId="392450D0" w:rsidR="0021383C" w:rsidRPr="001A75FD" w:rsidRDefault="0021383C" w:rsidP="001363E7">
            <w:pPr>
              <w:pStyle w:val="COMTableheadingrow"/>
              <w:jc w:val="center"/>
              <w:rPr>
                <w:lang w:val="en-AU"/>
              </w:rPr>
            </w:pPr>
            <w:r w:rsidRPr="001A75FD">
              <w:rPr>
                <w:lang w:val="en-AU"/>
              </w:rPr>
              <w:t>Impact</w:t>
            </w:r>
          </w:p>
        </w:tc>
      </w:tr>
      <w:tr w:rsidR="0021383C" w:rsidRPr="001A75FD" w14:paraId="456BB2D9" w14:textId="77777777" w:rsidTr="00FC2EFB">
        <w:tc>
          <w:tcPr>
            <w:tcW w:w="626" w:type="pct"/>
            <w:shd w:val="clear" w:color="auto" w:fill="auto"/>
            <w:vAlign w:val="center"/>
          </w:tcPr>
          <w:p w14:paraId="3CE4CC7B" w14:textId="48ADF517" w:rsidR="0021383C" w:rsidRPr="001A75FD" w:rsidRDefault="00953B4B" w:rsidP="001363E7">
            <w:pPr>
              <w:pStyle w:val="COMTabletext"/>
            </w:pPr>
            <w:r w:rsidRPr="001A75FD">
              <w:t>Patient characteristics</w:t>
            </w:r>
          </w:p>
        </w:tc>
        <w:tc>
          <w:tcPr>
            <w:tcW w:w="3772" w:type="pct"/>
            <w:shd w:val="clear" w:color="auto" w:fill="auto"/>
            <w:vAlign w:val="center"/>
          </w:tcPr>
          <w:p w14:paraId="7C19D57C" w14:textId="0ADFF5DB" w:rsidR="0021383C" w:rsidRPr="001A75FD" w:rsidRDefault="009F5660" w:rsidP="001363E7">
            <w:pPr>
              <w:pStyle w:val="COMTabletext"/>
            </w:pPr>
            <w:bookmarkStart w:id="43" w:name="_Hlk116387184"/>
            <w:r w:rsidRPr="001A75FD">
              <w:t>Baseline fracture risks were based on a</w:t>
            </w:r>
            <w:r w:rsidR="00A95923" w:rsidRPr="001A75FD">
              <w:t>n 85% female</w:t>
            </w:r>
            <w:r w:rsidRPr="001A75FD">
              <w:t xml:space="preserve"> population with a mean age of 62 years and BMD T-s</w:t>
            </w:r>
            <w:r w:rsidR="004F3EDC" w:rsidRPr="001A75FD">
              <w:t>core of -2.5</w:t>
            </w:r>
            <w:r w:rsidR="00A95923" w:rsidRPr="001A75FD">
              <w:t xml:space="preserve">, with no prior fracture or falls history. </w:t>
            </w:r>
            <w:r w:rsidR="0006670F" w:rsidRPr="001A75FD">
              <w:t>These characteristics were based on data from the Geelong Osteoporosis Study</w:t>
            </w:r>
            <w:r w:rsidR="00FF66A4" w:rsidRPr="001A75FD">
              <w:t xml:space="preserve"> (GOS)</w:t>
            </w:r>
            <w:r w:rsidR="0006670F" w:rsidRPr="001A75FD">
              <w:t xml:space="preserve"> (Henry 2011), ABS Australian population estimates</w:t>
            </w:r>
            <w:r w:rsidR="009A2D46" w:rsidRPr="001A75FD">
              <w:t xml:space="preserve">, </w:t>
            </w:r>
            <w:r w:rsidR="00BA747C" w:rsidRPr="001A75FD">
              <w:t xml:space="preserve">the DUSC review of denosumab </w:t>
            </w:r>
            <w:r w:rsidR="00C70411" w:rsidRPr="001A75FD">
              <w:t>(</w:t>
            </w:r>
            <w:r w:rsidR="00BA747C" w:rsidRPr="001A75FD">
              <w:t>October 2020 report</w:t>
            </w:r>
            <w:r w:rsidR="00C70411" w:rsidRPr="001A75FD">
              <w:t>)</w:t>
            </w:r>
            <w:r w:rsidR="009A2D46" w:rsidRPr="001A75FD">
              <w:t xml:space="preserve"> and assumptions</w:t>
            </w:r>
            <w:r w:rsidR="00BA747C" w:rsidRPr="001A75FD">
              <w:t xml:space="preserve">. </w:t>
            </w:r>
            <w:r w:rsidR="008574D7" w:rsidRPr="00B600AA">
              <w:t>The ESC considered that</w:t>
            </w:r>
            <w:r w:rsidR="008574D7">
              <w:rPr>
                <w:i/>
                <w:iCs/>
              </w:rPr>
              <w:t xml:space="preserve"> </w:t>
            </w:r>
            <w:r w:rsidR="008574D7" w:rsidRPr="00516B95">
              <w:t>d</w:t>
            </w:r>
            <w:r w:rsidR="009767C6" w:rsidRPr="001A75FD">
              <w:t xml:space="preserve">ata from the </w:t>
            </w:r>
            <w:r w:rsidR="00FF66A4" w:rsidRPr="001A75FD">
              <w:t xml:space="preserve">GOS </w:t>
            </w:r>
            <w:r w:rsidR="0025128D" w:rsidRPr="001A75FD">
              <w:t xml:space="preserve">may not be representative </w:t>
            </w:r>
            <w:r w:rsidR="00557F64" w:rsidRPr="001A75FD">
              <w:t xml:space="preserve">of the contemporary setting given the data are approximately 30 years old, derived from the general population rather than </w:t>
            </w:r>
            <w:r w:rsidR="007B7678" w:rsidRPr="001A75FD">
              <w:t>people who would be actively screened, with prev</w:t>
            </w:r>
            <w:r w:rsidR="00182354" w:rsidRPr="001A75FD">
              <w:t xml:space="preserve">alence estimates based on a relatively small sample of patients aged less than 70 years. </w:t>
            </w:r>
            <w:r w:rsidR="009A2D46" w:rsidRPr="001A75FD">
              <w:t>Overall, characteristics of the</w:t>
            </w:r>
            <w:r w:rsidR="00ED420A" w:rsidRPr="001A75FD">
              <w:t xml:space="preserve"> younger population who are not already eligible for treatment </w:t>
            </w:r>
            <w:r w:rsidR="00FC2EFB" w:rsidRPr="001A75FD">
              <w:t xml:space="preserve">are </w:t>
            </w:r>
            <w:r w:rsidR="00ED420A" w:rsidRPr="001A75FD">
              <w:t xml:space="preserve">uncertain and likely dependent on the uptake of BMD screening in practice. </w:t>
            </w:r>
            <w:r w:rsidR="00E0598D" w:rsidRPr="001A75FD">
              <w:t xml:space="preserve">The </w:t>
            </w:r>
            <w:r w:rsidR="00505F49" w:rsidRPr="001A75FD">
              <w:t xml:space="preserve">cost-effectiveness of early risedronate EC treatment is dependent on </w:t>
            </w:r>
            <w:r w:rsidR="003E6407" w:rsidRPr="001A75FD">
              <w:t>absolute benefit, which is reliant</w:t>
            </w:r>
            <w:r w:rsidR="00FC2EFB" w:rsidRPr="001A75FD">
              <w:t xml:space="preserve"> on</w:t>
            </w:r>
            <w:r w:rsidR="003E6407" w:rsidRPr="001A75FD">
              <w:t xml:space="preserve"> </w:t>
            </w:r>
            <w:r w:rsidR="008C125A" w:rsidRPr="001A75FD">
              <w:t xml:space="preserve">underlying fracture risks determined by </w:t>
            </w:r>
            <w:r w:rsidR="00EC2EDB" w:rsidRPr="001A75FD">
              <w:t>the characteristics of the target population.</w:t>
            </w:r>
            <w:r w:rsidR="00B426B5">
              <w:t xml:space="preserve"> The pre-PBAC response (p4) stated the GOS was the most up to date estimated of osteoporosis prevalence in Australia and was used to inform the model start age of 62 years. The pre-PBAC response (p3) noted b</w:t>
            </w:r>
            <w:r w:rsidR="00B426B5" w:rsidRPr="00B426B5">
              <w:t xml:space="preserve">aseline fracture risks applied </w:t>
            </w:r>
            <w:r w:rsidR="00A05D77">
              <w:t xml:space="preserve">to the proposed patient population </w:t>
            </w:r>
            <w:r w:rsidR="00B426B5" w:rsidRPr="00B426B5">
              <w:t>in the economic evaluation were derived from the Dubbo Osteoporosis Epidemiology Study</w:t>
            </w:r>
            <w:r w:rsidR="00B426B5">
              <w:t xml:space="preserve">.  </w:t>
            </w:r>
            <w:r w:rsidR="00EC2EDB" w:rsidRPr="001A75FD">
              <w:t xml:space="preserve"> </w:t>
            </w:r>
            <w:r w:rsidR="00ED420A" w:rsidRPr="001A75FD">
              <w:t xml:space="preserve"> </w:t>
            </w:r>
            <w:bookmarkEnd w:id="43"/>
          </w:p>
        </w:tc>
        <w:tc>
          <w:tcPr>
            <w:tcW w:w="602" w:type="pct"/>
            <w:shd w:val="clear" w:color="auto" w:fill="auto"/>
            <w:vAlign w:val="center"/>
          </w:tcPr>
          <w:p w14:paraId="1264F084" w14:textId="058BABF6" w:rsidR="0021383C" w:rsidRPr="001A75FD" w:rsidRDefault="0021383C" w:rsidP="001363E7">
            <w:pPr>
              <w:pStyle w:val="COMTabletext"/>
              <w:jc w:val="center"/>
            </w:pPr>
            <w:r w:rsidRPr="001A75FD">
              <w:t>High</w:t>
            </w:r>
            <w:r w:rsidR="0038332E" w:rsidRPr="001A75FD">
              <w:t>, direction unclear</w:t>
            </w:r>
          </w:p>
        </w:tc>
      </w:tr>
      <w:tr w:rsidR="005C43E7" w:rsidRPr="001A75FD" w14:paraId="6DCB5A8B" w14:textId="77777777" w:rsidTr="00FC2EFB">
        <w:tc>
          <w:tcPr>
            <w:tcW w:w="626" w:type="pct"/>
            <w:shd w:val="clear" w:color="auto" w:fill="auto"/>
            <w:vAlign w:val="center"/>
          </w:tcPr>
          <w:p w14:paraId="51FB91A1" w14:textId="71D65CF2" w:rsidR="005C43E7" w:rsidRPr="001A75FD" w:rsidRDefault="00FA7276" w:rsidP="001363E7">
            <w:pPr>
              <w:pStyle w:val="COMTabletext"/>
            </w:pPr>
            <w:r w:rsidRPr="001A75FD">
              <w:t>Risedronate</w:t>
            </w:r>
            <w:r w:rsidR="00B3392B" w:rsidRPr="001A75FD">
              <w:t xml:space="preserve"> EC treatment effects</w:t>
            </w:r>
          </w:p>
        </w:tc>
        <w:tc>
          <w:tcPr>
            <w:tcW w:w="3772" w:type="pct"/>
            <w:shd w:val="clear" w:color="auto" w:fill="auto"/>
            <w:vAlign w:val="center"/>
          </w:tcPr>
          <w:p w14:paraId="3B0EA993" w14:textId="3B7885CB" w:rsidR="005C43E7" w:rsidRPr="001A75FD" w:rsidRDefault="001A0099" w:rsidP="001363E7">
            <w:pPr>
              <w:pStyle w:val="COMTabletext"/>
            </w:pPr>
            <w:r w:rsidRPr="001A75FD">
              <w:t xml:space="preserve">Calculated relative risk reductions for risedronate EC (hip: 56%; non-hip: 35%) </w:t>
            </w:r>
            <w:r w:rsidR="00FC2EFB" w:rsidRPr="001A75FD">
              <w:t xml:space="preserve">were </w:t>
            </w:r>
            <w:r w:rsidRPr="001A75FD">
              <w:t xml:space="preserve">based on </w:t>
            </w:r>
            <w:r w:rsidR="00BD04A2" w:rsidRPr="001A75FD">
              <w:t>treatment effect estimates for alendronate</w:t>
            </w:r>
            <w:r w:rsidR="003E1725" w:rsidRPr="001A75FD">
              <w:t xml:space="preserve"> versus placebo,</w:t>
            </w:r>
            <w:r w:rsidR="00BD04A2" w:rsidRPr="001A75FD">
              <w:t xml:space="preserve"> published in an indirect comparison of alendronate (FIT-CFA) and denosumab (FREEDOM) placebo-controlled trials in subgroups with BMD T-scores &lt;-2.5 without prevalent vertebral fracture (denosumab PSD, March 2012 PBAC meeting).</w:t>
            </w:r>
            <w:r w:rsidR="00951103" w:rsidRPr="001A75FD">
              <w:t xml:space="preserve"> </w:t>
            </w:r>
            <w:r w:rsidR="00F139D7" w:rsidRPr="001A75FD">
              <w:t xml:space="preserve">These estimates were highly uncertain based on an inadequately justified source, calculations that produced anomalous results </w:t>
            </w:r>
            <w:r w:rsidR="004B3E7E" w:rsidRPr="001A75FD">
              <w:t xml:space="preserve">and were optimistic compared to treatment effect estimates published in wider systematic reviews of risedronate (see detail in paragraphs following this table). </w:t>
            </w:r>
          </w:p>
        </w:tc>
        <w:tc>
          <w:tcPr>
            <w:tcW w:w="602" w:type="pct"/>
            <w:shd w:val="clear" w:color="auto" w:fill="auto"/>
            <w:vAlign w:val="center"/>
          </w:tcPr>
          <w:p w14:paraId="3C8C4F4F" w14:textId="53772785" w:rsidR="005C43E7" w:rsidRPr="001A75FD" w:rsidRDefault="001F5DB7" w:rsidP="001363E7">
            <w:pPr>
              <w:pStyle w:val="COMTabletext"/>
              <w:jc w:val="center"/>
            </w:pPr>
            <w:r w:rsidRPr="001A75FD">
              <w:t>High, favours risedronate EC</w:t>
            </w:r>
          </w:p>
        </w:tc>
      </w:tr>
      <w:tr w:rsidR="0021383C" w:rsidRPr="001A75FD" w14:paraId="2427CF09" w14:textId="77777777" w:rsidTr="00FC2EFB">
        <w:tc>
          <w:tcPr>
            <w:tcW w:w="626" w:type="pct"/>
            <w:shd w:val="clear" w:color="auto" w:fill="auto"/>
            <w:vAlign w:val="center"/>
          </w:tcPr>
          <w:p w14:paraId="4FB8FFD4" w14:textId="2BC6B7A9" w:rsidR="0021383C" w:rsidRPr="001A75FD" w:rsidRDefault="0099393B" w:rsidP="001363E7">
            <w:pPr>
              <w:pStyle w:val="COMTabletext"/>
            </w:pPr>
            <w:r w:rsidRPr="001A75FD">
              <w:t>Treatment persistence</w:t>
            </w:r>
          </w:p>
        </w:tc>
        <w:tc>
          <w:tcPr>
            <w:tcW w:w="3772" w:type="pct"/>
            <w:shd w:val="clear" w:color="auto" w:fill="auto"/>
            <w:vAlign w:val="center"/>
          </w:tcPr>
          <w:p w14:paraId="073B4F6C" w14:textId="72FC04CB" w:rsidR="0021383C" w:rsidRPr="001A75FD" w:rsidRDefault="00397EEB" w:rsidP="001363E7">
            <w:pPr>
              <w:pStyle w:val="COMTabletext"/>
            </w:pPr>
            <w:r w:rsidRPr="001A75FD">
              <w:t>100% persistence to all treatments</w:t>
            </w:r>
            <w:r w:rsidR="00315A2D" w:rsidRPr="001A75FD">
              <w:t xml:space="preserve"> was a</w:t>
            </w:r>
            <w:r w:rsidR="00DC4F63" w:rsidRPr="001A75FD">
              <w:t>ssumed.</w:t>
            </w:r>
            <w:r w:rsidR="002F3127" w:rsidRPr="001A75FD">
              <w:t xml:space="preserve"> The modelled extent of treatment benefit associated with early risedronate EC treatment was reliant on continuing treatment </w:t>
            </w:r>
            <w:r w:rsidR="00652637" w:rsidRPr="001A75FD">
              <w:t xml:space="preserve">for up to 20 years in patients without fracture. </w:t>
            </w:r>
          </w:p>
        </w:tc>
        <w:tc>
          <w:tcPr>
            <w:tcW w:w="602" w:type="pct"/>
            <w:shd w:val="clear" w:color="auto" w:fill="auto"/>
            <w:vAlign w:val="center"/>
          </w:tcPr>
          <w:p w14:paraId="096288D3" w14:textId="28F4A74C" w:rsidR="0021383C" w:rsidRPr="001A75FD" w:rsidRDefault="00397EEB" w:rsidP="001363E7">
            <w:pPr>
              <w:pStyle w:val="COMTabletext"/>
              <w:jc w:val="center"/>
            </w:pPr>
            <w:r w:rsidRPr="001A75FD">
              <w:t>High, favours risedronate EC</w:t>
            </w:r>
          </w:p>
        </w:tc>
      </w:tr>
      <w:tr w:rsidR="0021383C" w:rsidRPr="001A75FD" w14:paraId="46914297" w14:textId="77777777" w:rsidTr="00FC2EFB">
        <w:tc>
          <w:tcPr>
            <w:tcW w:w="626" w:type="pct"/>
            <w:shd w:val="clear" w:color="auto" w:fill="auto"/>
            <w:vAlign w:val="center"/>
          </w:tcPr>
          <w:p w14:paraId="263E5195" w14:textId="079071B2" w:rsidR="0021383C" w:rsidRPr="001A75FD" w:rsidRDefault="0099393B" w:rsidP="001363E7">
            <w:pPr>
              <w:pStyle w:val="COMTabletext"/>
            </w:pPr>
            <w:r w:rsidRPr="001A75FD">
              <w:t>Cost of standard of care therapies</w:t>
            </w:r>
          </w:p>
        </w:tc>
        <w:tc>
          <w:tcPr>
            <w:tcW w:w="3772" w:type="pct"/>
            <w:shd w:val="clear" w:color="auto" w:fill="auto"/>
            <w:vAlign w:val="center"/>
          </w:tcPr>
          <w:p w14:paraId="63FFBEF8" w14:textId="31447666" w:rsidR="0021383C" w:rsidRPr="001A75FD" w:rsidRDefault="00085657" w:rsidP="001363E7">
            <w:pPr>
              <w:pStyle w:val="COMTabletext"/>
            </w:pPr>
            <w:r w:rsidRPr="001A75FD">
              <w:t xml:space="preserve">Drug costs </w:t>
            </w:r>
            <w:r w:rsidR="001D77A4" w:rsidRPr="001A75FD">
              <w:t xml:space="preserve">were </w:t>
            </w:r>
            <w:r w:rsidRPr="001A75FD">
              <w:t>b</w:t>
            </w:r>
            <w:r w:rsidR="001148CB" w:rsidRPr="001A75FD">
              <w:t xml:space="preserve">ased on published DPMQs for </w:t>
            </w:r>
            <w:r w:rsidR="00C750BB" w:rsidRPr="001A75FD">
              <w:t xml:space="preserve">risedronate, alendronate, denosumab and zoledronic acid and weighted based on </w:t>
            </w:r>
            <w:r w:rsidR="005B576D" w:rsidRPr="001A75FD">
              <w:t xml:space="preserve">a </w:t>
            </w:r>
            <w:r w:rsidR="00013317" w:rsidRPr="001A75FD">
              <w:t>utilisation analysis from</w:t>
            </w:r>
            <w:r w:rsidR="005B576D" w:rsidRPr="001A75FD">
              <w:t xml:space="preserve"> the</w:t>
            </w:r>
            <w:r w:rsidR="00013317" w:rsidRPr="001A75FD">
              <w:t xml:space="preserve"> DUSC review of denosumab </w:t>
            </w:r>
            <w:r w:rsidR="00F95A0A" w:rsidRPr="001A75FD">
              <w:t xml:space="preserve">for osteoporosis 2020 report (80% denosumab, 10% alendronate, 7% risedronate, 3% zoledronic acid). </w:t>
            </w:r>
            <w:r w:rsidRPr="001A75FD">
              <w:t xml:space="preserve">Costs were adjusted </w:t>
            </w:r>
            <w:r w:rsidR="001A4C80" w:rsidRPr="001A75FD">
              <w:t>using adherence rates of</w:t>
            </w:r>
            <w:r w:rsidRPr="001A75FD">
              <w:t xml:space="preserve"> 75% for risedronate and alendronate (based on </w:t>
            </w:r>
            <w:r w:rsidR="00F9249D" w:rsidRPr="001A75FD">
              <w:t xml:space="preserve">the </w:t>
            </w:r>
            <w:r w:rsidRPr="001A75FD">
              <w:t xml:space="preserve">Fantasia trial) and were assumed as 100% for zoledronic acid and 85% for denosumab. </w:t>
            </w:r>
            <w:r w:rsidR="001A4C80" w:rsidRPr="001A75FD">
              <w:t>Adherence estimates only affected drug costs and not treatment effect. The use of</w:t>
            </w:r>
            <w:r w:rsidR="00133697" w:rsidRPr="001A75FD">
              <w:t xml:space="preserve"> </w:t>
            </w:r>
            <w:r w:rsidR="001A4C80" w:rsidRPr="001A75FD">
              <w:t xml:space="preserve">lower adherence estimates for risedronate EC compared to standard of care (predominantly denosumab) was in favour of risedronate EC given similar treatment efficacies applied.  </w:t>
            </w:r>
          </w:p>
          <w:p w14:paraId="00248D60" w14:textId="77777777" w:rsidR="001A4C80" w:rsidRPr="001A75FD" w:rsidRDefault="001A4C80" w:rsidP="001363E7">
            <w:pPr>
              <w:pStyle w:val="COMTabletext"/>
            </w:pPr>
          </w:p>
          <w:p w14:paraId="3FCC7548" w14:textId="07B17287" w:rsidR="001A4C80" w:rsidRPr="001A75FD" w:rsidRDefault="00821BF7" w:rsidP="001363E7">
            <w:pPr>
              <w:pStyle w:val="COMTabletext"/>
            </w:pPr>
            <w:r w:rsidRPr="001A75FD">
              <w:t>Administration costs were estimated for denosumab</w:t>
            </w:r>
            <w:r w:rsidR="007923F5" w:rsidRPr="001A75FD">
              <w:t xml:space="preserve"> assuming 2 GP visits per year</w:t>
            </w:r>
            <w:r w:rsidR="00D449EF" w:rsidRPr="001A75FD">
              <w:t xml:space="preserve"> (no adjustments for adherence)</w:t>
            </w:r>
            <w:r w:rsidR="007923F5" w:rsidRPr="001A75FD">
              <w:t xml:space="preserve">, and </w:t>
            </w:r>
            <w:r w:rsidRPr="001A75FD">
              <w:t>for zoledronic acid assuming 1 specialist visit per year.</w:t>
            </w:r>
            <w:r w:rsidR="00D449EF" w:rsidRPr="001A75FD">
              <w:t xml:space="preserve"> The</w:t>
            </w:r>
            <w:r w:rsidR="004B31E1" w:rsidRPr="001A75FD">
              <w:t xml:space="preserve"> estimated costs were inadequately justified for denosumab</w:t>
            </w:r>
            <w:r w:rsidR="00690B94" w:rsidRPr="001A75FD">
              <w:t xml:space="preserve"> as a proportion of administration is likely to be given by nurses</w:t>
            </w:r>
            <w:r w:rsidR="00626207" w:rsidRPr="001A75FD">
              <w:t xml:space="preserve">, and the costs were not adjusted for imperfect adherence. The cost of zoledronic acid IV infusions is unknown as there is no specific MBS item, however, the impact of alternative costs is minimal given the relatively low utilisation. </w:t>
            </w:r>
          </w:p>
        </w:tc>
        <w:tc>
          <w:tcPr>
            <w:tcW w:w="602" w:type="pct"/>
            <w:shd w:val="clear" w:color="auto" w:fill="auto"/>
            <w:vAlign w:val="center"/>
          </w:tcPr>
          <w:p w14:paraId="21BC0ED2" w14:textId="501DC5FC" w:rsidR="0021383C" w:rsidRPr="001A75FD" w:rsidRDefault="001A4C80" w:rsidP="001363E7">
            <w:pPr>
              <w:pStyle w:val="COMTabletext"/>
              <w:jc w:val="center"/>
            </w:pPr>
            <w:r w:rsidRPr="001A75FD">
              <w:t>High, favours risedronate EC</w:t>
            </w:r>
          </w:p>
        </w:tc>
      </w:tr>
    </w:tbl>
    <w:p w14:paraId="4DB46C74" w14:textId="01E44791" w:rsidR="0021383C" w:rsidRDefault="0021383C" w:rsidP="0021383C">
      <w:pPr>
        <w:pStyle w:val="COMTablefooter"/>
      </w:pPr>
      <w:r w:rsidRPr="002E14F6">
        <w:t xml:space="preserve">Source: </w:t>
      </w:r>
      <w:r w:rsidR="00D46BC9" w:rsidRPr="002E14F6">
        <w:t>constructed during the evaluation</w:t>
      </w:r>
    </w:p>
    <w:p w14:paraId="2D9A3961" w14:textId="3FE41F86" w:rsidR="00DA32D6" w:rsidRPr="002E14F6" w:rsidRDefault="00DA32D6" w:rsidP="0021383C">
      <w:pPr>
        <w:pStyle w:val="COMTablefooter"/>
      </w:pPr>
      <w:r>
        <w:t>Abbreviations: BMD, bone mineral density; GP, general practitioner</w:t>
      </w:r>
    </w:p>
    <w:p w14:paraId="37B4237B" w14:textId="264B5472" w:rsidR="00275C5A" w:rsidRPr="00966B2C" w:rsidRDefault="00E7206C" w:rsidP="00DC4D12">
      <w:pPr>
        <w:widowControl w:val="0"/>
        <w:numPr>
          <w:ilvl w:val="1"/>
          <w:numId w:val="1"/>
        </w:numPr>
        <w:spacing w:after="120"/>
        <w:ind w:left="720" w:hanging="720"/>
        <w:rPr>
          <w:bCs/>
        </w:rPr>
      </w:pPr>
      <w:r w:rsidRPr="001A75FD">
        <w:t xml:space="preserve">The submission used the Garvan risk calculator to estimate the </w:t>
      </w:r>
      <w:r w:rsidRPr="00DC4D12">
        <w:rPr>
          <w:rFonts w:asciiTheme="minorHAnsi" w:hAnsiTheme="minorHAnsi"/>
          <w:bCs/>
          <w:snapToGrid w:val="0"/>
        </w:rPr>
        <w:t>background risk of fracture based on modelled population characteristics. Data informing the Garvan risk calculator are relatively old and may not represent more contemporary fracture risks</w:t>
      </w:r>
      <w:r w:rsidR="004E7127" w:rsidRPr="00DC4D12">
        <w:rPr>
          <w:rFonts w:asciiTheme="minorHAnsi" w:hAnsiTheme="minorHAnsi"/>
          <w:bCs/>
          <w:snapToGrid w:val="0"/>
        </w:rPr>
        <w:t xml:space="preserve">. </w:t>
      </w:r>
      <w:r w:rsidR="00F430D6" w:rsidRPr="00DC4D12">
        <w:rPr>
          <w:rFonts w:asciiTheme="minorHAnsi" w:hAnsiTheme="minorHAnsi"/>
          <w:bCs/>
          <w:snapToGrid w:val="0"/>
        </w:rPr>
        <w:t>There have been several independent studies and systematic reviews examining the prognostic performance of the Garvan risk calculator</w:t>
      </w:r>
      <w:r w:rsidR="00AE472E" w:rsidRPr="00DC4D12">
        <w:rPr>
          <w:rFonts w:asciiTheme="minorHAnsi" w:hAnsiTheme="minorHAnsi"/>
          <w:bCs/>
          <w:snapToGrid w:val="0"/>
        </w:rPr>
        <w:t>, suggesting</w:t>
      </w:r>
      <w:r w:rsidR="00F430D6" w:rsidRPr="00DC4D12">
        <w:rPr>
          <w:rFonts w:asciiTheme="minorHAnsi" w:hAnsiTheme="minorHAnsi"/>
          <w:bCs/>
          <w:snapToGrid w:val="0"/>
        </w:rPr>
        <w:t xml:space="preserve"> the calculator provides reasonable estimates of major osteoporotic fractures (any site) but overestimates hip fractures. </w:t>
      </w:r>
      <w:r w:rsidR="007C18FA" w:rsidRPr="00DC4D12">
        <w:rPr>
          <w:rFonts w:asciiTheme="minorHAnsi" w:hAnsiTheme="minorHAnsi"/>
          <w:bCs/>
          <w:snapToGrid w:val="0"/>
        </w:rPr>
        <w:t xml:space="preserve">The PSCR stated that the Garvan Fracture Risk Calculator is routinely used in Australian practice and recommended in Australian clinical practice guidelines (RACGP, 2017). </w:t>
      </w:r>
      <w:r w:rsidR="00AB65DD" w:rsidRPr="00DC4D12">
        <w:rPr>
          <w:rFonts w:asciiTheme="minorHAnsi" w:hAnsiTheme="minorHAnsi"/>
          <w:bCs/>
          <w:snapToGrid w:val="0"/>
        </w:rPr>
        <w:t>Predicted risk</w:t>
      </w:r>
      <w:r w:rsidR="007A48CC" w:rsidRPr="00DC4D12">
        <w:rPr>
          <w:rFonts w:asciiTheme="minorHAnsi" w:hAnsiTheme="minorHAnsi"/>
          <w:bCs/>
          <w:snapToGrid w:val="0"/>
        </w:rPr>
        <w:t xml:space="preserve">s using the Garvan calculator </w:t>
      </w:r>
      <w:r w:rsidR="00AB65DD" w:rsidRPr="00DC4D12">
        <w:rPr>
          <w:rFonts w:asciiTheme="minorHAnsi" w:hAnsiTheme="minorHAnsi"/>
          <w:bCs/>
          <w:snapToGrid w:val="0"/>
        </w:rPr>
        <w:t>may not be reasonable estimates of fracture risk in the target PBS population</w:t>
      </w:r>
      <w:r w:rsidR="007A48CC" w:rsidRPr="00DC4D12">
        <w:rPr>
          <w:rFonts w:asciiTheme="minorHAnsi" w:hAnsiTheme="minorHAnsi"/>
          <w:bCs/>
          <w:snapToGrid w:val="0"/>
        </w:rPr>
        <w:t xml:space="preserve"> who are younger and without fracture.</w:t>
      </w:r>
      <w:r w:rsidR="00556166" w:rsidRPr="00DC4D12">
        <w:rPr>
          <w:rFonts w:asciiTheme="minorHAnsi" w:hAnsiTheme="minorHAnsi"/>
          <w:bCs/>
          <w:snapToGrid w:val="0"/>
        </w:rPr>
        <w:t xml:space="preserve"> </w:t>
      </w:r>
    </w:p>
    <w:p w14:paraId="7154144D" w14:textId="043BA0F5" w:rsidR="0047082A" w:rsidRPr="00966B2C" w:rsidRDefault="00427F4E" w:rsidP="00DC4D12">
      <w:pPr>
        <w:widowControl w:val="0"/>
        <w:numPr>
          <w:ilvl w:val="1"/>
          <w:numId w:val="1"/>
        </w:numPr>
        <w:spacing w:after="120"/>
        <w:ind w:left="720" w:hanging="720"/>
        <w:rPr>
          <w:bCs/>
        </w:rPr>
      </w:pPr>
      <w:r w:rsidRPr="00DC4D12">
        <w:rPr>
          <w:rFonts w:asciiTheme="minorHAnsi" w:hAnsiTheme="minorHAnsi"/>
          <w:bCs/>
          <w:snapToGrid w:val="0"/>
        </w:rPr>
        <w:t xml:space="preserve">The submission </w:t>
      </w:r>
      <w:r w:rsidR="00673FD1" w:rsidRPr="00DC4D12">
        <w:rPr>
          <w:rFonts w:asciiTheme="minorHAnsi" w:hAnsiTheme="minorHAnsi"/>
          <w:bCs/>
          <w:snapToGrid w:val="0"/>
        </w:rPr>
        <w:t xml:space="preserve">derived treatment effect estimates for hip and non-hip fracture for risedronate EC and standard of care therapies </w:t>
      </w:r>
      <w:r w:rsidR="008859A6" w:rsidRPr="00DC4D12">
        <w:rPr>
          <w:rFonts w:asciiTheme="minorHAnsi" w:hAnsiTheme="minorHAnsi"/>
          <w:bCs/>
          <w:snapToGrid w:val="0"/>
        </w:rPr>
        <w:t xml:space="preserve">based on treatment effect estimates for alendronate and denosumab from an indirect comparison of alendronate (FIT-CFA) and denosumab (FREEDOM) placebo-controlled trials in subgroups with BMD T-scores &lt;-2.5 without prevalent vertebral fracture (denosumab PSD, March 2012 PBAC meeting). </w:t>
      </w:r>
      <w:r w:rsidR="00675046" w:rsidRPr="00DC4D12">
        <w:rPr>
          <w:rFonts w:asciiTheme="minorHAnsi" w:hAnsiTheme="minorHAnsi"/>
          <w:bCs/>
          <w:snapToGrid w:val="0"/>
        </w:rPr>
        <w:t>No justification was provided for the use of data from the selected source, given uncertainties with the robustness of point estimates from the post</w:t>
      </w:r>
      <w:r w:rsidR="00171A61" w:rsidRPr="00DC4D12">
        <w:rPr>
          <w:rFonts w:asciiTheme="minorHAnsi" w:hAnsiTheme="minorHAnsi"/>
          <w:bCs/>
          <w:snapToGrid w:val="0"/>
        </w:rPr>
        <w:t xml:space="preserve"> </w:t>
      </w:r>
      <w:r w:rsidR="00675046" w:rsidRPr="00DC4D12">
        <w:rPr>
          <w:rFonts w:asciiTheme="minorHAnsi" w:hAnsiTheme="minorHAnsi"/>
          <w:bCs/>
          <w:snapToGrid w:val="0"/>
        </w:rPr>
        <w:t xml:space="preserve">hoc subgroup analyses. </w:t>
      </w:r>
      <w:r w:rsidR="00F9510F" w:rsidRPr="00DC4D12">
        <w:rPr>
          <w:rFonts w:asciiTheme="minorHAnsi" w:hAnsiTheme="minorHAnsi"/>
          <w:bCs/>
          <w:snapToGrid w:val="0"/>
        </w:rPr>
        <w:t xml:space="preserve">The PSCR stated that the treatment effect of risedronate </w:t>
      </w:r>
      <w:r w:rsidR="00445D56" w:rsidRPr="00DC4D12">
        <w:rPr>
          <w:rFonts w:asciiTheme="minorHAnsi" w:hAnsiTheme="minorHAnsi"/>
          <w:bCs/>
          <w:snapToGrid w:val="0"/>
        </w:rPr>
        <w:t xml:space="preserve">was </w:t>
      </w:r>
      <w:r w:rsidR="00F9510F" w:rsidRPr="00DC4D12">
        <w:rPr>
          <w:rFonts w:asciiTheme="minorHAnsi" w:hAnsiTheme="minorHAnsi"/>
          <w:bCs/>
          <w:snapToGrid w:val="0"/>
        </w:rPr>
        <w:t xml:space="preserve">modelled using alendronate data to align with the clinical evidence presented and evidence previously evaluated by the PBAC. </w:t>
      </w:r>
    </w:p>
    <w:p w14:paraId="1C33AA6C" w14:textId="32DB0FDC" w:rsidR="00675046" w:rsidRPr="00966B2C" w:rsidRDefault="00675046" w:rsidP="00DC4D12">
      <w:pPr>
        <w:widowControl w:val="0"/>
        <w:numPr>
          <w:ilvl w:val="1"/>
          <w:numId w:val="1"/>
        </w:numPr>
        <w:spacing w:after="120"/>
        <w:ind w:left="720" w:hanging="720"/>
        <w:rPr>
          <w:bCs/>
        </w:rPr>
      </w:pPr>
      <w:r w:rsidRPr="00DC4D12">
        <w:rPr>
          <w:rFonts w:asciiTheme="minorHAnsi" w:hAnsiTheme="minorHAnsi"/>
          <w:bCs/>
          <w:snapToGrid w:val="0"/>
        </w:rPr>
        <w:t>Treatment effect estimates for risedronate and zoledronic acid were assumed, based on equivalent efficacy to alendronate. The submission used point estimates of treatment effects for hip fracture. The derivation of treatment effects for non-hip fracture was complex, based on the sum of the incidence of morphometric/clinical vertebral fracture and nonvertebral fracture minus the incidence of hip fracture.</w:t>
      </w:r>
      <w:r w:rsidR="00C03596" w:rsidRPr="00DC4D12">
        <w:rPr>
          <w:rFonts w:asciiTheme="minorHAnsi" w:hAnsiTheme="minorHAnsi"/>
          <w:bCs/>
          <w:snapToGrid w:val="0"/>
        </w:rPr>
        <w:t xml:space="preserve"> The submission used different vertebral fracture outcomes in the calculated non-hip fracture estimates for alendronate and denosumab. For alendronate, the incidence of morphometric vertebral fracture was used while the calculations for denosumab included the incidence of clinical vertebral fracture. </w:t>
      </w:r>
      <w:r w:rsidR="003A5BB5" w:rsidRPr="00DC4D12">
        <w:rPr>
          <w:rFonts w:asciiTheme="minorHAnsi" w:hAnsiTheme="minorHAnsi"/>
          <w:bCs/>
          <w:snapToGrid w:val="0"/>
        </w:rPr>
        <w:t>The approach used to estimate the treatment effect for non-hip fractures was crude and yielded anomalous results based on the choice of clinical versus morphometric vertebral fracture.</w:t>
      </w:r>
      <w:r w:rsidR="00F9510F" w:rsidRPr="00DC4D12">
        <w:rPr>
          <w:rFonts w:asciiTheme="minorHAnsi" w:hAnsiTheme="minorHAnsi"/>
          <w:bCs/>
          <w:snapToGrid w:val="0"/>
        </w:rPr>
        <w:t xml:space="preserve"> The ESC agreed with the evaluation that risedronate treatment effects using alendronate as a proxy were highly uncertain. </w:t>
      </w:r>
    </w:p>
    <w:p w14:paraId="58E82F83" w14:textId="3EAAEC88" w:rsidR="00F9510F" w:rsidRPr="00B600AA" w:rsidRDefault="00D22904" w:rsidP="00DC4D12">
      <w:pPr>
        <w:widowControl w:val="0"/>
        <w:numPr>
          <w:ilvl w:val="1"/>
          <w:numId w:val="1"/>
        </w:numPr>
        <w:spacing w:after="120"/>
        <w:ind w:left="720" w:hanging="720"/>
      </w:pPr>
      <w:bookmarkStart w:id="44" w:name="_Ref116396649"/>
      <w:r w:rsidRPr="00DC4D12">
        <w:rPr>
          <w:rFonts w:asciiTheme="minorHAnsi" w:hAnsiTheme="minorHAnsi"/>
          <w:bCs/>
          <w:snapToGrid w:val="0"/>
        </w:rPr>
        <w:t xml:space="preserve">The calculated estimates </w:t>
      </w:r>
      <w:r w:rsidR="00446AD8" w:rsidRPr="00DC4D12">
        <w:rPr>
          <w:rFonts w:asciiTheme="minorHAnsi" w:hAnsiTheme="minorHAnsi"/>
          <w:bCs/>
          <w:snapToGrid w:val="0"/>
        </w:rPr>
        <w:t>yielded slightly higher</w:t>
      </w:r>
      <w:r w:rsidR="00091945" w:rsidRPr="00DC4D12">
        <w:rPr>
          <w:rFonts w:asciiTheme="minorHAnsi" w:hAnsiTheme="minorHAnsi"/>
          <w:bCs/>
          <w:snapToGrid w:val="0"/>
        </w:rPr>
        <w:t xml:space="preserve"> </w:t>
      </w:r>
      <w:r w:rsidRPr="00DC4D12">
        <w:rPr>
          <w:rFonts w:asciiTheme="minorHAnsi" w:hAnsiTheme="minorHAnsi"/>
          <w:bCs/>
          <w:snapToGrid w:val="0"/>
        </w:rPr>
        <w:t>relative risk reductions</w:t>
      </w:r>
      <w:r w:rsidR="00091945" w:rsidRPr="00DC4D12">
        <w:rPr>
          <w:rFonts w:asciiTheme="minorHAnsi" w:hAnsiTheme="minorHAnsi"/>
          <w:bCs/>
          <w:snapToGrid w:val="0"/>
        </w:rPr>
        <w:t xml:space="preserve"> for risedronate EC</w:t>
      </w:r>
      <w:r w:rsidR="00446AD8" w:rsidRPr="00DC4D12">
        <w:rPr>
          <w:rFonts w:asciiTheme="minorHAnsi" w:hAnsiTheme="minorHAnsi"/>
          <w:bCs/>
          <w:snapToGrid w:val="0"/>
        </w:rPr>
        <w:t xml:space="preserve"> (</w:t>
      </w:r>
      <w:r w:rsidR="00091945" w:rsidRPr="00DC4D12">
        <w:rPr>
          <w:rFonts w:asciiTheme="minorHAnsi" w:hAnsiTheme="minorHAnsi"/>
          <w:bCs/>
          <w:snapToGrid w:val="0"/>
        </w:rPr>
        <w:t>hip</w:t>
      </w:r>
      <w:r w:rsidR="007857E9" w:rsidRPr="00DC4D12">
        <w:rPr>
          <w:rFonts w:asciiTheme="minorHAnsi" w:hAnsiTheme="minorHAnsi"/>
          <w:bCs/>
          <w:snapToGrid w:val="0"/>
        </w:rPr>
        <w:t>:</w:t>
      </w:r>
      <w:r w:rsidR="00091945" w:rsidRPr="00DC4D12">
        <w:rPr>
          <w:rFonts w:asciiTheme="minorHAnsi" w:hAnsiTheme="minorHAnsi"/>
          <w:bCs/>
          <w:snapToGrid w:val="0"/>
        </w:rPr>
        <w:t xml:space="preserve"> </w:t>
      </w:r>
      <w:r w:rsidRPr="00DC4D12">
        <w:rPr>
          <w:rFonts w:asciiTheme="minorHAnsi" w:hAnsiTheme="minorHAnsi"/>
          <w:bCs/>
          <w:snapToGrid w:val="0"/>
        </w:rPr>
        <w:t>56%</w:t>
      </w:r>
      <w:r w:rsidR="00091945" w:rsidRPr="00DC4D12">
        <w:rPr>
          <w:rFonts w:asciiTheme="minorHAnsi" w:hAnsiTheme="minorHAnsi"/>
          <w:bCs/>
          <w:snapToGrid w:val="0"/>
        </w:rPr>
        <w:t>; non-hip</w:t>
      </w:r>
      <w:r w:rsidR="00446AD8" w:rsidRPr="00DC4D12">
        <w:rPr>
          <w:rFonts w:asciiTheme="minorHAnsi" w:hAnsiTheme="minorHAnsi"/>
          <w:bCs/>
          <w:snapToGrid w:val="0"/>
        </w:rPr>
        <w:t xml:space="preserve">: </w:t>
      </w:r>
      <w:r w:rsidR="00972824" w:rsidRPr="00DC4D12">
        <w:rPr>
          <w:rFonts w:asciiTheme="minorHAnsi" w:hAnsiTheme="minorHAnsi"/>
          <w:bCs/>
          <w:snapToGrid w:val="0"/>
        </w:rPr>
        <w:t>35%</w:t>
      </w:r>
      <w:r w:rsidR="00446AD8" w:rsidRPr="00DC4D12">
        <w:rPr>
          <w:rFonts w:asciiTheme="minorHAnsi" w:hAnsiTheme="minorHAnsi"/>
          <w:bCs/>
          <w:snapToGrid w:val="0"/>
        </w:rPr>
        <w:t xml:space="preserve">) compared to </w:t>
      </w:r>
      <w:r w:rsidR="00972824" w:rsidRPr="00DC4D12">
        <w:rPr>
          <w:rFonts w:asciiTheme="minorHAnsi" w:hAnsiTheme="minorHAnsi"/>
          <w:bCs/>
          <w:snapToGrid w:val="0"/>
        </w:rPr>
        <w:t>standard of care therapies</w:t>
      </w:r>
      <w:r w:rsidR="00446AD8" w:rsidRPr="00DC4D12">
        <w:rPr>
          <w:rFonts w:asciiTheme="minorHAnsi" w:hAnsiTheme="minorHAnsi"/>
          <w:bCs/>
          <w:snapToGrid w:val="0"/>
        </w:rPr>
        <w:t xml:space="preserve"> (hip</w:t>
      </w:r>
      <w:r w:rsidR="007857E9" w:rsidRPr="00DC4D12">
        <w:rPr>
          <w:rFonts w:asciiTheme="minorHAnsi" w:hAnsiTheme="minorHAnsi"/>
          <w:bCs/>
          <w:snapToGrid w:val="0"/>
        </w:rPr>
        <w:t>: 55%, non-hip: 34%). The use of improved treatment effects for risedronate EC versus other treatments was inadequately justified. The calculated estimates were optimistic compared to the broader evidence base for risedronate, which suggests</w:t>
      </w:r>
      <w:r w:rsidR="00A64786" w:rsidRPr="00DC4D12">
        <w:rPr>
          <w:rFonts w:asciiTheme="minorHAnsi" w:hAnsiTheme="minorHAnsi"/>
          <w:bCs/>
          <w:snapToGrid w:val="0"/>
        </w:rPr>
        <w:t xml:space="preserve"> an</w:t>
      </w:r>
      <w:r w:rsidR="007857E9" w:rsidRPr="00DC4D12">
        <w:rPr>
          <w:rFonts w:asciiTheme="minorHAnsi" w:hAnsiTheme="minorHAnsi"/>
          <w:bCs/>
          <w:snapToGrid w:val="0"/>
        </w:rPr>
        <w:t xml:space="preserve"> approximately 30% relative risk reduction for hip fracture. </w:t>
      </w:r>
      <w:r w:rsidR="00556166" w:rsidRPr="00DC4D12">
        <w:rPr>
          <w:rFonts w:asciiTheme="minorHAnsi" w:hAnsiTheme="minorHAnsi"/>
          <w:bCs/>
          <w:snapToGrid w:val="0"/>
        </w:rPr>
        <w:t>The treatment effect of risedronate on non-hip fractures (excluding morphometric vertebral fracture, as per Garvan risk estimates) is</w:t>
      </w:r>
      <w:r w:rsidR="00556166" w:rsidRPr="001A75FD">
        <w:t xml:space="preserve"> unknown. A recently published systematic review of risedronate trials noted that the treatment effect of risedronate was unknown for wrist fractures and not estimable for clinical vertebral fractures (Wells 2022).</w:t>
      </w:r>
      <w:r w:rsidR="00556166">
        <w:t xml:space="preserve"> </w:t>
      </w:r>
      <w:r w:rsidR="00F9510F" w:rsidRPr="00B600AA">
        <w:t xml:space="preserve">The PSCR argued that </w:t>
      </w:r>
      <w:r w:rsidR="00AB5FAE" w:rsidRPr="00B600AA">
        <w:t xml:space="preserve">to test the impact of using the alendronate data as a proxy for risedronate treatment effect, multiple sensitivity analyses were conducted in the submission, including using the results from the risedronate meta-analysis (Boonen 2010). The ESC agreed with the evaluation that the calculated estimates were optimistic compared to the broader evidence base for risedronate. </w:t>
      </w:r>
      <w:r w:rsidR="004D1E4A" w:rsidRPr="00B600AA">
        <w:t>T</w:t>
      </w:r>
      <w:r w:rsidR="00AB5FAE" w:rsidRPr="00B600AA">
        <w:t xml:space="preserve">he ESC considered that </w:t>
      </w:r>
      <w:r w:rsidR="00395934" w:rsidRPr="00B600AA">
        <w:t xml:space="preserve">use of the relative risk reductions (hip: 41%; non-hip: 46%) </w:t>
      </w:r>
      <w:r w:rsidR="004D1E4A" w:rsidRPr="00B600AA">
        <w:t>reported in the Boonen 2010 meta-analysis</w:t>
      </w:r>
      <w:r w:rsidR="00DA7E25" w:rsidRPr="00B600AA">
        <w:t xml:space="preserve"> </w:t>
      </w:r>
      <w:r w:rsidR="00395934" w:rsidRPr="00B600AA">
        <w:t>may be a more appropriate reflection of risedronate treatment effect</w:t>
      </w:r>
      <w:r w:rsidR="004D1E4A" w:rsidRPr="00B600AA">
        <w:t>.</w:t>
      </w:r>
      <w:bookmarkEnd w:id="44"/>
      <w:r w:rsidR="004D1E4A" w:rsidRPr="00B600AA">
        <w:t xml:space="preserve"> </w:t>
      </w:r>
    </w:p>
    <w:p w14:paraId="2873AD4A" w14:textId="281D375F" w:rsidR="0090784D" w:rsidRPr="00966B2C" w:rsidRDefault="0090784D" w:rsidP="00DC4D12">
      <w:pPr>
        <w:widowControl w:val="0"/>
        <w:numPr>
          <w:ilvl w:val="1"/>
          <w:numId w:val="1"/>
        </w:numPr>
        <w:spacing w:after="120"/>
        <w:ind w:left="720" w:hanging="720"/>
        <w:rPr>
          <w:bCs/>
        </w:rPr>
      </w:pPr>
      <w:r w:rsidRPr="00DC4D12">
        <w:rPr>
          <w:rFonts w:asciiTheme="minorHAnsi" w:hAnsiTheme="minorHAnsi"/>
          <w:bCs/>
          <w:snapToGrid w:val="0"/>
        </w:rPr>
        <w:t>During the evaluation, errors were identified in the calculation of non-hip fracture risks</w:t>
      </w:r>
      <w:r w:rsidR="00F9510F" w:rsidRPr="00DC4D12">
        <w:rPr>
          <w:rFonts w:asciiTheme="minorHAnsi" w:hAnsiTheme="minorHAnsi"/>
          <w:bCs/>
          <w:snapToGrid w:val="0"/>
        </w:rPr>
        <w:t>.</w:t>
      </w:r>
      <w:r w:rsidRPr="00DC4D12">
        <w:rPr>
          <w:rFonts w:asciiTheme="minorHAnsi" w:hAnsiTheme="minorHAnsi"/>
          <w:bCs/>
          <w:snapToGrid w:val="0"/>
        </w:rPr>
        <w:t xml:space="preserve"> The impact of these errors was tested in sensitivity analyses.</w:t>
      </w:r>
    </w:p>
    <w:p w14:paraId="48DDA117" w14:textId="4BDCC891" w:rsidR="0070666A" w:rsidRPr="00966B2C" w:rsidRDefault="009C6A6F" w:rsidP="00DC4D12">
      <w:pPr>
        <w:widowControl w:val="0"/>
        <w:numPr>
          <w:ilvl w:val="1"/>
          <w:numId w:val="1"/>
        </w:numPr>
        <w:spacing w:after="120"/>
        <w:ind w:left="720" w:hanging="720"/>
        <w:rPr>
          <w:bCs/>
        </w:rPr>
      </w:pPr>
      <w:r w:rsidRPr="00DC4D12">
        <w:rPr>
          <w:rFonts w:asciiTheme="minorHAnsi" w:hAnsiTheme="minorHAnsi"/>
          <w:bCs/>
          <w:snapToGrid w:val="0"/>
        </w:rPr>
        <w:t xml:space="preserve">The submission used mortality multipliers </w:t>
      </w:r>
      <w:r w:rsidR="00133082" w:rsidRPr="00DC4D12">
        <w:rPr>
          <w:rFonts w:asciiTheme="minorHAnsi" w:hAnsiTheme="minorHAnsi"/>
          <w:bCs/>
          <w:snapToGrid w:val="0"/>
        </w:rPr>
        <w:t>based on</w:t>
      </w:r>
      <w:r w:rsidRPr="00DC4D12">
        <w:rPr>
          <w:rFonts w:asciiTheme="minorHAnsi" w:hAnsiTheme="minorHAnsi"/>
          <w:bCs/>
          <w:snapToGrid w:val="0"/>
        </w:rPr>
        <w:t xml:space="preserve"> the Dubbo Osteoporosis Epidemiology Study</w:t>
      </w:r>
      <w:r w:rsidR="00133082" w:rsidRPr="00DC4D12">
        <w:rPr>
          <w:rFonts w:asciiTheme="minorHAnsi" w:hAnsiTheme="minorHAnsi"/>
          <w:bCs/>
          <w:snapToGrid w:val="0"/>
        </w:rPr>
        <w:t xml:space="preserve">. </w:t>
      </w:r>
      <w:r w:rsidR="00B070FC" w:rsidRPr="00DC4D12">
        <w:rPr>
          <w:rFonts w:asciiTheme="minorHAnsi" w:hAnsiTheme="minorHAnsi"/>
          <w:bCs/>
          <w:snapToGrid w:val="0"/>
        </w:rPr>
        <w:t xml:space="preserve">The results from the Dubbo Osteoporosis Epidemiology Study indicate an association between osteoporotic fracture and increased mortality but do not demonstrate causation. Additionally, the </w:t>
      </w:r>
      <w:r w:rsidR="008D6560" w:rsidRPr="00DC4D12">
        <w:rPr>
          <w:rFonts w:asciiTheme="minorHAnsi" w:hAnsiTheme="minorHAnsi"/>
          <w:bCs/>
          <w:snapToGrid w:val="0"/>
        </w:rPr>
        <w:t xml:space="preserve">ESC noted the </w:t>
      </w:r>
      <w:r w:rsidR="00B070FC" w:rsidRPr="00DC4D12">
        <w:rPr>
          <w:rFonts w:asciiTheme="minorHAnsi" w:hAnsiTheme="minorHAnsi"/>
          <w:bCs/>
          <w:snapToGrid w:val="0"/>
        </w:rPr>
        <w:t xml:space="preserve">submission assumed ongoing increased mortality which was inconsistent with the source data. </w:t>
      </w:r>
    </w:p>
    <w:p w14:paraId="0192A4F8" w14:textId="03E1F2B6" w:rsidR="0032282A" w:rsidRPr="00966B2C" w:rsidRDefault="000E49FE" w:rsidP="00DC4D12">
      <w:pPr>
        <w:widowControl w:val="0"/>
        <w:numPr>
          <w:ilvl w:val="1"/>
          <w:numId w:val="1"/>
        </w:numPr>
        <w:spacing w:after="120"/>
        <w:ind w:left="720" w:hanging="720"/>
        <w:rPr>
          <w:bCs/>
        </w:rPr>
      </w:pPr>
      <w:r w:rsidRPr="00DC4D12">
        <w:rPr>
          <w:rFonts w:asciiTheme="minorHAnsi" w:hAnsiTheme="minorHAnsi"/>
          <w:bCs/>
          <w:snapToGrid w:val="0"/>
        </w:rPr>
        <w:t xml:space="preserve">The submission used the same utility multipliers applied in the Karnon 2016 study to the fracture health states of the model. </w:t>
      </w:r>
      <w:r w:rsidR="002C6E59" w:rsidRPr="00DC4D12">
        <w:rPr>
          <w:rFonts w:asciiTheme="minorHAnsi" w:hAnsiTheme="minorHAnsi"/>
          <w:bCs/>
          <w:snapToGrid w:val="0"/>
        </w:rPr>
        <w:t xml:space="preserve">The submission noted that the utility multipliers applied in the Karnon 2016 study could not be recreated from the reported sources. However, the submission claimed the methodology appears appropriate and the utility multipliers meet face validity. The estimates used in the Karnon study may be appropriate for the conducted analysis that was based on a mixed primary/secondary prevention population that was older (mean age 72 years). However, the </w:t>
      </w:r>
      <w:r w:rsidR="008D6560" w:rsidRPr="00DC4D12">
        <w:rPr>
          <w:rFonts w:asciiTheme="minorHAnsi" w:hAnsiTheme="minorHAnsi"/>
          <w:bCs/>
          <w:snapToGrid w:val="0"/>
        </w:rPr>
        <w:t xml:space="preserve">ESC considered the </w:t>
      </w:r>
      <w:r w:rsidR="002C6E59" w:rsidRPr="00DC4D12">
        <w:rPr>
          <w:rFonts w:asciiTheme="minorHAnsi" w:hAnsiTheme="minorHAnsi"/>
          <w:bCs/>
          <w:snapToGrid w:val="0"/>
        </w:rPr>
        <w:t>estimates may not be applicable to a younger population without prior fracture, who may experience less severe consequences after fracture.</w:t>
      </w:r>
      <w:r w:rsidR="00A728A7" w:rsidRPr="00DC4D12">
        <w:rPr>
          <w:rFonts w:asciiTheme="minorHAnsi" w:hAnsiTheme="minorHAnsi"/>
          <w:bCs/>
          <w:snapToGrid w:val="0"/>
        </w:rPr>
        <w:t xml:space="preserve"> </w:t>
      </w:r>
      <w:r w:rsidR="00DA7E25" w:rsidRPr="00DC4D12">
        <w:rPr>
          <w:rFonts w:asciiTheme="minorHAnsi" w:hAnsiTheme="minorHAnsi"/>
          <w:bCs/>
          <w:snapToGrid w:val="0"/>
        </w:rPr>
        <w:t>The ESC noted that o</w:t>
      </w:r>
      <w:r w:rsidR="00A728A7" w:rsidRPr="00DC4D12">
        <w:rPr>
          <w:rFonts w:asciiTheme="minorHAnsi" w:hAnsiTheme="minorHAnsi"/>
          <w:bCs/>
          <w:snapToGrid w:val="0"/>
        </w:rPr>
        <w:t xml:space="preserve">ngoing fracture disutilities </w:t>
      </w:r>
      <w:r w:rsidR="00431C8B" w:rsidRPr="00DC4D12">
        <w:rPr>
          <w:rFonts w:asciiTheme="minorHAnsi" w:hAnsiTheme="minorHAnsi"/>
          <w:bCs/>
          <w:snapToGrid w:val="0"/>
        </w:rPr>
        <w:t xml:space="preserve">do not reflect the recovery patterns of patients </w:t>
      </w:r>
      <w:r w:rsidR="00B176CE" w:rsidRPr="00DC4D12">
        <w:rPr>
          <w:rFonts w:asciiTheme="minorHAnsi" w:hAnsiTheme="minorHAnsi"/>
          <w:bCs/>
          <w:snapToGrid w:val="0"/>
        </w:rPr>
        <w:t>observed in the</w:t>
      </w:r>
      <w:r w:rsidR="00FB3F57" w:rsidRPr="00DC4D12">
        <w:rPr>
          <w:rFonts w:asciiTheme="minorHAnsi" w:hAnsiTheme="minorHAnsi"/>
          <w:bCs/>
          <w:snapToGrid w:val="0"/>
        </w:rPr>
        <w:t xml:space="preserve"> AusICUROS study</w:t>
      </w:r>
      <w:r w:rsidR="00B87605" w:rsidRPr="00DC4D12">
        <w:rPr>
          <w:rFonts w:asciiTheme="minorHAnsi" w:hAnsiTheme="minorHAnsi"/>
          <w:bCs/>
          <w:snapToGrid w:val="0"/>
        </w:rPr>
        <w:t xml:space="preserve"> that was identified as a potential source in the submission</w:t>
      </w:r>
      <w:r w:rsidR="00B176CE" w:rsidRPr="00DC4D12">
        <w:rPr>
          <w:rFonts w:asciiTheme="minorHAnsi" w:hAnsiTheme="minorHAnsi"/>
          <w:bCs/>
          <w:snapToGrid w:val="0"/>
        </w:rPr>
        <w:t xml:space="preserve">. </w:t>
      </w:r>
    </w:p>
    <w:p w14:paraId="1CAC8472" w14:textId="0E28D044" w:rsidR="001B5394" w:rsidRPr="00966B2C" w:rsidRDefault="00BB258F" w:rsidP="00DC4D12">
      <w:pPr>
        <w:widowControl w:val="0"/>
        <w:numPr>
          <w:ilvl w:val="1"/>
          <w:numId w:val="1"/>
        </w:numPr>
        <w:spacing w:after="120"/>
        <w:ind w:left="720" w:hanging="720"/>
        <w:rPr>
          <w:bCs/>
        </w:rPr>
      </w:pPr>
      <w:bookmarkStart w:id="45" w:name="_Ref116396854"/>
      <w:r w:rsidRPr="00DC4D12">
        <w:rPr>
          <w:rFonts w:asciiTheme="minorHAnsi" w:hAnsiTheme="minorHAnsi"/>
          <w:bCs/>
          <w:snapToGrid w:val="0"/>
        </w:rPr>
        <w:t xml:space="preserve">New hip and non-hip fracture costs were weighted by </w:t>
      </w:r>
      <w:r w:rsidR="0048073B" w:rsidRPr="00DC4D12">
        <w:rPr>
          <w:rFonts w:asciiTheme="minorHAnsi" w:hAnsiTheme="minorHAnsi"/>
          <w:bCs/>
          <w:snapToGrid w:val="0"/>
        </w:rPr>
        <w:t>the incidence of fractures by gender and age bands in the general Australian population</w:t>
      </w:r>
      <w:r w:rsidR="00341102" w:rsidRPr="00DC4D12">
        <w:rPr>
          <w:rFonts w:asciiTheme="minorHAnsi" w:hAnsiTheme="minorHAnsi"/>
          <w:bCs/>
          <w:snapToGrid w:val="0"/>
        </w:rPr>
        <w:t xml:space="preserve">, with most fractures occurring in those age 70 years and older. </w:t>
      </w:r>
      <w:r w:rsidR="00AA6811" w:rsidRPr="00DC4D12">
        <w:rPr>
          <w:rFonts w:asciiTheme="minorHAnsi" w:hAnsiTheme="minorHAnsi"/>
          <w:bCs/>
          <w:snapToGrid w:val="0"/>
        </w:rPr>
        <w:t>The ESC agreed with the evaluation that t</w:t>
      </w:r>
      <w:r w:rsidR="00341102" w:rsidRPr="00DC4D12">
        <w:rPr>
          <w:rFonts w:asciiTheme="minorHAnsi" w:hAnsiTheme="minorHAnsi"/>
          <w:bCs/>
          <w:snapToGrid w:val="0"/>
        </w:rPr>
        <w:t xml:space="preserve">his approach is likely to overestimate the costs of fractures occurring in the younger population, with </w:t>
      </w:r>
      <w:r w:rsidR="00534935" w:rsidRPr="00DC4D12">
        <w:rPr>
          <w:rFonts w:asciiTheme="minorHAnsi" w:hAnsiTheme="minorHAnsi"/>
          <w:bCs/>
          <w:snapToGrid w:val="0"/>
        </w:rPr>
        <w:t xml:space="preserve">the Tatangelo 2019 study reporting lower costs for younger patients (e.g. hip fracture cost of $23,893 for women aged 50-69 years versus $39,192 for women aged 70+ years). </w:t>
      </w:r>
      <w:r w:rsidR="00AA6811" w:rsidRPr="00DC4D12">
        <w:rPr>
          <w:rFonts w:asciiTheme="minorHAnsi" w:hAnsiTheme="minorHAnsi"/>
          <w:bCs/>
          <w:snapToGrid w:val="0"/>
        </w:rPr>
        <w:t>The ESC considered a reduction in hip and non-hip fracture costs in line with the approximately 40% decrease reported in the Tatangelo 2019 study would likely be appropriate in the proposed PBS population.</w:t>
      </w:r>
      <w:bookmarkEnd w:id="45"/>
      <w:r w:rsidR="00AA6811" w:rsidRPr="00DC4D12">
        <w:rPr>
          <w:rFonts w:asciiTheme="minorHAnsi" w:hAnsiTheme="minorHAnsi"/>
          <w:bCs/>
          <w:snapToGrid w:val="0"/>
        </w:rPr>
        <w:t xml:space="preserve">  </w:t>
      </w:r>
    </w:p>
    <w:p w14:paraId="0EBD3FFB" w14:textId="698343CF" w:rsidR="005C2349" w:rsidRPr="00966B2C" w:rsidRDefault="004125A4" w:rsidP="00DC4D12">
      <w:pPr>
        <w:widowControl w:val="0"/>
        <w:numPr>
          <w:ilvl w:val="1"/>
          <w:numId w:val="1"/>
        </w:numPr>
        <w:spacing w:after="120"/>
        <w:ind w:left="720" w:hanging="720"/>
        <w:rPr>
          <w:bCs/>
        </w:rPr>
      </w:pPr>
      <w:r w:rsidRPr="00DC4D12">
        <w:rPr>
          <w:rFonts w:asciiTheme="minorHAnsi" w:hAnsiTheme="minorHAnsi"/>
          <w:bCs/>
          <w:snapToGrid w:val="0"/>
        </w:rPr>
        <w:t>Ongoing costs applied to the prior hip and non-hip fracture states were based on post-fracture nursing home costs identified from the Karnon 2016 publication. The</w:t>
      </w:r>
      <w:r w:rsidR="00F945E3" w:rsidRPr="00DC4D12">
        <w:rPr>
          <w:rFonts w:asciiTheme="minorHAnsi" w:hAnsiTheme="minorHAnsi"/>
          <w:bCs/>
          <w:snapToGrid w:val="0"/>
        </w:rPr>
        <w:t xml:space="preserve"> ESC agreed with the evaluation that the</w:t>
      </w:r>
      <w:r w:rsidRPr="00DC4D12">
        <w:rPr>
          <w:rFonts w:asciiTheme="minorHAnsi" w:hAnsiTheme="minorHAnsi"/>
          <w:bCs/>
          <w:snapToGrid w:val="0"/>
        </w:rPr>
        <w:t xml:space="preserve"> inclusion of these costs was inadequately justified as these costs were applied to the older population in the Karnon study and are unlikely to </w:t>
      </w:r>
      <w:r w:rsidR="00234984" w:rsidRPr="00DC4D12">
        <w:rPr>
          <w:rFonts w:asciiTheme="minorHAnsi" w:hAnsiTheme="minorHAnsi"/>
          <w:bCs/>
          <w:snapToGrid w:val="0"/>
        </w:rPr>
        <w:t>represent</w:t>
      </w:r>
      <w:r w:rsidRPr="00DC4D12">
        <w:rPr>
          <w:rFonts w:asciiTheme="minorHAnsi" w:hAnsiTheme="minorHAnsi"/>
          <w:bCs/>
          <w:snapToGrid w:val="0"/>
        </w:rPr>
        <w:t xml:space="preserve"> all patients experiencing a fracture. In addition, the burden of disease study (Watts 2013) identified as the source of the cost estimates did not include nursing home costs for patients aged </w:t>
      </w:r>
      <w:r w:rsidR="00B36C47" w:rsidRPr="00DC4D12">
        <w:rPr>
          <w:rFonts w:asciiTheme="minorHAnsi" w:hAnsiTheme="minorHAnsi"/>
          <w:bCs/>
          <w:snapToGrid w:val="0"/>
        </w:rPr>
        <w:t>less than 70 years</w:t>
      </w:r>
      <w:r w:rsidRPr="00DC4D12">
        <w:rPr>
          <w:rFonts w:asciiTheme="minorHAnsi" w:hAnsiTheme="minorHAnsi"/>
          <w:bCs/>
          <w:snapToGrid w:val="0"/>
        </w:rPr>
        <w:t>.</w:t>
      </w:r>
      <w:r w:rsidR="00F945E3" w:rsidRPr="00DC4D12">
        <w:rPr>
          <w:rFonts w:asciiTheme="minorHAnsi" w:hAnsiTheme="minorHAnsi"/>
          <w:bCs/>
          <w:snapToGrid w:val="0"/>
        </w:rPr>
        <w:t xml:space="preserve"> </w:t>
      </w:r>
    </w:p>
    <w:p w14:paraId="6D00B4F3" w14:textId="5B71929A" w:rsidR="00997DBB" w:rsidRPr="00966B2C" w:rsidRDefault="00997DBB" w:rsidP="00DC4D12">
      <w:pPr>
        <w:widowControl w:val="0"/>
        <w:numPr>
          <w:ilvl w:val="1"/>
          <w:numId w:val="1"/>
        </w:numPr>
        <w:spacing w:after="120"/>
        <w:ind w:left="720" w:hanging="720"/>
        <w:rPr>
          <w:bCs/>
        </w:rPr>
      </w:pPr>
      <w:r w:rsidRPr="00DC4D12">
        <w:rPr>
          <w:rFonts w:asciiTheme="minorHAnsi" w:hAnsiTheme="minorHAnsi"/>
          <w:bCs/>
          <w:snapToGrid w:val="0"/>
        </w:rPr>
        <w:t xml:space="preserve">The submission presented disaggregated costs for the economic model based on discounted costs only (5% discount rate). During the evaluation, disaggregated costs based on undiscounted costs were calculated (summarised in </w:t>
      </w:r>
      <w:r w:rsidR="005D21B6" w:rsidRPr="00DC4D12">
        <w:rPr>
          <w:rFonts w:asciiTheme="minorHAnsi" w:hAnsiTheme="minorHAnsi"/>
          <w:bCs/>
          <w:snapToGrid w:val="0"/>
        </w:rPr>
        <w:fldChar w:fldCharType="begin" w:fldLock="1"/>
      </w:r>
      <w:r w:rsidR="005D21B6" w:rsidRPr="00DC4D12">
        <w:rPr>
          <w:rFonts w:asciiTheme="minorHAnsi" w:hAnsiTheme="minorHAnsi"/>
          <w:bCs/>
          <w:snapToGrid w:val="0"/>
        </w:rPr>
        <w:instrText xml:space="preserve"> REF _Ref112667754 \h  \* MERGEFORMAT </w:instrText>
      </w:r>
      <w:r w:rsidR="005D21B6" w:rsidRPr="00DC4D12">
        <w:rPr>
          <w:rFonts w:asciiTheme="minorHAnsi" w:hAnsiTheme="minorHAnsi"/>
          <w:bCs/>
          <w:snapToGrid w:val="0"/>
        </w:rPr>
      </w:r>
      <w:r w:rsidR="005D21B6" w:rsidRPr="00DC4D12">
        <w:rPr>
          <w:rFonts w:asciiTheme="minorHAnsi" w:hAnsiTheme="minorHAnsi"/>
          <w:bCs/>
          <w:snapToGrid w:val="0"/>
        </w:rPr>
        <w:fldChar w:fldCharType="separate"/>
      </w:r>
      <w:r w:rsidR="005D21B6" w:rsidRPr="00DC4D12">
        <w:rPr>
          <w:rFonts w:asciiTheme="minorHAnsi" w:hAnsiTheme="minorHAnsi"/>
          <w:bCs/>
          <w:snapToGrid w:val="0"/>
        </w:rPr>
        <w:t>Table 9</w:t>
      </w:r>
      <w:r w:rsidR="005D21B6" w:rsidRPr="00DC4D12">
        <w:rPr>
          <w:rFonts w:asciiTheme="minorHAnsi" w:hAnsiTheme="minorHAnsi"/>
          <w:bCs/>
          <w:snapToGrid w:val="0"/>
        </w:rPr>
        <w:fldChar w:fldCharType="end"/>
      </w:r>
      <w:r w:rsidR="005D21B6" w:rsidRPr="00DC4D12">
        <w:rPr>
          <w:rFonts w:asciiTheme="minorHAnsi" w:hAnsiTheme="minorHAnsi"/>
          <w:bCs/>
          <w:snapToGrid w:val="0"/>
        </w:rPr>
        <w:t xml:space="preserve"> </w:t>
      </w:r>
      <w:r w:rsidRPr="00DC4D12">
        <w:rPr>
          <w:rFonts w:asciiTheme="minorHAnsi" w:hAnsiTheme="minorHAnsi"/>
          <w:bCs/>
          <w:snapToGrid w:val="0"/>
        </w:rPr>
        <w:t>below).</w:t>
      </w:r>
    </w:p>
    <w:p w14:paraId="3BBF51A2" w14:textId="7841A2BB" w:rsidR="00997DBB" w:rsidRPr="005D21B6" w:rsidRDefault="005D21B6" w:rsidP="005D21B6">
      <w:pPr>
        <w:pStyle w:val="COMtablefigcaption"/>
      </w:pPr>
      <w:bookmarkStart w:id="46" w:name="_Ref112667754"/>
      <w:r>
        <w:t xml:space="preserve">Table </w:t>
      </w:r>
      <w:r w:rsidR="00400174">
        <w:fldChar w:fldCharType="begin" w:fldLock="1"/>
      </w:r>
      <w:r w:rsidR="00400174">
        <w:instrText xml:space="preserve"> SEQ Table \* ARABIC </w:instrText>
      </w:r>
      <w:r w:rsidR="00400174">
        <w:fldChar w:fldCharType="separate"/>
      </w:r>
      <w:r w:rsidR="00C2719F">
        <w:rPr>
          <w:noProof/>
        </w:rPr>
        <w:t>9</w:t>
      </w:r>
      <w:r w:rsidR="00400174">
        <w:rPr>
          <w:noProof/>
        </w:rPr>
        <w:fldChar w:fldCharType="end"/>
      </w:r>
      <w:bookmarkEnd w:id="46"/>
      <w:r>
        <w:t xml:space="preserve">: </w:t>
      </w:r>
      <w:r w:rsidRPr="005D21B6">
        <w:t>Health care resource items: disaggregated summary of cost impacts in the economic evaluation</w:t>
      </w:r>
    </w:p>
    <w:tbl>
      <w:tblPr>
        <w:tblW w:w="4999"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9: Health care resource items: disaggregated summary of cost impacts in the economic evaluation"/>
      </w:tblPr>
      <w:tblGrid>
        <w:gridCol w:w="4130"/>
        <w:gridCol w:w="1628"/>
        <w:gridCol w:w="1628"/>
        <w:gridCol w:w="1629"/>
      </w:tblGrid>
      <w:tr w:rsidR="00997DBB" w:rsidRPr="002E14F6" w14:paraId="08F43FEA" w14:textId="77777777" w:rsidTr="005F1ABD">
        <w:trPr>
          <w:cantSplit/>
        </w:trPr>
        <w:tc>
          <w:tcPr>
            <w:tcW w:w="41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AB9795" w14:textId="77777777" w:rsidR="00997DBB" w:rsidRPr="002E14F6" w:rsidRDefault="00997DBB" w:rsidP="005F1ABD">
            <w:pPr>
              <w:pStyle w:val="COMTableheadingrow"/>
              <w:rPr>
                <w:lang w:val="en-AU"/>
              </w:rPr>
            </w:pPr>
            <w:r w:rsidRPr="002E14F6">
              <w:rPr>
                <w:lang w:val="en-AU"/>
              </w:rPr>
              <w:t>Resource item</w:t>
            </w:r>
          </w:p>
        </w:tc>
        <w:tc>
          <w:tcPr>
            <w:tcW w:w="162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E2FFE8" w14:textId="77777777" w:rsidR="00997DBB" w:rsidRPr="002E14F6" w:rsidRDefault="00997DBB" w:rsidP="005F1ABD">
            <w:pPr>
              <w:pStyle w:val="COMTableheadingrow"/>
              <w:jc w:val="center"/>
              <w:rPr>
                <w:lang w:val="en-AU"/>
              </w:rPr>
            </w:pPr>
            <w:r w:rsidRPr="002E14F6">
              <w:rPr>
                <w:lang w:val="en-AU"/>
              </w:rPr>
              <w:t>Risedronate EC</w:t>
            </w:r>
          </w:p>
        </w:tc>
        <w:tc>
          <w:tcPr>
            <w:tcW w:w="162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980136A" w14:textId="265934D3" w:rsidR="00997DBB" w:rsidRPr="002E14F6" w:rsidRDefault="004E5845" w:rsidP="005F1ABD">
            <w:pPr>
              <w:pStyle w:val="COMTableheadingrow"/>
              <w:jc w:val="center"/>
              <w:rPr>
                <w:lang w:val="en-AU"/>
              </w:rPr>
            </w:pPr>
            <w:r>
              <w:rPr>
                <w:lang w:val="en-AU"/>
              </w:rPr>
              <w:t>Delayed SoC</w:t>
            </w:r>
          </w:p>
        </w:tc>
        <w:tc>
          <w:tcPr>
            <w:tcW w:w="1629" w:type="dxa"/>
            <w:tcBorders>
              <w:top w:val="single" w:sz="4" w:space="0" w:color="auto"/>
              <w:left w:val="single" w:sz="4" w:space="0" w:color="auto"/>
              <w:bottom w:val="single" w:sz="4" w:space="0" w:color="auto"/>
              <w:right w:val="single" w:sz="4" w:space="0" w:color="auto"/>
            </w:tcBorders>
            <w:vAlign w:val="center"/>
          </w:tcPr>
          <w:p w14:paraId="3175A2D3" w14:textId="77777777" w:rsidR="00997DBB" w:rsidRPr="002E14F6" w:rsidRDefault="00997DBB" w:rsidP="005F1ABD">
            <w:pPr>
              <w:pStyle w:val="COMTableheadingrow"/>
              <w:jc w:val="center"/>
              <w:rPr>
                <w:lang w:val="en-AU"/>
              </w:rPr>
            </w:pPr>
            <w:r w:rsidRPr="002E14F6">
              <w:rPr>
                <w:lang w:val="en-AU"/>
              </w:rPr>
              <w:t>Incremental cost</w:t>
            </w:r>
          </w:p>
        </w:tc>
      </w:tr>
      <w:tr w:rsidR="00997DBB" w:rsidRPr="002E14F6" w14:paraId="00B40ADC" w14:textId="77777777" w:rsidTr="005F1ABD">
        <w:trPr>
          <w:cantSplit/>
        </w:trPr>
        <w:tc>
          <w:tcPr>
            <w:tcW w:w="41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D449D85" w14:textId="77777777" w:rsidR="00997DBB" w:rsidRPr="002E14F6" w:rsidRDefault="00997DBB" w:rsidP="005F1ABD">
            <w:pPr>
              <w:pStyle w:val="COMTabletext"/>
            </w:pPr>
            <w:r w:rsidRPr="002E14F6">
              <w:t>Risedronate EC drug costs in patients without fracture</w:t>
            </w:r>
          </w:p>
        </w:tc>
        <w:tc>
          <w:tcPr>
            <w:tcW w:w="162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C5BC2EB" w14:textId="77777777" w:rsidR="00997DBB" w:rsidRPr="00EC57D8" w:rsidRDefault="00997DBB" w:rsidP="005F1ABD">
            <w:pPr>
              <w:pStyle w:val="COMTabletext"/>
              <w:jc w:val="center"/>
            </w:pPr>
            <w:r w:rsidRPr="00EC57D8">
              <w:t>$</w:t>
            </w:r>
            <w:r w:rsidRPr="00EF01C4">
              <w:t>5,768</w:t>
            </w:r>
          </w:p>
        </w:tc>
        <w:tc>
          <w:tcPr>
            <w:tcW w:w="162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5195C7" w14:textId="77777777" w:rsidR="00997DBB" w:rsidRPr="00EC57D8" w:rsidRDefault="00997DBB" w:rsidP="005F1ABD">
            <w:pPr>
              <w:pStyle w:val="COMTabletext"/>
              <w:jc w:val="center"/>
            </w:pPr>
            <w:r w:rsidRPr="00EC57D8">
              <w:t>$0</w:t>
            </w:r>
          </w:p>
        </w:tc>
        <w:tc>
          <w:tcPr>
            <w:tcW w:w="1629" w:type="dxa"/>
            <w:tcBorders>
              <w:top w:val="single" w:sz="4" w:space="0" w:color="auto"/>
              <w:left w:val="single" w:sz="4" w:space="0" w:color="auto"/>
              <w:bottom w:val="single" w:sz="4" w:space="0" w:color="auto"/>
              <w:right w:val="single" w:sz="4" w:space="0" w:color="auto"/>
            </w:tcBorders>
            <w:vAlign w:val="center"/>
          </w:tcPr>
          <w:p w14:paraId="2FEBB60E" w14:textId="77777777" w:rsidR="00997DBB" w:rsidRPr="00EC57D8" w:rsidRDefault="00997DBB" w:rsidP="005F1ABD">
            <w:pPr>
              <w:pStyle w:val="COMTabletext"/>
              <w:jc w:val="center"/>
            </w:pPr>
            <w:r w:rsidRPr="00EC57D8">
              <w:t>$</w:t>
            </w:r>
            <w:r w:rsidRPr="00EF01C4">
              <w:t>5,768</w:t>
            </w:r>
          </w:p>
        </w:tc>
      </w:tr>
      <w:tr w:rsidR="00997DBB" w:rsidRPr="002E14F6" w14:paraId="2570FF36" w14:textId="77777777" w:rsidTr="005F1ABD">
        <w:trPr>
          <w:cantSplit/>
        </w:trPr>
        <w:tc>
          <w:tcPr>
            <w:tcW w:w="41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611503F" w14:textId="77777777" w:rsidR="00997DBB" w:rsidRPr="002E14F6" w:rsidRDefault="00997DBB" w:rsidP="005F1ABD">
            <w:pPr>
              <w:pStyle w:val="COMTabletext"/>
            </w:pPr>
            <w:r w:rsidRPr="002E14F6">
              <w:t>Standard of care drug and administration costs in patients without fracture</w:t>
            </w:r>
          </w:p>
        </w:tc>
        <w:tc>
          <w:tcPr>
            <w:tcW w:w="162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1404ED1" w14:textId="77777777" w:rsidR="00997DBB" w:rsidRPr="00EC57D8" w:rsidRDefault="00997DBB" w:rsidP="005F1ABD">
            <w:pPr>
              <w:pStyle w:val="COMTabletext"/>
              <w:jc w:val="center"/>
            </w:pPr>
            <w:r w:rsidRPr="00EC57D8">
              <w:t>$0</w:t>
            </w:r>
          </w:p>
        </w:tc>
        <w:tc>
          <w:tcPr>
            <w:tcW w:w="162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B1C634F" w14:textId="77777777" w:rsidR="00997DBB" w:rsidRPr="00EC57D8" w:rsidRDefault="00997DBB" w:rsidP="005F1ABD">
            <w:pPr>
              <w:pStyle w:val="COMTabletext"/>
              <w:jc w:val="center"/>
            </w:pPr>
            <w:r w:rsidRPr="00EC57D8">
              <w:t>$3,992</w:t>
            </w:r>
          </w:p>
        </w:tc>
        <w:tc>
          <w:tcPr>
            <w:tcW w:w="1629" w:type="dxa"/>
            <w:tcBorders>
              <w:top w:val="single" w:sz="4" w:space="0" w:color="auto"/>
              <w:left w:val="single" w:sz="4" w:space="0" w:color="auto"/>
              <w:bottom w:val="single" w:sz="4" w:space="0" w:color="auto"/>
              <w:right w:val="single" w:sz="4" w:space="0" w:color="auto"/>
            </w:tcBorders>
            <w:vAlign w:val="center"/>
          </w:tcPr>
          <w:p w14:paraId="5B1A9272" w14:textId="77777777" w:rsidR="00997DBB" w:rsidRPr="00EC57D8" w:rsidRDefault="00997DBB" w:rsidP="005F1ABD">
            <w:pPr>
              <w:pStyle w:val="COMTabletext"/>
              <w:jc w:val="center"/>
            </w:pPr>
            <w:r w:rsidRPr="00EC57D8">
              <w:t>-$3,992</w:t>
            </w:r>
          </w:p>
        </w:tc>
      </w:tr>
      <w:tr w:rsidR="00997DBB" w:rsidRPr="002E14F6" w14:paraId="56850ED1" w14:textId="77777777" w:rsidTr="005F1ABD">
        <w:trPr>
          <w:cantSplit/>
        </w:trPr>
        <w:tc>
          <w:tcPr>
            <w:tcW w:w="41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FB8A0A" w14:textId="77777777" w:rsidR="00997DBB" w:rsidRPr="002E14F6" w:rsidRDefault="00997DBB" w:rsidP="005F1ABD">
            <w:pPr>
              <w:pStyle w:val="COMTabletext"/>
            </w:pPr>
            <w:r w:rsidRPr="002E14F6">
              <w:t xml:space="preserve">Standard of care drug and administration costs in patients with fracture </w:t>
            </w:r>
          </w:p>
        </w:tc>
        <w:tc>
          <w:tcPr>
            <w:tcW w:w="162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EEB9028" w14:textId="77777777" w:rsidR="00997DBB" w:rsidRPr="00EC57D8" w:rsidRDefault="00997DBB" w:rsidP="005F1ABD">
            <w:pPr>
              <w:pStyle w:val="COMTabletext"/>
              <w:jc w:val="center"/>
            </w:pPr>
            <w:r w:rsidRPr="00EC57D8">
              <w:t>$822</w:t>
            </w:r>
          </w:p>
        </w:tc>
        <w:tc>
          <w:tcPr>
            <w:tcW w:w="162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E05FF02" w14:textId="77777777" w:rsidR="00997DBB" w:rsidRPr="00EC57D8" w:rsidRDefault="00997DBB" w:rsidP="005F1ABD">
            <w:pPr>
              <w:pStyle w:val="COMTabletext"/>
              <w:jc w:val="center"/>
            </w:pPr>
            <w:r w:rsidRPr="00EC57D8">
              <w:t>$1,058</w:t>
            </w:r>
          </w:p>
        </w:tc>
        <w:tc>
          <w:tcPr>
            <w:tcW w:w="1629" w:type="dxa"/>
            <w:tcBorders>
              <w:top w:val="single" w:sz="4" w:space="0" w:color="auto"/>
              <w:left w:val="single" w:sz="4" w:space="0" w:color="auto"/>
              <w:bottom w:val="single" w:sz="4" w:space="0" w:color="auto"/>
              <w:right w:val="single" w:sz="4" w:space="0" w:color="auto"/>
            </w:tcBorders>
            <w:vAlign w:val="center"/>
          </w:tcPr>
          <w:p w14:paraId="5714DD92" w14:textId="77777777" w:rsidR="00997DBB" w:rsidRPr="00EC57D8" w:rsidRDefault="00997DBB" w:rsidP="005F1ABD">
            <w:pPr>
              <w:pStyle w:val="COMTabletext"/>
              <w:jc w:val="center"/>
            </w:pPr>
            <w:r w:rsidRPr="00EC57D8">
              <w:t>-$236</w:t>
            </w:r>
          </w:p>
        </w:tc>
      </w:tr>
      <w:tr w:rsidR="00997DBB" w:rsidRPr="002E14F6" w14:paraId="3399F0A6" w14:textId="77777777" w:rsidTr="005F1ABD">
        <w:trPr>
          <w:cantSplit/>
        </w:trPr>
        <w:tc>
          <w:tcPr>
            <w:tcW w:w="41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964D87" w14:textId="77777777" w:rsidR="00997DBB" w:rsidRPr="002E14F6" w:rsidRDefault="00997DBB" w:rsidP="005F1ABD">
            <w:pPr>
              <w:pStyle w:val="COMTabletext"/>
            </w:pPr>
            <w:r w:rsidRPr="002E14F6">
              <w:t>No fracture monitoring costs</w:t>
            </w:r>
          </w:p>
        </w:tc>
        <w:tc>
          <w:tcPr>
            <w:tcW w:w="162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6291993" w14:textId="77777777" w:rsidR="00997DBB" w:rsidRPr="00EC57D8" w:rsidRDefault="00997DBB" w:rsidP="005F1ABD">
            <w:pPr>
              <w:pStyle w:val="COMTabletext"/>
              <w:jc w:val="center"/>
            </w:pPr>
            <w:r w:rsidRPr="00EC57D8">
              <w:t>$580</w:t>
            </w:r>
          </w:p>
        </w:tc>
        <w:tc>
          <w:tcPr>
            <w:tcW w:w="162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1C6D49A" w14:textId="77777777" w:rsidR="00997DBB" w:rsidRPr="00EC57D8" w:rsidRDefault="00997DBB" w:rsidP="005F1ABD">
            <w:pPr>
              <w:pStyle w:val="COMTabletext"/>
              <w:jc w:val="center"/>
            </w:pPr>
            <w:r w:rsidRPr="00EC57D8">
              <w:t>$314</w:t>
            </w:r>
          </w:p>
        </w:tc>
        <w:tc>
          <w:tcPr>
            <w:tcW w:w="1629" w:type="dxa"/>
            <w:tcBorders>
              <w:top w:val="single" w:sz="4" w:space="0" w:color="auto"/>
              <w:left w:val="single" w:sz="4" w:space="0" w:color="auto"/>
              <w:bottom w:val="single" w:sz="4" w:space="0" w:color="auto"/>
              <w:right w:val="single" w:sz="4" w:space="0" w:color="auto"/>
            </w:tcBorders>
            <w:vAlign w:val="center"/>
          </w:tcPr>
          <w:p w14:paraId="13D6D444" w14:textId="77777777" w:rsidR="00997DBB" w:rsidRPr="00EC57D8" w:rsidRDefault="00997DBB" w:rsidP="005F1ABD">
            <w:pPr>
              <w:pStyle w:val="COMTabletext"/>
              <w:jc w:val="center"/>
            </w:pPr>
            <w:r w:rsidRPr="00EC57D8">
              <w:t>$267</w:t>
            </w:r>
          </w:p>
        </w:tc>
      </w:tr>
      <w:tr w:rsidR="00997DBB" w:rsidRPr="002E14F6" w14:paraId="1BC13805" w14:textId="77777777" w:rsidTr="005F1ABD">
        <w:trPr>
          <w:cantSplit/>
        </w:trPr>
        <w:tc>
          <w:tcPr>
            <w:tcW w:w="41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B1CFC5" w14:textId="77777777" w:rsidR="00997DBB" w:rsidRPr="002E14F6" w:rsidRDefault="00997DBB" w:rsidP="005F1ABD">
            <w:pPr>
              <w:pStyle w:val="COMTabletext"/>
            </w:pPr>
            <w:r w:rsidRPr="002E14F6">
              <w:t>New hip fracture management costs</w:t>
            </w:r>
          </w:p>
        </w:tc>
        <w:tc>
          <w:tcPr>
            <w:tcW w:w="162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77C8CA3" w14:textId="77777777" w:rsidR="00997DBB" w:rsidRPr="00EC57D8" w:rsidRDefault="00997DBB" w:rsidP="005F1ABD">
            <w:pPr>
              <w:pStyle w:val="COMTabletext"/>
              <w:jc w:val="center"/>
            </w:pPr>
            <w:r w:rsidRPr="00EC57D8">
              <w:t>$2,425</w:t>
            </w:r>
          </w:p>
        </w:tc>
        <w:tc>
          <w:tcPr>
            <w:tcW w:w="162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02C1B6A" w14:textId="77777777" w:rsidR="00997DBB" w:rsidRPr="00EC57D8" w:rsidRDefault="00997DBB" w:rsidP="005F1ABD">
            <w:pPr>
              <w:pStyle w:val="COMTabletext"/>
              <w:jc w:val="center"/>
            </w:pPr>
            <w:r w:rsidRPr="00EC57D8">
              <w:t>$3,151</w:t>
            </w:r>
          </w:p>
        </w:tc>
        <w:tc>
          <w:tcPr>
            <w:tcW w:w="1629" w:type="dxa"/>
            <w:tcBorders>
              <w:top w:val="single" w:sz="4" w:space="0" w:color="auto"/>
              <w:left w:val="single" w:sz="4" w:space="0" w:color="auto"/>
              <w:bottom w:val="single" w:sz="4" w:space="0" w:color="auto"/>
              <w:right w:val="single" w:sz="4" w:space="0" w:color="auto"/>
            </w:tcBorders>
            <w:vAlign w:val="center"/>
          </w:tcPr>
          <w:p w14:paraId="07246EF4" w14:textId="77777777" w:rsidR="00997DBB" w:rsidRPr="00EC57D8" w:rsidRDefault="00997DBB" w:rsidP="005F1ABD">
            <w:pPr>
              <w:pStyle w:val="COMTabletext"/>
              <w:jc w:val="center"/>
            </w:pPr>
            <w:r w:rsidRPr="00EC57D8">
              <w:t>-$726</w:t>
            </w:r>
          </w:p>
        </w:tc>
      </w:tr>
      <w:tr w:rsidR="00997DBB" w:rsidRPr="002E14F6" w14:paraId="29217966" w14:textId="77777777" w:rsidTr="005F1ABD">
        <w:trPr>
          <w:cantSplit/>
        </w:trPr>
        <w:tc>
          <w:tcPr>
            <w:tcW w:w="41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E8EE631" w14:textId="77777777" w:rsidR="00997DBB" w:rsidRPr="002E14F6" w:rsidRDefault="00997DBB" w:rsidP="005F1ABD">
            <w:pPr>
              <w:pStyle w:val="COMTabletext"/>
            </w:pPr>
            <w:r w:rsidRPr="002E14F6">
              <w:t>Prior hip fracture management costs</w:t>
            </w:r>
          </w:p>
        </w:tc>
        <w:tc>
          <w:tcPr>
            <w:tcW w:w="162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B21BF7E" w14:textId="77777777" w:rsidR="00997DBB" w:rsidRPr="00EC57D8" w:rsidRDefault="00997DBB" w:rsidP="005F1ABD">
            <w:pPr>
              <w:pStyle w:val="COMTabletext"/>
              <w:jc w:val="center"/>
            </w:pPr>
            <w:r w:rsidRPr="00EC57D8">
              <w:t>$1,075</w:t>
            </w:r>
          </w:p>
        </w:tc>
        <w:tc>
          <w:tcPr>
            <w:tcW w:w="162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BC0882" w14:textId="77777777" w:rsidR="00997DBB" w:rsidRPr="00EC57D8" w:rsidRDefault="00997DBB" w:rsidP="005F1ABD">
            <w:pPr>
              <w:pStyle w:val="COMTabletext"/>
              <w:jc w:val="center"/>
            </w:pPr>
            <w:r w:rsidRPr="00EC57D8">
              <w:t>$1,663</w:t>
            </w:r>
          </w:p>
        </w:tc>
        <w:tc>
          <w:tcPr>
            <w:tcW w:w="1629" w:type="dxa"/>
            <w:tcBorders>
              <w:top w:val="single" w:sz="4" w:space="0" w:color="auto"/>
              <w:left w:val="single" w:sz="4" w:space="0" w:color="auto"/>
              <w:bottom w:val="single" w:sz="4" w:space="0" w:color="auto"/>
              <w:right w:val="single" w:sz="4" w:space="0" w:color="auto"/>
            </w:tcBorders>
            <w:vAlign w:val="center"/>
          </w:tcPr>
          <w:p w14:paraId="709F44DB" w14:textId="77777777" w:rsidR="00997DBB" w:rsidRPr="00EC57D8" w:rsidRDefault="00997DBB" w:rsidP="005F1ABD">
            <w:pPr>
              <w:pStyle w:val="COMTabletext"/>
              <w:jc w:val="center"/>
            </w:pPr>
            <w:r w:rsidRPr="00EC57D8">
              <w:t>-$589</w:t>
            </w:r>
          </w:p>
        </w:tc>
      </w:tr>
      <w:tr w:rsidR="00997DBB" w:rsidRPr="002E14F6" w14:paraId="60828DB5" w14:textId="77777777" w:rsidTr="005F1ABD">
        <w:trPr>
          <w:cantSplit/>
        </w:trPr>
        <w:tc>
          <w:tcPr>
            <w:tcW w:w="41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43B1101" w14:textId="77777777" w:rsidR="00997DBB" w:rsidRPr="002E14F6" w:rsidRDefault="00997DBB" w:rsidP="005F1ABD">
            <w:pPr>
              <w:pStyle w:val="COMTabletext"/>
            </w:pPr>
            <w:r w:rsidRPr="002E14F6">
              <w:t>New non-hip fracture management costs</w:t>
            </w:r>
          </w:p>
        </w:tc>
        <w:tc>
          <w:tcPr>
            <w:tcW w:w="162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90809C2" w14:textId="77777777" w:rsidR="00997DBB" w:rsidRPr="00EC57D8" w:rsidRDefault="00997DBB" w:rsidP="005F1ABD">
            <w:pPr>
              <w:pStyle w:val="COMTabletext"/>
              <w:jc w:val="center"/>
            </w:pPr>
            <w:r w:rsidRPr="00EC57D8">
              <w:t>$2,481</w:t>
            </w:r>
          </w:p>
        </w:tc>
        <w:tc>
          <w:tcPr>
            <w:tcW w:w="162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46B52BB" w14:textId="77777777" w:rsidR="00997DBB" w:rsidRPr="00EC57D8" w:rsidRDefault="00997DBB" w:rsidP="005F1ABD">
            <w:pPr>
              <w:pStyle w:val="COMTabletext"/>
              <w:jc w:val="center"/>
            </w:pPr>
            <w:r w:rsidRPr="00EC57D8">
              <w:t>$2,842</w:t>
            </w:r>
          </w:p>
        </w:tc>
        <w:tc>
          <w:tcPr>
            <w:tcW w:w="1629" w:type="dxa"/>
            <w:tcBorders>
              <w:top w:val="single" w:sz="4" w:space="0" w:color="auto"/>
              <w:left w:val="single" w:sz="4" w:space="0" w:color="auto"/>
              <w:bottom w:val="single" w:sz="4" w:space="0" w:color="auto"/>
              <w:right w:val="single" w:sz="4" w:space="0" w:color="auto"/>
            </w:tcBorders>
            <w:vAlign w:val="center"/>
          </w:tcPr>
          <w:p w14:paraId="5451C86B" w14:textId="77777777" w:rsidR="00997DBB" w:rsidRPr="00EC57D8" w:rsidRDefault="00997DBB" w:rsidP="005F1ABD">
            <w:pPr>
              <w:pStyle w:val="COMTabletext"/>
              <w:jc w:val="center"/>
            </w:pPr>
            <w:r w:rsidRPr="00EC57D8">
              <w:t>-$361</w:t>
            </w:r>
          </w:p>
        </w:tc>
      </w:tr>
      <w:tr w:rsidR="00997DBB" w:rsidRPr="002E14F6" w14:paraId="61C27BC1" w14:textId="77777777" w:rsidTr="005F1ABD">
        <w:trPr>
          <w:cantSplit/>
        </w:trPr>
        <w:tc>
          <w:tcPr>
            <w:tcW w:w="41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B83349F" w14:textId="77777777" w:rsidR="00997DBB" w:rsidRPr="002E14F6" w:rsidRDefault="00997DBB" w:rsidP="005F1ABD">
            <w:pPr>
              <w:pStyle w:val="COMTabletext"/>
            </w:pPr>
            <w:r w:rsidRPr="002E14F6">
              <w:t>Prior non-hip fracture management costs</w:t>
            </w:r>
          </w:p>
        </w:tc>
        <w:tc>
          <w:tcPr>
            <w:tcW w:w="162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3865F66" w14:textId="77777777" w:rsidR="00997DBB" w:rsidRPr="00EC57D8" w:rsidRDefault="00997DBB" w:rsidP="005F1ABD">
            <w:pPr>
              <w:pStyle w:val="COMTabletext"/>
              <w:jc w:val="center"/>
            </w:pPr>
            <w:r w:rsidRPr="00EC57D8">
              <w:t>$360</w:t>
            </w:r>
          </w:p>
        </w:tc>
        <w:tc>
          <w:tcPr>
            <w:tcW w:w="162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506A945" w14:textId="77777777" w:rsidR="00997DBB" w:rsidRPr="00EC57D8" w:rsidRDefault="00997DBB" w:rsidP="005F1ABD">
            <w:pPr>
              <w:pStyle w:val="COMTabletext"/>
              <w:jc w:val="center"/>
            </w:pPr>
            <w:r w:rsidRPr="00EC57D8">
              <w:t>$450</w:t>
            </w:r>
          </w:p>
        </w:tc>
        <w:tc>
          <w:tcPr>
            <w:tcW w:w="1629" w:type="dxa"/>
            <w:tcBorders>
              <w:top w:val="single" w:sz="4" w:space="0" w:color="auto"/>
              <w:left w:val="single" w:sz="4" w:space="0" w:color="auto"/>
              <w:bottom w:val="single" w:sz="4" w:space="0" w:color="auto"/>
              <w:right w:val="single" w:sz="4" w:space="0" w:color="auto"/>
            </w:tcBorders>
            <w:vAlign w:val="center"/>
          </w:tcPr>
          <w:p w14:paraId="3B986E0B" w14:textId="77777777" w:rsidR="00997DBB" w:rsidRPr="00EC57D8" w:rsidRDefault="00997DBB" w:rsidP="005F1ABD">
            <w:pPr>
              <w:pStyle w:val="COMTabletext"/>
              <w:jc w:val="center"/>
            </w:pPr>
            <w:r w:rsidRPr="00EC57D8">
              <w:t>-$90</w:t>
            </w:r>
          </w:p>
        </w:tc>
      </w:tr>
      <w:tr w:rsidR="00997DBB" w:rsidRPr="002E14F6" w14:paraId="71EED9BA" w14:textId="77777777" w:rsidTr="005F1ABD">
        <w:trPr>
          <w:cantSplit/>
        </w:trPr>
        <w:tc>
          <w:tcPr>
            <w:tcW w:w="41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127A32" w14:textId="7F58FBC9" w:rsidR="00997DBB" w:rsidRPr="002E14F6" w:rsidRDefault="00997DBB" w:rsidP="005F1ABD">
            <w:pPr>
              <w:pStyle w:val="COMTabletext"/>
            </w:pPr>
            <w:r w:rsidRPr="002E14F6">
              <w:t>Total</w:t>
            </w:r>
            <w:r w:rsidR="002D6766">
              <w:t xml:space="preserve"> costs</w:t>
            </w:r>
          </w:p>
        </w:tc>
        <w:tc>
          <w:tcPr>
            <w:tcW w:w="162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E6BD42" w14:textId="77777777" w:rsidR="00997DBB" w:rsidRPr="00EC57D8" w:rsidRDefault="00997DBB" w:rsidP="005F1ABD">
            <w:pPr>
              <w:pStyle w:val="COMTabletext"/>
              <w:jc w:val="center"/>
            </w:pPr>
            <w:r w:rsidRPr="00EC57D8">
              <w:t>$</w:t>
            </w:r>
            <w:r w:rsidRPr="00EF01C4">
              <w:t>13,510</w:t>
            </w:r>
          </w:p>
        </w:tc>
        <w:tc>
          <w:tcPr>
            <w:tcW w:w="162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6F778CC" w14:textId="77777777" w:rsidR="00997DBB" w:rsidRPr="00EC57D8" w:rsidRDefault="00997DBB" w:rsidP="005F1ABD">
            <w:pPr>
              <w:pStyle w:val="COMTabletext"/>
              <w:jc w:val="center"/>
            </w:pPr>
            <w:r w:rsidRPr="00EC57D8">
              <w:t>$13,469</w:t>
            </w:r>
          </w:p>
        </w:tc>
        <w:tc>
          <w:tcPr>
            <w:tcW w:w="1629" w:type="dxa"/>
            <w:tcBorders>
              <w:top w:val="single" w:sz="4" w:space="0" w:color="auto"/>
              <w:left w:val="single" w:sz="4" w:space="0" w:color="auto"/>
              <w:bottom w:val="single" w:sz="4" w:space="0" w:color="auto"/>
              <w:right w:val="single" w:sz="4" w:space="0" w:color="auto"/>
            </w:tcBorders>
            <w:vAlign w:val="center"/>
          </w:tcPr>
          <w:p w14:paraId="6EE2128F" w14:textId="77777777" w:rsidR="00997DBB" w:rsidRPr="00EC57D8" w:rsidRDefault="00997DBB" w:rsidP="005F1ABD">
            <w:pPr>
              <w:pStyle w:val="COMTabletext"/>
              <w:jc w:val="center"/>
            </w:pPr>
            <w:r w:rsidRPr="00EC57D8">
              <w:t>$</w:t>
            </w:r>
            <w:r w:rsidRPr="00EF01C4">
              <w:t>41</w:t>
            </w:r>
          </w:p>
        </w:tc>
      </w:tr>
    </w:tbl>
    <w:p w14:paraId="7323B66B" w14:textId="22518B0A" w:rsidR="00997DBB" w:rsidRDefault="00997DBB" w:rsidP="00997DBB">
      <w:pPr>
        <w:pStyle w:val="COMTablefooter"/>
      </w:pPr>
      <w:r w:rsidRPr="002E14F6">
        <w:t xml:space="preserve">Source: </w:t>
      </w:r>
      <w:r w:rsidR="00AA6811">
        <w:t xml:space="preserve">Estimates calculated during the evaluation based on </w:t>
      </w:r>
      <w:r w:rsidRPr="002E14F6">
        <w:t>‘Attachment 5 Risedronate DR_economic evaluation’ Excel workbook of the submission</w:t>
      </w:r>
    </w:p>
    <w:p w14:paraId="5499C112" w14:textId="447B3737" w:rsidR="004E5845" w:rsidRPr="002E14F6" w:rsidRDefault="004E5845" w:rsidP="00997DBB">
      <w:pPr>
        <w:pStyle w:val="COMTablefooter"/>
      </w:pPr>
      <w:r>
        <w:t>Abbreviation: SoC, standard of care</w:t>
      </w:r>
    </w:p>
    <w:p w14:paraId="701649A6" w14:textId="2149D621" w:rsidR="00997DBB" w:rsidRPr="001A75FD" w:rsidRDefault="0070667B" w:rsidP="00DC4D12">
      <w:pPr>
        <w:widowControl w:val="0"/>
        <w:numPr>
          <w:ilvl w:val="1"/>
          <w:numId w:val="1"/>
        </w:numPr>
        <w:spacing w:after="120"/>
        <w:ind w:left="720" w:hanging="720"/>
      </w:pPr>
      <w:r w:rsidRPr="00DC4D12">
        <w:rPr>
          <w:rFonts w:asciiTheme="minorHAnsi" w:hAnsiTheme="minorHAnsi"/>
          <w:bCs/>
          <w:snapToGrid w:val="0"/>
        </w:rPr>
        <w:t>The</w:t>
      </w:r>
      <w:r w:rsidRPr="001A75FD">
        <w:t xml:space="preserve"> difference in total cost between treatment arms was largely driven by risedronate drug costs, which was largely offset by standard of care drug costs in the </w:t>
      </w:r>
      <w:r w:rsidR="004E5845" w:rsidRPr="001A75FD">
        <w:t>delayed standard of care arm</w:t>
      </w:r>
      <w:r w:rsidR="00D8342A" w:rsidRPr="001A75FD">
        <w:t xml:space="preserve">, </w:t>
      </w:r>
      <w:r w:rsidRPr="001A75FD">
        <w:t>in patients who never experience a fracture but become eligible for treatment at age 70 years.</w:t>
      </w:r>
    </w:p>
    <w:p w14:paraId="5753061F" w14:textId="134D4003" w:rsidR="005B59B9" w:rsidRPr="00966B2C" w:rsidRDefault="005B59B9" w:rsidP="00DC4D12">
      <w:pPr>
        <w:widowControl w:val="0"/>
        <w:numPr>
          <w:ilvl w:val="1"/>
          <w:numId w:val="1"/>
        </w:numPr>
        <w:spacing w:after="120"/>
        <w:ind w:left="720" w:hanging="720"/>
        <w:rPr>
          <w:bCs/>
        </w:rPr>
      </w:pPr>
      <w:r w:rsidRPr="00DC4D12">
        <w:rPr>
          <w:rFonts w:asciiTheme="minorHAnsi" w:hAnsiTheme="minorHAnsi"/>
          <w:bCs/>
          <w:snapToGrid w:val="0"/>
        </w:rPr>
        <w:t xml:space="preserve">The submission presented disaggregated outcomes for the economic model based on discounted outcomes only (5% discount rate). During the evaluation, disaggregated outcomes based on discounted and undiscounted outcomes were calculated (summarised in </w:t>
      </w:r>
      <w:r w:rsidR="00F93E00" w:rsidRPr="00DC4D12">
        <w:rPr>
          <w:rFonts w:asciiTheme="minorHAnsi" w:hAnsiTheme="minorHAnsi"/>
          <w:bCs/>
          <w:snapToGrid w:val="0"/>
        </w:rPr>
        <w:fldChar w:fldCharType="begin" w:fldLock="1"/>
      </w:r>
      <w:r w:rsidR="00F93E00" w:rsidRPr="00DC4D12">
        <w:rPr>
          <w:rFonts w:asciiTheme="minorHAnsi" w:hAnsiTheme="minorHAnsi"/>
          <w:bCs/>
          <w:snapToGrid w:val="0"/>
        </w:rPr>
        <w:instrText xml:space="preserve"> REF _Ref112667814 \h  \* MERGEFORMAT </w:instrText>
      </w:r>
      <w:r w:rsidR="00F93E00" w:rsidRPr="00DC4D12">
        <w:rPr>
          <w:rFonts w:asciiTheme="minorHAnsi" w:hAnsiTheme="minorHAnsi"/>
          <w:bCs/>
          <w:snapToGrid w:val="0"/>
        </w:rPr>
      </w:r>
      <w:r w:rsidR="00F93E00" w:rsidRPr="00DC4D12">
        <w:rPr>
          <w:rFonts w:asciiTheme="minorHAnsi" w:hAnsiTheme="minorHAnsi"/>
          <w:bCs/>
          <w:snapToGrid w:val="0"/>
        </w:rPr>
        <w:fldChar w:fldCharType="separate"/>
      </w:r>
      <w:r w:rsidR="00F93E00" w:rsidRPr="00DC4D12">
        <w:rPr>
          <w:rFonts w:asciiTheme="minorHAnsi" w:hAnsiTheme="minorHAnsi"/>
          <w:bCs/>
          <w:snapToGrid w:val="0"/>
        </w:rPr>
        <w:t>Table 10</w:t>
      </w:r>
      <w:r w:rsidR="00F93E00" w:rsidRPr="00DC4D12">
        <w:rPr>
          <w:rFonts w:asciiTheme="minorHAnsi" w:hAnsiTheme="minorHAnsi"/>
          <w:bCs/>
          <w:snapToGrid w:val="0"/>
        </w:rPr>
        <w:fldChar w:fldCharType="end"/>
      </w:r>
      <w:r w:rsidR="00F93E00" w:rsidRPr="00DC4D12">
        <w:rPr>
          <w:rFonts w:asciiTheme="minorHAnsi" w:hAnsiTheme="minorHAnsi"/>
          <w:bCs/>
          <w:snapToGrid w:val="0"/>
        </w:rPr>
        <w:t xml:space="preserve"> </w:t>
      </w:r>
      <w:r w:rsidRPr="00DC4D12">
        <w:rPr>
          <w:rFonts w:asciiTheme="minorHAnsi" w:hAnsiTheme="minorHAnsi"/>
          <w:bCs/>
          <w:snapToGrid w:val="0"/>
        </w:rPr>
        <w:t>below).</w:t>
      </w:r>
    </w:p>
    <w:p w14:paraId="399E80D5" w14:textId="7040DCBE" w:rsidR="005B59B9" w:rsidRPr="00F93E00" w:rsidRDefault="005D21B6" w:rsidP="00F93E00">
      <w:pPr>
        <w:pStyle w:val="COMtablefigcaption"/>
      </w:pPr>
      <w:bookmarkStart w:id="47" w:name="_Ref112667814"/>
      <w:r>
        <w:t xml:space="preserve">Table </w:t>
      </w:r>
      <w:r w:rsidR="00400174">
        <w:fldChar w:fldCharType="begin" w:fldLock="1"/>
      </w:r>
      <w:r w:rsidR="00400174">
        <w:instrText xml:space="preserve"> SEQ Table \* ARABIC </w:instrText>
      </w:r>
      <w:r w:rsidR="00400174">
        <w:fldChar w:fldCharType="separate"/>
      </w:r>
      <w:r w:rsidR="00C2719F">
        <w:rPr>
          <w:noProof/>
        </w:rPr>
        <w:t>10</w:t>
      </w:r>
      <w:r w:rsidR="00400174">
        <w:rPr>
          <w:noProof/>
        </w:rPr>
        <w:fldChar w:fldCharType="end"/>
      </w:r>
      <w:bookmarkEnd w:id="47"/>
      <w:r>
        <w:t xml:space="preserve">: </w:t>
      </w:r>
      <w:r w:rsidR="00F93E00" w:rsidRPr="00F93E00">
        <w:t>Disaggregated summary of health outcomes included in the economic evaluation</w:t>
      </w:r>
    </w:p>
    <w:tbl>
      <w:tblPr>
        <w:tblW w:w="4999"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0: Disaggregated summary of health outcomes included in the economic evaluation"/>
      </w:tblPr>
      <w:tblGrid>
        <w:gridCol w:w="4116"/>
        <w:gridCol w:w="1637"/>
        <w:gridCol w:w="1596"/>
        <w:gridCol w:w="1666"/>
      </w:tblGrid>
      <w:tr w:rsidR="005B59B9" w:rsidRPr="002E14F6" w14:paraId="446D40FD" w14:textId="77777777" w:rsidTr="005F1ABD">
        <w:trPr>
          <w:cantSplit/>
        </w:trPr>
        <w:tc>
          <w:tcPr>
            <w:tcW w:w="41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0C14452" w14:textId="77777777" w:rsidR="005B59B9" w:rsidRPr="002E14F6" w:rsidRDefault="005B59B9" w:rsidP="005F1ABD">
            <w:pPr>
              <w:pStyle w:val="COMTableheadingrow"/>
              <w:rPr>
                <w:lang w:val="en-AU"/>
              </w:rPr>
            </w:pPr>
            <w:r w:rsidRPr="002E14F6">
              <w:rPr>
                <w:lang w:val="en-AU"/>
              </w:rPr>
              <w:t>Outcome</w:t>
            </w:r>
          </w:p>
        </w:tc>
        <w:tc>
          <w:tcPr>
            <w:tcW w:w="16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66C891" w14:textId="77777777" w:rsidR="005B59B9" w:rsidRPr="002E14F6" w:rsidRDefault="005B59B9" w:rsidP="005F1ABD">
            <w:pPr>
              <w:pStyle w:val="COMTableheadingrow"/>
              <w:jc w:val="center"/>
              <w:rPr>
                <w:lang w:val="en-AU"/>
              </w:rPr>
            </w:pPr>
            <w:r w:rsidRPr="002E14F6">
              <w:rPr>
                <w:lang w:val="en-AU"/>
              </w:rPr>
              <w:t>Risedronate EC</w:t>
            </w:r>
          </w:p>
        </w:tc>
        <w:tc>
          <w:tcPr>
            <w:tcW w:w="159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F294728" w14:textId="778C69DD" w:rsidR="005B59B9" w:rsidRPr="002E14F6" w:rsidRDefault="00D8342A" w:rsidP="005F1ABD">
            <w:pPr>
              <w:pStyle w:val="COMTableheadingrow"/>
              <w:jc w:val="center"/>
              <w:rPr>
                <w:lang w:val="en-AU"/>
              </w:rPr>
            </w:pPr>
            <w:r>
              <w:rPr>
                <w:lang w:val="en-AU"/>
              </w:rPr>
              <w:t>Delayed SoC</w:t>
            </w:r>
          </w:p>
        </w:tc>
        <w:tc>
          <w:tcPr>
            <w:tcW w:w="1666" w:type="dxa"/>
            <w:tcBorders>
              <w:top w:val="single" w:sz="4" w:space="0" w:color="auto"/>
              <w:left w:val="single" w:sz="4" w:space="0" w:color="auto"/>
              <w:bottom w:val="single" w:sz="4" w:space="0" w:color="auto"/>
              <w:right w:val="single" w:sz="4" w:space="0" w:color="auto"/>
            </w:tcBorders>
            <w:vAlign w:val="center"/>
          </w:tcPr>
          <w:p w14:paraId="2D9B9343" w14:textId="77777777" w:rsidR="005B59B9" w:rsidRPr="002E14F6" w:rsidRDefault="005B59B9" w:rsidP="005F1ABD">
            <w:pPr>
              <w:pStyle w:val="COMTableheadingrow"/>
              <w:jc w:val="center"/>
              <w:rPr>
                <w:lang w:val="en-AU"/>
              </w:rPr>
            </w:pPr>
            <w:r w:rsidRPr="002E14F6">
              <w:rPr>
                <w:lang w:val="en-AU"/>
              </w:rPr>
              <w:t>Incremental outcome</w:t>
            </w:r>
          </w:p>
        </w:tc>
      </w:tr>
      <w:tr w:rsidR="005B59B9" w:rsidRPr="002E14F6" w14:paraId="4AB0CB64" w14:textId="77777777" w:rsidTr="005F1ABD">
        <w:trPr>
          <w:cantSplit/>
        </w:trPr>
        <w:tc>
          <w:tcPr>
            <w:tcW w:w="41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E6306F9" w14:textId="77777777" w:rsidR="005B59B9" w:rsidRPr="002E14F6" w:rsidRDefault="005B59B9" w:rsidP="005F1ABD">
            <w:pPr>
              <w:pStyle w:val="COMTabletext"/>
            </w:pPr>
            <w:r w:rsidRPr="002E14F6">
              <w:t>Incident hip fractures</w:t>
            </w:r>
          </w:p>
        </w:tc>
        <w:tc>
          <w:tcPr>
            <w:tcW w:w="16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80F48DD" w14:textId="77777777" w:rsidR="005B59B9" w:rsidRPr="002E14F6" w:rsidRDefault="005B59B9" w:rsidP="005F1ABD">
            <w:pPr>
              <w:pStyle w:val="COMTabletext"/>
              <w:jc w:val="center"/>
            </w:pPr>
            <w:r w:rsidRPr="002E14F6">
              <w:t>0.061</w:t>
            </w:r>
          </w:p>
        </w:tc>
        <w:tc>
          <w:tcPr>
            <w:tcW w:w="159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D6B07EB" w14:textId="77777777" w:rsidR="005B59B9" w:rsidRPr="002E14F6" w:rsidRDefault="005B59B9" w:rsidP="005F1ABD">
            <w:pPr>
              <w:pStyle w:val="COMTabletext"/>
              <w:jc w:val="center"/>
            </w:pPr>
            <w:r w:rsidRPr="002E14F6">
              <w:t>0.078</w:t>
            </w:r>
          </w:p>
        </w:tc>
        <w:tc>
          <w:tcPr>
            <w:tcW w:w="1666" w:type="dxa"/>
            <w:tcBorders>
              <w:top w:val="single" w:sz="4" w:space="0" w:color="auto"/>
              <w:left w:val="single" w:sz="4" w:space="0" w:color="auto"/>
              <w:bottom w:val="single" w:sz="4" w:space="0" w:color="auto"/>
              <w:right w:val="single" w:sz="4" w:space="0" w:color="auto"/>
            </w:tcBorders>
            <w:vAlign w:val="center"/>
          </w:tcPr>
          <w:p w14:paraId="3E1BC712" w14:textId="77777777" w:rsidR="005B59B9" w:rsidRPr="002E14F6" w:rsidRDefault="005B59B9" w:rsidP="005F1ABD">
            <w:pPr>
              <w:pStyle w:val="COMTabletext"/>
              <w:jc w:val="center"/>
            </w:pPr>
            <w:r w:rsidRPr="002E14F6">
              <w:t>-0.018</w:t>
            </w:r>
          </w:p>
        </w:tc>
      </w:tr>
      <w:tr w:rsidR="005B59B9" w:rsidRPr="002E14F6" w14:paraId="14892EAB" w14:textId="77777777" w:rsidTr="005F1ABD">
        <w:trPr>
          <w:cantSplit/>
        </w:trPr>
        <w:tc>
          <w:tcPr>
            <w:tcW w:w="41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778A99" w14:textId="77777777" w:rsidR="005B59B9" w:rsidRPr="002E14F6" w:rsidRDefault="005B59B9" w:rsidP="005F1ABD">
            <w:pPr>
              <w:pStyle w:val="COMTabletext"/>
            </w:pPr>
            <w:r w:rsidRPr="002E14F6">
              <w:t>Incident non-hip fractures</w:t>
            </w:r>
          </w:p>
        </w:tc>
        <w:tc>
          <w:tcPr>
            <w:tcW w:w="16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0D1687" w14:textId="77777777" w:rsidR="005B59B9" w:rsidRPr="002E14F6" w:rsidRDefault="005B59B9" w:rsidP="005F1ABD">
            <w:pPr>
              <w:pStyle w:val="COMTabletext"/>
              <w:jc w:val="center"/>
            </w:pPr>
            <w:r w:rsidRPr="002E14F6">
              <w:t>0.230</w:t>
            </w:r>
          </w:p>
        </w:tc>
        <w:tc>
          <w:tcPr>
            <w:tcW w:w="159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261820" w14:textId="77777777" w:rsidR="005B59B9" w:rsidRPr="002E14F6" w:rsidRDefault="005B59B9" w:rsidP="005F1ABD">
            <w:pPr>
              <w:pStyle w:val="COMTabletext"/>
              <w:jc w:val="center"/>
            </w:pPr>
            <w:r w:rsidRPr="002E14F6">
              <w:t>0.263</w:t>
            </w:r>
          </w:p>
        </w:tc>
        <w:tc>
          <w:tcPr>
            <w:tcW w:w="1666" w:type="dxa"/>
            <w:tcBorders>
              <w:top w:val="single" w:sz="4" w:space="0" w:color="auto"/>
              <w:left w:val="single" w:sz="4" w:space="0" w:color="auto"/>
              <w:bottom w:val="single" w:sz="4" w:space="0" w:color="auto"/>
              <w:right w:val="single" w:sz="4" w:space="0" w:color="auto"/>
            </w:tcBorders>
            <w:vAlign w:val="center"/>
          </w:tcPr>
          <w:p w14:paraId="517870B8" w14:textId="77777777" w:rsidR="005B59B9" w:rsidRPr="002E14F6" w:rsidRDefault="005B59B9" w:rsidP="005F1ABD">
            <w:pPr>
              <w:pStyle w:val="COMTabletext"/>
              <w:jc w:val="center"/>
            </w:pPr>
            <w:r w:rsidRPr="002E14F6">
              <w:t>-0.032</w:t>
            </w:r>
          </w:p>
        </w:tc>
      </w:tr>
      <w:tr w:rsidR="005B59B9" w:rsidRPr="002E14F6" w14:paraId="4D732A74" w14:textId="77777777" w:rsidTr="005F1ABD">
        <w:trPr>
          <w:cantSplit/>
        </w:trPr>
        <w:tc>
          <w:tcPr>
            <w:tcW w:w="41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DD01835" w14:textId="02C26B88" w:rsidR="005B59B9" w:rsidRPr="00EC57D8" w:rsidRDefault="005B59B9" w:rsidP="005F1ABD">
            <w:pPr>
              <w:pStyle w:val="COMTabletext"/>
              <w:rPr>
                <w:vertAlign w:val="superscript"/>
              </w:rPr>
            </w:pPr>
            <w:r w:rsidRPr="002E14F6">
              <w:t>LYs excluding mortality multipliers for incident fractures (undiscounted)</w:t>
            </w:r>
            <w:r w:rsidR="00AA6811">
              <w:rPr>
                <w:vertAlign w:val="superscript"/>
              </w:rPr>
              <w:t>a</w:t>
            </w:r>
          </w:p>
        </w:tc>
        <w:tc>
          <w:tcPr>
            <w:tcW w:w="16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33D8B09" w14:textId="77777777" w:rsidR="005B59B9" w:rsidRPr="00EC57D8" w:rsidRDefault="005B59B9" w:rsidP="005F1ABD">
            <w:pPr>
              <w:pStyle w:val="COMTabletext"/>
              <w:jc w:val="center"/>
            </w:pPr>
            <w:r w:rsidRPr="00EC57D8">
              <w:t>18.269</w:t>
            </w:r>
          </w:p>
        </w:tc>
        <w:tc>
          <w:tcPr>
            <w:tcW w:w="159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B0BB3C2" w14:textId="77777777" w:rsidR="005B59B9" w:rsidRPr="00EC57D8" w:rsidRDefault="005B59B9" w:rsidP="005F1ABD">
            <w:pPr>
              <w:pStyle w:val="COMTabletext"/>
              <w:jc w:val="center"/>
            </w:pPr>
            <w:r w:rsidRPr="00EC57D8">
              <w:t>18.268</w:t>
            </w:r>
          </w:p>
        </w:tc>
        <w:tc>
          <w:tcPr>
            <w:tcW w:w="1666" w:type="dxa"/>
            <w:tcBorders>
              <w:top w:val="single" w:sz="4" w:space="0" w:color="auto"/>
              <w:left w:val="single" w:sz="4" w:space="0" w:color="auto"/>
              <w:bottom w:val="single" w:sz="4" w:space="0" w:color="auto"/>
              <w:right w:val="single" w:sz="4" w:space="0" w:color="auto"/>
            </w:tcBorders>
            <w:vAlign w:val="center"/>
          </w:tcPr>
          <w:p w14:paraId="1AFBEB00" w14:textId="77777777" w:rsidR="005B59B9" w:rsidRPr="00EC57D8" w:rsidRDefault="005B59B9" w:rsidP="005F1ABD">
            <w:pPr>
              <w:pStyle w:val="COMTabletext"/>
              <w:jc w:val="center"/>
            </w:pPr>
            <w:r w:rsidRPr="00EC57D8">
              <w:t>0</w:t>
            </w:r>
          </w:p>
        </w:tc>
      </w:tr>
      <w:tr w:rsidR="005B59B9" w:rsidRPr="002E14F6" w14:paraId="1B354A03" w14:textId="77777777" w:rsidTr="005F1ABD">
        <w:trPr>
          <w:cantSplit/>
        </w:trPr>
        <w:tc>
          <w:tcPr>
            <w:tcW w:w="41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6307A9B" w14:textId="77A402CA" w:rsidR="005B59B9" w:rsidRPr="00EC57D8" w:rsidRDefault="005B59B9" w:rsidP="005F1ABD">
            <w:pPr>
              <w:pStyle w:val="COMTabletext"/>
              <w:rPr>
                <w:vertAlign w:val="superscript"/>
              </w:rPr>
            </w:pPr>
            <w:r w:rsidRPr="002E14F6">
              <w:t>LYs including mortality multipliers for incident fractures (undiscounted)</w:t>
            </w:r>
            <w:r w:rsidR="00AA6811">
              <w:rPr>
                <w:vertAlign w:val="superscript"/>
              </w:rPr>
              <w:t>a</w:t>
            </w:r>
          </w:p>
        </w:tc>
        <w:tc>
          <w:tcPr>
            <w:tcW w:w="16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CDC7DAD" w14:textId="77777777" w:rsidR="005B59B9" w:rsidRPr="00EC57D8" w:rsidRDefault="005B59B9" w:rsidP="005F1ABD">
            <w:pPr>
              <w:pStyle w:val="COMTabletext"/>
              <w:jc w:val="center"/>
            </w:pPr>
            <w:r w:rsidRPr="00EC57D8">
              <w:t>18.156</w:t>
            </w:r>
          </w:p>
        </w:tc>
        <w:tc>
          <w:tcPr>
            <w:tcW w:w="159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1CE28DE" w14:textId="77777777" w:rsidR="005B59B9" w:rsidRPr="00EC57D8" w:rsidRDefault="005B59B9" w:rsidP="005F1ABD">
            <w:pPr>
              <w:pStyle w:val="COMTabletext"/>
              <w:jc w:val="center"/>
            </w:pPr>
            <w:r w:rsidRPr="00EC57D8">
              <w:t>18.114</w:t>
            </w:r>
          </w:p>
        </w:tc>
        <w:tc>
          <w:tcPr>
            <w:tcW w:w="1666" w:type="dxa"/>
            <w:tcBorders>
              <w:top w:val="single" w:sz="4" w:space="0" w:color="auto"/>
              <w:left w:val="single" w:sz="4" w:space="0" w:color="auto"/>
              <w:bottom w:val="single" w:sz="4" w:space="0" w:color="auto"/>
              <w:right w:val="single" w:sz="4" w:space="0" w:color="auto"/>
            </w:tcBorders>
            <w:vAlign w:val="center"/>
          </w:tcPr>
          <w:p w14:paraId="6D02B060" w14:textId="77777777" w:rsidR="005B59B9" w:rsidRPr="00EC57D8" w:rsidRDefault="005B59B9" w:rsidP="005F1ABD">
            <w:pPr>
              <w:pStyle w:val="COMTabletext"/>
              <w:jc w:val="center"/>
            </w:pPr>
            <w:r w:rsidRPr="00EC57D8">
              <w:t>0.042</w:t>
            </w:r>
          </w:p>
        </w:tc>
      </w:tr>
      <w:tr w:rsidR="005B59B9" w:rsidRPr="002E14F6" w14:paraId="17409D95" w14:textId="77777777" w:rsidTr="005F1ABD">
        <w:trPr>
          <w:cantSplit/>
        </w:trPr>
        <w:tc>
          <w:tcPr>
            <w:tcW w:w="41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66527BC" w14:textId="6A0BFD0A" w:rsidR="005B59B9" w:rsidRPr="00EC57D8" w:rsidRDefault="005B59B9" w:rsidP="005F1ABD">
            <w:pPr>
              <w:pStyle w:val="COMTabletext"/>
              <w:rPr>
                <w:vertAlign w:val="superscript"/>
              </w:rPr>
            </w:pPr>
            <w:r w:rsidRPr="002E14F6">
              <w:t>- Years in no fracture state</w:t>
            </w:r>
            <w:r w:rsidR="00AA6811">
              <w:rPr>
                <w:vertAlign w:val="superscript"/>
              </w:rPr>
              <w:t>a</w:t>
            </w:r>
          </w:p>
        </w:tc>
        <w:tc>
          <w:tcPr>
            <w:tcW w:w="16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1B23E8C" w14:textId="77777777" w:rsidR="005B59B9" w:rsidRPr="00EC57D8" w:rsidRDefault="005B59B9" w:rsidP="005F1ABD">
            <w:pPr>
              <w:pStyle w:val="COMTabletext"/>
              <w:jc w:val="center"/>
            </w:pPr>
            <w:r w:rsidRPr="00EC57D8">
              <w:t>16.336</w:t>
            </w:r>
          </w:p>
        </w:tc>
        <w:tc>
          <w:tcPr>
            <w:tcW w:w="159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E16663D" w14:textId="77777777" w:rsidR="005B59B9" w:rsidRPr="00EC57D8" w:rsidRDefault="005B59B9" w:rsidP="005F1ABD">
            <w:pPr>
              <w:pStyle w:val="COMTabletext"/>
              <w:jc w:val="center"/>
            </w:pPr>
            <w:r w:rsidRPr="00EC57D8">
              <w:t>15.773</w:t>
            </w:r>
          </w:p>
        </w:tc>
        <w:tc>
          <w:tcPr>
            <w:tcW w:w="1666" w:type="dxa"/>
            <w:tcBorders>
              <w:top w:val="single" w:sz="4" w:space="0" w:color="auto"/>
              <w:left w:val="single" w:sz="4" w:space="0" w:color="auto"/>
              <w:bottom w:val="single" w:sz="4" w:space="0" w:color="auto"/>
              <w:right w:val="single" w:sz="4" w:space="0" w:color="auto"/>
            </w:tcBorders>
          </w:tcPr>
          <w:p w14:paraId="7C5D02C8" w14:textId="77777777" w:rsidR="005B59B9" w:rsidRPr="00EC57D8" w:rsidRDefault="005B59B9" w:rsidP="005F1ABD">
            <w:pPr>
              <w:pStyle w:val="COMTabletext"/>
              <w:jc w:val="center"/>
            </w:pPr>
            <w:r w:rsidRPr="00EC57D8">
              <w:t>0.563</w:t>
            </w:r>
          </w:p>
        </w:tc>
      </w:tr>
      <w:tr w:rsidR="005B59B9" w:rsidRPr="002E14F6" w14:paraId="0A51B89F" w14:textId="77777777" w:rsidTr="005F1ABD">
        <w:trPr>
          <w:cantSplit/>
        </w:trPr>
        <w:tc>
          <w:tcPr>
            <w:tcW w:w="41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4EA1866" w14:textId="68F74A90" w:rsidR="005B59B9" w:rsidRPr="00EC57D8" w:rsidRDefault="005B59B9" w:rsidP="005F1ABD">
            <w:pPr>
              <w:pStyle w:val="COMTabletext"/>
              <w:rPr>
                <w:vertAlign w:val="superscript"/>
              </w:rPr>
            </w:pPr>
            <w:r w:rsidRPr="002E14F6">
              <w:t>- Years in new/prior hip and non-hip fracture states</w:t>
            </w:r>
            <w:r w:rsidR="00AA6811">
              <w:rPr>
                <w:vertAlign w:val="superscript"/>
              </w:rPr>
              <w:t>a</w:t>
            </w:r>
          </w:p>
        </w:tc>
        <w:tc>
          <w:tcPr>
            <w:tcW w:w="16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3B6CE88" w14:textId="77777777" w:rsidR="005B59B9" w:rsidRPr="00EC57D8" w:rsidRDefault="005B59B9" w:rsidP="005F1ABD">
            <w:pPr>
              <w:pStyle w:val="COMTabletext"/>
              <w:jc w:val="center"/>
            </w:pPr>
            <w:r w:rsidRPr="00EC57D8">
              <w:t>1.819</w:t>
            </w:r>
          </w:p>
        </w:tc>
        <w:tc>
          <w:tcPr>
            <w:tcW w:w="159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1E0A33" w14:textId="77777777" w:rsidR="005B59B9" w:rsidRPr="00EC57D8" w:rsidRDefault="005B59B9" w:rsidP="005F1ABD">
            <w:pPr>
              <w:pStyle w:val="COMTabletext"/>
              <w:jc w:val="center"/>
            </w:pPr>
            <w:r w:rsidRPr="00EC57D8">
              <w:t>2.341</w:t>
            </w:r>
          </w:p>
        </w:tc>
        <w:tc>
          <w:tcPr>
            <w:tcW w:w="1666" w:type="dxa"/>
            <w:tcBorders>
              <w:top w:val="single" w:sz="4" w:space="0" w:color="auto"/>
              <w:left w:val="single" w:sz="4" w:space="0" w:color="auto"/>
              <w:bottom w:val="single" w:sz="4" w:space="0" w:color="auto"/>
              <w:right w:val="single" w:sz="4" w:space="0" w:color="auto"/>
            </w:tcBorders>
          </w:tcPr>
          <w:p w14:paraId="367A3BB7" w14:textId="77777777" w:rsidR="005B59B9" w:rsidRPr="00EC57D8" w:rsidRDefault="005B59B9" w:rsidP="005F1ABD">
            <w:pPr>
              <w:pStyle w:val="COMTabletext"/>
              <w:jc w:val="center"/>
            </w:pPr>
            <w:r w:rsidRPr="00EC57D8">
              <w:t>-0.522</w:t>
            </w:r>
          </w:p>
        </w:tc>
      </w:tr>
      <w:tr w:rsidR="005B59B9" w:rsidRPr="002E14F6" w14:paraId="5BBEF3B1" w14:textId="77777777" w:rsidTr="005F1ABD">
        <w:trPr>
          <w:cantSplit/>
          <w:trHeight w:val="135"/>
        </w:trPr>
        <w:tc>
          <w:tcPr>
            <w:tcW w:w="41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2456C4" w14:textId="71F45FA9" w:rsidR="005B59B9" w:rsidRPr="00EC57D8" w:rsidRDefault="005B59B9" w:rsidP="005F1ABD">
            <w:pPr>
              <w:pStyle w:val="COMTabletext"/>
              <w:rPr>
                <w:vertAlign w:val="superscript"/>
              </w:rPr>
            </w:pPr>
            <w:r w:rsidRPr="002E14F6">
              <w:t>QALYs including mortality multipliers for incident fractures (undiscounted)</w:t>
            </w:r>
            <w:r w:rsidR="00AA6811">
              <w:rPr>
                <w:vertAlign w:val="superscript"/>
              </w:rPr>
              <w:t>a</w:t>
            </w:r>
          </w:p>
        </w:tc>
        <w:tc>
          <w:tcPr>
            <w:tcW w:w="16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921A773" w14:textId="77777777" w:rsidR="005B59B9" w:rsidRPr="00EC57D8" w:rsidRDefault="005B59B9" w:rsidP="005F1ABD">
            <w:pPr>
              <w:pStyle w:val="COMTabletext"/>
              <w:jc w:val="center"/>
            </w:pPr>
            <w:r w:rsidRPr="00EC57D8">
              <w:t>14.565</w:t>
            </w:r>
          </w:p>
        </w:tc>
        <w:tc>
          <w:tcPr>
            <w:tcW w:w="159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219F33" w14:textId="77777777" w:rsidR="005B59B9" w:rsidRPr="00EC57D8" w:rsidRDefault="005B59B9" w:rsidP="005F1ABD">
            <w:pPr>
              <w:pStyle w:val="COMTabletext"/>
              <w:jc w:val="center"/>
            </w:pPr>
            <w:r w:rsidRPr="00EC57D8">
              <w:t>14.487</w:t>
            </w:r>
          </w:p>
        </w:tc>
        <w:tc>
          <w:tcPr>
            <w:tcW w:w="1666" w:type="dxa"/>
            <w:tcBorders>
              <w:top w:val="single" w:sz="4" w:space="0" w:color="auto"/>
              <w:left w:val="single" w:sz="4" w:space="0" w:color="auto"/>
              <w:bottom w:val="single" w:sz="4" w:space="0" w:color="auto"/>
              <w:right w:val="single" w:sz="4" w:space="0" w:color="auto"/>
            </w:tcBorders>
            <w:vAlign w:val="center"/>
          </w:tcPr>
          <w:p w14:paraId="13E538C1" w14:textId="77777777" w:rsidR="005B59B9" w:rsidRPr="00EC57D8" w:rsidRDefault="005B59B9" w:rsidP="005F1ABD">
            <w:pPr>
              <w:pStyle w:val="COMTabletext"/>
              <w:jc w:val="center"/>
            </w:pPr>
            <w:r w:rsidRPr="00EC57D8">
              <w:t>0.078</w:t>
            </w:r>
          </w:p>
        </w:tc>
      </w:tr>
      <w:tr w:rsidR="005B59B9" w:rsidRPr="002E14F6" w14:paraId="75D678A9" w14:textId="77777777" w:rsidTr="005F1ABD">
        <w:trPr>
          <w:cantSplit/>
          <w:trHeight w:val="135"/>
        </w:trPr>
        <w:tc>
          <w:tcPr>
            <w:tcW w:w="41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797B441" w14:textId="4706BF12" w:rsidR="005B59B9" w:rsidRPr="00EC57D8" w:rsidRDefault="005B59B9" w:rsidP="005F1ABD">
            <w:pPr>
              <w:pStyle w:val="COMTabletext"/>
              <w:rPr>
                <w:vertAlign w:val="superscript"/>
              </w:rPr>
            </w:pPr>
            <w:r w:rsidRPr="002E14F6">
              <w:t>- QALYs in no fracture state</w:t>
            </w:r>
            <w:r w:rsidR="00AA6811">
              <w:rPr>
                <w:vertAlign w:val="superscript"/>
              </w:rPr>
              <w:t>a</w:t>
            </w:r>
          </w:p>
        </w:tc>
        <w:tc>
          <w:tcPr>
            <w:tcW w:w="16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1EAEB1F" w14:textId="77777777" w:rsidR="005B59B9" w:rsidRPr="00EC57D8" w:rsidRDefault="005B59B9" w:rsidP="005F1ABD">
            <w:pPr>
              <w:pStyle w:val="COMTabletext"/>
              <w:jc w:val="center"/>
            </w:pPr>
            <w:r w:rsidRPr="00EC57D8">
              <w:t>13.231</w:t>
            </w:r>
          </w:p>
        </w:tc>
        <w:tc>
          <w:tcPr>
            <w:tcW w:w="159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C4ABF01" w14:textId="77777777" w:rsidR="005B59B9" w:rsidRPr="00EC57D8" w:rsidRDefault="005B59B9" w:rsidP="005F1ABD">
            <w:pPr>
              <w:pStyle w:val="COMTabletext"/>
              <w:jc w:val="center"/>
            </w:pPr>
            <w:r w:rsidRPr="00EC57D8">
              <w:t>12.777</w:t>
            </w:r>
          </w:p>
        </w:tc>
        <w:tc>
          <w:tcPr>
            <w:tcW w:w="1666" w:type="dxa"/>
            <w:tcBorders>
              <w:top w:val="single" w:sz="4" w:space="0" w:color="auto"/>
              <w:left w:val="single" w:sz="4" w:space="0" w:color="auto"/>
              <w:bottom w:val="single" w:sz="4" w:space="0" w:color="auto"/>
              <w:right w:val="single" w:sz="4" w:space="0" w:color="auto"/>
            </w:tcBorders>
            <w:vAlign w:val="center"/>
          </w:tcPr>
          <w:p w14:paraId="6A8E72C9" w14:textId="77777777" w:rsidR="005B59B9" w:rsidRPr="00EC57D8" w:rsidRDefault="005B59B9" w:rsidP="005F1ABD">
            <w:pPr>
              <w:pStyle w:val="COMTabletext"/>
              <w:jc w:val="center"/>
            </w:pPr>
            <w:r w:rsidRPr="00EC57D8">
              <w:t>0.455</w:t>
            </w:r>
          </w:p>
        </w:tc>
      </w:tr>
      <w:tr w:rsidR="005B59B9" w:rsidRPr="002E14F6" w14:paraId="428168A7" w14:textId="77777777" w:rsidTr="005F1ABD">
        <w:trPr>
          <w:cantSplit/>
          <w:trHeight w:val="135"/>
        </w:trPr>
        <w:tc>
          <w:tcPr>
            <w:tcW w:w="41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FDFDDF6" w14:textId="68DCE5EF" w:rsidR="005B59B9" w:rsidRPr="00EC57D8" w:rsidRDefault="005B59B9" w:rsidP="005F1ABD">
            <w:pPr>
              <w:pStyle w:val="COMTabletext"/>
              <w:rPr>
                <w:vertAlign w:val="superscript"/>
              </w:rPr>
            </w:pPr>
            <w:r w:rsidRPr="002E14F6">
              <w:t>- QALYs in new/prior hip and non-hip fracture states</w:t>
            </w:r>
            <w:r w:rsidR="00AA6811">
              <w:rPr>
                <w:vertAlign w:val="superscript"/>
              </w:rPr>
              <w:t>a</w:t>
            </w:r>
          </w:p>
        </w:tc>
        <w:tc>
          <w:tcPr>
            <w:tcW w:w="16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A52F5DF" w14:textId="77777777" w:rsidR="005B59B9" w:rsidRPr="00EC57D8" w:rsidRDefault="005B59B9" w:rsidP="005F1ABD">
            <w:pPr>
              <w:pStyle w:val="COMTabletext"/>
              <w:jc w:val="center"/>
            </w:pPr>
            <w:r w:rsidRPr="00EC57D8">
              <w:t>1.333</w:t>
            </w:r>
          </w:p>
        </w:tc>
        <w:tc>
          <w:tcPr>
            <w:tcW w:w="159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BAF14C6" w14:textId="77777777" w:rsidR="005B59B9" w:rsidRPr="00EC57D8" w:rsidRDefault="005B59B9" w:rsidP="005F1ABD">
            <w:pPr>
              <w:pStyle w:val="COMTabletext"/>
              <w:jc w:val="center"/>
            </w:pPr>
            <w:r w:rsidRPr="00EC57D8">
              <w:t>1.711</w:t>
            </w:r>
          </w:p>
        </w:tc>
        <w:tc>
          <w:tcPr>
            <w:tcW w:w="1666" w:type="dxa"/>
            <w:tcBorders>
              <w:top w:val="single" w:sz="4" w:space="0" w:color="auto"/>
              <w:left w:val="single" w:sz="4" w:space="0" w:color="auto"/>
              <w:bottom w:val="single" w:sz="4" w:space="0" w:color="auto"/>
              <w:right w:val="single" w:sz="4" w:space="0" w:color="auto"/>
            </w:tcBorders>
            <w:vAlign w:val="center"/>
          </w:tcPr>
          <w:p w14:paraId="76BCC293" w14:textId="77777777" w:rsidR="005B59B9" w:rsidRPr="00EC57D8" w:rsidRDefault="005B59B9" w:rsidP="005F1ABD">
            <w:pPr>
              <w:pStyle w:val="COMTabletext"/>
              <w:jc w:val="center"/>
            </w:pPr>
            <w:r w:rsidRPr="00EC57D8">
              <w:t>-0.378</w:t>
            </w:r>
          </w:p>
        </w:tc>
      </w:tr>
      <w:tr w:rsidR="005B59B9" w:rsidRPr="002E14F6" w14:paraId="3995201F" w14:textId="77777777" w:rsidTr="005F1ABD">
        <w:trPr>
          <w:cantSplit/>
          <w:trHeight w:val="135"/>
        </w:trPr>
        <w:tc>
          <w:tcPr>
            <w:tcW w:w="41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998B431" w14:textId="7D6DFE34" w:rsidR="005B59B9" w:rsidRPr="00EC57D8" w:rsidRDefault="005B59B9" w:rsidP="005F1ABD">
            <w:pPr>
              <w:pStyle w:val="COMTabletext"/>
              <w:rPr>
                <w:vertAlign w:val="superscript"/>
              </w:rPr>
            </w:pPr>
            <w:r w:rsidRPr="002E14F6">
              <w:t>Total QALYs (discounted)</w:t>
            </w:r>
            <w:r w:rsidR="00AA6811">
              <w:rPr>
                <w:vertAlign w:val="superscript"/>
              </w:rPr>
              <w:t>a</w:t>
            </w:r>
          </w:p>
        </w:tc>
        <w:tc>
          <w:tcPr>
            <w:tcW w:w="16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245C0B9" w14:textId="77777777" w:rsidR="005B59B9" w:rsidRPr="0091151B" w:rsidRDefault="005B59B9" w:rsidP="005F1ABD">
            <w:pPr>
              <w:pStyle w:val="COMTabletext"/>
              <w:jc w:val="center"/>
            </w:pPr>
            <w:r w:rsidRPr="00AC7C58">
              <w:t>9.547</w:t>
            </w:r>
          </w:p>
        </w:tc>
        <w:tc>
          <w:tcPr>
            <w:tcW w:w="159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8FF5C09" w14:textId="77777777" w:rsidR="005B59B9" w:rsidRPr="0091151B" w:rsidRDefault="005B59B9" w:rsidP="005F1ABD">
            <w:pPr>
              <w:pStyle w:val="COMTabletext"/>
              <w:jc w:val="center"/>
            </w:pPr>
            <w:r w:rsidRPr="0091151B">
              <w:t>9.503</w:t>
            </w:r>
          </w:p>
        </w:tc>
        <w:tc>
          <w:tcPr>
            <w:tcW w:w="1666" w:type="dxa"/>
            <w:tcBorders>
              <w:top w:val="single" w:sz="4" w:space="0" w:color="auto"/>
              <w:left w:val="single" w:sz="4" w:space="0" w:color="auto"/>
              <w:bottom w:val="single" w:sz="4" w:space="0" w:color="auto"/>
              <w:right w:val="single" w:sz="4" w:space="0" w:color="auto"/>
            </w:tcBorders>
            <w:vAlign w:val="center"/>
          </w:tcPr>
          <w:p w14:paraId="777AB596" w14:textId="77777777" w:rsidR="005B59B9" w:rsidRPr="0091151B" w:rsidRDefault="005B59B9" w:rsidP="005F1ABD">
            <w:pPr>
              <w:pStyle w:val="COMTabletext"/>
              <w:jc w:val="center"/>
            </w:pPr>
            <w:r w:rsidRPr="0091151B">
              <w:t>0.044</w:t>
            </w:r>
          </w:p>
        </w:tc>
      </w:tr>
    </w:tbl>
    <w:p w14:paraId="28FE1D01" w14:textId="60C62BF5" w:rsidR="005B59B9" w:rsidRDefault="005B59B9" w:rsidP="005B59B9">
      <w:pPr>
        <w:pStyle w:val="COMTablefooter"/>
      </w:pPr>
      <w:r w:rsidRPr="002E14F6">
        <w:t>Source: Table 86, p162 and the ‘Attachment 5 Risedronate DR_economic evaluation’ Excel workbook of the submission</w:t>
      </w:r>
    </w:p>
    <w:p w14:paraId="2D914CC4" w14:textId="77FC836A" w:rsidR="00D8342A" w:rsidRPr="002E14F6" w:rsidRDefault="00D8342A" w:rsidP="005B59B9">
      <w:pPr>
        <w:pStyle w:val="COMTablefooter"/>
      </w:pPr>
      <w:r>
        <w:t xml:space="preserve">Abbreviation: </w:t>
      </w:r>
      <w:r w:rsidR="006802A1">
        <w:t xml:space="preserve">LYs, life years; QALYs, quality adjusted life years; </w:t>
      </w:r>
      <w:r>
        <w:t>SoC, standard of care</w:t>
      </w:r>
    </w:p>
    <w:p w14:paraId="37AB7DBD" w14:textId="0E03C47B" w:rsidR="005B59B9" w:rsidRPr="002E14F6" w:rsidRDefault="00FE1857" w:rsidP="005B59B9">
      <w:pPr>
        <w:pStyle w:val="COMTablefooter"/>
        <w:rPr>
          <w:i/>
          <w:iCs/>
        </w:rPr>
      </w:pPr>
      <w:r w:rsidRPr="00997729">
        <w:rPr>
          <w:vertAlign w:val="superscript"/>
        </w:rPr>
        <w:t>a</w:t>
      </w:r>
      <w:r w:rsidR="00AA6811" w:rsidRPr="00EC57D8">
        <w:rPr>
          <w:i/>
          <w:iCs/>
        </w:rPr>
        <w:t xml:space="preserve"> </w:t>
      </w:r>
      <w:r w:rsidRPr="00EC57D8">
        <w:t>E</w:t>
      </w:r>
      <w:r w:rsidR="005B59B9" w:rsidRPr="00EC57D8">
        <w:t>stimates calculated during the evaluation</w:t>
      </w:r>
    </w:p>
    <w:p w14:paraId="0F55E283" w14:textId="747ADBAB" w:rsidR="005B59B9" w:rsidRPr="00966B2C" w:rsidRDefault="005B59B9" w:rsidP="00DC4D12">
      <w:pPr>
        <w:widowControl w:val="0"/>
        <w:numPr>
          <w:ilvl w:val="1"/>
          <w:numId w:val="1"/>
        </w:numPr>
        <w:spacing w:after="120"/>
        <w:ind w:left="720" w:hanging="720"/>
        <w:rPr>
          <w:bCs/>
        </w:rPr>
      </w:pPr>
      <w:r w:rsidRPr="00DC4D12">
        <w:rPr>
          <w:rFonts w:asciiTheme="minorHAnsi" w:hAnsiTheme="minorHAnsi"/>
          <w:bCs/>
          <w:snapToGrid w:val="0"/>
        </w:rPr>
        <w:t xml:space="preserve">The difference in health outcomes between the risedronate EC and </w:t>
      </w:r>
      <w:r w:rsidR="001C2D68" w:rsidRPr="00DC4D12">
        <w:rPr>
          <w:rFonts w:asciiTheme="minorHAnsi" w:hAnsiTheme="minorHAnsi"/>
          <w:bCs/>
          <w:snapToGrid w:val="0"/>
        </w:rPr>
        <w:t>delayed standard of care</w:t>
      </w:r>
      <w:r w:rsidRPr="00DC4D12">
        <w:rPr>
          <w:rFonts w:asciiTheme="minorHAnsi" w:hAnsiTheme="minorHAnsi"/>
          <w:bCs/>
          <w:snapToGrid w:val="0"/>
        </w:rPr>
        <w:t xml:space="preserve"> arms was driven by</w:t>
      </w:r>
      <w:r w:rsidR="001C2D68" w:rsidRPr="00DC4D12">
        <w:rPr>
          <w:rFonts w:asciiTheme="minorHAnsi" w:hAnsiTheme="minorHAnsi"/>
          <w:bCs/>
          <w:snapToGrid w:val="0"/>
        </w:rPr>
        <w:t xml:space="preserve"> additional</w:t>
      </w:r>
      <w:r w:rsidRPr="00DC4D12">
        <w:rPr>
          <w:rFonts w:asciiTheme="minorHAnsi" w:hAnsiTheme="minorHAnsi"/>
          <w:bCs/>
          <w:snapToGrid w:val="0"/>
        </w:rPr>
        <w:t xml:space="preserve"> time spent in the no fracture health state</w:t>
      </w:r>
      <w:r w:rsidR="001C2D68" w:rsidRPr="00DC4D12">
        <w:rPr>
          <w:rFonts w:asciiTheme="minorHAnsi" w:hAnsiTheme="minorHAnsi"/>
          <w:bCs/>
          <w:snapToGrid w:val="0"/>
        </w:rPr>
        <w:t xml:space="preserve"> in the risedronate EC arm</w:t>
      </w:r>
      <w:r w:rsidRPr="00DC4D12">
        <w:rPr>
          <w:rFonts w:asciiTheme="minorHAnsi" w:hAnsiTheme="minorHAnsi"/>
          <w:bCs/>
          <w:snapToGrid w:val="0"/>
        </w:rPr>
        <w:t xml:space="preserve">, due to reduced incidence of hip and non-hip fractures (with associated quality of life and survival gains).  </w:t>
      </w:r>
    </w:p>
    <w:p w14:paraId="3F0511A3" w14:textId="138288DC" w:rsidR="0021383C" w:rsidRPr="00966B2C" w:rsidRDefault="0021383C" w:rsidP="00DC4D12">
      <w:pPr>
        <w:widowControl w:val="0"/>
        <w:numPr>
          <w:ilvl w:val="1"/>
          <w:numId w:val="1"/>
        </w:numPr>
        <w:spacing w:after="120"/>
        <w:ind w:left="720" w:hanging="720"/>
        <w:rPr>
          <w:bCs/>
        </w:rPr>
      </w:pPr>
      <w:r w:rsidRPr="00DC4D12">
        <w:rPr>
          <w:rFonts w:asciiTheme="minorHAnsi" w:hAnsiTheme="minorHAnsi"/>
          <w:bCs/>
          <w:snapToGrid w:val="0"/>
        </w:rPr>
        <w:t xml:space="preserve">A summary of base case results is presented in </w:t>
      </w:r>
      <w:r w:rsidR="00F93E00" w:rsidRPr="00DC4D12">
        <w:rPr>
          <w:rFonts w:asciiTheme="minorHAnsi" w:hAnsiTheme="minorHAnsi"/>
          <w:bCs/>
          <w:snapToGrid w:val="0"/>
        </w:rPr>
        <w:fldChar w:fldCharType="begin" w:fldLock="1"/>
      </w:r>
      <w:r w:rsidR="00F93E00" w:rsidRPr="00DC4D12">
        <w:rPr>
          <w:rFonts w:asciiTheme="minorHAnsi" w:hAnsiTheme="minorHAnsi"/>
          <w:bCs/>
          <w:snapToGrid w:val="0"/>
        </w:rPr>
        <w:instrText xml:space="preserve"> REF _Ref112667867 \h </w:instrText>
      </w:r>
      <w:r w:rsidR="001A75FD" w:rsidRPr="00DC4D12">
        <w:rPr>
          <w:rFonts w:asciiTheme="minorHAnsi" w:hAnsiTheme="minorHAnsi"/>
          <w:bCs/>
          <w:snapToGrid w:val="0"/>
        </w:rPr>
        <w:instrText xml:space="preserve"> \* MERGEFORMAT </w:instrText>
      </w:r>
      <w:r w:rsidR="00F93E00" w:rsidRPr="00DC4D12">
        <w:rPr>
          <w:rFonts w:asciiTheme="minorHAnsi" w:hAnsiTheme="minorHAnsi"/>
          <w:bCs/>
          <w:snapToGrid w:val="0"/>
        </w:rPr>
      </w:r>
      <w:r w:rsidR="00F93E00" w:rsidRPr="00DC4D12">
        <w:rPr>
          <w:rFonts w:asciiTheme="minorHAnsi" w:hAnsiTheme="minorHAnsi"/>
          <w:bCs/>
          <w:snapToGrid w:val="0"/>
        </w:rPr>
        <w:fldChar w:fldCharType="separate"/>
      </w:r>
      <w:r w:rsidR="00F93E00" w:rsidRPr="00DC4D12">
        <w:rPr>
          <w:rFonts w:asciiTheme="minorHAnsi" w:hAnsiTheme="minorHAnsi"/>
          <w:bCs/>
          <w:snapToGrid w:val="0"/>
        </w:rPr>
        <w:t>Table 11</w:t>
      </w:r>
      <w:r w:rsidR="00F93E00" w:rsidRPr="00DC4D12">
        <w:rPr>
          <w:rFonts w:asciiTheme="minorHAnsi" w:hAnsiTheme="minorHAnsi"/>
          <w:bCs/>
          <w:snapToGrid w:val="0"/>
        </w:rPr>
        <w:fldChar w:fldCharType="end"/>
      </w:r>
      <w:r w:rsidRPr="00DC4D12">
        <w:rPr>
          <w:rFonts w:asciiTheme="minorHAnsi" w:hAnsiTheme="minorHAnsi"/>
          <w:bCs/>
          <w:snapToGrid w:val="0"/>
        </w:rPr>
        <w:t xml:space="preserve"> below.</w:t>
      </w:r>
    </w:p>
    <w:p w14:paraId="2C1B62F3" w14:textId="10B8A546" w:rsidR="001F4081" w:rsidRPr="002E14F6" w:rsidRDefault="00F93E00" w:rsidP="00F93E00">
      <w:pPr>
        <w:pStyle w:val="COMtablefigcaption"/>
      </w:pPr>
      <w:bookmarkStart w:id="48" w:name="_Ref112667867"/>
      <w:bookmarkStart w:id="49" w:name="_Ref104805181"/>
      <w:r>
        <w:t xml:space="preserve">Table </w:t>
      </w:r>
      <w:r w:rsidR="00400174">
        <w:fldChar w:fldCharType="begin" w:fldLock="1"/>
      </w:r>
      <w:r w:rsidR="00400174">
        <w:instrText xml:space="preserve"> SEQ Table \* ARABIC </w:instrText>
      </w:r>
      <w:r w:rsidR="00400174">
        <w:fldChar w:fldCharType="separate"/>
      </w:r>
      <w:r w:rsidR="00C2719F">
        <w:rPr>
          <w:noProof/>
        </w:rPr>
        <w:t>11</w:t>
      </w:r>
      <w:r w:rsidR="00400174">
        <w:rPr>
          <w:noProof/>
        </w:rPr>
        <w:fldChar w:fldCharType="end"/>
      </w:r>
      <w:bookmarkEnd w:id="48"/>
      <w:r>
        <w:t xml:space="preserve">: </w:t>
      </w:r>
      <w:r w:rsidRPr="00F93E00">
        <w:t>Results of the economic evaluation</w:t>
      </w:r>
      <w:bookmarkEnd w:id="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Caption w:val="Table 11: Results of the economic evaluation"/>
      </w:tblPr>
      <w:tblGrid>
        <w:gridCol w:w="1699"/>
        <w:gridCol w:w="2440"/>
        <w:gridCol w:w="2521"/>
        <w:gridCol w:w="2357"/>
      </w:tblGrid>
      <w:tr w:rsidR="001F4081" w:rsidRPr="002E14F6" w14:paraId="68913410" w14:textId="77777777" w:rsidTr="006B35E6">
        <w:trPr>
          <w:cantSplit/>
          <w:tblHeader/>
        </w:trPr>
        <w:tc>
          <w:tcPr>
            <w:tcW w:w="942" w:type="pct"/>
            <w:shd w:val="clear" w:color="auto" w:fill="FFFFFF"/>
          </w:tcPr>
          <w:p w14:paraId="135635B3" w14:textId="77777777" w:rsidR="001F4081" w:rsidRPr="002E14F6" w:rsidRDefault="001F4081" w:rsidP="00BB732D">
            <w:pPr>
              <w:pStyle w:val="COMTableheadingrow"/>
              <w:jc w:val="center"/>
              <w:rPr>
                <w:lang w:val="en-AU"/>
              </w:rPr>
            </w:pPr>
          </w:p>
        </w:tc>
        <w:tc>
          <w:tcPr>
            <w:tcW w:w="1353" w:type="pct"/>
            <w:shd w:val="clear" w:color="auto" w:fill="FFFFFF"/>
          </w:tcPr>
          <w:p w14:paraId="386C4C4A" w14:textId="74B5749F" w:rsidR="001F4081" w:rsidRPr="002E14F6" w:rsidRDefault="00E306AF" w:rsidP="00BB732D">
            <w:pPr>
              <w:pStyle w:val="COMTableheadingrow"/>
              <w:jc w:val="center"/>
              <w:rPr>
                <w:lang w:val="en-AU"/>
              </w:rPr>
            </w:pPr>
            <w:r w:rsidRPr="002E14F6">
              <w:rPr>
                <w:lang w:val="en-AU"/>
              </w:rPr>
              <w:t>Risedronate EC</w:t>
            </w:r>
          </w:p>
        </w:tc>
        <w:tc>
          <w:tcPr>
            <w:tcW w:w="1398" w:type="pct"/>
            <w:shd w:val="clear" w:color="auto" w:fill="FFFFFF"/>
          </w:tcPr>
          <w:p w14:paraId="2DB78ED2" w14:textId="4C438AEC" w:rsidR="001F4081" w:rsidRPr="002E14F6" w:rsidRDefault="00522D99" w:rsidP="00BB732D">
            <w:pPr>
              <w:pStyle w:val="COMTableheadingrow"/>
              <w:jc w:val="center"/>
              <w:rPr>
                <w:lang w:val="en-AU"/>
              </w:rPr>
            </w:pPr>
            <w:r>
              <w:rPr>
                <w:lang w:val="en-AU"/>
              </w:rPr>
              <w:t>Delayed SoC</w:t>
            </w:r>
          </w:p>
        </w:tc>
        <w:tc>
          <w:tcPr>
            <w:tcW w:w="1307" w:type="pct"/>
            <w:shd w:val="clear" w:color="auto" w:fill="FFFFFF"/>
            <w:vAlign w:val="center"/>
          </w:tcPr>
          <w:p w14:paraId="75EEE341" w14:textId="77777777" w:rsidR="001F4081" w:rsidRPr="002E14F6" w:rsidRDefault="001F4081" w:rsidP="00BB732D">
            <w:pPr>
              <w:pStyle w:val="COMTableheadingrow"/>
              <w:jc w:val="center"/>
              <w:rPr>
                <w:lang w:val="en-AU"/>
              </w:rPr>
            </w:pPr>
            <w:r w:rsidRPr="002E14F6">
              <w:rPr>
                <w:lang w:val="en-AU"/>
              </w:rPr>
              <w:t>Increment</w:t>
            </w:r>
          </w:p>
        </w:tc>
      </w:tr>
      <w:tr w:rsidR="00E306AF" w:rsidRPr="002E14F6" w14:paraId="784390F2" w14:textId="77777777" w:rsidTr="006B35E6">
        <w:trPr>
          <w:cantSplit/>
        </w:trPr>
        <w:tc>
          <w:tcPr>
            <w:tcW w:w="942" w:type="pct"/>
            <w:shd w:val="clear" w:color="auto" w:fill="auto"/>
          </w:tcPr>
          <w:p w14:paraId="258748F8" w14:textId="0E2D0657" w:rsidR="00E306AF" w:rsidRPr="00EF01C4" w:rsidRDefault="00E306AF" w:rsidP="00E306AF">
            <w:pPr>
              <w:pStyle w:val="COMTabletext"/>
            </w:pPr>
            <w:r w:rsidRPr="002E14F6">
              <w:t>Costs</w:t>
            </w:r>
          </w:p>
        </w:tc>
        <w:tc>
          <w:tcPr>
            <w:tcW w:w="1353" w:type="pct"/>
            <w:shd w:val="clear" w:color="auto" w:fill="auto"/>
          </w:tcPr>
          <w:p w14:paraId="52070EEF" w14:textId="1769F55C" w:rsidR="00E306AF" w:rsidRPr="002E14F6" w:rsidRDefault="00E306AF" w:rsidP="00E306AF">
            <w:pPr>
              <w:pStyle w:val="COMTabletext"/>
              <w:jc w:val="center"/>
            </w:pPr>
            <w:r w:rsidRPr="002E14F6">
              <w:t>$</w:t>
            </w:r>
            <w:r w:rsidRPr="00EF01C4">
              <w:t>8,263</w:t>
            </w:r>
          </w:p>
        </w:tc>
        <w:tc>
          <w:tcPr>
            <w:tcW w:w="1398" w:type="pct"/>
            <w:shd w:val="clear" w:color="auto" w:fill="auto"/>
          </w:tcPr>
          <w:p w14:paraId="73D4D38B" w14:textId="56F68A09" w:rsidR="00E306AF" w:rsidRPr="002E14F6" w:rsidRDefault="00E306AF" w:rsidP="00E306AF">
            <w:pPr>
              <w:pStyle w:val="COMTabletext"/>
              <w:jc w:val="center"/>
            </w:pPr>
            <w:r w:rsidRPr="002E14F6">
              <w:t>$7,724</w:t>
            </w:r>
          </w:p>
        </w:tc>
        <w:tc>
          <w:tcPr>
            <w:tcW w:w="1307" w:type="pct"/>
            <w:shd w:val="clear" w:color="auto" w:fill="auto"/>
          </w:tcPr>
          <w:p w14:paraId="46C46AD7" w14:textId="4B1A5D46" w:rsidR="00E306AF" w:rsidRPr="002E14F6" w:rsidRDefault="00E306AF" w:rsidP="00E306AF">
            <w:pPr>
              <w:pStyle w:val="COMTabletext"/>
              <w:jc w:val="center"/>
            </w:pPr>
            <w:r w:rsidRPr="002E14F6">
              <w:t>$</w:t>
            </w:r>
            <w:r w:rsidRPr="00EF01C4">
              <w:t>539</w:t>
            </w:r>
          </w:p>
        </w:tc>
      </w:tr>
      <w:tr w:rsidR="00E306AF" w:rsidRPr="002E14F6" w14:paraId="3C2D9272" w14:textId="77777777" w:rsidTr="006B35E6">
        <w:trPr>
          <w:cantSplit/>
        </w:trPr>
        <w:tc>
          <w:tcPr>
            <w:tcW w:w="942" w:type="pct"/>
            <w:shd w:val="clear" w:color="auto" w:fill="auto"/>
          </w:tcPr>
          <w:p w14:paraId="595EC370" w14:textId="1F89B3AA" w:rsidR="00E306AF" w:rsidRPr="002E14F6" w:rsidRDefault="00AA1C17" w:rsidP="00E306AF">
            <w:pPr>
              <w:pStyle w:val="COMTabletext"/>
            </w:pPr>
            <w:r w:rsidRPr="002E14F6">
              <w:t>QALY</w:t>
            </w:r>
            <w:r>
              <w:t>s</w:t>
            </w:r>
          </w:p>
        </w:tc>
        <w:tc>
          <w:tcPr>
            <w:tcW w:w="1353" w:type="pct"/>
            <w:shd w:val="clear" w:color="auto" w:fill="auto"/>
          </w:tcPr>
          <w:p w14:paraId="237C7F26" w14:textId="3E9FE61A" w:rsidR="00E306AF" w:rsidRPr="00B273AE" w:rsidRDefault="00E306AF" w:rsidP="00E306AF">
            <w:pPr>
              <w:pStyle w:val="COMTabletext"/>
              <w:jc w:val="center"/>
              <w:rPr>
                <w:vertAlign w:val="superscript"/>
              </w:rPr>
            </w:pPr>
            <w:r w:rsidRPr="002E14F6">
              <w:t>9.547</w:t>
            </w:r>
          </w:p>
        </w:tc>
        <w:tc>
          <w:tcPr>
            <w:tcW w:w="1398" w:type="pct"/>
            <w:shd w:val="clear" w:color="auto" w:fill="auto"/>
          </w:tcPr>
          <w:p w14:paraId="7A269803" w14:textId="3E3621F1" w:rsidR="00E306AF" w:rsidRPr="002E14F6" w:rsidRDefault="00E306AF" w:rsidP="00E306AF">
            <w:pPr>
              <w:pStyle w:val="COMTabletext"/>
              <w:jc w:val="center"/>
            </w:pPr>
            <w:r w:rsidRPr="002E14F6">
              <w:t>9.503</w:t>
            </w:r>
          </w:p>
        </w:tc>
        <w:tc>
          <w:tcPr>
            <w:tcW w:w="1307" w:type="pct"/>
            <w:shd w:val="clear" w:color="auto" w:fill="auto"/>
          </w:tcPr>
          <w:p w14:paraId="35A2A8AC" w14:textId="3DC0EB40" w:rsidR="00E306AF" w:rsidRPr="002E14F6" w:rsidRDefault="00E306AF" w:rsidP="00E306AF">
            <w:pPr>
              <w:pStyle w:val="COMTabletext"/>
              <w:jc w:val="center"/>
            </w:pPr>
            <w:r w:rsidRPr="002E14F6">
              <w:t>0.044</w:t>
            </w:r>
          </w:p>
        </w:tc>
      </w:tr>
      <w:tr w:rsidR="005F7588" w:rsidRPr="002E14F6" w14:paraId="587FBB40" w14:textId="77777777" w:rsidTr="006B35E6">
        <w:trPr>
          <w:cantSplit/>
        </w:trPr>
        <w:tc>
          <w:tcPr>
            <w:tcW w:w="3693" w:type="pct"/>
            <w:gridSpan w:val="3"/>
            <w:tcBorders>
              <w:right w:val="single" w:sz="4" w:space="0" w:color="000000"/>
            </w:tcBorders>
            <w:shd w:val="clear" w:color="auto" w:fill="auto"/>
          </w:tcPr>
          <w:p w14:paraId="0CBE77B7" w14:textId="77777777" w:rsidR="005F7588" w:rsidRPr="002E14F6" w:rsidRDefault="005F7588" w:rsidP="00BB732D">
            <w:pPr>
              <w:pStyle w:val="COMTableheadingrow"/>
              <w:rPr>
                <w:lang w:val="en-AU"/>
              </w:rPr>
            </w:pPr>
            <w:r w:rsidRPr="002E14F6">
              <w:rPr>
                <w:lang w:val="en-AU"/>
              </w:rPr>
              <w:t>Incremental cost per QALY gained</w:t>
            </w:r>
          </w:p>
        </w:tc>
        <w:tc>
          <w:tcPr>
            <w:tcW w:w="1307" w:type="pct"/>
            <w:tcBorders>
              <w:left w:val="single" w:sz="4" w:space="0" w:color="000000"/>
            </w:tcBorders>
            <w:shd w:val="clear" w:color="auto" w:fill="auto"/>
          </w:tcPr>
          <w:p w14:paraId="02036D2B" w14:textId="61BACAF0" w:rsidR="005F7588" w:rsidRPr="002E14F6" w:rsidRDefault="00E306AF" w:rsidP="00D33F93">
            <w:pPr>
              <w:keepNext/>
              <w:keepLines/>
              <w:jc w:val="center"/>
              <w:rPr>
                <w:rFonts w:ascii="Arial Narrow" w:eastAsia="Calibri" w:hAnsi="Arial Narrow"/>
                <w:b/>
                <w:sz w:val="20"/>
                <w:szCs w:val="20"/>
              </w:rPr>
            </w:pPr>
            <w:r w:rsidRPr="002E14F6">
              <w:rPr>
                <w:rFonts w:ascii="Arial Narrow" w:eastAsia="Calibri" w:hAnsi="Arial Narrow"/>
                <w:b/>
                <w:sz w:val="20"/>
                <w:szCs w:val="20"/>
              </w:rPr>
              <w:t>$</w:t>
            </w:r>
            <w:r w:rsidR="00C0674E" w:rsidRPr="00C0674E">
              <w:rPr>
                <w:rFonts w:ascii="Arial Narrow" w:eastAsia="Calibri" w:hAnsi="Arial Narrow"/>
                <w:b/>
                <w:color w:val="000000"/>
                <w:sz w:val="20"/>
                <w:szCs w:val="20"/>
                <w:shd w:val="solid" w:color="000000" w:fill="000000"/>
                <w14:textFill>
                  <w14:solidFill>
                    <w14:srgbClr w14:val="000000">
                      <w14:alpha w14:val="100000"/>
                    </w14:srgbClr>
                  </w14:solidFill>
                </w14:textFill>
              </w:rPr>
              <w:t>|</w:t>
            </w:r>
            <w:r w:rsidR="007C55DC">
              <w:rPr>
                <w:rFonts w:ascii="Arial Narrow" w:eastAsia="Calibri" w:hAnsi="Arial Narrow"/>
                <w:b/>
                <w:color w:val="000000"/>
                <w:sz w:val="20"/>
                <w:szCs w:val="20"/>
                <w:shd w:val="solid" w:color="000000" w:fill="000000"/>
                <w14:textFill>
                  <w14:solidFill>
                    <w14:srgbClr w14:val="000000">
                      <w14:alpha w14:val="100000"/>
                    </w14:srgbClr>
                  </w14:solidFill>
                </w14:textFill>
              </w:rPr>
              <w:t xml:space="preserve">     </w:t>
            </w:r>
            <w:r w:rsidR="0063642F">
              <w:rPr>
                <w:vertAlign w:val="superscript"/>
              </w:rPr>
              <w:t>1</w:t>
            </w:r>
          </w:p>
        </w:tc>
      </w:tr>
    </w:tbl>
    <w:p w14:paraId="6899C968" w14:textId="3135347E" w:rsidR="005F7588" w:rsidRPr="002E14F6" w:rsidRDefault="005F7588" w:rsidP="00BB732D">
      <w:pPr>
        <w:pStyle w:val="COMTablefooter"/>
        <w:rPr>
          <w:rStyle w:val="COMtablefigcaptionChar"/>
        </w:rPr>
      </w:pPr>
      <w:r w:rsidRPr="002E14F6">
        <w:t xml:space="preserve">Source: </w:t>
      </w:r>
      <w:r w:rsidR="00E306AF" w:rsidRPr="002E14F6">
        <w:t>Table 84, p161 of the submission</w:t>
      </w:r>
    </w:p>
    <w:p w14:paraId="74A68B49" w14:textId="2462CA0D" w:rsidR="00C0666C" w:rsidRDefault="00E306AF" w:rsidP="00BB732D">
      <w:pPr>
        <w:pStyle w:val="COMTablefooter"/>
        <w:rPr>
          <w:rFonts w:eastAsia="Calibri"/>
          <w:szCs w:val="20"/>
        </w:rPr>
      </w:pPr>
      <w:r w:rsidRPr="002E14F6">
        <w:rPr>
          <w:rFonts w:eastAsia="Calibri"/>
          <w:szCs w:val="20"/>
        </w:rPr>
        <w:t xml:space="preserve">Abbreviation: </w:t>
      </w:r>
      <w:r w:rsidR="000207C9" w:rsidRPr="002E14F6">
        <w:rPr>
          <w:rFonts w:eastAsia="Calibri"/>
          <w:szCs w:val="20"/>
        </w:rPr>
        <w:t>QALY</w:t>
      </w:r>
      <w:r w:rsidRPr="002E14F6">
        <w:rPr>
          <w:rFonts w:eastAsia="Calibri"/>
          <w:szCs w:val="20"/>
        </w:rPr>
        <w:t xml:space="preserve">, </w:t>
      </w:r>
      <w:r w:rsidR="001F4081" w:rsidRPr="002E14F6">
        <w:rPr>
          <w:rFonts w:eastAsia="Calibri"/>
          <w:szCs w:val="20"/>
        </w:rPr>
        <w:t>quality adjusted li</w:t>
      </w:r>
      <w:r w:rsidRPr="002E14F6">
        <w:rPr>
          <w:rFonts w:eastAsia="Calibri"/>
          <w:szCs w:val="20"/>
        </w:rPr>
        <w:t>fe year</w:t>
      </w:r>
      <w:r w:rsidR="00256FE2">
        <w:rPr>
          <w:rFonts w:eastAsia="Calibri"/>
          <w:szCs w:val="20"/>
        </w:rPr>
        <w:t>; SoC, standard of care</w:t>
      </w:r>
    </w:p>
    <w:p w14:paraId="53E850C0" w14:textId="77777777" w:rsidR="0063642F" w:rsidRPr="009A6D58" w:rsidRDefault="0063642F" w:rsidP="0063642F">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7CEE0FFD" w14:textId="28339393" w:rsidR="0063642F" w:rsidRPr="00510454" w:rsidRDefault="0063642F" w:rsidP="00510454">
      <w:pPr>
        <w:spacing w:after="120"/>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63642F">
        <w:rPr>
          <w:rFonts w:ascii="Arial Narrow" w:hAnsi="Arial Narrow"/>
          <w:i/>
          <w:sz w:val="18"/>
          <w:szCs w:val="18"/>
        </w:rPr>
        <w:t>$5,000 to &lt; $15,000</w:t>
      </w:r>
    </w:p>
    <w:p w14:paraId="74731D21" w14:textId="317A569E" w:rsidR="005A373D" w:rsidRPr="00966B2C" w:rsidRDefault="00006742" w:rsidP="00DC4D12">
      <w:pPr>
        <w:widowControl w:val="0"/>
        <w:numPr>
          <w:ilvl w:val="1"/>
          <w:numId w:val="1"/>
        </w:numPr>
        <w:spacing w:after="120"/>
        <w:ind w:left="720" w:hanging="720"/>
        <w:rPr>
          <w:bCs/>
        </w:rPr>
      </w:pPr>
      <w:r w:rsidRPr="00DC4D12">
        <w:rPr>
          <w:rFonts w:asciiTheme="minorHAnsi" w:hAnsiTheme="minorHAnsi"/>
          <w:bCs/>
          <w:snapToGrid w:val="0"/>
        </w:rPr>
        <w:t xml:space="preserve">Based on the economic model, </w:t>
      </w:r>
      <w:r w:rsidR="00522D99" w:rsidRPr="00DC4D12">
        <w:rPr>
          <w:rFonts w:asciiTheme="minorHAnsi" w:hAnsiTheme="minorHAnsi"/>
          <w:bCs/>
          <w:snapToGrid w:val="0"/>
        </w:rPr>
        <w:t>early</w:t>
      </w:r>
      <w:r w:rsidR="00E306AF" w:rsidRPr="00DC4D12">
        <w:rPr>
          <w:rFonts w:asciiTheme="minorHAnsi" w:hAnsiTheme="minorHAnsi"/>
          <w:bCs/>
          <w:snapToGrid w:val="0"/>
        </w:rPr>
        <w:t xml:space="preserve"> risedronate EC was associated with a cost per QALY gained of </w:t>
      </w:r>
      <w:r w:rsidR="0063642F" w:rsidRPr="0063642F">
        <w:rPr>
          <w:rFonts w:asciiTheme="minorHAnsi" w:hAnsiTheme="minorHAnsi"/>
          <w:bCs/>
          <w:snapToGrid w:val="0"/>
        </w:rPr>
        <w:t>$5,000</w:t>
      </w:r>
      <w:r w:rsidR="004E1B4A">
        <w:rPr>
          <w:rFonts w:asciiTheme="minorHAnsi" w:hAnsiTheme="minorHAnsi"/>
          <w:bCs/>
          <w:snapToGrid w:val="0"/>
        </w:rPr>
        <w:t> </w:t>
      </w:r>
      <w:r w:rsidR="0063642F" w:rsidRPr="0063642F">
        <w:rPr>
          <w:rFonts w:asciiTheme="minorHAnsi" w:hAnsiTheme="minorHAnsi"/>
          <w:bCs/>
          <w:snapToGrid w:val="0"/>
        </w:rPr>
        <w:t>to</w:t>
      </w:r>
      <w:r w:rsidR="004E1B4A">
        <w:rPr>
          <w:rFonts w:asciiTheme="minorHAnsi" w:hAnsiTheme="minorHAnsi"/>
          <w:bCs/>
          <w:snapToGrid w:val="0"/>
        </w:rPr>
        <w:t> </w:t>
      </w:r>
      <w:r w:rsidR="0063642F" w:rsidRPr="0063642F">
        <w:rPr>
          <w:rFonts w:asciiTheme="minorHAnsi" w:hAnsiTheme="minorHAnsi"/>
          <w:bCs/>
          <w:snapToGrid w:val="0"/>
        </w:rPr>
        <w:t>&lt;</w:t>
      </w:r>
      <w:r w:rsidR="004E1B4A">
        <w:rPr>
          <w:rFonts w:asciiTheme="minorHAnsi" w:hAnsiTheme="minorHAnsi"/>
          <w:bCs/>
          <w:snapToGrid w:val="0"/>
        </w:rPr>
        <w:t> </w:t>
      </w:r>
      <w:r w:rsidR="0063642F" w:rsidRPr="0063642F">
        <w:rPr>
          <w:rFonts w:asciiTheme="minorHAnsi" w:hAnsiTheme="minorHAnsi"/>
          <w:bCs/>
          <w:snapToGrid w:val="0"/>
        </w:rPr>
        <w:t xml:space="preserve">$15,000 </w:t>
      </w:r>
      <w:r w:rsidR="00E306AF" w:rsidRPr="00DC4D12">
        <w:rPr>
          <w:rFonts w:asciiTheme="minorHAnsi" w:hAnsiTheme="minorHAnsi"/>
          <w:bCs/>
          <w:snapToGrid w:val="0"/>
        </w:rPr>
        <w:t xml:space="preserve">compared to </w:t>
      </w:r>
      <w:r w:rsidR="00522D99" w:rsidRPr="00DC4D12">
        <w:rPr>
          <w:rFonts w:asciiTheme="minorHAnsi" w:hAnsiTheme="minorHAnsi"/>
          <w:bCs/>
          <w:snapToGrid w:val="0"/>
        </w:rPr>
        <w:t>delayed standard of care</w:t>
      </w:r>
      <w:r w:rsidR="00E306AF" w:rsidRPr="00DC4D12">
        <w:rPr>
          <w:rFonts w:asciiTheme="minorHAnsi" w:hAnsiTheme="minorHAnsi"/>
          <w:bCs/>
          <w:snapToGrid w:val="0"/>
        </w:rPr>
        <w:t xml:space="preserve"> for the treatment of osteoporosis in patients aged less than 70 years with a BMD of -2.5.</w:t>
      </w:r>
      <w:r w:rsidR="00EB2081" w:rsidRPr="00DC4D12">
        <w:rPr>
          <w:rFonts w:asciiTheme="minorHAnsi" w:hAnsiTheme="minorHAnsi"/>
          <w:bCs/>
          <w:snapToGrid w:val="0"/>
        </w:rPr>
        <w:t xml:space="preserve"> The </w:t>
      </w:r>
      <w:r w:rsidR="00FE1857" w:rsidRPr="00DC4D12">
        <w:rPr>
          <w:rFonts w:asciiTheme="minorHAnsi" w:hAnsiTheme="minorHAnsi"/>
          <w:bCs/>
          <w:snapToGrid w:val="0"/>
        </w:rPr>
        <w:t xml:space="preserve">evaluation stated the </w:t>
      </w:r>
      <w:r w:rsidR="00EB2081" w:rsidRPr="00DC4D12">
        <w:rPr>
          <w:rFonts w:asciiTheme="minorHAnsi" w:hAnsiTheme="minorHAnsi"/>
          <w:bCs/>
          <w:snapToGrid w:val="0"/>
        </w:rPr>
        <w:t xml:space="preserve">results should not be considered reliable given </w:t>
      </w:r>
      <w:r w:rsidR="00932C7F" w:rsidRPr="00DC4D12">
        <w:rPr>
          <w:rFonts w:asciiTheme="minorHAnsi" w:hAnsiTheme="minorHAnsi"/>
          <w:bCs/>
          <w:snapToGrid w:val="0"/>
        </w:rPr>
        <w:t xml:space="preserve">identified </w:t>
      </w:r>
      <w:r w:rsidR="00EB2081" w:rsidRPr="00DC4D12">
        <w:rPr>
          <w:rFonts w:asciiTheme="minorHAnsi" w:hAnsiTheme="minorHAnsi"/>
          <w:bCs/>
          <w:snapToGrid w:val="0"/>
        </w:rPr>
        <w:t xml:space="preserve">limitations with the model structure and uncertainties with multiple inputs including patient characteristics, </w:t>
      </w:r>
      <w:r w:rsidR="00850B39" w:rsidRPr="00DC4D12">
        <w:rPr>
          <w:rFonts w:asciiTheme="minorHAnsi" w:hAnsiTheme="minorHAnsi"/>
          <w:bCs/>
          <w:snapToGrid w:val="0"/>
        </w:rPr>
        <w:t xml:space="preserve">treatment effects, </w:t>
      </w:r>
      <w:r w:rsidR="00EB2081" w:rsidRPr="00DC4D12">
        <w:rPr>
          <w:rFonts w:asciiTheme="minorHAnsi" w:hAnsiTheme="minorHAnsi"/>
          <w:bCs/>
          <w:snapToGrid w:val="0"/>
        </w:rPr>
        <w:t xml:space="preserve">circumstances of use (adherence and persistence) and costs associated with standard of care therapies. </w:t>
      </w:r>
    </w:p>
    <w:p w14:paraId="01F59B92" w14:textId="28A6CAD0" w:rsidR="00526086" w:rsidRPr="00966B2C" w:rsidRDefault="00A75EA4" w:rsidP="00DC4D12">
      <w:pPr>
        <w:widowControl w:val="0"/>
        <w:numPr>
          <w:ilvl w:val="1"/>
          <w:numId w:val="1"/>
        </w:numPr>
        <w:spacing w:after="120"/>
        <w:ind w:left="720" w:hanging="720"/>
        <w:rPr>
          <w:bCs/>
        </w:rPr>
      </w:pPr>
      <w:r w:rsidRPr="00DC4D12">
        <w:rPr>
          <w:rFonts w:asciiTheme="minorHAnsi" w:hAnsiTheme="minorHAnsi"/>
          <w:bCs/>
          <w:snapToGrid w:val="0"/>
        </w:rPr>
        <w:t xml:space="preserve">Prior PBAC considerations of primary prevention listings for osteoporosis treatments were based on the identification of a group of patients with an absolute risk of fracture equivalent to those for whom cost-effectiveness had been already established as being acceptable. No comparisons with currently eligible populations were presented in the submission. </w:t>
      </w:r>
    </w:p>
    <w:p w14:paraId="5B167E6A" w14:textId="4EE6B275" w:rsidR="00E306AF" w:rsidRPr="00966B2C" w:rsidRDefault="00572DEF" w:rsidP="00DC4D12">
      <w:pPr>
        <w:widowControl w:val="0"/>
        <w:numPr>
          <w:ilvl w:val="1"/>
          <w:numId w:val="1"/>
        </w:numPr>
        <w:spacing w:after="120"/>
        <w:ind w:left="720" w:hanging="720"/>
        <w:rPr>
          <w:bCs/>
        </w:rPr>
      </w:pPr>
      <w:r w:rsidRPr="00DC4D12">
        <w:rPr>
          <w:rFonts w:asciiTheme="minorHAnsi" w:hAnsiTheme="minorHAnsi"/>
          <w:bCs/>
          <w:snapToGrid w:val="0"/>
        </w:rPr>
        <w:t xml:space="preserve">The submission provided estimated numbers needed to treat (NNT) to prevent one hip fracture and one non-hip fracture over one year of </w:t>
      </w:r>
      <w:r w:rsidR="00522D99" w:rsidRPr="00DC4D12">
        <w:rPr>
          <w:rFonts w:asciiTheme="minorHAnsi" w:hAnsiTheme="minorHAnsi"/>
          <w:bCs/>
          <w:snapToGrid w:val="0"/>
        </w:rPr>
        <w:t xml:space="preserve">early </w:t>
      </w:r>
      <w:r w:rsidRPr="00DC4D12">
        <w:rPr>
          <w:rFonts w:asciiTheme="minorHAnsi" w:hAnsiTheme="minorHAnsi"/>
          <w:bCs/>
          <w:snapToGrid w:val="0"/>
        </w:rPr>
        <w:t xml:space="preserve">risedronate EC treatment compared to </w:t>
      </w:r>
      <w:r w:rsidR="00A67AE6" w:rsidRPr="00DC4D12">
        <w:rPr>
          <w:rFonts w:asciiTheme="minorHAnsi" w:hAnsiTheme="minorHAnsi"/>
          <w:bCs/>
          <w:snapToGrid w:val="0"/>
        </w:rPr>
        <w:t>delayed standard of care</w:t>
      </w:r>
      <w:r w:rsidR="00FE1857" w:rsidRPr="00DC4D12">
        <w:rPr>
          <w:rFonts w:asciiTheme="minorHAnsi" w:hAnsiTheme="minorHAnsi"/>
          <w:bCs/>
          <w:snapToGrid w:val="0"/>
        </w:rPr>
        <w:t>.</w:t>
      </w:r>
      <w:r w:rsidRPr="00DC4D12">
        <w:rPr>
          <w:rFonts w:asciiTheme="minorHAnsi" w:hAnsiTheme="minorHAnsi"/>
          <w:bCs/>
          <w:snapToGrid w:val="0"/>
        </w:rPr>
        <w:t xml:space="preserve"> These estimates could not be validated during the evaluation and were also inconsistent with estimates presented in the economic model workbook provided in the submission. During the evaluation, the number of fractures avoided and NNTs were estimated for </w:t>
      </w:r>
      <w:r w:rsidR="00315287" w:rsidRPr="00DC4D12">
        <w:rPr>
          <w:rFonts w:asciiTheme="minorHAnsi" w:hAnsiTheme="minorHAnsi"/>
          <w:bCs/>
          <w:snapToGrid w:val="0"/>
        </w:rPr>
        <w:t xml:space="preserve">early </w:t>
      </w:r>
      <w:r w:rsidRPr="00DC4D12">
        <w:rPr>
          <w:rFonts w:asciiTheme="minorHAnsi" w:hAnsiTheme="minorHAnsi"/>
          <w:bCs/>
          <w:snapToGrid w:val="0"/>
        </w:rPr>
        <w:t xml:space="preserve">risedronate EC versus </w:t>
      </w:r>
      <w:r w:rsidR="00315287" w:rsidRPr="00DC4D12">
        <w:rPr>
          <w:rFonts w:asciiTheme="minorHAnsi" w:hAnsiTheme="minorHAnsi"/>
          <w:bCs/>
          <w:snapToGrid w:val="0"/>
        </w:rPr>
        <w:t>delayed standard of care</w:t>
      </w:r>
      <w:r w:rsidRPr="00DC4D12">
        <w:rPr>
          <w:rFonts w:asciiTheme="minorHAnsi" w:hAnsiTheme="minorHAnsi"/>
          <w:bCs/>
          <w:snapToGrid w:val="0"/>
        </w:rPr>
        <w:t xml:space="preserve"> over 20 years as per the base case. Additional estimates were also calculated assuming 1 year of treatment with risedronate EC, which is consistent with the duration of treatment used in the financial estimates (see </w:t>
      </w:r>
      <w:r w:rsidR="00F93E00" w:rsidRPr="00DC4D12">
        <w:rPr>
          <w:rFonts w:asciiTheme="minorHAnsi" w:hAnsiTheme="minorHAnsi"/>
          <w:bCs/>
          <w:snapToGrid w:val="0"/>
        </w:rPr>
        <w:fldChar w:fldCharType="begin" w:fldLock="1"/>
      </w:r>
      <w:r w:rsidR="00F93E00" w:rsidRPr="00DC4D12">
        <w:rPr>
          <w:rFonts w:asciiTheme="minorHAnsi" w:hAnsiTheme="minorHAnsi"/>
          <w:bCs/>
          <w:snapToGrid w:val="0"/>
        </w:rPr>
        <w:instrText xml:space="preserve"> REF _Ref112667926 \h  \* MERGEFORMAT </w:instrText>
      </w:r>
      <w:r w:rsidR="00F93E00" w:rsidRPr="00DC4D12">
        <w:rPr>
          <w:rFonts w:asciiTheme="minorHAnsi" w:hAnsiTheme="minorHAnsi"/>
          <w:bCs/>
          <w:snapToGrid w:val="0"/>
        </w:rPr>
      </w:r>
      <w:r w:rsidR="00F93E00" w:rsidRPr="00DC4D12">
        <w:rPr>
          <w:rFonts w:asciiTheme="minorHAnsi" w:hAnsiTheme="minorHAnsi"/>
          <w:bCs/>
          <w:snapToGrid w:val="0"/>
        </w:rPr>
        <w:fldChar w:fldCharType="separate"/>
      </w:r>
      <w:r w:rsidR="00BE3514" w:rsidRPr="00BE3514">
        <w:rPr>
          <w:rFonts w:asciiTheme="minorHAnsi" w:hAnsiTheme="minorHAnsi"/>
          <w:bCs/>
          <w:snapToGrid w:val="0"/>
        </w:rPr>
        <w:t xml:space="preserve">Table </w:t>
      </w:r>
      <w:r w:rsidR="00BE3514" w:rsidRPr="00BE3514">
        <w:rPr>
          <w:rFonts w:asciiTheme="minorHAnsi" w:hAnsiTheme="minorHAnsi"/>
          <w:noProof/>
          <w:snapToGrid w:val="0"/>
        </w:rPr>
        <w:t>12</w:t>
      </w:r>
      <w:r w:rsidR="00F93E00" w:rsidRPr="00DC4D12">
        <w:rPr>
          <w:rFonts w:asciiTheme="minorHAnsi" w:hAnsiTheme="minorHAnsi"/>
          <w:bCs/>
          <w:snapToGrid w:val="0"/>
        </w:rPr>
        <w:fldChar w:fldCharType="end"/>
      </w:r>
      <w:r w:rsidRPr="00DC4D12">
        <w:rPr>
          <w:rFonts w:asciiTheme="minorHAnsi" w:hAnsiTheme="minorHAnsi"/>
          <w:bCs/>
          <w:snapToGrid w:val="0"/>
        </w:rPr>
        <w:t xml:space="preserve"> below).  </w:t>
      </w:r>
    </w:p>
    <w:p w14:paraId="52BE40C2" w14:textId="0287F0B2" w:rsidR="00572DEF" w:rsidRPr="002E14F6" w:rsidRDefault="00F93E00" w:rsidP="00F93E00">
      <w:pPr>
        <w:pStyle w:val="COMtablefigcaption"/>
      </w:pPr>
      <w:bookmarkStart w:id="50" w:name="_Ref112667926"/>
      <w:r>
        <w:t xml:space="preserve">Table </w:t>
      </w:r>
      <w:r w:rsidR="00400174">
        <w:fldChar w:fldCharType="begin" w:fldLock="1"/>
      </w:r>
      <w:r w:rsidR="00400174">
        <w:instrText xml:space="preserve"> SEQ Table \* ARABIC </w:instrText>
      </w:r>
      <w:r w:rsidR="00400174">
        <w:fldChar w:fldCharType="separate"/>
      </w:r>
      <w:r w:rsidR="00C2719F">
        <w:rPr>
          <w:noProof/>
        </w:rPr>
        <w:t>12</w:t>
      </w:r>
      <w:r w:rsidR="00400174">
        <w:rPr>
          <w:noProof/>
        </w:rPr>
        <w:fldChar w:fldCharType="end"/>
      </w:r>
      <w:bookmarkEnd w:id="50"/>
      <w:r>
        <w:t xml:space="preserve">: </w:t>
      </w:r>
      <w:r w:rsidRPr="00F93E00">
        <w:t>Fractures avoided and number needed to treat (NNT) by treatment duration and baseline age</w:t>
      </w:r>
    </w:p>
    <w:tbl>
      <w:tblPr>
        <w:tblStyle w:val="TableGrid"/>
        <w:tblW w:w="0" w:type="auto"/>
        <w:tblLook w:val="04A0" w:firstRow="1" w:lastRow="0" w:firstColumn="1" w:lastColumn="0" w:noHBand="0" w:noVBand="1"/>
        <w:tblCaption w:val="Table 12: Fractures avoided and number needed to treat (NNT) by treatment duration and baseline age"/>
      </w:tblPr>
      <w:tblGrid>
        <w:gridCol w:w="1213"/>
        <w:gridCol w:w="1470"/>
        <w:gridCol w:w="1596"/>
        <w:gridCol w:w="1595"/>
        <w:gridCol w:w="1047"/>
        <w:gridCol w:w="1048"/>
        <w:gridCol w:w="1048"/>
      </w:tblGrid>
      <w:tr w:rsidR="00572DEF" w:rsidRPr="002E14F6" w14:paraId="6CC14B67" w14:textId="77777777" w:rsidTr="005F1ABD">
        <w:tc>
          <w:tcPr>
            <w:tcW w:w="1213" w:type="dxa"/>
            <w:vMerge w:val="restart"/>
            <w:vAlign w:val="center"/>
          </w:tcPr>
          <w:p w14:paraId="67C74736" w14:textId="77777777" w:rsidR="00572DEF" w:rsidRPr="002E14F6" w:rsidRDefault="00572DEF" w:rsidP="005F1ABD">
            <w:pPr>
              <w:pStyle w:val="COMTableheadingrow"/>
              <w:jc w:val="center"/>
              <w:rPr>
                <w:lang w:val="en-AU"/>
              </w:rPr>
            </w:pPr>
            <w:r w:rsidRPr="002E14F6">
              <w:rPr>
                <w:lang w:val="en-AU"/>
              </w:rPr>
              <w:t>Baseline age, years</w:t>
            </w:r>
          </w:p>
        </w:tc>
        <w:tc>
          <w:tcPr>
            <w:tcW w:w="1470" w:type="dxa"/>
            <w:vMerge w:val="restart"/>
            <w:vAlign w:val="center"/>
          </w:tcPr>
          <w:p w14:paraId="6303E2AB" w14:textId="77777777" w:rsidR="00572DEF" w:rsidRPr="002E14F6" w:rsidRDefault="00572DEF" w:rsidP="005F1ABD">
            <w:pPr>
              <w:pStyle w:val="COMTableheadingrow"/>
              <w:jc w:val="center"/>
              <w:rPr>
                <w:lang w:val="en-AU"/>
              </w:rPr>
            </w:pPr>
            <w:r w:rsidRPr="002E14F6">
              <w:rPr>
                <w:lang w:val="en-AU"/>
              </w:rPr>
              <w:t>Hip fractures avoided</w:t>
            </w:r>
          </w:p>
        </w:tc>
        <w:tc>
          <w:tcPr>
            <w:tcW w:w="1596" w:type="dxa"/>
            <w:vMerge w:val="restart"/>
            <w:vAlign w:val="center"/>
          </w:tcPr>
          <w:p w14:paraId="271BA439" w14:textId="77777777" w:rsidR="00572DEF" w:rsidRPr="002E14F6" w:rsidRDefault="00572DEF" w:rsidP="005F1ABD">
            <w:pPr>
              <w:pStyle w:val="COMTableheadingrow"/>
              <w:jc w:val="center"/>
              <w:rPr>
                <w:lang w:val="en-AU"/>
              </w:rPr>
            </w:pPr>
            <w:r w:rsidRPr="002E14F6">
              <w:rPr>
                <w:lang w:val="en-AU"/>
              </w:rPr>
              <w:t>Non-hip fractures avoided</w:t>
            </w:r>
          </w:p>
        </w:tc>
        <w:tc>
          <w:tcPr>
            <w:tcW w:w="1595" w:type="dxa"/>
            <w:vMerge w:val="restart"/>
            <w:vAlign w:val="center"/>
          </w:tcPr>
          <w:p w14:paraId="6A77D9F9" w14:textId="77777777" w:rsidR="00572DEF" w:rsidRPr="002E14F6" w:rsidRDefault="00572DEF" w:rsidP="005F1ABD">
            <w:pPr>
              <w:pStyle w:val="COMTableheadingrow"/>
              <w:jc w:val="center"/>
              <w:rPr>
                <w:lang w:val="en-AU"/>
              </w:rPr>
            </w:pPr>
            <w:r w:rsidRPr="002E14F6">
              <w:rPr>
                <w:lang w:val="en-AU"/>
              </w:rPr>
              <w:t>Total fractures avoided</w:t>
            </w:r>
          </w:p>
        </w:tc>
        <w:tc>
          <w:tcPr>
            <w:tcW w:w="3143" w:type="dxa"/>
            <w:gridSpan w:val="3"/>
            <w:vAlign w:val="center"/>
          </w:tcPr>
          <w:p w14:paraId="12F2194D" w14:textId="77777777" w:rsidR="00572DEF" w:rsidRPr="002E14F6" w:rsidRDefault="00572DEF" w:rsidP="005F1ABD">
            <w:pPr>
              <w:pStyle w:val="COMTableheadingrow"/>
              <w:jc w:val="center"/>
              <w:rPr>
                <w:lang w:val="en-AU"/>
              </w:rPr>
            </w:pPr>
            <w:r w:rsidRPr="002E14F6">
              <w:rPr>
                <w:lang w:val="en-AU"/>
              </w:rPr>
              <w:t>NNT</w:t>
            </w:r>
          </w:p>
        </w:tc>
      </w:tr>
      <w:tr w:rsidR="00572DEF" w:rsidRPr="002E14F6" w14:paraId="160F45C1" w14:textId="77777777" w:rsidTr="005F1ABD">
        <w:tc>
          <w:tcPr>
            <w:tcW w:w="1213" w:type="dxa"/>
            <w:vMerge/>
            <w:vAlign w:val="center"/>
          </w:tcPr>
          <w:p w14:paraId="4E76A39B" w14:textId="77777777" w:rsidR="00572DEF" w:rsidRPr="002E14F6" w:rsidRDefault="00572DEF" w:rsidP="005F1ABD">
            <w:pPr>
              <w:pStyle w:val="COMTableheadingrow"/>
              <w:jc w:val="center"/>
              <w:rPr>
                <w:lang w:val="en-AU"/>
              </w:rPr>
            </w:pPr>
          </w:p>
        </w:tc>
        <w:tc>
          <w:tcPr>
            <w:tcW w:w="1470" w:type="dxa"/>
            <w:vMerge/>
            <w:vAlign w:val="center"/>
          </w:tcPr>
          <w:p w14:paraId="386F4E72" w14:textId="77777777" w:rsidR="00572DEF" w:rsidRPr="002E14F6" w:rsidRDefault="00572DEF" w:rsidP="005F1ABD">
            <w:pPr>
              <w:pStyle w:val="COMTableheadingrow"/>
              <w:jc w:val="center"/>
              <w:rPr>
                <w:lang w:val="en-AU"/>
              </w:rPr>
            </w:pPr>
          </w:p>
        </w:tc>
        <w:tc>
          <w:tcPr>
            <w:tcW w:w="1596" w:type="dxa"/>
            <w:vMerge/>
            <w:vAlign w:val="center"/>
          </w:tcPr>
          <w:p w14:paraId="21213CCA" w14:textId="77777777" w:rsidR="00572DEF" w:rsidRPr="002E14F6" w:rsidRDefault="00572DEF" w:rsidP="005F1ABD">
            <w:pPr>
              <w:pStyle w:val="COMTableheadingrow"/>
              <w:jc w:val="center"/>
              <w:rPr>
                <w:lang w:val="en-AU"/>
              </w:rPr>
            </w:pPr>
          </w:p>
        </w:tc>
        <w:tc>
          <w:tcPr>
            <w:tcW w:w="1595" w:type="dxa"/>
            <w:vMerge/>
            <w:vAlign w:val="center"/>
          </w:tcPr>
          <w:p w14:paraId="1325CEE7" w14:textId="77777777" w:rsidR="00572DEF" w:rsidRPr="002E14F6" w:rsidRDefault="00572DEF" w:rsidP="005F1ABD">
            <w:pPr>
              <w:pStyle w:val="COMTableheadingrow"/>
              <w:jc w:val="center"/>
              <w:rPr>
                <w:lang w:val="en-AU"/>
              </w:rPr>
            </w:pPr>
          </w:p>
        </w:tc>
        <w:tc>
          <w:tcPr>
            <w:tcW w:w="1047" w:type="dxa"/>
            <w:vAlign w:val="center"/>
          </w:tcPr>
          <w:p w14:paraId="2C7F2C44" w14:textId="77777777" w:rsidR="00572DEF" w:rsidRPr="002E14F6" w:rsidRDefault="00572DEF" w:rsidP="005F1ABD">
            <w:pPr>
              <w:pStyle w:val="COMTableheadingrow"/>
              <w:jc w:val="center"/>
              <w:rPr>
                <w:lang w:val="en-AU"/>
              </w:rPr>
            </w:pPr>
            <w:r w:rsidRPr="002E14F6">
              <w:rPr>
                <w:lang w:val="en-AU"/>
              </w:rPr>
              <w:t>Hip</w:t>
            </w:r>
          </w:p>
        </w:tc>
        <w:tc>
          <w:tcPr>
            <w:tcW w:w="1048" w:type="dxa"/>
            <w:vAlign w:val="center"/>
          </w:tcPr>
          <w:p w14:paraId="25D1F6F6" w14:textId="77777777" w:rsidR="00572DEF" w:rsidRPr="002E14F6" w:rsidRDefault="00572DEF" w:rsidP="005F1ABD">
            <w:pPr>
              <w:pStyle w:val="COMTabletext"/>
              <w:jc w:val="center"/>
              <w:rPr>
                <w:b/>
                <w:bCs w:val="0"/>
              </w:rPr>
            </w:pPr>
            <w:r w:rsidRPr="002E14F6">
              <w:rPr>
                <w:b/>
                <w:bCs w:val="0"/>
              </w:rPr>
              <w:t>Non-hip</w:t>
            </w:r>
          </w:p>
        </w:tc>
        <w:tc>
          <w:tcPr>
            <w:tcW w:w="1048" w:type="dxa"/>
            <w:vAlign w:val="center"/>
          </w:tcPr>
          <w:p w14:paraId="02FBEF12" w14:textId="77777777" w:rsidR="00572DEF" w:rsidRPr="002E14F6" w:rsidRDefault="00572DEF" w:rsidP="005F1ABD">
            <w:pPr>
              <w:pStyle w:val="COMTabletext"/>
              <w:jc w:val="center"/>
              <w:rPr>
                <w:b/>
                <w:bCs w:val="0"/>
              </w:rPr>
            </w:pPr>
            <w:r w:rsidRPr="002E14F6">
              <w:rPr>
                <w:b/>
                <w:bCs w:val="0"/>
              </w:rPr>
              <w:t>All</w:t>
            </w:r>
          </w:p>
        </w:tc>
      </w:tr>
      <w:tr w:rsidR="00572DEF" w:rsidRPr="002E14F6" w14:paraId="3D9EAD6E" w14:textId="77777777" w:rsidTr="005F1ABD">
        <w:tc>
          <w:tcPr>
            <w:tcW w:w="9017" w:type="dxa"/>
            <w:gridSpan w:val="7"/>
          </w:tcPr>
          <w:p w14:paraId="62F3CA24" w14:textId="77777777" w:rsidR="00572DEF" w:rsidRPr="002E14F6" w:rsidRDefault="00572DEF" w:rsidP="005F1ABD">
            <w:pPr>
              <w:pStyle w:val="COMTableheadingrow"/>
              <w:rPr>
                <w:lang w:val="en-AU"/>
              </w:rPr>
            </w:pPr>
            <w:r w:rsidRPr="002E14F6">
              <w:rPr>
                <w:lang w:val="en-AU"/>
              </w:rPr>
              <w:t>Time horizon 20 years</w:t>
            </w:r>
          </w:p>
        </w:tc>
      </w:tr>
      <w:tr w:rsidR="00572DEF" w:rsidRPr="002E14F6" w14:paraId="51E12874" w14:textId="77777777" w:rsidTr="005F1ABD">
        <w:tc>
          <w:tcPr>
            <w:tcW w:w="1213" w:type="dxa"/>
          </w:tcPr>
          <w:p w14:paraId="0B703373" w14:textId="77777777" w:rsidR="00572DEF" w:rsidRPr="002E14F6" w:rsidRDefault="00572DEF" w:rsidP="005F1ABD">
            <w:pPr>
              <w:pStyle w:val="COMTabletext"/>
              <w:jc w:val="center"/>
            </w:pPr>
            <w:r w:rsidRPr="002E14F6">
              <w:t>62</w:t>
            </w:r>
          </w:p>
        </w:tc>
        <w:tc>
          <w:tcPr>
            <w:tcW w:w="1470" w:type="dxa"/>
          </w:tcPr>
          <w:p w14:paraId="6A727820" w14:textId="77777777" w:rsidR="00572DEF" w:rsidRPr="00EC57D8" w:rsidRDefault="00572DEF" w:rsidP="005F1ABD">
            <w:pPr>
              <w:pStyle w:val="COMTabletext"/>
              <w:jc w:val="center"/>
            </w:pPr>
            <w:r w:rsidRPr="00EC57D8">
              <w:t>0.0175</w:t>
            </w:r>
          </w:p>
        </w:tc>
        <w:tc>
          <w:tcPr>
            <w:tcW w:w="1596" w:type="dxa"/>
          </w:tcPr>
          <w:p w14:paraId="44774A0D" w14:textId="77777777" w:rsidR="00572DEF" w:rsidRPr="00EC57D8" w:rsidRDefault="00572DEF" w:rsidP="005F1ABD">
            <w:pPr>
              <w:pStyle w:val="COMTabletext"/>
              <w:jc w:val="center"/>
            </w:pPr>
            <w:r w:rsidRPr="00EC57D8">
              <w:t>0.0324</w:t>
            </w:r>
          </w:p>
        </w:tc>
        <w:tc>
          <w:tcPr>
            <w:tcW w:w="1595" w:type="dxa"/>
          </w:tcPr>
          <w:p w14:paraId="2F60BA2D" w14:textId="77777777" w:rsidR="00572DEF" w:rsidRPr="00EC57D8" w:rsidRDefault="00572DEF" w:rsidP="005F1ABD">
            <w:pPr>
              <w:pStyle w:val="COMTabletext"/>
              <w:jc w:val="center"/>
            </w:pPr>
            <w:r w:rsidRPr="00EC57D8">
              <w:t>0.0500</w:t>
            </w:r>
          </w:p>
        </w:tc>
        <w:tc>
          <w:tcPr>
            <w:tcW w:w="1047" w:type="dxa"/>
          </w:tcPr>
          <w:p w14:paraId="2CD327F1" w14:textId="77777777" w:rsidR="00572DEF" w:rsidRPr="00EC57D8" w:rsidRDefault="00572DEF" w:rsidP="005F1ABD">
            <w:pPr>
              <w:pStyle w:val="COMTabletext"/>
              <w:jc w:val="center"/>
            </w:pPr>
            <w:r w:rsidRPr="00EC57D8">
              <w:t>57</w:t>
            </w:r>
          </w:p>
        </w:tc>
        <w:tc>
          <w:tcPr>
            <w:tcW w:w="1048" w:type="dxa"/>
          </w:tcPr>
          <w:p w14:paraId="3BB008FD" w14:textId="77777777" w:rsidR="00572DEF" w:rsidRPr="00EC57D8" w:rsidRDefault="00572DEF" w:rsidP="005F1ABD">
            <w:pPr>
              <w:pStyle w:val="COMTabletext"/>
              <w:jc w:val="center"/>
            </w:pPr>
            <w:r w:rsidRPr="00EC57D8">
              <w:t>31</w:t>
            </w:r>
          </w:p>
        </w:tc>
        <w:tc>
          <w:tcPr>
            <w:tcW w:w="1048" w:type="dxa"/>
          </w:tcPr>
          <w:p w14:paraId="6B55B3D7" w14:textId="77777777" w:rsidR="00572DEF" w:rsidRPr="00EC57D8" w:rsidRDefault="00572DEF" w:rsidP="005F1ABD">
            <w:pPr>
              <w:pStyle w:val="COMTabletext"/>
              <w:jc w:val="center"/>
            </w:pPr>
            <w:r w:rsidRPr="00EC57D8">
              <w:t>20</w:t>
            </w:r>
          </w:p>
        </w:tc>
      </w:tr>
      <w:tr w:rsidR="00572DEF" w:rsidRPr="002E14F6" w14:paraId="507F2BFD" w14:textId="77777777" w:rsidTr="005F1ABD">
        <w:tc>
          <w:tcPr>
            <w:tcW w:w="9017" w:type="dxa"/>
            <w:gridSpan w:val="7"/>
          </w:tcPr>
          <w:p w14:paraId="45D9D2F7" w14:textId="77777777" w:rsidR="00572DEF" w:rsidRPr="0091151B" w:rsidRDefault="00572DEF" w:rsidP="005F1ABD">
            <w:pPr>
              <w:pStyle w:val="COMTableheadingrow"/>
              <w:rPr>
                <w:lang w:val="en-AU"/>
              </w:rPr>
            </w:pPr>
            <w:r w:rsidRPr="00AC7C58">
              <w:rPr>
                <w:lang w:val="en-AU"/>
              </w:rPr>
              <w:t>Time horizon 1 year</w:t>
            </w:r>
          </w:p>
        </w:tc>
      </w:tr>
      <w:tr w:rsidR="00572DEF" w:rsidRPr="002E14F6" w14:paraId="5972B77B" w14:textId="77777777" w:rsidTr="005F1ABD">
        <w:tc>
          <w:tcPr>
            <w:tcW w:w="1213" w:type="dxa"/>
          </w:tcPr>
          <w:p w14:paraId="39C77615" w14:textId="77777777" w:rsidR="00572DEF" w:rsidRPr="002E14F6" w:rsidRDefault="00572DEF" w:rsidP="005F1ABD">
            <w:pPr>
              <w:pStyle w:val="COMTabletext"/>
              <w:jc w:val="center"/>
            </w:pPr>
            <w:r w:rsidRPr="002E14F6">
              <w:t>50-59</w:t>
            </w:r>
          </w:p>
        </w:tc>
        <w:tc>
          <w:tcPr>
            <w:tcW w:w="1470" w:type="dxa"/>
          </w:tcPr>
          <w:p w14:paraId="3409D00F" w14:textId="77777777" w:rsidR="00572DEF" w:rsidRPr="00EC57D8" w:rsidRDefault="00572DEF" w:rsidP="005F1ABD">
            <w:pPr>
              <w:pStyle w:val="COMTabletext"/>
              <w:jc w:val="center"/>
            </w:pPr>
            <w:r w:rsidRPr="00EC57D8">
              <w:t>0.0010</w:t>
            </w:r>
          </w:p>
        </w:tc>
        <w:tc>
          <w:tcPr>
            <w:tcW w:w="1596" w:type="dxa"/>
          </w:tcPr>
          <w:p w14:paraId="777F8D69" w14:textId="77777777" w:rsidR="00572DEF" w:rsidRPr="00EC57D8" w:rsidRDefault="00572DEF" w:rsidP="005F1ABD">
            <w:pPr>
              <w:pStyle w:val="COMTabletext"/>
              <w:jc w:val="center"/>
            </w:pPr>
            <w:r w:rsidRPr="00EC57D8">
              <w:t>0.0033</w:t>
            </w:r>
          </w:p>
        </w:tc>
        <w:tc>
          <w:tcPr>
            <w:tcW w:w="1595" w:type="dxa"/>
          </w:tcPr>
          <w:p w14:paraId="7360FDA9" w14:textId="77777777" w:rsidR="00572DEF" w:rsidRPr="00EC57D8" w:rsidRDefault="00572DEF" w:rsidP="005F1ABD">
            <w:pPr>
              <w:pStyle w:val="COMTabletext"/>
              <w:jc w:val="center"/>
            </w:pPr>
            <w:r w:rsidRPr="00EC57D8">
              <w:t>0.0043</w:t>
            </w:r>
          </w:p>
        </w:tc>
        <w:tc>
          <w:tcPr>
            <w:tcW w:w="1047" w:type="dxa"/>
          </w:tcPr>
          <w:p w14:paraId="6AF03ACC" w14:textId="77777777" w:rsidR="00572DEF" w:rsidRPr="00EC57D8" w:rsidRDefault="00572DEF" w:rsidP="005F1ABD">
            <w:pPr>
              <w:pStyle w:val="COMTabletext"/>
              <w:jc w:val="center"/>
            </w:pPr>
            <w:r w:rsidRPr="00EC57D8">
              <w:t>993</w:t>
            </w:r>
          </w:p>
        </w:tc>
        <w:tc>
          <w:tcPr>
            <w:tcW w:w="1048" w:type="dxa"/>
          </w:tcPr>
          <w:p w14:paraId="1D0C8E6F" w14:textId="77777777" w:rsidR="00572DEF" w:rsidRPr="00EC57D8" w:rsidRDefault="00572DEF" w:rsidP="005F1ABD">
            <w:pPr>
              <w:pStyle w:val="COMTabletext"/>
              <w:jc w:val="center"/>
            </w:pPr>
            <w:r w:rsidRPr="00EC57D8">
              <w:t>303</w:t>
            </w:r>
          </w:p>
        </w:tc>
        <w:tc>
          <w:tcPr>
            <w:tcW w:w="1048" w:type="dxa"/>
          </w:tcPr>
          <w:p w14:paraId="05C10894" w14:textId="77777777" w:rsidR="00572DEF" w:rsidRPr="00EC57D8" w:rsidRDefault="00572DEF" w:rsidP="005F1ABD">
            <w:pPr>
              <w:pStyle w:val="COMTabletext"/>
              <w:jc w:val="center"/>
            </w:pPr>
            <w:r w:rsidRPr="00EC57D8">
              <w:t>232</w:t>
            </w:r>
          </w:p>
        </w:tc>
      </w:tr>
      <w:tr w:rsidR="00572DEF" w:rsidRPr="002E14F6" w14:paraId="7A33467A" w14:textId="77777777" w:rsidTr="005F1ABD">
        <w:tc>
          <w:tcPr>
            <w:tcW w:w="1213" w:type="dxa"/>
          </w:tcPr>
          <w:p w14:paraId="20F5DFD9" w14:textId="77777777" w:rsidR="00572DEF" w:rsidRPr="002E14F6" w:rsidRDefault="00572DEF" w:rsidP="005F1ABD">
            <w:pPr>
              <w:pStyle w:val="COMTabletext"/>
              <w:jc w:val="center"/>
            </w:pPr>
            <w:r w:rsidRPr="002E14F6">
              <w:t>60-64</w:t>
            </w:r>
          </w:p>
        </w:tc>
        <w:tc>
          <w:tcPr>
            <w:tcW w:w="1470" w:type="dxa"/>
          </w:tcPr>
          <w:p w14:paraId="13994C78" w14:textId="77777777" w:rsidR="00572DEF" w:rsidRPr="00EC57D8" w:rsidRDefault="00572DEF" w:rsidP="005F1ABD">
            <w:pPr>
              <w:pStyle w:val="COMTabletext"/>
              <w:jc w:val="center"/>
            </w:pPr>
            <w:r w:rsidRPr="00EC57D8">
              <w:t>0.0018</w:t>
            </w:r>
          </w:p>
        </w:tc>
        <w:tc>
          <w:tcPr>
            <w:tcW w:w="1596" w:type="dxa"/>
          </w:tcPr>
          <w:p w14:paraId="7B1759C1" w14:textId="77777777" w:rsidR="00572DEF" w:rsidRPr="00EC57D8" w:rsidRDefault="00572DEF" w:rsidP="005F1ABD">
            <w:pPr>
              <w:pStyle w:val="COMTabletext"/>
              <w:jc w:val="center"/>
            </w:pPr>
            <w:r w:rsidRPr="00EC57D8">
              <w:t>0.0043</w:t>
            </w:r>
          </w:p>
        </w:tc>
        <w:tc>
          <w:tcPr>
            <w:tcW w:w="1595" w:type="dxa"/>
          </w:tcPr>
          <w:p w14:paraId="49DB29DD" w14:textId="77777777" w:rsidR="00572DEF" w:rsidRPr="00EC57D8" w:rsidRDefault="00572DEF" w:rsidP="005F1ABD">
            <w:pPr>
              <w:pStyle w:val="COMTabletext"/>
              <w:jc w:val="center"/>
            </w:pPr>
            <w:r w:rsidRPr="00EC57D8">
              <w:t>0.0061</w:t>
            </w:r>
          </w:p>
        </w:tc>
        <w:tc>
          <w:tcPr>
            <w:tcW w:w="1047" w:type="dxa"/>
          </w:tcPr>
          <w:p w14:paraId="77E1DAB9" w14:textId="77777777" w:rsidR="00572DEF" w:rsidRPr="00EC57D8" w:rsidRDefault="00572DEF" w:rsidP="005F1ABD">
            <w:pPr>
              <w:pStyle w:val="COMTabletext"/>
              <w:jc w:val="center"/>
            </w:pPr>
            <w:r w:rsidRPr="00EC57D8">
              <w:t>547</w:t>
            </w:r>
          </w:p>
        </w:tc>
        <w:tc>
          <w:tcPr>
            <w:tcW w:w="1048" w:type="dxa"/>
          </w:tcPr>
          <w:p w14:paraId="2E90EA70" w14:textId="77777777" w:rsidR="00572DEF" w:rsidRPr="00EC57D8" w:rsidRDefault="00572DEF" w:rsidP="005F1ABD">
            <w:pPr>
              <w:pStyle w:val="COMTabletext"/>
              <w:jc w:val="center"/>
            </w:pPr>
            <w:r w:rsidRPr="00EC57D8">
              <w:t>234</w:t>
            </w:r>
          </w:p>
        </w:tc>
        <w:tc>
          <w:tcPr>
            <w:tcW w:w="1048" w:type="dxa"/>
          </w:tcPr>
          <w:p w14:paraId="087E8EA7" w14:textId="77777777" w:rsidR="00572DEF" w:rsidRPr="00EC57D8" w:rsidRDefault="00572DEF" w:rsidP="005F1ABD">
            <w:pPr>
              <w:pStyle w:val="COMTabletext"/>
              <w:jc w:val="center"/>
            </w:pPr>
            <w:r w:rsidRPr="00EC57D8">
              <w:t>164</w:t>
            </w:r>
          </w:p>
        </w:tc>
      </w:tr>
      <w:tr w:rsidR="00572DEF" w:rsidRPr="002E14F6" w14:paraId="235DA835" w14:textId="77777777" w:rsidTr="005F1ABD">
        <w:tc>
          <w:tcPr>
            <w:tcW w:w="1213" w:type="dxa"/>
          </w:tcPr>
          <w:p w14:paraId="1C239DCC" w14:textId="77777777" w:rsidR="00572DEF" w:rsidRPr="002E14F6" w:rsidRDefault="00572DEF" w:rsidP="005F1ABD">
            <w:pPr>
              <w:pStyle w:val="COMTabletext"/>
              <w:jc w:val="center"/>
            </w:pPr>
            <w:r w:rsidRPr="002E14F6">
              <w:t>65-69</w:t>
            </w:r>
          </w:p>
        </w:tc>
        <w:tc>
          <w:tcPr>
            <w:tcW w:w="1470" w:type="dxa"/>
          </w:tcPr>
          <w:p w14:paraId="1D696F1B" w14:textId="77777777" w:rsidR="00572DEF" w:rsidRPr="00EC57D8" w:rsidRDefault="00572DEF" w:rsidP="005F1ABD">
            <w:pPr>
              <w:pStyle w:val="COMTabletext"/>
              <w:jc w:val="center"/>
            </w:pPr>
            <w:r w:rsidRPr="00EC57D8">
              <w:t>0.0024</w:t>
            </w:r>
          </w:p>
        </w:tc>
        <w:tc>
          <w:tcPr>
            <w:tcW w:w="1596" w:type="dxa"/>
          </w:tcPr>
          <w:p w14:paraId="70D82A09" w14:textId="77777777" w:rsidR="00572DEF" w:rsidRPr="00EC57D8" w:rsidRDefault="00572DEF" w:rsidP="005F1ABD">
            <w:pPr>
              <w:pStyle w:val="COMTabletext"/>
              <w:jc w:val="center"/>
            </w:pPr>
            <w:r w:rsidRPr="00EC57D8">
              <w:t>0.0039</w:t>
            </w:r>
          </w:p>
        </w:tc>
        <w:tc>
          <w:tcPr>
            <w:tcW w:w="1595" w:type="dxa"/>
          </w:tcPr>
          <w:p w14:paraId="2FD18332" w14:textId="77777777" w:rsidR="00572DEF" w:rsidRPr="00EC57D8" w:rsidRDefault="00572DEF" w:rsidP="005F1ABD">
            <w:pPr>
              <w:pStyle w:val="COMTabletext"/>
              <w:jc w:val="center"/>
            </w:pPr>
            <w:r w:rsidRPr="00EC57D8">
              <w:t>0.0063</w:t>
            </w:r>
          </w:p>
        </w:tc>
        <w:tc>
          <w:tcPr>
            <w:tcW w:w="1047" w:type="dxa"/>
          </w:tcPr>
          <w:p w14:paraId="13A2EC9C" w14:textId="77777777" w:rsidR="00572DEF" w:rsidRPr="00EC57D8" w:rsidRDefault="00572DEF" w:rsidP="005F1ABD">
            <w:pPr>
              <w:pStyle w:val="COMTabletext"/>
              <w:jc w:val="center"/>
            </w:pPr>
            <w:r w:rsidRPr="00EC57D8">
              <w:t>415</w:t>
            </w:r>
          </w:p>
        </w:tc>
        <w:tc>
          <w:tcPr>
            <w:tcW w:w="1048" w:type="dxa"/>
          </w:tcPr>
          <w:p w14:paraId="6C5BCF2C" w14:textId="77777777" w:rsidR="00572DEF" w:rsidRPr="00EC57D8" w:rsidRDefault="00572DEF" w:rsidP="005F1ABD">
            <w:pPr>
              <w:pStyle w:val="COMTabletext"/>
              <w:jc w:val="center"/>
            </w:pPr>
            <w:r w:rsidRPr="00EC57D8">
              <w:t>257</w:t>
            </w:r>
          </w:p>
        </w:tc>
        <w:tc>
          <w:tcPr>
            <w:tcW w:w="1048" w:type="dxa"/>
          </w:tcPr>
          <w:p w14:paraId="1927B529" w14:textId="77777777" w:rsidR="00572DEF" w:rsidRPr="00EC57D8" w:rsidRDefault="00572DEF" w:rsidP="005F1ABD">
            <w:pPr>
              <w:pStyle w:val="COMTabletext"/>
              <w:jc w:val="center"/>
            </w:pPr>
            <w:r w:rsidRPr="00EC57D8">
              <w:t>159</w:t>
            </w:r>
          </w:p>
        </w:tc>
      </w:tr>
    </w:tbl>
    <w:p w14:paraId="5B0AC993" w14:textId="77777777" w:rsidR="00572DEF" w:rsidRPr="002E14F6" w:rsidRDefault="00572DEF" w:rsidP="00572DEF">
      <w:pPr>
        <w:pStyle w:val="COMTablefooter"/>
      </w:pPr>
      <w:r w:rsidRPr="002E14F6">
        <w:t>Source: constructed during the evaluation based on ‘Attachment 5 Risedronate DR_economic evaluation’ Excel workbook of the submission</w:t>
      </w:r>
    </w:p>
    <w:p w14:paraId="11CCB708" w14:textId="2B5B7A13" w:rsidR="00572DEF" w:rsidRPr="00966B2C" w:rsidRDefault="00572DEF" w:rsidP="00DC4D12">
      <w:pPr>
        <w:widowControl w:val="0"/>
        <w:numPr>
          <w:ilvl w:val="1"/>
          <w:numId w:val="1"/>
        </w:numPr>
        <w:spacing w:after="120"/>
        <w:ind w:left="720" w:hanging="720"/>
        <w:rPr>
          <w:bCs/>
        </w:rPr>
      </w:pPr>
      <w:r w:rsidRPr="00DC4D12">
        <w:rPr>
          <w:rFonts w:asciiTheme="minorHAnsi" w:hAnsiTheme="minorHAnsi"/>
          <w:bCs/>
          <w:snapToGrid w:val="0"/>
        </w:rPr>
        <w:t xml:space="preserve">As expected, the magnitude of fractures avoided </w:t>
      </w:r>
      <w:r w:rsidR="003356D0" w:rsidRPr="00DC4D12">
        <w:rPr>
          <w:rFonts w:asciiTheme="minorHAnsi" w:hAnsiTheme="minorHAnsi"/>
          <w:bCs/>
          <w:snapToGrid w:val="0"/>
        </w:rPr>
        <w:t xml:space="preserve">was </w:t>
      </w:r>
      <w:r w:rsidR="00883EF9" w:rsidRPr="00DC4D12">
        <w:rPr>
          <w:rFonts w:asciiTheme="minorHAnsi" w:hAnsiTheme="minorHAnsi"/>
          <w:bCs/>
          <w:snapToGrid w:val="0"/>
        </w:rPr>
        <w:t>s</w:t>
      </w:r>
      <w:r w:rsidR="00D30777" w:rsidRPr="00DC4D12">
        <w:rPr>
          <w:rFonts w:asciiTheme="minorHAnsi" w:hAnsiTheme="minorHAnsi"/>
          <w:bCs/>
          <w:snapToGrid w:val="0"/>
        </w:rPr>
        <w:t xml:space="preserve">ubstantially </w:t>
      </w:r>
      <w:r w:rsidR="003356D0" w:rsidRPr="00DC4D12">
        <w:rPr>
          <w:rFonts w:asciiTheme="minorHAnsi" w:hAnsiTheme="minorHAnsi"/>
          <w:bCs/>
          <w:snapToGrid w:val="0"/>
        </w:rPr>
        <w:t>lower</w:t>
      </w:r>
      <w:r w:rsidR="00AD1C78" w:rsidRPr="00DC4D12">
        <w:rPr>
          <w:rFonts w:asciiTheme="minorHAnsi" w:hAnsiTheme="minorHAnsi"/>
          <w:bCs/>
          <w:snapToGrid w:val="0"/>
        </w:rPr>
        <w:t xml:space="preserve"> with 1 year of treatment</w:t>
      </w:r>
      <w:r w:rsidR="003356D0" w:rsidRPr="00DC4D12">
        <w:rPr>
          <w:rFonts w:asciiTheme="minorHAnsi" w:hAnsiTheme="minorHAnsi"/>
          <w:bCs/>
          <w:snapToGrid w:val="0"/>
        </w:rPr>
        <w:t xml:space="preserve">, yielding </w:t>
      </w:r>
      <w:r w:rsidR="00883EF9" w:rsidRPr="00DC4D12">
        <w:rPr>
          <w:rFonts w:asciiTheme="minorHAnsi" w:hAnsiTheme="minorHAnsi"/>
          <w:bCs/>
          <w:snapToGrid w:val="0"/>
        </w:rPr>
        <w:t xml:space="preserve">higher </w:t>
      </w:r>
      <w:r w:rsidRPr="00DC4D12">
        <w:rPr>
          <w:rFonts w:asciiTheme="minorHAnsi" w:hAnsiTheme="minorHAnsi"/>
          <w:bCs/>
          <w:snapToGrid w:val="0"/>
        </w:rPr>
        <w:t xml:space="preserve">NNTs </w:t>
      </w:r>
      <w:r w:rsidR="00AD1C78" w:rsidRPr="00DC4D12">
        <w:rPr>
          <w:rFonts w:asciiTheme="minorHAnsi" w:hAnsiTheme="minorHAnsi"/>
          <w:bCs/>
          <w:snapToGrid w:val="0"/>
        </w:rPr>
        <w:t xml:space="preserve">compared to </w:t>
      </w:r>
      <w:r w:rsidRPr="00DC4D12">
        <w:rPr>
          <w:rFonts w:asciiTheme="minorHAnsi" w:hAnsiTheme="minorHAnsi"/>
          <w:bCs/>
          <w:snapToGrid w:val="0"/>
        </w:rPr>
        <w:t>the base case assuming 20 years of treatment. The NNT in younger patients was higher compared to older patients, which is expected given differences in underlying fracture risk.</w:t>
      </w:r>
    </w:p>
    <w:p w14:paraId="7D618106" w14:textId="62BA87F1" w:rsidR="00572DEF" w:rsidRPr="00966B2C" w:rsidRDefault="00572DEF" w:rsidP="00DC4D12">
      <w:pPr>
        <w:widowControl w:val="0"/>
        <w:numPr>
          <w:ilvl w:val="1"/>
          <w:numId w:val="1"/>
        </w:numPr>
        <w:spacing w:after="120"/>
        <w:ind w:left="720" w:hanging="720"/>
        <w:rPr>
          <w:bCs/>
        </w:rPr>
      </w:pPr>
      <w:r w:rsidRPr="00DC4D12">
        <w:rPr>
          <w:rFonts w:asciiTheme="minorHAnsi" w:hAnsiTheme="minorHAnsi"/>
          <w:bCs/>
          <w:snapToGrid w:val="0"/>
        </w:rPr>
        <w:t>For every 1,000 patients treated with early risedronate EC versus delayed standard of care therapies (based on age or fracture status, whichever occurs first) and followed up for 20 years, the economic evaluation (using undiscounted costs and outcomes) estimates that there would be:</w:t>
      </w:r>
      <w:r w:rsidR="00C0666C" w:rsidRPr="00C0666C">
        <w:t xml:space="preserve"> </w:t>
      </w:r>
    </w:p>
    <w:p w14:paraId="209FC76E" w14:textId="149A926B" w:rsidR="00572DEF" w:rsidRPr="001A75FD" w:rsidRDefault="00572DEF" w:rsidP="00E667D9">
      <w:pPr>
        <w:pStyle w:val="COMexecsummbulletlist"/>
        <w:spacing w:after="0"/>
        <w:ind w:left="1134"/>
      </w:pPr>
      <w:r w:rsidRPr="001A75FD">
        <w:t xml:space="preserve">additional early risedronate EC treatment costs of </w:t>
      </w:r>
      <w:r w:rsidR="00C0666C" w:rsidRPr="00C0666C">
        <w:rPr>
          <w:bCs/>
        </w:rPr>
        <w:t>$0</w:t>
      </w:r>
      <w:r w:rsidR="004E1B4A">
        <w:rPr>
          <w:bCs/>
        </w:rPr>
        <w:t> </w:t>
      </w:r>
      <w:r w:rsidR="00C0666C" w:rsidRPr="00C0666C">
        <w:rPr>
          <w:bCs/>
        </w:rPr>
        <w:t>to</w:t>
      </w:r>
      <w:r w:rsidR="004E1B4A">
        <w:rPr>
          <w:bCs/>
        </w:rPr>
        <w:t> </w:t>
      </w:r>
      <w:r w:rsidR="00C0666C" w:rsidRPr="00C0666C">
        <w:rPr>
          <w:bCs/>
        </w:rPr>
        <w:t>&lt;</w:t>
      </w:r>
      <w:r w:rsidR="004E1B4A">
        <w:rPr>
          <w:bCs/>
        </w:rPr>
        <w:t> </w:t>
      </w:r>
      <w:r w:rsidR="00C0666C" w:rsidRPr="00C0666C">
        <w:rPr>
          <w:bCs/>
        </w:rPr>
        <w:t>$10 million</w:t>
      </w:r>
      <w:r w:rsidRPr="001A75FD">
        <w:t xml:space="preserve">, comprising risedronate EC drug costs of </w:t>
      </w:r>
      <w:r w:rsidR="00C0666C" w:rsidRPr="00C0666C">
        <w:rPr>
          <w:bCs/>
        </w:rPr>
        <w:t>$0</w:t>
      </w:r>
      <w:r w:rsidR="004E1B4A">
        <w:rPr>
          <w:bCs/>
        </w:rPr>
        <w:t> </w:t>
      </w:r>
      <w:r w:rsidR="00C0666C" w:rsidRPr="00C0666C">
        <w:rPr>
          <w:bCs/>
        </w:rPr>
        <w:t>to</w:t>
      </w:r>
      <w:r w:rsidR="004E1B4A">
        <w:rPr>
          <w:bCs/>
        </w:rPr>
        <w:t> </w:t>
      </w:r>
      <w:r w:rsidR="00C0666C" w:rsidRPr="00C0666C">
        <w:rPr>
          <w:bCs/>
        </w:rPr>
        <w:t>&lt;</w:t>
      </w:r>
      <w:r w:rsidR="004E1B4A">
        <w:rPr>
          <w:bCs/>
        </w:rPr>
        <w:t> </w:t>
      </w:r>
      <w:r w:rsidR="00C0666C" w:rsidRPr="00C0666C">
        <w:rPr>
          <w:bCs/>
        </w:rPr>
        <w:t>$10 million</w:t>
      </w:r>
      <w:r w:rsidR="00C0666C" w:rsidRPr="001A75FD" w:rsidDel="00C0666C">
        <w:t xml:space="preserve"> </w:t>
      </w:r>
      <w:r w:rsidRPr="001A75FD">
        <w:t xml:space="preserve">that were largely offset by savings in the delayed use of standard of care treatments of $4.23 million.    </w:t>
      </w:r>
    </w:p>
    <w:p w14:paraId="2CB2915E" w14:textId="3A58F07B" w:rsidR="00572DEF" w:rsidRPr="001A75FD" w:rsidRDefault="00572DEF" w:rsidP="00E667D9">
      <w:pPr>
        <w:pStyle w:val="COMexecsummbulletlist"/>
        <w:ind w:left="1134"/>
      </w:pPr>
      <w:r w:rsidRPr="001A75FD">
        <w:t>50 fractures avoided, comprising 18 hip fractures and 32 non-hip fractures; which would result in additional $266,508 in monitoring costs</w:t>
      </w:r>
      <w:r w:rsidR="00063D3E" w:rsidRPr="001A75FD">
        <w:t xml:space="preserve"> (</w:t>
      </w:r>
      <w:r w:rsidR="005463DD" w:rsidRPr="001A75FD">
        <w:t>not including BMD screening costs for eligibility)</w:t>
      </w:r>
      <w:r w:rsidRPr="001A75FD">
        <w:t>, save $1.77 million in acute and chronic fracture costs, be associated with improved quality of life and result in an average of 20.6 life years gained.</w:t>
      </w:r>
    </w:p>
    <w:p w14:paraId="5A8834BD" w14:textId="1C841E13" w:rsidR="00572DEF" w:rsidRPr="00966B2C" w:rsidRDefault="00DD2167" w:rsidP="00510454">
      <w:pPr>
        <w:widowControl w:val="0"/>
        <w:numPr>
          <w:ilvl w:val="1"/>
          <w:numId w:val="1"/>
        </w:numPr>
        <w:spacing w:after="120"/>
        <w:ind w:left="720" w:hanging="720"/>
        <w:rPr>
          <w:bCs/>
        </w:rPr>
      </w:pPr>
      <w:r w:rsidRPr="00DC4D12">
        <w:rPr>
          <w:rFonts w:asciiTheme="minorHAnsi" w:hAnsiTheme="minorHAnsi"/>
          <w:bCs/>
          <w:snapToGrid w:val="0"/>
        </w:rPr>
        <w:t xml:space="preserve">The results of </w:t>
      </w:r>
      <w:r w:rsidR="00A42255" w:rsidRPr="00DC4D12">
        <w:rPr>
          <w:rFonts w:asciiTheme="minorHAnsi" w:hAnsiTheme="minorHAnsi"/>
          <w:bCs/>
          <w:snapToGrid w:val="0"/>
        </w:rPr>
        <w:t xml:space="preserve">key </w:t>
      </w:r>
      <w:r w:rsidRPr="00DC4D12">
        <w:rPr>
          <w:rFonts w:asciiTheme="minorHAnsi" w:hAnsiTheme="minorHAnsi"/>
          <w:bCs/>
          <w:snapToGrid w:val="0"/>
        </w:rPr>
        <w:t xml:space="preserve">sensitivity analyses presented in the submission and conducted during the evaluation are summarised in </w:t>
      </w:r>
      <w:r w:rsidR="00F93E00" w:rsidRPr="00DC4D12">
        <w:rPr>
          <w:rFonts w:asciiTheme="minorHAnsi" w:hAnsiTheme="minorHAnsi"/>
          <w:bCs/>
          <w:snapToGrid w:val="0"/>
        </w:rPr>
        <w:fldChar w:fldCharType="begin" w:fldLock="1"/>
      </w:r>
      <w:r w:rsidR="00F93E00" w:rsidRPr="00DC4D12">
        <w:rPr>
          <w:rFonts w:asciiTheme="minorHAnsi" w:hAnsiTheme="minorHAnsi"/>
          <w:bCs/>
          <w:snapToGrid w:val="0"/>
        </w:rPr>
        <w:instrText xml:space="preserve"> REF _Ref112667978 \h </w:instrText>
      </w:r>
      <w:r w:rsidR="001A75FD" w:rsidRPr="00DC4D12">
        <w:rPr>
          <w:rFonts w:asciiTheme="minorHAnsi" w:hAnsiTheme="minorHAnsi"/>
          <w:bCs/>
          <w:snapToGrid w:val="0"/>
        </w:rPr>
        <w:instrText xml:space="preserve"> \* MERGEFORMAT </w:instrText>
      </w:r>
      <w:r w:rsidR="00F93E00" w:rsidRPr="00DC4D12">
        <w:rPr>
          <w:rFonts w:asciiTheme="minorHAnsi" w:hAnsiTheme="minorHAnsi"/>
          <w:bCs/>
          <w:snapToGrid w:val="0"/>
        </w:rPr>
      </w:r>
      <w:r w:rsidR="00F93E00" w:rsidRPr="00DC4D12">
        <w:rPr>
          <w:rFonts w:asciiTheme="minorHAnsi" w:hAnsiTheme="minorHAnsi"/>
          <w:bCs/>
          <w:snapToGrid w:val="0"/>
        </w:rPr>
        <w:fldChar w:fldCharType="separate"/>
      </w:r>
      <w:r w:rsidR="00F93E00" w:rsidRPr="00DC4D12">
        <w:rPr>
          <w:rFonts w:asciiTheme="minorHAnsi" w:hAnsiTheme="minorHAnsi"/>
          <w:bCs/>
          <w:snapToGrid w:val="0"/>
        </w:rPr>
        <w:t>Table 13</w:t>
      </w:r>
      <w:r w:rsidR="00F93E00" w:rsidRPr="00DC4D12">
        <w:rPr>
          <w:rFonts w:asciiTheme="minorHAnsi" w:hAnsiTheme="minorHAnsi"/>
          <w:bCs/>
          <w:snapToGrid w:val="0"/>
        </w:rPr>
        <w:fldChar w:fldCharType="end"/>
      </w:r>
      <w:r w:rsidRPr="00DC4D12">
        <w:rPr>
          <w:rFonts w:asciiTheme="minorHAnsi" w:hAnsiTheme="minorHAnsi"/>
          <w:bCs/>
          <w:snapToGrid w:val="0"/>
        </w:rPr>
        <w:t xml:space="preserve"> below.</w:t>
      </w:r>
      <w:r w:rsidR="0054362D" w:rsidRPr="00DC4D12">
        <w:rPr>
          <w:rFonts w:asciiTheme="minorHAnsi" w:hAnsiTheme="minorHAnsi"/>
          <w:bCs/>
          <w:snapToGrid w:val="0"/>
        </w:rPr>
        <w:t xml:space="preserve"> </w:t>
      </w:r>
    </w:p>
    <w:p w14:paraId="19CC745D" w14:textId="7CEB9EF0" w:rsidR="00A42255" w:rsidRPr="002E14F6" w:rsidRDefault="00F93E00" w:rsidP="00510454">
      <w:pPr>
        <w:pStyle w:val="COMtablefigcaption"/>
        <w:keepNext w:val="0"/>
      </w:pPr>
      <w:bookmarkStart w:id="51" w:name="_Ref112667978"/>
      <w:r>
        <w:t xml:space="preserve">Table </w:t>
      </w:r>
      <w:r w:rsidR="00400174">
        <w:fldChar w:fldCharType="begin" w:fldLock="1"/>
      </w:r>
      <w:r w:rsidR="00400174">
        <w:instrText xml:space="preserve"> SEQ Table \* ARABIC </w:instrText>
      </w:r>
      <w:r w:rsidR="00400174">
        <w:fldChar w:fldCharType="separate"/>
      </w:r>
      <w:r w:rsidR="00C2719F">
        <w:rPr>
          <w:noProof/>
        </w:rPr>
        <w:t>13</w:t>
      </w:r>
      <w:r w:rsidR="00400174">
        <w:rPr>
          <w:noProof/>
        </w:rPr>
        <w:fldChar w:fldCharType="end"/>
      </w:r>
      <w:bookmarkEnd w:id="51"/>
      <w:r>
        <w:t xml:space="preserve">: </w:t>
      </w:r>
      <w:r w:rsidRPr="00F93E00">
        <w:t>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Sensitivity analyses"/>
      </w:tblPr>
      <w:tblGrid>
        <w:gridCol w:w="4106"/>
        <w:gridCol w:w="1349"/>
        <w:gridCol w:w="1315"/>
        <w:gridCol w:w="1165"/>
        <w:gridCol w:w="1082"/>
      </w:tblGrid>
      <w:tr w:rsidR="00A42255" w:rsidRPr="002E14F6" w14:paraId="381DDB76" w14:textId="77777777" w:rsidTr="00510454">
        <w:trPr>
          <w:tblHeader/>
        </w:trPr>
        <w:tc>
          <w:tcPr>
            <w:tcW w:w="2277" w:type="pct"/>
            <w:vAlign w:val="center"/>
          </w:tcPr>
          <w:p w14:paraId="5398DC8A" w14:textId="77777777" w:rsidR="00A42255" w:rsidRPr="002E14F6" w:rsidRDefault="00A42255" w:rsidP="00510454">
            <w:pPr>
              <w:pStyle w:val="COMTableheadingrow"/>
              <w:keepNext w:val="0"/>
              <w:rPr>
                <w:lang w:val="en-AU"/>
              </w:rPr>
            </w:pPr>
            <w:r w:rsidRPr="002E14F6">
              <w:rPr>
                <w:lang w:val="en-AU"/>
              </w:rPr>
              <w:t>Analyses</w:t>
            </w:r>
          </w:p>
        </w:tc>
        <w:tc>
          <w:tcPr>
            <w:tcW w:w="748" w:type="pct"/>
            <w:tcBorders>
              <w:bottom w:val="single" w:sz="4" w:space="0" w:color="auto"/>
            </w:tcBorders>
            <w:vAlign w:val="center"/>
          </w:tcPr>
          <w:p w14:paraId="2A518249" w14:textId="3D91A9E7" w:rsidR="00A42255" w:rsidRPr="002E14F6" w:rsidRDefault="00A42255" w:rsidP="00510454">
            <w:pPr>
              <w:pStyle w:val="COMTableheadingrow"/>
              <w:keepNext w:val="0"/>
              <w:jc w:val="center"/>
              <w:rPr>
                <w:lang w:val="en-AU"/>
              </w:rPr>
            </w:pPr>
            <w:r w:rsidRPr="002E14F6">
              <w:rPr>
                <w:lang w:val="en-AU"/>
              </w:rPr>
              <w:t>Incremental cost</w:t>
            </w:r>
            <w:r w:rsidR="00C0666C">
              <w:rPr>
                <w:lang w:val="en-AU"/>
              </w:rPr>
              <w:t xml:space="preserve"> ($)</w:t>
            </w:r>
          </w:p>
        </w:tc>
        <w:tc>
          <w:tcPr>
            <w:tcW w:w="729" w:type="pct"/>
            <w:vAlign w:val="center"/>
          </w:tcPr>
          <w:p w14:paraId="13FFF06E" w14:textId="77777777" w:rsidR="00A42255" w:rsidRPr="002E14F6" w:rsidRDefault="00A42255" w:rsidP="00510454">
            <w:pPr>
              <w:pStyle w:val="COMTableheadingrow"/>
              <w:keepNext w:val="0"/>
              <w:jc w:val="center"/>
              <w:rPr>
                <w:lang w:val="en-AU"/>
              </w:rPr>
            </w:pPr>
            <w:r w:rsidRPr="002E14F6">
              <w:rPr>
                <w:lang w:val="en-AU"/>
              </w:rPr>
              <w:t>Incremental QALY</w:t>
            </w:r>
          </w:p>
        </w:tc>
        <w:tc>
          <w:tcPr>
            <w:tcW w:w="646" w:type="pct"/>
            <w:vAlign w:val="center"/>
          </w:tcPr>
          <w:p w14:paraId="5CB7717E" w14:textId="77777777" w:rsidR="00A42255" w:rsidRPr="002E14F6" w:rsidRDefault="00A42255" w:rsidP="00510454">
            <w:pPr>
              <w:pStyle w:val="COMTableheadingrow"/>
              <w:keepNext w:val="0"/>
              <w:jc w:val="center"/>
              <w:rPr>
                <w:lang w:val="en-AU"/>
              </w:rPr>
            </w:pPr>
            <w:r w:rsidRPr="002E14F6">
              <w:rPr>
                <w:lang w:val="en-AU"/>
              </w:rPr>
              <w:t>ICER</w:t>
            </w:r>
          </w:p>
        </w:tc>
        <w:tc>
          <w:tcPr>
            <w:tcW w:w="600" w:type="pct"/>
            <w:vAlign w:val="center"/>
          </w:tcPr>
          <w:p w14:paraId="0489DE32" w14:textId="77777777" w:rsidR="00A42255" w:rsidRPr="002E14F6" w:rsidRDefault="00A42255" w:rsidP="00510454">
            <w:pPr>
              <w:pStyle w:val="COMTableheadingrow"/>
              <w:keepNext w:val="0"/>
              <w:jc w:val="center"/>
              <w:rPr>
                <w:lang w:val="en-AU"/>
              </w:rPr>
            </w:pPr>
            <w:r w:rsidRPr="002E14F6">
              <w:rPr>
                <w:lang w:val="en-AU"/>
              </w:rPr>
              <w:t>% change to ICER</w:t>
            </w:r>
          </w:p>
        </w:tc>
      </w:tr>
      <w:tr w:rsidR="00A42255" w:rsidRPr="002E14F6" w14:paraId="118F092F" w14:textId="77777777" w:rsidTr="00510454">
        <w:tc>
          <w:tcPr>
            <w:tcW w:w="2277" w:type="pct"/>
          </w:tcPr>
          <w:p w14:paraId="6C7919A7" w14:textId="77777777" w:rsidR="00A42255" w:rsidRPr="002E14F6" w:rsidRDefault="00A42255" w:rsidP="00510454">
            <w:pPr>
              <w:pStyle w:val="COMTabletext"/>
              <w:keepNext w:val="0"/>
              <w:rPr>
                <w:b/>
              </w:rPr>
            </w:pPr>
            <w:r w:rsidRPr="002E14F6">
              <w:rPr>
                <w:b/>
              </w:rPr>
              <w:t>Base case</w:t>
            </w:r>
          </w:p>
        </w:tc>
        <w:tc>
          <w:tcPr>
            <w:tcW w:w="748" w:type="pct"/>
            <w:shd w:val="solid" w:color="000000" w:fill="000000"/>
          </w:tcPr>
          <w:p w14:paraId="7CDA090F" w14:textId="74671FFC" w:rsidR="00A42255" w:rsidRPr="002E14F6" w:rsidRDefault="00C0674E" w:rsidP="00510454">
            <w:pPr>
              <w:pStyle w:val="COMTabletext"/>
              <w:keepNext w:val="0"/>
              <w:jc w:val="center"/>
              <w:rPr>
                <w:b/>
                <w:highlight w:val="black"/>
              </w:rPr>
            </w:pPr>
            <w:r w:rsidRPr="00C0674E">
              <w:rPr>
                <w:b/>
                <w:color w:val="000000"/>
                <w14:textFill>
                  <w14:solidFill>
                    <w14:srgbClr w14:val="000000">
                      <w14:alpha w14:val="100000"/>
                    </w14:srgbClr>
                  </w14:solidFill>
                </w14:textFill>
              </w:rPr>
              <w:t>|</w:t>
            </w:r>
          </w:p>
        </w:tc>
        <w:tc>
          <w:tcPr>
            <w:tcW w:w="729" w:type="pct"/>
          </w:tcPr>
          <w:p w14:paraId="539A8C25" w14:textId="77777777" w:rsidR="00A42255" w:rsidRPr="002E14F6" w:rsidRDefault="00A42255" w:rsidP="00510454">
            <w:pPr>
              <w:pStyle w:val="COMTabletext"/>
              <w:keepNext w:val="0"/>
              <w:jc w:val="center"/>
              <w:rPr>
                <w:b/>
              </w:rPr>
            </w:pPr>
            <w:r w:rsidRPr="002E14F6">
              <w:rPr>
                <w:b/>
              </w:rPr>
              <w:t>0.044</w:t>
            </w:r>
          </w:p>
        </w:tc>
        <w:tc>
          <w:tcPr>
            <w:tcW w:w="646" w:type="pct"/>
          </w:tcPr>
          <w:p w14:paraId="6AFF3F7B" w14:textId="4812EB9B" w:rsidR="00A42255" w:rsidRPr="002E14F6" w:rsidRDefault="00C0674E" w:rsidP="00510454">
            <w:pPr>
              <w:pStyle w:val="COMTabletext"/>
              <w:keepNext w:val="0"/>
              <w:jc w:val="center"/>
              <w:rPr>
                <w:b/>
                <w:highlight w:val="black"/>
              </w:rPr>
            </w:pPr>
            <w:r w:rsidRPr="00140812">
              <w:rPr>
                <w:rFonts w:hint="eastAsia"/>
                <w:b/>
                <w:color w:val="000000"/>
                <w:w w:val="15"/>
                <w:shd w:val="solid" w:color="000000" w:fill="000000"/>
                <w:fitText w:val="60" w:id="-1301087744"/>
                <w14:textFill>
                  <w14:solidFill>
                    <w14:srgbClr w14:val="000000">
                      <w14:alpha w14:val="100000"/>
                    </w14:srgbClr>
                  </w14:solidFill>
                </w14:textFill>
              </w:rPr>
              <w:t xml:space="preserve">　</w:t>
            </w:r>
            <w:r w:rsidRPr="00140812">
              <w:rPr>
                <w:b/>
                <w:color w:val="000000"/>
                <w:w w:val="15"/>
                <w:shd w:val="solid" w:color="000000" w:fill="000000"/>
                <w:fitText w:val="60" w:id="-1301087744"/>
                <w14:textFill>
                  <w14:solidFill>
                    <w14:srgbClr w14:val="000000">
                      <w14:alpha w14:val="100000"/>
                    </w14:srgbClr>
                  </w14:solidFill>
                </w14:textFill>
              </w:rPr>
              <w:t>|</w:t>
            </w:r>
            <w:r w:rsidRPr="00140812">
              <w:rPr>
                <w:rFonts w:hint="eastAsia"/>
                <w:b/>
                <w:color w:val="000000"/>
                <w:w w:val="15"/>
                <w:shd w:val="solid" w:color="000000" w:fill="000000"/>
                <w:fitText w:val="60" w:id="-1301087744"/>
                <w14:textFill>
                  <w14:solidFill>
                    <w14:srgbClr w14:val="000000">
                      <w14:alpha w14:val="100000"/>
                    </w14:srgbClr>
                  </w14:solidFill>
                </w14:textFill>
              </w:rPr>
              <w:t xml:space="preserve">　</w:t>
            </w:r>
            <w:r w:rsidR="003013CE">
              <w:rPr>
                <w:vertAlign w:val="superscript"/>
              </w:rPr>
              <w:t>1</w:t>
            </w:r>
          </w:p>
        </w:tc>
        <w:tc>
          <w:tcPr>
            <w:tcW w:w="600" w:type="pct"/>
          </w:tcPr>
          <w:p w14:paraId="5D333BEE" w14:textId="77777777" w:rsidR="00A42255" w:rsidRPr="002E14F6" w:rsidRDefault="00A42255" w:rsidP="00510454">
            <w:pPr>
              <w:pStyle w:val="COMTabletext"/>
              <w:keepNext w:val="0"/>
              <w:jc w:val="center"/>
              <w:rPr>
                <w:rFonts w:eastAsia="Calibri"/>
                <w:b/>
                <w:szCs w:val="20"/>
              </w:rPr>
            </w:pPr>
            <w:r w:rsidRPr="002E14F6">
              <w:rPr>
                <w:rFonts w:eastAsia="Calibri"/>
                <w:b/>
                <w:szCs w:val="20"/>
              </w:rPr>
              <w:t>-</w:t>
            </w:r>
          </w:p>
        </w:tc>
      </w:tr>
      <w:tr w:rsidR="00A42255" w:rsidRPr="002E14F6" w14:paraId="78753567" w14:textId="77777777" w:rsidTr="00510454">
        <w:tc>
          <w:tcPr>
            <w:tcW w:w="5000" w:type="pct"/>
            <w:gridSpan w:val="5"/>
          </w:tcPr>
          <w:p w14:paraId="375FFCE2" w14:textId="77777777" w:rsidR="00A42255" w:rsidRPr="002E14F6" w:rsidRDefault="00A42255" w:rsidP="00510454">
            <w:pPr>
              <w:pStyle w:val="COMTableheadingrow"/>
              <w:keepNext w:val="0"/>
              <w:rPr>
                <w:lang w:val="en-AU"/>
              </w:rPr>
            </w:pPr>
            <w:r w:rsidRPr="002E14F6">
              <w:rPr>
                <w:lang w:val="en-AU"/>
              </w:rPr>
              <w:t>Background non-hip fracture risk calculation for treated patients (base case calculation used any fracture risk minus hip fracture risk that was adjusted for treatment effect)</w:t>
            </w:r>
          </w:p>
        </w:tc>
      </w:tr>
      <w:tr w:rsidR="00A42255" w:rsidRPr="002E14F6" w14:paraId="48F5DCD1" w14:textId="77777777" w:rsidTr="00510454">
        <w:tc>
          <w:tcPr>
            <w:tcW w:w="2277" w:type="pct"/>
          </w:tcPr>
          <w:p w14:paraId="438E9F50" w14:textId="68309A80" w:rsidR="00A42255" w:rsidRPr="00EC57D8" w:rsidRDefault="00A42255" w:rsidP="00510454">
            <w:pPr>
              <w:pStyle w:val="COMTabletext"/>
              <w:keepNext w:val="0"/>
              <w:rPr>
                <w:bCs w:val="0"/>
                <w:vertAlign w:val="superscript"/>
              </w:rPr>
            </w:pPr>
            <w:r w:rsidRPr="00EC57D8">
              <w:rPr>
                <w:bCs w:val="0"/>
              </w:rPr>
              <w:t>Calculation using unadjusted hip fracture risk</w:t>
            </w:r>
            <w:r w:rsidR="00FE1857" w:rsidRPr="00EC57D8">
              <w:rPr>
                <w:bCs w:val="0"/>
                <w:vertAlign w:val="superscript"/>
              </w:rPr>
              <w:t>a</w:t>
            </w:r>
          </w:p>
        </w:tc>
        <w:tc>
          <w:tcPr>
            <w:tcW w:w="748" w:type="pct"/>
            <w:shd w:val="solid" w:color="000000" w:fill="000000"/>
          </w:tcPr>
          <w:p w14:paraId="5182934F" w14:textId="5204098E" w:rsidR="00A42255" w:rsidRPr="00EC57D8" w:rsidRDefault="00C0674E" w:rsidP="00510454">
            <w:pPr>
              <w:pStyle w:val="COMTabletext"/>
              <w:keepNext w:val="0"/>
              <w:jc w:val="center"/>
              <w:rPr>
                <w:bCs w:val="0"/>
              </w:rPr>
            </w:pPr>
            <w:r w:rsidRPr="00C0674E">
              <w:rPr>
                <w:bCs w:val="0"/>
                <w:color w:val="000000"/>
                <w14:textFill>
                  <w14:solidFill>
                    <w14:srgbClr w14:val="000000">
                      <w14:alpha w14:val="100000"/>
                    </w14:srgbClr>
                  </w14:solidFill>
                </w14:textFill>
              </w:rPr>
              <w:t>|</w:t>
            </w:r>
          </w:p>
        </w:tc>
        <w:tc>
          <w:tcPr>
            <w:tcW w:w="729" w:type="pct"/>
          </w:tcPr>
          <w:p w14:paraId="195A0FF9" w14:textId="77777777" w:rsidR="00A42255" w:rsidRPr="00EC57D8" w:rsidRDefault="00A42255" w:rsidP="00510454">
            <w:pPr>
              <w:pStyle w:val="COMTabletext"/>
              <w:keepNext w:val="0"/>
              <w:jc w:val="center"/>
              <w:rPr>
                <w:bCs w:val="0"/>
              </w:rPr>
            </w:pPr>
            <w:r w:rsidRPr="00EC57D8">
              <w:rPr>
                <w:bCs w:val="0"/>
              </w:rPr>
              <w:t>0.045</w:t>
            </w:r>
          </w:p>
        </w:tc>
        <w:tc>
          <w:tcPr>
            <w:tcW w:w="646" w:type="pct"/>
          </w:tcPr>
          <w:p w14:paraId="2F2387DE" w14:textId="772F1D92" w:rsidR="00A42255" w:rsidRPr="00EC57D8" w:rsidRDefault="00C0674E" w:rsidP="00510454">
            <w:pPr>
              <w:pStyle w:val="COMTabletext"/>
              <w:keepNext w:val="0"/>
              <w:jc w:val="center"/>
              <w:rPr>
                <w:bCs w:val="0"/>
              </w:rPr>
            </w:pPr>
            <w:r w:rsidRPr="00400174">
              <w:rPr>
                <w:rFonts w:hint="eastAsia"/>
                <w:bCs w:val="0"/>
                <w:color w:val="000000"/>
                <w:w w:val="15"/>
                <w:shd w:val="solid" w:color="000000" w:fill="000000"/>
                <w:fitText w:val="10" w:id="-1301087743"/>
                <w14:textFill>
                  <w14:solidFill>
                    <w14:srgbClr w14:val="000000">
                      <w14:alpha w14:val="100000"/>
                    </w14:srgbClr>
                  </w14:solidFill>
                </w14:textFill>
              </w:rPr>
              <w:t xml:space="preserve">　</w:t>
            </w:r>
            <w:r w:rsidRPr="00400174">
              <w:rPr>
                <w:bCs w:val="0"/>
                <w:color w:val="000000"/>
                <w:w w:val="15"/>
                <w:shd w:val="solid" w:color="000000" w:fill="000000"/>
                <w:fitText w:val="10" w:id="-1301087743"/>
                <w14:textFill>
                  <w14:solidFill>
                    <w14:srgbClr w14:val="000000">
                      <w14:alpha w14:val="100000"/>
                    </w14:srgbClr>
                  </w14:solidFill>
                </w14:textFill>
              </w:rPr>
              <w:t>|</w:t>
            </w:r>
            <w:r w:rsidRPr="00400174">
              <w:rPr>
                <w:rFonts w:hint="eastAsia"/>
                <w:bCs w:val="0"/>
                <w:color w:val="000000"/>
                <w:spacing w:val="-55"/>
                <w:w w:val="15"/>
                <w:shd w:val="solid" w:color="000000" w:fill="000000"/>
                <w:fitText w:val="10" w:id="-1301087743"/>
                <w14:textFill>
                  <w14:solidFill>
                    <w14:srgbClr w14:val="000000">
                      <w14:alpha w14:val="100000"/>
                    </w14:srgbClr>
                  </w14:solidFill>
                </w14:textFill>
              </w:rPr>
              <w:t xml:space="preserve">　</w:t>
            </w:r>
            <w:r w:rsidR="003013CE">
              <w:rPr>
                <w:vertAlign w:val="superscript"/>
              </w:rPr>
              <w:t>1</w:t>
            </w:r>
          </w:p>
        </w:tc>
        <w:tc>
          <w:tcPr>
            <w:tcW w:w="600" w:type="pct"/>
          </w:tcPr>
          <w:p w14:paraId="01202346" w14:textId="77777777" w:rsidR="00A42255" w:rsidRPr="00EC57D8" w:rsidRDefault="00A42255" w:rsidP="00510454">
            <w:pPr>
              <w:pStyle w:val="COMTabletext"/>
              <w:keepNext w:val="0"/>
              <w:jc w:val="center"/>
              <w:rPr>
                <w:rFonts w:eastAsia="Calibri"/>
                <w:bCs w:val="0"/>
                <w:szCs w:val="20"/>
              </w:rPr>
            </w:pPr>
            <w:r w:rsidRPr="00EC57D8">
              <w:rPr>
                <w:rFonts w:eastAsia="Calibri"/>
                <w:bCs w:val="0"/>
                <w:szCs w:val="20"/>
              </w:rPr>
              <w:t>-2%</w:t>
            </w:r>
          </w:p>
        </w:tc>
      </w:tr>
      <w:tr w:rsidR="00A42255" w:rsidRPr="002E14F6" w14:paraId="67B18636" w14:textId="77777777" w:rsidTr="00510454">
        <w:trPr>
          <w:trHeight w:val="54"/>
        </w:trPr>
        <w:tc>
          <w:tcPr>
            <w:tcW w:w="5000" w:type="pct"/>
            <w:gridSpan w:val="5"/>
          </w:tcPr>
          <w:p w14:paraId="4D2D8E1B" w14:textId="77777777" w:rsidR="00A42255" w:rsidRPr="0091151B" w:rsidRDefault="00A42255" w:rsidP="00510454">
            <w:pPr>
              <w:pStyle w:val="COMTabletext"/>
              <w:keepNext w:val="0"/>
              <w:rPr>
                <w:b/>
                <w:bCs w:val="0"/>
              </w:rPr>
            </w:pPr>
            <w:r w:rsidRPr="00AC7C58">
              <w:rPr>
                <w:b/>
                <w:bCs w:val="0"/>
              </w:rPr>
              <w:t>Time horizon (base case 20 years)</w:t>
            </w:r>
          </w:p>
        </w:tc>
      </w:tr>
      <w:tr w:rsidR="00A42255" w:rsidRPr="002E14F6" w14:paraId="504AD13C" w14:textId="77777777" w:rsidTr="00510454">
        <w:tc>
          <w:tcPr>
            <w:tcW w:w="2277" w:type="pct"/>
          </w:tcPr>
          <w:p w14:paraId="2076AEBE" w14:textId="3DF9462D" w:rsidR="00A42255" w:rsidRPr="00EC57D8" w:rsidRDefault="00A42255" w:rsidP="00510454">
            <w:pPr>
              <w:pStyle w:val="COMTabletext"/>
              <w:keepNext w:val="0"/>
              <w:rPr>
                <w:vertAlign w:val="superscript"/>
              </w:rPr>
            </w:pPr>
            <w:r w:rsidRPr="00EC57D8">
              <w:t>10 years</w:t>
            </w:r>
            <w:r w:rsidR="00FE1857" w:rsidRPr="00EC57D8">
              <w:rPr>
                <w:vertAlign w:val="superscript"/>
              </w:rPr>
              <w:t>a</w:t>
            </w:r>
          </w:p>
        </w:tc>
        <w:tc>
          <w:tcPr>
            <w:tcW w:w="748" w:type="pct"/>
            <w:tcBorders>
              <w:bottom w:val="single" w:sz="4" w:space="0" w:color="auto"/>
            </w:tcBorders>
            <w:shd w:val="solid" w:color="000000" w:fill="000000"/>
          </w:tcPr>
          <w:p w14:paraId="041A82CC" w14:textId="016B2FE5" w:rsidR="00A42255" w:rsidRPr="004D7F61" w:rsidRDefault="00C0674E" w:rsidP="00510454">
            <w:pPr>
              <w:pStyle w:val="COMTabletext"/>
              <w:keepNext w:val="0"/>
              <w:jc w:val="center"/>
              <w:rPr>
                <w:highlight w:val="darkGray"/>
              </w:rPr>
            </w:pPr>
            <w:r w:rsidRPr="00C0674E">
              <w:rPr>
                <w:color w:val="000000"/>
                <w14:textFill>
                  <w14:solidFill>
                    <w14:srgbClr w14:val="000000">
                      <w14:alpha w14:val="100000"/>
                    </w14:srgbClr>
                  </w14:solidFill>
                </w14:textFill>
              </w:rPr>
              <w:t>|</w:t>
            </w:r>
          </w:p>
        </w:tc>
        <w:tc>
          <w:tcPr>
            <w:tcW w:w="729" w:type="pct"/>
          </w:tcPr>
          <w:p w14:paraId="08188270" w14:textId="77777777" w:rsidR="00A42255" w:rsidRPr="00EC57D8" w:rsidRDefault="00A42255" w:rsidP="00510454">
            <w:pPr>
              <w:pStyle w:val="COMTabletext"/>
              <w:keepNext w:val="0"/>
              <w:jc w:val="center"/>
            </w:pPr>
            <w:r w:rsidRPr="00EC57D8">
              <w:t>0.020</w:t>
            </w:r>
          </w:p>
        </w:tc>
        <w:tc>
          <w:tcPr>
            <w:tcW w:w="646" w:type="pct"/>
          </w:tcPr>
          <w:p w14:paraId="2F50AA40" w14:textId="57C180F1" w:rsidR="00A42255" w:rsidRPr="004D7F61" w:rsidRDefault="00C0674E" w:rsidP="00510454">
            <w:pPr>
              <w:pStyle w:val="COMTabletext"/>
              <w:keepNext w:val="0"/>
              <w:jc w:val="center"/>
              <w:rPr>
                <w:highlight w:val="darkGray"/>
              </w:rPr>
            </w:pPr>
            <w:r w:rsidRPr="00400174">
              <w:rPr>
                <w:rFonts w:hint="eastAsia"/>
                <w:color w:val="000000"/>
                <w:w w:val="15"/>
                <w:shd w:val="solid" w:color="000000" w:fill="000000"/>
                <w:fitText w:val="10" w:id="-1301087742"/>
                <w14:textFill>
                  <w14:solidFill>
                    <w14:srgbClr w14:val="000000">
                      <w14:alpha w14:val="100000"/>
                    </w14:srgbClr>
                  </w14:solidFill>
                </w14:textFill>
              </w:rPr>
              <w:t xml:space="preserve">　</w:t>
            </w:r>
            <w:r w:rsidRPr="00400174">
              <w:rPr>
                <w:color w:val="000000"/>
                <w:w w:val="15"/>
                <w:shd w:val="solid" w:color="000000" w:fill="000000"/>
                <w:fitText w:val="10" w:id="-1301087742"/>
                <w14:textFill>
                  <w14:solidFill>
                    <w14:srgbClr w14:val="000000">
                      <w14:alpha w14:val="100000"/>
                    </w14:srgbClr>
                  </w14:solidFill>
                </w14:textFill>
              </w:rPr>
              <w:t>|</w:t>
            </w:r>
            <w:r w:rsidRPr="00400174">
              <w:rPr>
                <w:rFonts w:hint="eastAsia"/>
                <w:color w:val="000000"/>
                <w:spacing w:val="-55"/>
                <w:w w:val="15"/>
                <w:shd w:val="solid" w:color="000000" w:fill="000000"/>
                <w:fitText w:val="10" w:id="-1301087742"/>
                <w14:textFill>
                  <w14:solidFill>
                    <w14:srgbClr w14:val="000000">
                      <w14:alpha w14:val="100000"/>
                    </w14:srgbClr>
                  </w14:solidFill>
                </w14:textFill>
              </w:rPr>
              <w:t xml:space="preserve">　</w:t>
            </w:r>
            <w:r w:rsidR="003013CE">
              <w:rPr>
                <w:vertAlign w:val="superscript"/>
              </w:rPr>
              <w:t>2</w:t>
            </w:r>
          </w:p>
        </w:tc>
        <w:tc>
          <w:tcPr>
            <w:tcW w:w="600" w:type="pct"/>
          </w:tcPr>
          <w:p w14:paraId="44A02F7E" w14:textId="77777777" w:rsidR="00A42255" w:rsidRPr="00EC57D8" w:rsidRDefault="00A42255" w:rsidP="00510454">
            <w:pPr>
              <w:pStyle w:val="COMTabletext"/>
              <w:keepNext w:val="0"/>
              <w:jc w:val="center"/>
              <w:rPr>
                <w:rFonts w:eastAsia="Calibri"/>
                <w:szCs w:val="20"/>
              </w:rPr>
            </w:pPr>
            <w:r w:rsidRPr="00EC57D8">
              <w:t>351%</w:t>
            </w:r>
          </w:p>
        </w:tc>
      </w:tr>
      <w:tr w:rsidR="00A42255" w:rsidRPr="002E14F6" w14:paraId="126DCABA" w14:textId="77777777" w:rsidTr="00510454">
        <w:trPr>
          <w:trHeight w:val="54"/>
        </w:trPr>
        <w:tc>
          <w:tcPr>
            <w:tcW w:w="2277" w:type="pct"/>
          </w:tcPr>
          <w:p w14:paraId="6149CA2E" w14:textId="77777777" w:rsidR="00A42255" w:rsidRPr="0091151B" w:rsidRDefault="00A42255" w:rsidP="00510454">
            <w:pPr>
              <w:pStyle w:val="COMTabletext"/>
              <w:keepNext w:val="0"/>
            </w:pPr>
            <w:r w:rsidRPr="00AC7C58">
              <w:t>15 years</w:t>
            </w:r>
          </w:p>
        </w:tc>
        <w:tc>
          <w:tcPr>
            <w:tcW w:w="748" w:type="pct"/>
            <w:tcBorders>
              <w:bottom w:val="single" w:sz="4" w:space="0" w:color="auto"/>
            </w:tcBorders>
            <w:shd w:val="solid" w:color="000000" w:fill="000000"/>
          </w:tcPr>
          <w:p w14:paraId="66DE2951" w14:textId="4B339B0B" w:rsidR="00A42255" w:rsidRPr="004D7F61" w:rsidRDefault="00C0674E" w:rsidP="00510454">
            <w:pPr>
              <w:pStyle w:val="COMTabletext"/>
              <w:keepNext w:val="0"/>
              <w:jc w:val="center"/>
              <w:rPr>
                <w:highlight w:val="darkGray"/>
              </w:rPr>
            </w:pPr>
            <w:r w:rsidRPr="00C0674E">
              <w:rPr>
                <w:color w:val="000000"/>
                <w14:textFill>
                  <w14:solidFill>
                    <w14:srgbClr w14:val="000000">
                      <w14:alpha w14:val="100000"/>
                    </w14:srgbClr>
                  </w14:solidFill>
                </w14:textFill>
              </w:rPr>
              <w:t>|</w:t>
            </w:r>
          </w:p>
        </w:tc>
        <w:tc>
          <w:tcPr>
            <w:tcW w:w="729" w:type="pct"/>
          </w:tcPr>
          <w:p w14:paraId="73E3E3C3" w14:textId="77777777" w:rsidR="00A42255" w:rsidRPr="0091151B" w:rsidRDefault="00A42255" w:rsidP="00510454">
            <w:pPr>
              <w:pStyle w:val="COMTabletext"/>
              <w:keepNext w:val="0"/>
              <w:jc w:val="center"/>
            </w:pPr>
            <w:r w:rsidRPr="0091151B">
              <w:t>0.033</w:t>
            </w:r>
          </w:p>
        </w:tc>
        <w:tc>
          <w:tcPr>
            <w:tcW w:w="646" w:type="pct"/>
          </w:tcPr>
          <w:p w14:paraId="08A599CB" w14:textId="071EDB47" w:rsidR="00A42255" w:rsidRPr="004D7F61" w:rsidRDefault="00C0674E" w:rsidP="00510454">
            <w:pPr>
              <w:pStyle w:val="COMTabletext"/>
              <w:keepNext w:val="0"/>
              <w:jc w:val="center"/>
              <w:rPr>
                <w:highlight w:val="darkGray"/>
              </w:rPr>
            </w:pPr>
            <w:r w:rsidRPr="00400174">
              <w:rPr>
                <w:rFonts w:hint="eastAsia"/>
                <w:color w:val="000000"/>
                <w:w w:val="15"/>
                <w:shd w:val="solid" w:color="000000" w:fill="000000"/>
                <w:fitText w:val="10" w:id="-1301087741"/>
                <w14:textFill>
                  <w14:solidFill>
                    <w14:srgbClr w14:val="000000">
                      <w14:alpha w14:val="100000"/>
                    </w14:srgbClr>
                  </w14:solidFill>
                </w14:textFill>
              </w:rPr>
              <w:t xml:space="preserve">　</w:t>
            </w:r>
            <w:r w:rsidRPr="00400174">
              <w:rPr>
                <w:color w:val="000000"/>
                <w:w w:val="15"/>
                <w:shd w:val="solid" w:color="000000" w:fill="000000"/>
                <w:fitText w:val="10" w:id="-1301087741"/>
                <w14:textFill>
                  <w14:solidFill>
                    <w14:srgbClr w14:val="000000">
                      <w14:alpha w14:val="100000"/>
                    </w14:srgbClr>
                  </w14:solidFill>
                </w14:textFill>
              </w:rPr>
              <w:t>|</w:t>
            </w:r>
            <w:r w:rsidRPr="00400174">
              <w:rPr>
                <w:rFonts w:hint="eastAsia"/>
                <w:color w:val="000000"/>
                <w:spacing w:val="-55"/>
                <w:w w:val="15"/>
                <w:shd w:val="solid" w:color="000000" w:fill="000000"/>
                <w:fitText w:val="10" w:id="-1301087741"/>
                <w14:textFill>
                  <w14:solidFill>
                    <w14:srgbClr w14:val="000000">
                      <w14:alpha w14:val="100000"/>
                    </w14:srgbClr>
                  </w14:solidFill>
                </w14:textFill>
              </w:rPr>
              <w:t xml:space="preserve">　</w:t>
            </w:r>
            <w:r w:rsidR="003013CE">
              <w:rPr>
                <w:vertAlign w:val="superscript"/>
              </w:rPr>
              <w:t>3</w:t>
            </w:r>
          </w:p>
        </w:tc>
        <w:tc>
          <w:tcPr>
            <w:tcW w:w="600" w:type="pct"/>
          </w:tcPr>
          <w:p w14:paraId="5409AE3A" w14:textId="77777777" w:rsidR="00A42255" w:rsidRPr="00EC57D8" w:rsidRDefault="00A42255" w:rsidP="00510454">
            <w:pPr>
              <w:pStyle w:val="COMTabletext"/>
              <w:keepNext w:val="0"/>
              <w:jc w:val="center"/>
              <w:rPr>
                <w:rFonts w:eastAsia="Calibri"/>
                <w:szCs w:val="20"/>
              </w:rPr>
            </w:pPr>
            <w:r w:rsidRPr="00EC57D8">
              <w:t>92%</w:t>
            </w:r>
          </w:p>
        </w:tc>
      </w:tr>
      <w:tr w:rsidR="00A42255" w:rsidRPr="002E14F6" w14:paraId="05F3833D" w14:textId="77777777" w:rsidTr="00510454">
        <w:trPr>
          <w:trHeight w:val="54"/>
        </w:trPr>
        <w:tc>
          <w:tcPr>
            <w:tcW w:w="2277" w:type="pct"/>
          </w:tcPr>
          <w:p w14:paraId="19070B61" w14:textId="77777777" w:rsidR="00A42255" w:rsidRPr="0091151B" w:rsidRDefault="00A42255" w:rsidP="00510454">
            <w:pPr>
              <w:pStyle w:val="COMTabletext"/>
              <w:keepNext w:val="0"/>
            </w:pPr>
            <w:r w:rsidRPr="00AC7C58">
              <w:t>25 years</w:t>
            </w:r>
          </w:p>
        </w:tc>
        <w:tc>
          <w:tcPr>
            <w:tcW w:w="748" w:type="pct"/>
            <w:shd w:val="solid" w:color="000000" w:fill="000000"/>
          </w:tcPr>
          <w:p w14:paraId="3E4C387E" w14:textId="36FDFDDB" w:rsidR="00A42255" w:rsidRPr="004D7F61" w:rsidRDefault="00C0674E" w:rsidP="00510454">
            <w:pPr>
              <w:pStyle w:val="COMTabletext"/>
              <w:keepNext w:val="0"/>
              <w:jc w:val="center"/>
              <w:rPr>
                <w:highlight w:val="darkGray"/>
              </w:rPr>
            </w:pPr>
            <w:r w:rsidRPr="00C0674E">
              <w:rPr>
                <w:color w:val="000000"/>
                <w14:textFill>
                  <w14:solidFill>
                    <w14:srgbClr w14:val="000000">
                      <w14:alpha w14:val="100000"/>
                    </w14:srgbClr>
                  </w14:solidFill>
                </w14:textFill>
              </w:rPr>
              <w:t>|</w:t>
            </w:r>
          </w:p>
        </w:tc>
        <w:tc>
          <w:tcPr>
            <w:tcW w:w="729" w:type="pct"/>
          </w:tcPr>
          <w:p w14:paraId="0D2012B7" w14:textId="77777777" w:rsidR="00A42255" w:rsidRPr="0091151B" w:rsidRDefault="00A42255" w:rsidP="00510454">
            <w:pPr>
              <w:pStyle w:val="COMTabletext"/>
              <w:keepNext w:val="0"/>
              <w:jc w:val="center"/>
            </w:pPr>
            <w:r w:rsidRPr="0091151B">
              <w:t>0.055</w:t>
            </w:r>
          </w:p>
        </w:tc>
        <w:tc>
          <w:tcPr>
            <w:tcW w:w="646" w:type="pct"/>
          </w:tcPr>
          <w:p w14:paraId="227AC143" w14:textId="24105289" w:rsidR="00A42255" w:rsidRPr="004D7F61" w:rsidRDefault="00C0674E" w:rsidP="00510454">
            <w:pPr>
              <w:pStyle w:val="COMTabletext"/>
              <w:keepNext w:val="0"/>
              <w:jc w:val="center"/>
              <w:rPr>
                <w:highlight w:val="darkGray"/>
              </w:rPr>
            </w:pPr>
            <w:r w:rsidRPr="00400174">
              <w:rPr>
                <w:rFonts w:hint="eastAsia"/>
                <w:color w:val="000000"/>
                <w:w w:val="15"/>
                <w:shd w:val="solid" w:color="000000" w:fill="000000"/>
                <w:fitText w:val="10" w:id="-1301087740"/>
                <w14:textFill>
                  <w14:solidFill>
                    <w14:srgbClr w14:val="000000">
                      <w14:alpha w14:val="100000"/>
                    </w14:srgbClr>
                  </w14:solidFill>
                </w14:textFill>
              </w:rPr>
              <w:t xml:space="preserve">　</w:t>
            </w:r>
            <w:r w:rsidRPr="00400174">
              <w:rPr>
                <w:color w:val="000000"/>
                <w:w w:val="15"/>
                <w:shd w:val="solid" w:color="000000" w:fill="000000"/>
                <w:fitText w:val="10" w:id="-1301087740"/>
                <w14:textFill>
                  <w14:solidFill>
                    <w14:srgbClr w14:val="000000">
                      <w14:alpha w14:val="100000"/>
                    </w14:srgbClr>
                  </w14:solidFill>
                </w14:textFill>
              </w:rPr>
              <w:t>|</w:t>
            </w:r>
            <w:r w:rsidRPr="00400174">
              <w:rPr>
                <w:rFonts w:hint="eastAsia"/>
                <w:color w:val="000000"/>
                <w:spacing w:val="-55"/>
                <w:w w:val="15"/>
                <w:shd w:val="solid" w:color="000000" w:fill="000000"/>
                <w:fitText w:val="10" w:id="-1301087740"/>
                <w14:textFill>
                  <w14:solidFill>
                    <w14:srgbClr w14:val="000000">
                      <w14:alpha w14:val="100000"/>
                    </w14:srgbClr>
                  </w14:solidFill>
                </w14:textFill>
              </w:rPr>
              <w:t xml:space="preserve">　</w:t>
            </w:r>
            <w:r w:rsidR="003013CE">
              <w:rPr>
                <w:vertAlign w:val="superscript"/>
              </w:rPr>
              <w:t>1</w:t>
            </w:r>
          </w:p>
        </w:tc>
        <w:tc>
          <w:tcPr>
            <w:tcW w:w="600" w:type="pct"/>
          </w:tcPr>
          <w:p w14:paraId="5A54E574" w14:textId="77777777" w:rsidR="00A42255" w:rsidRPr="0091151B" w:rsidRDefault="00A42255" w:rsidP="00510454">
            <w:pPr>
              <w:pStyle w:val="COMTabletext"/>
              <w:keepNext w:val="0"/>
              <w:jc w:val="center"/>
              <w:rPr>
                <w:rFonts w:eastAsia="Calibri"/>
                <w:szCs w:val="20"/>
              </w:rPr>
            </w:pPr>
            <w:r w:rsidRPr="0091151B">
              <w:t>-36%</w:t>
            </w:r>
          </w:p>
        </w:tc>
      </w:tr>
      <w:tr w:rsidR="00A42255" w:rsidRPr="002E14F6" w14:paraId="5F604679" w14:textId="77777777" w:rsidTr="00510454">
        <w:trPr>
          <w:trHeight w:val="54"/>
        </w:trPr>
        <w:tc>
          <w:tcPr>
            <w:tcW w:w="5000" w:type="pct"/>
            <w:gridSpan w:val="5"/>
          </w:tcPr>
          <w:p w14:paraId="69FE6472" w14:textId="77777777" w:rsidR="00A42255" w:rsidRPr="0091151B" w:rsidRDefault="00A42255" w:rsidP="00510454">
            <w:pPr>
              <w:pStyle w:val="COMTabletext"/>
              <w:keepNext w:val="0"/>
              <w:rPr>
                <w:rFonts w:eastAsia="Calibri"/>
                <w:b/>
                <w:bCs w:val="0"/>
                <w:szCs w:val="20"/>
              </w:rPr>
            </w:pPr>
            <w:r w:rsidRPr="00AC7C58">
              <w:rPr>
                <w:b/>
                <w:bCs w:val="0"/>
              </w:rPr>
              <w:t>Discount rate (base case 5%)</w:t>
            </w:r>
          </w:p>
        </w:tc>
      </w:tr>
      <w:tr w:rsidR="00A42255" w:rsidRPr="002E14F6" w14:paraId="1C25700E" w14:textId="77777777" w:rsidTr="00510454">
        <w:trPr>
          <w:trHeight w:val="56"/>
        </w:trPr>
        <w:tc>
          <w:tcPr>
            <w:tcW w:w="2277" w:type="pct"/>
          </w:tcPr>
          <w:p w14:paraId="0B7C80BA" w14:textId="51C3F3DB" w:rsidR="00A42255" w:rsidRPr="00EC57D8" w:rsidRDefault="00A42255" w:rsidP="00510454">
            <w:pPr>
              <w:pStyle w:val="COMTabletext"/>
              <w:keepNext w:val="0"/>
              <w:rPr>
                <w:vertAlign w:val="superscript"/>
              </w:rPr>
            </w:pPr>
            <w:r w:rsidRPr="00AC7C58">
              <w:t>0%</w:t>
            </w:r>
            <w:r w:rsidR="00FE1857" w:rsidRPr="0091151B">
              <w:rPr>
                <w:vertAlign w:val="superscript"/>
              </w:rPr>
              <w:t>a</w:t>
            </w:r>
          </w:p>
        </w:tc>
        <w:tc>
          <w:tcPr>
            <w:tcW w:w="748" w:type="pct"/>
            <w:tcBorders>
              <w:bottom w:val="single" w:sz="4" w:space="0" w:color="auto"/>
            </w:tcBorders>
            <w:shd w:val="solid" w:color="000000" w:fill="000000"/>
          </w:tcPr>
          <w:p w14:paraId="42632135" w14:textId="292BB1B9" w:rsidR="00A42255" w:rsidRPr="004D7F61" w:rsidRDefault="00C0674E" w:rsidP="00510454">
            <w:pPr>
              <w:pStyle w:val="COMTabletext"/>
              <w:keepNext w:val="0"/>
              <w:jc w:val="center"/>
              <w:rPr>
                <w:rFonts w:eastAsia="Calibri"/>
                <w:szCs w:val="20"/>
                <w:highlight w:val="darkGray"/>
              </w:rPr>
            </w:pPr>
            <w:r w:rsidRPr="00C0674E">
              <w:rPr>
                <w:rFonts w:eastAsia="Calibri"/>
                <w:color w:val="000000"/>
                <w:szCs w:val="20"/>
                <w14:textFill>
                  <w14:solidFill>
                    <w14:srgbClr w14:val="000000">
                      <w14:alpha w14:val="100000"/>
                    </w14:srgbClr>
                  </w14:solidFill>
                </w14:textFill>
              </w:rPr>
              <w:t>|</w:t>
            </w:r>
          </w:p>
        </w:tc>
        <w:tc>
          <w:tcPr>
            <w:tcW w:w="729" w:type="pct"/>
          </w:tcPr>
          <w:p w14:paraId="6FFDCC96" w14:textId="77777777" w:rsidR="00A42255" w:rsidRPr="00EC57D8" w:rsidRDefault="00A42255" w:rsidP="00510454">
            <w:pPr>
              <w:pStyle w:val="COMTabletext"/>
              <w:keepNext w:val="0"/>
              <w:jc w:val="center"/>
              <w:rPr>
                <w:rFonts w:eastAsia="Calibri"/>
                <w:szCs w:val="20"/>
              </w:rPr>
            </w:pPr>
            <w:r w:rsidRPr="00EC57D8">
              <w:rPr>
                <w:rFonts w:eastAsia="Calibri"/>
                <w:szCs w:val="20"/>
              </w:rPr>
              <w:t>0.078</w:t>
            </w:r>
          </w:p>
        </w:tc>
        <w:tc>
          <w:tcPr>
            <w:tcW w:w="646" w:type="pct"/>
          </w:tcPr>
          <w:p w14:paraId="769E8AA1" w14:textId="6D9AEA60" w:rsidR="00A42255" w:rsidRPr="004D7F61" w:rsidRDefault="00C0674E" w:rsidP="00510454">
            <w:pPr>
              <w:pStyle w:val="COMTabletext"/>
              <w:keepNext w:val="0"/>
              <w:jc w:val="center"/>
              <w:rPr>
                <w:rFonts w:eastAsia="Calibri"/>
                <w:szCs w:val="20"/>
                <w:highlight w:val="darkGray"/>
              </w:rPr>
            </w:pPr>
            <w:r w:rsidRPr="00400174">
              <w:rPr>
                <w:rFonts w:eastAsia="Calibri" w:hint="eastAsia"/>
                <w:color w:val="000000"/>
                <w:w w:val="15"/>
                <w:szCs w:val="20"/>
                <w:shd w:val="solid" w:color="000000" w:fill="000000"/>
                <w:fitText w:val="10" w:id="-1301087739"/>
                <w14:textFill>
                  <w14:solidFill>
                    <w14:srgbClr w14:val="000000">
                      <w14:alpha w14:val="100000"/>
                    </w14:srgbClr>
                  </w14:solidFill>
                </w14:textFill>
              </w:rPr>
              <w:t xml:space="preserve">　</w:t>
            </w:r>
            <w:r w:rsidRPr="00400174">
              <w:rPr>
                <w:rFonts w:eastAsia="Calibri"/>
                <w:color w:val="000000"/>
                <w:w w:val="15"/>
                <w:szCs w:val="20"/>
                <w:shd w:val="solid" w:color="000000" w:fill="000000"/>
                <w:fitText w:val="10" w:id="-1301087739"/>
                <w14:textFill>
                  <w14:solidFill>
                    <w14:srgbClr w14:val="000000">
                      <w14:alpha w14:val="100000"/>
                    </w14:srgbClr>
                  </w14:solidFill>
                </w14:textFill>
              </w:rPr>
              <w:t>|</w:t>
            </w:r>
            <w:r w:rsidRPr="00400174">
              <w:rPr>
                <w:rFonts w:eastAsia="Calibri" w:hint="eastAsia"/>
                <w:color w:val="000000"/>
                <w:spacing w:val="-55"/>
                <w:w w:val="15"/>
                <w:szCs w:val="20"/>
                <w:shd w:val="solid" w:color="000000" w:fill="000000"/>
                <w:fitText w:val="10" w:id="-1301087739"/>
                <w14:textFill>
                  <w14:solidFill>
                    <w14:srgbClr w14:val="000000">
                      <w14:alpha w14:val="100000"/>
                    </w14:srgbClr>
                  </w14:solidFill>
                </w14:textFill>
              </w:rPr>
              <w:t xml:space="preserve">　</w:t>
            </w:r>
            <w:r w:rsidR="003013CE">
              <w:rPr>
                <w:vertAlign w:val="superscript"/>
              </w:rPr>
              <w:t>4</w:t>
            </w:r>
          </w:p>
        </w:tc>
        <w:tc>
          <w:tcPr>
            <w:tcW w:w="600" w:type="pct"/>
          </w:tcPr>
          <w:p w14:paraId="3B39314F" w14:textId="77777777" w:rsidR="00A42255" w:rsidRPr="00EC57D8" w:rsidRDefault="00A42255" w:rsidP="00510454">
            <w:pPr>
              <w:pStyle w:val="COMTabletext"/>
              <w:keepNext w:val="0"/>
              <w:jc w:val="center"/>
            </w:pPr>
            <w:r w:rsidRPr="00EC57D8">
              <w:t>-96%</w:t>
            </w:r>
          </w:p>
        </w:tc>
      </w:tr>
      <w:tr w:rsidR="00A42255" w:rsidRPr="002E14F6" w14:paraId="3161B263" w14:textId="77777777" w:rsidTr="00510454">
        <w:trPr>
          <w:trHeight w:val="54"/>
        </w:trPr>
        <w:tc>
          <w:tcPr>
            <w:tcW w:w="2277" w:type="pct"/>
          </w:tcPr>
          <w:p w14:paraId="52C1394F" w14:textId="77777777" w:rsidR="00A42255" w:rsidRPr="0091151B" w:rsidRDefault="00A42255" w:rsidP="00510454">
            <w:pPr>
              <w:pStyle w:val="COMTabletext"/>
              <w:keepNext w:val="0"/>
            </w:pPr>
            <w:r w:rsidRPr="00AC7C58">
              <w:t>3.5%</w:t>
            </w:r>
          </w:p>
        </w:tc>
        <w:tc>
          <w:tcPr>
            <w:tcW w:w="748" w:type="pct"/>
            <w:shd w:val="solid" w:color="000000" w:fill="000000"/>
          </w:tcPr>
          <w:p w14:paraId="59C06862" w14:textId="47ABB49C" w:rsidR="00A42255" w:rsidRPr="004D7F61" w:rsidRDefault="00C0674E" w:rsidP="00510454">
            <w:pPr>
              <w:pStyle w:val="COMTabletext"/>
              <w:keepNext w:val="0"/>
              <w:jc w:val="center"/>
              <w:rPr>
                <w:rFonts w:eastAsia="Calibri"/>
                <w:szCs w:val="20"/>
                <w:highlight w:val="darkGray"/>
              </w:rPr>
            </w:pPr>
            <w:r w:rsidRPr="00C0674E">
              <w:rPr>
                <w:rFonts w:eastAsia="Calibri"/>
                <w:color w:val="000000"/>
                <w:szCs w:val="20"/>
                <w14:textFill>
                  <w14:solidFill>
                    <w14:srgbClr w14:val="000000">
                      <w14:alpha w14:val="100000"/>
                    </w14:srgbClr>
                  </w14:solidFill>
                </w14:textFill>
              </w:rPr>
              <w:t>|</w:t>
            </w:r>
          </w:p>
        </w:tc>
        <w:tc>
          <w:tcPr>
            <w:tcW w:w="729" w:type="pct"/>
          </w:tcPr>
          <w:p w14:paraId="45716BE4" w14:textId="77777777" w:rsidR="00A42255" w:rsidRPr="0091151B" w:rsidRDefault="00A42255" w:rsidP="00510454">
            <w:pPr>
              <w:pStyle w:val="COMTabletext"/>
              <w:keepNext w:val="0"/>
              <w:jc w:val="center"/>
              <w:rPr>
                <w:rFonts w:eastAsia="Calibri"/>
                <w:szCs w:val="20"/>
              </w:rPr>
            </w:pPr>
            <w:r w:rsidRPr="0091151B">
              <w:rPr>
                <w:rFonts w:eastAsia="Calibri"/>
                <w:szCs w:val="20"/>
              </w:rPr>
              <w:t>0.052</w:t>
            </w:r>
          </w:p>
        </w:tc>
        <w:tc>
          <w:tcPr>
            <w:tcW w:w="646" w:type="pct"/>
          </w:tcPr>
          <w:p w14:paraId="2B44E012" w14:textId="0B886852" w:rsidR="00A42255" w:rsidRPr="004D7F61" w:rsidRDefault="00C0674E" w:rsidP="00510454">
            <w:pPr>
              <w:pStyle w:val="COMTabletext"/>
              <w:keepNext w:val="0"/>
              <w:jc w:val="center"/>
              <w:rPr>
                <w:rFonts w:eastAsia="Calibri"/>
                <w:szCs w:val="20"/>
                <w:highlight w:val="darkGray"/>
              </w:rPr>
            </w:pPr>
            <w:r w:rsidRPr="00400174">
              <w:rPr>
                <w:rFonts w:eastAsia="Calibri" w:hint="eastAsia"/>
                <w:color w:val="000000"/>
                <w:w w:val="15"/>
                <w:szCs w:val="20"/>
                <w:shd w:val="solid" w:color="000000" w:fill="000000"/>
                <w:fitText w:val="10" w:id="-1301087738"/>
                <w14:textFill>
                  <w14:solidFill>
                    <w14:srgbClr w14:val="000000">
                      <w14:alpha w14:val="100000"/>
                    </w14:srgbClr>
                  </w14:solidFill>
                </w14:textFill>
              </w:rPr>
              <w:t xml:space="preserve">　</w:t>
            </w:r>
            <w:r w:rsidRPr="00400174">
              <w:rPr>
                <w:rFonts w:eastAsia="Calibri"/>
                <w:color w:val="000000"/>
                <w:w w:val="15"/>
                <w:szCs w:val="20"/>
                <w:shd w:val="solid" w:color="000000" w:fill="000000"/>
                <w:fitText w:val="10" w:id="-1301087738"/>
                <w14:textFill>
                  <w14:solidFill>
                    <w14:srgbClr w14:val="000000">
                      <w14:alpha w14:val="100000"/>
                    </w14:srgbClr>
                  </w14:solidFill>
                </w14:textFill>
              </w:rPr>
              <w:t>|</w:t>
            </w:r>
            <w:r w:rsidRPr="00400174">
              <w:rPr>
                <w:rFonts w:eastAsia="Calibri" w:hint="eastAsia"/>
                <w:color w:val="000000"/>
                <w:spacing w:val="-55"/>
                <w:w w:val="15"/>
                <w:szCs w:val="20"/>
                <w:shd w:val="solid" w:color="000000" w:fill="000000"/>
                <w:fitText w:val="10" w:id="-1301087738"/>
                <w14:textFill>
                  <w14:solidFill>
                    <w14:srgbClr w14:val="000000">
                      <w14:alpha w14:val="100000"/>
                    </w14:srgbClr>
                  </w14:solidFill>
                </w14:textFill>
              </w:rPr>
              <w:t xml:space="preserve">　</w:t>
            </w:r>
            <w:r w:rsidR="003013CE">
              <w:rPr>
                <w:vertAlign w:val="superscript"/>
              </w:rPr>
              <w:t>1</w:t>
            </w:r>
          </w:p>
        </w:tc>
        <w:tc>
          <w:tcPr>
            <w:tcW w:w="600" w:type="pct"/>
          </w:tcPr>
          <w:p w14:paraId="0C54EF01" w14:textId="77777777" w:rsidR="00A42255" w:rsidRPr="0091151B" w:rsidRDefault="00A42255" w:rsidP="00510454">
            <w:pPr>
              <w:pStyle w:val="COMTabletext"/>
              <w:keepNext w:val="0"/>
              <w:jc w:val="center"/>
              <w:rPr>
                <w:rFonts w:eastAsia="Calibri"/>
                <w:szCs w:val="20"/>
              </w:rPr>
            </w:pPr>
            <w:r w:rsidRPr="0091151B">
              <w:t>-31%</w:t>
            </w:r>
          </w:p>
        </w:tc>
      </w:tr>
      <w:tr w:rsidR="00A42255" w:rsidRPr="002E14F6" w14:paraId="3FE39898" w14:textId="77777777" w:rsidTr="00510454">
        <w:trPr>
          <w:trHeight w:val="54"/>
        </w:trPr>
        <w:tc>
          <w:tcPr>
            <w:tcW w:w="5000" w:type="pct"/>
            <w:gridSpan w:val="5"/>
          </w:tcPr>
          <w:p w14:paraId="0C053C36" w14:textId="140BE10F" w:rsidR="00A42255" w:rsidRPr="0091151B" w:rsidRDefault="00A42255" w:rsidP="00510454">
            <w:pPr>
              <w:pStyle w:val="COMTableheadingrow"/>
              <w:keepNext w:val="0"/>
              <w:rPr>
                <w:vertAlign w:val="superscript"/>
                <w:lang w:val="en-AU"/>
              </w:rPr>
            </w:pPr>
            <w:r w:rsidRPr="00AC7C58">
              <w:rPr>
                <w:lang w:val="en-AU"/>
              </w:rPr>
              <w:t xml:space="preserve">Baseline age and BMD T-score (base case mean age 62 years, BMD T-score -2.5) </w:t>
            </w:r>
            <w:r w:rsidR="00FE1857" w:rsidRPr="0091151B">
              <w:rPr>
                <w:vertAlign w:val="superscript"/>
                <w:lang w:val="en-AU"/>
              </w:rPr>
              <w:t>b</w:t>
            </w:r>
          </w:p>
        </w:tc>
      </w:tr>
      <w:tr w:rsidR="00A42255" w:rsidRPr="002E14F6" w14:paraId="10E74CAF" w14:textId="77777777" w:rsidTr="00510454">
        <w:trPr>
          <w:trHeight w:val="54"/>
        </w:trPr>
        <w:tc>
          <w:tcPr>
            <w:tcW w:w="2277" w:type="pct"/>
          </w:tcPr>
          <w:p w14:paraId="1961C2CF" w14:textId="656EFDA3" w:rsidR="00A42255" w:rsidRPr="00EC57D8" w:rsidRDefault="00A42255" w:rsidP="00510454">
            <w:pPr>
              <w:pStyle w:val="COMTabletext"/>
              <w:keepNext w:val="0"/>
              <w:rPr>
                <w:vertAlign w:val="superscript"/>
              </w:rPr>
            </w:pPr>
            <w:r w:rsidRPr="00EC57D8">
              <w:t>50 years, BMD T-score -2.5</w:t>
            </w:r>
            <w:r w:rsidR="00FE1857" w:rsidRPr="00EC57D8">
              <w:rPr>
                <w:vertAlign w:val="superscript"/>
              </w:rPr>
              <w:t>a</w:t>
            </w:r>
          </w:p>
        </w:tc>
        <w:tc>
          <w:tcPr>
            <w:tcW w:w="748" w:type="pct"/>
            <w:tcBorders>
              <w:bottom w:val="single" w:sz="4" w:space="0" w:color="auto"/>
            </w:tcBorders>
            <w:shd w:val="solid" w:color="000000" w:fill="000000"/>
          </w:tcPr>
          <w:p w14:paraId="567B2C88" w14:textId="245B7BD2" w:rsidR="00A42255" w:rsidRPr="004D7F61" w:rsidRDefault="00C0674E" w:rsidP="00510454">
            <w:pPr>
              <w:pStyle w:val="COMTabletext"/>
              <w:keepNext w:val="0"/>
              <w:jc w:val="center"/>
              <w:rPr>
                <w:rFonts w:eastAsia="Calibri"/>
                <w:szCs w:val="20"/>
                <w:highlight w:val="darkGray"/>
              </w:rPr>
            </w:pPr>
            <w:r w:rsidRPr="00C0674E">
              <w:rPr>
                <w:rFonts w:eastAsia="Calibri"/>
                <w:color w:val="000000"/>
                <w:szCs w:val="20"/>
                <w14:textFill>
                  <w14:solidFill>
                    <w14:srgbClr w14:val="000000">
                      <w14:alpha w14:val="100000"/>
                    </w14:srgbClr>
                  </w14:solidFill>
                </w14:textFill>
              </w:rPr>
              <w:t>|</w:t>
            </w:r>
          </w:p>
        </w:tc>
        <w:tc>
          <w:tcPr>
            <w:tcW w:w="729" w:type="pct"/>
          </w:tcPr>
          <w:p w14:paraId="4E683320" w14:textId="77777777" w:rsidR="00A42255" w:rsidRPr="00AC7C58" w:rsidRDefault="00A42255" w:rsidP="00510454">
            <w:pPr>
              <w:pStyle w:val="COMTabletext"/>
              <w:keepNext w:val="0"/>
              <w:jc w:val="center"/>
              <w:rPr>
                <w:rFonts w:eastAsia="Calibri"/>
                <w:szCs w:val="20"/>
              </w:rPr>
            </w:pPr>
            <w:r w:rsidRPr="00EC57D8">
              <w:rPr>
                <w:rFonts w:eastAsia="Calibri"/>
                <w:szCs w:val="20"/>
              </w:rPr>
              <w:t>0.041</w:t>
            </w:r>
          </w:p>
        </w:tc>
        <w:tc>
          <w:tcPr>
            <w:tcW w:w="646" w:type="pct"/>
          </w:tcPr>
          <w:p w14:paraId="0E7E24AD" w14:textId="02CD6985" w:rsidR="00A42255" w:rsidRPr="004D7F61" w:rsidRDefault="00C0674E" w:rsidP="00510454">
            <w:pPr>
              <w:pStyle w:val="COMTabletext"/>
              <w:keepNext w:val="0"/>
              <w:jc w:val="center"/>
              <w:rPr>
                <w:rFonts w:eastAsia="Calibri"/>
                <w:szCs w:val="20"/>
                <w:highlight w:val="darkGray"/>
              </w:rPr>
            </w:pPr>
            <w:r w:rsidRPr="00400174">
              <w:rPr>
                <w:rFonts w:eastAsia="Calibri" w:hint="eastAsia"/>
                <w:color w:val="000000"/>
                <w:w w:val="15"/>
                <w:szCs w:val="20"/>
                <w:shd w:val="solid" w:color="000000" w:fill="000000"/>
                <w:fitText w:val="10" w:id="-1301087737"/>
                <w14:textFill>
                  <w14:solidFill>
                    <w14:srgbClr w14:val="000000">
                      <w14:alpha w14:val="100000"/>
                    </w14:srgbClr>
                  </w14:solidFill>
                </w14:textFill>
              </w:rPr>
              <w:t xml:space="preserve">　</w:t>
            </w:r>
            <w:r w:rsidRPr="00400174">
              <w:rPr>
                <w:rFonts w:eastAsia="Calibri"/>
                <w:color w:val="000000"/>
                <w:w w:val="15"/>
                <w:szCs w:val="20"/>
                <w:shd w:val="solid" w:color="000000" w:fill="000000"/>
                <w:fitText w:val="10" w:id="-1301087737"/>
                <w14:textFill>
                  <w14:solidFill>
                    <w14:srgbClr w14:val="000000">
                      <w14:alpha w14:val="100000"/>
                    </w14:srgbClr>
                  </w14:solidFill>
                </w14:textFill>
              </w:rPr>
              <w:t>|</w:t>
            </w:r>
            <w:r w:rsidRPr="00400174">
              <w:rPr>
                <w:rFonts w:eastAsia="Calibri" w:hint="eastAsia"/>
                <w:color w:val="000000"/>
                <w:spacing w:val="-55"/>
                <w:w w:val="15"/>
                <w:szCs w:val="20"/>
                <w:shd w:val="solid" w:color="000000" w:fill="000000"/>
                <w:fitText w:val="10" w:id="-1301087737"/>
                <w14:textFill>
                  <w14:solidFill>
                    <w14:srgbClr w14:val="000000">
                      <w14:alpha w14:val="100000"/>
                    </w14:srgbClr>
                  </w14:solidFill>
                </w14:textFill>
              </w:rPr>
              <w:t xml:space="preserve">　</w:t>
            </w:r>
            <w:r w:rsidR="003013CE">
              <w:rPr>
                <w:vertAlign w:val="superscript"/>
              </w:rPr>
              <w:t>5</w:t>
            </w:r>
          </w:p>
        </w:tc>
        <w:tc>
          <w:tcPr>
            <w:tcW w:w="600" w:type="pct"/>
          </w:tcPr>
          <w:p w14:paraId="1851B05B" w14:textId="77777777" w:rsidR="00A42255" w:rsidRPr="00EC57D8" w:rsidRDefault="00A42255" w:rsidP="00510454">
            <w:pPr>
              <w:pStyle w:val="COMTabletext"/>
              <w:keepNext w:val="0"/>
              <w:jc w:val="center"/>
            </w:pPr>
            <w:r w:rsidRPr="00EC57D8">
              <w:t>442%</w:t>
            </w:r>
          </w:p>
        </w:tc>
      </w:tr>
      <w:tr w:rsidR="00A42255" w:rsidRPr="002E14F6" w14:paraId="561A7BF1" w14:textId="77777777" w:rsidTr="00510454">
        <w:trPr>
          <w:trHeight w:val="54"/>
        </w:trPr>
        <w:tc>
          <w:tcPr>
            <w:tcW w:w="2277" w:type="pct"/>
          </w:tcPr>
          <w:p w14:paraId="14757CD7" w14:textId="6E053153" w:rsidR="00A42255" w:rsidRPr="00EC57D8" w:rsidRDefault="00A42255" w:rsidP="00510454">
            <w:pPr>
              <w:pStyle w:val="COMTabletext"/>
              <w:keepNext w:val="0"/>
              <w:rPr>
                <w:vertAlign w:val="superscript"/>
              </w:rPr>
            </w:pPr>
            <w:r w:rsidRPr="00EC57D8">
              <w:t>55 years, BMD T-score -2.5</w:t>
            </w:r>
            <w:r w:rsidR="00FE1857" w:rsidRPr="00EC57D8">
              <w:rPr>
                <w:vertAlign w:val="superscript"/>
              </w:rPr>
              <w:t>a</w:t>
            </w:r>
          </w:p>
        </w:tc>
        <w:tc>
          <w:tcPr>
            <w:tcW w:w="748" w:type="pct"/>
            <w:tcBorders>
              <w:bottom w:val="single" w:sz="4" w:space="0" w:color="auto"/>
            </w:tcBorders>
            <w:shd w:val="solid" w:color="000000" w:fill="000000"/>
          </w:tcPr>
          <w:p w14:paraId="7A42FE79" w14:textId="395C15F9" w:rsidR="00A42255" w:rsidRPr="004D7F61" w:rsidRDefault="00C0674E" w:rsidP="00510454">
            <w:pPr>
              <w:pStyle w:val="COMTabletext"/>
              <w:keepNext w:val="0"/>
              <w:jc w:val="center"/>
              <w:rPr>
                <w:rFonts w:eastAsia="Calibri"/>
                <w:szCs w:val="20"/>
                <w:highlight w:val="darkGray"/>
              </w:rPr>
            </w:pPr>
            <w:r w:rsidRPr="00C0674E">
              <w:rPr>
                <w:rFonts w:eastAsia="Calibri"/>
                <w:color w:val="000000"/>
                <w:szCs w:val="20"/>
                <w14:textFill>
                  <w14:solidFill>
                    <w14:srgbClr w14:val="000000">
                      <w14:alpha w14:val="100000"/>
                    </w14:srgbClr>
                  </w14:solidFill>
                </w14:textFill>
              </w:rPr>
              <w:t>|</w:t>
            </w:r>
          </w:p>
        </w:tc>
        <w:tc>
          <w:tcPr>
            <w:tcW w:w="729" w:type="pct"/>
          </w:tcPr>
          <w:p w14:paraId="772954E6" w14:textId="77777777" w:rsidR="00A42255" w:rsidRPr="00AC7C58" w:rsidRDefault="00A42255" w:rsidP="00510454">
            <w:pPr>
              <w:pStyle w:val="COMTabletext"/>
              <w:keepNext w:val="0"/>
              <w:jc w:val="center"/>
              <w:rPr>
                <w:rFonts w:eastAsia="Calibri"/>
                <w:szCs w:val="20"/>
              </w:rPr>
            </w:pPr>
            <w:r w:rsidRPr="00EC57D8">
              <w:rPr>
                <w:rFonts w:eastAsia="Calibri"/>
                <w:szCs w:val="20"/>
              </w:rPr>
              <w:t>0.046</w:t>
            </w:r>
          </w:p>
        </w:tc>
        <w:tc>
          <w:tcPr>
            <w:tcW w:w="646" w:type="pct"/>
          </w:tcPr>
          <w:p w14:paraId="07AAFFF5" w14:textId="58CC4742" w:rsidR="00A42255" w:rsidRPr="004D7F61" w:rsidRDefault="00C0674E" w:rsidP="00510454">
            <w:pPr>
              <w:pStyle w:val="COMTabletext"/>
              <w:keepNext w:val="0"/>
              <w:jc w:val="center"/>
              <w:rPr>
                <w:rFonts w:eastAsia="Calibri"/>
                <w:szCs w:val="20"/>
                <w:highlight w:val="darkGray"/>
              </w:rPr>
            </w:pPr>
            <w:r w:rsidRPr="00400174">
              <w:rPr>
                <w:rFonts w:eastAsia="Calibri" w:hint="eastAsia"/>
                <w:color w:val="000000"/>
                <w:w w:val="15"/>
                <w:szCs w:val="20"/>
                <w:shd w:val="solid" w:color="000000" w:fill="000000"/>
                <w:fitText w:val="10" w:id="-1301087736"/>
                <w14:textFill>
                  <w14:solidFill>
                    <w14:srgbClr w14:val="000000">
                      <w14:alpha w14:val="100000"/>
                    </w14:srgbClr>
                  </w14:solidFill>
                </w14:textFill>
              </w:rPr>
              <w:t xml:space="preserve">　</w:t>
            </w:r>
            <w:r w:rsidRPr="00400174">
              <w:rPr>
                <w:rFonts w:eastAsia="Calibri"/>
                <w:color w:val="000000"/>
                <w:w w:val="15"/>
                <w:szCs w:val="20"/>
                <w:shd w:val="solid" w:color="000000" w:fill="000000"/>
                <w:fitText w:val="10" w:id="-1301087736"/>
                <w14:textFill>
                  <w14:solidFill>
                    <w14:srgbClr w14:val="000000">
                      <w14:alpha w14:val="100000"/>
                    </w14:srgbClr>
                  </w14:solidFill>
                </w14:textFill>
              </w:rPr>
              <w:t>|</w:t>
            </w:r>
            <w:r w:rsidRPr="00400174">
              <w:rPr>
                <w:rFonts w:eastAsia="Calibri" w:hint="eastAsia"/>
                <w:color w:val="000000"/>
                <w:spacing w:val="-55"/>
                <w:w w:val="15"/>
                <w:szCs w:val="20"/>
                <w:shd w:val="solid" w:color="000000" w:fill="000000"/>
                <w:fitText w:val="10" w:id="-1301087736"/>
                <w14:textFill>
                  <w14:solidFill>
                    <w14:srgbClr w14:val="000000">
                      <w14:alpha w14:val="100000"/>
                    </w14:srgbClr>
                  </w14:solidFill>
                </w14:textFill>
              </w:rPr>
              <w:t xml:space="preserve">　</w:t>
            </w:r>
            <w:r w:rsidR="003013CE">
              <w:rPr>
                <w:vertAlign w:val="superscript"/>
              </w:rPr>
              <w:t>6</w:t>
            </w:r>
          </w:p>
        </w:tc>
        <w:tc>
          <w:tcPr>
            <w:tcW w:w="600" w:type="pct"/>
          </w:tcPr>
          <w:p w14:paraId="462A0BFB" w14:textId="77777777" w:rsidR="00A42255" w:rsidRPr="00EC57D8" w:rsidRDefault="00A42255" w:rsidP="00510454">
            <w:pPr>
              <w:pStyle w:val="COMTabletext"/>
              <w:keepNext w:val="0"/>
              <w:jc w:val="center"/>
            </w:pPr>
            <w:r w:rsidRPr="00EC57D8">
              <w:t>228%</w:t>
            </w:r>
          </w:p>
        </w:tc>
      </w:tr>
      <w:tr w:rsidR="00A42255" w:rsidRPr="002E14F6" w14:paraId="28D2BB1C" w14:textId="77777777" w:rsidTr="00510454">
        <w:trPr>
          <w:trHeight w:val="54"/>
        </w:trPr>
        <w:tc>
          <w:tcPr>
            <w:tcW w:w="2277" w:type="pct"/>
          </w:tcPr>
          <w:p w14:paraId="5111ABA2" w14:textId="77777777" w:rsidR="00A42255" w:rsidRPr="0091151B" w:rsidRDefault="00A42255" w:rsidP="00510454">
            <w:pPr>
              <w:pStyle w:val="COMTabletext"/>
              <w:keepNext w:val="0"/>
            </w:pPr>
            <w:r w:rsidRPr="00AC7C58">
              <w:t>60 years, BMD T-score -2.5</w:t>
            </w:r>
          </w:p>
        </w:tc>
        <w:tc>
          <w:tcPr>
            <w:tcW w:w="748" w:type="pct"/>
            <w:tcBorders>
              <w:bottom w:val="single" w:sz="4" w:space="0" w:color="auto"/>
            </w:tcBorders>
            <w:shd w:val="solid" w:color="000000" w:fill="000000"/>
          </w:tcPr>
          <w:p w14:paraId="2DF252F3" w14:textId="7A6199E8" w:rsidR="00A42255" w:rsidRPr="004D7F61" w:rsidRDefault="00C0674E" w:rsidP="00510454">
            <w:pPr>
              <w:pStyle w:val="COMTabletext"/>
              <w:keepNext w:val="0"/>
              <w:jc w:val="center"/>
              <w:rPr>
                <w:rFonts w:eastAsia="Calibri"/>
                <w:szCs w:val="20"/>
                <w:highlight w:val="darkGray"/>
              </w:rPr>
            </w:pPr>
            <w:r w:rsidRPr="00C0674E">
              <w:rPr>
                <w:rFonts w:eastAsia="Calibri"/>
                <w:color w:val="000000"/>
                <w:szCs w:val="20"/>
                <w14:textFill>
                  <w14:solidFill>
                    <w14:srgbClr w14:val="000000">
                      <w14:alpha w14:val="100000"/>
                    </w14:srgbClr>
                  </w14:solidFill>
                </w14:textFill>
              </w:rPr>
              <w:t>|</w:t>
            </w:r>
          </w:p>
        </w:tc>
        <w:tc>
          <w:tcPr>
            <w:tcW w:w="729" w:type="pct"/>
          </w:tcPr>
          <w:p w14:paraId="4464F9BC" w14:textId="77777777" w:rsidR="00A42255" w:rsidRPr="0091151B" w:rsidRDefault="00A42255" w:rsidP="00510454">
            <w:pPr>
              <w:pStyle w:val="COMTabletext"/>
              <w:keepNext w:val="0"/>
              <w:jc w:val="center"/>
              <w:rPr>
                <w:rFonts w:eastAsia="Calibri"/>
                <w:szCs w:val="20"/>
              </w:rPr>
            </w:pPr>
            <w:r w:rsidRPr="0091151B">
              <w:rPr>
                <w:rFonts w:eastAsia="Calibri"/>
                <w:szCs w:val="20"/>
              </w:rPr>
              <w:t>0.049</w:t>
            </w:r>
          </w:p>
        </w:tc>
        <w:tc>
          <w:tcPr>
            <w:tcW w:w="646" w:type="pct"/>
          </w:tcPr>
          <w:p w14:paraId="70CD89BF" w14:textId="44BABD86" w:rsidR="00A42255" w:rsidRPr="004D7F61" w:rsidRDefault="00C0674E" w:rsidP="00510454">
            <w:pPr>
              <w:pStyle w:val="COMTabletext"/>
              <w:keepNext w:val="0"/>
              <w:jc w:val="center"/>
              <w:rPr>
                <w:rFonts w:eastAsia="Calibri"/>
                <w:szCs w:val="20"/>
                <w:highlight w:val="darkGray"/>
              </w:rPr>
            </w:pPr>
            <w:r w:rsidRPr="00400174">
              <w:rPr>
                <w:rFonts w:eastAsia="Calibri" w:hint="eastAsia"/>
                <w:color w:val="000000"/>
                <w:w w:val="15"/>
                <w:szCs w:val="20"/>
                <w:shd w:val="solid" w:color="000000" w:fill="000000"/>
                <w:fitText w:val="10" w:id="-1301087735"/>
                <w14:textFill>
                  <w14:solidFill>
                    <w14:srgbClr w14:val="000000">
                      <w14:alpha w14:val="100000"/>
                    </w14:srgbClr>
                  </w14:solidFill>
                </w14:textFill>
              </w:rPr>
              <w:t xml:space="preserve">　</w:t>
            </w:r>
            <w:r w:rsidRPr="00400174">
              <w:rPr>
                <w:rFonts w:eastAsia="Calibri"/>
                <w:color w:val="000000"/>
                <w:w w:val="15"/>
                <w:szCs w:val="20"/>
                <w:shd w:val="solid" w:color="000000" w:fill="000000"/>
                <w:fitText w:val="10" w:id="-1301087735"/>
                <w14:textFill>
                  <w14:solidFill>
                    <w14:srgbClr w14:val="000000">
                      <w14:alpha w14:val="100000"/>
                    </w14:srgbClr>
                  </w14:solidFill>
                </w14:textFill>
              </w:rPr>
              <w:t>|</w:t>
            </w:r>
            <w:r w:rsidRPr="00400174">
              <w:rPr>
                <w:rFonts w:eastAsia="Calibri" w:hint="eastAsia"/>
                <w:color w:val="000000"/>
                <w:spacing w:val="-55"/>
                <w:w w:val="15"/>
                <w:szCs w:val="20"/>
                <w:shd w:val="solid" w:color="000000" w:fill="000000"/>
                <w:fitText w:val="10" w:id="-1301087735"/>
                <w14:textFill>
                  <w14:solidFill>
                    <w14:srgbClr w14:val="000000">
                      <w14:alpha w14:val="100000"/>
                    </w14:srgbClr>
                  </w14:solidFill>
                </w14:textFill>
              </w:rPr>
              <w:t xml:space="preserve">　</w:t>
            </w:r>
            <w:r w:rsidR="003013CE">
              <w:rPr>
                <w:vertAlign w:val="superscript"/>
              </w:rPr>
              <w:t>3</w:t>
            </w:r>
          </w:p>
        </w:tc>
        <w:tc>
          <w:tcPr>
            <w:tcW w:w="600" w:type="pct"/>
          </w:tcPr>
          <w:p w14:paraId="182A462C" w14:textId="77777777" w:rsidR="00A42255" w:rsidRPr="0091151B" w:rsidRDefault="00A42255" w:rsidP="00510454">
            <w:pPr>
              <w:pStyle w:val="COMTabletext"/>
              <w:keepNext w:val="0"/>
              <w:jc w:val="center"/>
            </w:pPr>
            <w:r w:rsidRPr="0091151B">
              <w:t>45%</w:t>
            </w:r>
          </w:p>
        </w:tc>
      </w:tr>
      <w:tr w:rsidR="00A42255" w:rsidRPr="002E14F6" w14:paraId="55306809" w14:textId="77777777" w:rsidTr="00510454">
        <w:trPr>
          <w:trHeight w:val="54"/>
        </w:trPr>
        <w:tc>
          <w:tcPr>
            <w:tcW w:w="2277" w:type="pct"/>
          </w:tcPr>
          <w:p w14:paraId="3760F2B2" w14:textId="7F80A614" w:rsidR="00A42255" w:rsidRPr="00EC57D8" w:rsidRDefault="00A42255" w:rsidP="00510454">
            <w:pPr>
              <w:pStyle w:val="COMTabletext"/>
              <w:keepNext w:val="0"/>
              <w:rPr>
                <w:vertAlign w:val="superscript"/>
              </w:rPr>
            </w:pPr>
            <w:r w:rsidRPr="00AC7C58">
              <w:t xml:space="preserve">65 years, BMD </w:t>
            </w:r>
            <w:r w:rsidRPr="0091151B">
              <w:t>T-score -2.5</w:t>
            </w:r>
          </w:p>
        </w:tc>
        <w:tc>
          <w:tcPr>
            <w:tcW w:w="748" w:type="pct"/>
            <w:tcBorders>
              <w:bottom w:val="single" w:sz="4" w:space="0" w:color="auto"/>
            </w:tcBorders>
            <w:shd w:val="solid" w:color="000000" w:fill="000000"/>
          </w:tcPr>
          <w:p w14:paraId="1D4B621F" w14:textId="7AE7152B" w:rsidR="00A42255" w:rsidRPr="004D7F61" w:rsidRDefault="00C0674E" w:rsidP="00510454">
            <w:pPr>
              <w:pStyle w:val="COMTabletext"/>
              <w:keepNext w:val="0"/>
              <w:jc w:val="center"/>
              <w:rPr>
                <w:rFonts w:eastAsia="Calibri"/>
                <w:szCs w:val="20"/>
                <w:highlight w:val="darkGray"/>
              </w:rPr>
            </w:pPr>
            <w:r w:rsidRPr="00C0674E">
              <w:rPr>
                <w:rFonts w:eastAsia="Calibri"/>
                <w:color w:val="000000"/>
                <w:szCs w:val="20"/>
                <w14:textFill>
                  <w14:solidFill>
                    <w14:srgbClr w14:val="000000">
                      <w14:alpha w14:val="100000"/>
                    </w14:srgbClr>
                  </w14:solidFill>
                </w14:textFill>
              </w:rPr>
              <w:t>|</w:t>
            </w:r>
          </w:p>
        </w:tc>
        <w:tc>
          <w:tcPr>
            <w:tcW w:w="729" w:type="pct"/>
          </w:tcPr>
          <w:p w14:paraId="6FFFEF5D" w14:textId="77777777" w:rsidR="00A42255" w:rsidRPr="0091151B" w:rsidRDefault="00A42255" w:rsidP="00510454">
            <w:pPr>
              <w:pStyle w:val="COMTabletext"/>
              <w:keepNext w:val="0"/>
              <w:jc w:val="center"/>
              <w:rPr>
                <w:rFonts w:eastAsia="Calibri"/>
                <w:szCs w:val="20"/>
              </w:rPr>
            </w:pPr>
            <w:r w:rsidRPr="0091151B">
              <w:rPr>
                <w:rFonts w:eastAsia="Calibri"/>
                <w:szCs w:val="20"/>
              </w:rPr>
              <w:t>0.032</w:t>
            </w:r>
          </w:p>
        </w:tc>
        <w:tc>
          <w:tcPr>
            <w:tcW w:w="646" w:type="pct"/>
          </w:tcPr>
          <w:p w14:paraId="488EB427" w14:textId="1072ED40" w:rsidR="00A42255" w:rsidRPr="004D7F61" w:rsidRDefault="00C0674E" w:rsidP="00510454">
            <w:pPr>
              <w:pStyle w:val="COMTabletext"/>
              <w:keepNext w:val="0"/>
              <w:jc w:val="center"/>
              <w:rPr>
                <w:rFonts w:eastAsia="Calibri"/>
                <w:szCs w:val="20"/>
                <w:highlight w:val="darkGray"/>
              </w:rPr>
            </w:pPr>
            <w:r w:rsidRPr="00400174">
              <w:rPr>
                <w:rFonts w:eastAsia="Calibri" w:hint="eastAsia"/>
                <w:color w:val="000000"/>
                <w:w w:val="15"/>
                <w:szCs w:val="20"/>
                <w:shd w:val="solid" w:color="000000" w:fill="000000"/>
                <w:fitText w:val="10" w:id="-1301087734"/>
                <w14:textFill>
                  <w14:solidFill>
                    <w14:srgbClr w14:val="000000">
                      <w14:alpha w14:val="100000"/>
                    </w14:srgbClr>
                  </w14:solidFill>
                </w14:textFill>
              </w:rPr>
              <w:t xml:space="preserve">　</w:t>
            </w:r>
            <w:r w:rsidRPr="00400174">
              <w:rPr>
                <w:rFonts w:eastAsia="Calibri"/>
                <w:color w:val="000000"/>
                <w:w w:val="15"/>
                <w:szCs w:val="20"/>
                <w:shd w:val="solid" w:color="000000" w:fill="000000"/>
                <w:fitText w:val="10" w:id="-1301087734"/>
                <w14:textFill>
                  <w14:solidFill>
                    <w14:srgbClr w14:val="000000">
                      <w14:alpha w14:val="100000"/>
                    </w14:srgbClr>
                  </w14:solidFill>
                </w14:textFill>
              </w:rPr>
              <w:t>|</w:t>
            </w:r>
            <w:r w:rsidRPr="00400174">
              <w:rPr>
                <w:rFonts w:eastAsia="Calibri" w:hint="eastAsia"/>
                <w:color w:val="000000"/>
                <w:spacing w:val="-55"/>
                <w:w w:val="15"/>
                <w:szCs w:val="20"/>
                <w:shd w:val="solid" w:color="000000" w:fill="000000"/>
                <w:fitText w:val="10" w:id="-1301087734"/>
                <w14:textFill>
                  <w14:solidFill>
                    <w14:srgbClr w14:val="000000">
                      <w14:alpha w14:val="100000"/>
                    </w14:srgbClr>
                  </w14:solidFill>
                </w14:textFill>
              </w:rPr>
              <w:t xml:space="preserve">　</w:t>
            </w:r>
            <w:r w:rsidR="003013CE">
              <w:rPr>
                <w:vertAlign w:val="superscript"/>
              </w:rPr>
              <w:t>4</w:t>
            </w:r>
          </w:p>
        </w:tc>
        <w:tc>
          <w:tcPr>
            <w:tcW w:w="600" w:type="pct"/>
          </w:tcPr>
          <w:p w14:paraId="25A20F44" w14:textId="77777777" w:rsidR="00A42255" w:rsidRPr="0091151B" w:rsidRDefault="00A42255" w:rsidP="00510454">
            <w:pPr>
              <w:pStyle w:val="COMTabletext"/>
              <w:keepNext w:val="0"/>
              <w:jc w:val="center"/>
            </w:pPr>
            <w:r w:rsidRPr="0091151B">
              <w:t>-92%</w:t>
            </w:r>
          </w:p>
        </w:tc>
      </w:tr>
      <w:tr w:rsidR="00A42255" w:rsidRPr="002E14F6" w14:paraId="6483CE7D" w14:textId="77777777" w:rsidTr="00510454">
        <w:trPr>
          <w:trHeight w:val="54"/>
        </w:trPr>
        <w:tc>
          <w:tcPr>
            <w:tcW w:w="2277" w:type="pct"/>
          </w:tcPr>
          <w:p w14:paraId="3D141449" w14:textId="05704F32" w:rsidR="00A42255" w:rsidRPr="00EC57D8" w:rsidRDefault="00A42255" w:rsidP="00510454">
            <w:pPr>
              <w:pStyle w:val="COMTabletext"/>
              <w:keepNext w:val="0"/>
              <w:rPr>
                <w:vertAlign w:val="superscript"/>
              </w:rPr>
            </w:pPr>
            <w:r w:rsidRPr="00EC57D8">
              <w:t>50 years, BMD T-score -3.0</w:t>
            </w:r>
            <w:r w:rsidR="00FE1857" w:rsidRPr="00EC57D8">
              <w:rPr>
                <w:vertAlign w:val="superscript"/>
              </w:rPr>
              <w:t>a</w:t>
            </w:r>
          </w:p>
        </w:tc>
        <w:tc>
          <w:tcPr>
            <w:tcW w:w="748" w:type="pct"/>
            <w:tcBorders>
              <w:bottom w:val="single" w:sz="4" w:space="0" w:color="auto"/>
            </w:tcBorders>
            <w:shd w:val="solid" w:color="000000" w:fill="000000"/>
          </w:tcPr>
          <w:p w14:paraId="465B0764" w14:textId="53CA9F93" w:rsidR="00A42255" w:rsidRPr="004D7F61" w:rsidRDefault="00C0674E" w:rsidP="00510454">
            <w:pPr>
              <w:pStyle w:val="COMTabletext"/>
              <w:keepNext w:val="0"/>
              <w:jc w:val="center"/>
              <w:rPr>
                <w:rFonts w:eastAsia="Calibri"/>
                <w:szCs w:val="20"/>
                <w:highlight w:val="darkGray"/>
              </w:rPr>
            </w:pPr>
            <w:r w:rsidRPr="00C0674E">
              <w:rPr>
                <w:rFonts w:eastAsia="Calibri"/>
                <w:color w:val="000000"/>
                <w:szCs w:val="20"/>
                <w14:textFill>
                  <w14:solidFill>
                    <w14:srgbClr w14:val="000000">
                      <w14:alpha w14:val="100000"/>
                    </w14:srgbClr>
                  </w14:solidFill>
                </w14:textFill>
              </w:rPr>
              <w:t>|</w:t>
            </w:r>
          </w:p>
        </w:tc>
        <w:tc>
          <w:tcPr>
            <w:tcW w:w="729" w:type="pct"/>
          </w:tcPr>
          <w:p w14:paraId="2D375D1F" w14:textId="77777777" w:rsidR="00A42255" w:rsidRPr="00EC57D8" w:rsidRDefault="00A42255" w:rsidP="00510454">
            <w:pPr>
              <w:pStyle w:val="COMTabletext"/>
              <w:keepNext w:val="0"/>
              <w:jc w:val="center"/>
              <w:rPr>
                <w:rFonts w:eastAsia="Calibri"/>
                <w:szCs w:val="20"/>
              </w:rPr>
            </w:pPr>
            <w:r w:rsidRPr="00EC57D8">
              <w:rPr>
                <w:rFonts w:eastAsia="Calibri"/>
                <w:szCs w:val="20"/>
              </w:rPr>
              <w:t>0.046</w:t>
            </w:r>
          </w:p>
        </w:tc>
        <w:tc>
          <w:tcPr>
            <w:tcW w:w="646" w:type="pct"/>
          </w:tcPr>
          <w:p w14:paraId="3FFC4747" w14:textId="68626257" w:rsidR="00A42255" w:rsidRPr="004D7F61" w:rsidRDefault="00C0674E" w:rsidP="00510454">
            <w:pPr>
              <w:pStyle w:val="COMTabletext"/>
              <w:keepNext w:val="0"/>
              <w:jc w:val="center"/>
              <w:rPr>
                <w:rFonts w:eastAsia="Calibri"/>
                <w:szCs w:val="20"/>
                <w:highlight w:val="darkGray"/>
              </w:rPr>
            </w:pPr>
            <w:r w:rsidRPr="00400174">
              <w:rPr>
                <w:rFonts w:eastAsia="Calibri" w:hint="eastAsia"/>
                <w:color w:val="000000"/>
                <w:w w:val="15"/>
                <w:szCs w:val="20"/>
                <w:shd w:val="solid" w:color="000000" w:fill="000000"/>
                <w:fitText w:val="10" w:id="-1301087733"/>
                <w14:textFill>
                  <w14:solidFill>
                    <w14:srgbClr w14:val="000000">
                      <w14:alpha w14:val="100000"/>
                    </w14:srgbClr>
                  </w14:solidFill>
                </w14:textFill>
              </w:rPr>
              <w:t xml:space="preserve">　</w:t>
            </w:r>
            <w:r w:rsidRPr="00400174">
              <w:rPr>
                <w:rFonts w:eastAsia="Calibri"/>
                <w:color w:val="000000"/>
                <w:w w:val="15"/>
                <w:szCs w:val="20"/>
                <w:shd w:val="solid" w:color="000000" w:fill="000000"/>
                <w:fitText w:val="10" w:id="-1301087733"/>
                <w14:textFill>
                  <w14:solidFill>
                    <w14:srgbClr w14:val="000000">
                      <w14:alpha w14:val="100000"/>
                    </w14:srgbClr>
                  </w14:solidFill>
                </w14:textFill>
              </w:rPr>
              <w:t>|</w:t>
            </w:r>
            <w:r w:rsidRPr="00400174">
              <w:rPr>
                <w:rFonts w:eastAsia="Calibri" w:hint="eastAsia"/>
                <w:color w:val="000000"/>
                <w:spacing w:val="-55"/>
                <w:w w:val="15"/>
                <w:szCs w:val="20"/>
                <w:shd w:val="solid" w:color="000000" w:fill="000000"/>
                <w:fitText w:val="10" w:id="-1301087733"/>
                <w14:textFill>
                  <w14:solidFill>
                    <w14:srgbClr w14:val="000000">
                      <w14:alpha w14:val="100000"/>
                    </w14:srgbClr>
                  </w14:solidFill>
                </w14:textFill>
              </w:rPr>
              <w:t xml:space="preserve">　</w:t>
            </w:r>
            <w:r w:rsidR="003013CE">
              <w:rPr>
                <w:vertAlign w:val="superscript"/>
              </w:rPr>
              <w:t>2</w:t>
            </w:r>
          </w:p>
        </w:tc>
        <w:tc>
          <w:tcPr>
            <w:tcW w:w="600" w:type="pct"/>
          </w:tcPr>
          <w:p w14:paraId="4C47408A" w14:textId="77777777" w:rsidR="00A42255" w:rsidRPr="0091151B" w:rsidRDefault="00A42255" w:rsidP="00510454">
            <w:pPr>
              <w:pStyle w:val="COMTabletext"/>
              <w:keepNext w:val="0"/>
              <w:jc w:val="center"/>
            </w:pPr>
            <w:r w:rsidRPr="00AC7C58">
              <w:t>327%</w:t>
            </w:r>
          </w:p>
        </w:tc>
      </w:tr>
      <w:tr w:rsidR="00A42255" w:rsidRPr="002E14F6" w14:paraId="33962D00" w14:textId="77777777" w:rsidTr="00510454">
        <w:trPr>
          <w:trHeight w:val="54"/>
        </w:trPr>
        <w:tc>
          <w:tcPr>
            <w:tcW w:w="2277" w:type="pct"/>
          </w:tcPr>
          <w:p w14:paraId="2F9581E1" w14:textId="409AE371" w:rsidR="00A42255" w:rsidRPr="00EC57D8" w:rsidRDefault="00A42255" w:rsidP="00510454">
            <w:pPr>
              <w:pStyle w:val="COMTabletext"/>
              <w:keepNext w:val="0"/>
              <w:rPr>
                <w:vertAlign w:val="superscript"/>
              </w:rPr>
            </w:pPr>
            <w:r w:rsidRPr="00EC57D8">
              <w:t>55 years, BMD T-score -3.0</w:t>
            </w:r>
            <w:r w:rsidR="00FE1857" w:rsidRPr="00EC57D8">
              <w:rPr>
                <w:vertAlign w:val="superscript"/>
              </w:rPr>
              <w:t>a</w:t>
            </w:r>
          </w:p>
        </w:tc>
        <w:tc>
          <w:tcPr>
            <w:tcW w:w="748" w:type="pct"/>
            <w:tcBorders>
              <w:bottom w:val="single" w:sz="4" w:space="0" w:color="auto"/>
            </w:tcBorders>
            <w:shd w:val="solid" w:color="000000" w:fill="000000"/>
          </w:tcPr>
          <w:p w14:paraId="15A460DE" w14:textId="5DDB9923" w:rsidR="00A42255" w:rsidRPr="004D7F61" w:rsidRDefault="00C0674E" w:rsidP="00510454">
            <w:pPr>
              <w:pStyle w:val="COMTabletext"/>
              <w:keepNext w:val="0"/>
              <w:jc w:val="center"/>
              <w:rPr>
                <w:rFonts w:eastAsia="Calibri"/>
                <w:szCs w:val="20"/>
                <w:highlight w:val="darkGray"/>
              </w:rPr>
            </w:pPr>
            <w:r w:rsidRPr="00C0674E">
              <w:rPr>
                <w:rFonts w:eastAsia="Calibri"/>
                <w:color w:val="000000"/>
                <w:szCs w:val="20"/>
                <w14:textFill>
                  <w14:solidFill>
                    <w14:srgbClr w14:val="000000">
                      <w14:alpha w14:val="100000"/>
                    </w14:srgbClr>
                  </w14:solidFill>
                </w14:textFill>
              </w:rPr>
              <w:t>|</w:t>
            </w:r>
          </w:p>
        </w:tc>
        <w:tc>
          <w:tcPr>
            <w:tcW w:w="729" w:type="pct"/>
          </w:tcPr>
          <w:p w14:paraId="5E24ED1A" w14:textId="77777777" w:rsidR="00A42255" w:rsidRPr="00EC57D8" w:rsidRDefault="00A42255" w:rsidP="00510454">
            <w:pPr>
              <w:pStyle w:val="COMTabletext"/>
              <w:keepNext w:val="0"/>
              <w:jc w:val="center"/>
              <w:rPr>
                <w:rFonts w:eastAsia="Calibri"/>
                <w:szCs w:val="20"/>
              </w:rPr>
            </w:pPr>
            <w:r w:rsidRPr="00EC57D8">
              <w:rPr>
                <w:rFonts w:eastAsia="Calibri"/>
                <w:szCs w:val="20"/>
              </w:rPr>
              <w:t>0.057</w:t>
            </w:r>
          </w:p>
        </w:tc>
        <w:tc>
          <w:tcPr>
            <w:tcW w:w="646" w:type="pct"/>
          </w:tcPr>
          <w:p w14:paraId="49A8F116" w14:textId="2C5F0D53" w:rsidR="00A42255" w:rsidRPr="004D7F61" w:rsidRDefault="00C0674E" w:rsidP="00510454">
            <w:pPr>
              <w:pStyle w:val="COMTabletext"/>
              <w:keepNext w:val="0"/>
              <w:jc w:val="center"/>
              <w:rPr>
                <w:rFonts w:eastAsia="Calibri"/>
                <w:szCs w:val="20"/>
                <w:highlight w:val="darkGray"/>
                <w:vertAlign w:val="superscript"/>
              </w:rPr>
            </w:pPr>
            <w:r w:rsidRPr="00400174">
              <w:rPr>
                <w:rFonts w:eastAsia="Calibri" w:hint="eastAsia"/>
                <w:color w:val="000000"/>
                <w:w w:val="15"/>
                <w:szCs w:val="20"/>
                <w:shd w:val="solid" w:color="000000" w:fill="000000"/>
                <w:fitText w:val="10" w:id="-1301087732"/>
                <w14:textFill>
                  <w14:solidFill>
                    <w14:srgbClr w14:val="000000">
                      <w14:alpha w14:val="100000"/>
                    </w14:srgbClr>
                  </w14:solidFill>
                </w14:textFill>
              </w:rPr>
              <w:t xml:space="preserve">　</w:t>
            </w:r>
            <w:r w:rsidRPr="00400174">
              <w:rPr>
                <w:rFonts w:eastAsia="Calibri"/>
                <w:color w:val="000000"/>
                <w:w w:val="15"/>
                <w:szCs w:val="20"/>
                <w:shd w:val="solid" w:color="000000" w:fill="000000"/>
                <w:fitText w:val="10" w:id="-1301087732"/>
                <w14:textFill>
                  <w14:solidFill>
                    <w14:srgbClr w14:val="000000">
                      <w14:alpha w14:val="100000"/>
                    </w14:srgbClr>
                  </w14:solidFill>
                </w14:textFill>
              </w:rPr>
              <w:t>|</w:t>
            </w:r>
            <w:r w:rsidRPr="00400174">
              <w:rPr>
                <w:rFonts w:eastAsia="Calibri" w:hint="eastAsia"/>
                <w:color w:val="000000"/>
                <w:spacing w:val="-55"/>
                <w:w w:val="15"/>
                <w:szCs w:val="20"/>
                <w:shd w:val="solid" w:color="000000" w:fill="000000"/>
                <w:fitText w:val="10" w:id="-1301087732"/>
                <w14:textFill>
                  <w14:solidFill>
                    <w14:srgbClr w14:val="000000">
                      <w14:alpha w14:val="100000"/>
                    </w14:srgbClr>
                  </w14:solidFill>
                </w14:textFill>
              </w:rPr>
              <w:t xml:space="preserve">　</w:t>
            </w:r>
            <w:r w:rsidR="003013CE">
              <w:rPr>
                <w:vertAlign w:val="superscript"/>
              </w:rPr>
              <w:t>3</w:t>
            </w:r>
          </w:p>
        </w:tc>
        <w:tc>
          <w:tcPr>
            <w:tcW w:w="600" w:type="pct"/>
          </w:tcPr>
          <w:p w14:paraId="7135AF62" w14:textId="77777777" w:rsidR="00A42255" w:rsidRPr="0091151B" w:rsidRDefault="00A42255" w:rsidP="00510454">
            <w:pPr>
              <w:pStyle w:val="COMTabletext"/>
              <w:keepNext w:val="0"/>
              <w:jc w:val="center"/>
            </w:pPr>
            <w:r w:rsidRPr="00AC7C58">
              <w:t>96%</w:t>
            </w:r>
          </w:p>
        </w:tc>
      </w:tr>
      <w:tr w:rsidR="00A42255" w:rsidRPr="002E14F6" w14:paraId="4036816B" w14:textId="77777777" w:rsidTr="00510454">
        <w:trPr>
          <w:trHeight w:val="54"/>
        </w:trPr>
        <w:tc>
          <w:tcPr>
            <w:tcW w:w="2277" w:type="pct"/>
          </w:tcPr>
          <w:p w14:paraId="23493025" w14:textId="11143B53" w:rsidR="00A42255" w:rsidRPr="00EC57D8" w:rsidRDefault="00A42255" w:rsidP="00510454">
            <w:pPr>
              <w:pStyle w:val="COMTabletext"/>
              <w:keepNext w:val="0"/>
              <w:rPr>
                <w:vertAlign w:val="superscript"/>
              </w:rPr>
            </w:pPr>
            <w:r w:rsidRPr="00EC57D8">
              <w:t>60 years, BMD T-score -3.0</w:t>
            </w:r>
            <w:r w:rsidR="00FE1857" w:rsidRPr="00EC57D8">
              <w:rPr>
                <w:vertAlign w:val="superscript"/>
              </w:rPr>
              <w:t>a</w:t>
            </w:r>
          </w:p>
        </w:tc>
        <w:tc>
          <w:tcPr>
            <w:tcW w:w="748" w:type="pct"/>
            <w:tcBorders>
              <w:bottom w:val="single" w:sz="4" w:space="0" w:color="auto"/>
            </w:tcBorders>
            <w:shd w:val="solid" w:color="000000" w:fill="000000"/>
          </w:tcPr>
          <w:p w14:paraId="49C8B86F" w14:textId="2628CE99" w:rsidR="00A42255" w:rsidRPr="004D7F61" w:rsidRDefault="00C0674E" w:rsidP="00510454">
            <w:pPr>
              <w:pStyle w:val="COMTabletext"/>
              <w:keepNext w:val="0"/>
              <w:jc w:val="center"/>
              <w:rPr>
                <w:rFonts w:eastAsia="Calibri"/>
                <w:szCs w:val="20"/>
                <w:highlight w:val="darkGray"/>
              </w:rPr>
            </w:pPr>
            <w:r w:rsidRPr="00C0674E">
              <w:rPr>
                <w:rFonts w:eastAsia="Calibri"/>
                <w:color w:val="000000"/>
                <w:szCs w:val="20"/>
                <w14:textFill>
                  <w14:solidFill>
                    <w14:srgbClr w14:val="000000">
                      <w14:alpha w14:val="100000"/>
                    </w14:srgbClr>
                  </w14:solidFill>
                </w14:textFill>
              </w:rPr>
              <w:t>|</w:t>
            </w:r>
          </w:p>
        </w:tc>
        <w:tc>
          <w:tcPr>
            <w:tcW w:w="729" w:type="pct"/>
          </w:tcPr>
          <w:p w14:paraId="34584E9F" w14:textId="77777777" w:rsidR="00A42255" w:rsidRPr="00EC57D8" w:rsidRDefault="00A42255" w:rsidP="00510454">
            <w:pPr>
              <w:pStyle w:val="COMTabletext"/>
              <w:keepNext w:val="0"/>
              <w:jc w:val="center"/>
              <w:rPr>
                <w:rFonts w:eastAsia="Calibri"/>
                <w:szCs w:val="20"/>
              </w:rPr>
            </w:pPr>
            <w:r w:rsidRPr="00EC57D8">
              <w:rPr>
                <w:rFonts w:eastAsia="Calibri"/>
                <w:szCs w:val="20"/>
              </w:rPr>
              <w:t>0.065</w:t>
            </w:r>
          </w:p>
        </w:tc>
        <w:tc>
          <w:tcPr>
            <w:tcW w:w="646" w:type="pct"/>
          </w:tcPr>
          <w:p w14:paraId="3ACCEA80" w14:textId="11311B42" w:rsidR="00A42255" w:rsidRPr="004D7F61" w:rsidRDefault="00C0674E" w:rsidP="00510454">
            <w:pPr>
              <w:pStyle w:val="COMTabletext"/>
              <w:keepNext w:val="0"/>
              <w:jc w:val="center"/>
              <w:rPr>
                <w:rFonts w:eastAsia="Calibri"/>
                <w:szCs w:val="20"/>
                <w:highlight w:val="darkGray"/>
              </w:rPr>
            </w:pPr>
            <w:r w:rsidRPr="00400174">
              <w:rPr>
                <w:rFonts w:eastAsia="Calibri" w:hint="eastAsia"/>
                <w:color w:val="000000"/>
                <w:w w:val="15"/>
                <w:szCs w:val="20"/>
                <w:shd w:val="solid" w:color="000000" w:fill="000000"/>
                <w:fitText w:val="10" w:id="-1301087731"/>
                <w14:textFill>
                  <w14:solidFill>
                    <w14:srgbClr w14:val="000000">
                      <w14:alpha w14:val="100000"/>
                    </w14:srgbClr>
                  </w14:solidFill>
                </w14:textFill>
              </w:rPr>
              <w:t xml:space="preserve">　</w:t>
            </w:r>
            <w:r w:rsidRPr="00400174">
              <w:rPr>
                <w:rFonts w:eastAsia="Calibri"/>
                <w:color w:val="000000"/>
                <w:w w:val="15"/>
                <w:szCs w:val="20"/>
                <w:shd w:val="solid" w:color="000000" w:fill="000000"/>
                <w:fitText w:val="10" w:id="-1301087731"/>
                <w14:textFill>
                  <w14:solidFill>
                    <w14:srgbClr w14:val="000000">
                      <w14:alpha w14:val="100000"/>
                    </w14:srgbClr>
                  </w14:solidFill>
                </w14:textFill>
              </w:rPr>
              <w:t>|</w:t>
            </w:r>
            <w:r w:rsidRPr="00400174">
              <w:rPr>
                <w:rFonts w:eastAsia="Calibri" w:hint="eastAsia"/>
                <w:color w:val="000000"/>
                <w:spacing w:val="-55"/>
                <w:w w:val="15"/>
                <w:szCs w:val="20"/>
                <w:shd w:val="solid" w:color="000000" w:fill="000000"/>
                <w:fitText w:val="10" w:id="-1301087731"/>
                <w14:textFill>
                  <w14:solidFill>
                    <w14:srgbClr w14:val="000000">
                      <w14:alpha w14:val="100000"/>
                    </w14:srgbClr>
                  </w14:solidFill>
                </w14:textFill>
              </w:rPr>
              <w:t xml:space="preserve">　</w:t>
            </w:r>
            <w:r w:rsidR="003013CE">
              <w:rPr>
                <w:vertAlign w:val="superscript"/>
              </w:rPr>
              <w:t>4</w:t>
            </w:r>
          </w:p>
        </w:tc>
        <w:tc>
          <w:tcPr>
            <w:tcW w:w="600" w:type="pct"/>
          </w:tcPr>
          <w:p w14:paraId="624D07F1" w14:textId="77777777" w:rsidR="00A42255" w:rsidRPr="0091151B" w:rsidRDefault="00A42255" w:rsidP="00510454">
            <w:pPr>
              <w:pStyle w:val="COMTabletext"/>
              <w:keepNext w:val="0"/>
              <w:jc w:val="center"/>
            </w:pPr>
            <w:r w:rsidRPr="00AC7C58">
              <w:t>-70%</w:t>
            </w:r>
          </w:p>
        </w:tc>
      </w:tr>
      <w:tr w:rsidR="00A42255" w:rsidRPr="002E14F6" w14:paraId="68FD4200" w14:textId="77777777" w:rsidTr="00510454">
        <w:trPr>
          <w:trHeight w:val="54"/>
        </w:trPr>
        <w:tc>
          <w:tcPr>
            <w:tcW w:w="2277" w:type="pct"/>
          </w:tcPr>
          <w:p w14:paraId="060FA9AF" w14:textId="77777777" w:rsidR="00A42255" w:rsidRPr="0091151B" w:rsidRDefault="00A42255" w:rsidP="00510454">
            <w:pPr>
              <w:pStyle w:val="COMTabletext"/>
              <w:keepNext w:val="0"/>
            </w:pPr>
            <w:r w:rsidRPr="00AC7C58">
              <w:t>62 years, BMD T-score -3.0</w:t>
            </w:r>
          </w:p>
        </w:tc>
        <w:tc>
          <w:tcPr>
            <w:tcW w:w="748" w:type="pct"/>
            <w:tcBorders>
              <w:bottom w:val="single" w:sz="4" w:space="0" w:color="auto"/>
            </w:tcBorders>
            <w:shd w:val="solid" w:color="000000" w:fill="000000"/>
          </w:tcPr>
          <w:p w14:paraId="21ED60D0" w14:textId="33E80378" w:rsidR="00A42255" w:rsidRPr="004D7F61" w:rsidRDefault="00C0674E" w:rsidP="00510454">
            <w:pPr>
              <w:pStyle w:val="COMTabletext"/>
              <w:keepNext w:val="0"/>
              <w:jc w:val="center"/>
              <w:rPr>
                <w:rFonts w:eastAsia="Calibri"/>
                <w:szCs w:val="20"/>
                <w:highlight w:val="darkGray"/>
              </w:rPr>
            </w:pPr>
            <w:r w:rsidRPr="00C0674E">
              <w:rPr>
                <w:rFonts w:eastAsia="Calibri"/>
                <w:color w:val="000000"/>
                <w:szCs w:val="20"/>
                <w14:textFill>
                  <w14:solidFill>
                    <w14:srgbClr w14:val="000000">
                      <w14:alpha w14:val="100000"/>
                    </w14:srgbClr>
                  </w14:solidFill>
                </w14:textFill>
              </w:rPr>
              <w:t>|</w:t>
            </w:r>
          </w:p>
        </w:tc>
        <w:tc>
          <w:tcPr>
            <w:tcW w:w="729" w:type="pct"/>
          </w:tcPr>
          <w:p w14:paraId="2AA7D4EB" w14:textId="77777777" w:rsidR="00A42255" w:rsidRPr="0091151B" w:rsidRDefault="00A42255" w:rsidP="00510454">
            <w:pPr>
              <w:pStyle w:val="COMTabletext"/>
              <w:keepNext w:val="0"/>
              <w:jc w:val="center"/>
              <w:rPr>
                <w:rFonts w:eastAsia="Calibri"/>
                <w:szCs w:val="20"/>
              </w:rPr>
            </w:pPr>
            <w:r w:rsidRPr="0091151B">
              <w:rPr>
                <w:rFonts w:eastAsia="Calibri"/>
                <w:szCs w:val="20"/>
              </w:rPr>
              <w:t>0.059</w:t>
            </w:r>
          </w:p>
        </w:tc>
        <w:tc>
          <w:tcPr>
            <w:tcW w:w="646" w:type="pct"/>
          </w:tcPr>
          <w:p w14:paraId="03A00E8C" w14:textId="43A9941F" w:rsidR="00A42255" w:rsidRPr="004D7F61" w:rsidRDefault="00C0674E" w:rsidP="00510454">
            <w:pPr>
              <w:pStyle w:val="COMTabletext"/>
              <w:keepNext w:val="0"/>
              <w:jc w:val="center"/>
              <w:rPr>
                <w:rFonts w:eastAsia="Calibri"/>
                <w:szCs w:val="20"/>
                <w:highlight w:val="darkGray"/>
              </w:rPr>
            </w:pPr>
            <w:r w:rsidRPr="00400174">
              <w:rPr>
                <w:rFonts w:eastAsia="Calibri" w:hint="eastAsia"/>
                <w:color w:val="000000"/>
                <w:w w:val="15"/>
                <w:szCs w:val="20"/>
                <w:shd w:val="solid" w:color="000000" w:fill="000000"/>
                <w:fitText w:val="10" w:id="-1301087730"/>
                <w14:textFill>
                  <w14:solidFill>
                    <w14:srgbClr w14:val="000000">
                      <w14:alpha w14:val="100000"/>
                    </w14:srgbClr>
                  </w14:solidFill>
                </w14:textFill>
              </w:rPr>
              <w:t xml:space="preserve">　</w:t>
            </w:r>
            <w:r w:rsidRPr="00400174">
              <w:rPr>
                <w:rFonts w:eastAsia="Calibri"/>
                <w:color w:val="000000"/>
                <w:w w:val="15"/>
                <w:szCs w:val="20"/>
                <w:shd w:val="solid" w:color="000000" w:fill="000000"/>
                <w:fitText w:val="10" w:id="-1301087730"/>
                <w14:textFill>
                  <w14:solidFill>
                    <w14:srgbClr w14:val="000000">
                      <w14:alpha w14:val="100000"/>
                    </w14:srgbClr>
                  </w14:solidFill>
                </w14:textFill>
              </w:rPr>
              <w:t>|</w:t>
            </w:r>
            <w:r w:rsidRPr="00400174">
              <w:rPr>
                <w:rFonts w:eastAsia="Calibri" w:hint="eastAsia"/>
                <w:color w:val="000000"/>
                <w:spacing w:val="-55"/>
                <w:w w:val="15"/>
                <w:szCs w:val="20"/>
                <w:shd w:val="solid" w:color="000000" w:fill="000000"/>
                <w:fitText w:val="10" w:id="-1301087730"/>
                <w14:textFill>
                  <w14:solidFill>
                    <w14:srgbClr w14:val="000000">
                      <w14:alpha w14:val="100000"/>
                    </w14:srgbClr>
                  </w14:solidFill>
                </w14:textFill>
              </w:rPr>
              <w:t xml:space="preserve">　</w:t>
            </w:r>
            <w:r w:rsidR="003013CE">
              <w:rPr>
                <w:vertAlign w:val="superscript"/>
              </w:rPr>
              <w:t>4</w:t>
            </w:r>
          </w:p>
        </w:tc>
        <w:tc>
          <w:tcPr>
            <w:tcW w:w="600" w:type="pct"/>
          </w:tcPr>
          <w:p w14:paraId="2E5AB5CD" w14:textId="77777777" w:rsidR="00A42255" w:rsidRPr="0091151B" w:rsidRDefault="00A42255" w:rsidP="00510454">
            <w:pPr>
              <w:pStyle w:val="COMTabletext"/>
              <w:keepNext w:val="0"/>
              <w:jc w:val="center"/>
            </w:pPr>
            <w:r w:rsidRPr="0091151B">
              <w:rPr>
                <w:rFonts w:eastAsia="Calibri"/>
                <w:szCs w:val="20"/>
              </w:rPr>
              <w:t>-98%</w:t>
            </w:r>
          </w:p>
        </w:tc>
      </w:tr>
      <w:tr w:rsidR="00A42255" w:rsidRPr="002E14F6" w14:paraId="3C8A3FAD" w14:textId="77777777" w:rsidTr="00510454">
        <w:trPr>
          <w:trHeight w:val="54"/>
        </w:trPr>
        <w:tc>
          <w:tcPr>
            <w:tcW w:w="2277" w:type="pct"/>
          </w:tcPr>
          <w:p w14:paraId="56D9F39C" w14:textId="50348763" w:rsidR="00A42255" w:rsidRPr="00EC57D8" w:rsidRDefault="00A42255" w:rsidP="00510454">
            <w:pPr>
              <w:pStyle w:val="COMTabletext"/>
              <w:keepNext w:val="0"/>
              <w:rPr>
                <w:vertAlign w:val="superscript"/>
              </w:rPr>
            </w:pPr>
            <w:r w:rsidRPr="00EC57D8">
              <w:t>65 years, BMD T-score -3.0</w:t>
            </w:r>
            <w:r w:rsidR="00FE1857" w:rsidRPr="00EC57D8">
              <w:rPr>
                <w:vertAlign w:val="superscript"/>
              </w:rPr>
              <w:t>a</w:t>
            </w:r>
          </w:p>
        </w:tc>
        <w:tc>
          <w:tcPr>
            <w:tcW w:w="748" w:type="pct"/>
            <w:shd w:val="solid" w:color="000000" w:fill="000000"/>
          </w:tcPr>
          <w:p w14:paraId="026379F2" w14:textId="1F75F81C" w:rsidR="00A42255" w:rsidRPr="004D7F61" w:rsidRDefault="00C0674E" w:rsidP="00510454">
            <w:pPr>
              <w:pStyle w:val="COMTabletext"/>
              <w:keepNext w:val="0"/>
              <w:jc w:val="center"/>
              <w:rPr>
                <w:rFonts w:eastAsia="Calibri"/>
                <w:szCs w:val="20"/>
                <w:highlight w:val="darkGray"/>
              </w:rPr>
            </w:pPr>
            <w:r w:rsidRPr="00C0674E">
              <w:rPr>
                <w:rFonts w:eastAsia="Calibri"/>
                <w:color w:val="000000"/>
                <w:szCs w:val="20"/>
                <w14:textFill>
                  <w14:solidFill>
                    <w14:srgbClr w14:val="000000">
                      <w14:alpha w14:val="100000"/>
                    </w14:srgbClr>
                  </w14:solidFill>
                </w14:textFill>
              </w:rPr>
              <w:t>|</w:t>
            </w:r>
          </w:p>
        </w:tc>
        <w:tc>
          <w:tcPr>
            <w:tcW w:w="729" w:type="pct"/>
          </w:tcPr>
          <w:p w14:paraId="3D49FD53" w14:textId="77777777" w:rsidR="00A42255" w:rsidRPr="00EC57D8" w:rsidRDefault="00A42255" w:rsidP="00510454">
            <w:pPr>
              <w:pStyle w:val="COMTabletext"/>
              <w:keepNext w:val="0"/>
              <w:jc w:val="center"/>
              <w:rPr>
                <w:rFonts w:eastAsia="Calibri"/>
                <w:szCs w:val="20"/>
              </w:rPr>
            </w:pPr>
            <w:r w:rsidRPr="00EC57D8">
              <w:rPr>
                <w:rFonts w:eastAsia="Calibri"/>
                <w:szCs w:val="20"/>
              </w:rPr>
              <w:t>0.046</w:t>
            </w:r>
          </w:p>
        </w:tc>
        <w:tc>
          <w:tcPr>
            <w:tcW w:w="646" w:type="pct"/>
          </w:tcPr>
          <w:p w14:paraId="5A882CC6" w14:textId="77777777" w:rsidR="00A42255" w:rsidRPr="00EC57D8" w:rsidRDefault="00A42255" w:rsidP="00510454">
            <w:pPr>
              <w:pStyle w:val="COMTabletext"/>
              <w:keepNext w:val="0"/>
              <w:jc w:val="center"/>
              <w:rPr>
                <w:rFonts w:eastAsia="Calibri"/>
                <w:szCs w:val="20"/>
              </w:rPr>
            </w:pPr>
            <w:r w:rsidRPr="00EC57D8">
              <w:rPr>
                <w:rFonts w:eastAsia="Calibri"/>
                <w:szCs w:val="20"/>
              </w:rPr>
              <w:t>Dominant</w:t>
            </w:r>
          </w:p>
        </w:tc>
        <w:tc>
          <w:tcPr>
            <w:tcW w:w="600" w:type="pct"/>
          </w:tcPr>
          <w:p w14:paraId="352A8DAF" w14:textId="77777777" w:rsidR="00A42255" w:rsidRPr="0091151B" w:rsidRDefault="00A42255" w:rsidP="00510454">
            <w:pPr>
              <w:pStyle w:val="COMTabletext"/>
              <w:keepNext w:val="0"/>
              <w:jc w:val="center"/>
            </w:pPr>
            <w:r w:rsidRPr="00AC7C58">
              <w:t>-</w:t>
            </w:r>
          </w:p>
        </w:tc>
      </w:tr>
      <w:tr w:rsidR="00A42255" w:rsidRPr="002E14F6" w14:paraId="5191D6E4" w14:textId="77777777" w:rsidTr="00510454">
        <w:trPr>
          <w:trHeight w:val="54"/>
        </w:trPr>
        <w:tc>
          <w:tcPr>
            <w:tcW w:w="5000" w:type="pct"/>
            <w:gridSpan w:val="5"/>
          </w:tcPr>
          <w:p w14:paraId="7E95BD73" w14:textId="77777777" w:rsidR="00A42255" w:rsidRPr="002E14F6" w:rsidRDefault="00A42255" w:rsidP="00510454">
            <w:pPr>
              <w:pStyle w:val="COMTableheadingrow"/>
              <w:keepNext w:val="0"/>
              <w:rPr>
                <w:lang w:val="en-AU"/>
              </w:rPr>
            </w:pPr>
            <w:r w:rsidRPr="002E14F6">
              <w:rPr>
                <w:lang w:val="en-AU"/>
              </w:rPr>
              <w:t>Risedronate EC and SoC treatment effects (base case relative risk reductions for risedronate: 56% hip fracture and 35% non-hip fracture; SoC: 55% hip fracture and 34% non-hip fracture)</w:t>
            </w:r>
          </w:p>
        </w:tc>
      </w:tr>
      <w:tr w:rsidR="00A42255" w:rsidRPr="002E14F6" w14:paraId="0CAE7AA1" w14:textId="77777777" w:rsidTr="00510454">
        <w:trPr>
          <w:trHeight w:val="54"/>
        </w:trPr>
        <w:tc>
          <w:tcPr>
            <w:tcW w:w="2277" w:type="pct"/>
          </w:tcPr>
          <w:p w14:paraId="62EDDB3E" w14:textId="26C5BEC3" w:rsidR="00A42255" w:rsidRPr="002E14F6" w:rsidRDefault="00A42255" w:rsidP="00510454">
            <w:pPr>
              <w:pStyle w:val="COMTabletext"/>
              <w:keepNext w:val="0"/>
            </w:pPr>
            <w:r w:rsidRPr="002E14F6">
              <w:t xml:space="preserve">Risedronate EC hip fracture RRR 41% and non-hip fracture RRR 46% </w:t>
            </w:r>
            <w:r w:rsidR="00FE1857">
              <w:rPr>
                <w:vertAlign w:val="superscript"/>
              </w:rPr>
              <w:t>c</w:t>
            </w:r>
            <w:r w:rsidRPr="002E14F6">
              <w:t xml:space="preserve"> </w:t>
            </w:r>
          </w:p>
        </w:tc>
        <w:tc>
          <w:tcPr>
            <w:tcW w:w="748" w:type="pct"/>
            <w:tcBorders>
              <w:bottom w:val="single" w:sz="4" w:space="0" w:color="auto"/>
            </w:tcBorders>
            <w:shd w:val="solid" w:color="000000" w:fill="000000"/>
            <w:vAlign w:val="center"/>
          </w:tcPr>
          <w:p w14:paraId="5A00C15F" w14:textId="4542AE98" w:rsidR="00A42255" w:rsidRPr="004D7F61" w:rsidRDefault="00C0674E" w:rsidP="00510454">
            <w:pPr>
              <w:pStyle w:val="COMTabletext"/>
              <w:keepNext w:val="0"/>
              <w:jc w:val="center"/>
              <w:rPr>
                <w:highlight w:val="darkGray"/>
              </w:rPr>
            </w:pPr>
            <w:r w:rsidRPr="00C0674E">
              <w:rPr>
                <w:color w:val="000000"/>
                <w14:textFill>
                  <w14:solidFill>
                    <w14:srgbClr w14:val="000000">
                      <w14:alpha w14:val="100000"/>
                    </w14:srgbClr>
                  </w14:solidFill>
                </w14:textFill>
              </w:rPr>
              <w:t>|</w:t>
            </w:r>
          </w:p>
        </w:tc>
        <w:tc>
          <w:tcPr>
            <w:tcW w:w="729" w:type="pct"/>
            <w:vAlign w:val="center"/>
          </w:tcPr>
          <w:p w14:paraId="6A075045" w14:textId="77777777" w:rsidR="00A42255" w:rsidRPr="002E14F6" w:rsidRDefault="00A42255" w:rsidP="00510454">
            <w:pPr>
              <w:pStyle w:val="COMTabletext"/>
              <w:keepNext w:val="0"/>
              <w:jc w:val="center"/>
            </w:pPr>
            <w:r w:rsidRPr="002E14F6">
              <w:t>0.046</w:t>
            </w:r>
          </w:p>
        </w:tc>
        <w:tc>
          <w:tcPr>
            <w:tcW w:w="646" w:type="pct"/>
            <w:vAlign w:val="center"/>
          </w:tcPr>
          <w:p w14:paraId="359F6373" w14:textId="3D186F8F" w:rsidR="00A42255" w:rsidRPr="004D7F61" w:rsidRDefault="00C0674E" w:rsidP="00510454">
            <w:pPr>
              <w:pStyle w:val="COMTabletext"/>
              <w:keepNext w:val="0"/>
              <w:jc w:val="center"/>
              <w:rPr>
                <w:highlight w:val="darkGray"/>
              </w:rPr>
            </w:pPr>
            <w:r w:rsidRPr="00400174">
              <w:rPr>
                <w:rFonts w:hint="eastAsia"/>
                <w:color w:val="000000"/>
                <w:w w:val="15"/>
                <w:shd w:val="solid" w:color="000000" w:fill="000000"/>
                <w:fitText w:val="10" w:id="-1301087729"/>
                <w14:textFill>
                  <w14:solidFill>
                    <w14:srgbClr w14:val="000000">
                      <w14:alpha w14:val="100000"/>
                    </w14:srgbClr>
                  </w14:solidFill>
                </w14:textFill>
              </w:rPr>
              <w:t xml:space="preserve">　</w:t>
            </w:r>
            <w:r w:rsidRPr="00400174">
              <w:rPr>
                <w:color w:val="000000"/>
                <w:w w:val="15"/>
                <w:shd w:val="solid" w:color="000000" w:fill="000000"/>
                <w:fitText w:val="10" w:id="-1301087729"/>
                <w14:textFill>
                  <w14:solidFill>
                    <w14:srgbClr w14:val="000000">
                      <w14:alpha w14:val="100000"/>
                    </w14:srgbClr>
                  </w14:solidFill>
                </w14:textFill>
              </w:rPr>
              <w:t>|</w:t>
            </w:r>
            <w:r w:rsidRPr="00400174">
              <w:rPr>
                <w:rFonts w:hint="eastAsia"/>
                <w:color w:val="000000"/>
                <w:spacing w:val="-55"/>
                <w:w w:val="15"/>
                <w:shd w:val="solid" w:color="000000" w:fill="000000"/>
                <w:fitText w:val="10" w:id="-1301087729"/>
                <w14:textFill>
                  <w14:solidFill>
                    <w14:srgbClr w14:val="000000">
                      <w14:alpha w14:val="100000"/>
                    </w14:srgbClr>
                  </w14:solidFill>
                </w14:textFill>
              </w:rPr>
              <w:t xml:space="preserve">　</w:t>
            </w:r>
            <w:r w:rsidR="003013CE">
              <w:rPr>
                <w:vertAlign w:val="superscript"/>
              </w:rPr>
              <w:t>3</w:t>
            </w:r>
          </w:p>
        </w:tc>
        <w:tc>
          <w:tcPr>
            <w:tcW w:w="600" w:type="pct"/>
            <w:vAlign w:val="center"/>
          </w:tcPr>
          <w:p w14:paraId="3EB6FA56" w14:textId="77777777" w:rsidR="00A42255" w:rsidRPr="002E14F6" w:rsidRDefault="00A42255" w:rsidP="00510454">
            <w:pPr>
              <w:pStyle w:val="COMTabletext"/>
              <w:keepNext w:val="0"/>
              <w:jc w:val="center"/>
              <w:rPr>
                <w:rFonts w:eastAsia="Calibri"/>
                <w:szCs w:val="20"/>
              </w:rPr>
            </w:pPr>
            <w:r w:rsidRPr="002E14F6">
              <w:t>26%</w:t>
            </w:r>
          </w:p>
        </w:tc>
      </w:tr>
      <w:tr w:rsidR="00A42255" w:rsidRPr="002E14F6" w14:paraId="0DE82722" w14:textId="77777777" w:rsidTr="00510454">
        <w:trPr>
          <w:trHeight w:val="54"/>
        </w:trPr>
        <w:tc>
          <w:tcPr>
            <w:tcW w:w="2277" w:type="pct"/>
          </w:tcPr>
          <w:p w14:paraId="1CA32D9C" w14:textId="0D397EB0" w:rsidR="00A42255" w:rsidRPr="00EC57D8" w:rsidRDefault="00A42255" w:rsidP="00510454">
            <w:pPr>
              <w:pStyle w:val="COMTabletext"/>
              <w:keepNext w:val="0"/>
              <w:rPr>
                <w:vertAlign w:val="superscript"/>
              </w:rPr>
            </w:pPr>
            <w:r w:rsidRPr="00EC57D8">
              <w:t>SoC assumed equivalent to risedronate EC base case</w:t>
            </w:r>
            <w:r w:rsidR="00FE1857" w:rsidRPr="00EC57D8">
              <w:t xml:space="preserve"> </w:t>
            </w:r>
            <w:r w:rsidR="00FE1857" w:rsidRPr="00EC57D8">
              <w:rPr>
                <w:vertAlign w:val="superscript"/>
              </w:rPr>
              <w:t>a</w:t>
            </w:r>
          </w:p>
        </w:tc>
        <w:tc>
          <w:tcPr>
            <w:tcW w:w="748" w:type="pct"/>
            <w:tcBorders>
              <w:bottom w:val="single" w:sz="4" w:space="0" w:color="auto"/>
            </w:tcBorders>
            <w:shd w:val="solid" w:color="000000" w:fill="000000"/>
            <w:vAlign w:val="center"/>
          </w:tcPr>
          <w:p w14:paraId="3B197936" w14:textId="1412CAA8" w:rsidR="00A42255" w:rsidRPr="004D7F61" w:rsidRDefault="00C0674E" w:rsidP="00510454">
            <w:pPr>
              <w:pStyle w:val="COMTabletext"/>
              <w:keepNext w:val="0"/>
              <w:jc w:val="center"/>
              <w:rPr>
                <w:highlight w:val="darkGray"/>
              </w:rPr>
            </w:pPr>
            <w:r w:rsidRPr="00C0674E">
              <w:rPr>
                <w:color w:val="000000"/>
                <w14:textFill>
                  <w14:solidFill>
                    <w14:srgbClr w14:val="000000">
                      <w14:alpha w14:val="100000"/>
                    </w14:srgbClr>
                  </w14:solidFill>
                </w14:textFill>
              </w:rPr>
              <w:t>|</w:t>
            </w:r>
          </w:p>
        </w:tc>
        <w:tc>
          <w:tcPr>
            <w:tcW w:w="729" w:type="pct"/>
            <w:vAlign w:val="center"/>
          </w:tcPr>
          <w:p w14:paraId="5B4BE7A7" w14:textId="77777777" w:rsidR="00A42255" w:rsidRPr="00EC57D8" w:rsidRDefault="00A42255" w:rsidP="00510454">
            <w:pPr>
              <w:pStyle w:val="COMTabletext"/>
              <w:keepNext w:val="0"/>
              <w:jc w:val="center"/>
            </w:pPr>
            <w:r w:rsidRPr="00EC57D8">
              <w:t>0.045</w:t>
            </w:r>
          </w:p>
        </w:tc>
        <w:tc>
          <w:tcPr>
            <w:tcW w:w="646" w:type="pct"/>
            <w:vAlign w:val="center"/>
          </w:tcPr>
          <w:p w14:paraId="0A02E61C" w14:textId="6F6F19E6" w:rsidR="00A42255" w:rsidRPr="004D7F61" w:rsidRDefault="00C0674E" w:rsidP="00510454">
            <w:pPr>
              <w:pStyle w:val="COMTabletext"/>
              <w:keepNext w:val="0"/>
              <w:jc w:val="center"/>
              <w:rPr>
                <w:highlight w:val="darkGray"/>
              </w:rPr>
            </w:pPr>
            <w:r w:rsidRPr="00400174">
              <w:rPr>
                <w:rFonts w:hint="eastAsia"/>
                <w:color w:val="000000"/>
                <w:w w:val="15"/>
                <w:shd w:val="solid" w:color="000000" w:fill="000000"/>
                <w:fitText w:val="10" w:id="-1301087728"/>
                <w14:textFill>
                  <w14:solidFill>
                    <w14:srgbClr w14:val="000000">
                      <w14:alpha w14:val="100000"/>
                    </w14:srgbClr>
                  </w14:solidFill>
                </w14:textFill>
              </w:rPr>
              <w:t xml:space="preserve">　</w:t>
            </w:r>
            <w:r w:rsidRPr="00400174">
              <w:rPr>
                <w:color w:val="000000"/>
                <w:w w:val="15"/>
                <w:shd w:val="solid" w:color="000000" w:fill="000000"/>
                <w:fitText w:val="10" w:id="-1301087728"/>
                <w14:textFill>
                  <w14:solidFill>
                    <w14:srgbClr w14:val="000000">
                      <w14:alpha w14:val="100000"/>
                    </w14:srgbClr>
                  </w14:solidFill>
                </w14:textFill>
              </w:rPr>
              <w:t>|</w:t>
            </w:r>
            <w:r w:rsidRPr="00400174">
              <w:rPr>
                <w:rFonts w:hint="eastAsia"/>
                <w:color w:val="000000"/>
                <w:spacing w:val="-55"/>
                <w:w w:val="15"/>
                <w:shd w:val="solid" w:color="000000" w:fill="000000"/>
                <w:fitText w:val="10" w:id="-1301087728"/>
                <w14:textFill>
                  <w14:solidFill>
                    <w14:srgbClr w14:val="000000">
                      <w14:alpha w14:val="100000"/>
                    </w14:srgbClr>
                  </w14:solidFill>
                </w14:textFill>
              </w:rPr>
              <w:t xml:space="preserve">　</w:t>
            </w:r>
            <w:r w:rsidR="003013CE">
              <w:rPr>
                <w:vertAlign w:val="superscript"/>
              </w:rPr>
              <w:t>1</w:t>
            </w:r>
          </w:p>
        </w:tc>
        <w:tc>
          <w:tcPr>
            <w:tcW w:w="600" w:type="pct"/>
            <w:vAlign w:val="center"/>
          </w:tcPr>
          <w:p w14:paraId="2C427DFD" w14:textId="77777777" w:rsidR="00A42255" w:rsidRPr="00EC57D8" w:rsidRDefault="00A42255" w:rsidP="00510454">
            <w:pPr>
              <w:pStyle w:val="COMTabletext"/>
              <w:keepNext w:val="0"/>
              <w:jc w:val="center"/>
              <w:rPr>
                <w:rFonts w:eastAsia="Calibri"/>
                <w:szCs w:val="20"/>
              </w:rPr>
            </w:pPr>
            <w:r w:rsidRPr="00AC7C58">
              <w:t>0%</w:t>
            </w:r>
          </w:p>
        </w:tc>
      </w:tr>
      <w:tr w:rsidR="00A42255" w:rsidRPr="002E14F6" w14:paraId="4ACD854D" w14:textId="77777777" w:rsidTr="00510454">
        <w:trPr>
          <w:trHeight w:val="54"/>
        </w:trPr>
        <w:tc>
          <w:tcPr>
            <w:tcW w:w="2277" w:type="pct"/>
          </w:tcPr>
          <w:p w14:paraId="1E31FD20" w14:textId="0B340F2B" w:rsidR="00A42255" w:rsidRPr="00EC57D8" w:rsidRDefault="00A42255" w:rsidP="00510454">
            <w:pPr>
              <w:pStyle w:val="COMTabletext"/>
              <w:keepNext w:val="0"/>
              <w:rPr>
                <w:vertAlign w:val="superscript"/>
              </w:rPr>
            </w:pPr>
            <w:r w:rsidRPr="00EC57D8">
              <w:t xml:space="preserve">Risedronate EC and SoC hip fracture RRR 30% </w:t>
            </w:r>
            <w:r w:rsidR="00FE1857" w:rsidRPr="00EC57D8">
              <w:rPr>
                <w:vertAlign w:val="superscript"/>
              </w:rPr>
              <w:t xml:space="preserve">a </w:t>
            </w:r>
            <w:r w:rsidR="00FE1857" w:rsidRPr="00AC7C58">
              <w:rPr>
                <w:vertAlign w:val="superscript"/>
              </w:rPr>
              <w:t>d</w:t>
            </w:r>
          </w:p>
        </w:tc>
        <w:tc>
          <w:tcPr>
            <w:tcW w:w="748" w:type="pct"/>
            <w:tcBorders>
              <w:bottom w:val="single" w:sz="4" w:space="0" w:color="auto"/>
            </w:tcBorders>
            <w:shd w:val="solid" w:color="000000" w:fill="000000"/>
            <w:vAlign w:val="center"/>
          </w:tcPr>
          <w:p w14:paraId="7EC869D2" w14:textId="6E2BE8BA" w:rsidR="00A42255" w:rsidRPr="004D7F61" w:rsidRDefault="00C0674E" w:rsidP="00510454">
            <w:pPr>
              <w:pStyle w:val="COMTabletext"/>
              <w:keepNext w:val="0"/>
              <w:jc w:val="center"/>
              <w:rPr>
                <w:rFonts w:eastAsia="Calibri"/>
                <w:szCs w:val="20"/>
                <w:highlight w:val="darkGray"/>
              </w:rPr>
            </w:pPr>
            <w:r w:rsidRPr="00C0674E">
              <w:rPr>
                <w:rFonts w:eastAsia="Calibri"/>
                <w:color w:val="000000"/>
                <w:szCs w:val="20"/>
                <w14:textFill>
                  <w14:solidFill>
                    <w14:srgbClr w14:val="000000">
                      <w14:alpha w14:val="100000"/>
                    </w14:srgbClr>
                  </w14:solidFill>
                </w14:textFill>
              </w:rPr>
              <w:t>|</w:t>
            </w:r>
          </w:p>
        </w:tc>
        <w:tc>
          <w:tcPr>
            <w:tcW w:w="729" w:type="pct"/>
            <w:vAlign w:val="center"/>
          </w:tcPr>
          <w:p w14:paraId="69909C24" w14:textId="77777777" w:rsidR="00A42255" w:rsidRPr="00EC57D8" w:rsidRDefault="00A42255" w:rsidP="00510454">
            <w:pPr>
              <w:pStyle w:val="COMTabletext"/>
              <w:keepNext w:val="0"/>
              <w:jc w:val="center"/>
              <w:rPr>
                <w:rFonts w:eastAsia="Calibri"/>
                <w:szCs w:val="20"/>
              </w:rPr>
            </w:pPr>
            <w:r w:rsidRPr="00EC57D8">
              <w:rPr>
                <w:rFonts w:eastAsia="Calibri"/>
                <w:szCs w:val="20"/>
              </w:rPr>
              <w:t>0.033</w:t>
            </w:r>
          </w:p>
        </w:tc>
        <w:tc>
          <w:tcPr>
            <w:tcW w:w="646" w:type="pct"/>
            <w:vAlign w:val="center"/>
          </w:tcPr>
          <w:p w14:paraId="6BC2FED9" w14:textId="2E933889" w:rsidR="00A42255" w:rsidRPr="004D7F61" w:rsidRDefault="00C0674E" w:rsidP="00510454">
            <w:pPr>
              <w:pStyle w:val="COMTabletext"/>
              <w:keepNext w:val="0"/>
              <w:jc w:val="center"/>
              <w:rPr>
                <w:rFonts w:eastAsia="Calibri"/>
                <w:szCs w:val="20"/>
                <w:highlight w:val="darkGray"/>
              </w:rPr>
            </w:pPr>
            <w:r w:rsidRPr="00400174">
              <w:rPr>
                <w:rFonts w:eastAsia="Calibri" w:hint="eastAsia"/>
                <w:color w:val="000000"/>
                <w:w w:val="15"/>
                <w:szCs w:val="20"/>
                <w:shd w:val="solid" w:color="000000" w:fill="000000"/>
                <w:fitText w:val="10" w:id="-1301087744"/>
                <w14:textFill>
                  <w14:solidFill>
                    <w14:srgbClr w14:val="000000">
                      <w14:alpha w14:val="100000"/>
                    </w14:srgbClr>
                  </w14:solidFill>
                </w14:textFill>
              </w:rPr>
              <w:t xml:space="preserve">　</w:t>
            </w:r>
            <w:r w:rsidRPr="00400174">
              <w:rPr>
                <w:rFonts w:eastAsia="Calibri"/>
                <w:color w:val="000000"/>
                <w:w w:val="15"/>
                <w:szCs w:val="20"/>
                <w:shd w:val="solid" w:color="000000" w:fill="000000"/>
                <w:fitText w:val="10" w:id="-1301087744"/>
                <w14:textFill>
                  <w14:solidFill>
                    <w14:srgbClr w14:val="000000">
                      <w14:alpha w14:val="100000"/>
                    </w14:srgbClr>
                  </w14:solidFill>
                </w14:textFill>
              </w:rPr>
              <w:t>|</w:t>
            </w:r>
            <w:r w:rsidRPr="00400174">
              <w:rPr>
                <w:rFonts w:eastAsia="Calibri" w:hint="eastAsia"/>
                <w:color w:val="000000"/>
                <w:spacing w:val="-55"/>
                <w:w w:val="15"/>
                <w:szCs w:val="20"/>
                <w:shd w:val="solid" w:color="000000" w:fill="000000"/>
                <w:fitText w:val="10" w:id="-1301087744"/>
                <w14:textFill>
                  <w14:solidFill>
                    <w14:srgbClr w14:val="000000">
                      <w14:alpha w14:val="100000"/>
                    </w14:srgbClr>
                  </w14:solidFill>
                </w14:textFill>
              </w:rPr>
              <w:t xml:space="preserve">　</w:t>
            </w:r>
            <w:r w:rsidR="003013CE">
              <w:rPr>
                <w:vertAlign w:val="superscript"/>
              </w:rPr>
              <w:t>7</w:t>
            </w:r>
          </w:p>
        </w:tc>
        <w:tc>
          <w:tcPr>
            <w:tcW w:w="600" w:type="pct"/>
            <w:vAlign w:val="center"/>
          </w:tcPr>
          <w:p w14:paraId="32B7A8A5" w14:textId="77777777" w:rsidR="00A42255" w:rsidRPr="0091151B" w:rsidRDefault="00A42255" w:rsidP="00510454">
            <w:pPr>
              <w:pStyle w:val="COMTabletext"/>
              <w:keepNext w:val="0"/>
              <w:jc w:val="center"/>
              <w:rPr>
                <w:rFonts w:eastAsia="Calibri"/>
                <w:szCs w:val="20"/>
              </w:rPr>
            </w:pPr>
            <w:r w:rsidRPr="00AC7C58">
              <w:t>130%</w:t>
            </w:r>
          </w:p>
        </w:tc>
      </w:tr>
      <w:tr w:rsidR="00A42255" w:rsidRPr="002E14F6" w14:paraId="1B109071" w14:textId="77777777" w:rsidTr="00510454">
        <w:trPr>
          <w:trHeight w:val="54"/>
        </w:trPr>
        <w:tc>
          <w:tcPr>
            <w:tcW w:w="2277" w:type="pct"/>
          </w:tcPr>
          <w:p w14:paraId="497FC020" w14:textId="67368D4E" w:rsidR="00A42255" w:rsidRPr="0091151B" w:rsidRDefault="00A42255" w:rsidP="00510454">
            <w:pPr>
              <w:pStyle w:val="COMTabletext"/>
              <w:keepNext w:val="0"/>
              <w:rPr>
                <w:vertAlign w:val="superscript"/>
              </w:rPr>
            </w:pPr>
            <w:r w:rsidRPr="00EC57D8">
              <w:t xml:space="preserve">Risedronate EC and SoC hip fracture RRR 40% </w:t>
            </w:r>
            <w:r w:rsidR="00FE1857" w:rsidRPr="00EC57D8">
              <w:rPr>
                <w:vertAlign w:val="superscript"/>
              </w:rPr>
              <w:t xml:space="preserve">a </w:t>
            </w:r>
            <w:r w:rsidR="00FE1857" w:rsidRPr="00AC7C58">
              <w:rPr>
                <w:vertAlign w:val="superscript"/>
              </w:rPr>
              <w:t>e</w:t>
            </w:r>
          </w:p>
        </w:tc>
        <w:tc>
          <w:tcPr>
            <w:tcW w:w="748" w:type="pct"/>
            <w:tcBorders>
              <w:bottom w:val="single" w:sz="4" w:space="0" w:color="auto"/>
            </w:tcBorders>
            <w:shd w:val="solid" w:color="000000" w:fill="000000"/>
            <w:vAlign w:val="center"/>
          </w:tcPr>
          <w:p w14:paraId="44FA6DB5" w14:textId="3F3DE1F7" w:rsidR="00A42255" w:rsidRPr="004D7F61" w:rsidRDefault="00C0674E" w:rsidP="00510454">
            <w:pPr>
              <w:pStyle w:val="COMTabletext"/>
              <w:keepNext w:val="0"/>
              <w:jc w:val="center"/>
              <w:rPr>
                <w:rFonts w:eastAsia="Calibri"/>
                <w:szCs w:val="20"/>
                <w:highlight w:val="darkGray"/>
              </w:rPr>
            </w:pPr>
            <w:r w:rsidRPr="00C0674E">
              <w:rPr>
                <w:rFonts w:eastAsia="Calibri"/>
                <w:color w:val="000000"/>
                <w:szCs w:val="20"/>
                <w14:textFill>
                  <w14:solidFill>
                    <w14:srgbClr w14:val="000000">
                      <w14:alpha w14:val="100000"/>
                    </w14:srgbClr>
                  </w14:solidFill>
                </w14:textFill>
              </w:rPr>
              <w:t>|</w:t>
            </w:r>
          </w:p>
        </w:tc>
        <w:tc>
          <w:tcPr>
            <w:tcW w:w="729" w:type="pct"/>
            <w:vAlign w:val="center"/>
          </w:tcPr>
          <w:p w14:paraId="564F89AD" w14:textId="77777777" w:rsidR="00A42255" w:rsidRPr="00EC57D8" w:rsidRDefault="00A42255" w:rsidP="00510454">
            <w:pPr>
              <w:pStyle w:val="COMTabletext"/>
              <w:keepNext w:val="0"/>
              <w:jc w:val="center"/>
              <w:rPr>
                <w:rFonts w:eastAsia="Calibri"/>
                <w:szCs w:val="20"/>
              </w:rPr>
            </w:pPr>
            <w:r w:rsidRPr="00EC57D8">
              <w:rPr>
                <w:rFonts w:eastAsia="Calibri"/>
                <w:szCs w:val="20"/>
              </w:rPr>
              <w:t>0.037</w:t>
            </w:r>
          </w:p>
        </w:tc>
        <w:tc>
          <w:tcPr>
            <w:tcW w:w="646" w:type="pct"/>
            <w:vAlign w:val="center"/>
          </w:tcPr>
          <w:p w14:paraId="44619248" w14:textId="4143F8C4" w:rsidR="00A42255" w:rsidRPr="004D7F61" w:rsidRDefault="00C0674E" w:rsidP="00510454">
            <w:pPr>
              <w:pStyle w:val="COMTabletext"/>
              <w:keepNext w:val="0"/>
              <w:jc w:val="center"/>
              <w:rPr>
                <w:rFonts w:eastAsia="Calibri"/>
                <w:szCs w:val="20"/>
                <w:highlight w:val="darkGray"/>
              </w:rPr>
            </w:pPr>
            <w:r w:rsidRPr="00400174">
              <w:rPr>
                <w:rFonts w:eastAsia="Calibri" w:hint="eastAsia"/>
                <w:color w:val="000000"/>
                <w:w w:val="15"/>
                <w:szCs w:val="20"/>
                <w:shd w:val="solid" w:color="000000" w:fill="000000"/>
                <w:fitText w:val="10" w:id="-1301087743"/>
                <w14:textFill>
                  <w14:solidFill>
                    <w14:srgbClr w14:val="000000">
                      <w14:alpha w14:val="100000"/>
                    </w14:srgbClr>
                  </w14:solidFill>
                </w14:textFill>
              </w:rPr>
              <w:t xml:space="preserve">　</w:t>
            </w:r>
            <w:r w:rsidRPr="00400174">
              <w:rPr>
                <w:rFonts w:eastAsia="Calibri"/>
                <w:color w:val="000000"/>
                <w:w w:val="15"/>
                <w:szCs w:val="20"/>
                <w:shd w:val="solid" w:color="000000" w:fill="000000"/>
                <w:fitText w:val="10" w:id="-1301087743"/>
                <w14:textFill>
                  <w14:solidFill>
                    <w14:srgbClr w14:val="000000">
                      <w14:alpha w14:val="100000"/>
                    </w14:srgbClr>
                  </w14:solidFill>
                </w14:textFill>
              </w:rPr>
              <w:t>|</w:t>
            </w:r>
            <w:r w:rsidRPr="00400174">
              <w:rPr>
                <w:rFonts w:eastAsia="Calibri" w:hint="eastAsia"/>
                <w:color w:val="000000"/>
                <w:spacing w:val="-55"/>
                <w:w w:val="15"/>
                <w:szCs w:val="20"/>
                <w:shd w:val="solid" w:color="000000" w:fill="000000"/>
                <w:fitText w:val="10" w:id="-1301087743"/>
                <w14:textFill>
                  <w14:solidFill>
                    <w14:srgbClr w14:val="000000">
                      <w14:alpha w14:val="100000"/>
                    </w14:srgbClr>
                  </w14:solidFill>
                </w14:textFill>
              </w:rPr>
              <w:t xml:space="preserve">　</w:t>
            </w:r>
            <w:r w:rsidR="003013CE">
              <w:rPr>
                <w:vertAlign w:val="superscript"/>
              </w:rPr>
              <w:t>3</w:t>
            </w:r>
          </w:p>
        </w:tc>
        <w:tc>
          <w:tcPr>
            <w:tcW w:w="600" w:type="pct"/>
            <w:vAlign w:val="center"/>
          </w:tcPr>
          <w:p w14:paraId="6E35A53A" w14:textId="77777777" w:rsidR="00A42255" w:rsidRPr="0091151B" w:rsidRDefault="00A42255" w:rsidP="00510454">
            <w:pPr>
              <w:pStyle w:val="COMTabletext"/>
              <w:keepNext w:val="0"/>
              <w:jc w:val="center"/>
              <w:rPr>
                <w:rFonts w:eastAsia="Calibri"/>
                <w:szCs w:val="20"/>
              </w:rPr>
            </w:pPr>
            <w:r w:rsidRPr="00AC7C58">
              <w:t>70%</w:t>
            </w:r>
          </w:p>
        </w:tc>
      </w:tr>
      <w:tr w:rsidR="00A42255" w:rsidRPr="002E14F6" w14:paraId="45C55F3A" w14:textId="77777777" w:rsidTr="00510454">
        <w:trPr>
          <w:trHeight w:val="54"/>
        </w:trPr>
        <w:tc>
          <w:tcPr>
            <w:tcW w:w="2277" w:type="pct"/>
          </w:tcPr>
          <w:p w14:paraId="658207F4" w14:textId="32D7DB61" w:rsidR="00A42255" w:rsidRPr="0091151B" w:rsidRDefault="00A42255" w:rsidP="00510454">
            <w:pPr>
              <w:pStyle w:val="COMTabletext"/>
              <w:keepNext w:val="0"/>
            </w:pPr>
            <w:r w:rsidRPr="00EC57D8">
              <w:t>Risedronate EC and SoC non-hip fracture RRR 15%</w:t>
            </w:r>
            <w:r w:rsidR="00FE1857" w:rsidRPr="00EC57D8">
              <w:rPr>
                <w:vertAlign w:val="superscript"/>
              </w:rPr>
              <w:t>a</w:t>
            </w:r>
            <w:r w:rsidRPr="00EC57D8">
              <w:t xml:space="preserve"> </w:t>
            </w:r>
            <w:r w:rsidR="00FE1857" w:rsidRPr="00AC7C58">
              <w:rPr>
                <w:vertAlign w:val="superscript"/>
              </w:rPr>
              <w:t>f</w:t>
            </w:r>
          </w:p>
        </w:tc>
        <w:tc>
          <w:tcPr>
            <w:tcW w:w="748" w:type="pct"/>
            <w:shd w:val="solid" w:color="000000" w:fill="000000"/>
            <w:vAlign w:val="center"/>
          </w:tcPr>
          <w:p w14:paraId="487811BA" w14:textId="2C1D245C" w:rsidR="00A42255" w:rsidRPr="004D7F61" w:rsidRDefault="00C0674E" w:rsidP="00510454">
            <w:pPr>
              <w:pStyle w:val="COMTabletext"/>
              <w:keepNext w:val="0"/>
              <w:jc w:val="center"/>
              <w:rPr>
                <w:rFonts w:eastAsia="Calibri"/>
                <w:szCs w:val="20"/>
                <w:highlight w:val="darkGray"/>
              </w:rPr>
            </w:pPr>
            <w:r w:rsidRPr="00C0674E">
              <w:rPr>
                <w:rFonts w:eastAsia="Calibri"/>
                <w:color w:val="000000"/>
                <w:szCs w:val="20"/>
                <w14:textFill>
                  <w14:solidFill>
                    <w14:srgbClr w14:val="000000">
                      <w14:alpha w14:val="100000"/>
                    </w14:srgbClr>
                  </w14:solidFill>
                </w14:textFill>
              </w:rPr>
              <w:t>|</w:t>
            </w:r>
          </w:p>
        </w:tc>
        <w:tc>
          <w:tcPr>
            <w:tcW w:w="729" w:type="pct"/>
            <w:vAlign w:val="center"/>
          </w:tcPr>
          <w:p w14:paraId="414CF09A" w14:textId="77777777" w:rsidR="00A42255" w:rsidRPr="00EC57D8" w:rsidRDefault="00A42255" w:rsidP="00510454">
            <w:pPr>
              <w:pStyle w:val="COMTabletext"/>
              <w:keepNext w:val="0"/>
              <w:jc w:val="center"/>
              <w:rPr>
                <w:rFonts w:eastAsia="Calibri"/>
                <w:szCs w:val="20"/>
              </w:rPr>
            </w:pPr>
            <w:r w:rsidRPr="00EC57D8">
              <w:rPr>
                <w:rFonts w:eastAsia="Calibri"/>
                <w:szCs w:val="20"/>
              </w:rPr>
              <w:t>0.033</w:t>
            </w:r>
          </w:p>
        </w:tc>
        <w:tc>
          <w:tcPr>
            <w:tcW w:w="646" w:type="pct"/>
            <w:vAlign w:val="center"/>
          </w:tcPr>
          <w:p w14:paraId="3FB70A3A" w14:textId="647B6C9E" w:rsidR="00A42255" w:rsidRPr="004D7F61" w:rsidRDefault="00C0674E" w:rsidP="00510454">
            <w:pPr>
              <w:pStyle w:val="COMTabletext"/>
              <w:keepNext w:val="0"/>
              <w:jc w:val="center"/>
              <w:rPr>
                <w:rFonts w:eastAsia="Calibri"/>
                <w:szCs w:val="20"/>
                <w:highlight w:val="darkGray"/>
              </w:rPr>
            </w:pPr>
            <w:r w:rsidRPr="00400174">
              <w:rPr>
                <w:rFonts w:eastAsia="Calibri" w:hint="eastAsia"/>
                <w:color w:val="000000"/>
                <w:w w:val="15"/>
                <w:szCs w:val="20"/>
                <w:shd w:val="solid" w:color="000000" w:fill="000000"/>
                <w:fitText w:val="10" w:id="-1301087742"/>
                <w14:textFill>
                  <w14:solidFill>
                    <w14:srgbClr w14:val="000000">
                      <w14:alpha w14:val="100000"/>
                    </w14:srgbClr>
                  </w14:solidFill>
                </w14:textFill>
              </w:rPr>
              <w:t xml:space="preserve">　</w:t>
            </w:r>
            <w:r w:rsidRPr="00400174">
              <w:rPr>
                <w:rFonts w:eastAsia="Calibri"/>
                <w:color w:val="000000"/>
                <w:w w:val="15"/>
                <w:szCs w:val="20"/>
                <w:shd w:val="solid" w:color="000000" w:fill="000000"/>
                <w:fitText w:val="10" w:id="-1301087742"/>
                <w14:textFill>
                  <w14:solidFill>
                    <w14:srgbClr w14:val="000000">
                      <w14:alpha w14:val="100000"/>
                    </w14:srgbClr>
                  </w14:solidFill>
                </w14:textFill>
              </w:rPr>
              <w:t>|</w:t>
            </w:r>
            <w:r w:rsidRPr="00400174">
              <w:rPr>
                <w:rFonts w:eastAsia="Calibri" w:hint="eastAsia"/>
                <w:color w:val="000000"/>
                <w:spacing w:val="-55"/>
                <w:w w:val="15"/>
                <w:szCs w:val="20"/>
                <w:shd w:val="solid" w:color="000000" w:fill="000000"/>
                <w:fitText w:val="10" w:id="-1301087742"/>
                <w14:textFill>
                  <w14:solidFill>
                    <w14:srgbClr w14:val="000000">
                      <w14:alpha w14:val="100000"/>
                    </w14:srgbClr>
                  </w14:solidFill>
                </w14:textFill>
              </w:rPr>
              <w:t xml:space="preserve">　</w:t>
            </w:r>
            <w:r w:rsidR="003013CE">
              <w:rPr>
                <w:vertAlign w:val="superscript"/>
              </w:rPr>
              <w:t>3</w:t>
            </w:r>
          </w:p>
        </w:tc>
        <w:tc>
          <w:tcPr>
            <w:tcW w:w="600" w:type="pct"/>
            <w:vAlign w:val="center"/>
          </w:tcPr>
          <w:p w14:paraId="6C103B71" w14:textId="77777777" w:rsidR="00A42255" w:rsidRPr="0091151B" w:rsidRDefault="00A42255" w:rsidP="00510454">
            <w:pPr>
              <w:pStyle w:val="COMTabletext"/>
              <w:keepNext w:val="0"/>
              <w:jc w:val="center"/>
              <w:rPr>
                <w:rFonts w:eastAsia="Calibri"/>
                <w:szCs w:val="20"/>
              </w:rPr>
            </w:pPr>
            <w:r w:rsidRPr="00AC7C58">
              <w:t>94%</w:t>
            </w:r>
          </w:p>
        </w:tc>
      </w:tr>
      <w:tr w:rsidR="00A42255" w:rsidRPr="002E14F6" w14:paraId="3FD67B09" w14:textId="77777777" w:rsidTr="00510454">
        <w:trPr>
          <w:trHeight w:val="54"/>
        </w:trPr>
        <w:tc>
          <w:tcPr>
            <w:tcW w:w="5000" w:type="pct"/>
            <w:gridSpan w:val="5"/>
          </w:tcPr>
          <w:p w14:paraId="04A16CC5" w14:textId="15CE32D4" w:rsidR="00A42255" w:rsidRPr="002E14F6" w:rsidRDefault="00A42255" w:rsidP="00510454">
            <w:pPr>
              <w:pStyle w:val="COMTableheadingrow"/>
              <w:keepNext w:val="0"/>
              <w:rPr>
                <w:lang w:val="en-AU"/>
              </w:rPr>
            </w:pPr>
            <w:r w:rsidRPr="002E14F6">
              <w:rPr>
                <w:lang w:val="en-AU"/>
              </w:rPr>
              <w:t>S</w:t>
            </w:r>
            <w:r w:rsidR="00240CD7">
              <w:rPr>
                <w:lang w:val="en-AU"/>
              </w:rPr>
              <w:t>o</w:t>
            </w:r>
            <w:r w:rsidRPr="002E14F6">
              <w:rPr>
                <w:lang w:val="en-AU"/>
              </w:rPr>
              <w:t>C drug costs (base case weighted costs of $386.76 based on 10% alendronate, 7% risedronate, 80% denosumab and 3% risedronate)</w:t>
            </w:r>
          </w:p>
        </w:tc>
      </w:tr>
      <w:tr w:rsidR="00A42255" w:rsidRPr="002E14F6" w14:paraId="301072AD" w14:textId="77777777" w:rsidTr="00510454">
        <w:trPr>
          <w:trHeight w:val="54"/>
        </w:trPr>
        <w:tc>
          <w:tcPr>
            <w:tcW w:w="2277" w:type="pct"/>
          </w:tcPr>
          <w:p w14:paraId="223AEE53" w14:textId="5E3E765F" w:rsidR="00A42255" w:rsidRPr="00EC57D8" w:rsidRDefault="00A42255" w:rsidP="00510454">
            <w:pPr>
              <w:pStyle w:val="COMTabletext"/>
              <w:keepNext w:val="0"/>
              <w:rPr>
                <w:vertAlign w:val="superscript"/>
              </w:rPr>
            </w:pPr>
            <w:r w:rsidRPr="002E14F6">
              <w:t>Alendronate only</w:t>
            </w:r>
            <w:r w:rsidR="00776A57">
              <w:t xml:space="preserve"> </w:t>
            </w:r>
          </w:p>
        </w:tc>
        <w:tc>
          <w:tcPr>
            <w:tcW w:w="748" w:type="pct"/>
            <w:tcBorders>
              <w:bottom w:val="single" w:sz="4" w:space="0" w:color="auto"/>
            </w:tcBorders>
            <w:shd w:val="solid" w:color="000000" w:fill="000000"/>
            <w:vAlign w:val="center"/>
          </w:tcPr>
          <w:p w14:paraId="49D5A8C3" w14:textId="16089717" w:rsidR="00A42255" w:rsidRPr="004D7F61" w:rsidRDefault="00C0674E" w:rsidP="00510454">
            <w:pPr>
              <w:pStyle w:val="COMTabletext"/>
              <w:keepNext w:val="0"/>
              <w:jc w:val="center"/>
              <w:rPr>
                <w:rFonts w:eastAsia="Calibri"/>
                <w:szCs w:val="20"/>
                <w:highlight w:val="darkGray"/>
              </w:rPr>
            </w:pPr>
            <w:r w:rsidRPr="00C0674E">
              <w:rPr>
                <w:rFonts w:eastAsia="Calibri"/>
                <w:color w:val="000000"/>
                <w:szCs w:val="20"/>
                <w14:textFill>
                  <w14:solidFill>
                    <w14:srgbClr w14:val="000000">
                      <w14:alpha w14:val="100000"/>
                    </w14:srgbClr>
                  </w14:solidFill>
                </w14:textFill>
              </w:rPr>
              <w:t>|</w:t>
            </w:r>
          </w:p>
        </w:tc>
        <w:tc>
          <w:tcPr>
            <w:tcW w:w="729" w:type="pct"/>
            <w:vAlign w:val="center"/>
          </w:tcPr>
          <w:p w14:paraId="24B82D0A" w14:textId="77777777" w:rsidR="00A42255" w:rsidRPr="002E14F6" w:rsidRDefault="00A42255" w:rsidP="00510454">
            <w:pPr>
              <w:pStyle w:val="COMTabletext"/>
              <w:keepNext w:val="0"/>
              <w:jc w:val="center"/>
              <w:rPr>
                <w:rFonts w:eastAsia="Calibri"/>
                <w:szCs w:val="20"/>
              </w:rPr>
            </w:pPr>
            <w:r w:rsidRPr="002E14F6">
              <w:rPr>
                <w:rFonts w:eastAsia="Calibri"/>
                <w:szCs w:val="20"/>
              </w:rPr>
              <w:t>0.044</w:t>
            </w:r>
          </w:p>
        </w:tc>
        <w:tc>
          <w:tcPr>
            <w:tcW w:w="646" w:type="pct"/>
            <w:vAlign w:val="center"/>
          </w:tcPr>
          <w:p w14:paraId="48A49733" w14:textId="65D3ECE5" w:rsidR="00A42255" w:rsidRPr="004D7F61" w:rsidRDefault="00C0674E" w:rsidP="00510454">
            <w:pPr>
              <w:pStyle w:val="COMTabletext"/>
              <w:keepNext w:val="0"/>
              <w:jc w:val="center"/>
              <w:rPr>
                <w:rFonts w:eastAsia="Calibri"/>
                <w:szCs w:val="20"/>
                <w:highlight w:val="darkGray"/>
              </w:rPr>
            </w:pPr>
            <w:r w:rsidRPr="00400174">
              <w:rPr>
                <w:rFonts w:eastAsia="Calibri" w:hint="eastAsia"/>
                <w:color w:val="000000"/>
                <w:w w:val="15"/>
                <w:szCs w:val="20"/>
                <w:shd w:val="solid" w:color="000000" w:fill="000000"/>
                <w:fitText w:val="10" w:id="-1301087741"/>
                <w14:textFill>
                  <w14:solidFill>
                    <w14:srgbClr w14:val="000000">
                      <w14:alpha w14:val="100000"/>
                    </w14:srgbClr>
                  </w14:solidFill>
                </w14:textFill>
              </w:rPr>
              <w:t xml:space="preserve">　</w:t>
            </w:r>
            <w:r w:rsidRPr="00400174">
              <w:rPr>
                <w:rFonts w:eastAsia="Calibri"/>
                <w:color w:val="000000"/>
                <w:w w:val="15"/>
                <w:szCs w:val="20"/>
                <w:shd w:val="solid" w:color="000000" w:fill="000000"/>
                <w:fitText w:val="10" w:id="-1301087741"/>
                <w14:textFill>
                  <w14:solidFill>
                    <w14:srgbClr w14:val="000000">
                      <w14:alpha w14:val="100000"/>
                    </w14:srgbClr>
                  </w14:solidFill>
                </w14:textFill>
              </w:rPr>
              <w:t>|</w:t>
            </w:r>
            <w:r w:rsidRPr="00400174">
              <w:rPr>
                <w:rFonts w:eastAsia="Calibri" w:hint="eastAsia"/>
                <w:color w:val="000000"/>
                <w:spacing w:val="-55"/>
                <w:w w:val="15"/>
                <w:szCs w:val="20"/>
                <w:shd w:val="solid" w:color="000000" w:fill="000000"/>
                <w:fitText w:val="10" w:id="-1301087741"/>
                <w14:textFill>
                  <w14:solidFill>
                    <w14:srgbClr w14:val="000000">
                      <w14:alpha w14:val="100000"/>
                    </w14:srgbClr>
                  </w14:solidFill>
                </w14:textFill>
              </w:rPr>
              <w:t xml:space="preserve">　</w:t>
            </w:r>
            <w:r w:rsidR="003013CE">
              <w:rPr>
                <w:vertAlign w:val="superscript"/>
              </w:rPr>
              <w:t>6</w:t>
            </w:r>
          </w:p>
        </w:tc>
        <w:tc>
          <w:tcPr>
            <w:tcW w:w="600" w:type="pct"/>
            <w:vAlign w:val="center"/>
          </w:tcPr>
          <w:p w14:paraId="6D494CB3" w14:textId="77777777" w:rsidR="00A42255" w:rsidRPr="002E14F6" w:rsidRDefault="00A42255" w:rsidP="00510454">
            <w:pPr>
              <w:pStyle w:val="COMTabletext"/>
              <w:keepNext w:val="0"/>
              <w:jc w:val="center"/>
            </w:pPr>
            <w:r w:rsidRPr="002E14F6">
              <w:t>257%</w:t>
            </w:r>
          </w:p>
        </w:tc>
      </w:tr>
      <w:tr w:rsidR="00A42255" w:rsidRPr="002E14F6" w14:paraId="2A069B74" w14:textId="77777777" w:rsidTr="00510454">
        <w:trPr>
          <w:trHeight w:val="54"/>
        </w:trPr>
        <w:tc>
          <w:tcPr>
            <w:tcW w:w="2277" w:type="pct"/>
          </w:tcPr>
          <w:p w14:paraId="020C363C" w14:textId="77777777" w:rsidR="00A42255" w:rsidRPr="002E14F6" w:rsidRDefault="00A42255" w:rsidP="00510454">
            <w:pPr>
              <w:pStyle w:val="COMTabletext"/>
              <w:keepNext w:val="0"/>
            </w:pPr>
            <w:r w:rsidRPr="002E14F6">
              <w:t>Risedronate only</w:t>
            </w:r>
          </w:p>
        </w:tc>
        <w:tc>
          <w:tcPr>
            <w:tcW w:w="748" w:type="pct"/>
            <w:tcBorders>
              <w:bottom w:val="single" w:sz="4" w:space="0" w:color="auto"/>
            </w:tcBorders>
            <w:shd w:val="solid" w:color="000000" w:fill="000000"/>
            <w:vAlign w:val="center"/>
          </w:tcPr>
          <w:p w14:paraId="2989580A" w14:textId="36CC4CD1" w:rsidR="00A42255" w:rsidRPr="004D7F61" w:rsidRDefault="00C0674E" w:rsidP="00510454">
            <w:pPr>
              <w:pStyle w:val="COMTabletext"/>
              <w:keepNext w:val="0"/>
              <w:jc w:val="center"/>
              <w:rPr>
                <w:rFonts w:eastAsia="Calibri"/>
                <w:szCs w:val="20"/>
                <w:highlight w:val="darkGray"/>
              </w:rPr>
            </w:pPr>
            <w:r w:rsidRPr="00C0674E">
              <w:rPr>
                <w:rFonts w:eastAsia="Calibri"/>
                <w:color w:val="000000"/>
                <w:szCs w:val="20"/>
                <w14:textFill>
                  <w14:solidFill>
                    <w14:srgbClr w14:val="000000">
                      <w14:alpha w14:val="100000"/>
                    </w14:srgbClr>
                  </w14:solidFill>
                </w14:textFill>
              </w:rPr>
              <w:t>|</w:t>
            </w:r>
          </w:p>
        </w:tc>
        <w:tc>
          <w:tcPr>
            <w:tcW w:w="729" w:type="pct"/>
            <w:vAlign w:val="center"/>
          </w:tcPr>
          <w:p w14:paraId="150352FA" w14:textId="77777777" w:rsidR="00A42255" w:rsidRPr="002E14F6" w:rsidRDefault="00A42255" w:rsidP="00510454">
            <w:pPr>
              <w:pStyle w:val="COMTabletext"/>
              <w:keepNext w:val="0"/>
              <w:jc w:val="center"/>
              <w:rPr>
                <w:rFonts w:eastAsia="Calibri"/>
                <w:szCs w:val="20"/>
              </w:rPr>
            </w:pPr>
            <w:r w:rsidRPr="002E14F6">
              <w:rPr>
                <w:rFonts w:eastAsia="Calibri"/>
                <w:szCs w:val="20"/>
              </w:rPr>
              <w:t>0.044</w:t>
            </w:r>
          </w:p>
        </w:tc>
        <w:tc>
          <w:tcPr>
            <w:tcW w:w="646" w:type="pct"/>
            <w:vAlign w:val="center"/>
          </w:tcPr>
          <w:p w14:paraId="3B92F50C" w14:textId="72103205" w:rsidR="00A42255" w:rsidRPr="004D7F61" w:rsidRDefault="00C0674E" w:rsidP="00510454">
            <w:pPr>
              <w:pStyle w:val="COMTabletext"/>
              <w:keepNext w:val="0"/>
              <w:jc w:val="center"/>
              <w:rPr>
                <w:rFonts w:eastAsia="Calibri"/>
                <w:szCs w:val="20"/>
                <w:highlight w:val="darkGray"/>
              </w:rPr>
            </w:pPr>
            <w:r w:rsidRPr="00400174">
              <w:rPr>
                <w:rFonts w:eastAsia="Calibri" w:hint="eastAsia"/>
                <w:color w:val="000000"/>
                <w:w w:val="15"/>
                <w:szCs w:val="20"/>
                <w:shd w:val="solid" w:color="000000" w:fill="000000"/>
                <w:fitText w:val="10" w:id="-1301087740"/>
                <w14:textFill>
                  <w14:solidFill>
                    <w14:srgbClr w14:val="000000">
                      <w14:alpha w14:val="100000"/>
                    </w14:srgbClr>
                  </w14:solidFill>
                </w14:textFill>
              </w:rPr>
              <w:t xml:space="preserve">　</w:t>
            </w:r>
            <w:r w:rsidRPr="00400174">
              <w:rPr>
                <w:rFonts w:eastAsia="Calibri"/>
                <w:color w:val="000000"/>
                <w:w w:val="15"/>
                <w:szCs w:val="20"/>
                <w:shd w:val="solid" w:color="000000" w:fill="000000"/>
                <w:fitText w:val="10" w:id="-1301087740"/>
                <w14:textFill>
                  <w14:solidFill>
                    <w14:srgbClr w14:val="000000">
                      <w14:alpha w14:val="100000"/>
                    </w14:srgbClr>
                  </w14:solidFill>
                </w14:textFill>
              </w:rPr>
              <w:t>|</w:t>
            </w:r>
            <w:r w:rsidRPr="00400174">
              <w:rPr>
                <w:rFonts w:eastAsia="Calibri" w:hint="eastAsia"/>
                <w:color w:val="000000"/>
                <w:spacing w:val="-55"/>
                <w:w w:val="15"/>
                <w:szCs w:val="20"/>
                <w:shd w:val="solid" w:color="000000" w:fill="000000"/>
                <w:fitText w:val="10" w:id="-1301087740"/>
                <w14:textFill>
                  <w14:solidFill>
                    <w14:srgbClr w14:val="000000">
                      <w14:alpha w14:val="100000"/>
                    </w14:srgbClr>
                  </w14:solidFill>
                </w14:textFill>
              </w:rPr>
              <w:t xml:space="preserve">　</w:t>
            </w:r>
            <w:r w:rsidR="003013CE">
              <w:rPr>
                <w:vertAlign w:val="superscript"/>
              </w:rPr>
              <w:t>3</w:t>
            </w:r>
          </w:p>
        </w:tc>
        <w:tc>
          <w:tcPr>
            <w:tcW w:w="600" w:type="pct"/>
            <w:vAlign w:val="center"/>
          </w:tcPr>
          <w:p w14:paraId="0FCF97FE" w14:textId="77777777" w:rsidR="00A42255" w:rsidRPr="002E14F6" w:rsidRDefault="00A42255" w:rsidP="00510454">
            <w:pPr>
              <w:pStyle w:val="COMTabletext"/>
              <w:keepNext w:val="0"/>
              <w:jc w:val="center"/>
            </w:pPr>
            <w:r w:rsidRPr="002E14F6">
              <w:t>91%</w:t>
            </w:r>
          </w:p>
        </w:tc>
      </w:tr>
      <w:tr w:rsidR="00A42255" w:rsidRPr="002E14F6" w14:paraId="79A38232" w14:textId="77777777" w:rsidTr="00510454">
        <w:trPr>
          <w:trHeight w:val="54"/>
        </w:trPr>
        <w:tc>
          <w:tcPr>
            <w:tcW w:w="2277" w:type="pct"/>
          </w:tcPr>
          <w:p w14:paraId="5A86831C" w14:textId="77777777" w:rsidR="00A42255" w:rsidRPr="002E14F6" w:rsidRDefault="00A42255" w:rsidP="00510454">
            <w:pPr>
              <w:pStyle w:val="COMTabletext"/>
              <w:keepNext w:val="0"/>
            </w:pPr>
            <w:r w:rsidRPr="002E14F6">
              <w:t>Denosumab only</w:t>
            </w:r>
          </w:p>
        </w:tc>
        <w:tc>
          <w:tcPr>
            <w:tcW w:w="748" w:type="pct"/>
            <w:tcBorders>
              <w:bottom w:val="single" w:sz="4" w:space="0" w:color="auto"/>
            </w:tcBorders>
            <w:shd w:val="solid" w:color="000000" w:fill="000000"/>
            <w:vAlign w:val="center"/>
          </w:tcPr>
          <w:p w14:paraId="7560BE6F" w14:textId="3496FE8E" w:rsidR="00A42255" w:rsidRPr="004D7F61" w:rsidRDefault="00C0674E" w:rsidP="00510454">
            <w:pPr>
              <w:pStyle w:val="COMTabletext"/>
              <w:keepNext w:val="0"/>
              <w:jc w:val="center"/>
              <w:rPr>
                <w:rFonts w:eastAsia="Calibri"/>
                <w:szCs w:val="20"/>
                <w:highlight w:val="darkGray"/>
              </w:rPr>
            </w:pPr>
            <w:r w:rsidRPr="00C0674E">
              <w:rPr>
                <w:rFonts w:eastAsia="Calibri"/>
                <w:color w:val="000000"/>
                <w:szCs w:val="20"/>
                <w14:textFill>
                  <w14:solidFill>
                    <w14:srgbClr w14:val="000000">
                      <w14:alpha w14:val="100000"/>
                    </w14:srgbClr>
                  </w14:solidFill>
                </w14:textFill>
              </w:rPr>
              <w:t>|</w:t>
            </w:r>
          </w:p>
        </w:tc>
        <w:tc>
          <w:tcPr>
            <w:tcW w:w="729" w:type="pct"/>
            <w:vAlign w:val="center"/>
          </w:tcPr>
          <w:p w14:paraId="1B768C6E" w14:textId="77777777" w:rsidR="00A42255" w:rsidRPr="002E14F6" w:rsidRDefault="00A42255" w:rsidP="00510454">
            <w:pPr>
              <w:pStyle w:val="COMTabletext"/>
              <w:keepNext w:val="0"/>
              <w:jc w:val="center"/>
              <w:rPr>
                <w:rFonts w:eastAsia="Calibri"/>
                <w:szCs w:val="20"/>
              </w:rPr>
            </w:pPr>
            <w:r w:rsidRPr="002E14F6">
              <w:rPr>
                <w:rFonts w:eastAsia="Calibri"/>
                <w:szCs w:val="20"/>
              </w:rPr>
              <w:t>0.044</w:t>
            </w:r>
          </w:p>
        </w:tc>
        <w:tc>
          <w:tcPr>
            <w:tcW w:w="646" w:type="pct"/>
            <w:vAlign w:val="center"/>
          </w:tcPr>
          <w:p w14:paraId="2DF62537" w14:textId="5C5FE292" w:rsidR="00A42255" w:rsidRPr="004D7F61" w:rsidRDefault="00C0674E" w:rsidP="00510454">
            <w:pPr>
              <w:pStyle w:val="COMTabletext"/>
              <w:keepNext w:val="0"/>
              <w:jc w:val="center"/>
              <w:rPr>
                <w:rFonts w:eastAsia="Calibri"/>
                <w:szCs w:val="20"/>
                <w:highlight w:val="darkGray"/>
              </w:rPr>
            </w:pPr>
            <w:r w:rsidRPr="00400174">
              <w:rPr>
                <w:rFonts w:eastAsia="Calibri" w:hint="eastAsia"/>
                <w:color w:val="000000"/>
                <w:w w:val="15"/>
                <w:szCs w:val="20"/>
                <w:shd w:val="solid" w:color="000000" w:fill="000000"/>
                <w:fitText w:val="10" w:id="-1301087739"/>
                <w14:textFill>
                  <w14:solidFill>
                    <w14:srgbClr w14:val="000000">
                      <w14:alpha w14:val="100000"/>
                    </w14:srgbClr>
                  </w14:solidFill>
                </w14:textFill>
              </w:rPr>
              <w:t xml:space="preserve">　</w:t>
            </w:r>
            <w:r w:rsidRPr="00400174">
              <w:rPr>
                <w:rFonts w:eastAsia="Calibri"/>
                <w:color w:val="000000"/>
                <w:w w:val="15"/>
                <w:szCs w:val="20"/>
                <w:shd w:val="solid" w:color="000000" w:fill="000000"/>
                <w:fitText w:val="10" w:id="-1301087739"/>
                <w14:textFill>
                  <w14:solidFill>
                    <w14:srgbClr w14:val="000000">
                      <w14:alpha w14:val="100000"/>
                    </w14:srgbClr>
                  </w14:solidFill>
                </w14:textFill>
              </w:rPr>
              <w:t>|</w:t>
            </w:r>
            <w:r w:rsidRPr="00400174">
              <w:rPr>
                <w:rFonts w:eastAsia="Calibri" w:hint="eastAsia"/>
                <w:color w:val="000000"/>
                <w:spacing w:val="-55"/>
                <w:w w:val="15"/>
                <w:szCs w:val="20"/>
                <w:shd w:val="solid" w:color="000000" w:fill="000000"/>
                <w:fitText w:val="10" w:id="-1301087739"/>
                <w14:textFill>
                  <w14:solidFill>
                    <w14:srgbClr w14:val="000000">
                      <w14:alpha w14:val="100000"/>
                    </w14:srgbClr>
                  </w14:solidFill>
                </w14:textFill>
              </w:rPr>
              <w:t xml:space="preserve">　</w:t>
            </w:r>
            <w:r w:rsidR="003013CE">
              <w:rPr>
                <w:vertAlign w:val="superscript"/>
              </w:rPr>
              <w:t>1</w:t>
            </w:r>
          </w:p>
        </w:tc>
        <w:tc>
          <w:tcPr>
            <w:tcW w:w="600" w:type="pct"/>
            <w:vAlign w:val="center"/>
          </w:tcPr>
          <w:p w14:paraId="56FE6CDF" w14:textId="77777777" w:rsidR="00A42255" w:rsidRPr="002E14F6" w:rsidRDefault="00A42255" w:rsidP="00510454">
            <w:pPr>
              <w:pStyle w:val="COMTabletext"/>
              <w:keepNext w:val="0"/>
              <w:jc w:val="center"/>
            </w:pPr>
            <w:r w:rsidRPr="002E14F6">
              <w:t>-48%</w:t>
            </w:r>
          </w:p>
        </w:tc>
      </w:tr>
      <w:tr w:rsidR="00A42255" w:rsidRPr="002E14F6" w14:paraId="36334051" w14:textId="77777777" w:rsidTr="00510454">
        <w:trPr>
          <w:trHeight w:val="54"/>
        </w:trPr>
        <w:tc>
          <w:tcPr>
            <w:tcW w:w="2277" w:type="pct"/>
          </w:tcPr>
          <w:p w14:paraId="10C6BA8B" w14:textId="77777777" w:rsidR="00A42255" w:rsidRPr="002E14F6" w:rsidRDefault="00A42255" w:rsidP="00510454">
            <w:pPr>
              <w:pStyle w:val="COMTabletext"/>
              <w:keepNext w:val="0"/>
            </w:pPr>
            <w:r w:rsidRPr="002E14F6">
              <w:t>Zoledronic acid only</w:t>
            </w:r>
          </w:p>
        </w:tc>
        <w:tc>
          <w:tcPr>
            <w:tcW w:w="748" w:type="pct"/>
            <w:shd w:val="solid" w:color="000000" w:fill="000000"/>
            <w:vAlign w:val="center"/>
          </w:tcPr>
          <w:p w14:paraId="32EF1C12" w14:textId="664ECDF3" w:rsidR="00A42255" w:rsidRPr="004D7F61" w:rsidRDefault="00C0674E" w:rsidP="00510454">
            <w:pPr>
              <w:pStyle w:val="COMTabletext"/>
              <w:keepNext w:val="0"/>
              <w:jc w:val="center"/>
              <w:rPr>
                <w:rFonts w:eastAsia="Calibri"/>
                <w:szCs w:val="20"/>
                <w:highlight w:val="darkGray"/>
              </w:rPr>
            </w:pPr>
            <w:r w:rsidRPr="00C0674E">
              <w:rPr>
                <w:rFonts w:eastAsia="Calibri"/>
                <w:color w:val="000000"/>
                <w:szCs w:val="20"/>
                <w14:textFill>
                  <w14:solidFill>
                    <w14:srgbClr w14:val="000000">
                      <w14:alpha w14:val="100000"/>
                    </w14:srgbClr>
                  </w14:solidFill>
                </w14:textFill>
              </w:rPr>
              <w:t>|</w:t>
            </w:r>
          </w:p>
        </w:tc>
        <w:tc>
          <w:tcPr>
            <w:tcW w:w="729" w:type="pct"/>
            <w:vAlign w:val="center"/>
          </w:tcPr>
          <w:p w14:paraId="1A14B383" w14:textId="77777777" w:rsidR="00A42255" w:rsidRPr="002E14F6" w:rsidRDefault="00A42255" w:rsidP="00510454">
            <w:pPr>
              <w:pStyle w:val="COMTabletext"/>
              <w:keepNext w:val="0"/>
              <w:jc w:val="center"/>
              <w:rPr>
                <w:rFonts w:eastAsia="Calibri"/>
                <w:szCs w:val="20"/>
              </w:rPr>
            </w:pPr>
            <w:r w:rsidRPr="002E14F6">
              <w:rPr>
                <w:rFonts w:eastAsia="Calibri"/>
                <w:szCs w:val="20"/>
              </w:rPr>
              <w:t>0.044</w:t>
            </w:r>
          </w:p>
        </w:tc>
        <w:tc>
          <w:tcPr>
            <w:tcW w:w="646" w:type="pct"/>
            <w:vAlign w:val="center"/>
          </w:tcPr>
          <w:p w14:paraId="27375B51" w14:textId="5576283F" w:rsidR="00A42255" w:rsidRPr="004D7F61" w:rsidRDefault="00C0674E" w:rsidP="00510454">
            <w:pPr>
              <w:pStyle w:val="COMTabletext"/>
              <w:keepNext w:val="0"/>
              <w:jc w:val="center"/>
              <w:rPr>
                <w:rFonts w:eastAsia="Calibri"/>
                <w:szCs w:val="20"/>
                <w:highlight w:val="darkGray"/>
              </w:rPr>
            </w:pPr>
            <w:r w:rsidRPr="00400174">
              <w:rPr>
                <w:rFonts w:eastAsia="Calibri" w:hint="eastAsia"/>
                <w:color w:val="000000"/>
                <w:w w:val="15"/>
                <w:szCs w:val="20"/>
                <w:shd w:val="solid" w:color="000000" w:fill="000000"/>
                <w:fitText w:val="10" w:id="-1301087738"/>
                <w14:textFill>
                  <w14:solidFill>
                    <w14:srgbClr w14:val="000000">
                      <w14:alpha w14:val="100000"/>
                    </w14:srgbClr>
                  </w14:solidFill>
                </w14:textFill>
              </w:rPr>
              <w:t xml:space="preserve">　</w:t>
            </w:r>
            <w:r w:rsidRPr="00400174">
              <w:rPr>
                <w:rFonts w:eastAsia="Calibri"/>
                <w:color w:val="000000"/>
                <w:w w:val="15"/>
                <w:szCs w:val="20"/>
                <w:shd w:val="solid" w:color="000000" w:fill="000000"/>
                <w:fitText w:val="10" w:id="-1301087738"/>
                <w14:textFill>
                  <w14:solidFill>
                    <w14:srgbClr w14:val="000000">
                      <w14:alpha w14:val="100000"/>
                    </w14:srgbClr>
                  </w14:solidFill>
                </w14:textFill>
              </w:rPr>
              <w:t>|</w:t>
            </w:r>
            <w:r w:rsidRPr="00400174">
              <w:rPr>
                <w:rFonts w:eastAsia="Calibri" w:hint="eastAsia"/>
                <w:color w:val="000000"/>
                <w:spacing w:val="-55"/>
                <w:w w:val="15"/>
                <w:szCs w:val="20"/>
                <w:shd w:val="solid" w:color="000000" w:fill="000000"/>
                <w:fitText w:val="10" w:id="-1301087738"/>
                <w14:textFill>
                  <w14:solidFill>
                    <w14:srgbClr w14:val="000000">
                      <w14:alpha w14:val="100000"/>
                    </w14:srgbClr>
                  </w14:solidFill>
                </w14:textFill>
              </w:rPr>
              <w:t xml:space="preserve">　</w:t>
            </w:r>
            <w:r w:rsidR="003013CE">
              <w:rPr>
                <w:vertAlign w:val="superscript"/>
              </w:rPr>
              <w:t>6</w:t>
            </w:r>
          </w:p>
        </w:tc>
        <w:tc>
          <w:tcPr>
            <w:tcW w:w="600" w:type="pct"/>
            <w:vAlign w:val="center"/>
          </w:tcPr>
          <w:p w14:paraId="11B70B25" w14:textId="77777777" w:rsidR="00A42255" w:rsidRPr="002E14F6" w:rsidRDefault="00A42255" w:rsidP="00510454">
            <w:pPr>
              <w:pStyle w:val="COMTabletext"/>
              <w:keepNext w:val="0"/>
              <w:jc w:val="center"/>
            </w:pPr>
            <w:r w:rsidRPr="002E14F6">
              <w:t>257%</w:t>
            </w:r>
          </w:p>
        </w:tc>
      </w:tr>
      <w:tr w:rsidR="00A42255" w:rsidRPr="002E14F6" w14:paraId="4AE8E5E3" w14:textId="77777777" w:rsidTr="00510454">
        <w:trPr>
          <w:trHeight w:val="54"/>
        </w:trPr>
        <w:tc>
          <w:tcPr>
            <w:tcW w:w="5000" w:type="pct"/>
            <w:gridSpan w:val="5"/>
          </w:tcPr>
          <w:p w14:paraId="67372DE7" w14:textId="77777777" w:rsidR="00A42255" w:rsidRPr="002E14F6" w:rsidRDefault="00A42255" w:rsidP="00510454">
            <w:pPr>
              <w:pStyle w:val="COMTableheadingrow"/>
              <w:keepNext w:val="0"/>
              <w:rPr>
                <w:lang w:val="en-AU"/>
              </w:rPr>
            </w:pPr>
            <w:r w:rsidRPr="002E14F6">
              <w:rPr>
                <w:lang w:val="en-AU"/>
              </w:rPr>
              <w:t>Treatment adherence (base case risedronate EC: 75%, SoC: 75% alendronate and risedronate, 85% denosumab and 100% zoledronic acid)</w:t>
            </w:r>
          </w:p>
        </w:tc>
      </w:tr>
      <w:tr w:rsidR="00A42255" w:rsidRPr="002E14F6" w14:paraId="47D596B1" w14:textId="77777777" w:rsidTr="00510454">
        <w:trPr>
          <w:trHeight w:val="54"/>
        </w:trPr>
        <w:tc>
          <w:tcPr>
            <w:tcW w:w="2277" w:type="pct"/>
          </w:tcPr>
          <w:p w14:paraId="63C80FAD" w14:textId="2371636D" w:rsidR="00A42255" w:rsidRPr="00EC57D8" w:rsidRDefault="00A42255" w:rsidP="00510454">
            <w:pPr>
              <w:pStyle w:val="COMTabletext"/>
              <w:keepNext w:val="0"/>
              <w:rPr>
                <w:vertAlign w:val="superscript"/>
              </w:rPr>
            </w:pPr>
            <w:r w:rsidRPr="00EC57D8">
              <w:t>Perfect adherence for all treatments</w:t>
            </w:r>
            <w:r w:rsidR="00776A57" w:rsidRPr="00EC57D8">
              <w:t xml:space="preserve"> </w:t>
            </w:r>
            <w:r w:rsidR="00776A57" w:rsidRPr="00EC57D8">
              <w:rPr>
                <w:vertAlign w:val="superscript"/>
              </w:rPr>
              <w:t>a</w:t>
            </w:r>
          </w:p>
        </w:tc>
        <w:tc>
          <w:tcPr>
            <w:tcW w:w="748" w:type="pct"/>
            <w:tcBorders>
              <w:bottom w:val="single" w:sz="4" w:space="0" w:color="auto"/>
            </w:tcBorders>
            <w:shd w:val="solid" w:color="000000" w:fill="000000"/>
            <w:vAlign w:val="center"/>
          </w:tcPr>
          <w:p w14:paraId="0D0E545D" w14:textId="22C9FB8A" w:rsidR="00A42255" w:rsidRPr="004D7F61" w:rsidRDefault="00C0674E" w:rsidP="00510454">
            <w:pPr>
              <w:pStyle w:val="COMTabletext"/>
              <w:keepNext w:val="0"/>
              <w:jc w:val="center"/>
              <w:rPr>
                <w:rFonts w:eastAsia="Calibri"/>
                <w:szCs w:val="20"/>
                <w:highlight w:val="darkGray"/>
              </w:rPr>
            </w:pPr>
            <w:r w:rsidRPr="00C0674E">
              <w:rPr>
                <w:rFonts w:eastAsia="Calibri"/>
                <w:color w:val="000000"/>
                <w:szCs w:val="20"/>
                <w14:textFill>
                  <w14:solidFill>
                    <w14:srgbClr w14:val="000000">
                      <w14:alpha w14:val="100000"/>
                    </w14:srgbClr>
                  </w14:solidFill>
                </w14:textFill>
              </w:rPr>
              <w:t>|</w:t>
            </w:r>
          </w:p>
        </w:tc>
        <w:tc>
          <w:tcPr>
            <w:tcW w:w="729" w:type="pct"/>
            <w:vAlign w:val="center"/>
          </w:tcPr>
          <w:p w14:paraId="79C73891" w14:textId="77777777" w:rsidR="00A42255" w:rsidRPr="00EC57D8" w:rsidRDefault="00A42255" w:rsidP="00510454">
            <w:pPr>
              <w:pStyle w:val="COMTabletext"/>
              <w:keepNext w:val="0"/>
              <w:jc w:val="center"/>
              <w:rPr>
                <w:rFonts w:eastAsia="Calibri"/>
                <w:szCs w:val="20"/>
              </w:rPr>
            </w:pPr>
            <w:r w:rsidRPr="00EC57D8">
              <w:rPr>
                <w:rFonts w:eastAsia="Calibri"/>
                <w:szCs w:val="20"/>
              </w:rPr>
              <w:t>0.044</w:t>
            </w:r>
          </w:p>
        </w:tc>
        <w:tc>
          <w:tcPr>
            <w:tcW w:w="646" w:type="pct"/>
            <w:vAlign w:val="center"/>
          </w:tcPr>
          <w:p w14:paraId="6AD20923" w14:textId="0F23116F" w:rsidR="00A42255" w:rsidRPr="004D7F61" w:rsidRDefault="00C0674E" w:rsidP="00510454">
            <w:pPr>
              <w:pStyle w:val="COMTabletext"/>
              <w:keepNext w:val="0"/>
              <w:jc w:val="center"/>
              <w:rPr>
                <w:rFonts w:eastAsia="Calibri"/>
                <w:szCs w:val="20"/>
                <w:highlight w:val="darkGray"/>
              </w:rPr>
            </w:pPr>
            <w:r w:rsidRPr="00400174">
              <w:rPr>
                <w:rFonts w:eastAsia="Calibri" w:hint="eastAsia"/>
                <w:color w:val="000000"/>
                <w:w w:val="15"/>
                <w:szCs w:val="20"/>
                <w:shd w:val="solid" w:color="000000" w:fill="000000"/>
                <w:fitText w:val="10" w:id="-1301087737"/>
                <w14:textFill>
                  <w14:solidFill>
                    <w14:srgbClr w14:val="000000">
                      <w14:alpha w14:val="100000"/>
                    </w14:srgbClr>
                  </w14:solidFill>
                </w14:textFill>
              </w:rPr>
              <w:t xml:space="preserve">　</w:t>
            </w:r>
            <w:r w:rsidRPr="00400174">
              <w:rPr>
                <w:rFonts w:eastAsia="Calibri"/>
                <w:color w:val="000000"/>
                <w:w w:val="15"/>
                <w:szCs w:val="20"/>
                <w:shd w:val="solid" w:color="000000" w:fill="000000"/>
                <w:fitText w:val="10" w:id="-1301087737"/>
                <w14:textFill>
                  <w14:solidFill>
                    <w14:srgbClr w14:val="000000">
                      <w14:alpha w14:val="100000"/>
                    </w14:srgbClr>
                  </w14:solidFill>
                </w14:textFill>
              </w:rPr>
              <w:t>|</w:t>
            </w:r>
            <w:r w:rsidRPr="00400174">
              <w:rPr>
                <w:rFonts w:eastAsia="Calibri" w:hint="eastAsia"/>
                <w:color w:val="000000"/>
                <w:spacing w:val="-55"/>
                <w:w w:val="15"/>
                <w:szCs w:val="20"/>
                <w:shd w:val="solid" w:color="000000" w:fill="000000"/>
                <w:fitText w:val="10" w:id="-1301087737"/>
                <w14:textFill>
                  <w14:solidFill>
                    <w14:srgbClr w14:val="000000">
                      <w14:alpha w14:val="100000"/>
                    </w14:srgbClr>
                  </w14:solidFill>
                </w14:textFill>
              </w:rPr>
              <w:t xml:space="preserve">　</w:t>
            </w:r>
            <w:r w:rsidR="003013CE">
              <w:rPr>
                <w:vertAlign w:val="superscript"/>
              </w:rPr>
              <w:t>7</w:t>
            </w:r>
          </w:p>
        </w:tc>
        <w:tc>
          <w:tcPr>
            <w:tcW w:w="600" w:type="pct"/>
            <w:vAlign w:val="center"/>
          </w:tcPr>
          <w:p w14:paraId="16B5644D" w14:textId="77777777" w:rsidR="00A42255" w:rsidRPr="0091151B" w:rsidRDefault="00A42255" w:rsidP="00510454">
            <w:pPr>
              <w:pStyle w:val="COMTabletext"/>
              <w:keepNext w:val="0"/>
              <w:jc w:val="center"/>
              <w:rPr>
                <w:rFonts w:eastAsia="Calibri"/>
                <w:szCs w:val="20"/>
              </w:rPr>
            </w:pPr>
            <w:r w:rsidRPr="00AC7C58">
              <w:t>168%</w:t>
            </w:r>
          </w:p>
        </w:tc>
      </w:tr>
      <w:tr w:rsidR="00A42255" w:rsidRPr="002E14F6" w14:paraId="1247374B" w14:textId="77777777" w:rsidTr="00510454">
        <w:trPr>
          <w:trHeight w:val="54"/>
        </w:trPr>
        <w:tc>
          <w:tcPr>
            <w:tcW w:w="2277" w:type="pct"/>
          </w:tcPr>
          <w:p w14:paraId="6802F165" w14:textId="4FFFFFD9" w:rsidR="00A42255" w:rsidRPr="00EC57D8" w:rsidRDefault="00A42255" w:rsidP="00510454">
            <w:pPr>
              <w:pStyle w:val="COMTabletext"/>
              <w:keepNext w:val="0"/>
              <w:rPr>
                <w:vertAlign w:val="superscript"/>
              </w:rPr>
            </w:pPr>
            <w:r w:rsidRPr="00EC57D8">
              <w:t xml:space="preserve">85% for all treatments </w:t>
            </w:r>
            <w:r w:rsidR="00776A57" w:rsidRPr="00EC57D8">
              <w:rPr>
                <w:vertAlign w:val="superscript"/>
              </w:rPr>
              <w:t>a</w:t>
            </w:r>
          </w:p>
        </w:tc>
        <w:tc>
          <w:tcPr>
            <w:tcW w:w="748" w:type="pct"/>
            <w:tcBorders>
              <w:bottom w:val="single" w:sz="4" w:space="0" w:color="auto"/>
            </w:tcBorders>
            <w:shd w:val="solid" w:color="000000" w:fill="000000"/>
            <w:vAlign w:val="center"/>
          </w:tcPr>
          <w:p w14:paraId="53F39B83" w14:textId="5DADE437" w:rsidR="00A42255" w:rsidRPr="004D7F61" w:rsidRDefault="00C0674E" w:rsidP="00510454">
            <w:pPr>
              <w:pStyle w:val="COMTabletext"/>
              <w:keepNext w:val="0"/>
              <w:jc w:val="center"/>
              <w:rPr>
                <w:rFonts w:eastAsia="Calibri"/>
                <w:szCs w:val="20"/>
                <w:highlight w:val="darkGray"/>
              </w:rPr>
            </w:pPr>
            <w:r w:rsidRPr="00C0674E">
              <w:rPr>
                <w:rFonts w:eastAsia="Calibri"/>
                <w:color w:val="000000"/>
                <w:szCs w:val="20"/>
                <w14:textFill>
                  <w14:solidFill>
                    <w14:srgbClr w14:val="000000">
                      <w14:alpha w14:val="100000"/>
                    </w14:srgbClr>
                  </w14:solidFill>
                </w14:textFill>
              </w:rPr>
              <w:t>|</w:t>
            </w:r>
          </w:p>
        </w:tc>
        <w:tc>
          <w:tcPr>
            <w:tcW w:w="729" w:type="pct"/>
            <w:vAlign w:val="center"/>
          </w:tcPr>
          <w:p w14:paraId="43A1D90A" w14:textId="77777777" w:rsidR="00A42255" w:rsidRPr="00EC57D8" w:rsidRDefault="00A42255" w:rsidP="00510454">
            <w:pPr>
              <w:pStyle w:val="COMTabletext"/>
              <w:keepNext w:val="0"/>
              <w:jc w:val="center"/>
              <w:rPr>
                <w:rFonts w:eastAsia="Calibri"/>
                <w:szCs w:val="20"/>
              </w:rPr>
            </w:pPr>
            <w:r w:rsidRPr="00EC57D8">
              <w:rPr>
                <w:rFonts w:eastAsia="Calibri"/>
                <w:szCs w:val="20"/>
              </w:rPr>
              <w:t>0.044</w:t>
            </w:r>
          </w:p>
        </w:tc>
        <w:tc>
          <w:tcPr>
            <w:tcW w:w="646" w:type="pct"/>
            <w:vAlign w:val="center"/>
          </w:tcPr>
          <w:p w14:paraId="3310366A" w14:textId="20864BE6" w:rsidR="00A42255" w:rsidRPr="004D7F61" w:rsidRDefault="00C0674E" w:rsidP="00510454">
            <w:pPr>
              <w:pStyle w:val="COMTabletext"/>
              <w:keepNext w:val="0"/>
              <w:jc w:val="center"/>
              <w:rPr>
                <w:rFonts w:eastAsia="Calibri"/>
                <w:szCs w:val="20"/>
                <w:highlight w:val="darkGray"/>
              </w:rPr>
            </w:pPr>
            <w:r w:rsidRPr="00400174">
              <w:rPr>
                <w:rFonts w:eastAsia="Calibri" w:hint="eastAsia"/>
                <w:color w:val="000000"/>
                <w:w w:val="15"/>
                <w:szCs w:val="20"/>
                <w:shd w:val="solid" w:color="000000" w:fill="000000"/>
                <w:fitText w:val="10" w:id="-1301087736"/>
                <w14:textFill>
                  <w14:solidFill>
                    <w14:srgbClr w14:val="000000">
                      <w14:alpha w14:val="100000"/>
                    </w14:srgbClr>
                  </w14:solidFill>
                </w14:textFill>
              </w:rPr>
              <w:t xml:space="preserve">　</w:t>
            </w:r>
            <w:r w:rsidRPr="00400174">
              <w:rPr>
                <w:rFonts w:eastAsia="Calibri"/>
                <w:color w:val="000000"/>
                <w:w w:val="15"/>
                <w:szCs w:val="20"/>
                <w:shd w:val="solid" w:color="000000" w:fill="000000"/>
                <w:fitText w:val="10" w:id="-1301087736"/>
                <w14:textFill>
                  <w14:solidFill>
                    <w14:srgbClr w14:val="000000">
                      <w14:alpha w14:val="100000"/>
                    </w14:srgbClr>
                  </w14:solidFill>
                </w14:textFill>
              </w:rPr>
              <w:t>|</w:t>
            </w:r>
            <w:r w:rsidRPr="00400174">
              <w:rPr>
                <w:rFonts w:eastAsia="Calibri" w:hint="eastAsia"/>
                <w:color w:val="000000"/>
                <w:spacing w:val="-55"/>
                <w:w w:val="15"/>
                <w:szCs w:val="20"/>
                <w:shd w:val="solid" w:color="000000" w:fill="000000"/>
                <w:fitText w:val="10" w:id="-1301087736"/>
                <w14:textFill>
                  <w14:solidFill>
                    <w14:srgbClr w14:val="000000">
                      <w14:alpha w14:val="100000"/>
                    </w14:srgbClr>
                  </w14:solidFill>
                </w14:textFill>
              </w:rPr>
              <w:t xml:space="preserve">　</w:t>
            </w:r>
            <w:r w:rsidR="003013CE">
              <w:rPr>
                <w:vertAlign w:val="superscript"/>
              </w:rPr>
              <w:t>3</w:t>
            </w:r>
          </w:p>
        </w:tc>
        <w:tc>
          <w:tcPr>
            <w:tcW w:w="600" w:type="pct"/>
          </w:tcPr>
          <w:p w14:paraId="10045BEC" w14:textId="77777777" w:rsidR="00A42255" w:rsidRPr="0091151B" w:rsidRDefault="00A42255" w:rsidP="00510454">
            <w:pPr>
              <w:pStyle w:val="COMTabletext"/>
              <w:keepNext w:val="0"/>
              <w:jc w:val="center"/>
            </w:pPr>
            <w:r w:rsidRPr="00AC7C58">
              <w:t>90%</w:t>
            </w:r>
          </w:p>
        </w:tc>
      </w:tr>
      <w:tr w:rsidR="00A42255" w:rsidRPr="002E14F6" w14:paraId="17F63D18" w14:textId="77777777" w:rsidTr="00510454">
        <w:trPr>
          <w:trHeight w:val="54"/>
        </w:trPr>
        <w:tc>
          <w:tcPr>
            <w:tcW w:w="2277" w:type="pct"/>
          </w:tcPr>
          <w:p w14:paraId="5120E175" w14:textId="483C651F" w:rsidR="00A42255" w:rsidRPr="00EC57D8" w:rsidRDefault="00A42255" w:rsidP="00510454">
            <w:pPr>
              <w:pStyle w:val="COMTabletext"/>
              <w:keepNext w:val="0"/>
              <w:rPr>
                <w:vertAlign w:val="superscript"/>
              </w:rPr>
            </w:pPr>
            <w:r w:rsidRPr="00EC57D8">
              <w:t>75% for all treatments</w:t>
            </w:r>
            <w:r w:rsidR="00776A57" w:rsidRPr="00EC57D8">
              <w:t xml:space="preserve"> </w:t>
            </w:r>
            <w:r w:rsidR="00776A57" w:rsidRPr="00EC57D8">
              <w:rPr>
                <w:vertAlign w:val="superscript"/>
              </w:rPr>
              <w:t>a</w:t>
            </w:r>
          </w:p>
        </w:tc>
        <w:tc>
          <w:tcPr>
            <w:tcW w:w="748" w:type="pct"/>
            <w:tcBorders>
              <w:bottom w:val="single" w:sz="4" w:space="0" w:color="auto"/>
            </w:tcBorders>
            <w:shd w:val="solid" w:color="000000" w:fill="000000"/>
            <w:vAlign w:val="center"/>
          </w:tcPr>
          <w:p w14:paraId="75761B98" w14:textId="5BA71847" w:rsidR="00A42255" w:rsidRPr="004D7F61" w:rsidRDefault="00C0674E" w:rsidP="00510454">
            <w:pPr>
              <w:pStyle w:val="COMTabletext"/>
              <w:keepNext w:val="0"/>
              <w:jc w:val="center"/>
              <w:rPr>
                <w:rFonts w:eastAsia="Calibri"/>
                <w:szCs w:val="20"/>
                <w:highlight w:val="darkGray"/>
              </w:rPr>
            </w:pPr>
            <w:r w:rsidRPr="00C0674E">
              <w:rPr>
                <w:rFonts w:eastAsia="Calibri"/>
                <w:color w:val="000000"/>
                <w:szCs w:val="20"/>
                <w14:textFill>
                  <w14:solidFill>
                    <w14:srgbClr w14:val="000000">
                      <w14:alpha w14:val="100000"/>
                    </w14:srgbClr>
                  </w14:solidFill>
                </w14:textFill>
              </w:rPr>
              <w:t>|</w:t>
            </w:r>
          </w:p>
        </w:tc>
        <w:tc>
          <w:tcPr>
            <w:tcW w:w="729" w:type="pct"/>
            <w:vAlign w:val="center"/>
          </w:tcPr>
          <w:p w14:paraId="4F0D8B1B" w14:textId="77777777" w:rsidR="00A42255" w:rsidRPr="00EC57D8" w:rsidRDefault="00A42255" w:rsidP="00510454">
            <w:pPr>
              <w:pStyle w:val="COMTabletext"/>
              <w:keepNext w:val="0"/>
              <w:jc w:val="center"/>
              <w:rPr>
                <w:rFonts w:eastAsia="Calibri"/>
                <w:szCs w:val="20"/>
              </w:rPr>
            </w:pPr>
            <w:r w:rsidRPr="00EC57D8">
              <w:rPr>
                <w:rFonts w:eastAsia="Calibri"/>
                <w:szCs w:val="20"/>
              </w:rPr>
              <w:t>0.044</w:t>
            </w:r>
          </w:p>
        </w:tc>
        <w:tc>
          <w:tcPr>
            <w:tcW w:w="646" w:type="pct"/>
            <w:vAlign w:val="center"/>
          </w:tcPr>
          <w:p w14:paraId="559E726F" w14:textId="2CC98AED" w:rsidR="00A42255" w:rsidRPr="004D7F61" w:rsidRDefault="00C0674E" w:rsidP="00510454">
            <w:pPr>
              <w:pStyle w:val="COMTabletext"/>
              <w:keepNext w:val="0"/>
              <w:jc w:val="center"/>
              <w:rPr>
                <w:rFonts w:eastAsia="Calibri"/>
                <w:szCs w:val="20"/>
                <w:highlight w:val="darkGray"/>
              </w:rPr>
            </w:pPr>
            <w:r w:rsidRPr="00400174">
              <w:rPr>
                <w:rFonts w:eastAsia="Calibri" w:hint="eastAsia"/>
                <w:color w:val="000000"/>
                <w:w w:val="15"/>
                <w:szCs w:val="20"/>
                <w:shd w:val="solid" w:color="000000" w:fill="000000"/>
                <w:fitText w:val="10" w:id="-1301087735"/>
                <w14:textFill>
                  <w14:solidFill>
                    <w14:srgbClr w14:val="000000">
                      <w14:alpha w14:val="100000"/>
                    </w14:srgbClr>
                  </w14:solidFill>
                </w14:textFill>
              </w:rPr>
              <w:t xml:space="preserve">　</w:t>
            </w:r>
            <w:r w:rsidRPr="00400174">
              <w:rPr>
                <w:rFonts w:eastAsia="Calibri"/>
                <w:color w:val="000000"/>
                <w:w w:val="15"/>
                <w:szCs w:val="20"/>
                <w:shd w:val="solid" w:color="000000" w:fill="000000"/>
                <w:fitText w:val="10" w:id="-1301087735"/>
                <w14:textFill>
                  <w14:solidFill>
                    <w14:srgbClr w14:val="000000">
                      <w14:alpha w14:val="100000"/>
                    </w14:srgbClr>
                  </w14:solidFill>
                </w14:textFill>
              </w:rPr>
              <w:t>|</w:t>
            </w:r>
            <w:r w:rsidRPr="00400174">
              <w:rPr>
                <w:rFonts w:eastAsia="Calibri" w:hint="eastAsia"/>
                <w:color w:val="000000"/>
                <w:spacing w:val="-55"/>
                <w:w w:val="15"/>
                <w:szCs w:val="20"/>
                <w:shd w:val="solid" w:color="000000" w:fill="000000"/>
                <w:fitText w:val="10" w:id="-1301087735"/>
                <w14:textFill>
                  <w14:solidFill>
                    <w14:srgbClr w14:val="000000">
                      <w14:alpha w14:val="100000"/>
                    </w14:srgbClr>
                  </w14:solidFill>
                </w14:textFill>
              </w:rPr>
              <w:t xml:space="preserve">　</w:t>
            </w:r>
            <w:r w:rsidR="003013CE">
              <w:rPr>
                <w:vertAlign w:val="superscript"/>
              </w:rPr>
              <w:t>3</w:t>
            </w:r>
          </w:p>
        </w:tc>
        <w:tc>
          <w:tcPr>
            <w:tcW w:w="600" w:type="pct"/>
          </w:tcPr>
          <w:p w14:paraId="3A98EE2E" w14:textId="77777777" w:rsidR="00A42255" w:rsidRPr="0091151B" w:rsidRDefault="00A42255" w:rsidP="00510454">
            <w:pPr>
              <w:pStyle w:val="COMTabletext"/>
              <w:keepNext w:val="0"/>
              <w:jc w:val="center"/>
            </w:pPr>
            <w:r w:rsidRPr="00AC7C58">
              <w:t>38%</w:t>
            </w:r>
          </w:p>
        </w:tc>
      </w:tr>
      <w:tr w:rsidR="00A42255" w:rsidRPr="002E14F6" w14:paraId="629C1F67" w14:textId="77777777" w:rsidTr="00510454">
        <w:trPr>
          <w:trHeight w:val="54"/>
        </w:trPr>
        <w:tc>
          <w:tcPr>
            <w:tcW w:w="2277" w:type="pct"/>
          </w:tcPr>
          <w:p w14:paraId="5C928826" w14:textId="30597D1B" w:rsidR="00A42255" w:rsidRPr="00EC57D8" w:rsidRDefault="00A42255" w:rsidP="00510454">
            <w:pPr>
              <w:pStyle w:val="COMTabletext"/>
              <w:keepNext w:val="0"/>
              <w:rPr>
                <w:vertAlign w:val="superscript"/>
              </w:rPr>
            </w:pPr>
            <w:r w:rsidRPr="00EC57D8">
              <w:t>Risedronate EC adherence 90%</w:t>
            </w:r>
            <w:r w:rsidR="00776A57" w:rsidRPr="00EC57D8">
              <w:t xml:space="preserve"> </w:t>
            </w:r>
            <w:r w:rsidR="00776A57" w:rsidRPr="00EC57D8">
              <w:rPr>
                <w:vertAlign w:val="superscript"/>
              </w:rPr>
              <w:t>a</w:t>
            </w:r>
          </w:p>
        </w:tc>
        <w:tc>
          <w:tcPr>
            <w:tcW w:w="748" w:type="pct"/>
            <w:tcBorders>
              <w:bottom w:val="single" w:sz="4" w:space="0" w:color="auto"/>
            </w:tcBorders>
            <w:shd w:val="solid" w:color="000000" w:fill="000000"/>
            <w:vAlign w:val="center"/>
          </w:tcPr>
          <w:p w14:paraId="7C7E101D" w14:textId="064497B9" w:rsidR="00A42255" w:rsidRPr="004D7F61" w:rsidRDefault="00C0674E" w:rsidP="00510454">
            <w:pPr>
              <w:pStyle w:val="COMTabletext"/>
              <w:keepNext w:val="0"/>
              <w:jc w:val="center"/>
              <w:rPr>
                <w:rFonts w:eastAsia="Calibri"/>
                <w:szCs w:val="20"/>
                <w:highlight w:val="darkGray"/>
              </w:rPr>
            </w:pPr>
            <w:r w:rsidRPr="00C0674E">
              <w:rPr>
                <w:rFonts w:eastAsia="Calibri"/>
                <w:color w:val="000000"/>
                <w:szCs w:val="20"/>
                <w14:textFill>
                  <w14:solidFill>
                    <w14:srgbClr w14:val="000000">
                      <w14:alpha w14:val="100000"/>
                    </w14:srgbClr>
                  </w14:solidFill>
                </w14:textFill>
              </w:rPr>
              <w:t>|</w:t>
            </w:r>
          </w:p>
        </w:tc>
        <w:tc>
          <w:tcPr>
            <w:tcW w:w="729" w:type="pct"/>
            <w:vAlign w:val="center"/>
          </w:tcPr>
          <w:p w14:paraId="0B3D2179" w14:textId="77777777" w:rsidR="00A42255" w:rsidRPr="00EC57D8" w:rsidRDefault="00A42255" w:rsidP="00510454">
            <w:pPr>
              <w:pStyle w:val="COMTabletext"/>
              <w:keepNext w:val="0"/>
              <w:jc w:val="center"/>
              <w:rPr>
                <w:rFonts w:eastAsia="Calibri"/>
                <w:szCs w:val="20"/>
              </w:rPr>
            </w:pPr>
            <w:r w:rsidRPr="00EC57D8">
              <w:rPr>
                <w:rFonts w:eastAsia="Calibri"/>
                <w:szCs w:val="20"/>
              </w:rPr>
              <w:t>0.044</w:t>
            </w:r>
          </w:p>
        </w:tc>
        <w:tc>
          <w:tcPr>
            <w:tcW w:w="646" w:type="pct"/>
            <w:vAlign w:val="center"/>
          </w:tcPr>
          <w:p w14:paraId="4339D907" w14:textId="722F2E28" w:rsidR="00A42255" w:rsidRPr="004D7F61" w:rsidRDefault="00C0674E" w:rsidP="00510454">
            <w:pPr>
              <w:pStyle w:val="COMTabletext"/>
              <w:keepNext w:val="0"/>
              <w:jc w:val="center"/>
              <w:rPr>
                <w:rFonts w:eastAsia="Calibri"/>
                <w:szCs w:val="20"/>
                <w:highlight w:val="darkGray"/>
              </w:rPr>
            </w:pPr>
            <w:r w:rsidRPr="00400174">
              <w:rPr>
                <w:rFonts w:eastAsia="Calibri" w:hint="eastAsia"/>
                <w:color w:val="000000"/>
                <w:w w:val="15"/>
                <w:szCs w:val="20"/>
                <w:shd w:val="solid" w:color="000000" w:fill="000000"/>
                <w:fitText w:val="10" w:id="-1301087488"/>
                <w14:textFill>
                  <w14:solidFill>
                    <w14:srgbClr w14:val="000000">
                      <w14:alpha w14:val="100000"/>
                    </w14:srgbClr>
                  </w14:solidFill>
                </w14:textFill>
              </w:rPr>
              <w:t xml:space="preserve">　</w:t>
            </w:r>
            <w:r w:rsidRPr="00400174">
              <w:rPr>
                <w:rFonts w:eastAsia="Calibri"/>
                <w:color w:val="000000"/>
                <w:w w:val="15"/>
                <w:szCs w:val="20"/>
                <w:shd w:val="solid" w:color="000000" w:fill="000000"/>
                <w:fitText w:val="10" w:id="-1301087488"/>
                <w14:textFill>
                  <w14:solidFill>
                    <w14:srgbClr w14:val="000000">
                      <w14:alpha w14:val="100000"/>
                    </w14:srgbClr>
                  </w14:solidFill>
                </w14:textFill>
              </w:rPr>
              <w:t>|</w:t>
            </w:r>
            <w:r w:rsidRPr="00400174">
              <w:rPr>
                <w:rFonts w:eastAsia="Calibri" w:hint="eastAsia"/>
                <w:color w:val="000000"/>
                <w:spacing w:val="-55"/>
                <w:w w:val="15"/>
                <w:szCs w:val="20"/>
                <w:shd w:val="solid" w:color="000000" w:fill="000000"/>
                <w:fitText w:val="10" w:id="-1301087488"/>
                <w14:textFill>
                  <w14:solidFill>
                    <w14:srgbClr w14:val="000000">
                      <w14:alpha w14:val="100000"/>
                    </w14:srgbClr>
                  </w14:solidFill>
                </w14:textFill>
              </w:rPr>
              <w:t xml:space="preserve">　</w:t>
            </w:r>
            <w:r w:rsidR="003013CE">
              <w:rPr>
                <w:vertAlign w:val="superscript"/>
              </w:rPr>
              <w:t>7</w:t>
            </w:r>
          </w:p>
        </w:tc>
        <w:tc>
          <w:tcPr>
            <w:tcW w:w="600" w:type="pct"/>
            <w:vAlign w:val="center"/>
          </w:tcPr>
          <w:p w14:paraId="1D47B29E" w14:textId="77777777" w:rsidR="00A42255" w:rsidRPr="0091151B" w:rsidRDefault="00A42255" w:rsidP="00510454">
            <w:pPr>
              <w:pStyle w:val="COMTabletext"/>
              <w:keepNext w:val="0"/>
              <w:jc w:val="center"/>
              <w:rPr>
                <w:rFonts w:eastAsia="Calibri"/>
                <w:szCs w:val="20"/>
              </w:rPr>
            </w:pPr>
            <w:r w:rsidRPr="00AC7C58">
              <w:t>142%</w:t>
            </w:r>
          </w:p>
        </w:tc>
      </w:tr>
      <w:tr w:rsidR="00A42255" w:rsidRPr="002E14F6" w14:paraId="55089639" w14:textId="77777777" w:rsidTr="00510454">
        <w:trPr>
          <w:trHeight w:val="54"/>
        </w:trPr>
        <w:tc>
          <w:tcPr>
            <w:tcW w:w="2277" w:type="pct"/>
          </w:tcPr>
          <w:p w14:paraId="1A6DA19D" w14:textId="388339A3" w:rsidR="00A42255" w:rsidRPr="00EC57D8" w:rsidRDefault="00A42255" w:rsidP="00510454">
            <w:pPr>
              <w:pStyle w:val="COMTabletext"/>
              <w:keepNext w:val="0"/>
              <w:rPr>
                <w:vertAlign w:val="superscript"/>
              </w:rPr>
            </w:pPr>
            <w:r w:rsidRPr="00EC57D8">
              <w:t>Risedronate EC adherence 70%</w:t>
            </w:r>
            <w:r w:rsidR="00776A57" w:rsidRPr="00EC57D8">
              <w:t xml:space="preserve"> </w:t>
            </w:r>
            <w:r w:rsidR="00776A57" w:rsidRPr="00EC57D8">
              <w:rPr>
                <w:vertAlign w:val="superscript"/>
              </w:rPr>
              <w:t>a</w:t>
            </w:r>
          </w:p>
        </w:tc>
        <w:tc>
          <w:tcPr>
            <w:tcW w:w="748" w:type="pct"/>
            <w:shd w:val="solid" w:color="000000" w:fill="000000"/>
            <w:vAlign w:val="center"/>
          </w:tcPr>
          <w:p w14:paraId="7ADDCCCA" w14:textId="418C3CB8" w:rsidR="00A42255" w:rsidRPr="004D7F61" w:rsidRDefault="00C0674E" w:rsidP="00510454">
            <w:pPr>
              <w:pStyle w:val="COMTabletext"/>
              <w:keepNext w:val="0"/>
              <w:jc w:val="center"/>
              <w:rPr>
                <w:rFonts w:eastAsia="Calibri"/>
                <w:szCs w:val="20"/>
                <w:highlight w:val="darkGray"/>
              </w:rPr>
            </w:pPr>
            <w:r w:rsidRPr="00C0674E">
              <w:rPr>
                <w:rFonts w:eastAsia="Calibri"/>
                <w:color w:val="000000"/>
                <w:szCs w:val="20"/>
                <w14:textFill>
                  <w14:solidFill>
                    <w14:srgbClr w14:val="000000">
                      <w14:alpha w14:val="100000"/>
                    </w14:srgbClr>
                  </w14:solidFill>
                </w14:textFill>
              </w:rPr>
              <w:t>|</w:t>
            </w:r>
          </w:p>
        </w:tc>
        <w:tc>
          <w:tcPr>
            <w:tcW w:w="729" w:type="pct"/>
            <w:vAlign w:val="center"/>
          </w:tcPr>
          <w:p w14:paraId="2A064989" w14:textId="77777777" w:rsidR="00A42255" w:rsidRPr="00EC57D8" w:rsidRDefault="00A42255" w:rsidP="00510454">
            <w:pPr>
              <w:pStyle w:val="COMTabletext"/>
              <w:keepNext w:val="0"/>
              <w:jc w:val="center"/>
              <w:rPr>
                <w:rFonts w:eastAsia="Calibri"/>
                <w:szCs w:val="20"/>
              </w:rPr>
            </w:pPr>
            <w:r w:rsidRPr="00EC57D8">
              <w:rPr>
                <w:rFonts w:eastAsia="Calibri"/>
                <w:szCs w:val="20"/>
              </w:rPr>
              <w:t>0.044</w:t>
            </w:r>
          </w:p>
        </w:tc>
        <w:tc>
          <w:tcPr>
            <w:tcW w:w="646" w:type="pct"/>
            <w:vAlign w:val="center"/>
          </w:tcPr>
          <w:p w14:paraId="4E3FD2D4" w14:textId="49A51329" w:rsidR="00A42255" w:rsidRPr="004D7F61" w:rsidRDefault="00C0674E" w:rsidP="00510454">
            <w:pPr>
              <w:pStyle w:val="COMTabletext"/>
              <w:keepNext w:val="0"/>
              <w:jc w:val="center"/>
              <w:rPr>
                <w:rFonts w:eastAsia="Calibri"/>
                <w:szCs w:val="20"/>
                <w:highlight w:val="darkGray"/>
              </w:rPr>
            </w:pPr>
            <w:r w:rsidRPr="00400174">
              <w:rPr>
                <w:rFonts w:eastAsia="Calibri" w:hint="eastAsia"/>
                <w:color w:val="000000"/>
                <w:w w:val="15"/>
                <w:szCs w:val="20"/>
                <w:shd w:val="solid" w:color="000000" w:fill="000000"/>
                <w:fitText w:val="10" w:id="-1301087487"/>
                <w14:textFill>
                  <w14:solidFill>
                    <w14:srgbClr w14:val="000000">
                      <w14:alpha w14:val="100000"/>
                    </w14:srgbClr>
                  </w14:solidFill>
                </w14:textFill>
              </w:rPr>
              <w:t xml:space="preserve">　</w:t>
            </w:r>
            <w:r w:rsidRPr="00400174">
              <w:rPr>
                <w:rFonts w:eastAsia="Calibri"/>
                <w:color w:val="000000"/>
                <w:w w:val="15"/>
                <w:szCs w:val="20"/>
                <w:shd w:val="solid" w:color="000000" w:fill="000000"/>
                <w:fitText w:val="10" w:id="-1301087487"/>
                <w14:textFill>
                  <w14:solidFill>
                    <w14:srgbClr w14:val="000000">
                      <w14:alpha w14:val="100000"/>
                    </w14:srgbClr>
                  </w14:solidFill>
                </w14:textFill>
              </w:rPr>
              <w:t>|</w:t>
            </w:r>
            <w:r w:rsidRPr="00400174">
              <w:rPr>
                <w:rFonts w:eastAsia="Calibri" w:hint="eastAsia"/>
                <w:color w:val="000000"/>
                <w:spacing w:val="-55"/>
                <w:w w:val="15"/>
                <w:szCs w:val="20"/>
                <w:shd w:val="solid" w:color="000000" w:fill="000000"/>
                <w:fitText w:val="10" w:id="-1301087487"/>
                <w14:textFill>
                  <w14:solidFill>
                    <w14:srgbClr w14:val="000000">
                      <w14:alpha w14:val="100000"/>
                    </w14:srgbClr>
                  </w14:solidFill>
                </w14:textFill>
              </w:rPr>
              <w:t xml:space="preserve">　</w:t>
            </w:r>
            <w:r w:rsidR="003013CE">
              <w:rPr>
                <w:vertAlign w:val="superscript"/>
              </w:rPr>
              <w:t>1</w:t>
            </w:r>
          </w:p>
        </w:tc>
        <w:tc>
          <w:tcPr>
            <w:tcW w:w="600" w:type="pct"/>
            <w:vAlign w:val="center"/>
          </w:tcPr>
          <w:p w14:paraId="0187E27D" w14:textId="77777777" w:rsidR="00A42255" w:rsidRPr="0091151B" w:rsidRDefault="00A42255" w:rsidP="00510454">
            <w:pPr>
              <w:pStyle w:val="COMTabletext"/>
              <w:keepNext w:val="0"/>
              <w:jc w:val="center"/>
              <w:rPr>
                <w:rFonts w:eastAsia="Calibri"/>
                <w:szCs w:val="20"/>
              </w:rPr>
            </w:pPr>
            <w:r w:rsidRPr="00AC7C58">
              <w:t>-47%</w:t>
            </w:r>
          </w:p>
        </w:tc>
      </w:tr>
      <w:tr w:rsidR="00141D75" w:rsidRPr="00141D75" w14:paraId="251D5698" w14:textId="77777777" w:rsidTr="00510454">
        <w:trPr>
          <w:trHeight w:val="54"/>
        </w:trPr>
        <w:tc>
          <w:tcPr>
            <w:tcW w:w="5000" w:type="pct"/>
            <w:gridSpan w:val="5"/>
          </w:tcPr>
          <w:p w14:paraId="7E552FF2" w14:textId="0307C708" w:rsidR="00141D75" w:rsidRPr="00EC57D8" w:rsidRDefault="00141D75" w:rsidP="00510454">
            <w:pPr>
              <w:rPr>
                <w:rFonts w:cstheme="minorBidi"/>
                <w:b/>
                <w:szCs w:val="20"/>
              </w:rPr>
            </w:pPr>
            <w:r w:rsidRPr="00EC57D8">
              <w:rPr>
                <w:rFonts w:ascii="Arial Narrow" w:hAnsi="Arial Narrow" w:cstheme="minorBidi"/>
                <w:b/>
                <w:bCs/>
                <w:sz w:val="20"/>
                <w:szCs w:val="20"/>
              </w:rPr>
              <w:t>First year fracture costs (base case hip fracture: $41,626, non-hip fracture: $11,170)</w:t>
            </w:r>
          </w:p>
        </w:tc>
      </w:tr>
      <w:tr w:rsidR="00141D75" w:rsidRPr="002E14F6" w14:paraId="4DC8EAB0" w14:textId="77777777" w:rsidTr="00510454">
        <w:trPr>
          <w:trHeight w:val="54"/>
        </w:trPr>
        <w:tc>
          <w:tcPr>
            <w:tcW w:w="2277" w:type="pct"/>
          </w:tcPr>
          <w:p w14:paraId="589B8C32" w14:textId="71F0CA53" w:rsidR="00141D75" w:rsidRPr="00AC7C58" w:rsidRDefault="00141D75" w:rsidP="00510454">
            <w:pPr>
              <w:pStyle w:val="COMTabletext"/>
              <w:keepNext w:val="0"/>
            </w:pPr>
            <w:r w:rsidRPr="00404B50">
              <w:t>20% decrease in hip fracture costs</w:t>
            </w:r>
          </w:p>
        </w:tc>
        <w:tc>
          <w:tcPr>
            <w:tcW w:w="748" w:type="pct"/>
            <w:tcBorders>
              <w:bottom w:val="single" w:sz="4" w:space="0" w:color="auto"/>
            </w:tcBorders>
            <w:shd w:val="solid" w:color="000000" w:fill="000000"/>
          </w:tcPr>
          <w:p w14:paraId="625E4AC8" w14:textId="3F72A79A" w:rsidR="00141D75" w:rsidRPr="004D7F61" w:rsidRDefault="00C0674E" w:rsidP="00510454">
            <w:pPr>
              <w:pStyle w:val="COMTabletext"/>
              <w:keepNext w:val="0"/>
              <w:jc w:val="center"/>
              <w:rPr>
                <w:rFonts w:eastAsia="Calibri"/>
                <w:szCs w:val="20"/>
                <w:highlight w:val="darkGray"/>
              </w:rPr>
            </w:pPr>
            <w:r w:rsidRPr="00C0674E">
              <w:rPr>
                <w:color w:val="000000"/>
                <w14:textFill>
                  <w14:solidFill>
                    <w14:srgbClr w14:val="000000">
                      <w14:alpha w14:val="100000"/>
                    </w14:srgbClr>
                  </w14:solidFill>
                </w14:textFill>
              </w:rPr>
              <w:t>|</w:t>
            </w:r>
          </w:p>
        </w:tc>
        <w:tc>
          <w:tcPr>
            <w:tcW w:w="729" w:type="pct"/>
          </w:tcPr>
          <w:p w14:paraId="5667B4B8" w14:textId="2B4E1D0D" w:rsidR="00141D75" w:rsidRPr="00AC7C58" w:rsidRDefault="00141D75" w:rsidP="00510454">
            <w:pPr>
              <w:pStyle w:val="COMTabletext"/>
              <w:keepNext w:val="0"/>
              <w:jc w:val="center"/>
              <w:rPr>
                <w:rFonts w:eastAsia="Calibri"/>
                <w:szCs w:val="20"/>
              </w:rPr>
            </w:pPr>
            <w:r w:rsidRPr="00404B50">
              <w:t>0.044</w:t>
            </w:r>
          </w:p>
        </w:tc>
        <w:tc>
          <w:tcPr>
            <w:tcW w:w="646" w:type="pct"/>
          </w:tcPr>
          <w:p w14:paraId="638CDD6B" w14:textId="249CB4E5" w:rsidR="00141D75" w:rsidRPr="004D7F61" w:rsidRDefault="00C0674E" w:rsidP="00510454">
            <w:pPr>
              <w:pStyle w:val="COMTabletext"/>
              <w:keepNext w:val="0"/>
              <w:jc w:val="center"/>
              <w:rPr>
                <w:rFonts w:eastAsia="Calibri"/>
                <w:szCs w:val="20"/>
                <w:highlight w:val="darkGray"/>
              </w:rPr>
            </w:pPr>
            <w:r w:rsidRPr="00400174">
              <w:rPr>
                <w:rFonts w:hint="eastAsia"/>
                <w:color w:val="000000"/>
                <w:w w:val="15"/>
                <w:shd w:val="solid" w:color="000000" w:fill="000000"/>
                <w:fitText w:val="10" w:id="-1301087486"/>
                <w14:textFill>
                  <w14:solidFill>
                    <w14:srgbClr w14:val="000000">
                      <w14:alpha w14:val="100000"/>
                    </w14:srgbClr>
                  </w14:solidFill>
                </w14:textFill>
              </w:rPr>
              <w:t xml:space="preserve">　</w:t>
            </w:r>
            <w:r w:rsidRPr="00400174">
              <w:rPr>
                <w:color w:val="000000"/>
                <w:w w:val="15"/>
                <w:shd w:val="solid" w:color="000000" w:fill="000000"/>
                <w:fitText w:val="10" w:id="-1301087486"/>
                <w14:textFill>
                  <w14:solidFill>
                    <w14:srgbClr w14:val="000000">
                      <w14:alpha w14:val="100000"/>
                    </w14:srgbClr>
                  </w14:solidFill>
                </w14:textFill>
              </w:rPr>
              <w:t>|</w:t>
            </w:r>
            <w:r w:rsidRPr="00400174">
              <w:rPr>
                <w:rFonts w:hint="eastAsia"/>
                <w:color w:val="000000"/>
                <w:spacing w:val="-55"/>
                <w:w w:val="15"/>
                <w:shd w:val="solid" w:color="000000" w:fill="000000"/>
                <w:fitText w:val="10" w:id="-1301087486"/>
                <w14:textFill>
                  <w14:solidFill>
                    <w14:srgbClr w14:val="000000">
                      <w14:alpha w14:val="100000"/>
                    </w14:srgbClr>
                  </w14:solidFill>
                </w14:textFill>
              </w:rPr>
              <w:t xml:space="preserve">　</w:t>
            </w:r>
            <w:r w:rsidR="003013CE">
              <w:rPr>
                <w:vertAlign w:val="superscript"/>
              </w:rPr>
              <w:t>1</w:t>
            </w:r>
          </w:p>
        </w:tc>
        <w:tc>
          <w:tcPr>
            <w:tcW w:w="600" w:type="pct"/>
          </w:tcPr>
          <w:p w14:paraId="2E174543" w14:textId="6E2F8203" w:rsidR="00141D75" w:rsidRPr="00AC7C58" w:rsidRDefault="00141D75" w:rsidP="00510454">
            <w:pPr>
              <w:pStyle w:val="COMTabletext"/>
              <w:keepNext w:val="0"/>
              <w:jc w:val="center"/>
            </w:pPr>
            <w:r w:rsidRPr="00404B50">
              <w:t>21%</w:t>
            </w:r>
          </w:p>
        </w:tc>
      </w:tr>
      <w:tr w:rsidR="00141D75" w:rsidRPr="002E14F6" w14:paraId="4060784D" w14:textId="77777777" w:rsidTr="00510454">
        <w:trPr>
          <w:trHeight w:val="54"/>
        </w:trPr>
        <w:tc>
          <w:tcPr>
            <w:tcW w:w="2277" w:type="pct"/>
          </w:tcPr>
          <w:p w14:paraId="27AD6E16" w14:textId="2F9B97DD" w:rsidR="00141D75" w:rsidRPr="00AC7C58" w:rsidRDefault="00141D75" w:rsidP="00510454">
            <w:pPr>
              <w:pStyle w:val="COMTabletext"/>
              <w:keepNext w:val="0"/>
            </w:pPr>
            <w:r w:rsidRPr="00404B50">
              <w:t>20% increase in hip fracture costs</w:t>
            </w:r>
          </w:p>
        </w:tc>
        <w:tc>
          <w:tcPr>
            <w:tcW w:w="748" w:type="pct"/>
            <w:tcBorders>
              <w:bottom w:val="single" w:sz="4" w:space="0" w:color="auto"/>
            </w:tcBorders>
            <w:shd w:val="solid" w:color="000000" w:fill="000000"/>
          </w:tcPr>
          <w:p w14:paraId="43650368" w14:textId="7C77C38A" w:rsidR="00141D75" w:rsidRPr="004D7F61" w:rsidRDefault="00C0674E" w:rsidP="00510454">
            <w:pPr>
              <w:pStyle w:val="COMTabletext"/>
              <w:keepNext w:val="0"/>
              <w:jc w:val="center"/>
              <w:rPr>
                <w:rFonts w:eastAsia="Calibri"/>
                <w:szCs w:val="20"/>
                <w:highlight w:val="darkGray"/>
              </w:rPr>
            </w:pPr>
            <w:r w:rsidRPr="00C0674E">
              <w:rPr>
                <w:color w:val="000000"/>
                <w14:textFill>
                  <w14:solidFill>
                    <w14:srgbClr w14:val="000000">
                      <w14:alpha w14:val="100000"/>
                    </w14:srgbClr>
                  </w14:solidFill>
                </w14:textFill>
              </w:rPr>
              <w:t>|</w:t>
            </w:r>
          </w:p>
        </w:tc>
        <w:tc>
          <w:tcPr>
            <w:tcW w:w="729" w:type="pct"/>
          </w:tcPr>
          <w:p w14:paraId="15407637" w14:textId="354D8EE7" w:rsidR="00141D75" w:rsidRPr="00AC7C58" w:rsidRDefault="00141D75" w:rsidP="00510454">
            <w:pPr>
              <w:pStyle w:val="COMTabletext"/>
              <w:keepNext w:val="0"/>
              <w:jc w:val="center"/>
              <w:rPr>
                <w:rFonts w:eastAsia="Calibri"/>
                <w:szCs w:val="20"/>
              </w:rPr>
            </w:pPr>
            <w:r w:rsidRPr="00404B50">
              <w:t>0.044</w:t>
            </w:r>
          </w:p>
        </w:tc>
        <w:tc>
          <w:tcPr>
            <w:tcW w:w="646" w:type="pct"/>
          </w:tcPr>
          <w:p w14:paraId="6503CFC1" w14:textId="111FD94E" w:rsidR="00141D75" w:rsidRPr="004D7F61" w:rsidRDefault="00C0674E" w:rsidP="00510454">
            <w:pPr>
              <w:pStyle w:val="COMTabletext"/>
              <w:keepNext w:val="0"/>
              <w:jc w:val="center"/>
              <w:rPr>
                <w:rFonts w:eastAsia="Calibri"/>
                <w:szCs w:val="20"/>
                <w:highlight w:val="darkGray"/>
              </w:rPr>
            </w:pPr>
            <w:r w:rsidRPr="00400174">
              <w:rPr>
                <w:rFonts w:hint="eastAsia"/>
                <w:color w:val="000000"/>
                <w:w w:val="15"/>
                <w:shd w:val="solid" w:color="000000" w:fill="000000"/>
                <w:fitText w:val="10" w:id="-1301087485"/>
                <w14:textFill>
                  <w14:solidFill>
                    <w14:srgbClr w14:val="000000">
                      <w14:alpha w14:val="100000"/>
                    </w14:srgbClr>
                  </w14:solidFill>
                </w14:textFill>
              </w:rPr>
              <w:t xml:space="preserve">　</w:t>
            </w:r>
            <w:r w:rsidRPr="00400174">
              <w:rPr>
                <w:color w:val="000000"/>
                <w:w w:val="15"/>
                <w:shd w:val="solid" w:color="000000" w:fill="000000"/>
                <w:fitText w:val="10" w:id="-1301087485"/>
                <w14:textFill>
                  <w14:solidFill>
                    <w14:srgbClr w14:val="000000">
                      <w14:alpha w14:val="100000"/>
                    </w14:srgbClr>
                  </w14:solidFill>
                </w14:textFill>
              </w:rPr>
              <w:t>|</w:t>
            </w:r>
            <w:r w:rsidRPr="00400174">
              <w:rPr>
                <w:rFonts w:hint="eastAsia"/>
                <w:color w:val="000000"/>
                <w:spacing w:val="-55"/>
                <w:w w:val="15"/>
                <w:shd w:val="solid" w:color="000000" w:fill="000000"/>
                <w:fitText w:val="10" w:id="-1301087485"/>
                <w14:textFill>
                  <w14:solidFill>
                    <w14:srgbClr w14:val="000000">
                      <w14:alpha w14:val="100000"/>
                    </w14:srgbClr>
                  </w14:solidFill>
                </w14:textFill>
              </w:rPr>
              <w:t xml:space="preserve">　</w:t>
            </w:r>
            <w:r w:rsidR="003013CE">
              <w:rPr>
                <w:vertAlign w:val="superscript"/>
              </w:rPr>
              <w:t>1</w:t>
            </w:r>
          </w:p>
        </w:tc>
        <w:tc>
          <w:tcPr>
            <w:tcW w:w="600" w:type="pct"/>
          </w:tcPr>
          <w:p w14:paraId="5E460CA8" w14:textId="13A1AA9A" w:rsidR="00141D75" w:rsidRPr="00AC7C58" w:rsidRDefault="00141D75" w:rsidP="00510454">
            <w:pPr>
              <w:pStyle w:val="COMTabletext"/>
              <w:keepNext w:val="0"/>
              <w:jc w:val="center"/>
            </w:pPr>
            <w:r w:rsidRPr="00404B50">
              <w:t>-21%</w:t>
            </w:r>
          </w:p>
        </w:tc>
      </w:tr>
      <w:tr w:rsidR="00141D75" w:rsidRPr="002E14F6" w14:paraId="4E6B72DA" w14:textId="77777777" w:rsidTr="00510454">
        <w:trPr>
          <w:trHeight w:val="54"/>
        </w:trPr>
        <w:tc>
          <w:tcPr>
            <w:tcW w:w="2277" w:type="pct"/>
          </w:tcPr>
          <w:p w14:paraId="0EA8F345" w14:textId="3C1A8FB7" w:rsidR="00141D75" w:rsidRPr="00AC7C58" w:rsidRDefault="00141D75" w:rsidP="00510454">
            <w:pPr>
              <w:pStyle w:val="COMTabletext"/>
              <w:keepNext w:val="0"/>
            </w:pPr>
            <w:r w:rsidRPr="00404B50">
              <w:t>20% decrease in non-hip fracture costs</w:t>
            </w:r>
          </w:p>
        </w:tc>
        <w:tc>
          <w:tcPr>
            <w:tcW w:w="748" w:type="pct"/>
            <w:tcBorders>
              <w:bottom w:val="single" w:sz="4" w:space="0" w:color="auto"/>
            </w:tcBorders>
            <w:shd w:val="solid" w:color="000000" w:fill="000000"/>
          </w:tcPr>
          <w:p w14:paraId="02894B54" w14:textId="3EAE924B" w:rsidR="00141D75" w:rsidRPr="004D7F61" w:rsidRDefault="00C0674E" w:rsidP="00510454">
            <w:pPr>
              <w:pStyle w:val="COMTabletext"/>
              <w:keepNext w:val="0"/>
              <w:jc w:val="center"/>
              <w:rPr>
                <w:rFonts w:eastAsia="Calibri"/>
                <w:szCs w:val="20"/>
                <w:highlight w:val="darkGray"/>
              </w:rPr>
            </w:pPr>
            <w:r w:rsidRPr="00C0674E">
              <w:rPr>
                <w:color w:val="000000"/>
                <w14:textFill>
                  <w14:solidFill>
                    <w14:srgbClr w14:val="000000">
                      <w14:alpha w14:val="100000"/>
                    </w14:srgbClr>
                  </w14:solidFill>
                </w14:textFill>
              </w:rPr>
              <w:t>|</w:t>
            </w:r>
          </w:p>
        </w:tc>
        <w:tc>
          <w:tcPr>
            <w:tcW w:w="729" w:type="pct"/>
          </w:tcPr>
          <w:p w14:paraId="681B7DE6" w14:textId="70CDED7C" w:rsidR="00141D75" w:rsidRPr="00AC7C58" w:rsidRDefault="00141D75" w:rsidP="00510454">
            <w:pPr>
              <w:pStyle w:val="COMTabletext"/>
              <w:keepNext w:val="0"/>
              <w:jc w:val="center"/>
              <w:rPr>
                <w:rFonts w:eastAsia="Calibri"/>
                <w:szCs w:val="20"/>
              </w:rPr>
            </w:pPr>
            <w:r w:rsidRPr="00404B50">
              <w:t>0.044</w:t>
            </w:r>
          </w:p>
        </w:tc>
        <w:tc>
          <w:tcPr>
            <w:tcW w:w="646" w:type="pct"/>
          </w:tcPr>
          <w:p w14:paraId="01B9DD18" w14:textId="0B5489C6" w:rsidR="00141D75" w:rsidRPr="004D7F61" w:rsidRDefault="00C0674E" w:rsidP="00510454">
            <w:pPr>
              <w:pStyle w:val="COMTabletext"/>
              <w:keepNext w:val="0"/>
              <w:jc w:val="center"/>
              <w:rPr>
                <w:rFonts w:eastAsia="Calibri"/>
                <w:szCs w:val="20"/>
                <w:highlight w:val="darkGray"/>
              </w:rPr>
            </w:pPr>
            <w:r w:rsidRPr="00400174">
              <w:rPr>
                <w:rFonts w:hint="eastAsia"/>
                <w:color w:val="000000"/>
                <w:w w:val="15"/>
                <w:shd w:val="solid" w:color="000000" w:fill="000000"/>
                <w:fitText w:val="10" w:id="-1301087484"/>
                <w14:textFill>
                  <w14:solidFill>
                    <w14:srgbClr w14:val="000000">
                      <w14:alpha w14:val="100000"/>
                    </w14:srgbClr>
                  </w14:solidFill>
                </w14:textFill>
              </w:rPr>
              <w:t xml:space="preserve">　</w:t>
            </w:r>
            <w:r w:rsidRPr="00400174">
              <w:rPr>
                <w:color w:val="000000"/>
                <w:w w:val="15"/>
                <w:shd w:val="solid" w:color="000000" w:fill="000000"/>
                <w:fitText w:val="10" w:id="-1301087484"/>
                <w14:textFill>
                  <w14:solidFill>
                    <w14:srgbClr w14:val="000000">
                      <w14:alpha w14:val="100000"/>
                    </w14:srgbClr>
                  </w14:solidFill>
                </w14:textFill>
              </w:rPr>
              <w:t>|</w:t>
            </w:r>
            <w:r w:rsidRPr="00400174">
              <w:rPr>
                <w:rFonts w:hint="eastAsia"/>
                <w:color w:val="000000"/>
                <w:spacing w:val="-55"/>
                <w:w w:val="15"/>
                <w:shd w:val="solid" w:color="000000" w:fill="000000"/>
                <w:fitText w:val="10" w:id="-1301087484"/>
                <w14:textFill>
                  <w14:solidFill>
                    <w14:srgbClr w14:val="000000">
                      <w14:alpha w14:val="100000"/>
                    </w14:srgbClr>
                  </w14:solidFill>
                </w14:textFill>
              </w:rPr>
              <w:t xml:space="preserve">　</w:t>
            </w:r>
            <w:r w:rsidR="003013CE">
              <w:rPr>
                <w:vertAlign w:val="superscript"/>
              </w:rPr>
              <w:t>1</w:t>
            </w:r>
          </w:p>
        </w:tc>
        <w:tc>
          <w:tcPr>
            <w:tcW w:w="600" w:type="pct"/>
          </w:tcPr>
          <w:p w14:paraId="5263817D" w14:textId="0F8F9EDE" w:rsidR="00141D75" w:rsidRPr="00AC7C58" w:rsidRDefault="00141D75" w:rsidP="00510454">
            <w:pPr>
              <w:pStyle w:val="COMTabletext"/>
              <w:keepNext w:val="0"/>
              <w:jc w:val="center"/>
            </w:pPr>
            <w:r w:rsidRPr="00404B50">
              <w:t>11%</w:t>
            </w:r>
          </w:p>
        </w:tc>
      </w:tr>
      <w:tr w:rsidR="00141D75" w:rsidRPr="002E14F6" w14:paraId="22810484" w14:textId="77777777" w:rsidTr="00510454">
        <w:trPr>
          <w:trHeight w:val="54"/>
        </w:trPr>
        <w:tc>
          <w:tcPr>
            <w:tcW w:w="2277" w:type="pct"/>
          </w:tcPr>
          <w:p w14:paraId="31E17E5D" w14:textId="13CE7222" w:rsidR="00141D75" w:rsidRPr="00AC7C58" w:rsidRDefault="00141D75" w:rsidP="00510454">
            <w:pPr>
              <w:pStyle w:val="COMTabletext"/>
              <w:keepNext w:val="0"/>
            </w:pPr>
            <w:r w:rsidRPr="00404B50">
              <w:t>20% increase in non-hip fracture costs</w:t>
            </w:r>
          </w:p>
        </w:tc>
        <w:tc>
          <w:tcPr>
            <w:tcW w:w="748" w:type="pct"/>
            <w:tcBorders>
              <w:bottom w:val="single" w:sz="4" w:space="0" w:color="auto"/>
            </w:tcBorders>
            <w:shd w:val="solid" w:color="000000" w:fill="000000"/>
          </w:tcPr>
          <w:p w14:paraId="32B98D3A" w14:textId="312EEC93" w:rsidR="00141D75" w:rsidRPr="004D7F61" w:rsidRDefault="00C0674E" w:rsidP="00510454">
            <w:pPr>
              <w:pStyle w:val="COMTabletext"/>
              <w:keepNext w:val="0"/>
              <w:jc w:val="center"/>
              <w:rPr>
                <w:rFonts w:eastAsia="Calibri"/>
                <w:szCs w:val="20"/>
                <w:highlight w:val="darkGray"/>
              </w:rPr>
            </w:pPr>
            <w:r w:rsidRPr="00C0674E">
              <w:rPr>
                <w:color w:val="000000"/>
                <w14:textFill>
                  <w14:solidFill>
                    <w14:srgbClr w14:val="000000">
                      <w14:alpha w14:val="100000"/>
                    </w14:srgbClr>
                  </w14:solidFill>
                </w14:textFill>
              </w:rPr>
              <w:t>|</w:t>
            </w:r>
          </w:p>
        </w:tc>
        <w:tc>
          <w:tcPr>
            <w:tcW w:w="729" w:type="pct"/>
          </w:tcPr>
          <w:p w14:paraId="136BC2F0" w14:textId="1BAA84CF" w:rsidR="00141D75" w:rsidRPr="00AC7C58" w:rsidRDefault="00141D75" w:rsidP="00510454">
            <w:pPr>
              <w:pStyle w:val="COMTabletext"/>
              <w:keepNext w:val="0"/>
              <w:jc w:val="center"/>
              <w:rPr>
                <w:rFonts w:eastAsia="Calibri"/>
                <w:szCs w:val="20"/>
              </w:rPr>
            </w:pPr>
            <w:r w:rsidRPr="00404B50">
              <w:t>0.044</w:t>
            </w:r>
          </w:p>
        </w:tc>
        <w:tc>
          <w:tcPr>
            <w:tcW w:w="646" w:type="pct"/>
          </w:tcPr>
          <w:p w14:paraId="28223500" w14:textId="75DB3033" w:rsidR="00141D75" w:rsidRPr="004D7F61" w:rsidRDefault="00C0674E" w:rsidP="00510454">
            <w:pPr>
              <w:pStyle w:val="COMTabletext"/>
              <w:keepNext w:val="0"/>
              <w:jc w:val="center"/>
              <w:rPr>
                <w:rFonts w:eastAsia="Calibri"/>
                <w:szCs w:val="20"/>
                <w:highlight w:val="darkGray"/>
              </w:rPr>
            </w:pPr>
            <w:r w:rsidRPr="00400174">
              <w:rPr>
                <w:rFonts w:hint="eastAsia"/>
                <w:color w:val="000000"/>
                <w:w w:val="15"/>
                <w:shd w:val="solid" w:color="000000" w:fill="000000"/>
                <w:fitText w:val="10" w:id="-1301087483"/>
                <w14:textFill>
                  <w14:solidFill>
                    <w14:srgbClr w14:val="000000">
                      <w14:alpha w14:val="100000"/>
                    </w14:srgbClr>
                  </w14:solidFill>
                </w14:textFill>
              </w:rPr>
              <w:t xml:space="preserve">　</w:t>
            </w:r>
            <w:r w:rsidRPr="00400174">
              <w:rPr>
                <w:color w:val="000000"/>
                <w:w w:val="15"/>
                <w:shd w:val="solid" w:color="000000" w:fill="000000"/>
                <w:fitText w:val="10" w:id="-1301087483"/>
                <w14:textFill>
                  <w14:solidFill>
                    <w14:srgbClr w14:val="000000">
                      <w14:alpha w14:val="100000"/>
                    </w14:srgbClr>
                  </w14:solidFill>
                </w14:textFill>
              </w:rPr>
              <w:t>|</w:t>
            </w:r>
            <w:r w:rsidRPr="00400174">
              <w:rPr>
                <w:rFonts w:hint="eastAsia"/>
                <w:color w:val="000000"/>
                <w:spacing w:val="-55"/>
                <w:w w:val="15"/>
                <w:shd w:val="solid" w:color="000000" w:fill="000000"/>
                <w:fitText w:val="10" w:id="-1301087483"/>
                <w14:textFill>
                  <w14:solidFill>
                    <w14:srgbClr w14:val="000000">
                      <w14:alpha w14:val="100000"/>
                    </w14:srgbClr>
                  </w14:solidFill>
                </w14:textFill>
              </w:rPr>
              <w:t xml:space="preserve">　</w:t>
            </w:r>
            <w:r w:rsidR="003013CE">
              <w:rPr>
                <w:vertAlign w:val="superscript"/>
              </w:rPr>
              <w:t>1</w:t>
            </w:r>
          </w:p>
        </w:tc>
        <w:tc>
          <w:tcPr>
            <w:tcW w:w="600" w:type="pct"/>
          </w:tcPr>
          <w:p w14:paraId="4358033D" w14:textId="116EA659" w:rsidR="00141D75" w:rsidRPr="00AC7C58" w:rsidRDefault="00141D75" w:rsidP="00510454">
            <w:pPr>
              <w:pStyle w:val="COMTabletext"/>
              <w:keepNext w:val="0"/>
              <w:jc w:val="center"/>
            </w:pPr>
            <w:r w:rsidRPr="00404B50">
              <w:t>-11%</w:t>
            </w:r>
          </w:p>
        </w:tc>
      </w:tr>
      <w:tr w:rsidR="00141D75" w:rsidRPr="002E14F6" w14:paraId="62257B7A" w14:textId="77777777" w:rsidTr="00510454">
        <w:trPr>
          <w:trHeight w:val="54"/>
        </w:trPr>
        <w:tc>
          <w:tcPr>
            <w:tcW w:w="2277" w:type="pct"/>
          </w:tcPr>
          <w:p w14:paraId="0D49EC02" w14:textId="5CF060CC" w:rsidR="00141D75" w:rsidRPr="00AC7C58" w:rsidRDefault="00141D75" w:rsidP="00510454">
            <w:pPr>
              <w:pStyle w:val="COMTabletext"/>
              <w:keepNext w:val="0"/>
            </w:pPr>
            <w:r w:rsidRPr="00404B50">
              <w:t>40% decrease in hip and non-hip fracture costs based on younger patients in Tatangelo 2019 study</w:t>
            </w:r>
          </w:p>
        </w:tc>
        <w:tc>
          <w:tcPr>
            <w:tcW w:w="748" w:type="pct"/>
            <w:shd w:val="solid" w:color="000000" w:fill="000000"/>
            <w:vAlign w:val="center"/>
          </w:tcPr>
          <w:p w14:paraId="67EFB35C" w14:textId="5F637C61" w:rsidR="00141D75" w:rsidRPr="004D7F61" w:rsidRDefault="00C0674E" w:rsidP="00510454">
            <w:pPr>
              <w:pStyle w:val="COMTabletext"/>
              <w:keepNext w:val="0"/>
              <w:jc w:val="center"/>
              <w:rPr>
                <w:rFonts w:eastAsia="Calibri"/>
                <w:szCs w:val="20"/>
                <w:highlight w:val="darkGray"/>
              </w:rPr>
            </w:pPr>
            <w:r w:rsidRPr="00C0674E">
              <w:rPr>
                <w:color w:val="000000"/>
                <w14:textFill>
                  <w14:solidFill>
                    <w14:srgbClr w14:val="000000">
                      <w14:alpha w14:val="100000"/>
                    </w14:srgbClr>
                  </w14:solidFill>
                </w14:textFill>
              </w:rPr>
              <w:t>|</w:t>
            </w:r>
          </w:p>
        </w:tc>
        <w:tc>
          <w:tcPr>
            <w:tcW w:w="729" w:type="pct"/>
            <w:vAlign w:val="center"/>
          </w:tcPr>
          <w:p w14:paraId="71C0B7D2" w14:textId="7ECFF447" w:rsidR="00141D75" w:rsidRPr="00AC7C58" w:rsidRDefault="00141D75" w:rsidP="00510454">
            <w:pPr>
              <w:pStyle w:val="COMTabletext"/>
              <w:keepNext w:val="0"/>
              <w:jc w:val="center"/>
              <w:rPr>
                <w:rFonts w:eastAsia="Calibri"/>
                <w:szCs w:val="20"/>
              </w:rPr>
            </w:pPr>
            <w:r w:rsidRPr="00404B50">
              <w:t>0.044</w:t>
            </w:r>
          </w:p>
        </w:tc>
        <w:tc>
          <w:tcPr>
            <w:tcW w:w="646" w:type="pct"/>
            <w:vAlign w:val="center"/>
          </w:tcPr>
          <w:p w14:paraId="0958E69B" w14:textId="681E5841" w:rsidR="00141D75" w:rsidRPr="004D7F61" w:rsidRDefault="00C0674E" w:rsidP="00510454">
            <w:pPr>
              <w:pStyle w:val="COMTabletext"/>
              <w:keepNext w:val="0"/>
              <w:jc w:val="center"/>
              <w:rPr>
                <w:rFonts w:eastAsia="Calibri"/>
                <w:szCs w:val="20"/>
                <w:highlight w:val="darkGray"/>
              </w:rPr>
            </w:pPr>
            <w:r w:rsidRPr="00400174">
              <w:rPr>
                <w:rFonts w:hint="eastAsia"/>
                <w:color w:val="000000"/>
                <w:w w:val="15"/>
                <w:shd w:val="solid" w:color="000000" w:fill="000000"/>
                <w:fitText w:val="10" w:id="-1301087482"/>
                <w14:textFill>
                  <w14:solidFill>
                    <w14:srgbClr w14:val="000000">
                      <w14:alpha w14:val="100000"/>
                    </w14:srgbClr>
                  </w14:solidFill>
                </w14:textFill>
              </w:rPr>
              <w:t xml:space="preserve">　</w:t>
            </w:r>
            <w:r w:rsidRPr="00400174">
              <w:rPr>
                <w:color w:val="000000"/>
                <w:w w:val="15"/>
                <w:shd w:val="solid" w:color="000000" w:fill="000000"/>
                <w:fitText w:val="10" w:id="-1301087482"/>
                <w14:textFill>
                  <w14:solidFill>
                    <w14:srgbClr w14:val="000000">
                      <w14:alpha w14:val="100000"/>
                    </w14:srgbClr>
                  </w14:solidFill>
                </w14:textFill>
              </w:rPr>
              <w:t>|</w:t>
            </w:r>
            <w:r w:rsidRPr="00400174">
              <w:rPr>
                <w:rFonts w:hint="eastAsia"/>
                <w:color w:val="000000"/>
                <w:spacing w:val="-55"/>
                <w:w w:val="15"/>
                <w:shd w:val="solid" w:color="000000" w:fill="000000"/>
                <w:fitText w:val="10" w:id="-1301087482"/>
                <w14:textFill>
                  <w14:solidFill>
                    <w14:srgbClr w14:val="000000">
                      <w14:alpha w14:val="100000"/>
                    </w14:srgbClr>
                  </w14:solidFill>
                </w14:textFill>
              </w:rPr>
              <w:t xml:space="preserve">　</w:t>
            </w:r>
            <w:r w:rsidR="003013CE">
              <w:rPr>
                <w:vertAlign w:val="superscript"/>
              </w:rPr>
              <w:t>3</w:t>
            </w:r>
          </w:p>
        </w:tc>
        <w:tc>
          <w:tcPr>
            <w:tcW w:w="600" w:type="pct"/>
            <w:vAlign w:val="center"/>
          </w:tcPr>
          <w:p w14:paraId="329390C4" w14:textId="18A53BFA" w:rsidR="00141D75" w:rsidRPr="00AC7C58" w:rsidRDefault="00141D75" w:rsidP="00510454">
            <w:pPr>
              <w:pStyle w:val="COMTabletext"/>
              <w:keepNext w:val="0"/>
              <w:jc w:val="center"/>
            </w:pPr>
            <w:r w:rsidRPr="00404B50">
              <w:t>63%</w:t>
            </w:r>
          </w:p>
        </w:tc>
      </w:tr>
      <w:tr w:rsidR="00141D75" w:rsidRPr="002E14F6" w14:paraId="6593B751" w14:textId="77777777" w:rsidTr="00510454">
        <w:trPr>
          <w:trHeight w:val="54"/>
        </w:trPr>
        <w:tc>
          <w:tcPr>
            <w:tcW w:w="5000" w:type="pct"/>
            <w:gridSpan w:val="5"/>
          </w:tcPr>
          <w:p w14:paraId="5B5EF96D" w14:textId="025400E4" w:rsidR="00141D75" w:rsidRPr="00EC57D8" w:rsidRDefault="00141D75" w:rsidP="00510454">
            <w:pPr>
              <w:rPr>
                <w:rFonts w:cstheme="minorBidi"/>
                <w:b/>
                <w:szCs w:val="20"/>
              </w:rPr>
            </w:pPr>
            <w:r w:rsidRPr="00542E57">
              <w:rPr>
                <w:rFonts w:ascii="Arial Narrow" w:hAnsi="Arial Narrow" w:cstheme="minorBidi"/>
                <w:b/>
                <w:bCs/>
                <w:sz w:val="20"/>
                <w:szCs w:val="20"/>
              </w:rPr>
              <w:t>Multivariate analyses</w:t>
            </w:r>
          </w:p>
        </w:tc>
      </w:tr>
      <w:tr w:rsidR="00141D75" w:rsidRPr="00542E57" w14:paraId="66C28E4F" w14:textId="77777777" w:rsidTr="00510454">
        <w:trPr>
          <w:trHeight w:val="54"/>
        </w:trPr>
        <w:tc>
          <w:tcPr>
            <w:tcW w:w="2277" w:type="pct"/>
            <w:tcBorders>
              <w:top w:val="single" w:sz="4" w:space="0" w:color="auto"/>
              <w:left w:val="single" w:sz="4" w:space="0" w:color="auto"/>
              <w:bottom w:val="single" w:sz="4" w:space="0" w:color="auto"/>
              <w:right w:val="single" w:sz="4" w:space="0" w:color="auto"/>
            </w:tcBorders>
          </w:tcPr>
          <w:p w14:paraId="6EEC8DC4" w14:textId="381066C2" w:rsidR="00141D75" w:rsidRPr="00EC57D8" w:rsidRDefault="00141D75" w:rsidP="00510454">
            <w:pPr>
              <w:pStyle w:val="COMTabletext"/>
              <w:keepNext w:val="0"/>
              <w:rPr>
                <w:vertAlign w:val="superscript"/>
              </w:rPr>
            </w:pPr>
            <w:r w:rsidRPr="00141D75">
              <w:t>10 year time horizon, risedronate EC treatment effects based on hip fracture RRR 41% and non-hip fracture RRR 46%, 40% decrease in hip and non-hip fracture costs</w:t>
            </w:r>
            <w:r>
              <w:rPr>
                <w:vertAlign w:val="superscript"/>
              </w:rPr>
              <w:t>g</w:t>
            </w:r>
          </w:p>
        </w:tc>
        <w:tc>
          <w:tcPr>
            <w:tcW w:w="748" w:type="pct"/>
            <w:tcBorders>
              <w:top w:val="single" w:sz="4" w:space="0" w:color="auto"/>
              <w:left w:val="single" w:sz="4" w:space="0" w:color="auto"/>
              <w:bottom w:val="single" w:sz="4" w:space="0" w:color="auto"/>
              <w:right w:val="single" w:sz="4" w:space="0" w:color="auto"/>
            </w:tcBorders>
            <w:shd w:val="solid" w:color="000000" w:fill="000000"/>
            <w:vAlign w:val="center"/>
          </w:tcPr>
          <w:p w14:paraId="04079543" w14:textId="1B9AA6C8" w:rsidR="00141D75" w:rsidRPr="004D7F61" w:rsidRDefault="00C0674E" w:rsidP="00510454">
            <w:pPr>
              <w:pStyle w:val="COMTabletext"/>
              <w:keepNext w:val="0"/>
              <w:jc w:val="center"/>
              <w:rPr>
                <w:rFonts w:eastAsia="Calibri"/>
                <w:szCs w:val="20"/>
                <w:highlight w:val="darkGray"/>
              </w:rPr>
            </w:pPr>
            <w:r w:rsidRPr="00C0674E">
              <w:rPr>
                <w:rFonts w:eastAsia="Calibri"/>
                <w:color w:val="000000"/>
                <w:szCs w:val="20"/>
                <w14:textFill>
                  <w14:solidFill>
                    <w14:srgbClr w14:val="000000">
                      <w14:alpha w14:val="100000"/>
                    </w14:srgbClr>
                  </w14:solidFill>
                </w14:textFill>
              </w:rPr>
              <w:t>|</w:t>
            </w:r>
          </w:p>
        </w:tc>
        <w:tc>
          <w:tcPr>
            <w:tcW w:w="729" w:type="pct"/>
            <w:tcBorders>
              <w:top w:val="single" w:sz="4" w:space="0" w:color="auto"/>
              <w:left w:val="single" w:sz="4" w:space="0" w:color="auto"/>
              <w:bottom w:val="single" w:sz="4" w:space="0" w:color="auto"/>
              <w:right w:val="single" w:sz="4" w:space="0" w:color="auto"/>
            </w:tcBorders>
            <w:vAlign w:val="center"/>
          </w:tcPr>
          <w:p w14:paraId="31F5E4F6" w14:textId="77777777" w:rsidR="00141D75" w:rsidRPr="00141D75" w:rsidRDefault="00141D75" w:rsidP="00510454">
            <w:pPr>
              <w:pStyle w:val="COMTabletext"/>
              <w:keepNext w:val="0"/>
              <w:jc w:val="center"/>
              <w:rPr>
                <w:rFonts w:eastAsia="Calibri"/>
                <w:szCs w:val="20"/>
              </w:rPr>
            </w:pPr>
            <w:r w:rsidRPr="00141D75">
              <w:rPr>
                <w:rFonts w:eastAsia="Calibri"/>
                <w:szCs w:val="20"/>
              </w:rPr>
              <w:t>0.019</w:t>
            </w:r>
          </w:p>
        </w:tc>
        <w:tc>
          <w:tcPr>
            <w:tcW w:w="646" w:type="pct"/>
            <w:tcBorders>
              <w:top w:val="single" w:sz="4" w:space="0" w:color="auto"/>
              <w:left w:val="single" w:sz="4" w:space="0" w:color="auto"/>
              <w:bottom w:val="single" w:sz="4" w:space="0" w:color="auto"/>
              <w:right w:val="single" w:sz="4" w:space="0" w:color="auto"/>
            </w:tcBorders>
            <w:vAlign w:val="center"/>
          </w:tcPr>
          <w:p w14:paraId="415D7EFE" w14:textId="58B7BD5B" w:rsidR="00141D75" w:rsidRPr="004D7F61" w:rsidRDefault="00C0674E" w:rsidP="00510454">
            <w:pPr>
              <w:pStyle w:val="COMTabletext"/>
              <w:keepNext w:val="0"/>
              <w:jc w:val="center"/>
              <w:rPr>
                <w:rFonts w:eastAsia="Calibri"/>
                <w:szCs w:val="20"/>
                <w:highlight w:val="darkGray"/>
              </w:rPr>
            </w:pPr>
            <w:r w:rsidRPr="00400174">
              <w:rPr>
                <w:rFonts w:eastAsia="Calibri" w:hint="eastAsia"/>
                <w:color w:val="000000"/>
                <w:w w:val="15"/>
                <w:szCs w:val="20"/>
                <w:shd w:val="solid" w:color="000000" w:fill="000000"/>
                <w:fitText w:val="10" w:id="-1301087481"/>
                <w14:textFill>
                  <w14:solidFill>
                    <w14:srgbClr w14:val="000000">
                      <w14:alpha w14:val="100000"/>
                    </w14:srgbClr>
                  </w14:solidFill>
                </w14:textFill>
              </w:rPr>
              <w:t xml:space="preserve">　</w:t>
            </w:r>
            <w:r w:rsidRPr="00400174">
              <w:rPr>
                <w:rFonts w:eastAsia="Calibri"/>
                <w:color w:val="000000"/>
                <w:w w:val="15"/>
                <w:szCs w:val="20"/>
                <w:shd w:val="solid" w:color="000000" w:fill="000000"/>
                <w:fitText w:val="10" w:id="-1301087481"/>
                <w14:textFill>
                  <w14:solidFill>
                    <w14:srgbClr w14:val="000000">
                      <w14:alpha w14:val="100000"/>
                    </w14:srgbClr>
                  </w14:solidFill>
                </w14:textFill>
              </w:rPr>
              <w:t>|</w:t>
            </w:r>
            <w:r w:rsidRPr="00400174">
              <w:rPr>
                <w:rFonts w:eastAsia="Calibri" w:hint="eastAsia"/>
                <w:color w:val="000000"/>
                <w:spacing w:val="-55"/>
                <w:w w:val="15"/>
                <w:szCs w:val="20"/>
                <w:shd w:val="solid" w:color="000000" w:fill="000000"/>
                <w:fitText w:val="10" w:id="-1301087481"/>
                <w14:textFill>
                  <w14:solidFill>
                    <w14:srgbClr w14:val="000000">
                      <w14:alpha w14:val="100000"/>
                    </w14:srgbClr>
                  </w14:solidFill>
                </w14:textFill>
              </w:rPr>
              <w:t xml:space="preserve">　</w:t>
            </w:r>
            <w:r w:rsidR="003013CE">
              <w:rPr>
                <w:vertAlign w:val="superscript"/>
              </w:rPr>
              <w:t>8</w:t>
            </w:r>
          </w:p>
        </w:tc>
        <w:tc>
          <w:tcPr>
            <w:tcW w:w="600" w:type="pct"/>
            <w:tcBorders>
              <w:top w:val="single" w:sz="4" w:space="0" w:color="auto"/>
              <w:left w:val="single" w:sz="4" w:space="0" w:color="auto"/>
              <w:bottom w:val="single" w:sz="4" w:space="0" w:color="auto"/>
              <w:right w:val="single" w:sz="4" w:space="0" w:color="auto"/>
            </w:tcBorders>
            <w:vAlign w:val="center"/>
          </w:tcPr>
          <w:p w14:paraId="3ADDB702" w14:textId="77777777" w:rsidR="00141D75" w:rsidRPr="00EC57D8" w:rsidRDefault="00141D75" w:rsidP="00510454">
            <w:pPr>
              <w:pStyle w:val="COMTabletext"/>
              <w:keepNext w:val="0"/>
              <w:jc w:val="center"/>
              <w:rPr>
                <w:rFonts w:eastAsia="Calibri"/>
                <w:szCs w:val="20"/>
              </w:rPr>
            </w:pPr>
            <w:r w:rsidRPr="00EC57D8">
              <w:rPr>
                <w:rFonts w:eastAsia="Calibri"/>
                <w:szCs w:val="20"/>
              </w:rPr>
              <w:t>540%</w:t>
            </w:r>
          </w:p>
        </w:tc>
      </w:tr>
      <w:tr w:rsidR="00141D75" w:rsidRPr="00542E57" w14:paraId="449AB7B6" w14:textId="77777777" w:rsidTr="00510454">
        <w:trPr>
          <w:trHeight w:val="54"/>
        </w:trPr>
        <w:tc>
          <w:tcPr>
            <w:tcW w:w="2277" w:type="pct"/>
            <w:tcBorders>
              <w:top w:val="single" w:sz="4" w:space="0" w:color="auto"/>
              <w:left w:val="single" w:sz="4" w:space="0" w:color="auto"/>
              <w:bottom w:val="single" w:sz="4" w:space="0" w:color="auto"/>
              <w:right w:val="single" w:sz="4" w:space="0" w:color="auto"/>
            </w:tcBorders>
          </w:tcPr>
          <w:p w14:paraId="50DA4A95" w14:textId="6842E688" w:rsidR="00141D75" w:rsidRPr="00EC57D8" w:rsidRDefault="00141D75" w:rsidP="00510454">
            <w:pPr>
              <w:pStyle w:val="COMTabletext"/>
              <w:keepNext w:val="0"/>
              <w:rPr>
                <w:vertAlign w:val="superscript"/>
              </w:rPr>
            </w:pPr>
            <w:r w:rsidRPr="00141D75">
              <w:t>10 year time horizon, equivalent risedronate EC and SoC treatment effects based on hip fracture RRR 41% and non-hip fracture RRR 46%, 40% decrease in hip and non-hip fracture costs</w:t>
            </w:r>
            <w:r>
              <w:rPr>
                <w:vertAlign w:val="superscript"/>
              </w:rPr>
              <w:t>g</w:t>
            </w:r>
          </w:p>
        </w:tc>
        <w:tc>
          <w:tcPr>
            <w:tcW w:w="748" w:type="pct"/>
            <w:tcBorders>
              <w:top w:val="single" w:sz="4" w:space="0" w:color="auto"/>
              <w:left w:val="single" w:sz="4" w:space="0" w:color="auto"/>
              <w:bottom w:val="single" w:sz="4" w:space="0" w:color="auto"/>
              <w:right w:val="single" w:sz="4" w:space="0" w:color="auto"/>
            </w:tcBorders>
            <w:shd w:val="solid" w:color="000000" w:fill="000000"/>
            <w:vAlign w:val="center"/>
          </w:tcPr>
          <w:p w14:paraId="616C26D2" w14:textId="7BDD2484" w:rsidR="00141D75" w:rsidRPr="004D7F61" w:rsidRDefault="00C0674E" w:rsidP="00510454">
            <w:pPr>
              <w:pStyle w:val="COMTabletext"/>
              <w:keepNext w:val="0"/>
              <w:jc w:val="center"/>
              <w:rPr>
                <w:rFonts w:eastAsia="Calibri"/>
                <w:szCs w:val="20"/>
                <w:highlight w:val="darkGray"/>
              </w:rPr>
            </w:pPr>
            <w:r w:rsidRPr="00C0674E">
              <w:rPr>
                <w:rFonts w:eastAsia="Calibri"/>
                <w:color w:val="000000"/>
                <w:szCs w:val="20"/>
                <w14:textFill>
                  <w14:solidFill>
                    <w14:srgbClr w14:val="000000">
                      <w14:alpha w14:val="100000"/>
                    </w14:srgbClr>
                  </w14:solidFill>
                </w14:textFill>
              </w:rPr>
              <w:t>|</w:t>
            </w:r>
          </w:p>
        </w:tc>
        <w:tc>
          <w:tcPr>
            <w:tcW w:w="729" w:type="pct"/>
            <w:tcBorders>
              <w:top w:val="single" w:sz="4" w:space="0" w:color="auto"/>
              <w:left w:val="single" w:sz="4" w:space="0" w:color="auto"/>
              <w:bottom w:val="single" w:sz="4" w:space="0" w:color="auto"/>
              <w:right w:val="single" w:sz="4" w:space="0" w:color="auto"/>
            </w:tcBorders>
            <w:vAlign w:val="center"/>
          </w:tcPr>
          <w:p w14:paraId="0D1A2753" w14:textId="77777777" w:rsidR="00141D75" w:rsidRPr="00141D75" w:rsidRDefault="00141D75" w:rsidP="00510454">
            <w:pPr>
              <w:pStyle w:val="COMTabletext"/>
              <w:keepNext w:val="0"/>
              <w:jc w:val="center"/>
              <w:rPr>
                <w:rFonts w:eastAsia="Calibri"/>
                <w:szCs w:val="20"/>
              </w:rPr>
            </w:pPr>
            <w:r w:rsidRPr="00141D75">
              <w:rPr>
                <w:rFonts w:eastAsia="Calibri"/>
                <w:szCs w:val="20"/>
              </w:rPr>
              <w:t>0.020</w:t>
            </w:r>
          </w:p>
        </w:tc>
        <w:tc>
          <w:tcPr>
            <w:tcW w:w="646" w:type="pct"/>
            <w:tcBorders>
              <w:top w:val="single" w:sz="4" w:space="0" w:color="auto"/>
              <w:left w:val="single" w:sz="4" w:space="0" w:color="auto"/>
              <w:bottom w:val="single" w:sz="4" w:space="0" w:color="auto"/>
              <w:right w:val="single" w:sz="4" w:space="0" w:color="auto"/>
            </w:tcBorders>
            <w:vAlign w:val="center"/>
          </w:tcPr>
          <w:p w14:paraId="3F63573F" w14:textId="16B1A7D4" w:rsidR="00141D75" w:rsidRPr="004D7F61" w:rsidRDefault="00C0674E" w:rsidP="00510454">
            <w:pPr>
              <w:pStyle w:val="COMTabletext"/>
              <w:keepNext w:val="0"/>
              <w:jc w:val="center"/>
              <w:rPr>
                <w:rFonts w:eastAsia="Calibri"/>
                <w:szCs w:val="20"/>
                <w:highlight w:val="darkGray"/>
              </w:rPr>
            </w:pPr>
            <w:r w:rsidRPr="00400174">
              <w:rPr>
                <w:rFonts w:eastAsia="Calibri" w:hint="eastAsia"/>
                <w:color w:val="000000"/>
                <w:w w:val="15"/>
                <w:szCs w:val="20"/>
                <w:shd w:val="solid" w:color="000000" w:fill="000000"/>
                <w:fitText w:val="10" w:id="-1301087480"/>
                <w14:textFill>
                  <w14:solidFill>
                    <w14:srgbClr w14:val="000000">
                      <w14:alpha w14:val="100000"/>
                    </w14:srgbClr>
                  </w14:solidFill>
                </w14:textFill>
              </w:rPr>
              <w:t xml:space="preserve">　</w:t>
            </w:r>
            <w:r w:rsidRPr="00400174">
              <w:rPr>
                <w:rFonts w:eastAsia="Calibri"/>
                <w:color w:val="000000"/>
                <w:w w:val="15"/>
                <w:szCs w:val="20"/>
                <w:shd w:val="solid" w:color="000000" w:fill="000000"/>
                <w:fitText w:val="10" w:id="-1301087480"/>
                <w14:textFill>
                  <w14:solidFill>
                    <w14:srgbClr w14:val="000000">
                      <w14:alpha w14:val="100000"/>
                    </w14:srgbClr>
                  </w14:solidFill>
                </w14:textFill>
              </w:rPr>
              <w:t>|</w:t>
            </w:r>
            <w:r w:rsidRPr="00400174">
              <w:rPr>
                <w:rFonts w:eastAsia="Calibri" w:hint="eastAsia"/>
                <w:color w:val="000000"/>
                <w:spacing w:val="-55"/>
                <w:w w:val="15"/>
                <w:szCs w:val="20"/>
                <w:shd w:val="solid" w:color="000000" w:fill="000000"/>
                <w:fitText w:val="10" w:id="-1301087480"/>
                <w14:textFill>
                  <w14:solidFill>
                    <w14:srgbClr w14:val="000000">
                      <w14:alpha w14:val="100000"/>
                    </w14:srgbClr>
                  </w14:solidFill>
                </w14:textFill>
              </w:rPr>
              <w:t xml:space="preserve">　</w:t>
            </w:r>
            <w:r w:rsidR="003013CE">
              <w:rPr>
                <w:vertAlign w:val="superscript"/>
              </w:rPr>
              <w:t>8</w:t>
            </w:r>
          </w:p>
        </w:tc>
        <w:tc>
          <w:tcPr>
            <w:tcW w:w="600" w:type="pct"/>
            <w:tcBorders>
              <w:top w:val="single" w:sz="4" w:space="0" w:color="auto"/>
              <w:left w:val="single" w:sz="4" w:space="0" w:color="auto"/>
              <w:bottom w:val="single" w:sz="4" w:space="0" w:color="auto"/>
              <w:right w:val="single" w:sz="4" w:space="0" w:color="auto"/>
            </w:tcBorders>
            <w:vAlign w:val="center"/>
          </w:tcPr>
          <w:p w14:paraId="6116D949" w14:textId="77777777" w:rsidR="00141D75" w:rsidRPr="00EC57D8" w:rsidRDefault="00141D75" w:rsidP="00510454">
            <w:pPr>
              <w:pStyle w:val="COMTabletext"/>
              <w:keepNext w:val="0"/>
              <w:jc w:val="center"/>
              <w:rPr>
                <w:rFonts w:eastAsia="Calibri"/>
                <w:szCs w:val="20"/>
              </w:rPr>
            </w:pPr>
            <w:r w:rsidRPr="00EC57D8">
              <w:rPr>
                <w:rFonts w:eastAsia="Calibri"/>
                <w:szCs w:val="20"/>
              </w:rPr>
              <w:t>532%</w:t>
            </w:r>
          </w:p>
        </w:tc>
      </w:tr>
    </w:tbl>
    <w:p w14:paraId="57962148" w14:textId="77777777" w:rsidR="00A42255" w:rsidRPr="002E14F6" w:rsidRDefault="00A42255" w:rsidP="00510454">
      <w:pPr>
        <w:pStyle w:val="COMTablefooter"/>
        <w:rPr>
          <w:rStyle w:val="COMtablefigcaptionChar"/>
          <w:rFonts w:eastAsia="Times New Roman" w:cs="Arial"/>
          <w:b w:val="0"/>
          <w:bCs w:val="0"/>
          <w:szCs w:val="22"/>
        </w:rPr>
      </w:pPr>
      <w:r w:rsidRPr="002E14F6">
        <w:t>Source: Table 89, p165 and the ‘Attachment 5 Risedronate DR_economic evaluation’ Excel workbook of the submission</w:t>
      </w:r>
    </w:p>
    <w:p w14:paraId="35879E26" w14:textId="77777777" w:rsidR="00A42255" w:rsidRPr="002E14F6" w:rsidRDefault="00A42255" w:rsidP="00510454">
      <w:pPr>
        <w:pStyle w:val="COMTablefooter"/>
        <w:rPr>
          <w:rFonts w:eastAsia="Calibri"/>
          <w:szCs w:val="20"/>
        </w:rPr>
      </w:pPr>
      <w:r w:rsidRPr="002E14F6">
        <w:rPr>
          <w:rFonts w:eastAsia="Calibri"/>
          <w:szCs w:val="20"/>
        </w:rPr>
        <w:t>Abbreviations: QALY, quality adjusted life year; SoC, standard of care</w:t>
      </w:r>
    </w:p>
    <w:p w14:paraId="4AB9EDED" w14:textId="45ABBAF8" w:rsidR="00FE1857" w:rsidRPr="00EC57D8" w:rsidRDefault="00FE1857" w:rsidP="00510454">
      <w:pPr>
        <w:pStyle w:val="COMTablefooter"/>
      </w:pPr>
      <w:r>
        <w:rPr>
          <w:vertAlign w:val="superscript"/>
        </w:rPr>
        <w:t xml:space="preserve">a </w:t>
      </w:r>
      <w:r>
        <w:t>Sensitivity analyses conducted during the evaluation</w:t>
      </w:r>
    </w:p>
    <w:p w14:paraId="2ECAED39" w14:textId="1E07DD40" w:rsidR="00A42255" w:rsidRPr="002E14F6" w:rsidRDefault="00FE1857" w:rsidP="00510454">
      <w:pPr>
        <w:pStyle w:val="COMTablefooter"/>
      </w:pPr>
      <w:r>
        <w:rPr>
          <w:vertAlign w:val="superscript"/>
        </w:rPr>
        <w:t>b</w:t>
      </w:r>
      <w:r w:rsidR="00A42255" w:rsidRPr="002E14F6">
        <w:t xml:space="preserve"> There was an error in the fracture risk probabilities for age 50-59 years in the model, with non-hip fracture risks based on any fracture risks. These estimates were corrected during the evaluation, with non-hip fracture risks based on any fracture risks minus hip fracture risks.</w:t>
      </w:r>
    </w:p>
    <w:p w14:paraId="39FB803F" w14:textId="2EBF9EE4" w:rsidR="00A42255" w:rsidRPr="002E14F6" w:rsidRDefault="00FE1857" w:rsidP="00510454">
      <w:pPr>
        <w:pStyle w:val="COMTablefooter"/>
        <w:rPr>
          <w:rFonts w:eastAsia="Calibri"/>
          <w:szCs w:val="20"/>
        </w:rPr>
      </w:pPr>
      <w:r>
        <w:rPr>
          <w:vertAlign w:val="superscript"/>
        </w:rPr>
        <w:t>c</w:t>
      </w:r>
      <w:r w:rsidR="00A42255" w:rsidRPr="002E14F6">
        <w:t xml:space="preserve"> B</w:t>
      </w:r>
      <w:r w:rsidR="00A42255" w:rsidRPr="002E14F6">
        <w:rPr>
          <w:rFonts w:eastAsia="Calibri"/>
          <w:szCs w:val="20"/>
        </w:rPr>
        <w:t>ased on vertebral and non-vertebral fracture effects, Boonen 2010 meta-analysis</w:t>
      </w:r>
    </w:p>
    <w:p w14:paraId="0073B0E1" w14:textId="083F64FA" w:rsidR="00A42255" w:rsidRPr="002E14F6" w:rsidRDefault="00FE1857" w:rsidP="00510454">
      <w:pPr>
        <w:pStyle w:val="COMTablefooter"/>
      </w:pPr>
      <w:r>
        <w:rPr>
          <w:vertAlign w:val="superscript"/>
        </w:rPr>
        <w:t>d</w:t>
      </w:r>
      <w:r w:rsidR="00A42255" w:rsidRPr="002E14F6">
        <w:t xml:space="preserve"> Based on risedronate HIP trial data</w:t>
      </w:r>
    </w:p>
    <w:p w14:paraId="71555FDB" w14:textId="03117DA0" w:rsidR="00A42255" w:rsidRPr="002E14F6" w:rsidRDefault="00FE1857" w:rsidP="00510454">
      <w:pPr>
        <w:pStyle w:val="COMTablefooter"/>
      </w:pPr>
      <w:r>
        <w:rPr>
          <w:vertAlign w:val="superscript"/>
        </w:rPr>
        <w:t>e</w:t>
      </w:r>
      <w:r w:rsidR="00A42255" w:rsidRPr="002E14F6">
        <w:rPr>
          <w:vertAlign w:val="superscript"/>
        </w:rPr>
        <w:t xml:space="preserve"> </w:t>
      </w:r>
      <w:r w:rsidR="00A42255" w:rsidRPr="002E14F6">
        <w:t>Based on denosumab trial data (FREEDOM)</w:t>
      </w:r>
    </w:p>
    <w:p w14:paraId="734B56A2" w14:textId="510D1C72" w:rsidR="00A42255" w:rsidRDefault="00FE1857" w:rsidP="00510454">
      <w:pPr>
        <w:pStyle w:val="COMTablefooter"/>
      </w:pPr>
      <w:r>
        <w:rPr>
          <w:vertAlign w:val="superscript"/>
        </w:rPr>
        <w:t>f</w:t>
      </w:r>
      <w:r w:rsidR="00A42255" w:rsidRPr="002E14F6">
        <w:rPr>
          <w:vertAlign w:val="superscript"/>
        </w:rPr>
        <w:t xml:space="preserve"> </w:t>
      </w:r>
      <w:r w:rsidR="00A42255" w:rsidRPr="002E14F6">
        <w:t>Based on alternative calculation for alendronate (counting clinical instead of morphometric vertebral fracture from FIT-CFA subgroup)</w:t>
      </w:r>
    </w:p>
    <w:p w14:paraId="667B2869" w14:textId="78069074" w:rsidR="00141D75" w:rsidRDefault="00141D75" w:rsidP="00510454">
      <w:pPr>
        <w:pStyle w:val="COMTablefooter"/>
      </w:pPr>
      <w:r>
        <w:rPr>
          <w:vertAlign w:val="superscript"/>
        </w:rPr>
        <w:t>g</w:t>
      </w:r>
      <w:r>
        <w:t xml:space="preserve"> Conducted during the development of the ESC Advice</w:t>
      </w:r>
    </w:p>
    <w:p w14:paraId="7E65C8D2" w14:textId="77777777" w:rsidR="003013CE" w:rsidRPr="009A6D58" w:rsidRDefault="003013CE" w:rsidP="00510454">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1D621EB" w14:textId="581E4301" w:rsidR="003013CE" w:rsidRPr="009A6D58" w:rsidRDefault="003013CE" w:rsidP="00510454">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3013CE">
        <w:rPr>
          <w:rFonts w:ascii="Arial Narrow" w:hAnsi="Arial Narrow"/>
          <w:i/>
          <w:sz w:val="18"/>
          <w:szCs w:val="18"/>
        </w:rPr>
        <w:t>$5,000 to &lt; $15,000</w:t>
      </w:r>
    </w:p>
    <w:p w14:paraId="2EDFF124" w14:textId="3E779EFB" w:rsidR="003013CE" w:rsidRPr="009A6D58" w:rsidRDefault="003013CE" w:rsidP="00510454">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3013CE">
        <w:rPr>
          <w:rFonts w:ascii="Arial Narrow" w:hAnsi="Arial Narrow"/>
          <w:i/>
          <w:sz w:val="18"/>
          <w:szCs w:val="18"/>
        </w:rPr>
        <w:t>$45,000 to &lt; $55,000</w:t>
      </w:r>
    </w:p>
    <w:p w14:paraId="6032B177" w14:textId="37B807D0" w:rsidR="003013CE" w:rsidRDefault="003013CE" w:rsidP="00510454">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3013CE">
        <w:rPr>
          <w:rFonts w:ascii="Arial Narrow" w:hAnsi="Arial Narrow"/>
          <w:i/>
          <w:sz w:val="18"/>
          <w:szCs w:val="18"/>
        </w:rPr>
        <w:t>$15,000 to &lt; $25,000</w:t>
      </w:r>
    </w:p>
    <w:p w14:paraId="13CF15B3" w14:textId="3CF4C176" w:rsidR="003013CE" w:rsidRDefault="003013CE" w:rsidP="00510454">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3013CE">
        <w:rPr>
          <w:rFonts w:ascii="Arial Narrow" w:hAnsi="Arial Narrow"/>
          <w:i/>
          <w:sz w:val="18"/>
          <w:szCs w:val="18"/>
        </w:rPr>
        <w:t>$0 to &lt; $5,000</w:t>
      </w:r>
    </w:p>
    <w:p w14:paraId="0A8023FC" w14:textId="13AFABB2" w:rsidR="003013CE" w:rsidRDefault="003013CE" w:rsidP="00510454">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3013CE">
        <w:rPr>
          <w:rFonts w:ascii="Arial Narrow" w:hAnsi="Arial Narrow"/>
          <w:i/>
          <w:sz w:val="18"/>
          <w:szCs w:val="18"/>
        </w:rPr>
        <w:t>$55,000 to &lt; $75,000</w:t>
      </w:r>
    </w:p>
    <w:p w14:paraId="70F1379C" w14:textId="6CCFA62B" w:rsidR="003013CE" w:rsidRDefault="003013CE" w:rsidP="00510454">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3013CE">
        <w:rPr>
          <w:rFonts w:ascii="Arial Narrow" w:hAnsi="Arial Narrow"/>
          <w:i/>
          <w:sz w:val="18"/>
          <w:szCs w:val="18"/>
        </w:rPr>
        <w:t>$35,000 to &lt; $45,000</w:t>
      </w:r>
    </w:p>
    <w:p w14:paraId="2C7D86F4" w14:textId="6AD71B82" w:rsidR="003013CE" w:rsidRPr="009A6D58" w:rsidRDefault="003013CE" w:rsidP="00510454">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Pr="003013CE">
        <w:rPr>
          <w:rFonts w:ascii="Arial Narrow" w:hAnsi="Arial Narrow"/>
          <w:i/>
          <w:sz w:val="18"/>
          <w:szCs w:val="18"/>
        </w:rPr>
        <w:t>$25,000 to &lt; $35,000</w:t>
      </w:r>
    </w:p>
    <w:p w14:paraId="7526C165" w14:textId="349C1A51" w:rsidR="003013CE" w:rsidRDefault="003013CE" w:rsidP="00510454">
      <w:pPr>
        <w:spacing w:after="120"/>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Pr="003013CE">
        <w:rPr>
          <w:rFonts w:ascii="Arial Narrow" w:hAnsi="Arial Narrow"/>
          <w:i/>
          <w:sz w:val="18"/>
          <w:szCs w:val="18"/>
        </w:rPr>
        <w:t>$75,000 to &lt; $95,000</w:t>
      </w:r>
    </w:p>
    <w:p w14:paraId="5E27A5B7" w14:textId="484B0A78" w:rsidR="00B134F1" w:rsidRPr="00966B2C" w:rsidRDefault="00D23D11" w:rsidP="00DC4D12">
      <w:pPr>
        <w:widowControl w:val="0"/>
        <w:numPr>
          <w:ilvl w:val="1"/>
          <w:numId w:val="1"/>
        </w:numPr>
        <w:spacing w:after="120"/>
        <w:ind w:left="720" w:hanging="720"/>
        <w:rPr>
          <w:bCs/>
        </w:rPr>
      </w:pPr>
      <w:r w:rsidRPr="00DC4D12">
        <w:rPr>
          <w:rFonts w:asciiTheme="minorHAnsi" w:hAnsiTheme="minorHAnsi"/>
          <w:bCs/>
          <w:snapToGrid w:val="0"/>
        </w:rPr>
        <w:t>The</w:t>
      </w:r>
      <w:r w:rsidR="004A6931" w:rsidRPr="00DC4D12">
        <w:rPr>
          <w:rFonts w:asciiTheme="minorHAnsi" w:hAnsiTheme="minorHAnsi"/>
          <w:bCs/>
          <w:snapToGrid w:val="0"/>
        </w:rPr>
        <w:t xml:space="preserve"> model was most sensitive to baseline age and BMD T-score, time horizon, standard of care drug costs (dependent on </w:t>
      </w:r>
      <w:r w:rsidR="001F1615" w:rsidRPr="00DC4D12">
        <w:rPr>
          <w:rFonts w:asciiTheme="minorHAnsi" w:hAnsiTheme="minorHAnsi"/>
          <w:bCs/>
          <w:snapToGrid w:val="0"/>
        </w:rPr>
        <w:t xml:space="preserve">the </w:t>
      </w:r>
      <w:r w:rsidR="004A6931" w:rsidRPr="00DC4D12">
        <w:rPr>
          <w:rFonts w:asciiTheme="minorHAnsi" w:hAnsiTheme="minorHAnsi"/>
          <w:bCs/>
          <w:snapToGrid w:val="0"/>
        </w:rPr>
        <w:t xml:space="preserve">distribution of included therapies and treatment adherence), and risedronate EC treatment effects. </w:t>
      </w:r>
    </w:p>
    <w:p w14:paraId="6107A2AA" w14:textId="2846E706" w:rsidR="00402812" w:rsidRPr="00966B2C" w:rsidRDefault="004A6931" w:rsidP="00DC4D12">
      <w:pPr>
        <w:widowControl w:val="0"/>
        <w:numPr>
          <w:ilvl w:val="1"/>
          <w:numId w:val="1"/>
        </w:numPr>
        <w:spacing w:after="120"/>
        <w:ind w:left="720" w:hanging="720"/>
        <w:rPr>
          <w:bCs/>
        </w:rPr>
      </w:pPr>
      <w:r w:rsidRPr="00DC4D12">
        <w:rPr>
          <w:rFonts w:asciiTheme="minorHAnsi" w:hAnsiTheme="minorHAnsi"/>
          <w:bCs/>
          <w:snapToGrid w:val="0"/>
        </w:rPr>
        <w:t xml:space="preserve">The impact of baseline age </w:t>
      </w:r>
      <w:r w:rsidR="003059FC" w:rsidRPr="00DC4D12">
        <w:rPr>
          <w:rFonts w:asciiTheme="minorHAnsi" w:hAnsiTheme="minorHAnsi"/>
          <w:bCs/>
          <w:snapToGrid w:val="0"/>
        </w:rPr>
        <w:t xml:space="preserve">and BMD </w:t>
      </w:r>
      <w:r w:rsidRPr="00DC4D12">
        <w:rPr>
          <w:rFonts w:asciiTheme="minorHAnsi" w:hAnsiTheme="minorHAnsi"/>
          <w:bCs/>
          <w:snapToGrid w:val="0"/>
        </w:rPr>
        <w:t>on cost-effectiveness estimates was explored during the evaluation</w:t>
      </w:r>
      <w:r w:rsidR="00776A57" w:rsidRPr="00DC4D12">
        <w:rPr>
          <w:rFonts w:asciiTheme="minorHAnsi" w:hAnsiTheme="minorHAnsi"/>
          <w:bCs/>
          <w:snapToGrid w:val="0"/>
        </w:rPr>
        <w:t>.</w:t>
      </w:r>
      <w:r w:rsidRPr="00DC4D12">
        <w:rPr>
          <w:rFonts w:asciiTheme="minorHAnsi" w:hAnsiTheme="minorHAnsi"/>
          <w:bCs/>
          <w:snapToGrid w:val="0"/>
        </w:rPr>
        <w:t xml:space="preserve"> Improvements in cost-effectiveness with increasing age were largely driven by decreases in the incremental cost associated with early treatment with risedronate EC. Any additional costs associated with the initiation of risedronate EC from age 66 years onwards were exceeded by increased standard of care therapy costs in the placebo arm from age 70 years onwards.</w:t>
      </w:r>
    </w:p>
    <w:p w14:paraId="0CBB1C33" w14:textId="37368924" w:rsidR="00D30B0E" w:rsidRPr="00966B2C" w:rsidRDefault="00D30B0E" w:rsidP="00DC4D12">
      <w:pPr>
        <w:widowControl w:val="0"/>
        <w:numPr>
          <w:ilvl w:val="1"/>
          <w:numId w:val="1"/>
        </w:numPr>
        <w:spacing w:after="120"/>
        <w:ind w:left="720" w:hanging="720"/>
        <w:rPr>
          <w:bCs/>
        </w:rPr>
      </w:pPr>
      <w:r w:rsidRPr="00DC4D12">
        <w:rPr>
          <w:rFonts w:asciiTheme="minorHAnsi" w:hAnsiTheme="minorHAnsi"/>
          <w:bCs/>
          <w:snapToGrid w:val="0"/>
        </w:rPr>
        <w:t>Sensitivity analyses using alternative adherence estimates should be interpreted with caution as changes to these estimates only affect drug costs and not treatment effect. The impact of imperfect persistence could not be assessed due to limitations with the model structure.</w:t>
      </w:r>
    </w:p>
    <w:p w14:paraId="04156098" w14:textId="482FB4AD" w:rsidR="004A6931" w:rsidRPr="00966B2C" w:rsidRDefault="00B134F1" w:rsidP="00DC4D12">
      <w:pPr>
        <w:widowControl w:val="0"/>
        <w:numPr>
          <w:ilvl w:val="1"/>
          <w:numId w:val="1"/>
        </w:numPr>
        <w:spacing w:after="120"/>
        <w:ind w:left="720" w:hanging="720"/>
        <w:rPr>
          <w:bCs/>
        </w:rPr>
      </w:pPr>
      <w:r w:rsidRPr="00DC4D12">
        <w:rPr>
          <w:rFonts w:asciiTheme="minorHAnsi" w:hAnsiTheme="minorHAnsi"/>
          <w:bCs/>
          <w:snapToGrid w:val="0"/>
        </w:rPr>
        <w:t>The model was only sensitive to changes in risedronate EC treatment effects but not standard of care. This appears to be due to the impact on amount of time spent in the no fracture state of the risedronate EC arm versus the placebo arm</w:t>
      </w:r>
      <w:r w:rsidR="00C26B6D" w:rsidRPr="00DC4D12">
        <w:rPr>
          <w:rFonts w:asciiTheme="minorHAnsi" w:hAnsiTheme="minorHAnsi"/>
          <w:bCs/>
          <w:snapToGrid w:val="0"/>
        </w:rPr>
        <w:t>.</w:t>
      </w:r>
    </w:p>
    <w:p w14:paraId="31AFD15A" w14:textId="6750D0D3" w:rsidR="00A05D77" w:rsidRPr="00DC4D12" w:rsidRDefault="003059FC" w:rsidP="00DC4D12">
      <w:pPr>
        <w:widowControl w:val="0"/>
        <w:numPr>
          <w:ilvl w:val="1"/>
          <w:numId w:val="1"/>
        </w:numPr>
        <w:spacing w:after="120"/>
        <w:ind w:left="720" w:hanging="720"/>
        <w:rPr>
          <w:bCs/>
        </w:rPr>
      </w:pPr>
      <w:bookmarkStart w:id="52" w:name="_Ref116398272"/>
      <w:r w:rsidRPr="00DC4D12">
        <w:rPr>
          <w:rFonts w:asciiTheme="minorHAnsi" w:hAnsiTheme="minorHAnsi"/>
          <w:bCs/>
          <w:snapToGrid w:val="0"/>
        </w:rPr>
        <w:t xml:space="preserve">The ESC </w:t>
      </w:r>
      <w:r w:rsidR="007D4333" w:rsidRPr="00DC4D12">
        <w:rPr>
          <w:rFonts w:asciiTheme="minorHAnsi" w:hAnsiTheme="minorHAnsi"/>
          <w:bCs/>
          <w:snapToGrid w:val="0"/>
        </w:rPr>
        <w:t xml:space="preserve">noted concerns regarding persistence assumptions over the 20 year time horizon (see paragraph </w:t>
      </w:r>
      <w:r w:rsidR="007D4333" w:rsidRPr="00DC4D12">
        <w:rPr>
          <w:rFonts w:asciiTheme="minorHAnsi" w:hAnsiTheme="minorHAnsi"/>
          <w:bCs/>
          <w:snapToGrid w:val="0"/>
        </w:rPr>
        <w:fldChar w:fldCharType="begin" w:fldLock="1"/>
      </w:r>
      <w:r w:rsidR="007D4333" w:rsidRPr="00DC4D12">
        <w:rPr>
          <w:rFonts w:asciiTheme="minorHAnsi" w:hAnsiTheme="minorHAnsi"/>
          <w:bCs/>
          <w:snapToGrid w:val="0"/>
        </w:rPr>
        <w:instrText xml:space="preserve"> REF _Ref116396497 \r \h </w:instrText>
      </w:r>
      <w:r w:rsidR="00B600AA" w:rsidRPr="00DC4D12">
        <w:rPr>
          <w:rFonts w:asciiTheme="minorHAnsi" w:hAnsiTheme="minorHAnsi"/>
          <w:bCs/>
          <w:snapToGrid w:val="0"/>
        </w:rPr>
        <w:instrText xml:space="preserve"> \* MERGEFORMAT </w:instrText>
      </w:r>
      <w:r w:rsidR="007D4333" w:rsidRPr="00DC4D12">
        <w:rPr>
          <w:rFonts w:asciiTheme="minorHAnsi" w:hAnsiTheme="minorHAnsi"/>
          <w:bCs/>
          <w:snapToGrid w:val="0"/>
        </w:rPr>
      </w:r>
      <w:r w:rsidR="007D4333" w:rsidRPr="00DC4D12">
        <w:rPr>
          <w:rFonts w:asciiTheme="minorHAnsi" w:hAnsiTheme="minorHAnsi"/>
          <w:bCs/>
          <w:snapToGrid w:val="0"/>
        </w:rPr>
        <w:fldChar w:fldCharType="separate"/>
      </w:r>
      <w:r w:rsidR="008E5873">
        <w:rPr>
          <w:rFonts w:asciiTheme="minorHAnsi" w:hAnsiTheme="minorHAnsi"/>
          <w:bCs/>
          <w:snapToGrid w:val="0"/>
        </w:rPr>
        <w:t>6.54</w:t>
      </w:r>
      <w:r w:rsidR="007D4333" w:rsidRPr="00DC4D12">
        <w:rPr>
          <w:rFonts w:asciiTheme="minorHAnsi" w:hAnsiTheme="minorHAnsi"/>
          <w:bCs/>
          <w:snapToGrid w:val="0"/>
        </w:rPr>
        <w:fldChar w:fldCharType="end"/>
      </w:r>
      <w:r w:rsidR="007D4333" w:rsidRPr="00DC4D12">
        <w:rPr>
          <w:rFonts w:asciiTheme="minorHAnsi" w:hAnsiTheme="minorHAnsi"/>
          <w:bCs/>
          <w:snapToGrid w:val="0"/>
        </w:rPr>
        <w:t xml:space="preserve">), </w:t>
      </w:r>
      <w:r w:rsidR="009C3020" w:rsidRPr="00DC4D12">
        <w:rPr>
          <w:rFonts w:asciiTheme="minorHAnsi" w:hAnsiTheme="minorHAnsi"/>
          <w:bCs/>
          <w:snapToGrid w:val="0"/>
        </w:rPr>
        <w:t xml:space="preserve">use of alendronate as a proxy to determine </w:t>
      </w:r>
      <w:r w:rsidR="007D4333" w:rsidRPr="00DC4D12">
        <w:rPr>
          <w:rFonts w:asciiTheme="minorHAnsi" w:hAnsiTheme="minorHAnsi"/>
          <w:bCs/>
          <w:snapToGrid w:val="0"/>
        </w:rPr>
        <w:t>risedronate treatment effects (</w:t>
      </w:r>
      <w:r w:rsidR="009C3020" w:rsidRPr="00DC4D12">
        <w:rPr>
          <w:rFonts w:asciiTheme="minorHAnsi" w:hAnsiTheme="minorHAnsi"/>
          <w:bCs/>
          <w:snapToGrid w:val="0"/>
        </w:rPr>
        <w:t xml:space="preserve">see paragraph </w:t>
      </w:r>
      <w:r w:rsidR="009C3020" w:rsidRPr="00DC4D12">
        <w:rPr>
          <w:rFonts w:asciiTheme="minorHAnsi" w:hAnsiTheme="minorHAnsi"/>
          <w:bCs/>
          <w:snapToGrid w:val="0"/>
        </w:rPr>
        <w:fldChar w:fldCharType="begin" w:fldLock="1"/>
      </w:r>
      <w:r w:rsidR="009C3020" w:rsidRPr="00DC4D12">
        <w:rPr>
          <w:rFonts w:asciiTheme="minorHAnsi" w:hAnsiTheme="minorHAnsi"/>
          <w:bCs/>
          <w:snapToGrid w:val="0"/>
        </w:rPr>
        <w:instrText xml:space="preserve"> REF _Ref116396649 \r \h </w:instrText>
      </w:r>
      <w:r w:rsidR="00B600AA" w:rsidRPr="00DC4D12">
        <w:rPr>
          <w:rFonts w:asciiTheme="minorHAnsi" w:hAnsiTheme="minorHAnsi"/>
          <w:bCs/>
          <w:snapToGrid w:val="0"/>
        </w:rPr>
        <w:instrText xml:space="preserve"> \* MERGEFORMAT </w:instrText>
      </w:r>
      <w:r w:rsidR="009C3020" w:rsidRPr="00DC4D12">
        <w:rPr>
          <w:rFonts w:asciiTheme="minorHAnsi" w:hAnsiTheme="minorHAnsi"/>
          <w:bCs/>
          <w:snapToGrid w:val="0"/>
        </w:rPr>
      </w:r>
      <w:r w:rsidR="009C3020" w:rsidRPr="00DC4D12">
        <w:rPr>
          <w:rFonts w:asciiTheme="minorHAnsi" w:hAnsiTheme="minorHAnsi"/>
          <w:bCs/>
          <w:snapToGrid w:val="0"/>
        </w:rPr>
        <w:fldChar w:fldCharType="separate"/>
      </w:r>
      <w:r w:rsidR="008E5873">
        <w:rPr>
          <w:rFonts w:asciiTheme="minorHAnsi" w:hAnsiTheme="minorHAnsi"/>
          <w:bCs/>
          <w:snapToGrid w:val="0"/>
        </w:rPr>
        <w:t>6.61</w:t>
      </w:r>
      <w:r w:rsidR="009C3020" w:rsidRPr="00DC4D12">
        <w:rPr>
          <w:rFonts w:asciiTheme="minorHAnsi" w:hAnsiTheme="minorHAnsi"/>
          <w:bCs/>
          <w:snapToGrid w:val="0"/>
        </w:rPr>
        <w:fldChar w:fldCharType="end"/>
      </w:r>
      <w:r w:rsidR="009C3020" w:rsidRPr="00DC4D12">
        <w:rPr>
          <w:rFonts w:asciiTheme="minorHAnsi" w:hAnsiTheme="minorHAnsi"/>
          <w:bCs/>
          <w:snapToGrid w:val="0"/>
        </w:rPr>
        <w:t xml:space="preserve">) and overestimating the costs of fractures occurring in the younger population (see paragraph </w:t>
      </w:r>
      <w:r w:rsidR="009C3020" w:rsidRPr="00DC4D12">
        <w:rPr>
          <w:rFonts w:asciiTheme="minorHAnsi" w:hAnsiTheme="minorHAnsi"/>
          <w:bCs/>
          <w:snapToGrid w:val="0"/>
        </w:rPr>
        <w:fldChar w:fldCharType="begin" w:fldLock="1"/>
      </w:r>
      <w:r w:rsidR="009C3020" w:rsidRPr="00DC4D12">
        <w:rPr>
          <w:rFonts w:asciiTheme="minorHAnsi" w:hAnsiTheme="minorHAnsi"/>
          <w:bCs/>
          <w:snapToGrid w:val="0"/>
        </w:rPr>
        <w:instrText xml:space="preserve"> REF _Ref116396854 \r \h </w:instrText>
      </w:r>
      <w:r w:rsidR="00B600AA" w:rsidRPr="00DC4D12">
        <w:rPr>
          <w:rFonts w:asciiTheme="minorHAnsi" w:hAnsiTheme="minorHAnsi"/>
          <w:bCs/>
          <w:snapToGrid w:val="0"/>
        </w:rPr>
        <w:instrText xml:space="preserve"> \* MERGEFORMAT </w:instrText>
      </w:r>
      <w:r w:rsidR="009C3020" w:rsidRPr="00DC4D12">
        <w:rPr>
          <w:rFonts w:asciiTheme="minorHAnsi" w:hAnsiTheme="minorHAnsi"/>
          <w:bCs/>
          <w:snapToGrid w:val="0"/>
        </w:rPr>
      </w:r>
      <w:r w:rsidR="009C3020" w:rsidRPr="00DC4D12">
        <w:rPr>
          <w:rFonts w:asciiTheme="minorHAnsi" w:hAnsiTheme="minorHAnsi"/>
          <w:bCs/>
          <w:snapToGrid w:val="0"/>
        </w:rPr>
        <w:fldChar w:fldCharType="separate"/>
      </w:r>
      <w:r w:rsidR="008E5873">
        <w:rPr>
          <w:rFonts w:asciiTheme="minorHAnsi" w:hAnsiTheme="minorHAnsi"/>
          <w:bCs/>
          <w:snapToGrid w:val="0"/>
        </w:rPr>
        <w:t>6.65</w:t>
      </w:r>
      <w:r w:rsidR="009C3020" w:rsidRPr="00DC4D12">
        <w:rPr>
          <w:rFonts w:asciiTheme="minorHAnsi" w:hAnsiTheme="minorHAnsi"/>
          <w:bCs/>
          <w:snapToGrid w:val="0"/>
        </w:rPr>
        <w:fldChar w:fldCharType="end"/>
      </w:r>
      <w:r w:rsidR="009C3020" w:rsidRPr="00DC4D12">
        <w:rPr>
          <w:rFonts w:asciiTheme="minorHAnsi" w:hAnsiTheme="minorHAnsi"/>
          <w:bCs/>
          <w:snapToGrid w:val="0"/>
        </w:rPr>
        <w:t xml:space="preserve">). The ESC noted that </w:t>
      </w:r>
      <w:r w:rsidR="00CC54EC" w:rsidRPr="00DC4D12">
        <w:rPr>
          <w:rFonts w:asciiTheme="minorHAnsi" w:hAnsiTheme="minorHAnsi"/>
          <w:bCs/>
          <w:snapToGrid w:val="0"/>
        </w:rPr>
        <w:t xml:space="preserve">the multivariate sensitivity analysis that reduced the time horizon to 10 years, </w:t>
      </w:r>
      <w:bookmarkStart w:id="53" w:name="_Hlk120444312"/>
      <w:r w:rsidR="00CC54EC" w:rsidRPr="00DC4D12">
        <w:rPr>
          <w:rFonts w:asciiTheme="minorHAnsi" w:hAnsiTheme="minorHAnsi"/>
          <w:bCs/>
          <w:snapToGrid w:val="0"/>
        </w:rPr>
        <w:t>used the risedronate treatment effects reported in Boonen 2010</w:t>
      </w:r>
      <w:bookmarkEnd w:id="53"/>
      <w:r w:rsidR="00CC54EC" w:rsidRPr="00DC4D12">
        <w:rPr>
          <w:rFonts w:asciiTheme="minorHAnsi" w:hAnsiTheme="minorHAnsi"/>
          <w:bCs/>
          <w:snapToGrid w:val="0"/>
        </w:rPr>
        <w:t xml:space="preserve"> and decreased hip and non-hip fracture costs increased the ICER from a base case of </w:t>
      </w:r>
      <w:r w:rsidR="00EF01C4" w:rsidRPr="00EF01C4">
        <w:rPr>
          <w:rFonts w:asciiTheme="minorHAnsi" w:hAnsiTheme="minorHAnsi"/>
          <w:bCs/>
          <w:snapToGrid w:val="0"/>
        </w:rPr>
        <w:t>$5,000</w:t>
      </w:r>
      <w:r w:rsidR="004E1B4A">
        <w:rPr>
          <w:rFonts w:asciiTheme="minorHAnsi" w:hAnsiTheme="minorHAnsi"/>
          <w:bCs/>
          <w:snapToGrid w:val="0"/>
        </w:rPr>
        <w:t> </w:t>
      </w:r>
      <w:r w:rsidR="00EF01C4" w:rsidRPr="00EF01C4">
        <w:rPr>
          <w:rFonts w:asciiTheme="minorHAnsi" w:hAnsiTheme="minorHAnsi"/>
          <w:bCs/>
          <w:snapToGrid w:val="0"/>
        </w:rPr>
        <w:t>to</w:t>
      </w:r>
      <w:r w:rsidR="004E1B4A">
        <w:rPr>
          <w:rFonts w:asciiTheme="minorHAnsi" w:hAnsiTheme="minorHAnsi"/>
          <w:bCs/>
          <w:snapToGrid w:val="0"/>
        </w:rPr>
        <w:t> </w:t>
      </w:r>
      <w:r w:rsidR="00EF01C4" w:rsidRPr="00EF01C4">
        <w:rPr>
          <w:rFonts w:asciiTheme="minorHAnsi" w:hAnsiTheme="minorHAnsi"/>
          <w:bCs/>
          <w:snapToGrid w:val="0"/>
        </w:rPr>
        <w:t>&lt;</w:t>
      </w:r>
      <w:r w:rsidR="004E1B4A">
        <w:rPr>
          <w:rFonts w:asciiTheme="minorHAnsi" w:hAnsiTheme="minorHAnsi"/>
          <w:bCs/>
          <w:snapToGrid w:val="0"/>
        </w:rPr>
        <w:t> </w:t>
      </w:r>
      <w:r w:rsidR="00EF01C4" w:rsidRPr="00EF01C4">
        <w:rPr>
          <w:rFonts w:asciiTheme="minorHAnsi" w:hAnsiTheme="minorHAnsi"/>
          <w:bCs/>
          <w:snapToGrid w:val="0"/>
        </w:rPr>
        <w:t xml:space="preserve">$15,000 </w:t>
      </w:r>
      <w:r w:rsidR="00CC54EC" w:rsidRPr="00DC4D12">
        <w:rPr>
          <w:rFonts w:asciiTheme="minorHAnsi" w:hAnsiTheme="minorHAnsi"/>
          <w:bCs/>
          <w:snapToGrid w:val="0"/>
        </w:rPr>
        <w:t xml:space="preserve">per QALY gained to </w:t>
      </w:r>
      <w:r w:rsidR="00EF01C4" w:rsidRPr="00EF01C4">
        <w:rPr>
          <w:rFonts w:asciiTheme="minorHAnsi" w:hAnsiTheme="minorHAnsi"/>
          <w:bCs/>
          <w:snapToGrid w:val="0"/>
        </w:rPr>
        <w:t>$75,000</w:t>
      </w:r>
      <w:r w:rsidR="004E1B4A">
        <w:rPr>
          <w:rFonts w:asciiTheme="minorHAnsi" w:hAnsiTheme="minorHAnsi"/>
          <w:bCs/>
          <w:snapToGrid w:val="0"/>
        </w:rPr>
        <w:t> </w:t>
      </w:r>
      <w:r w:rsidR="00EF01C4" w:rsidRPr="00EF01C4">
        <w:rPr>
          <w:rFonts w:asciiTheme="minorHAnsi" w:hAnsiTheme="minorHAnsi"/>
          <w:bCs/>
          <w:snapToGrid w:val="0"/>
        </w:rPr>
        <w:t>to</w:t>
      </w:r>
      <w:r w:rsidR="004E1B4A">
        <w:rPr>
          <w:rFonts w:asciiTheme="minorHAnsi" w:hAnsiTheme="minorHAnsi"/>
          <w:bCs/>
          <w:snapToGrid w:val="0"/>
        </w:rPr>
        <w:t> </w:t>
      </w:r>
      <w:r w:rsidR="00EF01C4" w:rsidRPr="00EF01C4">
        <w:rPr>
          <w:rFonts w:asciiTheme="minorHAnsi" w:hAnsiTheme="minorHAnsi"/>
          <w:bCs/>
          <w:snapToGrid w:val="0"/>
        </w:rPr>
        <w:t>&lt;</w:t>
      </w:r>
      <w:r w:rsidR="004E1B4A">
        <w:rPr>
          <w:rFonts w:asciiTheme="minorHAnsi" w:hAnsiTheme="minorHAnsi"/>
          <w:bCs/>
          <w:snapToGrid w:val="0"/>
        </w:rPr>
        <w:t> </w:t>
      </w:r>
      <w:r w:rsidR="00EF01C4" w:rsidRPr="00EF01C4">
        <w:rPr>
          <w:rFonts w:asciiTheme="minorHAnsi" w:hAnsiTheme="minorHAnsi"/>
          <w:bCs/>
          <w:snapToGrid w:val="0"/>
        </w:rPr>
        <w:t>$95,000</w:t>
      </w:r>
      <w:r w:rsidR="00EF01C4">
        <w:rPr>
          <w:rFonts w:asciiTheme="minorHAnsi" w:hAnsiTheme="minorHAnsi"/>
          <w:bCs/>
          <w:snapToGrid w:val="0"/>
        </w:rPr>
        <w:t xml:space="preserve"> </w:t>
      </w:r>
      <w:r w:rsidR="00CC54EC" w:rsidRPr="00DC4D12">
        <w:rPr>
          <w:rFonts w:asciiTheme="minorHAnsi" w:hAnsiTheme="minorHAnsi"/>
          <w:bCs/>
          <w:snapToGrid w:val="0"/>
        </w:rPr>
        <w:t xml:space="preserve">per QALY gained. </w:t>
      </w:r>
      <w:r w:rsidR="004F4CD2" w:rsidRPr="00DC4D12">
        <w:rPr>
          <w:rFonts w:asciiTheme="minorHAnsi" w:hAnsiTheme="minorHAnsi"/>
          <w:bCs/>
          <w:snapToGrid w:val="0"/>
        </w:rPr>
        <w:t xml:space="preserve">The ESC considered that the resulting ICER of </w:t>
      </w:r>
      <w:r w:rsidR="00EF01C4" w:rsidRPr="00EF01C4">
        <w:rPr>
          <w:rFonts w:asciiTheme="minorHAnsi" w:hAnsiTheme="minorHAnsi"/>
          <w:bCs/>
          <w:snapToGrid w:val="0"/>
        </w:rPr>
        <w:t>$75,000</w:t>
      </w:r>
      <w:r w:rsidR="004E1B4A">
        <w:rPr>
          <w:rFonts w:asciiTheme="minorHAnsi" w:hAnsiTheme="minorHAnsi"/>
          <w:bCs/>
          <w:snapToGrid w:val="0"/>
        </w:rPr>
        <w:t> </w:t>
      </w:r>
      <w:r w:rsidR="00EF01C4" w:rsidRPr="00EF01C4">
        <w:rPr>
          <w:rFonts w:asciiTheme="minorHAnsi" w:hAnsiTheme="minorHAnsi"/>
          <w:bCs/>
          <w:snapToGrid w:val="0"/>
        </w:rPr>
        <w:t>to</w:t>
      </w:r>
      <w:r w:rsidR="004E1B4A">
        <w:rPr>
          <w:rFonts w:asciiTheme="minorHAnsi" w:hAnsiTheme="minorHAnsi"/>
          <w:bCs/>
          <w:snapToGrid w:val="0"/>
        </w:rPr>
        <w:t> </w:t>
      </w:r>
      <w:r w:rsidR="00EF01C4" w:rsidRPr="00EF01C4">
        <w:rPr>
          <w:rFonts w:asciiTheme="minorHAnsi" w:hAnsiTheme="minorHAnsi"/>
          <w:bCs/>
          <w:snapToGrid w:val="0"/>
        </w:rPr>
        <w:t>&lt;</w:t>
      </w:r>
      <w:r w:rsidR="004E1B4A">
        <w:rPr>
          <w:rFonts w:asciiTheme="minorHAnsi" w:hAnsiTheme="minorHAnsi"/>
          <w:bCs/>
          <w:snapToGrid w:val="0"/>
        </w:rPr>
        <w:t> </w:t>
      </w:r>
      <w:r w:rsidR="00EF01C4" w:rsidRPr="00EF01C4">
        <w:rPr>
          <w:rFonts w:asciiTheme="minorHAnsi" w:hAnsiTheme="minorHAnsi"/>
          <w:bCs/>
          <w:snapToGrid w:val="0"/>
        </w:rPr>
        <w:t>$95,000</w:t>
      </w:r>
      <w:r w:rsidR="00EF01C4">
        <w:rPr>
          <w:rFonts w:asciiTheme="minorHAnsi" w:hAnsiTheme="minorHAnsi"/>
          <w:bCs/>
          <w:snapToGrid w:val="0"/>
        </w:rPr>
        <w:t xml:space="preserve"> </w:t>
      </w:r>
      <w:r w:rsidR="004F4CD2" w:rsidRPr="00DC4D12">
        <w:rPr>
          <w:rFonts w:asciiTheme="minorHAnsi" w:hAnsiTheme="minorHAnsi"/>
          <w:bCs/>
          <w:snapToGrid w:val="0"/>
        </w:rPr>
        <w:t xml:space="preserve">per QALY gained was </w:t>
      </w:r>
      <w:r w:rsidR="00EB4392" w:rsidRPr="00DC4D12">
        <w:rPr>
          <w:rFonts w:asciiTheme="minorHAnsi" w:hAnsiTheme="minorHAnsi"/>
          <w:bCs/>
          <w:snapToGrid w:val="0"/>
        </w:rPr>
        <w:t xml:space="preserve">more reliable </w:t>
      </w:r>
      <w:r w:rsidR="004F4CD2" w:rsidRPr="00DC4D12">
        <w:rPr>
          <w:rFonts w:asciiTheme="minorHAnsi" w:hAnsiTheme="minorHAnsi"/>
          <w:bCs/>
          <w:snapToGrid w:val="0"/>
        </w:rPr>
        <w:t>than the base case ICER proposed in the submission</w:t>
      </w:r>
      <w:r w:rsidR="00EB4392" w:rsidRPr="00DC4D12">
        <w:rPr>
          <w:rFonts w:asciiTheme="minorHAnsi" w:hAnsiTheme="minorHAnsi"/>
          <w:bCs/>
          <w:snapToGrid w:val="0"/>
        </w:rPr>
        <w:t xml:space="preserve">. However, the ESC remained concerned that the costs associated with BMD testing in the proposed population were not included in the economic evaluation. The ESC noted that </w:t>
      </w:r>
      <w:r w:rsidR="004F4CD2" w:rsidRPr="00DC4D12">
        <w:rPr>
          <w:rFonts w:asciiTheme="minorHAnsi" w:hAnsiTheme="minorHAnsi"/>
          <w:bCs/>
          <w:snapToGrid w:val="0"/>
        </w:rPr>
        <w:t xml:space="preserve">any submission requesting changes to the existing </w:t>
      </w:r>
      <w:r w:rsidR="00EB4392" w:rsidRPr="00DC4D12">
        <w:rPr>
          <w:rFonts w:asciiTheme="minorHAnsi" w:hAnsiTheme="minorHAnsi"/>
          <w:bCs/>
          <w:snapToGrid w:val="0"/>
        </w:rPr>
        <w:t xml:space="preserve">risedronate </w:t>
      </w:r>
      <w:r w:rsidR="004F4CD2" w:rsidRPr="00DC4D12">
        <w:rPr>
          <w:rFonts w:asciiTheme="minorHAnsi" w:hAnsiTheme="minorHAnsi"/>
          <w:bCs/>
          <w:snapToGrid w:val="0"/>
        </w:rPr>
        <w:t>PBS restrictions should also consider the consequences of parallel changes to the MBS items for prerequisite BMD testing.</w:t>
      </w:r>
      <w:bookmarkEnd w:id="52"/>
      <w:r w:rsidR="004F4CD2" w:rsidRPr="00DC4D12">
        <w:rPr>
          <w:rFonts w:asciiTheme="minorHAnsi" w:hAnsiTheme="minorHAnsi"/>
          <w:bCs/>
          <w:snapToGrid w:val="0"/>
        </w:rPr>
        <w:t xml:space="preserve"> </w:t>
      </w:r>
      <w:bookmarkStart w:id="54" w:name="_Ref120524831"/>
    </w:p>
    <w:bookmarkEnd w:id="54"/>
    <w:p w14:paraId="2EB4E025" w14:textId="634BE125" w:rsidR="002726B0" w:rsidRDefault="00B957EE" w:rsidP="00DC4D12">
      <w:pPr>
        <w:pStyle w:val="COMexecsumnumberedpara"/>
        <w:numPr>
          <w:ilvl w:val="1"/>
          <w:numId w:val="9"/>
        </w:numPr>
        <w:ind w:left="720" w:hanging="720"/>
      </w:pPr>
      <w:r>
        <w:t xml:space="preserve">The </w:t>
      </w:r>
      <w:r w:rsidR="00516B95">
        <w:t>p</w:t>
      </w:r>
      <w:r>
        <w:t xml:space="preserve">re-PBAC Response </w:t>
      </w:r>
      <w:r w:rsidR="002726B0">
        <w:t>disagreed with the ESC that a 10 year time horizon was appropriate, and stated that Karnon 2016 specified a base case of 10 years in a model with a starting age of 72 years. Given the model has a base case starting age of 62 years, the response argued a 10 year horizon would significantly overestimate the cost of risedronate relative to the comparator arm</w:t>
      </w:r>
      <w:r w:rsidR="00452E2F">
        <w:t xml:space="preserve"> and stated that a</w:t>
      </w:r>
      <w:r w:rsidR="002726B0">
        <w:t xml:space="preserve"> 15 year time horizon wa</w:t>
      </w:r>
      <w:r w:rsidR="00452E2F">
        <w:t>s more reasonable</w:t>
      </w:r>
      <w:r w:rsidR="002726B0">
        <w:t>.</w:t>
      </w:r>
      <w:r w:rsidR="00A05D77">
        <w:t xml:space="preserve"> In addition, the </w:t>
      </w:r>
      <w:bookmarkStart w:id="55" w:name="_Ref120525240"/>
      <w:r w:rsidR="00452E2F">
        <w:t xml:space="preserve">pre-PBAC </w:t>
      </w:r>
      <w:r w:rsidR="00137CED">
        <w:t>response disagreed with the ESC that a reduction in hip and non-hip fracture costs in line with the Tatangelo 2019 study would likely be appropriate</w:t>
      </w:r>
      <w:r w:rsidR="00452E2F">
        <w:t>.</w:t>
      </w:r>
      <w:r w:rsidR="00137CED">
        <w:t xml:space="preserve"> </w:t>
      </w:r>
      <w:r w:rsidR="00452E2F">
        <w:t xml:space="preserve">The pre-PBAC response argued that fracture costs be </w:t>
      </w:r>
      <w:r w:rsidR="00137CED">
        <w:t>weight</w:t>
      </w:r>
      <w:r w:rsidR="00452E2F">
        <w:t xml:space="preserve">ed </w:t>
      </w:r>
      <w:r w:rsidR="00137CED">
        <w:t>based on the proportion of fractures occurring in the model prior to or after age 70</w:t>
      </w:r>
      <w:r w:rsidR="00452E2F">
        <w:t>. The response stated</w:t>
      </w:r>
      <w:r w:rsidR="00137CED">
        <w:t xml:space="preserve"> </w:t>
      </w:r>
      <w:r w:rsidR="00452E2F">
        <w:t xml:space="preserve">this </w:t>
      </w:r>
      <w:r w:rsidR="00137CED">
        <w:t xml:space="preserve">resulted in a 6% reduction in hip and non-hip fracture costs. </w:t>
      </w:r>
      <w:r w:rsidR="00452E2F">
        <w:t xml:space="preserve">The pre-PBAC response </w:t>
      </w:r>
      <w:r w:rsidR="00140BD7">
        <w:t xml:space="preserve">provided a respecified base case which </w:t>
      </w:r>
      <w:r w:rsidR="00140BD7" w:rsidRPr="00B600AA">
        <w:t xml:space="preserve">used </w:t>
      </w:r>
      <w:r w:rsidR="00140BD7" w:rsidRPr="00141D75">
        <w:t xml:space="preserve">equivalent risedronate EC and </w:t>
      </w:r>
      <w:r w:rsidR="00207A08">
        <w:t>standard of care</w:t>
      </w:r>
      <w:r w:rsidR="00140BD7" w:rsidRPr="00141D75">
        <w:t xml:space="preserve"> treatment effects based on hip fracture RRR 41% and non-hip fracture RRR 46%</w:t>
      </w:r>
      <w:r w:rsidR="00140BD7">
        <w:t xml:space="preserve">, a 15 year time horizon and a 6% reduction in hip and non-hip fracture costs, with a resultant ICER of </w:t>
      </w:r>
      <w:r w:rsidR="00EF01C4" w:rsidRPr="00EF01C4">
        <w:t>$25,000</w:t>
      </w:r>
      <w:r w:rsidR="004E1B4A">
        <w:t> </w:t>
      </w:r>
      <w:r w:rsidR="00EF01C4" w:rsidRPr="00EF01C4">
        <w:t>to</w:t>
      </w:r>
      <w:r w:rsidR="004E1B4A">
        <w:t> </w:t>
      </w:r>
      <w:r w:rsidR="00EF01C4" w:rsidRPr="00EF01C4">
        <w:t>&lt;</w:t>
      </w:r>
      <w:r w:rsidR="004E1B4A">
        <w:t> </w:t>
      </w:r>
      <w:r w:rsidR="00EF01C4" w:rsidRPr="00EF01C4">
        <w:t>$35,000</w:t>
      </w:r>
      <w:r w:rsidR="00EF01C4">
        <w:t xml:space="preserve"> </w:t>
      </w:r>
      <w:r w:rsidR="00140BD7">
        <w:t>per QALY gained.</w:t>
      </w:r>
      <w:bookmarkEnd w:id="55"/>
      <w:r w:rsidR="00140BD7">
        <w:t xml:space="preserve"> </w:t>
      </w:r>
    </w:p>
    <w:p w14:paraId="472842D7" w14:textId="27AB142C" w:rsidR="00C25D9C" w:rsidRPr="002E14F6" w:rsidRDefault="00C25D9C" w:rsidP="00BB732D">
      <w:pPr>
        <w:pStyle w:val="COMH2-non-numbered"/>
      </w:pPr>
      <w:bookmarkStart w:id="56" w:name="_Toc22897646"/>
      <w:bookmarkStart w:id="57" w:name="_Toc113980158"/>
      <w:r w:rsidRPr="002E14F6">
        <w:t>Drug cost/patient/year</w:t>
      </w:r>
      <w:bookmarkEnd w:id="56"/>
      <w:bookmarkEnd w:id="57"/>
    </w:p>
    <w:p w14:paraId="51691BD3" w14:textId="67796053" w:rsidR="00494207" w:rsidRPr="002E14F6" w:rsidRDefault="00E16AD8" w:rsidP="00FD4ED6">
      <w:pPr>
        <w:pStyle w:val="COMtablefigcaption"/>
      </w:pPr>
      <w:bookmarkStart w:id="58" w:name="_Ref104805102"/>
      <w:r w:rsidRPr="002E14F6">
        <w:t xml:space="preserve">Table </w:t>
      </w:r>
      <w:r w:rsidR="00400174">
        <w:fldChar w:fldCharType="begin" w:fldLock="1"/>
      </w:r>
      <w:r w:rsidR="00400174">
        <w:instrText xml:space="preserve"> SEQ Table \* ARABIC </w:instrText>
      </w:r>
      <w:r w:rsidR="00400174">
        <w:fldChar w:fldCharType="separate"/>
      </w:r>
      <w:r w:rsidR="00C2719F">
        <w:rPr>
          <w:noProof/>
        </w:rPr>
        <w:t>14</w:t>
      </w:r>
      <w:r w:rsidR="00400174">
        <w:rPr>
          <w:noProof/>
        </w:rPr>
        <w:fldChar w:fldCharType="end"/>
      </w:r>
      <w:bookmarkEnd w:id="58"/>
      <w:r w:rsidRPr="002E14F6">
        <w:t>:</w:t>
      </w:r>
      <w:r w:rsidR="00494207" w:rsidRPr="002E14F6">
        <w:t xml:space="preserve"> Drug cost per patient for </w:t>
      </w:r>
      <w:r w:rsidR="00EF72F8">
        <w:t>risedronate EC</w:t>
      </w:r>
    </w:p>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4: Drug cost per patient for risedronate EC"/>
      </w:tblPr>
      <w:tblGrid>
        <w:gridCol w:w="1467"/>
        <w:gridCol w:w="2072"/>
        <w:gridCol w:w="1986"/>
        <w:gridCol w:w="1840"/>
        <w:gridCol w:w="1630"/>
      </w:tblGrid>
      <w:tr w:rsidR="00D32BED" w:rsidRPr="002E14F6" w14:paraId="21AC90BD" w14:textId="77777777" w:rsidTr="004532A6">
        <w:trPr>
          <w:cantSplit/>
          <w:tblHeader/>
          <w:jc w:val="center"/>
        </w:trPr>
        <w:tc>
          <w:tcPr>
            <w:tcW w:w="815" w:type="pct"/>
            <w:shd w:val="clear" w:color="auto" w:fill="auto"/>
            <w:vAlign w:val="center"/>
          </w:tcPr>
          <w:p w14:paraId="485D48B1" w14:textId="77777777" w:rsidR="00D32BED" w:rsidRPr="002E14F6" w:rsidRDefault="00D32BED" w:rsidP="00BB732D">
            <w:pPr>
              <w:pStyle w:val="COMTableheadingrow"/>
              <w:jc w:val="center"/>
              <w:rPr>
                <w:lang w:val="en-AU"/>
              </w:rPr>
            </w:pPr>
          </w:p>
        </w:tc>
        <w:tc>
          <w:tcPr>
            <w:tcW w:w="1152" w:type="pct"/>
            <w:shd w:val="clear" w:color="auto" w:fill="auto"/>
            <w:vAlign w:val="center"/>
          </w:tcPr>
          <w:p w14:paraId="3642530E" w14:textId="7C02AB09" w:rsidR="00D32BED" w:rsidRPr="002E14F6" w:rsidRDefault="00D32BED" w:rsidP="00BB732D">
            <w:pPr>
              <w:pStyle w:val="COMTableheadingrow"/>
              <w:jc w:val="center"/>
              <w:rPr>
                <w:lang w:val="en-AU"/>
              </w:rPr>
            </w:pPr>
            <w:r>
              <w:rPr>
                <w:lang w:val="en-AU"/>
              </w:rPr>
              <w:t>Risedronate IR trials (BMD-MN, BMD-NA, VERT-MN, VERT-NA, HIP)</w:t>
            </w:r>
          </w:p>
        </w:tc>
        <w:tc>
          <w:tcPr>
            <w:tcW w:w="1104" w:type="pct"/>
            <w:shd w:val="clear" w:color="auto" w:fill="auto"/>
            <w:vAlign w:val="center"/>
          </w:tcPr>
          <w:p w14:paraId="250CD479" w14:textId="61573692" w:rsidR="00D32BED" w:rsidRPr="002E14F6" w:rsidRDefault="00D32BED" w:rsidP="00BB732D">
            <w:pPr>
              <w:pStyle w:val="COMTableheadingrow"/>
              <w:jc w:val="center"/>
              <w:rPr>
                <w:lang w:val="en-AU"/>
              </w:rPr>
            </w:pPr>
            <w:r>
              <w:rPr>
                <w:lang w:val="en-AU"/>
              </w:rPr>
              <w:t>Risedronate EC trial (FANTASIA)</w:t>
            </w:r>
          </w:p>
        </w:tc>
        <w:tc>
          <w:tcPr>
            <w:tcW w:w="1023" w:type="pct"/>
            <w:shd w:val="clear" w:color="auto" w:fill="auto"/>
            <w:vAlign w:val="center"/>
          </w:tcPr>
          <w:p w14:paraId="44C76606" w14:textId="632AD98D" w:rsidR="00D32BED" w:rsidRPr="002E14F6" w:rsidRDefault="00D32BED" w:rsidP="00BB732D">
            <w:pPr>
              <w:pStyle w:val="COMTableheadingrow"/>
              <w:jc w:val="center"/>
              <w:rPr>
                <w:lang w:val="en-AU"/>
              </w:rPr>
            </w:pPr>
            <w:r>
              <w:rPr>
                <w:lang w:val="en-AU"/>
              </w:rPr>
              <w:t>Economic model</w:t>
            </w:r>
          </w:p>
        </w:tc>
        <w:tc>
          <w:tcPr>
            <w:tcW w:w="906" w:type="pct"/>
            <w:shd w:val="clear" w:color="auto" w:fill="auto"/>
            <w:vAlign w:val="center"/>
          </w:tcPr>
          <w:p w14:paraId="47A6474D" w14:textId="741C9568" w:rsidR="00D32BED" w:rsidRPr="002E14F6" w:rsidRDefault="00D32BED" w:rsidP="00BB732D">
            <w:pPr>
              <w:pStyle w:val="COMTableheadingrow"/>
              <w:jc w:val="center"/>
              <w:rPr>
                <w:lang w:val="en-AU"/>
              </w:rPr>
            </w:pPr>
            <w:r>
              <w:rPr>
                <w:lang w:val="en-AU"/>
              </w:rPr>
              <w:t>Financial estimates</w:t>
            </w:r>
          </w:p>
        </w:tc>
      </w:tr>
      <w:tr w:rsidR="00D32BED" w:rsidRPr="002E14F6" w14:paraId="745DAF0B" w14:textId="77777777" w:rsidTr="004532A6">
        <w:trPr>
          <w:cantSplit/>
          <w:jc w:val="center"/>
        </w:trPr>
        <w:tc>
          <w:tcPr>
            <w:tcW w:w="815" w:type="pct"/>
            <w:shd w:val="clear" w:color="auto" w:fill="auto"/>
            <w:vAlign w:val="center"/>
          </w:tcPr>
          <w:p w14:paraId="743973CE" w14:textId="455DB531" w:rsidR="00D32BED" w:rsidRPr="002E14F6" w:rsidRDefault="00D32BED" w:rsidP="00BB732D">
            <w:pPr>
              <w:pStyle w:val="COMTabletext"/>
            </w:pPr>
            <w:r>
              <w:t>Treatment adherence</w:t>
            </w:r>
          </w:p>
        </w:tc>
        <w:tc>
          <w:tcPr>
            <w:tcW w:w="1152" w:type="pct"/>
            <w:shd w:val="clear" w:color="auto" w:fill="auto"/>
            <w:vAlign w:val="center"/>
          </w:tcPr>
          <w:p w14:paraId="5B1C9B2C" w14:textId="7C497B8E" w:rsidR="00D32BED" w:rsidRPr="002E14F6" w:rsidRDefault="00A817D3" w:rsidP="00D32BED">
            <w:pPr>
              <w:pStyle w:val="TableText"/>
              <w:jc w:val="center"/>
            </w:pPr>
            <w:r>
              <w:t>NR</w:t>
            </w:r>
          </w:p>
        </w:tc>
        <w:tc>
          <w:tcPr>
            <w:tcW w:w="1104" w:type="pct"/>
            <w:shd w:val="clear" w:color="auto" w:fill="auto"/>
            <w:vAlign w:val="center"/>
          </w:tcPr>
          <w:p w14:paraId="7379D234" w14:textId="3BBF1F91" w:rsidR="00D32BED" w:rsidRPr="002E14F6" w:rsidRDefault="001A53C0" w:rsidP="00D32BED">
            <w:pPr>
              <w:pStyle w:val="TableText"/>
              <w:jc w:val="center"/>
            </w:pPr>
            <w:r>
              <w:t>94% of patients took at least 80% of study tablets</w:t>
            </w:r>
          </w:p>
        </w:tc>
        <w:tc>
          <w:tcPr>
            <w:tcW w:w="1023" w:type="pct"/>
            <w:shd w:val="clear" w:color="auto" w:fill="auto"/>
            <w:vAlign w:val="center"/>
          </w:tcPr>
          <w:p w14:paraId="23821253" w14:textId="1B95B9B9" w:rsidR="00D32BED" w:rsidRPr="000678DA" w:rsidRDefault="0095037A" w:rsidP="00D32BED">
            <w:pPr>
              <w:pStyle w:val="TableText"/>
              <w:jc w:val="center"/>
              <w:rPr>
                <w:vertAlign w:val="superscript"/>
              </w:rPr>
            </w:pPr>
            <w:r>
              <w:t>75.2%</w:t>
            </w:r>
            <w:r w:rsidR="000678DA">
              <w:t xml:space="preserve"> </w:t>
            </w:r>
            <w:r w:rsidR="000678DA">
              <w:rPr>
                <w:vertAlign w:val="superscript"/>
              </w:rPr>
              <w:t>a</w:t>
            </w:r>
          </w:p>
        </w:tc>
        <w:tc>
          <w:tcPr>
            <w:tcW w:w="906" w:type="pct"/>
            <w:shd w:val="clear" w:color="auto" w:fill="auto"/>
            <w:vAlign w:val="center"/>
          </w:tcPr>
          <w:p w14:paraId="5005B053" w14:textId="3229C670" w:rsidR="00D32BED" w:rsidRPr="000678DA" w:rsidRDefault="0095037A" w:rsidP="00D32BED">
            <w:pPr>
              <w:pStyle w:val="TableText"/>
              <w:jc w:val="center"/>
              <w:rPr>
                <w:vertAlign w:val="superscript"/>
              </w:rPr>
            </w:pPr>
            <w:r>
              <w:t>75.2%</w:t>
            </w:r>
            <w:r w:rsidR="000678DA">
              <w:t xml:space="preserve"> </w:t>
            </w:r>
            <w:r w:rsidR="000678DA">
              <w:rPr>
                <w:vertAlign w:val="superscript"/>
              </w:rPr>
              <w:t>a</w:t>
            </w:r>
          </w:p>
        </w:tc>
      </w:tr>
      <w:tr w:rsidR="00D32BED" w:rsidRPr="002E14F6" w14:paraId="0B84FE33" w14:textId="77777777" w:rsidTr="004532A6">
        <w:trPr>
          <w:cantSplit/>
          <w:jc w:val="center"/>
        </w:trPr>
        <w:tc>
          <w:tcPr>
            <w:tcW w:w="815" w:type="pct"/>
            <w:shd w:val="clear" w:color="auto" w:fill="auto"/>
            <w:vAlign w:val="center"/>
          </w:tcPr>
          <w:p w14:paraId="49111F6C" w14:textId="62BBB44D" w:rsidR="00D32BED" w:rsidRPr="002E14F6" w:rsidRDefault="00D32BED" w:rsidP="00BB732D">
            <w:pPr>
              <w:pStyle w:val="COMTabletext"/>
            </w:pPr>
            <w:r>
              <w:t xml:space="preserve">Treatment </w:t>
            </w:r>
            <w:r w:rsidR="00277714">
              <w:t>duration</w:t>
            </w:r>
          </w:p>
        </w:tc>
        <w:tc>
          <w:tcPr>
            <w:tcW w:w="1152" w:type="pct"/>
            <w:shd w:val="clear" w:color="auto" w:fill="auto"/>
            <w:vAlign w:val="center"/>
          </w:tcPr>
          <w:p w14:paraId="30EF57C3" w14:textId="1AC25A1C" w:rsidR="00D32BED" w:rsidRPr="002E14F6" w:rsidRDefault="00BA3DB9" w:rsidP="00D32BED">
            <w:pPr>
              <w:pStyle w:val="TableText"/>
              <w:jc w:val="center"/>
            </w:pPr>
            <w:r>
              <w:t>Up to 3 years</w:t>
            </w:r>
          </w:p>
        </w:tc>
        <w:tc>
          <w:tcPr>
            <w:tcW w:w="1104" w:type="pct"/>
            <w:shd w:val="clear" w:color="auto" w:fill="auto"/>
            <w:vAlign w:val="center"/>
          </w:tcPr>
          <w:p w14:paraId="6906B266" w14:textId="58D6BEB1" w:rsidR="00D32BED" w:rsidRPr="002E14F6" w:rsidRDefault="00EA6329" w:rsidP="00D32BED">
            <w:pPr>
              <w:pStyle w:val="TableText"/>
              <w:jc w:val="center"/>
            </w:pPr>
            <w:r>
              <w:t>Up to 2 years</w:t>
            </w:r>
          </w:p>
        </w:tc>
        <w:tc>
          <w:tcPr>
            <w:tcW w:w="1023" w:type="pct"/>
            <w:shd w:val="clear" w:color="auto" w:fill="auto"/>
            <w:vAlign w:val="center"/>
          </w:tcPr>
          <w:p w14:paraId="40F6D5BC" w14:textId="354A8B43" w:rsidR="00D32BED" w:rsidRPr="000678DA" w:rsidRDefault="00277714" w:rsidP="00D32BED">
            <w:pPr>
              <w:pStyle w:val="TableText"/>
              <w:jc w:val="center"/>
              <w:rPr>
                <w:vertAlign w:val="superscript"/>
              </w:rPr>
            </w:pPr>
            <w:r>
              <w:t>Up to 20 years</w:t>
            </w:r>
            <w:r w:rsidR="00C80E73">
              <w:t xml:space="preserve">, </w:t>
            </w:r>
            <w:r w:rsidR="00DD7B68">
              <w:t>fully persistent with therapy</w:t>
            </w:r>
            <w:r w:rsidR="000678DA">
              <w:t xml:space="preserve"> </w:t>
            </w:r>
            <w:r w:rsidR="000678DA">
              <w:rPr>
                <w:vertAlign w:val="superscript"/>
              </w:rPr>
              <w:t>b</w:t>
            </w:r>
          </w:p>
        </w:tc>
        <w:tc>
          <w:tcPr>
            <w:tcW w:w="906" w:type="pct"/>
            <w:shd w:val="clear" w:color="auto" w:fill="auto"/>
            <w:vAlign w:val="center"/>
          </w:tcPr>
          <w:p w14:paraId="58726F9A" w14:textId="185B0456" w:rsidR="00D32BED" w:rsidRPr="00143C22" w:rsidRDefault="00277714" w:rsidP="00D32BED">
            <w:pPr>
              <w:pStyle w:val="TableText"/>
              <w:jc w:val="center"/>
              <w:rPr>
                <w:vertAlign w:val="superscript"/>
              </w:rPr>
            </w:pPr>
            <w:r>
              <w:t>1</w:t>
            </w:r>
            <w:r w:rsidR="00BA3DB9">
              <w:t xml:space="preserve"> year</w:t>
            </w:r>
            <w:r w:rsidR="00143C22">
              <w:t xml:space="preserve"> </w:t>
            </w:r>
            <w:r w:rsidR="00143C22">
              <w:rPr>
                <w:vertAlign w:val="superscript"/>
              </w:rPr>
              <w:t>c</w:t>
            </w:r>
          </w:p>
        </w:tc>
      </w:tr>
      <w:tr w:rsidR="00FC383D" w:rsidRPr="002E14F6" w14:paraId="700FD9C4" w14:textId="77777777" w:rsidTr="004532A6">
        <w:trPr>
          <w:cantSplit/>
          <w:jc w:val="center"/>
        </w:trPr>
        <w:tc>
          <w:tcPr>
            <w:tcW w:w="815" w:type="pct"/>
            <w:shd w:val="clear" w:color="auto" w:fill="auto"/>
            <w:vAlign w:val="center"/>
          </w:tcPr>
          <w:p w14:paraId="4ADA7F65" w14:textId="7F095524" w:rsidR="00FC383D" w:rsidRPr="002E14F6" w:rsidRDefault="00FC383D" w:rsidP="00BB732D">
            <w:pPr>
              <w:pStyle w:val="COMTabletext"/>
            </w:pPr>
            <w:r>
              <w:t>Cost per script</w:t>
            </w:r>
          </w:p>
        </w:tc>
        <w:tc>
          <w:tcPr>
            <w:tcW w:w="1152" w:type="pct"/>
            <w:shd w:val="clear" w:color="auto" w:fill="auto"/>
            <w:vAlign w:val="center"/>
          </w:tcPr>
          <w:p w14:paraId="3B5624A0" w14:textId="604F5031" w:rsidR="00FC383D" w:rsidRDefault="005A1E52" w:rsidP="00D32BED">
            <w:pPr>
              <w:pStyle w:val="TableText"/>
              <w:jc w:val="center"/>
            </w:pPr>
            <w:r>
              <w:t>-</w:t>
            </w:r>
          </w:p>
        </w:tc>
        <w:tc>
          <w:tcPr>
            <w:tcW w:w="1104" w:type="pct"/>
            <w:shd w:val="clear" w:color="auto" w:fill="auto"/>
            <w:vAlign w:val="center"/>
          </w:tcPr>
          <w:p w14:paraId="72C7ED48" w14:textId="5DC45E43" w:rsidR="00FC383D" w:rsidRDefault="005A1E52" w:rsidP="00D32BED">
            <w:pPr>
              <w:pStyle w:val="TableText"/>
              <w:jc w:val="center"/>
            </w:pPr>
            <w:r>
              <w:t>-</w:t>
            </w:r>
          </w:p>
        </w:tc>
        <w:tc>
          <w:tcPr>
            <w:tcW w:w="1023" w:type="pct"/>
            <w:shd w:val="clear" w:color="auto" w:fill="auto"/>
            <w:vAlign w:val="center"/>
          </w:tcPr>
          <w:p w14:paraId="7AE6D738" w14:textId="3114E481" w:rsidR="00FC383D" w:rsidRPr="00143C22" w:rsidRDefault="005A1E52" w:rsidP="00D32BED">
            <w:pPr>
              <w:pStyle w:val="TableText"/>
              <w:jc w:val="center"/>
              <w:rPr>
                <w:vertAlign w:val="superscript"/>
              </w:rPr>
            </w:pPr>
            <w:r>
              <w:t>$36.0</w:t>
            </w:r>
            <w:r w:rsidR="008333F4">
              <w:t>9</w:t>
            </w:r>
            <w:r w:rsidR="00143C22">
              <w:t xml:space="preserve"> </w:t>
            </w:r>
            <w:r w:rsidR="00143C22">
              <w:rPr>
                <w:vertAlign w:val="superscript"/>
              </w:rPr>
              <w:t>d</w:t>
            </w:r>
          </w:p>
        </w:tc>
        <w:tc>
          <w:tcPr>
            <w:tcW w:w="906" w:type="pct"/>
            <w:shd w:val="clear" w:color="auto" w:fill="auto"/>
            <w:vAlign w:val="center"/>
          </w:tcPr>
          <w:p w14:paraId="04DB6720" w14:textId="4D4AF1DE" w:rsidR="00FC383D" w:rsidRPr="00143C22" w:rsidRDefault="005A1E52" w:rsidP="00D32BED">
            <w:pPr>
              <w:pStyle w:val="TableText"/>
              <w:jc w:val="center"/>
            </w:pPr>
            <w:r>
              <w:t>$36.09</w:t>
            </w:r>
            <w:r w:rsidR="00143C22">
              <w:t xml:space="preserve"> </w:t>
            </w:r>
            <w:r w:rsidR="00143C22">
              <w:rPr>
                <w:vertAlign w:val="superscript"/>
              </w:rPr>
              <w:t>d</w:t>
            </w:r>
          </w:p>
        </w:tc>
      </w:tr>
      <w:tr w:rsidR="00FC383D" w:rsidRPr="002E14F6" w14:paraId="465C1C31" w14:textId="77777777" w:rsidTr="004532A6">
        <w:trPr>
          <w:cantSplit/>
          <w:jc w:val="center"/>
        </w:trPr>
        <w:tc>
          <w:tcPr>
            <w:tcW w:w="815" w:type="pct"/>
            <w:shd w:val="clear" w:color="auto" w:fill="auto"/>
            <w:vAlign w:val="center"/>
          </w:tcPr>
          <w:p w14:paraId="083B4256" w14:textId="30A919E3" w:rsidR="00FC383D" w:rsidRDefault="00FC383D" w:rsidP="00BB732D">
            <w:pPr>
              <w:pStyle w:val="COMTabletext"/>
            </w:pPr>
            <w:r>
              <w:t>Scripts per patient per year</w:t>
            </w:r>
          </w:p>
        </w:tc>
        <w:tc>
          <w:tcPr>
            <w:tcW w:w="1152" w:type="pct"/>
            <w:shd w:val="clear" w:color="auto" w:fill="auto"/>
            <w:vAlign w:val="center"/>
          </w:tcPr>
          <w:p w14:paraId="646CA000" w14:textId="4D52107C" w:rsidR="00FC383D" w:rsidRDefault="005A1E52" w:rsidP="00D32BED">
            <w:pPr>
              <w:pStyle w:val="TableText"/>
              <w:jc w:val="center"/>
            </w:pPr>
            <w:r>
              <w:t>-</w:t>
            </w:r>
          </w:p>
        </w:tc>
        <w:tc>
          <w:tcPr>
            <w:tcW w:w="1104" w:type="pct"/>
            <w:shd w:val="clear" w:color="auto" w:fill="auto"/>
            <w:vAlign w:val="center"/>
          </w:tcPr>
          <w:p w14:paraId="36431A22" w14:textId="516110D9" w:rsidR="00FC383D" w:rsidRDefault="005A1E52" w:rsidP="00D32BED">
            <w:pPr>
              <w:pStyle w:val="TableText"/>
              <w:jc w:val="center"/>
            </w:pPr>
            <w:r>
              <w:t>-</w:t>
            </w:r>
          </w:p>
        </w:tc>
        <w:tc>
          <w:tcPr>
            <w:tcW w:w="1023" w:type="pct"/>
            <w:shd w:val="clear" w:color="auto" w:fill="auto"/>
            <w:vAlign w:val="center"/>
          </w:tcPr>
          <w:p w14:paraId="474E670A" w14:textId="33B10F9D" w:rsidR="00FC383D" w:rsidRPr="00B93EE3" w:rsidRDefault="008333F4" w:rsidP="00D32BED">
            <w:pPr>
              <w:pStyle w:val="TableText"/>
              <w:jc w:val="center"/>
              <w:rPr>
                <w:vertAlign w:val="superscript"/>
              </w:rPr>
            </w:pPr>
            <w:r w:rsidRPr="00EF01C4">
              <w:t>9.81</w:t>
            </w:r>
            <w:r w:rsidR="00B93EE3">
              <w:t xml:space="preserve"> </w:t>
            </w:r>
            <w:r w:rsidR="00B93EE3">
              <w:rPr>
                <w:vertAlign w:val="superscript"/>
              </w:rPr>
              <w:t>e</w:t>
            </w:r>
          </w:p>
        </w:tc>
        <w:tc>
          <w:tcPr>
            <w:tcW w:w="906" w:type="pct"/>
            <w:shd w:val="clear" w:color="auto" w:fill="auto"/>
            <w:vAlign w:val="center"/>
          </w:tcPr>
          <w:p w14:paraId="25D3B88F" w14:textId="2AB0C9FC" w:rsidR="00FC383D" w:rsidRPr="00B93EE3" w:rsidRDefault="004209C8" w:rsidP="00D32BED">
            <w:pPr>
              <w:pStyle w:val="TableText"/>
              <w:jc w:val="center"/>
              <w:rPr>
                <w:vertAlign w:val="superscript"/>
              </w:rPr>
            </w:pPr>
            <w:r w:rsidRPr="00EF01C4">
              <w:t>9.78</w:t>
            </w:r>
            <w:r w:rsidR="00B93EE3">
              <w:t xml:space="preserve"> </w:t>
            </w:r>
            <w:r w:rsidR="00B93EE3">
              <w:rPr>
                <w:vertAlign w:val="superscript"/>
              </w:rPr>
              <w:t>f</w:t>
            </w:r>
          </w:p>
        </w:tc>
      </w:tr>
      <w:tr w:rsidR="00D32BED" w:rsidRPr="002E14F6" w14:paraId="455F2922" w14:textId="77777777" w:rsidTr="004532A6">
        <w:trPr>
          <w:cantSplit/>
          <w:jc w:val="center"/>
        </w:trPr>
        <w:tc>
          <w:tcPr>
            <w:tcW w:w="815" w:type="pct"/>
            <w:shd w:val="clear" w:color="auto" w:fill="auto"/>
            <w:vAlign w:val="center"/>
          </w:tcPr>
          <w:p w14:paraId="0818A7F9" w14:textId="746F630A" w:rsidR="00D32BED" w:rsidRPr="002E14F6" w:rsidRDefault="005A1E52" w:rsidP="00BB732D">
            <w:pPr>
              <w:pStyle w:val="COMTabletext"/>
            </w:pPr>
            <w:r>
              <w:t xml:space="preserve">Cost per patient </w:t>
            </w:r>
          </w:p>
        </w:tc>
        <w:tc>
          <w:tcPr>
            <w:tcW w:w="1152" w:type="pct"/>
            <w:shd w:val="clear" w:color="auto" w:fill="auto"/>
            <w:vAlign w:val="center"/>
          </w:tcPr>
          <w:p w14:paraId="34F0ACD6" w14:textId="230D3AE2" w:rsidR="00D32BED" w:rsidRPr="002E14F6" w:rsidRDefault="00924574" w:rsidP="00D32BED">
            <w:pPr>
              <w:pStyle w:val="TableText"/>
              <w:jc w:val="center"/>
            </w:pPr>
            <w:r>
              <w:t>-</w:t>
            </w:r>
          </w:p>
        </w:tc>
        <w:tc>
          <w:tcPr>
            <w:tcW w:w="1104" w:type="pct"/>
            <w:shd w:val="clear" w:color="auto" w:fill="auto"/>
            <w:vAlign w:val="center"/>
          </w:tcPr>
          <w:p w14:paraId="10235C1F" w14:textId="4D98C6A5" w:rsidR="00D32BED" w:rsidRPr="002E14F6" w:rsidRDefault="00924574" w:rsidP="00D32BED">
            <w:pPr>
              <w:pStyle w:val="TableText"/>
              <w:jc w:val="center"/>
            </w:pPr>
            <w:r>
              <w:t>-</w:t>
            </w:r>
          </w:p>
        </w:tc>
        <w:tc>
          <w:tcPr>
            <w:tcW w:w="1023" w:type="pct"/>
            <w:shd w:val="clear" w:color="auto" w:fill="auto"/>
            <w:vAlign w:val="center"/>
          </w:tcPr>
          <w:p w14:paraId="3791C497" w14:textId="24E82523" w:rsidR="00D32BED" w:rsidRPr="00043192" w:rsidRDefault="00B101D3" w:rsidP="00D32BED">
            <w:pPr>
              <w:pStyle w:val="TableText"/>
              <w:jc w:val="center"/>
              <w:rPr>
                <w:vertAlign w:val="superscript"/>
              </w:rPr>
            </w:pPr>
            <w:r>
              <w:t>$</w:t>
            </w:r>
            <w:r w:rsidRPr="00EF01C4">
              <w:t>354</w:t>
            </w:r>
            <w:r w:rsidR="008333F4" w:rsidRPr="00EF01C4">
              <w:t>.00</w:t>
            </w:r>
            <w:r w:rsidR="00DF7704">
              <w:t xml:space="preserve"> per year</w:t>
            </w:r>
            <w:r w:rsidR="00043192">
              <w:t xml:space="preserve"> </w:t>
            </w:r>
          </w:p>
        </w:tc>
        <w:tc>
          <w:tcPr>
            <w:tcW w:w="906" w:type="pct"/>
            <w:shd w:val="clear" w:color="auto" w:fill="auto"/>
            <w:vAlign w:val="center"/>
          </w:tcPr>
          <w:p w14:paraId="6E2F9897" w14:textId="78E58295" w:rsidR="00D32BED" w:rsidRPr="00043192" w:rsidRDefault="00965E36" w:rsidP="00D32BED">
            <w:pPr>
              <w:pStyle w:val="TableText"/>
              <w:jc w:val="center"/>
              <w:rPr>
                <w:vertAlign w:val="superscript"/>
              </w:rPr>
            </w:pPr>
            <w:r>
              <w:t>$</w:t>
            </w:r>
            <w:r w:rsidRPr="00EF01C4">
              <w:t>3</w:t>
            </w:r>
            <w:r w:rsidR="00FC383D" w:rsidRPr="00EF01C4">
              <w:t>5</w:t>
            </w:r>
            <w:r w:rsidR="00C5775C" w:rsidRPr="00EF01C4">
              <w:t>2.96</w:t>
            </w:r>
            <w:r w:rsidR="00E84C7C">
              <w:t xml:space="preserve"> for 1 year</w:t>
            </w:r>
            <w:r w:rsidR="00043192">
              <w:t xml:space="preserve"> </w:t>
            </w:r>
          </w:p>
        </w:tc>
      </w:tr>
    </w:tbl>
    <w:p w14:paraId="717CADAF" w14:textId="11A86278" w:rsidR="00494207" w:rsidRDefault="00494207" w:rsidP="00C94053">
      <w:pPr>
        <w:pStyle w:val="COMTablefooter"/>
      </w:pPr>
      <w:r w:rsidRPr="002E14F6">
        <w:t xml:space="preserve">Source: </w:t>
      </w:r>
      <w:r w:rsidR="00E53BE4">
        <w:t>Trial publications</w:t>
      </w:r>
      <w:r w:rsidR="00AD5470">
        <w:t>;</w:t>
      </w:r>
      <w:r w:rsidR="00E53BE4">
        <w:t xml:space="preserve"> </w:t>
      </w:r>
      <w:r w:rsidR="00D64F44">
        <w:t>Section</w:t>
      </w:r>
      <w:r w:rsidR="00AD5470">
        <w:t xml:space="preserve"> 3.6</w:t>
      </w:r>
      <w:r w:rsidR="00D71923">
        <w:t>.1, pp146-147</w:t>
      </w:r>
      <w:r w:rsidR="005D45D6">
        <w:t xml:space="preserve"> </w:t>
      </w:r>
      <w:r w:rsidR="00891936">
        <w:t>and</w:t>
      </w:r>
      <w:r w:rsidR="005D45D6">
        <w:t xml:space="preserve"> Attachment </w:t>
      </w:r>
      <w:r w:rsidR="000678DA">
        <w:t>6 Risedronate DR Utilisation and Cost workbook of the submission</w:t>
      </w:r>
      <w:r w:rsidR="00D64F44">
        <w:t xml:space="preserve"> </w:t>
      </w:r>
    </w:p>
    <w:p w14:paraId="3893D0A8" w14:textId="7DB37EBB" w:rsidR="00791597" w:rsidRDefault="00791597" w:rsidP="00C94053">
      <w:pPr>
        <w:pStyle w:val="COMTablefooter"/>
      </w:pPr>
      <w:r>
        <w:t>Abbreviations: IR, immediate release</w:t>
      </w:r>
    </w:p>
    <w:p w14:paraId="6A11D0B4" w14:textId="2F7C3AAC" w:rsidR="000678DA" w:rsidRDefault="000678DA" w:rsidP="00C94053">
      <w:pPr>
        <w:pStyle w:val="COMTablefooter"/>
      </w:pPr>
      <w:r>
        <w:rPr>
          <w:vertAlign w:val="superscript"/>
        </w:rPr>
        <w:t>a</w:t>
      </w:r>
      <w:r>
        <w:t xml:space="preserve"> </w:t>
      </w:r>
      <w:r w:rsidRPr="000678DA">
        <w:t>The submission calculated adherence rates for risedronate EC (75.2%) based on the proportion of patients categorised as adherent (94%, &gt; 80% adherent) or non-adherent (6%, &lt; 80% adherent) in the FANTASIA trial and assuming that patients in each category had the lowest possible usage value (adherent: 80%, non-adherent: 0%).</w:t>
      </w:r>
    </w:p>
    <w:p w14:paraId="4BE3B0E6" w14:textId="76C210DC" w:rsidR="00143C22" w:rsidRDefault="00143C22" w:rsidP="00C94053">
      <w:pPr>
        <w:pStyle w:val="COMTablefooter"/>
      </w:pPr>
      <w:r>
        <w:rPr>
          <w:vertAlign w:val="superscript"/>
        </w:rPr>
        <w:t>b</w:t>
      </w:r>
      <w:r>
        <w:t xml:space="preserve"> Assumed</w:t>
      </w:r>
    </w:p>
    <w:p w14:paraId="0E0DBBEA" w14:textId="4F2D9D07" w:rsidR="00143C22" w:rsidRDefault="00143C22" w:rsidP="00C94053">
      <w:pPr>
        <w:pStyle w:val="COMTablefooter"/>
      </w:pPr>
      <w:r>
        <w:rPr>
          <w:vertAlign w:val="superscript"/>
        </w:rPr>
        <w:t xml:space="preserve">c </w:t>
      </w:r>
      <w:r>
        <w:t>Assumed</w:t>
      </w:r>
    </w:p>
    <w:p w14:paraId="23EDE50B" w14:textId="39FD1D3E" w:rsidR="00143C22" w:rsidRDefault="00143C22" w:rsidP="00C94053">
      <w:pPr>
        <w:pStyle w:val="COMTablefooter"/>
      </w:pPr>
      <w:r>
        <w:rPr>
          <w:vertAlign w:val="superscript"/>
        </w:rPr>
        <w:t>d</w:t>
      </w:r>
      <w:r>
        <w:t xml:space="preserve"> Proposed DPMQ, based on published DPMQ in June 2022</w:t>
      </w:r>
    </w:p>
    <w:p w14:paraId="3E5796A9" w14:textId="07152F3F" w:rsidR="00B93EE3" w:rsidRDefault="00B93EE3" w:rsidP="00C94053">
      <w:pPr>
        <w:pStyle w:val="COMTablefooter"/>
      </w:pPr>
      <w:r>
        <w:rPr>
          <w:vertAlign w:val="superscript"/>
        </w:rPr>
        <w:t>e</w:t>
      </w:r>
      <w:r>
        <w:t xml:space="preserve"> Calculated as </w:t>
      </w:r>
      <w:r w:rsidRPr="00EF01C4">
        <w:t>0.752 x 13.04</w:t>
      </w:r>
      <w:r>
        <w:t xml:space="preserve"> scripts per year</w:t>
      </w:r>
      <w:r w:rsidR="00302A62">
        <w:t xml:space="preserve"> (365.25 days per year)</w:t>
      </w:r>
    </w:p>
    <w:p w14:paraId="10A73948" w14:textId="07BE84EF" w:rsidR="00EF01C4" w:rsidRPr="00302A62" w:rsidRDefault="00B93EE3" w:rsidP="00C94053">
      <w:pPr>
        <w:pStyle w:val="COMTablefooter"/>
      </w:pPr>
      <w:r>
        <w:rPr>
          <w:vertAlign w:val="superscript"/>
        </w:rPr>
        <w:t xml:space="preserve">f </w:t>
      </w:r>
      <w:r w:rsidR="00302A62">
        <w:rPr>
          <w:vertAlign w:val="superscript"/>
        </w:rPr>
        <w:t xml:space="preserve"> </w:t>
      </w:r>
      <w:r w:rsidR="00302A62">
        <w:t xml:space="preserve">Calculated as </w:t>
      </w:r>
      <w:r w:rsidR="00302A62" w:rsidRPr="00EF01C4">
        <w:t>0.752 x 13</w:t>
      </w:r>
      <w:r w:rsidR="00302A62">
        <w:t xml:space="preserve"> scripts per year (52 weeks per year)</w:t>
      </w:r>
    </w:p>
    <w:p w14:paraId="268768EF" w14:textId="3626F292" w:rsidR="00B60939" w:rsidRPr="002E14F6" w:rsidRDefault="00B60939" w:rsidP="002B05A1">
      <w:pPr>
        <w:pStyle w:val="COMH2-non-numbered"/>
      </w:pPr>
      <w:bookmarkStart w:id="59" w:name="_Toc22897647"/>
      <w:bookmarkStart w:id="60" w:name="_Toc113980159"/>
      <w:r w:rsidRPr="002E14F6">
        <w:t>Estimated PBS usage &amp; financial implications</w:t>
      </w:r>
      <w:bookmarkEnd w:id="59"/>
      <w:bookmarkEnd w:id="60"/>
    </w:p>
    <w:p w14:paraId="6B026875" w14:textId="2A261F2D" w:rsidR="003C04BA" w:rsidRPr="003C04BA" w:rsidRDefault="003C04BA" w:rsidP="003C04BA">
      <w:pPr>
        <w:numPr>
          <w:ilvl w:val="1"/>
          <w:numId w:val="1"/>
        </w:numPr>
        <w:spacing w:after="120"/>
        <w:ind w:left="720" w:hanging="720"/>
        <w:rPr>
          <w:rFonts w:asciiTheme="minorHAnsi" w:hAnsiTheme="minorHAnsi"/>
          <w:snapToGrid w:val="0"/>
        </w:rPr>
      </w:pPr>
      <w:bookmarkStart w:id="61" w:name="_Toc22897649"/>
      <w:bookmarkStart w:id="62" w:name="_Toc113980161"/>
      <w:r w:rsidRPr="003C04BA">
        <w:rPr>
          <w:rFonts w:asciiTheme="minorHAnsi" w:hAnsiTheme="minorHAnsi"/>
          <w:snapToGrid w:val="0"/>
        </w:rPr>
        <w:t>Th</w:t>
      </w:r>
      <w:r>
        <w:rPr>
          <w:rFonts w:asciiTheme="minorHAnsi" w:hAnsiTheme="minorHAnsi"/>
          <w:snapToGrid w:val="0"/>
        </w:rPr>
        <w:t>e</w:t>
      </w:r>
      <w:r w:rsidRPr="003C04BA">
        <w:rPr>
          <w:rFonts w:asciiTheme="minorHAnsi" w:hAnsiTheme="minorHAnsi"/>
          <w:snapToGrid w:val="0"/>
        </w:rPr>
        <w:t xml:space="preserve"> submission w</w:t>
      </w:r>
      <w:r>
        <w:rPr>
          <w:rFonts w:asciiTheme="minorHAnsi" w:hAnsiTheme="minorHAnsi"/>
          <w:snapToGrid w:val="0"/>
        </w:rPr>
        <w:t>as</w:t>
      </w:r>
      <w:r w:rsidRPr="003C04BA">
        <w:rPr>
          <w:rFonts w:asciiTheme="minorHAnsi" w:hAnsiTheme="minorHAnsi"/>
          <w:snapToGrid w:val="0"/>
        </w:rPr>
        <w:t xml:space="preserve"> considered by DUSC. The submission used an epidemiological approach to estimate the utilisation and financial impact of removing the age criterion from the current PBS restriction for risedronate EC. </w:t>
      </w:r>
    </w:p>
    <w:p w14:paraId="566E526E" w14:textId="77777777" w:rsidR="003C04BA" w:rsidRPr="003C04BA" w:rsidRDefault="003C04BA" w:rsidP="003C04BA">
      <w:pPr>
        <w:numPr>
          <w:ilvl w:val="1"/>
          <w:numId w:val="1"/>
        </w:numPr>
        <w:spacing w:after="120"/>
        <w:ind w:left="720" w:hanging="720"/>
        <w:rPr>
          <w:rFonts w:asciiTheme="minorHAnsi" w:hAnsiTheme="minorHAnsi"/>
          <w:snapToGrid w:val="0"/>
        </w:rPr>
      </w:pPr>
      <w:r w:rsidRPr="003C04BA">
        <w:rPr>
          <w:rFonts w:asciiTheme="minorHAnsi" w:hAnsiTheme="minorHAnsi"/>
          <w:snapToGrid w:val="0"/>
        </w:rPr>
        <w:t xml:space="preserve">Key inputs for the financial estimates are summarised in </w:t>
      </w:r>
      <w:r w:rsidRPr="003C04BA">
        <w:rPr>
          <w:rFonts w:asciiTheme="minorHAnsi" w:hAnsiTheme="minorHAnsi"/>
          <w:snapToGrid w:val="0"/>
        </w:rPr>
        <w:fldChar w:fldCharType="begin" w:fldLock="1"/>
      </w:r>
      <w:r w:rsidRPr="003C04BA">
        <w:rPr>
          <w:rFonts w:asciiTheme="minorHAnsi" w:hAnsiTheme="minorHAnsi"/>
          <w:snapToGrid w:val="0"/>
        </w:rPr>
        <w:instrText xml:space="preserve"> REF _Ref112668001 \h </w:instrText>
      </w:r>
      <w:r w:rsidRPr="003C04BA">
        <w:rPr>
          <w:rFonts w:asciiTheme="minorHAnsi" w:hAnsiTheme="minorHAnsi"/>
          <w:snapToGrid w:val="0"/>
        </w:rPr>
      </w:r>
      <w:r w:rsidRPr="003C04BA">
        <w:rPr>
          <w:rFonts w:asciiTheme="minorHAnsi" w:hAnsiTheme="minorHAnsi"/>
          <w:snapToGrid w:val="0"/>
        </w:rPr>
        <w:fldChar w:fldCharType="separate"/>
      </w:r>
      <w:r w:rsidRPr="003C04BA">
        <w:rPr>
          <w:rFonts w:asciiTheme="minorHAnsi" w:hAnsiTheme="minorHAnsi"/>
          <w:snapToGrid w:val="0"/>
        </w:rPr>
        <w:t xml:space="preserve">Table </w:t>
      </w:r>
      <w:r w:rsidRPr="003C04BA">
        <w:rPr>
          <w:rFonts w:asciiTheme="minorHAnsi" w:hAnsiTheme="minorHAnsi"/>
          <w:noProof/>
          <w:snapToGrid w:val="0"/>
        </w:rPr>
        <w:t>15</w:t>
      </w:r>
      <w:r w:rsidRPr="003C04BA">
        <w:rPr>
          <w:rFonts w:asciiTheme="minorHAnsi" w:hAnsiTheme="minorHAnsi"/>
          <w:snapToGrid w:val="0"/>
        </w:rPr>
        <w:fldChar w:fldCharType="end"/>
      </w:r>
      <w:r w:rsidRPr="003C04BA">
        <w:rPr>
          <w:rFonts w:asciiTheme="minorHAnsi" w:hAnsiTheme="minorHAnsi"/>
          <w:snapToGrid w:val="0"/>
        </w:rPr>
        <w:t>.</w:t>
      </w:r>
    </w:p>
    <w:p w14:paraId="615D1E99" w14:textId="77777777" w:rsidR="003C04BA" w:rsidRPr="003C04BA" w:rsidRDefault="003C04BA" w:rsidP="003C04BA">
      <w:pPr>
        <w:rPr>
          <w:rFonts w:ascii="Arial Narrow" w:eastAsiaTheme="majorEastAsia" w:hAnsi="Arial Narrow" w:cstheme="majorBidi"/>
          <w:b/>
          <w:bCs/>
          <w:sz w:val="20"/>
        </w:rPr>
      </w:pPr>
      <w:bookmarkStart w:id="63" w:name="_Ref112668001"/>
      <w:r w:rsidRPr="003C04BA">
        <w:rPr>
          <w:rFonts w:ascii="Arial Narrow" w:eastAsiaTheme="majorEastAsia" w:hAnsi="Arial Narrow" w:cstheme="majorBidi"/>
          <w:b/>
          <w:bCs/>
          <w:sz w:val="20"/>
        </w:rPr>
        <w:t xml:space="preserve">Table </w:t>
      </w:r>
      <w:r w:rsidRPr="003C04BA">
        <w:rPr>
          <w:rFonts w:ascii="Arial Narrow" w:eastAsiaTheme="majorEastAsia" w:hAnsi="Arial Narrow" w:cstheme="majorBidi"/>
          <w:b/>
          <w:bCs/>
          <w:sz w:val="20"/>
        </w:rPr>
        <w:fldChar w:fldCharType="begin" w:fldLock="1"/>
      </w:r>
      <w:r w:rsidRPr="003C04BA">
        <w:rPr>
          <w:rFonts w:ascii="Arial Narrow" w:eastAsiaTheme="majorEastAsia" w:hAnsi="Arial Narrow" w:cstheme="majorBidi"/>
          <w:b/>
          <w:bCs/>
          <w:sz w:val="20"/>
        </w:rPr>
        <w:instrText xml:space="preserve"> SEQ Table \* ARABIC </w:instrText>
      </w:r>
      <w:r w:rsidRPr="003C04BA">
        <w:rPr>
          <w:rFonts w:ascii="Arial Narrow" w:eastAsiaTheme="majorEastAsia" w:hAnsi="Arial Narrow" w:cstheme="majorBidi"/>
          <w:b/>
          <w:bCs/>
          <w:sz w:val="20"/>
        </w:rPr>
        <w:fldChar w:fldCharType="separate"/>
      </w:r>
      <w:r w:rsidRPr="003C04BA">
        <w:rPr>
          <w:rFonts w:ascii="Arial Narrow" w:eastAsiaTheme="majorEastAsia" w:hAnsi="Arial Narrow" w:cstheme="majorBidi"/>
          <w:b/>
          <w:bCs/>
          <w:noProof/>
          <w:sz w:val="20"/>
        </w:rPr>
        <w:t>15</w:t>
      </w:r>
      <w:r w:rsidRPr="003C04BA">
        <w:rPr>
          <w:rFonts w:ascii="Arial Narrow" w:eastAsiaTheme="majorEastAsia" w:hAnsi="Arial Narrow" w:cstheme="majorBidi"/>
          <w:b/>
          <w:bCs/>
          <w:noProof/>
          <w:sz w:val="20"/>
        </w:rPr>
        <w:fldChar w:fldCharType="end"/>
      </w:r>
      <w:bookmarkEnd w:id="63"/>
      <w:r w:rsidRPr="003C04BA">
        <w:rPr>
          <w:rFonts w:ascii="Arial Narrow" w:eastAsiaTheme="majorEastAsia" w:hAnsi="Arial Narrow" w:cstheme="majorBidi"/>
          <w:b/>
          <w:bCs/>
          <w:sz w:val="20"/>
        </w:rP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5: Key inputs for financial estimates"/>
      </w:tblPr>
      <w:tblGrid>
        <w:gridCol w:w="1129"/>
        <w:gridCol w:w="3969"/>
        <w:gridCol w:w="3919"/>
      </w:tblGrid>
      <w:tr w:rsidR="003C04BA" w:rsidRPr="003C04BA" w14:paraId="43394A28" w14:textId="77777777" w:rsidTr="00E1649F">
        <w:trPr>
          <w:tblHeader/>
        </w:trPr>
        <w:tc>
          <w:tcPr>
            <w:tcW w:w="626" w:type="pct"/>
            <w:shd w:val="clear" w:color="auto" w:fill="auto"/>
            <w:vAlign w:val="center"/>
          </w:tcPr>
          <w:p w14:paraId="4C6BCF37" w14:textId="77777777" w:rsidR="003C04BA" w:rsidRPr="003C04BA" w:rsidRDefault="003C04BA" w:rsidP="003C04BA">
            <w:pPr>
              <w:jc w:val="left"/>
              <w:rPr>
                <w:rFonts w:ascii="Arial Narrow" w:eastAsiaTheme="majorEastAsia" w:hAnsi="Arial Narrow" w:cs="Times New Roman"/>
                <w:b/>
                <w:sz w:val="20"/>
              </w:rPr>
            </w:pPr>
            <w:r w:rsidRPr="003C04BA">
              <w:rPr>
                <w:rFonts w:ascii="Arial Narrow" w:eastAsiaTheme="majorEastAsia" w:hAnsi="Arial Narrow" w:cs="Times New Roman"/>
                <w:b/>
                <w:sz w:val="20"/>
              </w:rPr>
              <w:t>Parameter</w:t>
            </w:r>
          </w:p>
        </w:tc>
        <w:tc>
          <w:tcPr>
            <w:tcW w:w="2201" w:type="pct"/>
            <w:shd w:val="clear" w:color="auto" w:fill="auto"/>
            <w:vAlign w:val="center"/>
          </w:tcPr>
          <w:p w14:paraId="5EF93F94" w14:textId="77777777" w:rsidR="003C04BA" w:rsidRPr="003C04BA" w:rsidRDefault="003C04BA" w:rsidP="003C04BA">
            <w:pPr>
              <w:jc w:val="left"/>
              <w:rPr>
                <w:rFonts w:ascii="Arial Narrow" w:eastAsiaTheme="majorEastAsia" w:hAnsi="Arial Narrow" w:cs="Times New Roman"/>
                <w:b/>
                <w:sz w:val="20"/>
              </w:rPr>
            </w:pPr>
            <w:r w:rsidRPr="003C04BA">
              <w:rPr>
                <w:rFonts w:ascii="Arial Narrow" w:eastAsiaTheme="majorEastAsia" w:hAnsi="Arial Narrow" w:cs="Times New Roman"/>
                <w:b/>
                <w:sz w:val="20"/>
              </w:rPr>
              <w:t>Value applied and source</w:t>
            </w:r>
          </w:p>
        </w:tc>
        <w:tc>
          <w:tcPr>
            <w:tcW w:w="2173" w:type="pct"/>
            <w:shd w:val="clear" w:color="auto" w:fill="auto"/>
            <w:vAlign w:val="center"/>
          </w:tcPr>
          <w:p w14:paraId="1B08FF5D" w14:textId="77777777" w:rsidR="003C04BA" w:rsidRPr="003C04BA" w:rsidRDefault="003C04BA" w:rsidP="003C04BA">
            <w:pPr>
              <w:jc w:val="left"/>
              <w:rPr>
                <w:rFonts w:ascii="Arial Narrow" w:eastAsiaTheme="majorEastAsia" w:hAnsi="Arial Narrow" w:cs="Times New Roman"/>
                <w:b/>
                <w:sz w:val="20"/>
              </w:rPr>
            </w:pPr>
            <w:r w:rsidRPr="003C04BA">
              <w:rPr>
                <w:rFonts w:ascii="Arial Narrow" w:eastAsiaTheme="majorEastAsia" w:hAnsi="Arial Narrow" w:cs="Times New Roman"/>
                <w:b/>
                <w:sz w:val="20"/>
              </w:rPr>
              <w:t>Comment</w:t>
            </w:r>
          </w:p>
        </w:tc>
      </w:tr>
      <w:tr w:rsidR="003C04BA" w:rsidRPr="003C04BA" w14:paraId="2A875CD2" w14:textId="77777777" w:rsidTr="00E1649F">
        <w:tc>
          <w:tcPr>
            <w:tcW w:w="626" w:type="pct"/>
            <w:shd w:val="clear" w:color="auto" w:fill="auto"/>
            <w:vAlign w:val="center"/>
          </w:tcPr>
          <w:p w14:paraId="07DEC34A" w14:textId="77777777" w:rsidR="003C04BA" w:rsidRPr="003C04BA" w:rsidRDefault="003C04BA" w:rsidP="003C04BA">
            <w:pPr>
              <w:jc w:val="left"/>
              <w:rPr>
                <w:rFonts w:ascii="Arial Narrow" w:eastAsiaTheme="majorEastAsia" w:hAnsi="Arial Narrow" w:cstheme="majorBidi"/>
                <w:bCs/>
                <w:sz w:val="20"/>
              </w:rPr>
            </w:pPr>
            <w:r w:rsidRPr="003C04BA">
              <w:rPr>
                <w:rFonts w:ascii="Arial Narrow" w:eastAsiaTheme="majorEastAsia" w:hAnsi="Arial Narrow" w:cstheme="majorBidi"/>
                <w:bCs/>
                <w:sz w:val="20"/>
              </w:rPr>
              <w:t>Osteoporosis prevalence</w:t>
            </w:r>
          </w:p>
        </w:tc>
        <w:tc>
          <w:tcPr>
            <w:tcW w:w="2201" w:type="pct"/>
            <w:shd w:val="clear" w:color="auto" w:fill="auto"/>
            <w:vAlign w:val="center"/>
          </w:tcPr>
          <w:p w14:paraId="07F6B0CC" w14:textId="77777777" w:rsidR="003C04BA" w:rsidRPr="003C04BA" w:rsidRDefault="003C04BA" w:rsidP="003C04BA">
            <w:pPr>
              <w:spacing w:after="120"/>
              <w:jc w:val="left"/>
              <w:rPr>
                <w:rFonts w:ascii="Arial Narrow" w:eastAsiaTheme="majorEastAsia" w:hAnsi="Arial Narrow" w:cstheme="majorBidi"/>
                <w:bCs/>
                <w:sz w:val="20"/>
              </w:rPr>
            </w:pPr>
            <w:r w:rsidRPr="003C04BA">
              <w:rPr>
                <w:rFonts w:ascii="Arial Narrow" w:eastAsiaTheme="majorEastAsia" w:hAnsi="Arial Narrow" w:cstheme="majorBidi"/>
                <w:bCs/>
                <w:sz w:val="20"/>
              </w:rPr>
              <w:t>Males aged 50-69 years: 1.9-5.7%</w:t>
            </w:r>
            <w:r w:rsidRPr="003C04BA">
              <w:rPr>
                <w:rFonts w:ascii="Arial Narrow" w:eastAsiaTheme="majorEastAsia" w:hAnsi="Arial Narrow" w:cstheme="majorBidi"/>
                <w:bCs/>
                <w:sz w:val="20"/>
              </w:rPr>
              <w:br/>
              <w:t>Females aged 50-69 years: 4.7-24.0%</w:t>
            </w:r>
          </w:p>
          <w:p w14:paraId="1DE93D74" w14:textId="77777777" w:rsidR="003C04BA" w:rsidRPr="003C04BA" w:rsidRDefault="003C04BA" w:rsidP="003C04BA">
            <w:pPr>
              <w:spacing w:after="120"/>
              <w:jc w:val="left"/>
              <w:rPr>
                <w:rFonts w:ascii="Arial Narrow" w:eastAsiaTheme="majorEastAsia" w:hAnsi="Arial Narrow" w:cstheme="majorBidi"/>
                <w:bCs/>
                <w:sz w:val="20"/>
              </w:rPr>
            </w:pPr>
            <w:r w:rsidRPr="003C04BA">
              <w:rPr>
                <w:rFonts w:ascii="Arial Narrow" w:eastAsiaTheme="majorEastAsia" w:hAnsi="Arial Narrow" w:cstheme="majorBidi"/>
                <w:bCs/>
                <w:sz w:val="20"/>
              </w:rPr>
              <w:t xml:space="preserve">Based on the proportion of patients with osteoporosis (BMD &lt; -2.5) in each 5-year age band from the Geelong Osteoporosis Study (Henry 2011). </w:t>
            </w:r>
          </w:p>
          <w:p w14:paraId="17E75F96" w14:textId="77777777" w:rsidR="003C04BA" w:rsidRPr="003C04BA" w:rsidRDefault="003C04BA" w:rsidP="003C04BA">
            <w:pPr>
              <w:jc w:val="left"/>
              <w:rPr>
                <w:rFonts w:ascii="Arial Narrow" w:eastAsiaTheme="majorEastAsia" w:hAnsi="Arial Narrow" w:cstheme="majorBidi"/>
                <w:bCs/>
                <w:sz w:val="20"/>
              </w:rPr>
            </w:pPr>
            <w:r w:rsidRPr="003C04BA">
              <w:rPr>
                <w:rFonts w:ascii="Arial Narrow" w:eastAsiaTheme="majorEastAsia" w:hAnsi="Arial Narrow" w:cstheme="majorBidi"/>
                <w:bCs/>
                <w:sz w:val="20"/>
              </w:rPr>
              <w:t>The submission identified other potential Australian epidemiology studies but indicated that the Geelong study was the preferred source as estimates were from the general population, included both diagnosed and undiagnosed osteoporosis using BMD measurements and was not limited by participant age.</w:t>
            </w:r>
          </w:p>
        </w:tc>
        <w:tc>
          <w:tcPr>
            <w:tcW w:w="2173" w:type="pct"/>
            <w:shd w:val="clear" w:color="auto" w:fill="auto"/>
            <w:vAlign w:val="center"/>
          </w:tcPr>
          <w:p w14:paraId="44C9D12F" w14:textId="77777777" w:rsidR="003C04BA" w:rsidRDefault="009778DB" w:rsidP="003C04BA">
            <w:pPr>
              <w:jc w:val="left"/>
              <w:rPr>
                <w:rFonts w:ascii="Arial Narrow" w:eastAsiaTheme="majorEastAsia" w:hAnsi="Arial Narrow" w:cstheme="majorBidi"/>
                <w:bCs/>
                <w:sz w:val="20"/>
              </w:rPr>
            </w:pPr>
            <w:r>
              <w:rPr>
                <w:rFonts w:ascii="Arial Narrow" w:eastAsiaTheme="majorEastAsia" w:hAnsi="Arial Narrow" w:cstheme="majorBidi"/>
                <w:bCs/>
                <w:sz w:val="20"/>
              </w:rPr>
              <w:t xml:space="preserve">DUSC considered applying the proportion of patients with </w:t>
            </w:r>
            <w:r w:rsidRPr="003C04BA">
              <w:rPr>
                <w:rFonts w:ascii="Arial Narrow" w:eastAsiaTheme="majorEastAsia" w:hAnsi="Arial Narrow" w:cstheme="majorBidi"/>
                <w:bCs/>
                <w:sz w:val="20"/>
              </w:rPr>
              <w:t>(BMD &lt; -2.5) in each 5-year age band from the Geelong Osteoporosis Study</w:t>
            </w:r>
            <w:r>
              <w:rPr>
                <w:rFonts w:ascii="Arial Narrow" w:eastAsiaTheme="majorEastAsia" w:hAnsi="Arial Narrow" w:cstheme="majorBidi"/>
                <w:bCs/>
                <w:sz w:val="20"/>
              </w:rPr>
              <w:t xml:space="preserve"> was reasonable. </w:t>
            </w:r>
          </w:p>
          <w:p w14:paraId="537FECA6" w14:textId="77777777" w:rsidR="00400A9A" w:rsidRDefault="00400A9A" w:rsidP="003C04BA">
            <w:pPr>
              <w:jc w:val="left"/>
              <w:rPr>
                <w:rFonts w:ascii="Arial Narrow" w:eastAsiaTheme="majorEastAsia" w:hAnsi="Arial Narrow" w:cstheme="majorBidi"/>
                <w:bCs/>
                <w:sz w:val="20"/>
              </w:rPr>
            </w:pPr>
          </w:p>
          <w:p w14:paraId="224ACC2B" w14:textId="6DA67817" w:rsidR="00400A9A" w:rsidRPr="003C04BA" w:rsidRDefault="00400A9A" w:rsidP="003C04BA">
            <w:pPr>
              <w:jc w:val="left"/>
              <w:rPr>
                <w:rFonts w:ascii="Arial Narrow" w:eastAsiaTheme="majorEastAsia" w:hAnsi="Arial Narrow" w:cstheme="majorBidi"/>
                <w:bCs/>
                <w:sz w:val="20"/>
              </w:rPr>
            </w:pPr>
            <w:r w:rsidRPr="00B3494C">
              <w:rPr>
                <w:rFonts w:ascii="Arial Narrow" w:hAnsi="Arial Narrow"/>
                <w:sz w:val="20"/>
                <w:szCs w:val="20"/>
              </w:rPr>
              <w:t>DUSC commented that the estimated eligible annual prevalent population is around 500,000 persons and that the estimates are very sensitive to changing diagnostic rates.</w:t>
            </w:r>
          </w:p>
        </w:tc>
      </w:tr>
      <w:tr w:rsidR="003C04BA" w:rsidRPr="003C04BA" w14:paraId="59EA4CB5" w14:textId="77777777" w:rsidTr="00E1649F">
        <w:tc>
          <w:tcPr>
            <w:tcW w:w="626" w:type="pct"/>
            <w:shd w:val="clear" w:color="auto" w:fill="auto"/>
            <w:vAlign w:val="center"/>
          </w:tcPr>
          <w:p w14:paraId="2600BDE8" w14:textId="77777777" w:rsidR="003C04BA" w:rsidRPr="003C04BA" w:rsidRDefault="003C04BA" w:rsidP="003C04BA">
            <w:pPr>
              <w:jc w:val="left"/>
              <w:rPr>
                <w:rFonts w:ascii="Arial Narrow" w:eastAsiaTheme="majorEastAsia" w:hAnsi="Arial Narrow" w:cstheme="majorBidi"/>
                <w:bCs/>
                <w:sz w:val="20"/>
              </w:rPr>
            </w:pPr>
            <w:r w:rsidRPr="003C04BA">
              <w:rPr>
                <w:rFonts w:ascii="Arial Narrow" w:eastAsiaTheme="majorEastAsia" w:hAnsi="Arial Narrow" w:cstheme="majorBidi"/>
                <w:bCs/>
                <w:sz w:val="20"/>
              </w:rPr>
              <w:t>Diagnosed cases</w:t>
            </w:r>
          </w:p>
        </w:tc>
        <w:tc>
          <w:tcPr>
            <w:tcW w:w="2201" w:type="pct"/>
            <w:shd w:val="clear" w:color="auto" w:fill="auto"/>
            <w:vAlign w:val="center"/>
          </w:tcPr>
          <w:p w14:paraId="05822A0D" w14:textId="77777777" w:rsidR="003C04BA" w:rsidRPr="003C04BA" w:rsidRDefault="003C04BA" w:rsidP="003C04BA">
            <w:pPr>
              <w:spacing w:after="120"/>
              <w:jc w:val="left"/>
              <w:rPr>
                <w:rFonts w:ascii="Arial Narrow" w:eastAsiaTheme="majorEastAsia" w:hAnsi="Arial Narrow" w:cstheme="majorBidi"/>
                <w:bCs/>
                <w:sz w:val="20"/>
              </w:rPr>
            </w:pPr>
            <w:r w:rsidRPr="003C04BA">
              <w:rPr>
                <w:rFonts w:ascii="Arial Narrow" w:eastAsiaTheme="majorEastAsia" w:hAnsi="Arial Narrow" w:cstheme="majorBidi"/>
                <w:bCs/>
                <w:sz w:val="20"/>
              </w:rPr>
              <w:t>Males: 10%, Females: 25%</w:t>
            </w:r>
          </w:p>
          <w:p w14:paraId="6D93F41C" w14:textId="77777777" w:rsidR="003C04BA" w:rsidRPr="003C04BA" w:rsidRDefault="003C04BA" w:rsidP="003C04BA">
            <w:pPr>
              <w:spacing w:after="120"/>
              <w:jc w:val="left"/>
              <w:rPr>
                <w:rFonts w:ascii="Arial Narrow" w:eastAsiaTheme="majorEastAsia" w:hAnsi="Arial Narrow" w:cstheme="majorBidi"/>
                <w:bCs/>
                <w:sz w:val="20"/>
              </w:rPr>
            </w:pPr>
            <w:r w:rsidRPr="003C04BA">
              <w:rPr>
                <w:rFonts w:ascii="Arial Narrow" w:eastAsiaTheme="majorEastAsia" w:hAnsi="Arial Narrow" w:cstheme="majorBidi"/>
                <w:bCs/>
                <w:sz w:val="20"/>
              </w:rPr>
              <w:t>Based on a statement that “More than 75% of women and about 90% of men with a high likelihood of osteoporosis are not investigated” from the abstract of a published review of osteoporosis in Australia (Nguyen 2004).</w:t>
            </w:r>
          </w:p>
        </w:tc>
        <w:tc>
          <w:tcPr>
            <w:tcW w:w="2173" w:type="pct"/>
            <w:shd w:val="clear" w:color="auto" w:fill="auto"/>
            <w:vAlign w:val="center"/>
          </w:tcPr>
          <w:p w14:paraId="6008C9A2" w14:textId="77777777" w:rsidR="003C04BA" w:rsidRPr="003C04BA" w:rsidRDefault="003C04BA" w:rsidP="003C04BA">
            <w:pPr>
              <w:spacing w:after="120"/>
              <w:jc w:val="left"/>
              <w:rPr>
                <w:rFonts w:ascii="Arial Narrow" w:eastAsiaTheme="majorEastAsia" w:hAnsi="Arial Narrow" w:cstheme="majorBidi"/>
                <w:bCs/>
                <w:iCs/>
                <w:sz w:val="20"/>
              </w:rPr>
            </w:pPr>
            <w:r w:rsidRPr="003C04BA">
              <w:rPr>
                <w:rFonts w:ascii="Arial Narrow" w:eastAsiaTheme="majorEastAsia" w:hAnsi="Arial Narrow" w:cstheme="majorBidi"/>
                <w:bCs/>
                <w:iCs/>
                <w:sz w:val="20"/>
              </w:rPr>
              <w:t>Estimates could not be validated during the evaluation due to a lack of documentation in the publication but did not appear to relate to the use of BMD scans in patients younger than 70 years of age. Additionally, the data included in the review were relatively old, with more recent studies indicating substantial changes in osteoporosis diagnosis and management over time in Australia (Smith 2022).</w:t>
            </w:r>
          </w:p>
          <w:p w14:paraId="48448BF3" w14:textId="6AC6F558" w:rsidR="003C04BA" w:rsidRDefault="003C04BA" w:rsidP="003C04BA">
            <w:pPr>
              <w:jc w:val="left"/>
              <w:rPr>
                <w:rFonts w:ascii="Arial Narrow" w:eastAsiaTheme="majorEastAsia" w:hAnsi="Arial Narrow" w:cstheme="majorBidi"/>
                <w:bCs/>
                <w:iCs/>
                <w:sz w:val="20"/>
              </w:rPr>
            </w:pPr>
            <w:r w:rsidRPr="003C04BA">
              <w:rPr>
                <w:rFonts w:ascii="Arial Narrow" w:eastAsiaTheme="majorEastAsia" w:hAnsi="Arial Narrow" w:cstheme="majorBidi"/>
                <w:bCs/>
                <w:iCs/>
                <w:sz w:val="20"/>
              </w:rPr>
              <w:t xml:space="preserve">During the evaluation no useful estimates were identified on the utilisation of BMD scans for the detection of primary osteoporosis in patients aged </w:t>
            </w:r>
            <w:r w:rsidRPr="003C04BA">
              <w:rPr>
                <w:rFonts w:ascii="Arial Narrow" w:eastAsiaTheme="majorEastAsia" w:hAnsi="Arial Narrow" w:cstheme="majorBidi"/>
                <w:bCs/>
                <w:iCs/>
                <w:sz w:val="20"/>
              </w:rPr>
              <w:br/>
              <w:t>&lt;70 years with and without prior fracture.</w:t>
            </w:r>
          </w:p>
          <w:p w14:paraId="4479E4D3" w14:textId="77777777" w:rsidR="009778DB" w:rsidRDefault="009778DB" w:rsidP="003C04BA">
            <w:pPr>
              <w:jc w:val="left"/>
              <w:rPr>
                <w:rFonts w:ascii="Arial Narrow" w:eastAsiaTheme="majorEastAsia" w:hAnsi="Arial Narrow" w:cstheme="majorBidi"/>
                <w:bCs/>
                <w:i/>
                <w:iCs/>
                <w:sz w:val="20"/>
              </w:rPr>
            </w:pPr>
          </w:p>
          <w:p w14:paraId="6202F0B7" w14:textId="77777777" w:rsidR="009778DB" w:rsidRDefault="009778DB" w:rsidP="003C04BA">
            <w:pPr>
              <w:jc w:val="left"/>
              <w:rPr>
                <w:rFonts w:ascii="Arial Narrow" w:eastAsiaTheme="majorEastAsia" w:hAnsi="Arial Narrow" w:cstheme="majorBidi"/>
                <w:bCs/>
                <w:iCs/>
                <w:sz w:val="20"/>
              </w:rPr>
            </w:pPr>
            <w:r w:rsidRPr="00DC4D12">
              <w:rPr>
                <w:rFonts w:ascii="Arial Narrow" w:eastAsiaTheme="majorEastAsia" w:hAnsi="Arial Narrow" w:cstheme="majorBidi"/>
                <w:bCs/>
                <w:iCs/>
                <w:sz w:val="20"/>
              </w:rPr>
              <w:t>DUSC commented that clinicians may be more likely to pursue diagnosis of osteoporosis in younger patients if treatment options were PBS listed. DUSC co</w:t>
            </w:r>
            <w:r w:rsidRPr="00020427">
              <w:rPr>
                <w:rFonts w:ascii="Arial Narrow" w:eastAsiaTheme="majorEastAsia" w:hAnsi="Arial Narrow" w:cstheme="majorBidi"/>
                <w:bCs/>
                <w:iCs/>
                <w:sz w:val="20"/>
              </w:rPr>
              <w:t>nsidered</w:t>
            </w:r>
            <w:r w:rsidRPr="00DC4D12">
              <w:rPr>
                <w:rFonts w:ascii="Arial Narrow" w:eastAsiaTheme="majorEastAsia" w:hAnsi="Arial Narrow" w:cstheme="majorBidi"/>
                <w:bCs/>
                <w:iCs/>
                <w:sz w:val="20"/>
              </w:rPr>
              <w:t xml:space="preserve"> that there could be programs run to target and increase diagnosis and that patients could be encouraged to undertake private BMD testing.</w:t>
            </w:r>
          </w:p>
          <w:p w14:paraId="22EA95F9" w14:textId="77777777" w:rsidR="00400A9A" w:rsidRDefault="00400A9A" w:rsidP="003C04BA">
            <w:pPr>
              <w:jc w:val="left"/>
              <w:rPr>
                <w:rFonts w:ascii="Arial Narrow" w:eastAsiaTheme="majorEastAsia" w:hAnsi="Arial Narrow" w:cstheme="majorBidi"/>
                <w:bCs/>
                <w:iCs/>
                <w:sz w:val="20"/>
              </w:rPr>
            </w:pPr>
          </w:p>
          <w:p w14:paraId="1C88284F" w14:textId="77777777" w:rsidR="00400A9A" w:rsidRDefault="00400A9A" w:rsidP="00400A9A">
            <w:pPr>
              <w:jc w:val="left"/>
              <w:rPr>
                <w:rFonts w:ascii="Arial Narrow" w:hAnsi="Arial Narrow"/>
                <w:sz w:val="20"/>
                <w:szCs w:val="20"/>
              </w:rPr>
            </w:pPr>
            <w:r w:rsidRPr="00B3494C">
              <w:rPr>
                <w:rFonts w:ascii="Arial Narrow" w:hAnsi="Arial Narrow"/>
                <w:sz w:val="20"/>
                <w:szCs w:val="20"/>
              </w:rPr>
              <w:t>DUSC agreed with the commentary that the source of the diagnosis rate was uncertain and likely out of date.</w:t>
            </w:r>
          </w:p>
          <w:p w14:paraId="2E7F10AE" w14:textId="77777777" w:rsidR="00400A9A" w:rsidRDefault="00400A9A" w:rsidP="00400A9A">
            <w:pPr>
              <w:jc w:val="left"/>
              <w:rPr>
                <w:rFonts w:ascii="Arial Narrow" w:eastAsiaTheme="majorEastAsia" w:hAnsi="Arial Narrow"/>
                <w:bCs/>
                <w:sz w:val="20"/>
                <w:szCs w:val="20"/>
              </w:rPr>
            </w:pPr>
          </w:p>
          <w:p w14:paraId="4C2C489B" w14:textId="5BAF9C9B" w:rsidR="00400A9A" w:rsidRPr="00DC4D12" w:rsidRDefault="00400A9A" w:rsidP="00400A9A">
            <w:pPr>
              <w:jc w:val="left"/>
              <w:rPr>
                <w:rFonts w:ascii="Arial Narrow" w:eastAsiaTheme="majorEastAsia" w:hAnsi="Arial Narrow" w:cstheme="majorBidi"/>
                <w:bCs/>
                <w:sz w:val="20"/>
              </w:rPr>
            </w:pPr>
            <w:r w:rsidRPr="00B3494C">
              <w:rPr>
                <w:rFonts w:ascii="Arial Narrow" w:hAnsi="Arial Narrow"/>
                <w:sz w:val="20"/>
                <w:szCs w:val="20"/>
              </w:rPr>
              <w:t>DUSC considered there is a risk that utilisation may be substantially higher than predicted if diagnosis rates are targeted.</w:t>
            </w:r>
          </w:p>
        </w:tc>
      </w:tr>
      <w:tr w:rsidR="003C04BA" w:rsidRPr="003C04BA" w14:paraId="783F1E87" w14:textId="77777777" w:rsidTr="00E1649F">
        <w:tc>
          <w:tcPr>
            <w:tcW w:w="626" w:type="pct"/>
            <w:shd w:val="clear" w:color="auto" w:fill="auto"/>
            <w:vAlign w:val="center"/>
          </w:tcPr>
          <w:p w14:paraId="0C8D92E6" w14:textId="77777777" w:rsidR="003C04BA" w:rsidRPr="003C04BA" w:rsidRDefault="003C04BA" w:rsidP="003C04BA">
            <w:pPr>
              <w:jc w:val="left"/>
              <w:rPr>
                <w:rFonts w:ascii="Arial Narrow" w:eastAsiaTheme="majorEastAsia" w:hAnsi="Arial Narrow" w:cstheme="majorBidi"/>
                <w:bCs/>
                <w:sz w:val="20"/>
              </w:rPr>
            </w:pPr>
            <w:r w:rsidRPr="003C04BA">
              <w:rPr>
                <w:rFonts w:ascii="Arial Narrow" w:eastAsiaTheme="majorEastAsia" w:hAnsi="Arial Narrow" w:cstheme="majorBidi"/>
                <w:bCs/>
                <w:sz w:val="20"/>
              </w:rPr>
              <w:t>Proportion without prior fracture</w:t>
            </w:r>
          </w:p>
        </w:tc>
        <w:tc>
          <w:tcPr>
            <w:tcW w:w="2201" w:type="pct"/>
            <w:shd w:val="clear" w:color="auto" w:fill="auto"/>
            <w:vAlign w:val="center"/>
          </w:tcPr>
          <w:p w14:paraId="2E493E8C" w14:textId="77777777" w:rsidR="003C04BA" w:rsidRPr="003C04BA" w:rsidRDefault="003C04BA" w:rsidP="003C04BA">
            <w:pPr>
              <w:spacing w:after="120"/>
              <w:jc w:val="left"/>
              <w:rPr>
                <w:rFonts w:ascii="Arial Narrow" w:eastAsiaTheme="majorEastAsia" w:hAnsi="Arial Narrow" w:cstheme="majorBidi"/>
                <w:bCs/>
                <w:sz w:val="20"/>
              </w:rPr>
            </w:pPr>
            <w:r w:rsidRPr="003C04BA">
              <w:rPr>
                <w:rFonts w:ascii="Arial Narrow" w:eastAsiaTheme="majorEastAsia" w:hAnsi="Arial Narrow" w:cstheme="majorBidi"/>
                <w:bCs/>
                <w:sz w:val="20"/>
              </w:rPr>
              <w:t>Males: 93.8%, Females: 84.2%</w:t>
            </w:r>
          </w:p>
          <w:p w14:paraId="4AF15527" w14:textId="77777777" w:rsidR="003C04BA" w:rsidRPr="003C04BA" w:rsidRDefault="003C04BA" w:rsidP="003C04BA">
            <w:pPr>
              <w:jc w:val="left"/>
              <w:rPr>
                <w:rFonts w:ascii="Arial Narrow" w:eastAsiaTheme="majorEastAsia" w:hAnsi="Arial Narrow" w:cstheme="majorBidi"/>
                <w:bCs/>
                <w:sz w:val="20"/>
              </w:rPr>
            </w:pPr>
            <w:r w:rsidRPr="003C04BA">
              <w:rPr>
                <w:rFonts w:ascii="Arial Narrow" w:eastAsiaTheme="majorEastAsia" w:hAnsi="Arial Narrow" w:cstheme="majorBidi"/>
                <w:bCs/>
                <w:sz w:val="20"/>
              </w:rPr>
              <w:t>Based on the estimated 10-year risk of any fracture using the Garvan risk calculator for individuals 60 years of age with a BMD of -2.5 and no prior fracture or history of falls (males: 6.2%, females: 15.8%). The complement of this estimate was then used as the proportion of patients without fracture.</w:t>
            </w:r>
          </w:p>
        </w:tc>
        <w:tc>
          <w:tcPr>
            <w:tcW w:w="2173" w:type="pct"/>
            <w:shd w:val="clear" w:color="auto" w:fill="auto"/>
            <w:vAlign w:val="center"/>
          </w:tcPr>
          <w:p w14:paraId="275CA045" w14:textId="77777777" w:rsidR="003C04BA" w:rsidRPr="003C04BA" w:rsidRDefault="003C04BA" w:rsidP="003C04BA">
            <w:pPr>
              <w:spacing w:after="120"/>
              <w:jc w:val="left"/>
              <w:rPr>
                <w:rFonts w:ascii="Arial Narrow" w:eastAsiaTheme="majorEastAsia" w:hAnsi="Arial Narrow" w:cstheme="majorBidi"/>
                <w:bCs/>
                <w:iCs/>
                <w:sz w:val="20"/>
              </w:rPr>
            </w:pPr>
            <w:r w:rsidRPr="003C04BA">
              <w:rPr>
                <w:rFonts w:ascii="Arial Narrow" w:eastAsiaTheme="majorEastAsia" w:hAnsi="Arial Narrow" w:cstheme="majorBidi"/>
                <w:bCs/>
                <w:iCs/>
                <w:sz w:val="20"/>
              </w:rPr>
              <w:t>The submission did not adequately justify the use of a single estimate of fracture risk for males and females for all patients aged less than 70 years particularly given that age is one of the key determinants of fracture risk.</w:t>
            </w:r>
          </w:p>
          <w:p w14:paraId="277D4E82" w14:textId="54C59E4B" w:rsidR="003C04BA" w:rsidRPr="003C04BA" w:rsidRDefault="003C04BA" w:rsidP="003C04BA">
            <w:pPr>
              <w:spacing w:after="120"/>
              <w:jc w:val="left"/>
              <w:rPr>
                <w:rFonts w:ascii="Arial Narrow" w:eastAsiaTheme="majorEastAsia" w:hAnsi="Arial Narrow" w:cstheme="majorBidi"/>
                <w:bCs/>
                <w:iCs/>
                <w:sz w:val="20"/>
              </w:rPr>
            </w:pPr>
            <w:r w:rsidRPr="003C04BA">
              <w:rPr>
                <w:rFonts w:ascii="Arial Narrow" w:eastAsiaTheme="majorEastAsia" w:hAnsi="Arial Narrow" w:cstheme="majorBidi"/>
                <w:bCs/>
                <w:iCs/>
                <w:sz w:val="20"/>
              </w:rPr>
              <w:t>Additionally, it should be noted that the Garvan risk calculator predicts future fracture risk for a particular individual and therefore risk estimates for a 60 year old represent fractures over the next 10 years rather than fractures occurring in the previous 10 years.</w:t>
            </w:r>
            <w:r w:rsidR="009778DB">
              <w:rPr>
                <w:rFonts w:ascii="Arial Narrow" w:eastAsiaTheme="majorEastAsia" w:hAnsi="Arial Narrow" w:cstheme="majorBidi"/>
                <w:bCs/>
                <w:iCs/>
                <w:sz w:val="20"/>
              </w:rPr>
              <w:t xml:space="preserve"> </w:t>
            </w:r>
          </w:p>
          <w:p w14:paraId="0D39AA18" w14:textId="3B4C2F7D" w:rsidR="003C04BA" w:rsidRPr="003C04BA" w:rsidRDefault="003C04BA" w:rsidP="003C04BA">
            <w:pPr>
              <w:jc w:val="left"/>
              <w:rPr>
                <w:rFonts w:ascii="Arial Narrow" w:eastAsiaTheme="majorEastAsia" w:hAnsi="Arial Narrow" w:cstheme="majorBidi"/>
                <w:bCs/>
                <w:i/>
                <w:sz w:val="20"/>
              </w:rPr>
            </w:pPr>
            <w:r w:rsidRPr="003C04BA">
              <w:rPr>
                <w:rFonts w:ascii="Arial Narrow" w:eastAsiaTheme="majorEastAsia" w:hAnsi="Arial Narrow" w:cstheme="majorBidi"/>
                <w:bCs/>
                <w:iCs/>
                <w:sz w:val="20"/>
              </w:rPr>
              <w:t xml:space="preserve">By independently estimating the proportion of cases diagnosed and the proportion of patients without a prior fracture, the submission implicitly assumed that the presence of a prior fracture does not affect the likelihood of diagnosis. </w:t>
            </w:r>
            <w:r w:rsidR="009778DB">
              <w:rPr>
                <w:rFonts w:ascii="Arial Narrow" w:eastAsiaTheme="majorEastAsia" w:hAnsi="Arial Narrow" w:cstheme="majorBidi"/>
                <w:bCs/>
                <w:iCs/>
                <w:sz w:val="20"/>
              </w:rPr>
              <w:t xml:space="preserve">DUSC agreed with the evaluation that this </w:t>
            </w:r>
            <w:r w:rsidRPr="003C04BA">
              <w:rPr>
                <w:rFonts w:ascii="Arial Narrow" w:eastAsiaTheme="majorEastAsia" w:hAnsi="Arial Narrow" w:cstheme="majorBidi"/>
                <w:bCs/>
                <w:iCs/>
                <w:sz w:val="20"/>
              </w:rPr>
              <w:t>assumption was not reasonable.</w:t>
            </w:r>
          </w:p>
        </w:tc>
      </w:tr>
      <w:tr w:rsidR="003C04BA" w:rsidRPr="003C04BA" w14:paraId="2D29ACCD" w14:textId="77777777" w:rsidTr="00E1649F">
        <w:tc>
          <w:tcPr>
            <w:tcW w:w="626" w:type="pct"/>
            <w:shd w:val="clear" w:color="auto" w:fill="auto"/>
            <w:vAlign w:val="center"/>
          </w:tcPr>
          <w:p w14:paraId="288309A5" w14:textId="77777777" w:rsidR="003C04BA" w:rsidRPr="003C04BA" w:rsidRDefault="003C04BA" w:rsidP="003C04BA">
            <w:pPr>
              <w:jc w:val="left"/>
              <w:rPr>
                <w:rFonts w:ascii="Arial Narrow" w:eastAsiaTheme="majorEastAsia" w:hAnsi="Arial Narrow" w:cstheme="majorBidi"/>
                <w:bCs/>
                <w:sz w:val="20"/>
              </w:rPr>
            </w:pPr>
            <w:r w:rsidRPr="003C04BA">
              <w:rPr>
                <w:rFonts w:ascii="Arial Narrow" w:eastAsiaTheme="majorEastAsia" w:hAnsi="Arial Narrow" w:cstheme="majorBidi"/>
                <w:bCs/>
                <w:sz w:val="20"/>
              </w:rPr>
              <w:t>Uptake of risedronate EC</w:t>
            </w:r>
          </w:p>
        </w:tc>
        <w:tc>
          <w:tcPr>
            <w:tcW w:w="2201" w:type="pct"/>
            <w:shd w:val="clear" w:color="auto" w:fill="auto"/>
            <w:vAlign w:val="center"/>
          </w:tcPr>
          <w:p w14:paraId="4615C84C" w14:textId="77777777" w:rsidR="003C04BA" w:rsidRPr="003C04BA" w:rsidRDefault="003C04BA" w:rsidP="003C04BA">
            <w:pPr>
              <w:keepNext/>
              <w:spacing w:after="120"/>
              <w:jc w:val="left"/>
              <w:rPr>
                <w:rFonts w:ascii="Arial Narrow" w:eastAsiaTheme="majorEastAsia" w:hAnsi="Arial Narrow" w:cstheme="majorBidi"/>
                <w:bCs/>
                <w:sz w:val="20"/>
              </w:rPr>
            </w:pPr>
            <w:r w:rsidRPr="003C04BA">
              <w:rPr>
                <w:rFonts w:ascii="Arial Narrow" w:eastAsiaTheme="majorEastAsia" w:hAnsi="Arial Narrow" w:cstheme="majorBidi"/>
                <w:bCs/>
                <w:sz w:val="20"/>
              </w:rPr>
              <w:t>Males 50-59 years: 44.9%, 60-69 years: 54.1%</w:t>
            </w:r>
            <w:r w:rsidRPr="003C04BA">
              <w:rPr>
                <w:rFonts w:ascii="Arial Narrow" w:eastAsiaTheme="majorEastAsia" w:hAnsi="Arial Narrow" w:cstheme="majorBidi"/>
                <w:bCs/>
                <w:sz w:val="20"/>
              </w:rPr>
              <w:br/>
              <w:t>Females 50-59 years: 36.7%, 60-69 years: 52.3%</w:t>
            </w:r>
          </w:p>
          <w:p w14:paraId="4CB1DEC8" w14:textId="77777777" w:rsidR="003C04BA" w:rsidRPr="003C04BA" w:rsidRDefault="003C04BA" w:rsidP="003C04BA">
            <w:pPr>
              <w:keepNext/>
              <w:jc w:val="left"/>
              <w:rPr>
                <w:rFonts w:ascii="Arial Narrow" w:eastAsiaTheme="majorEastAsia" w:hAnsi="Arial Narrow" w:cstheme="majorBidi"/>
                <w:bCs/>
                <w:sz w:val="20"/>
              </w:rPr>
            </w:pPr>
            <w:r w:rsidRPr="003C04BA">
              <w:rPr>
                <w:rFonts w:ascii="Arial Narrow" w:eastAsiaTheme="majorEastAsia" w:hAnsi="Arial Narrow" w:cstheme="majorBidi"/>
                <w:bCs/>
                <w:sz w:val="20"/>
              </w:rPr>
              <w:t>DUSC review of denosumab for osteoporosis (October 2020). Analysis of MedicineInsight data on the proportion of patients who regularly attended GP practices (3 visits between 2018-2019) who were diagnosed with osteoporosis and who had ever received at least one osteoporosis medication.</w:t>
            </w:r>
          </w:p>
        </w:tc>
        <w:tc>
          <w:tcPr>
            <w:tcW w:w="2173" w:type="pct"/>
            <w:shd w:val="clear" w:color="auto" w:fill="auto"/>
            <w:vAlign w:val="center"/>
          </w:tcPr>
          <w:p w14:paraId="52E8D493" w14:textId="2DEBCE06" w:rsidR="002E5C3D" w:rsidRDefault="003C04BA" w:rsidP="003C04BA">
            <w:pPr>
              <w:keepNext/>
              <w:spacing w:after="120"/>
              <w:jc w:val="left"/>
              <w:rPr>
                <w:rFonts w:ascii="Arial Narrow" w:eastAsiaTheme="majorEastAsia" w:hAnsi="Arial Narrow" w:cstheme="majorBidi"/>
                <w:bCs/>
                <w:iCs/>
                <w:sz w:val="20"/>
              </w:rPr>
            </w:pPr>
            <w:r w:rsidRPr="003C04BA">
              <w:rPr>
                <w:rFonts w:ascii="Arial Narrow" w:eastAsiaTheme="majorEastAsia" w:hAnsi="Arial Narrow" w:cstheme="majorBidi"/>
                <w:bCs/>
                <w:iCs/>
                <w:sz w:val="20"/>
              </w:rPr>
              <w:t xml:space="preserve">The estimated uptake rates included patients with and without prior fracture (proportions were not reported but likely to be biased towards patients with prior fracture due to the availability of PBS subsidised therapy). It was unclear whether these rates would be representative of the target population given the lower fracture risk in patients without a prior fracture. </w:t>
            </w:r>
            <w:r w:rsidR="002E5C3D">
              <w:rPr>
                <w:rFonts w:ascii="Arial Narrow" w:eastAsiaTheme="majorEastAsia" w:hAnsi="Arial Narrow" w:cstheme="majorBidi"/>
                <w:bCs/>
                <w:iCs/>
                <w:sz w:val="20"/>
              </w:rPr>
              <w:t xml:space="preserve">DUSC agreed with the evaluation </w:t>
            </w:r>
            <w:r w:rsidR="002E5C3D" w:rsidRPr="007B2184">
              <w:rPr>
                <w:rFonts w:ascii="Arial Narrow" w:eastAsiaTheme="majorEastAsia" w:hAnsi="Arial Narrow" w:cstheme="majorBidi"/>
                <w:bCs/>
                <w:iCs/>
                <w:sz w:val="20"/>
              </w:rPr>
              <w:t xml:space="preserve">that the patients included in the </w:t>
            </w:r>
            <w:r w:rsidR="002E5C3D">
              <w:rPr>
                <w:rFonts w:ascii="Arial Narrow" w:eastAsiaTheme="majorEastAsia" w:hAnsi="Arial Narrow" w:cstheme="majorBidi"/>
                <w:bCs/>
                <w:iCs/>
                <w:sz w:val="20"/>
              </w:rPr>
              <w:t xml:space="preserve">October 2020 </w:t>
            </w:r>
            <w:r w:rsidR="002E5C3D" w:rsidRPr="007B2184">
              <w:rPr>
                <w:rFonts w:ascii="Arial Narrow" w:eastAsiaTheme="majorEastAsia" w:hAnsi="Arial Narrow" w:cstheme="majorBidi"/>
                <w:bCs/>
                <w:iCs/>
                <w:sz w:val="20"/>
              </w:rPr>
              <w:t>review likely included a majority of patients who had a prior fracture</w:t>
            </w:r>
            <w:r w:rsidR="002E5C3D">
              <w:rPr>
                <w:rFonts w:ascii="Arial Narrow" w:eastAsiaTheme="majorEastAsia" w:hAnsi="Arial Narrow" w:cstheme="majorBidi"/>
                <w:bCs/>
                <w:iCs/>
                <w:sz w:val="20"/>
              </w:rPr>
              <w:t xml:space="preserve">. DUSC considered </w:t>
            </w:r>
            <w:r w:rsidR="002E5C3D" w:rsidRPr="007B2184">
              <w:rPr>
                <w:rFonts w:ascii="Arial Narrow" w:eastAsiaTheme="majorEastAsia" w:hAnsi="Arial Narrow" w:cstheme="majorBidi"/>
                <w:bCs/>
                <w:iCs/>
                <w:sz w:val="20"/>
              </w:rPr>
              <w:t>that the intended population may be more likely and capable than older patients to increase regular physical activity and delay initiation of medicine.</w:t>
            </w:r>
          </w:p>
          <w:p w14:paraId="5EBC69F5" w14:textId="55A3A741" w:rsidR="003C04BA" w:rsidRPr="003C04BA" w:rsidRDefault="003C04BA" w:rsidP="003C04BA">
            <w:pPr>
              <w:keepNext/>
              <w:spacing w:after="120"/>
              <w:jc w:val="left"/>
              <w:rPr>
                <w:rFonts w:ascii="Arial Narrow" w:eastAsiaTheme="majorEastAsia" w:hAnsi="Arial Narrow" w:cstheme="majorBidi"/>
                <w:bCs/>
                <w:iCs/>
                <w:sz w:val="20"/>
              </w:rPr>
            </w:pPr>
            <w:r w:rsidRPr="003C04BA">
              <w:rPr>
                <w:rFonts w:ascii="Arial Narrow" w:eastAsiaTheme="majorEastAsia" w:hAnsi="Arial Narrow" w:cstheme="majorBidi"/>
                <w:bCs/>
                <w:iCs/>
                <w:sz w:val="20"/>
              </w:rPr>
              <w:t>Additionally, DUSC estimates were based on the use of any osteoporosis medication (with various dosing frequencies, methods of administration, adverse events) while the submission is limited to risedronate EC only.</w:t>
            </w:r>
            <w:r w:rsidR="002E5C3D">
              <w:rPr>
                <w:rFonts w:ascii="Arial Narrow" w:eastAsiaTheme="majorEastAsia" w:hAnsi="Arial Narrow" w:cstheme="majorBidi"/>
                <w:bCs/>
                <w:iCs/>
                <w:sz w:val="20"/>
              </w:rPr>
              <w:t xml:space="preserve"> </w:t>
            </w:r>
            <w:r w:rsidR="00E275F7" w:rsidRPr="00DC4D12">
              <w:rPr>
                <w:rFonts w:ascii="Arial Narrow" w:eastAsiaTheme="majorEastAsia" w:hAnsi="Arial Narrow" w:cstheme="majorBidi"/>
                <w:bCs/>
                <w:iCs/>
                <w:sz w:val="20"/>
              </w:rPr>
              <w:t>DUSC commented that eligible patients may already be treated with osteoporosis medicines, either outside of the PBS restrictions or through private prescriptions, and that the degree of this utilisation is unknown. DUSC noted the most commonly used PBS listed osteoporosis medicine is denosumab, and that an early summary of the PBAC consumer comments appeared to indicate a preference for medicines other than risedronate EC to treat this group of patients. DUSC considered that if patients are already treated with other osteoporosis medicines through private prescriptions they would be unlikely to switch to PBS listed risedronate EC, and considered the uptake rates were overestimated</w:t>
            </w:r>
          </w:p>
          <w:p w14:paraId="7D39CAE5" w14:textId="77777777" w:rsidR="003C04BA" w:rsidRPr="003C04BA" w:rsidRDefault="003C04BA" w:rsidP="003C04BA">
            <w:pPr>
              <w:jc w:val="left"/>
              <w:rPr>
                <w:rFonts w:ascii="Arial Narrow" w:eastAsiaTheme="majorEastAsia" w:hAnsi="Arial Narrow" w:cstheme="majorBidi"/>
                <w:bCs/>
                <w:iCs/>
                <w:sz w:val="20"/>
              </w:rPr>
            </w:pPr>
            <w:r w:rsidRPr="003C04BA">
              <w:rPr>
                <w:rFonts w:ascii="Arial Narrow" w:eastAsiaTheme="majorEastAsia" w:hAnsi="Arial Narrow" w:cstheme="majorBidi"/>
                <w:bCs/>
                <w:iCs/>
                <w:sz w:val="20"/>
              </w:rPr>
              <w:t>The assumption of constant uptake rates over time was not justified in the submission and was inconsistent with the gradual uptake pattern typically seen with the introduction of a medication in a new population.</w:t>
            </w:r>
          </w:p>
        </w:tc>
      </w:tr>
      <w:tr w:rsidR="003C04BA" w:rsidRPr="003C04BA" w14:paraId="0DAB3C51" w14:textId="77777777" w:rsidTr="00E1649F">
        <w:tc>
          <w:tcPr>
            <w:tcW w:w="626" w:type="pct"/>
            <w:shd w:val="clear" w:color="auto" w:fill="auto"/>
            <w:vAlign w:val="center"/>
          </w:tcPr>
          <w:p w14:paraId="32D706D2" w14:textId="77777777" w:rsidR="003C04BA" w:rsidRPr="003C04BA" w:rsidRDefault="003C04BA" w:rsidP="003C04BA">
            <w:pPr>
              <w:jc w:val="left"/>
              <w:rPr>
                <w:rFonts w:ascii="Arial Narrow" w:eastAsiaTheme="majorEastAsia" w:hAnsi="Arial Narrow" w:cstheme="majorBidi"/>
                <w:bCs/>
                <w:sz w:val="20"/>
              </w:rPr>
            </w:pPr>
            <w:r w:rsidRPr="003C04BA">
              <w:rPr>
                <w:rFonts w:ascii="Arial Narrow" w:eastAsiaTheme="majorEastAsia" w:hAnsi="Arial Narrow" w:cstheme="majorBidi"/>
                <w:bCs/>
                <w:sz w:val="20"/>
              </w:rPr>
              <w:t>Persistence to risedronate EC</w:t>
            </w:r>
          </w:p>
        </w:tc>
        <w:tc>
          <w:tcPr>
            <w:tcW w:w="2201" w:type="pct"/>
            <w:shd w:val="clear" w:color="auto" w:fill="auto"/>
            <w:vAlign w:val="center"/>
          </w:tcPr>
          <w:p w14:paraId="7E2D71AA" w14:textId="77777777" w:rsidR="003C04BA" w:rsidRPr="003C04BA" w:rsidRDefault="003C04BA" w:rsidP="003C04BA">
            <w:pPr>
              <w:spacing w:after="120"/>
              <w:jc w:val="left"/>
              <w:rPr>
                <w:rFonts w:ascii="Arial Narrow" w:eastAsiaTheme="majorEastAsia" w:hAnsi="Arial Narrow" w:cstheme="majorBidi"/>
                <w:bCs/>
                <w:sz w:val="20"/>
              </w:rPr>
            </w:pPr>
            <w:r w:rsidRPr="003C04BA">
              <w:rPr>
                <w:rFonts w:ascii="Arial Narrow" w:eastAsiaTheme="majorEastAsia" w:hAnsi="Arial Narrow" w:cstheme="majorBidi"/>
                <w:bCs/>
                <w:sz w:val="20"/>
              </w:rPr>
              <w:t xml:space="preserve">Assumption of one year treatment persistence. </w:t>
            </w:r>
          </w:p>
          <w:p w14:paraId="306E7C9F" w14:textId="77777777" w:rsidR="003C04BA" w:rsidRPr="003C04BA" w:rsidRDefault="003C04BA" w:rsidP="003C04BA">
            <w:pPr>
              <w:spacing w:after="120"/>
              <w:jc w:val="left"/>
              <w:rPr>
                <w:rFonts w:ascii="Arial Narrow" w:eastAsiaTheme="majorEastAsia" w:hAnsi="Arial Narrow" w:cstheme="majorBidi"/>
                <w:bCs/>
                <w:sz w:val="20"/>
              </w:rPr>
            </w:pPr>
            <w:r w:rsidRPr="003C04BA">
              <w:rPr>
                <w:rFonts w:ascii="Arial Narrow" w:eastAsiaTheme="majorEastAsia" w:hAnsi="Arial Narrow" w:cstheme="majorBidi"/>
                <w:bCs/>
                <w:sz w:val="20"/>
              </w:rPr>
              <w:t>Based on analyses from the DUSC review of denosumab for osteoporosis, a sponsor-commissioned 10% PBS sample analysis and a published French utilisation analysis (Hiligsmann 2019) which indicated low persistence to oral bisphosphonate therapy beyond one year for existing indications</w:t>
            </w:r>
          </w:p>
        </w:tc>
        <w:tc>
          <w:tcPr>
            <w:tcW w:w="2173" w:type="pct"/>
            <w:shd w:val="clear" w:color="auto" w:fill="auto"/>
            <w:vAlign w:val="center"/>
          </w:tcPr>
          <w:p w14:paraId="19AFAEF7" w14:textId="77777777" w:rsidR="003C04BA" w:rsidRPr="003C04BA" w:rsidRDefault="003C04BA" w:rsidP="003C04BA">
            <w:pPr>
              <w:keepNext/>
              <w:spacing w:after="120"/>
              <w:jc w:val="left"/>
              <w:rPr>
                <w:rFonts w:ascii="Arial Narrow" w:eastAsiaTheme="majorEastAsia" w:hAnsi="Arial Narrow" w:cstheme="majorBidi"/>
                <w:bCs/>
                <w:iCs/>
                <w:sz w:val="20"/>
              </w:rPr>
            </w:pPr>
            <w:r w:rsidRPr="003C04BA">
              <w:rPr>
                <w:rFonts w:ascii="Arial Narrow" w:eastAsiaTheme="majorEastAsia" w:hAnsi="Arial Narrow" w:cstheme="majorBidi"/>
                <w:bCs/>
                <w:iCs/>
                <w:sz w:val="20"/>
              </w:rPr>
              <w:t>This assumption was inconsistent with the available utilisation data (which indicated that a substantial minority of patients may continue treatment beyond one year), with the clinical trial data used to support fracture outcomes (18 months to 3 years of treatment) and the economic analysis (which assumed perfect persistence for up to 20 years in the absence of fracture).</w:t>
            </w:r>
          </w:p>
          <w:p w14:paraId="5DF3CFB3" w14:textId="77777777" w:rsidR="003C04BA" w:rsidRDefault="003C04BA" w:rsidP="003C04BA">
            <w:pPr>
              <w:jc w:val="left"/>
              <w:rPr>
                <w:rFonts w:ascii="Arial Narrow" w:eastAsiaTheme="majorEastAsia" w:hAnsi="Arial Narrow" w:cstheme="majorBidi"/>
                <w:bCs/>
                <w:iCs/>
                <w:sz w:val="20"/>
              </w:rPr>
            </w:pPr>
            <w:r w:rsidRPr="003C04BA">
              <w:rPr>
                <w:rFonts w:ascii="Arial Narrow" w:eastAsiaTheme="majorEastAsia" w:hAnsi="Arial Narrow" w:cstheme="majorBidi"/>
                <w:bCs/>
                <w:iCs/>
                <w:sz w:val="20"/>
              </w:rPr>
              <w:t>Persistence to oral bisphosphonates for existing indications may not be representative of the use of risedronate EC in patients younger than 70 years without prior fracture.</w:t>
            </w:r>
          </w:p>
          <w:p w14:paraId="48ECA7C9" w14:textId="77777777" w:rsidR="00E275F7" w:rsidRDefault="00E275F7" w:rsidP="003C04BA">
            <w:pPr>
              <w:jc w:val="left"/>
              <w:rPr>
                <w:rFonts w:ascii="Arial Narrow" w:eastAsiaTheme="majorEastAsia" w:hAnsi="Arial Narrow" w:cstheme="majorBidi"/>
                <w:bCs/>
                <w:iCs/>
                <w:sz w:val="20"/>
              </w:rPr>
            </w:pPr>
          </w:p>
          <w:p w14:paraId="03D7ECFC" w14:textId="4B97F595" w:rsidR="00E275F7" w:rsidRPr="003C04BA" w:rsidRDefault="00E275F7" w:rsidP="003C04BA">
            <w:pPr>
              <w:jc w:val="left"/>
              <w:rPr>
                <w:rFonts w:ascii="Arial Narrow" w:eastAsiaTheme="majorEastAsia" w:hAnsi="Arial Narrow" w:cstheme="majorBidi"/>
                <w:bCs/>
                <w:iCs/>
                <w:sz w:val="20"/>
              </w:rPr>
            </w:pPr>
            <w:r w:rsidRPr="00DC4D12">
              <w:rPr>
                <w:rFonts w:ascii="Arial Narrow" w:eastAsiaTheme="majorEastAsia" w:hAnsi="Arial Narrow" w:cstheme="majorBidi"/>
                <w:bCs/>
                <w:iCs/>
                <w:sz w:val="20"/>
              </w:rPr>
              <w:t xml:space="preserve">DUSC </w:t>
            </w:r>
            <w:r>
              <w:rPr>
                <w:rFonts w:ascii="Arial Narrow" w:eastAsiaTheme="majorEastAsia" w:hAnsi="Arial Narrow" w:cstheme="majorBidi"/>
                <w:bCs/>
                <w:iCs/>
                <w:sz w:val="20"/>
              </w:rPr>
              <w:t>considered</w:t>
            </w:r>
            <w:r w:rsidRPr="00DC4D12">
              <w:rPr>
                <w:rFonts w:ascii="Arial Narrow" w:eastAsiaTheme="majorEastAsia" w:hAnsi="Arial Narrow" w:cstheme="majorBidi"/>
                <w:bCs/>
                <w:iCs/>
                <w:sz w:val="20"/>
              </w:rPr>
              <w:t xml:space="preserve"> it was likely that patients would be treated for longer than one year, but commented the duration did not need to be changed in the budget impact model</w:t>
            </w:r>
            <w:r>
              <w:rPr>
                <w:rFonts w:ascii="Arial Narrow" w:eastAsiaTheme="majorEastAsia" w:hAnsi="Arial Narrow" w:cstheme="majorBidi"/>
                <w:bCs/>
                <w:iCs/>
                <w:sz w:val="20"/>
              </w:rPr>
              <w:t xml:space="preserve">. DUSC advised that while the optimal duration of therapy is uncertain the prevalence approach applied in the submission accounts for all eligible patients in each year and considered that treatment durations longer than one year should not be applied in the prevalence estimates. </w:t>
            </w:r>
          </w:p>
        </w:tc>
      </w:tr>
      <w:tr w:rsidR="003C04BA" w:rsidRPr="003C04BA" w14:paraId="72356BD9" w14:textId="77777777" w:rsidTr="00E1649F">
        <w:tc>
          <w:tcPr>
            <w:tcW w:w="626" w:type="pct"/>
            <w:shd w:val="clear" w:color="auto" w:fill="auto"/>
            <w:vAlign w:val="center"/>
          </w:tcPr>
          <w:p w14:paraId="7D35AED0" w14:textId="77777777" w:rsidR="003C04BA" w:rsidRPr="003C04BA" w:rsidRDefault="003C04BA" w:rsidP="003C04BA">
            <w:pPr>
              <w:jc w:val="left"/>
              <w:rPr>
                <w:rFonts w:ascii="Arial Narrow" w:eastAsiaTheme="majorEastAsia" w:hAnsi="Arial Narrow" w:cstheme="majorBidi"/>
                <w:bCs/>
                <w:sz w:val="20"/>
              </w:rPr>
            </w:pPr>
            <w:r w:rsidRPr="003C04BA">
              <w:rPr>
                <w:rFonts w:ascii="Arial Narrow" w:eastAsiaTheme="majorEastAsia" w:hAnsi="Arial Narrow" w:cstheme="majorBidi"/>
                <w:bCs/>
                <w:sz w:val="20"/>
              </w:rPr>
              <w:t>Adherence to risedronate EC</w:t>
            </w:r>
          </w:p>
        </w:tc>
        <w:tc>
          <w:tcPr>
            <w:tcW w:w="2201" w:type="pct"/>
            <w:shd w:val="clear" w:color="auto" w:fill="auto"/>
            <w:vAlign w:val="center"/>
          </w:tcPr>
          <w:p w14:paraId="0F805508" w14:textId="77777777" w:rsidR="003C04BA" w:rsidRPr="003C04BA" w:rsidRDefault="003C04BA" w:rsidP="003C04BA">
            <w:pPr>
              <w:spacing w:after="120"/>
              <w:jc w:val="left"/>
              <w:rPr>
                <w:rFonts w:ascii="Arial Narrow" w:eastAsiaTheme="majorEastAsia" w:hAnsi="Arial Narrow" w:cstheme="majorBidi"/>
                <w:bCs/>
                <w:sz w:val="20"/>
              </w:rPr>
            </w:pPr>
            <w:r w:rsidRPr="00EF01C4">
              <w:rPr>
                <w:rFonts w:ascii="Arial Narrow" w:eastAsiaTheme="majorEastAsia" w:hAnsi="Arial Narrow" w:cstheme="majorBidi"/>
                <w:bCs/>
                <w:sz w:val="20"/>
              </w:rPr>
              <w:t>9.78</w:t>
            </w:r>
            <w:r w:rsidRPr="003C04BA">
              <w:rPr>
                <w:rFonts w:ascii="Arial Narrow" w:eastAsiaTheme="majorEastAsia" w:hAnsi="Arial Narrow" w:cstheme="majorBidi"/>
                <w:bCs/>
                <w:sz w:val="20"/>
              </w:rPr>
              <w:t xml:space="preserve"> scripts/patient/year.</w:t>
            </w:r>
          </w:p>
          <w:p w14:paraId="494AC3EF" w14:textId="77777777" w:rsidR="003C04BA" w:rsidRPr="003C04BA" w:rsidRDefault="003C04BA" w:rsidP="003C04BA">
            <w:pPr>
              <w:keepNext/>
              <w:jc w:val="left"/>
              <w:rPr>
                <w:rFonts w:ascii="Arial Narrow" w:eastAsiaTheme="majorEastAsia" w:hAnsi="Arial Narrow" w:cstheme="majorBidi"/>
                <w:bCs/>
                <w:sz w:val="20"/>
              </w:rPr>
            </w:pPr>
            <w:r w:rsidRPr="003C04BA">
              <w:rPr>
                <w:rFonts w:ascii="Arial Narrow" w:eastAsiaTheme="majorEastAsia" w:hAnsi="Arial Narrow" w:cstheme="majorBidi"/>
                <w:bCs/>
                <w:sz w:val="20"/>
              </w:rPr>
              <w:t>Calculated based on total script coverage for one year of treatment x estimated treatment adherence. The submission calculated adherence rates for risedronate EC (</w:t>
            </w:r>
            <w:r w:rsidRPr="00EF01C4">
              <w:rPr>
                <w:rFonts w:ascii="Arial Narrow" w:eastAsiaTheme="majorEastAsia" w:hAnsi="Arial Narrow" w:cstheme="majorBidi"/>
                <w:bCs/>
                <w:sz w:val="20"/>
              </w:rPr>
              <w:t>75.2</w:t>
            </w:r>
            <w:r w:rsidRPr="003C04BA">
              <w:rPr>
                <w:rFonts w:ascii="Arial Narrow" w:eastAsiaTheme="majorEastAsia" w:hAnsi="Arial Narrow" w:cstheme="majorBidi"/>
                <w:bCs/>
                <w:sz w:val="20"/>
              </w:rPr>
              <w:t>%) based on the proportion of patients categorised as adherent (</w:t>
            </w:r>
            <w:r w:rsidRPr="00EF01C4">
              <w:rPr>
                <w:rFonts w:ascii="Arial Narrow" w:eastAsiaTheme="majorEastAsia" w:hAnsi="Arial Narrow" w:cstheme="majorBidi"/>
                <w:bCs/>
                <w:sz w:val="20"/>
              </w:rPr>
              <w:t>94</w:t>
            </w:r>
            <w:r w:rsidRPr="003C04BA">
              <w:rPr>
                <w:rFonts w:ascii="Arial Narrow" w:eastAsiaTheme="majorEastAsia" w:hAnsi="Arial Narrow" w:cstheme="majorBidi"/>
                <w:bCs/>
                <w:sz w:val="20"/>
              </w:rPr>
              <w:t>%, &gt; 80% adherent) or non-adherent (</w:t>
            </w:r>
            <w:r w:rsidRPr="00EF01C4">
              <w:rPr>
                <w:rFonts w:ascii="Arial Narrow" w:eastAsiaTheme="majorEastAsia" w:hAnsi="Arial Narrow" w:cstheme="majorBidi"/>
                <w:bCs/>
                <w:sz w:val="20"/>
              </w:rPr>
              <w:t>6</w:t>
            </w:r>
            <w:r w:rsidRPr="003C04BA">
              <w:rPr>
                <w:rFonts w:ascii="Arial Narrow" w:eastAsiaTheme="majorEastAsia" w:hAnsi="Arial Narrow" w:cstheme="majorBidi"/>
                <w:bCs/>
                <w:sz w:val="20"/>
              </w:rPr>
              <w:t xml:space="preserve">%, &lt; 80% adherent) in the FANTASIA trial and assuming that patients in each category had the lowest possible usage value (adherent: 80%, non-adherent: 0%). </w:t>
            </w:r>
          </w:p>
        </w:tc>
        <w:tc>
          <w:tcPr>
            <w:tcW w:w="2173" w:type="pct"/>
            <w:shd w:val="clear" w:color="auto" w:fill="auto"/>
            <w:vAlign w:val="center"/>
          </w:tcPr>
          <w:p w14:paraId="544B9239" w14:textId="03D57510" w:rsidR="003C04BA" w:rsidRPr="003C04BA" w:rsidRDefault="00E275F7" w:rsidP="003C04BA">
            <w:pPr>
              <w:jc w:val="left"/>
              <w:rPr>
                <w:rFonts w:ascii="Arial Narrow" w:eastAsiaTheme="majorEastAsia" w:hAnsi="Arial Narrow" w:cstheme="majorBidi"/>
                <w:bCs/>
                <w:sz w:val="20"/>
              </w:rPr>
            </w:pPr>
            <w:r w:rsidRPr="00DC4D12">
              <w:rPr>
                <w:rFonts w:ascii="Arial Narrow" w:eastAsiaTheme="majorEastAsia" w:hAnsi="Arial Narrow" w:cstheme="majorBidi"/>
                <w:bCs/>
                <w:iCs/>
                <w:sz w:val="20"/>
              </w:rPr>
              <w:t>DUSC noted that the October 2020 DUSC report suggested patients were supplied 10 prescriptions per year, which accounts for a number of patients initiating and ceasing treatment during the year, and considered this assumption reasonable.</w:t>
            </w:r>
          </w:p>
        </w:tc>
      </w:tr>
    </w:tbl>
    <w:p w14:paraId="06774731" w14:textId="77777777" w:rsidR="003C04BA" w:rsidRPr="003C04BA" w:rsidRDefault="003C04BA" w:rsidP="003C04BA">
      <w:pPr>
        <w:spacing w:after="120"/>
        <w:contextualSpacing/>
        <w:rPr>
          <w:rFonts w:ascii="Arial Narrow" w:hAnsi="Arial Narrow"/>
          <w:snapToGrid w:val="0"/>
          <w:sz w:val="18"/>
          <w:szCs w:val="22"/>
        </w:rPr>
      </w:pPr>
      <w:r w:rsidRPr="003C04BA">
        <w:rPr>
          <w:rFonts w:ascii="Arial Narrow" w:hAnsi="Arial Narrow"/>
          <w:snapToGrid w:val="0"/>
          <w:sz w:val="18"/>
          <w:szCs w:val="22"/>
        </w:rPr>
        <w:t xml:space="preserve">Source: Table 90, p168; Table 91, p169 of the submission </w:t>
      </w:r>
    </w:p>
    <w:p w14:paraId="32B9C9FB" w14:textId="73ABFAE9" w:rsidR="003C04BA" w:rsidRPr="00510454" w:rsidRDefault="003C04BA" w:rsidP="003C04BA">
      <w:pPr>
        <w:spacing w:after="120"/>
        <w:rPr>
          <w:rFonts w:ascii="Arial Narrow" w:hAnsi="Arial Narrow"/>
          <w:snapToGrid w:val="0"/>
          <w:color w:val="0066FF"/>
          <w:sz w:val="18"/>
          <w:szCs w:val="22"/>
        </w:rPr>
      </w:pPr>
      <w:r w:rsidRPr="003C04BA">
        <w:rPr>
          <w:rFonts w:ascii="Arial Narrow" w:hAnsi="Arial Narrow"/>
          <w:snapToGrid w:val="0"/>
          <w:sz w:val="18"/>
          <w:szCs w:val="22"/>
        </w:rPr>
        <w:t>Abbreviations: BMD, bone mineral density; DUSC, Drug Utilisation Sub-Committee; EC, enteric-coated; GP, general practitioner; PBS, Pharmaceutical Benefits Scheme</w:t>
      </w:r>
      <w:r w:rsidRPr="003C04BA">
        <w:rPr>
          <w:rFonts w:ascii="Arial Narrow" w:hAnsi="Arial Narrow"/>
          <w:snapToGrid w:val="0"/>
          <w:color w:val="0066FF"/>
          <w:sz w:val="18"/>
          <w:szCs w:val="22"/>
        </w:rPr>
        <w:t xml:space="preserve"> </w:t>
      </w:r>
    </w:p>
    <w:p w14:paraId="06443CC8" w14:textId="4C268A1C" w:rsidR="003C04BA" w:rsidRPr="003C04BA" w:rsidRDefault="003C04BA" w:rsidP="003C04BA">
      <w:pPr>
        <w:numPr>
          <w:ilvl w:val="1"/>
          <w:numId w:val="1"/>
        </w:numPr>
        <w:spacing w:after="120"/>
        <w:ind w:left="720" w:hanging="720"/>
        <w:rPr>
          <w:rFonts w:asciiTheme="minorHAnsi" w:hAnsiTheme="minorHAnsi"/>
          <w:snapToGrid w:val="0"/>
        </w:rPr>
      </w:pPr>
      <w:r w:rsidRPr="003C04BA">
        <w:rPr>
          <w:rFonts w:asciiTheme="minorHAnsi" w:hAnsiTheme="minorHAnsi"/>
          <w:snapToGrid w:val="0"/>
        </w:rPr>
        <w:t xml:space="preserve">The estimated use and financial impact of risedronate to the PBS/RPBS for the treatment of osteoporosis in patients younger than 70 years of age and without prior fracture is presented in </w:t>
      </w:r>
      <w:r w:rsidRPr="003C04BA">
        <w:rPr>
          <w:rFonts w:asciiTheme="minorHAnsi" w:hAnsiTheme="minorHAnsi"/>
          <w:snapToGrid w:val="0"/>
        </w:rPr>
        <w:fldChar w:fldCharType="begin" w:fldLock="1"/>
      </w:r>
      <w:r w:rsidRPr="003C04BA">
        <w:rPr>
          <w:rFonts w:asciiTheme="minorHAnsi" w:hAnsiTheme="minorHAnsi"/>
          <w:snapToGrid w:val="0"/>
        </w:rPr>
        <w:instrText xml:space="preserve"> REF _Ref112668013 \h </w:instrText>
      </w:r>
      <w:r w:rsidRPr="003C04BA">
        <w:rPr>
          <w:rFonts w:asciiTheme="minorHAnsi" w:hAnsiTheme="minorHAnsi"/>
          <w:snapToGrid w:val="0"/>
        </w:rPr>
      </w:r>
      <w:r w:rsidRPr="003C04BA">
        <w:rPr>
          <w:rFonts w:asciiTheme="minorHAnsi" w:hAnsiTheme="minorHAnsi"/>
          <w:snapToGrid w:val="0"/>
        </w:rPr>
        <w:fldChar w:fldCharType="separate"/>
      </w:r>
      <w:r w:rsidRPr="003C04BA">
        <w:rPr>
          <w:rFonts w:asciiTheme="minorHAnsi" w:hAnsiTheme="minorHAnsi"/>
          <w:snapToGrid w:val="0"/>
        </w:rPr>
        <w:t xml:space="preserve">Table </w:t>
      </w:r>
      <w:r w:rsidRPr="003C04BA">
        <w:rPr>
          <w:rFonts w:asciiTheme="minorHAnsi" w:hAnsiTheme="minorHAnsi"/>
          <w:noProof/>
          <w:snapToGrid w:val="0"/>
        </w:rPr>
        <w:t>16</w:t>
      </w:r>
      <w:r w:rsidRPr="003C04BA">
        <w:rPr>
          <w:rFonts w:asciiTheme="minorHAnsi" w:hAnsiTheme="minorHAnsi"/>
          <w:snapToGrid w:val="0"/>
        </w:rPr>
        <w:fldChar w:fldCharType="end"/>
      </w:r>
      <w:r w:rsidRPr="003C04BA">
        <w:rPr>
          <w:rFonts w:asciiTheme="minorHAnsi" w:hAnsiTheme="minorHAnsi"/>
          <w:snapToGrid w:val="0"/>
        </w:rPr>
        <w:t>.</w:t>
      </w:r>
      <w:r w:rsidR="002C2EC6">
        <w:rPr>
          <w:rFonts w:asciiTheme="minorHAnsi" w:hAnsiTheme="minorHAnsi"/>
          <w:snapToGrid w:val="0"/>
        </w:rPr>
        <w:t xml:space="preserve"> </w:t>
      </w:r>
    </w:p>
    <w:p w14:paraId="02DC6D7F" w14:textId="77777777" w:rsidR="003C04BA" w:rsidRPr="003C04BA" w:rsidRDefault="003C04BA" w:rsidP="003C04BA">
      <w:pPr>
        <w:keepNext/>
        <w:rPr>
          <w:rFonts w:ascii="Arial Narrow" w:eastAsiaTheme="majorEastAsia" w:hAnsi="Arial Narrow" w:cstheme="majorBidi"/>
          <w:b/>
          <w:bCs/>
          <w:sz w:val="20"/>
        </w:rPr>
      </w:pPr>
      <w:bookmarkStart w:id="64" w:name="_Ref112668013"/>
      <w:r w:rsidRPr="003C04BA">
        <w:rPr>
          <w:rFonts w:ascii="Arial Narrow" w:eastAsiaTheme="majorEastAsia" w:hAnsi="Arial Narrow" w:cstheme="majorBidi"/>
          <w:b/>
          <w:bCs/>
          <w:sz w:val="20"/>
        </w:rPr>
        <w:t xml:space="preserve">Table </w:t>
      </w:r>
      <w:r w:rsidRPr="003C04BA">
        <w:rPr>
          <w:rFonts w:ascii="Arial Narrow" w:eastAsiaTheme="majorEastAsia" w:hAnsi="Arial Narrow" w:cstheme="majorBidi"/>
          <w:b/>
          <w:bCs/>
          <w:sz w:val="20"/>
        </w:rPr>
        <w:fldChar w:fldCharType="begin" w:fldLock="1"/>
      </w:r>
      <w:r w:rsidRPr="003C04BA">
        <w:rPr>
          <w:rFonts w:ascii="Arial Narrow" w:eastAsiaTheme="majorEastAsia" w:hAnsi="Arial Narrow" w:cstheme="majorBidi"/>
          <w:b/>
          <w:bCs/>
          <w:sz w:val="20"/>
        </w:rPr>
        <w:instrText xml:space="preserve"> SEQ Table \* ARABIC </w:instrText>
      </w:r>
      <w:r w:rsidRPr="003C04BA">
        <w:rPr>
          <w:rFonts w:ascii="Arial Narrow" w:eastAsiaTheme="majorEastAsia" w:hAnsi="Arial Narrow" w:cstheme="majorBidi"/>
          <w:b/>
          <w:bCs/>
          <w:sz w:val="20"/>
        </w:rPr>
        <w:fldChar w:fldCharType="separate"/>
      </w:r>
      <w:r w:rsidRPr="003C04BA">
        <w:rPr>
          <w:rFonts w:ascii="Arial Narrow" w:eastAsiaTheme="majorEastAsia" w:hAnsi="Arial Narrow" w:cstheme="majorBidi"/>
          <w:b/>
          <w:bCs/>
          <w:noProof/>
          <w:sz w:val="20"/>
        </w:rPr>
        <w:t>16</w:t>
      </w:r>
      <w:r w:rsidRPr="003C04BA">
        <w:rPr>
          <w:rFonts w:ascii="Arial Narrow" w:eastAsiaTheme="majorEastAsia" w:hAnsi="Arial Narrow" w:cstheme="majorBidi"/>
          <w:b/>
          <w:bCs/>
          <w:noProof/>
          <w:sz w:val="20"/>
        </w:rPr>
        <w:fldChar w:fldCharType="end"/>
      </w:r>
      <w:bookmarkEnd w:id="64"/>
      <w:r w:rsidRPr="003C04BA">
        <w:rPr>
          <w:rFonts w:ascii="Arial Narrow" w:eastAsiaTheme="majorEastAsia" w:hAnsi="Arial Narrow" w:cstheme="majorBidi"/>
          <w:b/>
          <w:bCs/>
          <w:sz w:val="20"/>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6: Estimated use and financial implications"/>
      </w:tblPr>
      <w:tblGrid>
        <w:gridCol w:w="2405"/>
        <w:gridCol w:w="1102"/>
        <w:gridCol w:w="1102"/>
        <w:gridCol w:w="1102"/>
        <w:gridCol w:w="1102"/>
        <w:gridCol w:w="1102"/>
        <w:gridCol w:w="1102"/>
      </w:tblGrid>
      <w:tr w:rsidR="003C04BA" w:rsidRPr="003C04BA" w14:paraId="779C9E29" w14:textId="77777777" w:rsidTr="00E1649F">
        <w:trPr>
          <w:tblHeader/>
        </w:trPr>
        <w:tc>
          <w:tcPr>
            <w:tcW w:w="1334" w:type="pct"/>
            <w:shd w:val="clear" w:color="auto" w:fill="auto"/>
            <w:vAlign w:val="center"/>
          </w:tcPr>
          <w:p w14:paraId="5D615463" w14:textId="77777777" w:rsidR="003C04BA" w:rsidRPr="003C04BA" w:rsidRDefault="003C04BA" w:rsidP="003C04BA">
            <w:pPr>
              <w:keepNext/>
              <w:jc w:val="center"/>
              <w:rPr>
                <w:rFonts w:ascii="Arial Narrow" w:eastAsiaTheme="majorEastAsia" w:hAnsi="Arial Narrow" w:cs="Times New Roman"/>
                <w:b/>
                <w:sz w:val="20"/>
              </w:rPr>
            </w:pPr>
          </w:p>
        </w:tc>
        <w:tc>
          <w:tcPr>
            <w:tcW w:w="611" w:type="pct"/>
            <w:shd w:val="clear" w:color="auto" w:fill="auto"/>
            <w:vAlign w:val="center"/>
          </w:tcPr>
          <w:p w14:paraId="79EF3D18" w14:textId="77777777" w:rsidR="003C04BA" w:rsidRPr="003C04BA" w:rsidRDefault="003C04BA" w:rsidP="003C04BA">
            <w:pPr>
              <w:keepNext/>
              <w:jc w:val="center"/>
              <w:rPr>
                <w:rFonts w:ascii="Arial Narrow" w:eastAsiaTheme="majorEastAsia" w:hAnsi="Arial Narrow" w:cs="Times New Roman"/>
                <w:b/>
                <w:sz w:val="20"/>
              </w:rPr>
            </w:pPr>
            <w:r w:rsidRPr="003C04BA">
              <w:rPr>
                <w:rFonts w:ascii="Arial Narrow" w:eastAsiaTheme="majorEastAsia" w:hAnsi="Arial Narrow" w:cs="Times New Roman"/>
                <w:b/>
                <w:sz w:val="20"/>
              </w:rPr>
              <w:t>Year 1</w:t>
            </w:r>
          </w:p>
        </w:tc>
        <w:tc>
          <w:tcPr>
            <w:tcW w:w="611" w:type="pct"/>
            <w:shd w:val="clear" w:color="auto" w:fill="auto"/>
            <w:vAlign w:val="center"/>
          </w:tcPr>
          <w:p w14:paraId="6A07BE79" w14:textId="77777777" w:rsidR="003C04BA" w:rsidRPr="003C04BA" w:rsidRDefault="003C04BA" w:rsidP="003C04BA">
            <w:pPr>
              <w:keepNext/>
              <w:jc w:val="center"/>
              <w:rPr>
                <w:rFonts w:ascii="Arial Narrow" w:eastAsiaTheme="majorEastAsia" w:hAnsi="Arial Narrow" w:cs="Times New Roman"/>
                <w:b/>
                <w:sz w:val="20"/>
              </w:rPr>
            </w:pPr>
            <w:r w:rsidRPr="003C04BA">
              <w:rPr>
                <w:rFonts w:ascii="Arial Narrow" w:eastAsiaTheme="majorEastAsia" w:hAnsi="Arial Narrow" w:cs="Times New Roman"/>
                <w:b/>
                <w:sz w:val="20"/>
              </w:rPr>
              <w:t>Year 2</w:t>
            </w:r>
          </w:p>
        </w:tc>
        <w:tc>
          <w:tcPr>
            <w:tcW w:w="611" w:type="pct"/>
            <w:shd w:val="clear" w:color="auto" w:fill="auto"/>
            <w:vAlign w:val="center"/>
          </w:tcPr>
          <w:p w14:paraId="4623126E" w14:textId="77777777" w:rsidR="003C04BA" w:rsidRPr="003C04BA" w:rsidRDefault="003C04BA" w:rsidP="003C04BA">
            <w:pPr>
              <w:keepNext/>
              <w:jc w:val="center"/>
              <w:rPr>
                <w:rFonts w:ascii="Arial Narrow" w:eastAsiaTheme="majorEastAsia" w:hAnsi="Arial Narrow" w:cs="Times New Roman"/>
                <w:b/>
                <w:sz w:val="20"/>
              </w:rPr>
            </w:pPr>
            <w:r w:rsidRPr="003C04BA">
              <w:rPr>
                <w:rFonts w:ascii="Arial Narrow" w:eastAsiaTheme="majorEastAsia" w:hAnsi="Arial Narrow" w:cs="Times New Roman"/>
                <w:b/>
                <w:sz w:val="20"/>
              </w:rPr>
              <w:t>Year 3</w:t>
            </w:r>
          </w:p>
        </w:tc>
        <w:tc>
          <w:tcPr>
            <w:tcW w:w="611" w:type="pct"/>
            <w:shd w:val="clear" w:color="auto" w:fill="auto"/>
            <w:vAlign w:val="center"/>
          </w:tcPr>
          <w:p w14:paraId="4A86E412" w14:textId="77777777" w:rsidR="003C04BA" w:rsidRPr="003C04BA" w:rsidRDefault="003C04BA" w:rsidP="003C04BA">
            <w:pPr>
              <w:keepNext/>
              <w:jc w:val="center"/>
              <w:rPr>
                <w:rFonts w:ascii="Arial Narrow" w:eastAsiaTheme="majorEastAsia" w:hAnsi="Arial Narrow" w:cs="Times New Roman"/>
                <w:b/>
                <w:sz w:val="20"/>
              </w:rPr>
            </w:pPr>
            <w:r w:rsidRPr="003C04BA">
              <w:rPr>
                <w:rFonts w:ascii="Arial Narrow" w:eastAsiaTheme="majorEastAsia" w:hAnsi="Arial Narrow" w:cs="Times New Roman"/>
                <w:b/>
                <w:sz w:val="20"/>
              </w:rPr>
              <w:t>Year 4</w:t>
            </w:r>
          </w:p>
        </w:tc>
        <w:tc>
          <w:tcPr>
            <w:tcW w:w="611" w:type="pct"/>
            <w:shd w:val="clear" w:color="auto" w:fill="auto"/>
            <w:vAlign w:val="center"/>
          </w:tcPr>
          <w:p w14:paraId="33E865C6" w14:textId="77777777" w:rsidR="003C04BA" w:rsidRPr="003C04BA" w:rsidRDefault="003C04BA" w:rsidP="003C04BA">
            <w:pPr>
              <w:keepNext/>
              <w:jc w:val="center"/>
              <w:rPr>
                <w:rFonts w:ascii="Arial Narrow" w:eastAsiaTheme="majorEastAsia" w:hAnsi="Arial Narrow" w:cs="Times New Roman"/>
                <w:b/>
                <w:sz w:val="20"/>
              </w:rPr>
            </w:pPr>
            <w:r w:rsidRPr="003C04BA">
              <w:rPr>
                <w:rFonts w:ascii="Arial Narrow" w:eastAsiaTheme="majorEastAsia" w:hAnsi="Arial Narrow" w:cs="Times New Roman"/>
                <w:b/>
                <w:sz w:val="20"/>
              </w:rPr>
              <w:t>Year 5</w:t>
            </w:r>
          </w:p>
        </w:tc>
        <w:tc>
          <w:tcPr>
            <w:tcW w:w="611" w:type="pct"/>
          </w:tcPr>
          <w:p w14:paraId="75953199" w14:textId="77777777" w:rsidR="003C04BA" w:rsidRPr="003C04BA" w:rsidRDefault="003C04BA" w:rsidP="003C04BA">
            <w:pPr>
              <w:keepNext/>
              <w:jc w:val="center"/>
              <w:rPr>
                <w:rFonts w:ascii="Arial Narrow" w:eastAsiaTheme="majorEastAsia" w:hAnsi="Arial Narrow" w:cs="Times New Roman"/>
                <w:b/>
                <w:sz w:val="20"/>
              </w:rPr>
            </w:pPr>
            <w:r w:rsidRPr="003C04BA">
              <w:rPr>
                <w:rFonts w:ascii="Arial Narrow" w:eastAsiaTheme="majorEastAsia" w:hAnsi="Arial Narrow" w:cs="Times New Roman"/>
                <w:b/>
                <w:sz w:val="20"/>
              </w:rPr>
              <w:t>Year 6</w:t>
            </w:r>
          </w:p>
        </w:tc>
      </w:tr>
      <w:tr w:rsidR="003C04BA" w:rsidRPr="003C04BA" w14:paraId="31B17767" w14:textId="77777777" w:rsidTr="00E1649F">
        <w:tc>
          <w:tcPr>
            <w:tcW w:w="5000" w:type="pct"/>
            <w:gridSpan w:val="7"/>
            <w:shd w:val="clear" w:color="auto" w:fill="auto"/>
            <w:vAlign w:val="center"/>
          </w:tcPr>
          <w:p w14:paraId="4E6C742B" w14:textId="77777777" w:rsidR="003C04BA" w:rsidRPr="003C04BA" w:rsidRDefault="003C04BA" w:rsidP="003C04BA">
            <w:pPr>
              <w:keepNext/>
              <w:jc w:val="left"/>
              <w:rPr>
                <w:rFonts w:ascii="Arial Narrow" w:eastAsiaTheme="majorEastAsia" w:hAnsi="Arial Narrow" w:cs="Times New Roman"/>
                <w:b/>
                <w:bCs/>
                <w:color w:val="000000"/>
                <w:sz w:val="20"/>
              </w:rPr>
            </w:pPr>
            <w:r w:rsidRPr="003C04BA">
              <w:rPr>
                <w:rFonts w:ascii="Arial Narrow" w:eastAsiaTheme="majorEastAsia" w:hAnsi="Arial Narrow" w:cs="Times New Roman"/>
                <w:b/>
                <w:bCs/>
                <w:color w:val="000000"/>
                <w:sz w:val="20"/>
              </w:rPr>
              <w:t>Estimated extent of use</w:t>
            </w:r>
          </w:p>
        </w:tc>
      </w:tr>
      <w:tr w:rsidR="003C04BA" w:rsidRPr="003C04BA" w14:paraId="7DCC1B0C" w14:textId="77777777" w:rsidTr="00E1649F">
        <w:tc>
          <w:tcPr>
            <w:tcW w:w="1334" w:type="pct"/>
            <w:shd w:val="clear" w:color="auto" w:fill="auto"/>
            <w:vAlign w:val="center"/>
          </w:tcPr>
          <w:p w14:paraId="003E85D6" w14:textId="77777777" w:rsidR="003C04BA" w:rsidRPr="003C04BA" w:rsidRDefault="003C04BA" w:rsidP="003C04BA">
            <w:pPr>
              <w:keepNext/>
              <w:jc w:val="left"/>
              <w:rPr>
                <w:rFonts w:ascii="Times" w:eastAsiaTheme="majorEastAsia" w:hAnsi="Times" w:cstheme="majorBidi"/>
                <w:bCs/>
                <w:sz w:val="20"/>
              </w:rPr>
            </w:pPr>
            <w:r w:rsidRPr="003C04BA">
              <w:rPr>
                <w:rFonts w:ascii="Arial Narrow" w:eastAsiaTheme="majorEastAsia" w:hAnsi="Arial Narrow" w:cstheme="majorBidi"/>
                <w:bCs/>
                <w:sz w:val="20"/>
              </w:rPr>
              <w:t>Total treated patients</w:t>
            </w:r>
          </w:p>
        </w:tc>
        <w:tc>
          <w:tcPr>
            <w:tcW w:w="611" w:type="pct"/>
            <w:shd w:val="clear" w:color="auto" w:fill="auto"/>
            <w:vAlign w:val="center"/>
          </w:tcPr>
          <w:p w14:paraId="79A106EE" w14:textId="6B36550F" w:rsidR="003C04BA" w:rsidRPr="00B273AE" w:rsidRDefault="007C55DC" w:rsidP="003C04BA">
            <w:pPr>
              <w:keepNext/>
              <w:jc w:val="center"/>
              <w:rPr>
                <w:rFonts w:ascii="Arial Narrow" w:eastAsiaTheme="majorEastAsia" w:hAnsi="Arial Narrow" w:cstheme="majorBidi"/>
                <w:bCs/>
                <w:color w:val="000000"/>
                <w:sz w:val="20"/>
                <w:highlight w:val="darkGray"/>
              </w:rPr>
            </w:pPr>
            <w:r>
              <w:rPr>
                <w:rFonts w:ascii="Arial Narrow" w:eastAsiaTheme="majorEastAsia" w:hAnsi="Arial Narrow" w:cstheme="majorBidi" w:hint="eastAsia"/>
                <w:bCs/>
                <w:color w:val="000000"/>
                <w:sz w:val="20"/>
                <w:shd w:val="solid" w:color="000000" w:fill="000000"/>
                <w14:textFill>
                  <w14:solidFill>
                    <w14:srgbClr w14:val="000000">
                      <w14:alpha w14:val="100000"/>
                    </w14:srgbClr>
                  </w14:solidFill>
                </w14:textFill>
              </w:rPr>
              <w:t xml:space="preserve"> </w:t>
            </w:r>
            <w:r>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 xml:space="preserve"> </w:t>
            </w:r>
            <w:r w:rsidR="00C0674E" w:rsidRPr="0066124A">
              <w:rPr>
                <w:rFonts w:ascii="Arial Narrow" w:eastAsiaTheme="majorEastAsia" w:hAnsi="Arial Narrow" w:cstheme="majorBidi" w:hint="eastAsia"/>
                <w:bCs/>
                <w:color w:val="000000"/>
                <w:w w:val="15"/>
                <w:sz w:val="20"/>
                <w:shd w:val="solid" w:color="000000" w:fill="000000"/>
                <w:fitText w:val="60" w:id="-1301087479"/>
                <w14:textFill>
                  <w14:solidFill>
                    <w14:srgbClr w14:val="000000">
                      <w14:alpha w14:val="100000"/>
                    </w14:srgbClr>
                  </w14:solidFill>
                </w14:textFill>
              </w:rPr>
              <w:t xml:space="preserve">　</w:t>
            </w:r>
            <w:r w:rsidR="00C0674E" w:rsidRPr="0066124A">
              <w:rPr>
                <w:rFonts w:ascii="Arial Narrow" w:eastAsiaTheme="majorEastAsia" w:hAnsi="Arial Narrow" w:cstheme="majorBidi"/>
                <w:bCs/>
                <w:color w:val="000000"/>
                <w:w w:val="15"/>
                <w:sz w:val="20"/>
                <w:shd w:val="solid" w:color="000000" w:fill="000000"/>
                <w:fitText w:val="60" w:id="-1301087479"/>
                <w14:textFill>
                  <w14:solidFill>
                    <w14:srgbClr w14:val="000000">
                      <w14:alpha w14:val="100000"/>
                    </w14:srgbClr>
                  </w14:solidFill>
                </w14:textFill>
              </w:rPr>
              <w:t>|</w:t>
            </w:r>
            <w:r w:rsidR="00C0674E" w:rsidRPr="0066124A">
              <w:rPr>
                <w:rFonts w:ascii="Arial Narrow" w:eastAsiaTheme="majorEastAsia" w:hAnsi="Arial Narrow" w:cstheme="majorBidi" w:hint="eastAsia"/>
                <w:bCs/>
                <w:color w:val="000000"/>
                <w:spacing w:val="-5"/>
                <w:w w:val="15"/>
                <w:sz w:val="20"/>
                <w:shd w:val="solid" w:color="000000" w:fill="000000"/>
                <w:fitText w:val="60" w:id="-1301087479"/>
                <w14:textFill>
                  <w14:solidFill>
                    <w14:srgbClr w14:val="000000">
                      <w14:alpha w14:val="100000"/>
                    </w14:srgbClr>
                  </w14:solidFill>
                </w14:textFill>
              </w:rPr>
              <w:t xml:space="preserve">　</w:t>
            </w:r>
            <w:r w:rsidR="0063642F">
              <w:rPr>
                <w:rFonts w:ascii="Arial Narrow" w:eastAsiaTheme="majorEastAsia" w:hAnsi="Arial Narrow" w:cstheme="majorBidi"/>
                <w:bCs/>
                <w:sz w:val="20"/>
                <w:vertAlign w:val="superscript"/>
              </w:rPr>
              <w:t>1</w:t>
            </w:r>
          </w:p>
        </w:tc>
        <w:tc>
          <w:tcPr>
            <w:tcW w:w="611" w:type="pct"/>
            <w:shd w:val="clear" w:color="auto" w:fill="auto"/>
            <w:vAlign w:val="center"/>
          </w:tcPr>
          <w:p w14:paraId="3193CE67" w14:textId="634933E7" w:rsidR="003C04BA" w:rsidRPr="00B273AE" w:rsidRDefault="00C0674E" w:rsidP="003C04BA">
            <w:pPr>
              <w:keepNext/>
              <w:jc w:val="center"/>
              <w:rPr>
                <w:rFonts w:ascii="Arial Narrow" w:eastAsiaTheme="majorEastAsia" w:hAnsi="Arial Narrow" w:cstheme="majorBidi"/>
                <w:bCs/>
                <w:color w:val="000000"/>
                <w:sz w:val="20"/>
                <w:highlight w:val="darkGray"/>
              </w:rPr>
            </w:pPr>
            <w:r w:rsidRPr="007C55DC">
              <w:rPr>
                <w:rFonts w:ascii="Arial Narrow" w:eastAsiaTheme="majorEastAsia" w:hAnsi="Arial Narrow" w:cstheme="majorBidi" w:hint="eastAsia"/>
                <w:bCs/>
                <w:color w:val="000000"/>
                <w:w w:val="15"/>
                <w:sz w:val="20"/>
                <w:shd w:val="solid" w:color="000000" w:fill="000000"/>
                <w:fitText w:val="60" w:id="-1301087478"/>
                <w14:textFill>
                  <w14:solidFill>
                    <w14:srgbClr w14:val="000000">
                      <w14:alpha w14:val="100000"/>
                    </w14:srgbClr>
                  </w14:solidFill>
                </w14:textFill>
              </w:rPr>
              <w:t xml:space="preserve">　</w:t>
            </w:r>
            <w:r w:rsidRPr="007C55DC">
              <w:rPr>
                <w:rFonts w:ascii="Arial Narrow" w:eastAsiaTheme="majorEastAsia" w:hAnsi="Arial Narrow" w:cstheme="majorBidi"/>
                <w:bCs/>
                <w:color w:val="000000"/>
                <w:w w:val="15"/>
                <w:sz w:val="20"/>
                <w:shd w:val="solid" w:color="000000" w:fill="000000"/>
                <w:fitText w:val="60" w:id="-1301087478"/>
                <w14:textFill>
                  <w14:solidFill>
                    <w14:srgbClr w14:val="000000">
                      <w14:alpha w14:val="100000"/>
                    </w14:srgbClr>
                  </w14:solidFill>
                </w14:textFill>
              </w:rPr>
              <w:t>|</w:t>
            </w:r>
            <w:r w:rsidRPr="007C55DC">
              <w:rPr>
                <w:rFonts w:ascii="Arial Narrow" w:eastAsiaTheme="majorEastAsia" w:hAnsi="Arial Narrow" w:cstheme="majorBidi" w:hint="eastAsia"/>
                <w:bCs/>
                <w:color w:val="000000"/>
                <w:w w:val="15"/>
                <w:sz w:val="20"/>
                <w:shd w:val="solid" w:color="000000" w:fill="000000"/>
                <w:fitText w:val="60" w:id="-1301087478"/>
                <w14:textFill>
                  <w14:solidFill>
                    <w14:srgbClr w14:val="000000">
                      <w14:alpha w14:val="100000"/>
                    </w14:srgbClr>
                  </w14:solidFill>
                </w14:textFill>
              </w:rPr>
              <w:t xml:space="preserve">　</w:t>
            </w:r>
            <w:r w:rsidR="007C55DC">
              <w:rPr>
                <w:rFonts w:ascii="Arial Narrow" w:eastAsiaTheme="majorEastAsia" w:hAnsi="Arial Narrow" w:cstheme="majorBidi" w:hint="eastAsia"/>
                <w:bCs/>
                <w:color w:val="000000"/>
                <w:sz w:val="20"/>
                <w:shd w:val="solid" w:color="000000" w:fill="000000"/>
                <w14:textFill>
                  <w14:solidFill>
                    <w14:srgbClr w14:val="000000">
                      <w14:alpha w14:val="100000"/>
                    </w14:srgbClr>
                  </w14:solidFill>
                </w14:textFill>
              </w:rPr>
              <w:t xml:space="preserve"> </w:t>
            </w:r>
            <w:r w:rsidR="007C55DC">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 xml:space="preserve"> </w:t>
            </w:r>
            <w:r w:rsidR="0063642F">
              <w:rPr>
                <w:rFonts w:ascii="Arial Narrow" w:eastAsiaTheme="majorEastAsia" w:hAnsi="Arial Narrow" w:cstheme="majorBidi"/>
                <w:bCs/>
                <w:sz w:val="20"/>
                <w:vertAlign w:val="superscript"/>
              </w:rPr>
              <w:t>1</w:t>
            </w:r>
          </w:p>
        </w:tc>
        <w:tc>
          <w:tcPr>
            <w:tcW w:w="611" w:type="pct"/>
            <w:shd w:val="clear" w:color="auto" w:fill="auto"/>
            <w:vAlign w:val="center"/>
          </w:tcPr>
          <w:p w14:paraId="0E620389" w14:textId="5E7022DC" w:rsidR="003C04BA" w:rsidRPr="00B273AE" w:rsidRDefault="00C0674E" w:rsidP="003C04BA">
            <w:pPr>
              <w:keepNext/>
              <w:jc w:val="center"/>
              <w:rPr>
                <w:rFonts w:ascii="Arial Narrow" w:eastAsiaTheme="majorEastAsia" w:hAnsi="Arial Narrow" w:cstheme="majorBidi"/>
                <w:bCs/>
                <w:color w:val="000000"/>
                <w:sz w:val="20"/>
                <w:highlight w:val="darkGray"/>
              </w:rPr>
            </w:pPr>
            <w:r w:rsidRPr="007C55DC">
              <w:rPr>
                <w:rFonts w:ascii="Arial Narrow" w:eastAsiaTheme="majorEastAsia" w:hAnsi="Arial Narrow" w:cstheme="majorBidi" w:hint="eastAsia"/>
                <w:bCs/>
                <w:color w:val="000000"/>
                <w:w w:val="15"/>
                <w:sz w:val="20"/>
                <w:shd w:val="solid" w:color="000000" w:fill="000000"/>
                <w:fitText w:val="60" w:id="-1301087477"/>
                <w14:textFill>
                  <w14:solidFill>
                    <w14:srgbClr w14:val="000000">
                      <w14:alpha w14:val="100000"/>
                    </w14:srgbClr>
                  </w14:solidFill>
                </w14:textFill>
              </w:rPr>
              <w:t xml:space="preserve">　</w:t>
            </w:r>
            <w:r w:rsidRPr="007C55DC">
              <w:rPr>
                <w:rFonts w:ascii="Arial Narrow" w:eastAsiaTheme="majorEastAsia" w:hAnsi="Arial Narrow" w:cstheme="majorBidi"/>
                <w:bCs/>
                <w:color w:val="000000"/>
                <w:w w:val="15"/>
                <w:sz w:val="20"/>
                <w:shd w:val="solid" w:color="000000" w:fill="000000"/>
                <w:fitText w:val="60" w:id="-1301087477"/>
                <w14:textFill>
                  <w14:solidFill>
                    <w14:srgbClr w14:val="000000">
                      <w14:alpha w14:val="100000"/>
                    </w14:srgbClr>
                  </w14:solidFill>
                </w14:textFill>
              </w:rPr>
              <w:t>|</w:t>
            </w:r>
            <w:r w:rsidRPr="007C55DC">
              <w:rPr>
                <w:rFonts w:ascii="Arial Narrow" w:eastAsiaTheme="majorEastAsia" w:hAnsi="Arial Narrow" w:cstheme="majorBidi" w:hint="eastAsia"/>
                <w:bCs/>
                <w:color w:val="000000"/>
                <w:w w:val="15"/>
                <w:sz w:val="20"/>
                <w:shd w:val="solid" w:color="000000" w:fill="000000"/>
                <w:fitText w:val="60" w:id="-1301087477"/>
                <w14:textFill>
                  <w14:solidFill>
                    <w14:srgbClr w14:val="000000">
                      <w14:alpha w14:val="100000"/>
                    </w14:srgbClr>
                  </w14:solidFill>
                </w14:textFill>
              </w:rPr>
              <w:t xml:space="preserve">　</w:t>
            </w:r>
            <w:r w:rsidR="0063642F">
              <w:rPr>
                <w:rFonts w:ascii="Arial Narrow" w:eastAsiaTheme="majorEastAsia" w:hAnsi="Arial Narrow" w:cstheme="majorBidi"/>
                <w:bCs/>
                <w:sz w:val="20"/>
                <w:vertAlign w:val="superscript"/>
              </w:rPr>
              <w:t>1</w:t>
            </w:r>
          </w:p>
        </w:tc>
        <w:tc>
          <w:tcPr>
            <w:tcW w:w="611" w:type="pct"/>
            <w:shd w:val="clear" w:color="auto" w:fill="auto"/>
            <w:vAlign w:val="center"/>
          </w:tcPr>
          <w:p w14:paraId="612E687F" w14:textId="3B18B358" w:rsidR="003C04BA" w:rsidRPr="00B273AE" w:rsidRDefault="00C0674E" w:rsidP="003C04BA">
            <w:pPr>
              <w:keepNext/>
              <w:jc w:val="center"/>
              <w:rPr>
                <w:rFonts w:ascii="Arial Narrow" w:eastAsiaTheme="majorEastAsia" w:hAnsi="Arial Narrow" w:cstheme="majorBidi"/>
                <w:bCs/>
                <w:color w:val="000000"/>
                <w:sz w:val="20"/>
                <w:highlight w:val="darkGray"/>
              </w:rPr>
            </w:pPr>
            <w:r w:rsidRPr="007C55DC">
              <w:rPr>
                <w:rFonts w:ascii="Arial Narrow" w:eastAsiaTheme="majorEastAsia" w:hAnsi="Arial Narrow" w:cstheme="majorBidi" w:hint="eastAsia"/>
                <w:bCs/>
                <w:color w:val="000000"/>
                <w:w w:val="15"/>
                <w:sz w:val="20"/>
                <w:shd w:val="solid" w:color="000000" w:fill="000000"/>
                <w:fitText w:val="60" w:id="-1301087476"/>
                <w14:textFill>
                  <w14:solidFill>
                    <w14:srgbClr w14:val="000000">
                      <w14:alpha w14:val="100000"/>
                    </w14:srgbClr>
                  </w14:solidFill>
                </w14:textFill>
              </w:rPr>
              <w:t xml:space="preserve">　</w:t>
            </w:r>
            <w:r w:rsidRPr="007C55DC">
              <w:rPr>
                <w:rFonts w:ascii="Arial Narrow" w:eastAsiaTheme="majorEastAsia" w:hAnsi="Arial Narrow" w:cstheme="majorBidi"/>
                <w:bCs/>
                <w:color w:val="000000"/>
                <w:w w:val="15"/>
                <w:sz w:val="20"/>
                <w:shd w:val="solid" w:color="000000" w:fill="000000"/>
                <w:fitText w:val="60" w:id="-1301087476"/>
                <w14:textFill>
                  <w14:solidFill>
                    <w14:srgbClr w14:val="000000">
                      <w14:alpha w14:val="100000"/>
                    </w14:srgbClr>
                  </w14:solidFill>
                </w14:textFill>
              </w:rPr>
              <w:t>|</w:t>
            </w:r>
            <w:r w:rsidRPr="007C55DC">
              <w:rPr>
                <w:rFonts w:ascii="Arial Narrow" w:eastAsiaTheme="majorEastAsia" w:hAnsi="Arial Narrow" w:cstheme="majorBidi" w:hint="eastAsia"/>
                <w:bCs/>
                <w:color w:val="000000"/>
                <w:spacing w:val="-15"/>
                <w:w w:val="15"/>
                <w:sz w:val="20"/>
                <w:shd w:val="solid" w:color="000000" w:fill="000000"/>
                <w:fitText w:val="60" w:id="-1301087476"/>
                <w14:textFill>
                  <w14:solidFill>
                    <w14:srgbClr w14:val="000000">
                      <w14:alpha w14:val="100000"/>
                    </w14:srgbClr>
                  </w14:solidFill>
                </w14:textFill>
              </w:rPr>
              <w:t xml:space="preserve">　</w:t>
            </w:r>
            <w:r w:rsidR="0063642F">
              <w:rPr>
                <w:rFonts w:ascii="Arial Narrow" w:eastAsiaTheme="majorEastAsia" w:hAnsi="Arial Narrow" w:cstheme="majorBidi"/>
                <w:bCs/>
                <w:sz w:val="20"/>
                <w:vertAlign w:val="superscript"/>
              </w:rPr>
              <w:t>1</w:t>
            </w:r>
          </w:p>
        </w:tc>
        <w:tc>
          <w:tcPr>
            <w:tcW w:w="611" w:type="pct"/>
            <w:shd w:val="clear" w:color="auto" w:fill="auto"/>
            <w:vAlign w:val="center"/>
          </w:tcPr>
          <w:p w14:paraId="4C6BC626" w14:textId="3C616FF8" w:rsidR="003C04BA" w:rsidRPr="00B273AE" w:rsidRDefault="00C0674E" w:rsidP="003C04BA">
            <w:pPr>
              <w:keepNext/>
              <w:jc w:val="center"/>
              <w:rPr>
                <w:rFonts w:ascii="Arial Narrow" w:eastAsiaTheme="majorEastAsia" w:hAnsi="Arial Narrow" w:cstheme="majorBidi"/>
                <w:bCs/>
                <w:color w:val="000000"/>
                <w:sz w:val="20"/>
                <w:highlight w:val="darkGray"/>
              </w:rPr>
            </w:pPr>
            <w:r w:rsidRPr="0066124A">
              <w:rPr>
                <w:rFonts w:ascii="Arial Narrow" w:eastAsiaTheme="majorEastAsia" w:hAnsi="Arial Narrow" w:cstheme="majorBidi" w:hint="eastAsia"/>
                <w:bCs/>
                <w:color w:val="000000"/>
                <w:w w:val="15"/>
                <w:sz w:val="20"/>
                <w:shd w:val="solid" w:color="000000" w:fill="000000"/>
                <w:fitText w:val="60" w:id="-1301087475"/>
                <w14:textFill>
                  <w14:solidFill>
                    <w14:srgbClr w14:val="000000">
                      <w14:alpha w14:val="100000"/>
                    </w14:srgbClr>
                  </w14:solidFill>
                </w14:textFill>
              </w:rPr>
              <w:t xml:space="preserve">　</w:t>
            </w:r>
            <w:r w:rsidRPr="0066124A">
              <w:rPr>
                <w:rFonts w:ascii="Arial Narrow" w:eastAsiaTheme="majorEastAsia" w:hAnsi="Arial Narrow" w:cstheme="majorBidi"/>
                <w:bCs/>
                <w:color w:val="000000"/>
                <w:w w:val="15"/>
                <w:sz w:val="20"/>
                <w:shd w:val="solid" w:color="000000" w:fill="000000"/>
                <w:fitText w:val="60" w:id="-1301087475"/>
                <w14:textFill>
                  <w14:solidFill>
                    <w14:srgbClr w14:val="000000">
                      <w14:alpha w14:val="100000"/>
                    </w14:srgbClr>
                  </w14:solidFill>
                </w14:textFill>
              </w:rPr>
              <w:t>|</w:t>
            </w:r>
            <w:r w:rsidRPr="0066124A">
              <w:rPr>
                <w:rFonts w:ascii="Arial Narrow" w:eastAsiaTheme="majorEastAsia" w:hAnsi="Arial Narrow" w:cstheme="majorBidi" w:hint="eastAsia"/>
                <w:bCs/>
                <w:color w:val="000000"/>
                <w:spacing w:val="-5"/>
                <w:w w:val="15"/>
                <w:sz w:val="20"/>
                <w:shd w:val="solid" w:color="000000" w:fill="000000"/>
                <w:fitText w:val="60" w:id="-1301087475"/>
                <w14:textFill>
                  <w14:solidFill>
                    <w14:srgbClr w14:val="000000">
                      <w14:alpha w14:val="100000"/>
                    </w14:srgbClr>
                  </w14:solidFill>
                </w14:textFill>
              </w:rPr>
              <w:t xml:space="preserve">　</w:t>
            </w:r>
            <w:r w:rsidR="0063642F">
              <w:rPr>
                <w:rFonts w:ascii="Arial Narrow" w:eastAsiaTheme="majorEastAsia" w:hAnsi="Arial Narrow" w:cstheme="majorBidi"/>
                <w:bCs/>
                <w:sz w:val="20"/>
                <w:vertAlign w:val="superscript"/>
              </w:rPr>
              <w:t>1</w:t>
            </w:r>
          </w:p>
        </w:tc>
        <w:tc>
          <w:tcPr>
            <w:tcW w:w="611" w:type="pct"/>
            <w:vAlign w:val="center"/>
          </w:tcPr>
          <w:p w14:paraId="5D9D7CDD" w14:textId="3A7D9FCC" w:rsidR="003C04BA" w:rsidRPr="00B273AE" w:rsidRDefault="00C0674E" w:rsidP="003C04BA">
            <w:pPr>
              <w:keepNext/>
              <w:jc w:val="center"/>
              <w:rPr>
                <w:rFonts w:ascii="Arial Narrow" w:eastAsiaTheme="majorEastAsia" w:hAnsi="Arial Narrow" w:cstheme="majorBidi"/>
                <w:bCs/>
                <w:color w:val="000000"/>
                <w:sz w:val="20"/>
                <w:highlight w:val="darkGray"/>
              </w:rPr>
            </w:pPr>
            <w:r w:rsidRPr="0066124A">
              <w:rPr>
                <w:rFonts w:ascii="Arial Narrow" w:eastAsiaTheme="majorEastAsia" w:hAnsi="Arial Narrow" w:cstheme="majorBidi" w:hint="eastAsia"/>
                <w:bCs/>
                <w:color w:val="000000"/>
                <w:w w:val="15"/>
                <w:sz w:val="20"/>
                <w:shd w:val="solid" w:color="000000" w:fill="000000"/>
                <w:fitText w:val="60" w:id="-1301087474"/>
                <w14:textFill>
                  <w14:solidFill>
                    <w14:srgbClr w14:val="000000">
                      <w14:alpha w14:val="100000"/>
                    </w14:srgbClr>
                  </w14:solidFill>
                </w14:textFill>
              </w:rPr>
              <w:t xml:space="preserve">　</w:t>
            </w:r>
            <w:r w:rsidRPr="0066124A">
              <w:rPr>
                <w:rFonts w:ascii="Arial Narrow" w:eastAsiaTheme="majorEastAsia" w:hAnsi="Arial Narrow" w:cstheme="majorBidi"/>
                <w:bCs/>
                <w:color w:val="000000"/>
                <w:w w:val="15"/>
                <w:sz w:val="20"/>
                <w:shd w:val="solid" w:color="000000" w:fill="000000"/>
                <w:fitText w:val="60" w:id="-1301087474"/>
                <w14:textFill>
                  <w14:solidFill>
                    <w14:srgbClr w14:val="000000">
                      <w14:alpha w14:val="100000"/>
                    </w14:srgbClr>
                  </w14:solidFill>
                </w14:textFill>
              </w:rPr>
              <w:t>|</w:t>
            </w:r>
            <w:r w:rsidRPr="0066124A">
              <w:rPr>
                <w:rFonts w:ascii="Arial Narrow" w:eastAsiaTheme="majorEastAsia" w:hAnsi="Arial Narrow" w:cstheme="majorBidi" w:hint="eastAsia"/>
                <w:bCs/>
                <w:color w:val="000000"/>
                <w:spacing w:val="-5"/>
                <w:w w:val="15"/>
                <w:sz w:val="20"/>
                <w:shd w:val="solid" w:color="000000" w:fill="000000"/>
                <w:fitText w:val="60" w:id="-1301087474"/>
                <w14:textFill>
                  <w14:solidFill>
                    <w14:srgbClr w14:val="000000">
                      <w14:alpha w14:val="100000"/>
                    </w14:srgbClr>
                  </w14:solidFill>
                </w14:textFill>
              </w:rPr>
              <w:t xml:space="preserve">　</w:t>
            </w:r>
            <w:r w:rsidR="0063642F">
              <w:rPr>
                <w:rFonts w:ascii="Arial Narrow" w:eastAsiaTheme="majorEastAsia" w:hAnsi="Arial Narrow" w:cstheme="majorBidi"/>
                <w:bCs/>
                <w:sz w:val="20"/>
                <w:vertAlign w:val="superscript"/>
              </w:rPr>
              <w:t>1</w:t>
            </w:r>
          </w:p>
        </w:tc>
      </w:tr>
      <w:tr w:rsidR="003C04BA" w:rsidRPr="003C04BA" w14:paraId="1CFF0AD6" w14:textId="77777777" w:rsidTr="00E1649F">
        <w:tc>
          <w:tcPr>
            <w:tcW w:w="1334" w:type="pct"/>
            <w:shd w:val="clear" w:color="auto" w:fill="auto"/>
            <w:vAlign w:val="center"/>
          </w:tcPr>
          <w:p w14:paraId="1A36A9BA" w14:textId="0FA32AA5" w:rsidR="003C04BA" w:rsidRPr="003C04BA" w:rsidRDefault="003C04BA" w:rsidP="003C04BA">
            <w:pPr>
              <w:keepNext/>
              <w:jc w:val="left"/>
              <w:rPr>
                <w:rFonts w:ascii="Times" w:eastAsiaTheme="majorEastAsia" w:hAnsi="Times" w:cstheme="majorBidi"/>
                <w:bCs/>
                <w:sz w:val="20"/>
              </w:rPr>
            </w:pPr>
            <w:r w:rsidRPr="003C04BA">
              <w:rPr>
                <w:rFonts w:ascii="Arial Narrow" w:eastAsiaTheme="majorEastAsia" w:hAnsi="Arial Narrow" w:cstheme="majorBidi"/>
                <w:bCs/>
                <w:sz w:val="20"/>
              </w:rPr>
              <w:t>Risedronate EC scripts</w:t>
            </w:r>
            <w:r w:rsidRPr="003C04BA">
              <w:rPr>
                <w:rFonts w:ascii="Arial Narrow" w:eastAsiaTheme="majorEastAsia" w:hAnsi="Arial Narrow" w:cstheme="majorBidi"/>
                <w:bCs/>
                <w:sz w:val="20"/>
                <w:vertAlign w:val="superscript"/>
              </w:rPr>
              <w:t>a</w:t>
            </w:r>
          </w:p>
        </w:tc>
        <w:tc>
          <w:tcPr>
            <w:tcW w:w="611" w:type="pct"/>
            <w:shd w:val="clear" w:color="auto" w:fill="auto"/>
            <w:vAlign w:val="center"/>
          </w:tcPr>
          <w:p w14:paraId="3E19FC8B" w14:textId="4F49441B" w:rsidR="003C04BA" w:rsidRPr="00B273AE" w:rsidRDefault="00C0674E" w:rsidP="003C04BA">
            <w:pPr>
              <w:keepNext/>
              <w:jc w:val="center"/>
              <w:rPr>
                <w:rFonts w:ascii="Arial Narrow" w:eastAsiaTheme="majorEastAsia" w:hAnsi="Arial Narrow" w:cstheme="majorBidi"/>
                <w:bCs/>
                <w:color w:val="000000"/>
                <w:sz w:val="20"/>
                <w:highlight w:val="darkGray"/>
              </w:rPr>
            </w:pPr>
            <w:r w:rsidRPr="007C55DC">
              <w:rPr>
                <w:rFonts w:ascii="Arial Narrow" w:eastAsiaTheme="majorEastAsia" w:hAnsi="Arial Narrow" w:cstheme="majorBidi" w:hint="eastAsia"/>
                <w:bCs/>
                <w:color w:val="000000"/>
                <w:w w:val="15"/>
                <w:sz w:val="20"/>
                <w:shd w:val="solid" w:color="000000" w:fill="000000"/>
                <w:fitText w:val="60" w:id="-1301087473"/>
                <w14:textFill>
                  <w14:solidFill>
                    <w14:srgbClr w14:val="000000">
                      <w14:alpha w14:val="100000"/>
                    </w14:srgbClr>
                  </w14:solidFill>
                </w14:textFill>
              </w:rPr>
              <w:t xml:space="preserve">　</w:t>
            </w:r>
            <w:r w:rsidRPr="007C55DC">
              <w:rPr>
                <w:rFonts w:ascii="Arial Narrow" w:eastAsiaTheme="majorEastAsia" w:hAnsi="Arial Narrow" w:cstheme="majorBidi"/>
                <w:bCs/>
                <w:color w:val="000000"/>
                <w:w w:val="15"/>
                <w:sz w:val="20"/>
                <w:shd w:val="solid" w:color="000000" w:fill="000000"/>
                <w:fitText w:val="60" w:id="-1301087473"/>
                <w14:textFill>
                  <w14:solidFill>
                    <w14:srgbClr w14:val="000000">
                      <w14:alpha w14:val="100000"/>
                    </w14:srgbClr>
                  </w14:solidFill>
                </w14:textFill>
              </w:rPr>
              <w:t>|</w:t>
            </w:r>
            <w:r w:rsidRPr="007C55DC">
              <w:rPr>
                <w:rFonts w:ascii="Arial Narrow" w:eastAsiaTheme="majorEastAsia" w:hAnsi="Arial Narrow" w:cstheme="majorBidi" w:hint="eastAsia"/>
                <w:bCs/>
                <w:color w:val="000000"/>
                <w:spacing w:val="-15"/>
                <w:w w:val="15"/>
                <w:sz w:val="20"/>
                <w:shd w:val="solid" w:color="000000" w:fill="000000"/>
                <w:fitText w:val="60" w:id="-1301087473"/>
                <w14:textFill>
                  <w14:solidFill>
                    <w14:srgbClr w14:val="000000">
                      <w14:alpha w14:val="100000"/>
                    </w14:srgbClr>
                  </w14:solidFill>
                </w14:textFill>
              </w:rPr>
              <w:t xml:space="preserve">　</w:t>
            </w:r>
            <w:r w:rsidR="0063642F">
              <w:rPr>
                <w:rFonts w:ascii="Arial Narrow" w:eastAsiaTheme="majorEastAsia" w:hAnsi="Arial Narrow" w:cstheme="majorBidi"/>
                <w:bCs/>
                <w:sz w:val="20"/>
                <w:vertAlign w:val="superscript"/>
              </w:rPr>
              <w:t>2</w:t>
            </w:r>
          </w:p>
        </w:tc>
        <w:tc>
          <w:tcPr>
            <w:tcW w:w="611" w:type="pct"/>
            <w:shd w:val="clear" w:color="auto" w:fill="auto"/>
            <w:vAlign w:val="center"/>
          </w:tcPr>
          <w:p w14:paraId="05FA2E47" w14:textId="1ADE43F6" w:rsidR="003C04BA" w:rsidRPr="00B273AE" w:rsidRDefault="00C0674E" w:rsidP="003C04BA">
            <w:pPr>
              <w:keepNext/>
              <w:jc w:val="center"/>
              <w:rPr>
                <w:rFonts w:ascii="Arial Narrow" w:eastAsiaTheme="majorEastAsia" w:hAnsi="Arial Narrow" w:cstheme="majorBidi"/>
                <w:bCs/>
                <w:color w:val="000000"/>
                <w:sz w:val="20"/>
                <w:highlight w:val="darkGray"/>
              </w:rPr>
            </w:pPr>
            <w:r w:rsidRPr="0066124A">
              <w:rPr>
                <w:rFonts w:ascii="Arial Narrow" w:eastAsiaTheme="majorEastAsia" w:hAnsi="Arial Narrow" w:cstheme="majorBidi" w:hint="eastAsia"/>
                <w:bCs/>
                <w:color w:val="000000"/>
                <w:w w:val="15"/>
                <w:sz w:val="20"/>
                <w:shd w:val="solid" w:color="000000" w:fill="000000"/>
                <w:fitText w:val="60" w:id="-1301087472"/>
                <w14:textFill>
                  <w14:solidFill>
                    <w14:srgbClr w14:val="000000">
                      <w14:alpha w14:val="100000"/>
                    </w14:srgbClr>
                  </w14:solidFill>
                </w14:textFill>
              </w:rPr>
              <w:t xml:space="preserve">　</w:t>
            </w:r>
            <w:r w:rsidRPr="0066124A">
              <w:rPr>
                <w:rFonts w:ascii="Arial Narrow" w:eastAsiaTheme="majorEastAsia" w:hAnsi="Arial Narrow" w:cstheme="majorBidi"/>
                <w:bCs/>
                <w:color w:val="000000"/>
                <w:w w:val="15"/>
                <w:sz w:val="20"/>
                <w:shd w:val="solid" w:color="000000" w:fill="000000"/>
                <w:fitText w:val="60" w:id="-1301087472"/>
                <w14:textFill>
                  <w14:solidFill>
                    <w14:srgbClr w14:val="000000">
                      <w14:alpha w14:val="100000"/>
                    </w14:srgbClr>
                  </w14:solidFill>
                </w14:textFill>
              </w:rPr>
              <w:t>|</w:t>
            </w:r>
            <w:r w:rsidRPr="0066124A">
              <w:rPr>
                <w:rFonts w:ascii="Arial Narrow" w:eastAsiaTheme="majorEastAsia" w:hAnsi="Arial Narrow" w:cstheme="majorBidi" w:hint="eastAsia"/>
                <w:bCs/>
                <w:color w:val="000000"/>
                <w:spacing w:val="-5"/>
                <w:w w:val="15"/>
                <w:sz w:val="20"/>
                <w:shd w:val="solid" w:color="000000" w:fill="000000"/>
                <w:fitText w:val="60" w:id="-1301087472"/>
                <w14:textFill>
                  <w14:solidFill>
                    <w14:srgbClr w14:val="000000">
                      <w14:alpha w14:val="100000"/>
                    </w14:srgbClr>
                  </w14:solidFill>
                </w14:textFill>
              </w:rPr>
              <w:t xml:space="preserve">　</w:t>
            </w:r>
            <w:r w:rsidR="0063642F">
              <w:rPr>
                <w:rFonts w:ascii="Arial Narrow" w:eastAsiaTheme="majorEastAsia" w:hAnsi="Arial Narrow" w:cstheme="majorBidi"/>
                <w:bCs/>
                <w:sz w:val="20"/>
                <w:vertAlign w:val="superscript"/>
              </w:rPr>
              <w:t>2</w:t>
            </w:r>
          </w:p>
        </w:tc>
        <w:tc>
          <w:tcPr>
            <w:tcW w:w="611" w:type="pct"/>
            <w:shd w:val="clear" w:color="auto" w:fill="auto"/>
            <w:vAlign w:val="center"/>
          </w:tcPr>
          <w:p w14:paraId="69CDFBBC" w14:textId="08968498" w:rsidR="003C04BA" w:rsidRPr="00B273AE" w:rsidRDefault="00C0674E" w:rsidP="003C04BA">
            <w:pPr>
              <w:keepNext/>
              <w:jc w:val="center"/>
              <w:rPr>
                <w:rFonts w:ascii="Arial Narrow" w:eastAsiaTheme="majorEastAsia" w:hAnsi="Arial Narrow" w:cstheme="majorBidi"/>
                <w:bCs/>
                <w:color w:val="000000"/>
                <w:sz w:val="20"/>
                <w:highlight w:val="darkGray"/>
              </w:rPr>
            </w:pPr>
            <w:r w:rsidRPr="0066124A">
              <w:rPr>
                <w:rFonts w:ascii="Arial Narrow" w:eastAsiaTheme="majorEastAsia" w:hAnsi="Arial Narrow" w:cstheme="majorBidi" w:hint="eastAsia"/>
                <w:bCs/>
                <w:color w:val="000000"/>
                <w:w w:val="15"/>
                <w:sz w:val="20"/>
                <w:shd w:val="solid" w:color="000000" w:fill="000000"/>
                <w:fitText w:val="60" w:id="-1301087488"/>
                <w14:textFill>
                  <w14:solidFill>
                    <w14:srgbClr w14:val="000000">
                      <w14:alpha w14:val="100000"/>
                    </w14:srgbClr>
                  </w14:solidFill>
                </w14:textFill>
              </w:rPr>
              <w:t xml:space="preserve">　</w:t>
            </w:r>
            <w:r w:rsidRPr="0066124A">
              <w:rPr>
                <w:rFonts w:ascii="Arial Narrow" w:eastAsiaTheme="majorEastAsia" w:hAnsi="Arial Narrow" w:cstheme="majorBidi"/>
                <w:bCs/>
                <w:color w:val="000000"/>
                <w:w w:val="15"/>
                <w:sz w:val="20"/>
                <w:shd w:val="solid" w:color="000000" w:fill="000000"/>
                <w:fitText w:val="60" w:id="-1301087488"/>
                <w14:textFill>
                  <w14:solidFill>
                    <w14:srgbClr w14:val="000000">
                      <w14:alpha w14:val="100000"/>
                    </w14:srgbClr>
                  </w14:solidFill>
                </w14:textFill>
              </w:rPr>
              <w:t>|</w:t>
            </w:r>
            <w:r w:rsidRPr="0066124A">
              <w:rPr>
                <w:rFonts w:ascii="Arial Narrow" w:eastAsiaTheme="majorEastAsia" w:hAnsi="Arial Narrow" w:cstheme="majorBidi" w:hint="eastAsia"/>
                <w:bCs/>
                <w:color w:val="000000"/>
                <w:spacing w:val="-5"/>
                <w:w w:val="15"/>
                <w:sz w:val="20"/>
                <w:shd w:val="solid" w:color="000000" w:fill="000000"/>
                <w:fitText w:val="60" w:id="-1301087488"/>
                <w14:textFill>
                  <w14:solidFill>
                    <w14:srgbClr w14:val="000000">
                      <w14:alpha w14:val="100000"/>
                    </w14:srgbClr>
                  </w14:solidFill>
                </w14:textFill>
              </w:rPr>
              <w:t xml:space="preserve">　</w:t>
            </w:r>
            <w:r w:rsidR="0063642F">
              <w:rPr>
                <w:rFonts w:ascii="Arial Narrow" w:eastAsiaTheme="majorEastAsia" w:hAnsi="Arial Narrow" w:cstheme="majorBidi"/>
                <w:bCs/>
                <w:sz w:val="20"/>
                <w:vertAlign w:val="superscript"/>
              </w:rPr>
              <w:t>2</w:t>
            </w:r>
          </w:p>
        </w:tc>
        <w:tc>
          <w:tcPr>
            <w:tcW w:w="611" w:type="pct"/>
            <w:shd w:val="clear" w:color="auto" w:fill="auto"/>
            <w:vAlign w:val="center"/>
          </w:tcPr>
          <w:p w14:paraId="1E3F4001" w14:textId="1025F487" w:rsidR="003C04BA" w:rsidRPr="00B273AE" w:rsidRDefault="00C0674E" w:rsidP="003C04BA">
            <w:pPr>
              <w:keepNext/>
              <w:jc w:val="center"/>
              <w:rPr>
                <w:rFonts w:ascii="Arial Narrow" w:eastAsiaTheme="majorEastAsia" w:hAnsi="Arial Narrow" w:cstheme="majorBidi"/>
                <w:bCs/>
                <w:color w:val="000000"/>
                <w:sz w:val="20"/>
                <w:highlight w:val="darkGray"/>
              </w:rPr>
            </w:pPr>
            <w:r w:rsidRPr="007C55DC">
              <w:rPr>
                <w:rFonts w:ascii="Arial Narrow" w:eastAsiaTheme="majorEastAsia" w:hAnsi="Arial Narrow" w:cstheme="majorBidi" w:hint="eastAsia"/>
                <w:bCs/>
                <w:color w:val="000000"/>
                <w:w w:val="15"/>
                <w:sz w:val="20"/>
                <w:shd w:val="solid" w:color="000000" w:fill="000000"/>
                <w:fitText w:val="60" w:id="-1301087487"/>
                <w14:textFill>
                  <w14:solidFill>
                    <w14:srgbClr w14:val="000000">
                      <w14:alpha w14:val="100000"/>
                    </w14:srgbClr>
                  </w14:solidFill>
                </w14:textFill>
              </w:rPr>
              <w:t xml:space="preserve">　</w:t>
            </w:r>
            <w:r w:rsidRPr="007C55DC">
              <w:rPr>
                <w:rFonts w:ascii="Arial Narrow" w:eastAsiaTheme="majorEastAsia" w:hAnsi="Arial Narrow" w:cstheme="majorBidi"/>
                <w:bCs/>
                <w:color w:val="000000"/>
                <w:w w:val="15"/>
                <w:sz w:val="20"/>
                <w:shd w:val="solid" w:color="000000" w:fill="000000"/>
                <w:fitText w:val="60" w:id="-1301087487"/>
                <w14:textFill>
                  <w14:solidFill>
                    <w14:srgbClr w14:val="000000">
                      <w14:alpha w14:val="100000"/>
                    </w14:srgbClr>
                  </w14:solidFill>
                </w14:textFill>
              </w:rPr>
              <w:t>|</w:t>
            </w:r>
            <w:r w:rsidRPr="007C55DC">
              <w:rPr>
                <w:rFonts w:ascii="Arial Narrow" w:eastAsiaTheme="majorEastAsia" w:hAnsi="Arial Narrow" w:cstheme="majorBidi" w:hint="eastAsia"/>
                <w:bCs/>
                <w:color w:val="000000"/>
                <w:spacing w:val="-15"/>
                <w:w w:val="15"/>
                <w:sz w:val="20"/>
                <w:shd w:val="solid" w:color="000000" w:fill="000000"/>
                <w:fitText w:val="60" w:id="-1301087487"/>
                <w14:textFill>
                  <w14:solidFill>
                    <w14:srgbClr w14:val="000000">
                      <w14:alpha w14:val="100000"/>
                    </w14:srgbClr>
                  </w14:solidFill>
                </w14:textFill>
              </w:rPr>
              <w:t xml:space="preserve">　</w:t>
            </w:r>
            <w:r w:rsidR="0063642F">
              <w:rPr>
                <w:rFonts w:ascii="Arial Narrow" w:eastAsiaTheme="majorEastAsia" w:hAnsi="Arial Narrow" w:cstheme="majorBidi"/>
                <w:bCs/>
                <w:sz w:val="20"/>
                <w:vertAlign w:val="superscript"/>
              </w:rPr>
              <w:t>2</w:t>
            </w:r>
          </w:p>
        </w:tc>
        <w:tc>
          <w:tcPr>
            <w:tcW w:w="611" w:type="pct"/>
            <w:shd w:val="clear" w:color="auto" w:fill="auto"/>
            <w:vAlign w:val="center"/>
          </w:tcPr>
          <w:p w14:paraId="7B871EA2" w14:textId="52610F09" w:rsidR="003C04BA" w:rsidRPr="00B273AE" w:rsidRDefault="00C0674E" w:rsidP="003C04BA">
            <w:pPr>
              <w:keepNext/>
              <w:jc w:val="center"/>
              <w:rPr>
                <w:rFonts w:ascii="Arial Narrow" w:eastAsiaTheme="majorEastAsia" w:hAnsi="Arial Narrow" w:cstheme="majorBidi"/>
                <w:bCs/>
                <w:color w:val="000000"/>
                <w:sz w:val="20"/>
                <w:highlight w:val="darkGray"/>
              </w:rPr>
            </w:pPr>
            <w:r w:rsidRPr="0066124A">
              <w:rPr>
                <w:rFonts w:ascii="Arial Narrow" w:eastAsiaTheme="majorEastAsia" w:hAnsi="Arial Narrow" w:cstheme="majorBidi" w:hint="eastAsia"/>
                <w:bCs/>
                <w:color w:val="000000"/>
                <w:w w:val="15"/>
                <w:sz w:val="20"/>
                <w:shd w:val="solid" w:color="000000" w:fill="000000"/>
                <w:fitText w:val="60" w:id="-1301087486"/>
                <w14:textFill>
                  <w14:solidFill>
                    <w14:srgbClr w14:val="000000">
                      <w14:alpha w14:val="100000"/>
                    </w14:srgbClr>
                  </w14:solidFill>
                </w14:textFill>
              </w:rPr>
              <w:t xml:space="preserve">　</w:t>
            </w:r>
            <w:r w:rsidRPr="0066124A">
              <w:rPr>
                <w:rFonts w:ascii="Arial Narrow" w:eastAsiaTheme="majorEastAsia" w:hAnsi="Arial Narrow" w:cstheme="majorBidi"/>
                <w:bCs/>
                <w:color w:val="000000"/>
                <w:w w:val="15"/>
                <w:sz w:val="20"/>
                <w:shd w:val="solid" w:color="000000" w:fill="000000"/>
                <w:fitText w:val="60" w:id="-1301087486"/>
                <w14:textFill>
                  <w14:solidFill>
                    <w14:srgbClr w14:val="000000">
                      <w14:alpha w14:val="100000"/>
                    </w14:srgbClr>
                  </w14:solidFill>
                </w14:textFill>
              </w:rPr>
              <w:t>|</w:t>
            </w:r>
            <w:r w:rsidRPr="0066124A">
              <w:rPr>
                <w:rFonts w:ascii="Arial Narrow" w:eastAsiaTheme="majorEastAsia" w:hAnsi="Arial Narrow" w:cstheme="majorBidi" w:hint="eastAsia"/>
                <w:bCs/>
                <w:color w:val="000000"/>
                <w:spacing w:val="-5"/>
                <w:w w:val="15"/>
                <w:sz w:val="20"/>
                <w:shd w:val="solid" w:color="000000" w:fill="000000"/>
                <w:fitText w:val="60" w:id="-1301087486"/>
                <w14:textFill>
                  <w14:solidFill>
                    <w14:srgbClr w14:val="000000">
                      <w14:alpha w14:val="100000"/>
                    </w14:srgbClr>
                  </w14:solidFill>
                </w14:textFill>
              </w:rPr>
              <w:t xml:space="preserve">　</w:t>
            </w:r>
            <w:r w:rsidR="0063642F">
              <w:rPr>
                <w:rFonts w:ascii="Arial Narrow" w:eastAsiaTheme="majorEastAsia" w:hAnsi="Arial Narrow" w:cstheme="majorBidi"/>
                <w:bCs/>
                <w:sz w:val="20"/>
                <w:vertAlign w:val="superscript"/>
              </w:rPr>
              <w:t>2</w:t>
            </w:r>
          </w:p>
        </w:tc>
        <w:tc>
          <w:tcPr>
            <w:tcW w:w="611" w:type="pct"/>
            <w:vAlign w:val="center"/>
          </w:tcPr>
          <w:p w14:paraId="09AF1681" w14:textId="4A737CC9" w:rsidR="003C04BA" w:rsidRPr="00B273AE" w:rsidRDefault="00C0674E" w:rsidP="003C04BA">
            <w:pPr>
              <w:keepNext/>
              <w:jc w:val="center"/>
              <w:rPr>
                <w:rFonts w:ascii="Arial Narrow" w:eastAsiaTheme="majorEastAsia" w:hAnsi="Arial Narrow" w:cstheme="majorBidi"/>
                <w:bCs/>
                <w:color w:val="000000"/>
                <w:sz w:val="20"/>
                <w:highlight w:val="darkGray"/>
              </w:rPr>
            </w:pPr>
            <w:r w:rsidRPr="0066124A">
              <w:rPr>
                <w:rFonts w:ascii="Arial Narrow" w:eastAsiaTheme="majorEastAsia" w:hAnsi="Arial Narrow" w:cstheme="majorBidi" w:hint="eastAsia"/>
                <w:bCs/>
                <w:color w:val="000000"/>
                <w:w w:val="15"/>
                <w:sz w:val="20"/>
                <w:shd w:val="solid" w:color="000000" w:fill="000000"/>
                <w:fitText w:val="60" w:id="-1301087485"/>
                <w14:textFill>
                  <w14:solidFill>
                    <w14:srgbClr w14:val="000000">
                      <w14:alpha w14:val="100000"/>
                    </w14:srgbClr>
                  </w14:solidFill>
                </w14:textFill>
              </w:rPr>
              <w:t xml:space="preserve">　</w:t>
            </w:r>
            <w:r w:rsidRPr="0066124A">
              <w:rPr>
                <w:rFonts w:ascii="Arial Narrow" w:eastAsiaTheme="majorEastAsia" w:hAnsi="Arial Narrow" w:cstheme="majorBidi"/>
                <w:bCs/>
                <w:color w:val="000000"/>
                <w:w w:val="15"/>
                <w:sz w:val="20"/>
                <w:shd w:val="solid" w:color="000000" w:fill="000000"/>
                <w:fitText w:val="60" w:id="-1301087485"/>
                <w14:textFill>
                  <w14:solidFill>
                    <w14:srgbClr w14:val="000000">
                      <w14:alpha w14:val="100000"/>
                    </w14:srgbClr>
                  </w14:solidFill>
                </w14:textFill>
              </w:rPr>
              <w:t>|</w:t>
            </w:r>
            <w:r w:rsidRPr="0066124A">
              <w:rPr>
                <w:rFonts w:ascii="Arial Narrow" w:eastAsiaTheme="majorEastAsia" w:hAnsi="Arial Narrow" w:cstheme="majorBidi" w:hint="eastAsia"/>
                <w:bCs/>
                <w:color w:val="000000"/>
                <w:spacing w:val="-5"/>
                <w:w w:val="15"/>
                <w:sz w:val="20"/>
                <w:shd w:val="solid" w:color="000000" w:fill="000000"/>
                <w:fitText w:val="60" w:id="-1301087485"/>
                <w14:textFill>
                  <w14:solidFill>
                    <w14:srgbClr w14:val="000000">
                      <w14:alpha w14:val="100000"/>
                    </w14:srgbClr>
                  </w14:solidFill>
                </w14:textFill>
              </w:rPr>
              <w:t xml:space="preserve">　</w:t>
            </w:r>
            <w:r w:rsidR="0063642F">
              <w:rPr>
                <w:rFonts w:ascii="Arial Narrow" w:eastAsiaTheme="majorEastAsia" w:hAnsi="Arial Narrow" w:cstheme="majorBidi"/>
                <w:bCs/>
                <w:sz w:val="20"/>
                <w:vertAlign w:val="superscript"/>
              </w:rPr>
              <w:t>2</w:t>
            </w:r>
          </w:p>
        </w:tc>
      </w:tr>
      <w:tr w:rsidR="003C04BA" w:rsidRPr="003C04BA" w14:paraId="133247EB" w14:textId="77777777" w:rsidTr="00E1649F">
        <w:tc>
          <w:tcPr>
            <w:tcW w:w="1334" w:type="pct"/>
            <w:shd w:val="clear" w:color="auto" w:fill="auto"/>
            <w:vAlign w:val="center"/>
          </w:tcPr>
          <w:p w14:paraId="7F4F8184" w14:textId="199D7079" w:rsidR="003C04BA" w:rsidRPr="003C04BA" w:rsidRDefault="003C04BA" w:rsidP="003C04BA">
            <w:pPr>
              <w:keepNext/>
              <w:jc w:val="left"/>
              <w:rPr>
                <w:rFonts w:ascii="Arial Narrow" w:eastAsiaTheme="majorEastAsia" w:hAnsi="Arial Narrow" w:cstheme="majorBidi"/>
                <w:bCs/>
                <w:sz w:val="19"/>
                <w:szCs w:val="19"/>
              </w:rPr>
            </w:pPr>
            <w:r w:rsidRPr="003C04BA">
              <w:rPr>
                <w:rFonts w:ascii="Arial Narrow" w:eastAsiaTheme="majorEastAsia" w:hAnsi="Arial Narrow" w:cstheme="majorBidi"/>
                <w:bCs/>
                <w:sz w:val="19"/>
                <w:szCs w:val="19"/>
              </w:rPr>
              <w:t>Cost to PBS/RPBS less copayments</w:t>
            </w:r>
            <w:r w:rsidR="00B273AE">
              <w:rPr>
                <w:rFonts w:ascii="Arial Narrow" w:eastAsiaTheme="majorEastAsia" w:hAnsi="Arial Narrow" w:cstheme="majorBidi"/>
                <w:bCs/>
                <w:sz w:val="19"/>
                <w:szCs w:val="19"/>
              </w:rPr>
              <w:t xml:space="preserve"> </w:t>
            </w:r>
          </w:p>
        </w:tc>
        <w:tc>
          <w:tcPr>
            <w:tcW w:w="611" w:type="pct"/>
            <w:shd w:val="clear" w:color="auto" w:fill="auto"/>
            <w:vAlign w:val="center"/>
          </w:tcPr>
          <w:p w14:paraId="282893A0" w14:textId="001407E8" w:rsidR="003C04BA" w:rsidRPr="00B273AE" w:rsidRDefault="00C0674E" w:rsidP="003C04BA">
            <w:pPr>
              <w:keepNext/>
              <w:jc w:val="center"/>
              <w:rPr>
                <w:rFonts w:ascii="Arial Narrow" w:eastAsiaTheme="majorEastAsia" w:hAnsi="Arial Narrow" w:cstheme="majorBidi"/>
                <w:bCs/>
                <w:sz w:val="20"/>
                <w:highlight w:val="darkGray"/>
              </w:rPr>
            </w:pPr>
            <w:r w:rsidRPr="007C55DC">
              <w:rPr>
                <w:rFonts w:ascii="Arial Narrow" w:eastAsiaTheme="majorEastAsia" w:hAnsi="Arial Narrow" w:cstheme="majorBidi" w:hint="eastAsia"/>
                <w:bCs/>
                <w:color w:val="000000"/>
                <w:w w:val="15"/>
                <w:sz w:val="20"/>
                <w:shd w:val="solid" w:color="000000" w:fill="000000"/>
                <w:fitText w:val="60" w:id="-1301087484"/>
                <w14:textFill>
                  <w14:solidFill>
                    <w14:srgbClr w14:val="000000">
                      <w14:alpha w14:val="100000"/>
                    </w14:srgbClr>
                  </w14:solidFill>
                </w14:textFill>
              </w:rPr>
              <w:t xml:space="preserve">　</w:t>
            </w:r>
            <w:r w:rsidRPr="007C55DC">
              <w:rPr>
                <w:rFonts w:ascii="Arial Narrow" w:eastAsiaTheme="majorEastAsia" w:hAnsi="Arial Narrow" w:cstheme="majorBidi"/>
                <w:bCs/>
                <w:color w:val="000000"/>
                <w:w w:val="15"/>
                <w:sz w:val="20"/>
                <w:shd w:val="solid" w:color="000000" w:fill="000000"/>
                <w:fitText w:val="60" w:id="-1301087484"/>
                <w14:textFill>
                  <w14:solidFill>
                    <w14:srgbClr w14:val="000000">
                      <w14:alpha w14:val="100000"/>
                    </w14:srgbClr>
                  </w14:solidFill>
                </w14:textFill>
              </w:rPr>
              <w:t>|</w:t>
            </w:r>
            <w:r w:rsidRPr="007C55DC">
              <w:rPr>
                <w:rFonts w:ascii="Arial Narrow" w:eastAsiaTheme="majorEastAsia" w:hAnsi="Arial Narrow" w:cstheme="majorBidi" w:hint="eastAsia"/>
                <w:bCs/>
                <w:color w:val="000000"/>
                <w:spacing w:val="-15"/>
                <w:w w:val="15"/>
                <w:sz w:val="20"/>
                <w:shd w:val="solid" w:color="000000" w:fill="000000"/>
                <w:fitText w:val="60" w:id="-1301087484"/>
                <w14:textFill>
                  <w14:solidFill>
                    <w14:srgbClr w14:val="000000">
                      <w14:alpha w14:val="100000"/>
                    </w14:srgbClr>
                  </w14:solidFill>
                </w14:textFill>
              </w:rPr>
              <w:t xml:space="preserve">　</w:t>
            </w:r>
            <w:r w:rsidR="0063642F">
              <w:rPr>
                <w:rFonts w:ascii="Arial Narrow" w:eastAsiaTheme="majorEastAsia" w:hAnsi="Arial Narrow" w:cstheme="majorBidi"/>
                <w:bCs/>
                <w:sz w:val="20"/>
                <w:vertAlign w:val="superscript"/>
              </w:rPr>
              <w:t>3</w:t>
            </w:r>
          </w:p>
        </w:tc>
        <w:tc>
          <w:tcPr>
            <w:tcW w:w="611" w:type="pct"/>
            <w:shd w:val="clear" w:color="auto" w:fill="auto"/>
            <w:vAlign w:val="center"/>
          </w:tcPr>
          <w:p w14:paraId="37B41F8B" w14:textId="3DCF1257" w:rsidR="003C04BA" w:rsidRPr="00B273AE" w:rsidRDefault="00C0674E" w:rsidP="003C04BA">
            <w:pPr>
              <w:keepNext/>
              <w:jc w:val="center"/>
              <w:rPr>
                <w:rFonts w:ascii="Arial Narrow" w:eastAsiaTheme="majorEastAsia" w:hAnsi="Arial Narrow" w:cstheme="majorBidi"/>
                <w:bCs/>
                <w:sz w:val="20"/>
                <w:highlight w:val="darkGray"/>
              </w:rPr>
            </w:pPr>
            <w:r w:rsidRPr="0066124A">
              <w:rPr>
                <w:rFonts w:ascii="Arial Narrow" w:eastAsiaTheme="majorEastAsia" w:hAnsi="Arial Narrow" w:cstheme="majorBidi" w:hint="eastAsia"/>
                <w:bCs/>
                <w:color w:val="000000"/>
                <w:w w:val="15"/>
                <w:sz w:val="20"/>
                <w:shd w:val="solid" w:color="000000" w:fill="000000"/>
                <w:fitText w:val="60" w:id="-1301087483"/>
                <w14:textFill>
                  <w14:solidFill>
                    <w14:srgbClr w14:val="000000">
                      <w14:alpha w14:val="100000"/>
                    </w14:srgbClr>
                  </w14:solidFill>
                </w14:textFill>
              </w:rPr>
              <w:t xml:space="preserve">　</w:t>
            </w:r>
            <w:r w:rsidRPr="0066124A">
              <w:rPr>
                <w:rFonts w:ascii="Arial Narrow" w:eastAsiaTheme="majorEastAsia" w:hAnsi="Arial Narrow" w:cstheme="majorBidi"/>
                <w:bCs/>
                <w:color w:val="000000"/>
                <w:w w:val="15"/>
                <w:sz w:val="20"/>
                <w:shd w:val="solid" w:color="000000" w:fill="000000"/>
                <w:fitText w:val="60" w:id="-1301087483"/>
                <w14:textFill>
                  <w14:solidFill>
                    <w14:srgbClr w14:val="000000">
                      <w14:alpha w14:val="100000"/>
                    </w14:srgbClr>
                  </w14:solidFill>
                </w14:textFill>
              </w:rPr>
              <w:t>|</w:t>
            </w:r>
            <w:r w:rsidRPr="0066124A">
              <w:rPr>
                <w:rFonts w:ascii="Arial Narrow" w:eastAsiaTheme="majorEastAsia" w:hAnsi="Arial Narrow" w:cstheme="majorBidi" w:hint="eastAsia"/>
                <w:bCs/>
                <w:color w:val="000000"/>
                <w:spacing w:val="-5"/>
                <w:w w:val="15"/>
                <w:sz w:val="20"/>
                <w:shd w:val="solid" w:color="000000" w:fill="000000"/>
                <w:fitText w:val="60" w:id="-1301087483"/>
                <w14:textFill>
                  <w14:solidFill>
                    <w14:srgbClr w14:val="000000">
                      <w14:alpha w14:val="100000"/>
                    </w14:srgbClr>
                  </w14:solidFill>
                </w14:textFill>
              </w:rPr>
              <w:t xml:space="preserve">　</w:t>
            </w:r>
            <w:r w:rsidR="0063642F">
              <w:rPr>
                <w:rFonts w:ascii="Arial Narrow" w:eastAsiaTheme="majorEastAsia" w:hAnsi="Arial Narrow" w:cstheme="majorBidi"/>
                <w:bCs/>
                <w:sz w:val="20"/>
                <w:vertAlign w:val="superscript"/>
              </w:rPr>
              <w:t>3</w:t>
            </w:r>
          </w:p>
        </w:tc>
        <w:tc>
          <w:tcPr>
            <w:tcW w:w="611" w:type="pct"/>
            <w:shd w:val="clear" w:color="auto" w:fill="auto"/>
            <w:vAlign w:val="center"/>
          </w:tcPr>
          <w:p w14:paraId="142AD6BD" w14:textId="2FA9BE71" w:rsidR="003C04BA" w:rsidRPr="00B273AE" w:rsidRDefault="00C0674E" w:rsidP="003C04BA">
            <w:pPr>
              <w:keepNext/>
              <w:jc w:val="center"/>
              <w:rPr>
                <w:rFonts w:ascii="Arial Narrow" w:eastAsiaTheme="majorEastAsia" w:hAnsi="Arial Narrow" w:cstheme="majorBidi"/>
                <w:bCs/>
                <w:sz w:val="20"/>
                <w:highlight w:val="darkGray"/>
              </w:rPr>
            </w:pPr>
            <w:r w:rsidRPr="0066124A">
              <w:rPr>
                <w:rFonts w:ascii="Arial Narrow" w:eastAsiaTheme="majorEastAsia" w:hAnsi="Arial Narrow" w:cstheme="majorBidi" w:hint="eastAsia"/>
                <w:bCs/>
                <w:color w:val="000000"/>
                <w:w w:val="15"/>
                <w:sz w:val="20"/>
                <w:shd w:val="solid" w:color="000000" w:fill="000000"/>
                <w:fitText w:val="60" w:id="-1301087482"/>
                <w14:textFill>
                  <w14:solidFill>
                    <w14:srgbClr w14:val="000000">
                      <w14:alpha w14:val="100000"/>
                    </w14:srgbClr>
                  </w14:solidFill>
                </w14:textFill>
              </w:rPr>
              <w:t xml:space="preserve">　</w:t>
            </w:r>
            <w:r w:rsidRPr="0066124A">
              <w:rPr>
                <w:rFonts w:ascii="Arial Narrow" w:eastAsiaTheme="majorEastAsia" w:hAnsi="Arial Narrow" w:cstheme="majorBidi"/>
                <w:bCs/>
                <w:color w:val="000000"/>
                <w:w w:val="15"/>
                <w:sz w:val="20"/>
                <w:shd w:val="solid" w:color="000000" w:fill="000000"/>
                <w:fitText w:val="60" w:id="-1301087482"/>
                <w14:textFill>
                  <w14:solidFill>
                    <w14:srgbClr w14:val="000000">
                      <w14:alpha w14:val="100000"/>
                    </w14:srgbClr>
                  </w14:solidFill>
                </w14:textFill>
              </w:rPr>
              <w:t>|</w:t>
            </w:r>
            <w:r w:rsidRPr="0066124A">
              <w:rPr>
                <w:rFonts w:ascii="Arial Narrow" w:eastAsiaTheme="majorEastAsia" w:hAnsi="Arial Narrow" w:cstheme="majorBidi" w:hint="eastAsia"/>
                <w:bCs/>
                <w:color w:val="000000"/>
                <w:spacing w:val="-5"/>
                <w:w w:val="15"/>
                <w:sz w:val="20"/>
                <w:shd w:val="solid" w:color="000000" w:fill="000000"/>
                <w:fitText w:val="60" w:id="-1301087482"/>
                <w14:textFill>
                  <w14:solidFill>
                    <w14:srgbClr w14:val="000000">
                      <w14:alpha w14:val="100000"/>
                    </w14:srgbClr>
                  </w14:solidFill>
                </w14:textFill>
              </w:rPr>
              <w:t xml:space="preserve">　</w:t>
            </w:r>
            <w:r w:rsidR="0063642F">
              <w:rPr>
                <w:rFonts w:ascii="Arial Narrow" w:eastAsiaTheme="majorEastAsia" w:hAnsi="Arial Narrow" w:cstheme="majorBidi"/>
                <w:bCs/>
                <w:sz w:val="20"/>
                <w:vertAlign w:val="superscript"/>
              </w:rPr>
              <w:t>3</w:t>
            </w:r>
          </w:p>
        </w:tc>
        <w:tc>
          <w:tcPr>
            <w:tcW w:w="611" w:type="pct"/>
            <w:shd w:val="clear" w:color="auto" w:fill="auto"/>
            <w:vAlign w:val="center"/>
          </w:tcPr>
          <w:p w14:paraId="4A7CCFD3" w14:textId="2EAED0E0" w:rsidR="003C04BA" w:rsidRPr="00B273AE" w:rsidRDefault="00C0674E" w:rsidP="003C04BA">
            <w:pPr>
              <w:keepNext/>
              <w:jc w:val="center"/>
              <w:rPr>
                <w:rFonts w:ascii="Arial Narrow" w:eastAsiaTheme="majorEastAsia" w:hAnsi="Arial Narrow" w:cstheme="majorBidi"/>
                <w:bCs/>
                <w:sz w:val="20"/>
                <w:highlight w:val="darkGray"/>
              </w:rPr>
            </w:pPr>
            <w:r w:rsidRPr="0066124A">
              <w:rPr>
                <w:rFonts w:ascii="Arial Narrow" w:eastAsiaTheme="majorEastAsia" w:hAnsi="Arial Narrow" w:cstheme="majorBidi" w:hint="eastAsia"/>
                <w:bCs/>
                <w:color w:val="000000"/>
                <w:w w:val="15"/>
                <w:sz w:val="20"/>
                <w:shd w:val="solid" w:color="000000" w:fill="000000"/>
                <w:fitText w:val="60" w:id="-1301087481"/>
                <w14:textFill>
                  <w14:solidFill>
                    <w14:srgbClr w14:val="000000">
                      <w14:alpha w14:val="100000"/>
                    </w14:srgbClr>
                  </w14:solidFill>
                </w14:textFill>
              </w:rPr>
              <w:t xml:space="preserve">　</w:t>
            </w:r>
            <w:r w:rsidRPr="0066124A">
              <w:rPr>
                <w:rFonts w:ascii="Arial Narrow" w:eastAsiaTheme="majorEastAsia" w:hAnsi="Arial Narrow" w:cstheme="majorBidi"/>
                <w:bCs/>
                <w:color w:val="000000"/>
                <w:w w:val="15"/>
                <w:sz w:val="20"/>
                <w:shd w:val="solid" w:color="000000" w:fill="000000"/>
                <w:fitText w:val="60" w:id="-1301087481"/>
                <w14:textFill>
                  <w14:solidFill>
                    <w14:srgbClr w14:val="000000">
                      <w14:alpha w14:val="100000"/>
                    </w14:srgbClr>
                  </w14:solidFill>
                </w14:textFill>
              </w:rPr>
              <w:t>|</w:t>
            </w:r>
            <w:r w:rsidRPr="0066124A">
              <w:rPr>
                <w:rFonts w:ascii="Arial Narrow" w:eastAsiaTheme="majorEastAsia" w:hAnsi="Arial Narrow" w:cstheme="majorBidi" w:hint="eastAsia"/>
                <w:bCs/>
                <w:color w:val="000000"/>
                <w:spacing w:val="-5"/>
                <w:w w:val="15"/>
                <w:sz w:val="20"/>
                <w:shd w:val="solid" w:color="000000" w:fill="000000"/>
                <w:fitText w:val="60" w:id="-1301087481"/>
                <w14:textFill>
                  <w14:solidFill>
                    <w14:srgbClr w14:val="000000">
                      <w14:alpha w14:val="100000"/>
                    </w14:srgbClr>
                  </w14:solidFill>
                </w14:textFill>
              </w:rPr>
              <w:t xml:space="preserve">　</w:t>
            </w:r>
            <w:r w:rsidR="0063642F">
              <w:rPr>
                <w:rFonts w:ascii="Arial Narrow" w:eastAsiaTheme="majorEastAsia" w:hAnsi="Arial Narrow" w:cstheme="majorBidi"/>
                <w:bCs/>
                <w:sz w:val="20"/>
                <w:vertAlign w:val="superscript"/>
              </w:rPr>
              <w:t>3</w:t>
            </w:r>
          </w:p>
        </w:tc>
        <w:tc>
          <w:tcPr>
            <w:tcW w:w="611" w:type="pct"/>
            <w:shd w:val="clear" w:color="auto" w:fill="auto"/>
            <w:vAlign w:val="center"/>
          </w:tcPr>
          <w:p w14:paraId="313DB037" w14:textId="46963D10" w:rsidR="003C04BA" w:rsidRPr="00B273AE" w:rsidRDefault="00C0674E" w:rsidP="003C04BA">
            <w:pPr>
              <w:keepNext/>
              <w:jc w:val="center"/>
              <w:rPr>
                <w:rFonts w:ascii="Arial Narrow" w:eastAsiaTheme="majorEastAsia" w:hAnsi="Arial Narrow" w:cstheme="majorBidi"/>
                <w:bCs/>
                <w:sz w:val="20"/>
                <w:highlight w:val="darkGray"/>
              </w:rPr>
            </w:pPr>
            <w:r w:rsidRPr="0066124A">
              <w:rPr>
                <w:rFonts w:ascii="Arial Narrow" w:eastAsiaTheme="majorEastAsia" w:hAnsi="Arial Narrow" w:cstheme="majorBidi" w:hint="eastAsia"/>
                <w:bCs/>
                <w:color w:val="000000"/>
                <w:w w:val="15"/>
                <w:sz w:val="20"/>
                <w:shd w:val="solid" w:color="000000" w:fill="000000"/>
                <w:fitText w:val="60" w:id="-1301087480"/>
                <w14:textFill>
                  <w14:solidFill>
                    <w14:srgbClr w14:val="000000">
                      <w14:alpha w14:val="100000"/>
                    </w14:srgbClr>
                  </w14:solidFill>
                </w14:textFill>
              </w:rPr>
              <w:t xml:space="preserve">　</w:t>
            </w:r>
            <w:r w:rsidRPr="0066124A">
              <w:rPr>
                <w:rFonts w:ascii="Arial Narrow" w:eastAsiaTheme="majorEastAsia" w:hAnsi="Arial Narrow" w:cstheme="majorBidi"/>
                <w:bCs/>
                <w:color w:val="000000"/>
                <w:w w:val="15"/>
                <w:sz w:val="20"/>
                <w:shd w:val="solid" w:color="000000" w:fill="000000"/>
                <w:fitText w:val="60" w:id="-1301087480"/>
                <w14:textFill>
                  <w14:solidFill>
                    <w14:srgbClr w14:val="000000">
                      <w14:alpha w14:val="100000"/>
                    </w14:srgbClr>
                  </w14:solidFill>
                </w14:textFill>
              </w:rPr>
              <w:t>|</w:t>
            </w:r>
            <w:r w:rsidRPr="0066124A">
              <w:rPr>
                <w:rFonts w:ascii="Arial Narrow" w:eastAsiaTheme="majorEastAsia" w:hAnsi="Arial Narrow" w:cstheme="majorBidi" w:hint="eastAsia"/>
                <w:bCs/>
                <w:color w:val="000000"/>
                <w:spacing w:val="-5"/>
                <w:w w:val="15"/>
                <w:sz w:val="20"/>
                <w:shd w:val="solid" w:color="000000" w:fill="000000"/>
                <w:fitText w:val="60" w:id="-1301087480"/>
                <w14:textFill>
                  <w14:solidFill>
                    <w14:srgbClr w14:val="000000">
                      <w14:alpha w14:val="100000"/>
                    </w14:srgbClr>
                  </w14:solidFill>
                </w14:textFill>
              </w:rPr>
              <w:t xml:space="preserve">　</w:t>
            </w:r>
            <w:r w:rsidR="0063642F">
              <w:rPr>
                <w:rFonts w:ascii="Arial Narrow" w:eastAsiaTheme="majorEastAsia" w:hAnsi="Arial Narrow" w:cstheme="majorBidi"/>
                <w:bCs/>
                <w:sz w:val="20"/>
                <w:vertAlign w:val="superscript"/>
              </w:rPr>
              <w:t>3</w:t>
            </w:r>
          </w:p>
        </w:tc>
        <w:tc>
          <w:tcPr>
            <w:tcW w:w="611" w:type="pct"/>
            <w:vAlign w:val="center"/>
          </w:tcPr>
          <w:p w14:paraId="269DEA4D" w14:textId="501FFAEA" w:rsidR="003C04BA" w:rsidRPr="00B273AE" w:rsidRDefault="00C0674E" w:rsidP="003C04BA">
            <w:pPr>
              <w:keepNext/>
              <w:jc w:val="center"/>
              <w:rPr>
                <w:rFonts w:ascii="Arial Narrow" w:eastAsiaTheme="majorEastAsia" w:hAnsi="Arial Narrow" w:cstheme="majorBidi"/>
                <w:bCs/>
                <w:sz w:val="20"/>
                <w:highlight w:val="darkGray"/>
              </w:rPr>
            </w:pPr>
            <w:r w:rsidRPr="007C55DC">
              <w:rPr>
                <w:rFonts w:ascii="Arial Narrow" w:eastAsiaTheme="majorEastAsia" w:hAnsi="Arial Narrow" w:cstheme="majorBidi" w:hint="eastAsia"/>
                <w:bCs/>
                <w:color w:val="000000"/>
                <w:w w:val="15"/>
                <w:sz w:val="20"/>
                <w:shd w:val="solid" w:color="000000" w:fill="000000"/>
                <w:fitText w:val="60" w:id="-1301087479"/>
                <w14:textFill>
                  <w14:solidFill>
                    <w14:srgbClr w14:val="000000">
                      <w14:alpha w14:val="100000"/>
                    </w14:srgbClr>
                  </w14:solidFill>
                </w14:textFill>
              </w:rPr>
              <w:t xml:space="preserve">　</w:t>
            </w:r>
            <w:r w:rsidRPr="007C55DC">
              <w:rPr>
                <w:rFonts w:ascii="Arial Narrow" w:eastAsiaTheme="majorEastAsia" w:hAnsi="Arial Narrow" w:cstheme="majorBidi"/>
                <w:bCs/>
                <w:color w:val="000000"/>
                <w:w w:val="15"/>
                <w:sz w:val="20"/>
                <w:shd w:val="solid" w:color="000000" w:fill="000000"/>
                <w:fitText w:val="60" w:id="-1301087479"/>
                <w14:textFill>
                  <w14:solidFill>
                    <w14:srgbClr w14:val="000000">
                      <w14:alpha w14:val="100000"/>
                    </w14:srgbClr>
                  </w14:solidFill>
                </w14:textFill>
              </w:rPr>
              <w:t>|</w:t>
            </w:r>
            <w:r w:rsidRPr="007C55DC">
              <w:rPr>
                <w:rFonts w:ascii="Arial Narrow" w:eastAsiaTheme="majorEastAsia" w:hAnsi="Arial Narrow" w:cstheme="majorBidi" w:hint="eastAsia"/>
                <w:bCs/>
                <w:color w:val="000000"/>
                <w:spacing w:val="-15"/>
                <w:w w:val="15"/>
                <w:sz w:val="20"/>
                <w:shd w:val="solid" w:color="000000" w:fill="000000"/>
                <w:fitText w:val="60" w:id="-1301087479"/>
                <w14:textFill>
                  <w14:solidFill>
                    <w14:srgbClr w14:val="000000">
                      <w14:alpha w14:val="100000"/>
                    </w14:srgbClr>
                  </w14:solidFill>
                </w14:textFill>
              </w:rPr>
              <w:t xml:space="preserve">　</w:t>
            </w:r>
            <w:r w:rsidR="0063642F">
              <w:rPr>
                <w:rFonts w:ascii="Arial Narrow" w:eastAsiaTheme="majorEastAsia" w:hAnsi="Arial Narrow" w:cstheme="majorBidi"/>
                <w:bCs/>
                <w:sz w:val="20"/>
                <w:vertAlign w:val="superscript"/>
              </w:rPr>
              <w:t>3</w:t>
            </w:r>
          </w:p>
        </w:tc>
      </w:tr>
      <w:tr w:rsidR="003C04BA" w:rsidRPr="003C04BA" w14:paraId="232A22E8" w14:textId="77777777" w:rsidTr="00E1649F">
        <w:tc>
          <w:tcPr>
            <w:tcW w:w="1334" w:type="pct"/>
            <w:shd w:val="clear" w:color="auto" w:fill="auto"/>
            <w:vAlign w:val="center"/>
          </w:tcPr>
          <w:p w14:paraId="0AFDC1D7" w14:textId="1160BB30" w:rsidR="003C04BA" w:rsidRPr="00B273AE" w:rsidRDefault="003C04BA" w:rsidP="003C04BA">
            <w:pPr>
              <w:keepNext/>
              <w:jc w:val="left"/>
              <w:rPr>
                <w:rFonts w:ascii="Arial Narrow" w:eastAsiaTheme="majorEastAsia" w:hAnsi="Arial Narrow" w:cstheme="majorBidi"/>
                <w:bCs/>
                <w:sz w:val="19"/>
                <w:szCs w:val="19"/>
              </w:rPr>
            </w:pPr>
            <w:r w:rsidRPr="003C04BA">
              <w:rPr>
                <w:rFonts w:ascii="Arial Narrow" w:eastAsiaTheme="majorEastAsia" w:hAnsi="Arial Narrow" w:cstheme="majorBidi"/>
                <w:bCs/>
                <w:sz w:val="20"/>
              </w:rPr>
              <w:t xml:space="preserve">Cost offsets from reduced use of other osteoporosis medications </w:t>
            </w:r>
            <w:r w:rsidRPr="003C04BA">
              <w:rPr>
                <w:rFonts w:ascii="Arial Narrow" w:eastAsiaTheme="majorEastAsia" w:hAnsi="Arial Narrow" w:cstheme="majorBidi"/>
                <w:bCs/>
                <w:sz w:val="20"/>
                <w:vertAlign w:val="superscript"/>
              </w:rPr>
              <w:t>b</w:t>
            </w:r>
            <w:r w:rsidR="00B273AE">
              <w:rPr>
                <w:rFonts w:ascii="Arial Narrow" w:eastAsiaTheme="majorEastAsia" w:hAnsi="Arial Narrow" w:cstheme="majorBidi"/>
                <w:bCs/>
                <w:sz w:val="20"/>
                <w:vertAlign w:val="superscript"/>
              </w:rPr>
              <w:t xml:space="preserve"> </w:t>
            </w:r>
          </w:p>
        </w:tc>
        <w:tc>
          <w:tcPr>
            <w:tcW w:w="611" w:type="pct"/>
            <w:shd w:val="clear" w:color="auto" w:fill="auto"/>
            <w:vAlign w:val="center"/>
          </w:tcPr>
          <w:p w14:paraId="440202D0" w14:textId="2BAAB723" w:rsidR="003C04BA" w:rsidRPr="00B273AE" w:rsidRDefault="00C0674E" w:rsidP="003C04BA">
            <w:pPr>
              <w:keepNext/>
              <w:jc w:val="center"/>
              <w:rPr>
                <w:rFonts w:ascii="Arial Narrow" w:eastAsiaTheme="majorEastAsia" w:hAnsi="Arial Narrow" w:cstheme="majorBidi"/>
                <w:bCs/>
                <w:sz w:val="20"/>
                <w:highlight w:val="darkGray"/>
              </w:rPr>
            </w:pPr>
            <w:r w:rsidRPr="0066124A">
              <w:rPr>
                <w:rFonts w:ascii="Arial Narrow" w:eastAsiaTheme="majorEastAsia" w:hAnsi="Arial Narrow" w:cstheme="majorBidi" w:hint="eastAsia"/>
                <w:bCs/>
                <w:color w:val="000000"/>
                <w:w w:val="15"/>
                <w:sz w:val="20"/>
                <w:shd w:val="solid" w:color="000000" w:fill="000000"/>
                <w:fitText w:val="60" w:id="-1301087478"/>
                <w14:textFill>
                  <w14:solidFill>
                    <w14:srgbClr w14:val="000000">
                      <w14:alpha w14:val="100000"/>
                    </w14:srgbClr>
                  </w14:solidFill>
                </w14:textFill>
              </w:rPr>
              <w:t xml:space="preserve">　</w:t>
            </w:r>
            <w:r w:rsidRPr="0066124A">
              <w:rPr>
                <w:rFonts w:ascii="Arial Narrow" w:eastAsiaTheme="majorEastAsia" w:hAnsi="Arial Narrow" w:cstheme="majorBidi"/>
                <w:bCs/>
                <w:color w:val="000000"/>
                <w:w w:val="15"/>
                <w:sz w:val="20"/>
                <w:shd w:val="solid" w:color="000000" w:fill="000000"/>
                <w:fitText w:val="60" w:id="-1301087478"/>
                <w14:textFill>
                  <w14:solidFill>
                    <w14:srgbClr w14:val="000000">
                      <w14:alpha w14:val="100000"/>
                    </w14:srgbClr>
                  </w14:solidFill>
                </w14:textFill>
              </w:rPr>
              <w:t>|</w:t>
            </w:r>
            <w:r w:rsidRPr="0066124A">
              <w:rPr>
                <w:rFonts w:ascii="Arial Narrow" w:eastAsiaTheme="majorEastAsia" w:hAnsi="Arial Narrow" w:cstheme="majorBidi" w:hint="eastAsia"/>
                <w:bCs/>
                <w:color w:val="000000"/>
                <w:spacing w:val="-5"/>
                <w:w w:val="15"/>
                <w:sz w:val="20"/>
                <w:shd w:val="solid" w:color="000000" w:fill="000000"/>
                <w:fitText w:val="60" w:id="-1301087478"/>
                <w14:textFill>
                  <w14:solidFill>
                    <w14:srgbClr w14:val="000000">
                      <w14:alpha w14:val="100000"/>
                    </w14:srgbClr>
                  </w14:solidFill>
                </w14:textFill>
              </w:rPr>
              <w:t xml:space="preserve">　</w:t>
            </w:r>
            <w:r w:rsidR="0063642F">
              <w:rPr>
                <w:rFonts w:ascii="Arial Narrow" w:eastAsiaTheme="majorEastAsia" w:hAnsi="Arial Narrow" w:cstheme="majorBidi"/>
                <w:bCs/>
                <w:sz w:val="20"/>
                <w:vertAlign w:val="superscript"/>
              </w:rPr>
              <w:t>4</w:t>
            </w:r>
          </w:p>
        </w:tc>
        <w:tc>
          <w:tcPr>
            <w:tcW w:w="611" w:type="pct"/>
            <w:shd w:val="clear" w:color="auto" w:fill="auto"/>
            <w:vAlign w:val="center"/>
          </w:tcPr>
          <w:p w14:paraId="1C32B7C3" w14:textId="4F8A5534" w:rsidR="003C04BA" w:rsidRPr="00B273AE" w:rsidRDefault="00C0674E" w:rsidP="003C04BA">
            <w:pPr>
              <w:keepNext/>
              <w:jc w:val="center"/>
              <w:rPr>
                <w:rFonts w:ascii="Arial Narrow" w:eastAsiaTheme="majorEastAsia" w:hAnsi="Arial Narrow" w:cstheme="majorBidi"/>
                <w:bCs/>
                <w:sz w:val="20"/>
                <w:highlight w:val="darkGray"/>
              </w:rPr>
            </w:pPr>
            <w:r w:rsidRPr="0066124A">
              <w:rPr>
                <w:rFonts w:ascii="Arial Narrow" w:eastAsiaTheme="majorEastAsia" w:hAnsi="Arial Narrow" w:cstheme="majorBidi" w:hint="eastAsia"/>
                <w:bCs/>
                <w:color w:val="000000"/>
                <w:w w:val="15"/>
                <w:sz w:val="20"/>
                <w:shd w:val="solid" w:color="000000" w:fill="000000"/>
                <w:fitText w:val="60" w:id="-1301087477"/>
                <w14:textFill>
                  <w14:solidFill>
                    <w14:srgbClr w14:val="000000">
                      <w14:alpha w14:val="100000"/>
                    </w14:srgbClr>
                  </w14:solidFill>
                </w14:textFill>
              </w:rPr>
              <w:t xml:space="preserve">　</w:t>
            </w:r>
            <w:r w:rsidRPr="0066124A">
              <w:rPr>
                <w:rFonts w:ascii="Arial Narrow" w:eastAsiaTheme="majorEastAsia" w:hAnsi="Arial Narrow" w:cstheme="majorBidi"/>
                <w:bCs/>
                <w:color w:val="000000"/>
                <w:w w:val="15"/>
                <w:sz w:val="20"/>
                <w:shd w:val="solid" w:color="000000" w:fill="000000"/>
                <w:fitText w:val="60" w:id="-1301087477"/>
                <w14:textFill>
                  <w14:solidFill>
                    <w14:srgbClr w14:val="000000">
                      <w14:alpha w14:val="100000"/>
                    </w14:srgbClr>
                  </w14:solidFill>
                </w14:textFill>
              </w:rPr>
              <w:t>|</w:t>
            </w:r>
            <w:r w:rsidRPr="0066124A">
              <w:rPr>
                <w:rFonts w:ascii="Arial Narrow" w:eastAsiaTheme="majorEastAsia" w:hAnsi="Arial Narrow" w:cstheme="majorBidi" w:hint="eastAsia"/>
                <w:bCs/>
                <w:color w:val="000000"/>
                <w:spacing w:val="-5"/>
                <w:w w:val="15"/>
                <w:sz w:val="20"/>
                <w:shd w:val="solid" w:color="000000" w:fill="000000"/>
                <w:fitText w:val="60" w:id="-1301087477"/>
                <w14:textFill>
                  <w14:solidFill>
                    <w14:srgbClr w14:val="000000">
                      <w14:alpha w14:val="100000"/>
                    </w14:srgbClr>
                  </w14:solidFill>
                </w14:textFill>
              </w:rPr>
              <w:t xml:space="preserve">　</w:t>
            </w:r>
            <w:r w:rsidR="0063642F">
              <w:rPr>
                <w:rFonts w:ascii="Arial Narrow" w:eastAsiaTheme="majorEastAsia" w:hAnsi="Arial Narrow" w:cstheme="majorBidi"/>
                <w:bCs/>
                <w:sz w:val="20"/>
                <w:vertAlign w:val="superscript"/>
              </w:rPr>
              <w:t>4</w:t>
            </w:r>
          </w:p>
        </w:tc>
        <w:tc>
          <w:tcPr>
            <w:tcW w:w="611" w:type="pct"/>
            <w:shd w:val="clear" w:color="auto" w:fill="auto"/>
            <w:vAlign w:val="center"/>
          </w:tcPr>
          <w:p w14:paraId="60C07148" w14:textId="70E3AA23" w:rsidR="003C04BA" w:rsidRPr="00B273AE" w:rsidRDefault="00C0674E" w:rsidP="003C04BA">
            <w:pPr>
              <w:keepNext/>
              <w:jc w:val="center"/>
              <w:rPr>
                <w:rFonts w:ascii="Arial Narrow" w:eastAsiaTheme="majorEastAsia" w:hAnsi="Arial Narrow" w:cstheme="majorBidi"/>
                <w:bCs/>
                <w:sz w:val="20"/>
                <w:highlight w:val="darkGray"/>
              </w:rPr>
            </w:pPr>
            <w:r w:rsidRPr="007C55DC">
              <w:rPr>
                <w:rFonts w:ascii="Arial Narrow" w:eastAsiaTheme="majorEastAsia" w:hAnsi="Arial Narrow" w:cstheme="majorBidi" w:hint="eastAsia"/>
                <w:bCs/>
                <w:color w:val="000000"/>
                <w:w w:val="15"/>
                <w:sz w:val="20"/>
                <w:shd w:val="solid" w:color="000000" w:fill="000000"/>
                <w:fitText w:val="60" w:id="-1301087476"/>
                <w14:textFill>
                  <w14:solidFill>
                    <w14:srgbClr w14:val="000000">
                      <w14:alpha w14:val="100000"/>
                    </w14:srgbClr>
                  </w14:solidFill>
                </w14:textFill>
              </w:rPr>
              <w:t xml:space="preserve">　</w:t>
            </w:r>
            <w:r w:rsidRPr="007C55DC">
              <w:rPr>
                <w:rFonts w:ascii="Arial Narrow" w:eastAsiaTheme="majorEastAsia" w:hAnsi="Arial Narrow" w:cstheme="majorBidi"/>
                <w:bCs/>
                <w:color w:val="000000"/>
                <w:w w:val="15"/>
                <w:sz w:val="20"/>
                <w:shd w:val="solid" w:color="000000" w:fill="000000"/>
                <w:fitText w:val="60" w:id="-1301087476"/>
                <w14:textFill>
                  <w14:solidFill>
                    <w14:srgbClr w14:val="000000">
                      <w14:alpha w14:val="100000"/>
                    </w14:srgbClr>
                  </w14:solidFill>
                </w14:textFill>
              </w:rPr>
              <w:t>|</w:t>
            </w:r>
            <w:r w:rsidRPr="007C55DC">
              <w:rPr>
                <w:rFonts w:ascii="Arial Narrow" w:eastAsiaTheme="majorEastAsia" w:hAnsi="Arial Narrow" w:cstheme="majorBidi" w:hint="eastAsia"/>
                <w:bCs/>
                <w:color w:val="000000"/>
                <w:spacing w:val="-15"/>
                <w:w w:val="15"/>
                <w:sz w:val="20"/>
                <w:shd w:val="solid" w:color="000000" w:fill="000000"/>
                <w:fitText w:val="60" w:id="-1301087476"/>
                <w14:textFill>
                  <w14:solidFill>
                    <w14:srgbClr w14:val="000000">
                      <w14:alpha w14:val="100000"/>
                    </w14:srgbClr>
                  </w14:solidFill>
                </w14:textFill>
              </w:rPr>
              <w:t xml:space="preserve">　</w:t>
            </w:r>
            <w:r w:rsidR="0063642F">
              <w:rPr>
                <w:rFonts w:ascii="Arial Narrow" w:eastAsiaTheme="majorEastAsia" w:hAnsi="Arial Narrow" w:cstheme="majorBidi"/>
                <w:bCs/>
                <w:sz w:val="20"/>
                <w:vertAlign w:val="superscript"/>
              </w:rPr>
              <w:t>4</w:t>
            </w:r>
          </w:p>
        </w:tc>
        <w:tc>
          <w:tcPr>
            <w:tcW w:w="611" w:type="pct"/>
            <w:shd w:val="clear" w:color="auto" w:fill="auto"/>
            <w:vAlign w:val="center"/>
          </w:tcPr>
          <w:p w14:paraId="51C6AEE6" w14:textId="00142DCB" w:rsidR="003C04BA" w:rsidRPr="00B273AE" w:rsidRDefault="00C0674E" w:rsidP="003C04BA">
            <w:pPr>
              <w:keepNext/>
              <w:jc w:val="center"/>
              <w:rPr>
                <w:rFonts w:ascii="Arial Narrow" w:eastAsiaTheme="majorEastAsia" w:hAnsi="Arial Narrow" w:cstheme="majorBidi"/>
                <w:bCs/>
                <w:sz w:val="20"/>
                <w:highlight w:val="darkGray"/>
              </w:rPr>
            </w:pPr>
            <w:r w:rsidRPr="0066124A">
              <w:rPr>
                <w:rFonts w:ascii="Arial Narrow" w:eastAsiaTheme="majorEastAsia" w:hAnsi="Arial Narrow" w:cstheme="majorBidi" w:hint="eastAsia"/>
                <w:bCs/>
                <w:color w:val="000000"/>
                <w:w w:val="15"/>
                <w:sz w:val="20"/>
                <w:shd w:val="solid" w:color="000000" w:fill="000000"/>
                <w:fitText w:val="60" w:id="-1301087475"/>
                <w14:textFill>
                  <w14:solidFill>
                    <w14:srgbClr w14:val="000000">
                      <w14:alpha w14:val="100000"/>
                    </w14:srgbClr>
                  </w14:solidFill>
                </w14:textFill>
              </w:rPr>
              <w:t xml:space="preserve">　</w:t>
            </w:r>
            <w:r w:rsidRPr="0066124A">
              <w:rPr>
                <w:rFonts w:ascii="Arial Narrow" w:eastAsiaTheme="majorEastAsia" w:hAnsi="Arial Narrow" w:cstheme="majorBidi"/>
                <w:bCs/>
                <w:color w:val="000000"/>
                <w:w w:val="15"/>
                <w:sz w:val="20"/>
                <w:shd w:val="solid" w:color="000000" w:fill="000000"/>
                <w:fitText w:val="60" w:id="-1301087475"/>
                <w14:textFill>
                  <w14:solidFill>
                    <w14:srgbClr w14:val="000000">
                      <w14:alpha w14:val="100000"/>
                    </w14:srgbClr>
                  </w14:solidFill>
                </w14:textFill>
              </w:rPr>
              <w:t>|</w:t>
            </w:r>
            <w:r w:rsidRPr="0066124A">
              <w:rPr>
                <w:rFonts w:ascii="Arial Narrow" w:eastAsiaTheme="majorEastAsia" w:hAnsi="Arial Narrow" w:cstheme="majorBidi" w:hint="eastAsia"/>
                <w:bCs/>
                <w:color w:val="000000"/>
                <w:spacing w:val="-5"/>
                <w:w w:val="15"/>
                <w:sz w:val="20"/>
                <w:shd w:val="solid" w:color="000000" w:fill="000000"/>
                <w:fitText w:val="60" w:id="-1301087475"/>
                <w14:textFill>
                  <w14:solidFill>
                    <w14:srgbClr w14:val="000000">
                      <w14:alpha w14:val="100000"/>
                    </w14:srgbClr>
                  </w14:solidFill>
                </w14:textFill>
              </w:rPr>
              <w:t xml:space="preserve">　</w:t>
            </w:r>
            <w:r w:rsidR="0063642F">
              <w:rPr>
                <w:rFonts w:ascii="Arial Narrow" w:eastAsiaTheme="majorEastAsia" w:hAnsi="Arial Narrow" w:cstheme="majorBidi"/>
                <w:bCs/>
                <w:sz w:val="20"/>
                <w:vertAlign w:val="superscript"/>
              </w:rPr>
              <w:t>4</w:t>
            </w:r>
          </w:p>
        </w:tc>
        <w:tc>
          <w:tcPr>
            <w:tcW w:w="611" w:type="pct"/>
            <w:shd w:val="clear" w:color="auto" w:fill="auto"/>
            <w:vAlign w:val="center"/>
          </w:tcPr>
          <w:p w14:paraId="4E307BEE" w14:textId="3ADE2DD7" w:rsidR="003C04BA" w:rsidRPr="00B273AE" w:rsidRDefault="00C0674E" w:rsidP="003C04BA">
            <w:pPr>
              <w:keepNext/>
              <w:jc w:val="center"/>
              <w:rPr>
                <w:rFonts w:ascii="Arial Narrow" w:eastAsiaTheme="majorEastAsia" w:hAnsi="Arial Narrow" w:cstheme="majorBidi"/>
                <w:bCs/>
                <w:sz w:val="20"/>
                <w:highlight w:val="darkGray"/>
              </w:rPr>
            </w:pPr>
            <w:r w:rsidRPr="0066124A">
              <w:rPr>
                <w:rFonts w:ascii="Arial Narrow" w:eastAsiaTheme="majorEastAsia" w:hAnsi="Arial Narrow" w:cstheme="majorBidi" w:hint="eastAsia"/>
                <w:bCs/>
                <w:color w:val="000000"/>
                <w:w w:val="15"/>
                <w:sz w:val="20"/>
                <w:shd w:val="solid" w:color="000000" w:fill="000000"/>
                <w:fitText w:val="60" w:id="-1301087474"/>
                <w14:textFill>
                  <w14:solidFill>
                    <w14:srgbClr w14:val="000000">
                      <w14:alpha w14:val="100000"/>
                    </w14:srgbClr>
                  </w14:solidFill>
                </w14:textFill>
              </w:rPr>
              <w:t xml:space="preserve">　</w:t>
            </w:r>
            <w:r w:rsidRPr="0066124A">
              <w:rPr>
                <w:rFonts w:ascii="Arial Narrow" w:eastAsiaTheme="majorEastAsia" w:hAnsi="Arial Narrow" w:cstheme="majorBidi"/>
                <w:bCs/>
                <w:color w:val="000000"/>
                <w:w w:val="15"/>
                <w:sz w:val="20"/>
                <w:shd w:val="solid" w:color="000000" w:fill="000000"/>
                <w:fitText w:val="60" w:id="-1301087474"/>
                <w14:textFill>
                  <w14:solidFill>
                    <w14:srgbClr w14:val="000000">
                      <w14:alpha w14:val="100000"/>
                    </w14:srgbClr>
                  </w14:solidFill>
                </w14:textFill>
              </w:rPr>
              <w:t>|</w:t>
            </w:r>
            <w:r w:rsidRPr="0066124A">
              <w:rPr>
                <w:rFonts w:ascii="Arial Narrow" w:eastAsiaTheme="majorEastAsia" w:hAnsi="Arial Narrow" w:cstheme="majorBidi" w:hint="eastAsia"/>
                <w:bCs/>
                <w:color w:val="000000"/>
                <w:spacing w:val="-5"/>
                <w:w w:val="15"/>
                <w:sz w:val="20"/>
                <w:shd w:val="solid" w:color="000000" w:fill="000000"/>
                <w:fitText w:val="60" w:id="-1301087474"/>
                <w14:textFill>
                  <w14:solidFill>
                    <w14:srgbClr w14:val="000000">
                      <w14:alpha w14:val="100000"/>
                    </w14:srgbClr>
                  </w14:solidFill>
                </w14:textFill>
              </w:rPr>
              <w:t xml:space="preserve">　</w:t>
            </w:r>
            <w:r w:rsidR="0063642F">
              <w:rPr>
                <w:rFonts w:ascii="Arial Narrow" w:eastAsiaTheme="majorEastAsia" w:hAnsi="Arial Narrow" w:cstheme="majorBidi"/>
                <w:bCs/>
                <w:sz w:val="20"/>
                <w:vertAlign w:val="superscript"/>
              </w:rPr>
              <w:t>4</w:t>
            </w:r>
          </w:p>
        </w:tc>
        <w:tc>
          <w:tcPr>
            <w:tcW w:w="611" w:type="pct"/>
            <w:vAlign w:val="center"/>
          </w:tcPr>
          <w:p w14:paraId="350F3327" w14:textId="10FFCAEB" w:rsidR="003C04BA" w:rsidRPr="00B273AE" w:rsidRDefault="00C0674E" w:rsidP="003C04BA">
            <w:pPr>
              <w:keepNext/>
              <w:jc w:val="center"/>
              <w:rPr>
                <w:rFonts w:ascii="Arial Narrow" w:eastAsiaTheme="majorEastAsia" w:hAnsi="Arial Narrow" w:cstheme="majorBidi"/>
                <w:bCs/>
                <w:sz w:val="20"/>
                <w:highlight w:val="darkGray"/>
              </w:rPr>
            </w:pPr>
            <w:r w:rsidRPr="0066124A">
              <w:rPr>
                <w:rFonts w:ascii="Arial Narrow" w:eastAsiaTheme="majorEastAsia" w:hAnsi="Arial Narrow" w:cstheme="majorBidi" w:hint="eastAsia"/>
                <w:bCs/>
                <w:color w:val="000000"/>
                <w:w w:val="15"/>
                <w:sz w:val="20"/>
                <w:shd w:val="solid" w:color="000000" w:fill="000000"/>
                <w:fitText w:val="60" w:id="-1301087473"/>
                <w14:textFill>
                  <w14:solidFill>
                    <w14:srgbClr w14:val="000000">
                      <w14:alpha w14:val="100000"/>
                    </w14:srgbClr>
                  </w14:solidFill>
                </w14:textFill>
              </w:rPr>
              <w:t xml:space="preserve">　</w:t>
            </w:r>
            <w:r w:rsidRPr="0066124A">
              <w:rPr>
                <w:rFonts w:ascii="Arial Narrow" w:eastAsiaTheme="majorEastAsia" w:hAnsi="Arial Narrow" w:cstheme="majorBidi"/>
                <w:bCs/>
                <w:color w:val="000000"/>
                <w:w w:val="15"/>
                <w:sz w:val="20"/>
                <w:shd w:val="solid" w:color="000000" w:fill="000000"/>
                <w:fitText w:val="60" w:id="-1301087473"/>
                <w14:textFill>
                  <w14:solidFill>
                    <w14:srgbClr w14:val="000000">
                      <w14:alpha w14:val="100000"/>
                    </w14:srgbClr>
                  </w14:solidFill>
                </w14:textFill>
              </w:rPr>
              <w:t>|</w:t>
            </w:r>
            <w:r w:rsidRPr="0066124A">
              <w:rPr>
                <w:rFonts w:ascii="Arial Narrow" w:eastAsiaTheme="majorEastAsia" w:hAnsi="Arial Narrow" w:cstheme="majorBidi" w:hint="eastAsia"/>
                <w:bCs/>
                <w:color w:val="000000"/>
                <w:spacing w:val="-5"/>
                <w:w w:val="15"/>
                <w:sz w:val="20"/>
                <w:shd w:val="solid" w:color="000000" w:fill="000000"/>
                <w:fitText w:val="60" w:id="-1301087473"/>
                <w14:textFill>
                  <w14:solidFill>
                    <w14:srgbClr w14:val="000000">
                      <w14:alpha w14:val="100000"/>
                    </w14:srgbClr>
                  </w14:solidFill>
                </w14:textFill>
              </w:rPr>
              <w:t xml:space="preserve">　</w:t>
            </w:r>
            <w:r w:rsidR="0063642F">
              <w:rPr>
                <w:rFonts w:ascii="Arial Narrow" w:eastAsiaTheme="majorEastAsia" w:hAnsi="Arial Narrow" w:cstheme="majorBidi"/>
                <w:bCs/>
                <w:sz w:val="20"/>
                <w:vertAlign w:val="superscript"/>
              </w:rPr>
              <w:t>4</w:t>
            </w:r>
          </w:p>
        </w:tc>
      </w:tr>
      <w:tr w:rsidR="003C04BA" w:rsidRPr="003C04BA" w14:paraId="2A0F4C8A" w14:textId="77777777" w:rsidTr="00E1649F">
        <w:tc>
          <w:tcPr>
            <w:tcW w:w="1334" w:type="pct"/>
            <w:shd w:val="clear" w:color="auto" w:fill="auto"/>
            <w:vAlign w:val="center"/>
          </w:tcPr>
          <w:p w14:paraId="2289D98D" w14:textId="5B1EEC4D" w:rsidR="003C04BA" w:rsidRPr="003C04BA" w:rsidRDefault="003C04BA" w:rsidP="003C04BA">
            <w:pPr>
              <w:keepNext/>
              <w:jc w:val="left"/>
              <w:rPr>
                <w:rFonts w:ascii="Arial Narrow" w:eastAsiaTheme="majorEastAsia" w:hAnsi="Arial Narrow" w:cstheme="majorBidi"/>
                <w:bCs/>
                <w:sz w:val="20"/>
              </w:rPr>
            </w:pPr>
            <w:r w:rsidRPr="003C04BA">
              <w:rPr>
                <w:rFonts w:ascii="Arial Narrow" w:eastAsiaTheme="majorEastAsia" w:hAnsi="Arial Narrow" w:cstheme="majorBidi"/>
                <w:b/>
                <w:sz w:val="20"/>
              </w:rPr>
              <w:t>Net cost to PBS/RPBS</w:t>
            </w:r>
            <w:r w:rsidR="00B273AE">
              <w:rPr>
                <w:rFonts w:ascii="Arial Narrow" w:eastAsiaTheme="majorEastAsia" w:hAnsi="Arial Narrow" w:cstheme="majorBidi"/>
                <w:b/>
                <w:sz w:val="20"/>
              </w:rPr>
              <w:t xml:space="preserve"> </w:t>
            </w:r>
          </w:p>
        </w:tc>
        <w:tc>
          <w:tcPr>
            <w:tcW w:w="611" w:type="pct"/>
            <w:shd w:val="clear" w:color="auto" w:fill="auto"/>
            <w:vAlign w:val="center"/>
          </w:tcPr>
          <w:p w14:paraId="1D6BC3B3" w14:textId="772CE9B1" w:rsidR="003C04BA" w:rsidRPr="00B273AE" w:rsidRDefault="00C0674E" w:rsidP="003C04BA">
            <w:pPr>
              <w:keepNext/>
              <w:jc w:val="center"/>
              <w:rPr>
                <w:rFonts w:ascii="Arial Narrow" w:eastAsiaTheme="majorEastAsia" w:hAnsi="Arial Narrow" w:cstheme="majorBidi"/>
                <w:bCs/>
                <w:sz w:val="20"/>
                <w:highlight w:val="darkGray"/>
              </w:rPr>
            </w:pPr>
            <w:r w:rsidRPr="007C55DC">
              <w:rPr>
                <w:rFonts w:ascii="Arial Narrow" w:eastAsiaTheme="majorEastAsia" w:hAnsi="Arial Narrow" w:cstheme="majorBidi" w:hint="eastAsia"/>
                <w:b/>
                <w:color w:val="000000"/>
                <w:w w:val="22"/>
                <w:sz w:val="20"/>
                <w:shd w:val="solid" w:color="000000" w:fill="000000"/>
                <w:fitText w:val="100" w:id="-1301087472"/>
                <w14:textFill>
                  <w14:solidFill>
                    <w14:srgbClr w14:val="000000">
                      <w14:alpha w14:val="100000"/>
                    </w14:srgbClr>
                  </w14:solidFill>
                </w14:textFill>
              </w:rPr>
              <w:t xml:space="preserve">　</w:t>
            </w:r>
            <w:r w:rsidRPr="007C55DC">
              <w:rPr>
                <w:rFonts w:ascii="Arial Narrow" w:eastAsiaTheme="majorEastAsia" w:hAnsi="Arial Narrow" w:cstheme="majorBidi"/>
                <w:b/>
                <w:color w:val="000000"/>
                <w:w w:val="22"/>
                <w:sz w:val="20"/>
                <w:shd w:val="solid" w:color="000000" w:fill="000000"/>
                <w:fitText w:val="100" w:id="-1301087472"/>
                <w14:textFill>
                  <w14:solidFill>
                    <w14:srgbClr w14:val="000000">
                      <w14:alpha w14:val="100000"/>
                    </w14:srgbClr>
                  </w14:solidFill>
                </w14:textFill>
              </w:rPr>
              <w:t>|</w:t>
            </w:r>
            <w:r w:rsidRPr="007C55DC">
              <w:rPr>
                <w:rFonts w:ascii="Arial Narrow" w:eastAsiaTheme="majorEastAsia" w:hAnsi="Arial Narrow" w:cstheme="majorBidi" w:hint="eastAsia"/>
                <w:b/>
                <w:color w:val="000000"/>
                <w:spacing w:val="2"/>
                <w:w w:val="22"/>
                <w:sz w:val="20"/>
                <w:shd w:val="solid" w:color="000000" w:fill="000000"/>
                <w:fitText w:val="100" w:id="-1301087472"/>
                <w14:textFill>
                  <w14:solidFill>
                    <w14:srgbClr w14:val="000000">
                      <w14:alpha w14:val="100000"/>
                    </w14:srgbClr>
                  </w14:solidFill>
                </w14:textFill>
              </w:rPr>
              <w:t xml:space="preserve">　</w:t>
            </w:r>
            <w:r w:rsidR="0063642F">
              <w:rPr>
                <w:rFonts w:ascii="Arial Narrow" w:eastAsiaTheme="majorEastAsia" w:hAnsi="Arial Narrow" w:cstheme="majorBidi"/>
                <w:bCs/>
                <w:sz w:val="20"/>
                <w:vertAlign w:val="superscript"/>
              </w:rPr>
              <w:t>3</w:t>
            </w:r>
          </w:p>
        </w:tc>
        <w:tc>
          <w:tcPr>
            <w:tcW w:w="611" w:type="pct"/>
            <w:shd w:val="clear" w:color="auto" w:fill="auto"/>
            <w:vAlign w:val="center"/>
          </w:tcPr>
          <w:p w14:paraId="4A3F7CD3" w14:textId="23B2DE25" w:rsidR="003C04BA" w:rsidRPr="00B273AE" w:rsidRDefault="00C0674E" w:rsidP="003C04BA">
            <w:pPr>
              <w:keepNext/>
              <w:jc w:val="center"/>
              <w:rPr>
                <w:rFonts w:ascii="Arial Narrow" w:eastAsiaTheme="majorEastAsia" w:hAnsi="Arial Narrow" w:cstheme="majorBidi"/>
                <w:bCs/>
                <w:sz w:val="20"/>
                <w:highlight w:val="darkGray"/>
              </w:rPr>
            </w:pPr>
            <w:r w:rsidRPr="007C55DC">
              <w:rPr>
                <w:rFonts w:ascii="Arial Narrow" w:eastAsiaTheme="majorEastAsia" w:hAnsi="Arial Narrow" w:cstheme="majorBidi" w:hint="eastAsia"/>
                <w:b/>
                <w:color w:val="000000"/>
                <w:w w:val="22"/>
                <w:sz w:val="20"/>
                <w:shd w:val="solid" w:color="000000" w:fill="000000"/>
                <w:fitText w:val="100" w:id="-1301087488"/>
                <w14:textFill>
                  <w14:solidFill>
                    <w14:srgbClr w14:val="000000">
                      <w14:alpha w14:val="100000"/>
                    </w14:srgbClr>
                  </w14:solidFill>
                </w14:textFill>
              </w:rPr>
              <w:t xml:space="preserve">　</w:t>
            </w:r>
            <w:r w:rsidRPr="007C55DC">
              <w:rPr>
                <w:rFonts w:ascii="Arial Narrow" w:eastAsiaTheme="majorEastAsia" w:hAnsi="Arial Narrow" w:cstheme="majorBidi"/>
                <w:b/>
                <w:color w:val="000000"/>
                <w:w w:val="22"/>
                <w:sz w:val="20"/>
                <w:shd w:val="solid" w:color="000000" w:fill="000000"/>
                <w:fitText w:val="100" w:id="-1301087488"/>
                <w14:textFill>
                  <w14:solidFill>
                    <w14:srgbClr w14:val="000000">
                      <w14:alpha w14:val="100000"/>
                    </w14:srgbClr>
                  </w14:solidFill>
                </w14:textFill>
              </w:rPr>
              <w:t>|</w:t>
            </w:r>
            <w:r w:rsidRPr="007C55DC">
              <w:rPr>
                <w:rFonts w:ascii="Arial Narrow" w:eastAsiaTheme="majorEastAsia" w:hAnsi="Arial Narrow" w:cstheme="majorBidi" w:hint="eastAsia"/>
                <w:b/>
                <w:color w:val="000000"/>
                <w:spacing w:val="2"/>
                <w:w w:val="22"/>
                <w:sz w:val="20"/>
                <w:shd w:val="solid" w:color="000000" w:fill="000000"/>
                <w:fitText w:val="100" w:id="-1301087488"/>
                <w14:textFill>
                  <w14:solidFill>
                    <w14:srgbClr w14:val="000000">
                      <w14:alpha w14:val="100000"/>
                    </w14:srgbClr>
                  </w14:solidFill>
                </w14:textFill>
              </w:rPr>
              <w:t xml:space="preserve">　</w:t>
            </w:r>
            <w:r w:rsidR="0063642F">
              <w:rPr>
                <w:rFonts w:ascii="Arial Narrow" w:eastAsiaTheme="majorEastAsia" w:hAnsi="Arial Narrow" w:cstheme="majorBidi"/>
                <w:bCs/>
                <w:sz w:val="20"/>
                <w:vertAlign w:val="superscript"/>
              </w:rPr>
              <w:t>3</w:t>
            </w:r>
          </w:p>
        </w:tc>
        <w:tc>
          <w:tcPr>
            <w:tcW w:w="611" w:type="pct"/>
            <w:shd w:val="clear" w:color="auto" w:fill="auto"/>
            <w:vAlign w:val="center"/>
          </w:tcPr>
          <w:p w14:paraId="00A4797B" w14:textId="0C7EDCF9" w:rsidR="003C04BA" w:rsidRPr="00B273AE" w:rsidRDefault="00C0674E" w:rsidP="003C04BA">
            <w:pPr>
              <w:keepNext/>
              <w:jc w:val="center"/>
              <w:rPr>
                <w:rFonts w:ascii="Arial Narrow" w:eastAsiaTheme="majorEastAsia" w:hAnsi="Arial Narrow" w:cstheme="majorBidi"/>
                <w:bCs/>
                <w:sz w:val="20"/>
                <w:highlight w:val="darkGray"/>
              </w:rPr>
            </w:pPr>
            <w:r w:rsidRPr="007C55DC">
              <w:rPr>
                <w:rFonts w:ascii="Arial Narrow" w:eastAsiaTheme="majorEastAsia" w:hAnsi="Arial Narrow" w:cstheme="majorBidi" w:hint="eastAsia"/>
                <w:b/>
                <w:color w:val="000000"/>
                <w:w w:val="22"/>
                <w:sz w:val="20"/>
                <w:shd w:val="solid" w:color="000000" w:fill="000000"/>
                <w:fitText w:val="100" w:id="-1301087487"/>
                <w14:textFill>
                  <w14:solidFill>
                    <w14:srgbClr w14:val="000000">
                      <w14:alpha w14:val="100000"/>
                    </w14:srgbClr>
                  </w14:solidFill>
                </w14:textFill>
              </w:rPr>
              <w:t xml:space="preserve">　</w:t>
            </w:r>
            <w:r w:rsidRPr="007C55DC">
              <w:rPr>
                <w:rFonts w:ascii="Arial Narrow" w:eastAsiaTheme="majorEastAsia" w:hAnsi="Arial Narrow" w:cstheme="majorBidi"/>
                <w:b/>
                <w:color w:val="000000"/>
                <w:w w:val="22"/>
                <w:sz w:val="20"/>
                <w:shd w:val="solid" w:color="000000" w:fill="000000"/>
                <w:fitText w:val="100" w:id="-1301087487"/>
                <w14:textFill>
                  <w14:solidFill>
                    <w14:srgbClr w14:val="000000">
                      <w14:alpha w14:val="100000"/>
                    </w14:srgbClr>
                  </w14:solidFill>
                </w14:textFill>
              </w:rPr>
              <w:t>|</w:t>
            </w:r>
            <w:r w:rsidRPr="007C55DC">
              <w:rPr>
                <w:rFonts w:ascii="Arial Narrow" w:eastAsiaTheme="majorEastAsia" w:hAnsi="Arial Narrow" w:cstheme="majorBidi" w:hint="eastAsia"/>
                <w:b/>
                <w:color w:val="000000"/>
                <w:spacing w:val="2"/>
                <w:w w:val="22"/>
                <w:sz w:val="20"/>
                <w:shd w:val="solid" w:color="000000" w:fill="000000"/>
                <w:fitText w:val="100" w:id="-1301087487"/>
                <w14:textFill>
                  <w14:solidFill>
                    <w14:srgbClr w14:val="000000">
                      <w14:alpha w14:val="100000"/>
                    </w14:srgbClr>
                  </w14:solidFill>
                </w14:textFill>
              </w:rPr>
              <w:t xml:space="preserve">　</w:t>
            </w:r>
            <w:r w:rsidR="0063642F">
              <w:rPr>
                <w:rFonts w:ascii="Arial Narrow" w:eastAsiaTheme="majorEastAsia" w:hAnsi="Arial Narrow" w:cstheme="majorBidi"/>
                <w:bCs/>
                <w:sz w:val="20"/>
                <w:vertAlign w:val="superscript"/>
              </w:rPr>
              <w:t>3</w:t>
            </w:r>
          </w:p>
        </w:tc>
        <w:tc>
          <w:tcPr>
            <w:tcW w:w="611" w:type="pct"/>
            <w:shd w:val="clear" w:color="auto" w:fill="auto"/>
            <w:vAlign w:val="center"/>
          </w:tcPr>
          <w:p w14:paraId="40D51A75" w14:textId="57937B72" w:rsidR="003C04BA" w:rsidRPr="00B273AE" w:rsidRDefault="00C0674E" w:rsidP="003C04BA">
            <w:pPr>
              <w:keepNext/>
              <w:jc w:val="center"/>
              <w:rPr>
                <w:rFonts w:ascii="Arial Narrow" w:eastAsiaTheme="majorEastAsia" w:hAnsi="Arial Narrow" w:cstheme="majorBidi"/>
                <w:bCs/>
                <w:sz w:val="20"/>
                <w:highlight w:val="darkGray"/>
              </w:rPr>
            </w:pPr>
            <w:r w:rsidRPr="007C55DC">
              <w:rPr>
                <w:rFonts w:ascii="Arial Narrow" w:eastAsiaTheme="majorEastAsia" w:hAnsi="Arial Narrow" w:cstheme="majorBidi" w:hint="eastAsia"/>
                <w:b/>
                <w:color w:val="000000"/>
                <w:w w:val="22"/>
                <w:sz w:val="20"/>
                <w:shd w:val="solid" w:color="000000" w:fill="000000"/>
                <w:fitText w:val="100" w:id="-1301087486"/>
                <w14:textFill>
                  <w14:solidFill>
                    <w14:srgbClr w14:val="000000">
                      <w14:alpha w14:val="100000"/>
                    </w14:srgbClr>
                  </w14:solidFill>
                </w14:textFill>
              </w:rPr>
              <w:t xml:space="preserve">　</w:t>
            </w:r>
            <w:r w:rsidRPr="007C55DC">
              <w:rPr>
                <w:rFonts w:ascii="Arial Narrow" w:eastAsiaTheme="majorEastAsia" w:hAnsi="Arial Narrow" w:cstheme="majorBidi"/>
                <w:b/>
                <w:color w:val="000000"/>
                <w:w w:val="22"/>
                <w:sz w:val="20"/>
                <w:shd w:val="solid" w:color="000000" w:fill="000000"/>
                <w:fitText w:val="100" w:id="-1301087486"/>
                <w14:textFill>
                  <w14:solidFill>
                    <w14:srgbClr w14:val="000000">
                      <w14:alpha w14:val="100000"/>
                    </w14:srgbClr>
                  </w14:solidFill>
                </w14:textFill>
              </w:rPr>
              <w:t>|</w:t>
            </w:r>
            <w:r w:rsidRPr="007C55DC">
              <w:rPr>
                <w:rFonts w:ascii="Arial Narrow" w:eastAsiaTheme="majorEastAsia" w:hAnsi="Arial Narrow" w:cstheme="majorBidi" w:hint="eastAsia"/>
                <w:b/>
                <w:color w:val="000000"/>
                <w:spacing w:val="2"/>
                <w:w w:val="22"/>
                <w:sz w:val="20"/>
                <w:shd w:val="solid" w:color="000000" w:fill="000000"/>
                <w:fitText w:val="100" w:id="-1301087486"/>
                <w14:textFill>
                  <w14:solidFill>
                    <w14:srgbClr w14:val="000000">
                      <w14:alpha w14:val="100000"/>
                    </w14:srgbClr>
                  </w14:solidFill>
                </w14:textFill>
              </w:rPr>
              <w:t xml:space="preserve">　</w:t>
            </w:r>
            <w:r w:rsidR="0063642F">
              <w:rPr>
                <w:rFonts w:ascii="Arial Narrow" w:eastAsiaTheme="majorEastAsia" w:hAnsi="Arial Narrow" w:cstheme="majorBidi"/>
                <w:bCs/>
                <w:sz w:val="20"/>
                <w:vertAlign w:val="superscript"/>
              </w:rPr>
              <w:t>3</w:t>
            </w:r>
          </w:p>
        </w:tc>
        <w:tc>
          <w:tcPr>
            <w:tcW w:w="611" w:type="pct"/>
            <w:shd w:val="clear" w:color="auto" w:fill="auto"/>
            <w:vAlign w:val="center"/>
          </w:tcPr>
          <w:p w14:paraId="4A64CBE0" w14:textId="008182D4" w:rsidR="003C04BA" w:rsidRPr="00B273AE" w:rsidRDefault="00C0674E" w:rsidP="003C04BA">
            <w:pPr>
              <w:keepNext/>
              <w:jc w:val="center"/>
              <w:rPr>
                <w:rFonts w:ascii="Arial Narrow" w:eastAsiaTheme="majorEastAsia" w:hAnsi="Arial Narrow" w:cstheme="majorBidi"/>
                <w:bCs/>
                <w:sz w:val="20"/>
                <w:highlight w:val="darkGray"/>
              </w:rPr>
            </w:pPr>
            <w:r w:rsidRPr="007C55DC">
              <w:rPr>
                <w:rFonts w:ascii="Arial Narrow" w:eastAsiaTheme="majorEastAsia" w:hAnsi="Arial Narrow" w:cstheme="majorBidi" w:hint="eastAsia"/>
                <w:b/>
                <w:color w:val="000000"/>
                <w:w w:val="22"/>
                <w:sz w:val="20"/>
                <w:shd w:val="solid" w:color="000000" w:fill="000000"/>
                <w:fitText w:val="100" w:id="-1301087485"/>
                <w14:textFill>
                  <w14:solidFill>
                    <w14:srgbClr w14:val="000000">
                      <w14:alpha w14:val="100000"/>
                    </w14:srgbClr>
                  </w14:solidFill>
                </w14:textFill>
              </w:rPr>
              <w:t xml:space="preserve">　</w:t>
            </w:r>
            <w:r w:rsidRPr="007C55DC">
              <w:rPr>
                <w:rFonts w:ascii="Arial Narrow" w:eastAsiaTheme="majorEastAsia" w:hAnsi="Arial Narrow" w:cstheme="majorBidi"/>
                <w:b/>
                <w:color w:val="000000"/>
                <w:w w:val="22"/>
                <w:sz w:val="20"/>
                <w:shd w:val="solid" w:color="000000" w:fill="000000"/>
                <w:fitText w:val="100" w:id="-1301087485"/>
                <w14:textFill>
                  <w14:solidFill>
                    <w14:srgbClr w14:val="000000">
                      <w14:alpha w14:val="100000"/>
                    </w14:srgbClr>
                  </w14:solidFill>
                </w14:textFill>
              </w:rPr>
              <w:t>|</w:t>
            </w:r>
            <w:r w:rsidRPr="007C55DC">
              <w:rPr>
                <w:rFonts w:ascii="Arial Narrow" w:eastAsiaTheme="majorEastAsia" w:hAnsi="Arial Narrow" w:cstheme="majorBidi" w:hint="eastAsia"/>
                <w:b/>
                <w:color w:val="000000"/>
                <w:spacing w:val="2"/>
                <w:w w:val="22"/>
                <w:sz w:val="20"/>
                <w:shd w:val="solid" w:color="000000" w:fill="000000"/>
                <w:fitText w:val="100" w:id="-1301087485"/>
                <w14:textFill>
                  <w14:solidFill>
                    <w14:srgbClr w14:val="000000">
                      <w14:alpha w14:val="100000"/>
                    </w14:srgbClr>
                  </w14:solidFill>
                </w14:textFill>
              </w:rPr>
              <w:t xml:space="preserve">　</w:t>
            </w:r>
            <w:r w:rsidR="0063642F">
              <w:rPr>
                <w:rFonts w:ascii="Arial Narrow" w:eastAsiaTheme="majorEastAsia" w:hAnsi="Arial Narrow" w:cstheme="majorBidi"/>
                <w:bCs/>
                <w:sz w:val="20"/>
                <w:vertAlign w:val="superscript"/>
              </w:rPr>
              <w:t>3</w:t>
            </w:r>
          </w:p>
        </w:tc>
        <w:tc>
          <w:tcPr>
            <w:tcW w:w="611" w:type="pct"/>
            <w:vAlign w:val="center"/>
          </w:tcPr>
          <w:p w14:paraId="17EE3FB9" w14:textId="74E52324" w:rsidR="003C04BA" w:rsidRPr="00B273AE" w:rsidRDefault="00C0674E" w:rsidP="003C04BA">
            <w:pPr>
              <w:keepNext/>
              <w:jc w:val="center"/>
              <w:rPr>
                <w:rFonts w:ascii="Arial Narrow" w:eastAsiaTheme="majorEastAsia" w:hAnsi="Arial Narrow" w:cstheme="majorBidi"/>
                <w:bCs/>
                <w:sz w:val="20"/>
                <w:highlight w:val="darkGray"/>
              </w:rPr>
            </w:pPr>
            <w:r w:rsidRPr="007C55DC">
              <w:rPr>
                <w:rFonts w:ascii="Arial Narrow" w:eastAsiaTheme="majorEastAsia" w:hAnsi="Arial Narrow" w:cstheme="majorBidi" w:hint="eastAsia"/>
                <w:b/>
                <w:color w:val="000000"/>
                <w:w w:val="22"/>
                <w:sz w:val="20"/>
                <w:shd w:val="solid" w:color="000000" w:fill="000000"/>
                <w:fitText w:val="100" w:id="-1301087484"/>
                <w14:textFill>
                  <w14:solidFill>
                    <w14:srgbClr w14:val="000000">
                      <w14:alpha w14:val="100000"/>
                    </w14:srgbClr>
                  </w14:solidFill>
                </w14:textFill>
              </w:rPr>
              <w:t xml:space="preserve">　</w:t>
            </w:r>
            <w:r w:rsidRPr="007C55DC">
              <w:rPr>
                <w:rFonts w:ascii="Arial Narrow" w:eastAsiaTheme="majorEastAsia" w:hAnsi="Arial Narrow" w:cstheme="majorBidi"/>
                <w:b/>
                <w:color w:val="000000"/>
                <w:w w:val="22"/>
                <w:sz w:val="20"/>
                <w:shd w:val="solid" w:color="000000" w:fill="000000"/>
                <w:fitText w:val="100" w:id="-1301087484"/>
                <w14:textFill>
                  <w14:solidFill>
                    <w14:srgbClr w14:val="000000">
                      <w14:alpha w14:val="100000"/>
                    </w14:srgbClr>
                  </w14:solidFill>
                </w14:textFill>
              </w:rPr>
              <w:t>|</w:t>
            </w:r>
            <w:r w:rsidRPr="007C55DC">
              <w:rPr>
                <w:rFonts w:ascii="Arial Narrow" w:eastAsiaTheme="majorEastAsia" w:hAnsi="Arial Narrow" w:cstheme="majorBidi" w:hint="eastAsia"/>
                <w:b/>
                <w:color w:val="000000"/>
                <w:spacing w:val="2"/>
                <w:w w:val="22"/>
                <w:sz w:val="20"/>
                <w:shd w:val="solid" w:color="000000" w:fill="000000"/>
                <w:fitText w:val="100" w:id="-1301087484"/>
                <w14:textFill>
                  <w14:solidFill>
                    <w14:srgbClr w14:val="000000">
                      <w14:alpha w14:val="100000"/>
                    </w14:srgbClr>
                  </w14:solidFill>
                </w14:textFill>
              </w:rPr>
              <w:t xml:space="preserve">　</w:t>
            </w:r>
            <w:r w:rsidR="0063642F">
              <w:rPr>
                <w:rFonts w:ascii="Arial Narrow" w:eastAsiaTheme="majorEastAsia" w:hAnsi="Arial Narrow" w:cstheme="majorBidi"/>
                <w:bCs/>
                <w:sz w:val="20"/>
                <w:vertAlign w:val="superscript"/>
              </w:rPr>
              <w:t>3</w:t>
            </w:r>
          </w:p>
        </w:tc>
      </w:tr>
    </w:tbl>
    <w:p w14:paraId="27F803AE" w14:textId="77777777" w:rsidR="003C04BA" w:rsidRPr="003C04BA" w:rsidRDefault="003C04BA" w:rsidP="003C04BA">
      <w:pPr>
        <w:spacing w:after="120"/>
        <w:contextualSpacing/>
        <w:rPr>
          <w:rFonts w:ascii="Arial Narrow" w:hAnsi="Arial Narrow"/>
          <w:snapToGrid w:val="0"/>
          <w:sz w:val="18"/>
          <w:szCs w:val="22"/>
        </w:rPr>
      </w:pPr>
      <w:r w:rsidRPr="003C04BA">
        <w:rPr>
          <w:rFonts w:ascii="Arial Narrow" w:hAnsi="Arial Narrow"/>
          <w:snapToGrid w:val="0"/>
          <w:sz w:val="18"/>
          <w:szCs w:val="22"/>
        </w:rPr>
        <w:t xml:space="preserve">Source: Source: Table 97, p179; Table 114, p189 of the submission </w:t>
      </w:r>
    </w:p>
    <w:p w14:paraId="70B1F0DE" w14:textId="77777777" w:rsidR="003C04BA" w:rsidRPr="003C04BA" w:rsidRDefault="003C04BA" w:rsidP="003C04BA">
      <w:pPr>
        <w:spacing w:after="120"/>
        <w:contextualSpacing/>
        <w:rPr>
          <w:rFonts w:ascii="Arial Narrow" w:hAnsi="Arial Narrow"/>
          <w:snapToGrid w:val="0"/>
          <w:sz w:val="18"/>
          <w:szCs w:val="22"/>
        </w:rPr>
      </w:pPr>
      <w:r w:rsidRPr="003C04BA">
        <w:rPr>
          <w:rFonts w:ascii="Arial Narrow" w:hAnsi="Arial Narrow"/>
          <w:snapToGrid w:val="0"/>
          <w:sz w:val="18"/>
          <w:szCs w:val="22"/>
        </w:rPr>
        <w:t>Abbreviations: EC, enteric-coated; PBS, Pharmaceutical Benefits Scheme; RPBS, Repatriation Pharmaceutical Benefits Scheme.</w:t>
      </w:r>
    </w:p>
    <w:p w14:paraId="75725980" w14:textId="77777777" w:rsidR="003C04BA" w:rsidRPr="003C04BA" w:rsidRDefault="003C04BA" w:rsidP="003C04BA">
      <w:pPr>
        <w:spacing w:after="120"/>
        <w:contextualSpacing/>
        <w:rPr>
          <w:rFonts w:ascii="Arial Narrow" w:hAnsi="Arial Narrow"/>
          <w:snapToGrid w:val="0"/>
          <w:sz w:val="18"/>
          <w:szCs w:val="22"/>
        </w:rPr>
      </w:pPr>
      <w:r w:rsidRPr="003C04BA">
        <w:rPr>
          <w:rFonts w:ascii="Arial Narrow" w:hAnsi="Arial Narrow"/>
          <w:snapToGrid w:val="0"/>
          <w:sz w:val="18"/>
          <w:szCs w:val="22"/>
          <w:vertAlign w:val="superscript"/>
        </w:rPr>
        <w:t>a</w:t>
      </w:r>
      <w:r w:rsidRPr="003C04BA">
        <w:rPr>
          <w:rFonts w:ascii="Arial Narrow" w:hAnsi="Arial Narrow"/>
          <w:snapToGrid w:val="0"/>
          <w:sz w:val="18"/>
          <w:szCs w:val="22"/>
        </w:rPr>
        <w:t xml:space="preserve"> Assuming 9.78 scripts/patient/year as estimated in the submission.</w:t>
      </w:r>
    </w:p>
    <w:p w14:paraId="3EE07039" w14:textId="1BB06496" w:rsidR="003C04BA" w:rsidRDefault="003C04BA" w:rsidP="003C04BA">
      <w:pPr>
        <w:spacing w:after="120"/>
        <w:rPr>
          <w:rFonts w:ascii="Arial Narrow" w:hAnsi="Arial Narrow"/>
          <w:snapToGrid w:val="0"/>
          <w:sz w:val="18"/>
          <w:szCs w:val="22"/>
        </w:rPr>
      </w:pPr>
      <w:r w:rsidRPr="003C04BA">
        <w:rPr>
          <w:rFonts w:ascii="Arial Narrow" w:hAnsi="Arial Narrow"/>
          <w:snapToGrid w:val="0"/>
          <w:sz w:val="18"/>
          <w:szCs w:val="22"/>
          <w:vertAlign w:val="superscript"/>
        </w:rPr>
        <w:t>b</w:t>
      </w:r>
      <w:r w:rsidRPr="003C04BA">
        <w:rPr>
          <w:rFonts w:ascii="Arial Narrow" w:hAnsi="Arial Narrow"/>
          <w:snapToGrid w:val="0"/>
          <w:sz w:val="18"/>
          <w:szCs w:val="22"/>
        </w:rPr>
        <w:t xml:space="preserve"> Due to prevention of fractures with early risedronate EC treatment using outputs from the economic model</w:t>
      </w:r>
    </w:p>
    <w:p w14:paraId="7D087A4F" w14:textId="77777777" w:rsidR="00EF01C4" w:rsidRPr="009A6D58" w:rsidRDefault="00EF01C4" w:rsidP="00EF01C4">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4949295A" w14:textId="1E01189E" w:rsidR="00EF01C4" w:rsidRPr="009A6D58" w:rsidRDefault="00EF01C4" w:rsidP="00EF01C4">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EF01C4">
        <w:rPr>
          <w:rFonts w:ascii="Arial Narrow" w:hAnsi="Arial Narrow"/>
          <w:i/>
          <w:sz w:val="18"/>
          <w:szCs w:val="18"/>
        </w:rPr>
        <w:t>50,000 to &lt; 60,000</w:t>
      </w:r>
    </w:p>
    <w:p w14:paraId="16C436E4" w14:textId="792A7432" w:rsidR="00EF01C4" w:rsidRPr="009A6D58" w:rsidRDefault="00EF01C4" w:rsidP="00EF01C4">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EF01C4">
        <w:rPr>
          <w:rFonts w:ascii="Arial Narrow" w:hAnsi="Arial Narrow"/>
          <w:i/>
          <w:sz w:val="18"/>
          <w:szCs w:val="18"/>
        </w:rPr>
        <w:t>500,000 to &lt; 600,000</w:t>
      </w:r>
    </w:p>
    <w:p w14:paraId="007A9077" w14:textId="7AF59201" w:rsidR="00EF01C4" w:rsidRDefault="00EF01C4" w:rsidP="00EF01C4">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EF01C4">
        <w:rPr>
          <w:rFonts w:ascii="Arial Narrow" w:hAnsi="Arial Narrow"/>
          <w:i/>
          <w:sz w:val="18"/>
          <w:szCs w:val="18"/>
        </w:rPr>
        <w:t>$10 million to &lt; $20 million</w:t>
      </w:r>
    </w:p>
    <w:p w14:paraId="6AD5ABF1" w14:textId="3D6FF22E" w:rsidR="003C04BA" w:rsidRPr="00510454" w:rsidRDefault="00EF01C4" w:rsidP="00510454">
      <w:pPr>
        <w:spacing w:after="120"/>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63642F" w:rsidRPr="0063642F">
        <w:rPr>
          <w:rFonts w:ascii="Arial Narrow" w:hAnsi="Arial Narrow"/>
          <w:i/>
          <w:sz w:val="18"/>
          <w:szCs w:val="18"/>
        </w:rPr>
        <w:t>net cost saving</w:t>
      </w:r>
    </w:p>
    <w:p w14:paraId="6CEA2406" w14:textId="67ACF01A" w:rsidR="009753B2" w:rsidRPr="003C04BA" w:rsidRDefault="003C04BA" w:rsidP="003C04BA">
      <w:pPr>
        <w:numPr>
          <w:ilvl w:val="1"/>
          <w:numId w:val="1"/>
        </w:numPr>
        <w:spacing w:after="120"/>
        <w:ind w:left="720" w:hanging="720"/>
        <w:rPr>
          <w:rFonts w:asciiTheme="minorHAnsi" w:hAnsiTheme="minorHAnsi"/>
          <w:snapToGrid w:val="0"/>
        </w:rPr>
      </w:pPr>
      <w:r w:rsidRPr="003C04BA">
        <w:rPr>
          <w:rFonts w:asciiTheme="minorHAnsi" w:hAnsiTheme="minorHAnsi"/>
          <w:snapToGrid w:val="0"/>
        </w:rPr>
        <w:t xml:space="preserve">The estimated net cost to the PBS/RPBS for risedronate EC was </w:t>
      </w:r>
      <w:r w:rsidR="0063642F" w:rsidRPr="0063642F">
        <w:rPr>
          <w:rFonts w:asciiTheme="minorHAnsi" w:hAnsiTheme="minorHAnsi"/>
          <w:snapToGrid w:val="0"/>
        </w:rPr>
        <w:t>$10</w:t>
      </w:r>
      <w:r w:rsidR="00B87DF9">
        <w:rPr>
          <w:rFonts w:asciiTheme="minorHAnsi" w:hAnsiTheme="minorHAnsi"/>
          <w:snapToGrid w:val="0"/>
        </w:rPr>
        <w:t> </w:t>
      </w:r>
      <w:r w:rsidR="0063642F" w:rsidRPr="0063642F">
        <w:rPr>
          <w:rFonts w:asciiTheme="minorHAnsi" w:hAnsiTheme="minorHAnsi"/>
          <w:snapToGrid w:val="0"/>
        </w:rPr>
        <w:t>million</w:t>
      </w:r>
      <w:r w:rsidR="00B87DF9">
        <w:rPr>
          <w:rFonts w:asciiTheme="minorHAnsi" w:hAnsiTheme="minorHAnsi"/>
          <w:snapToGrid w:val="0"/>
        </w:rPr>
        <w:t> </w:t>
      </w:r>
      <w:r w:rsidR="0063642F" w:rsidRPr="0063642F">
        <w:rPr>
          <w:rFonts w:asciiTheme="minorHAnsi" w:hAnsiTheme="minorHAnsi"/>
          <w:snapToGrid w:val="0"/>
        </w:rPr>
        <w:t>to</w:t>
      </w:r>
      <w:r w:rsidR="00B87DF9">
        <w:rPr>
          <w:rFonts w:asciiTheme="minorHAnsi" w:hAnsiTheme="minorHAnsi"/>
          <w:snapToGrid w:val="0"/>
        </w:rPr>
        <w:t> </w:t>
      </w:r>
      <w:r w:rsidR="0063642F" w:rsidRPr="0063642F">
        <w:rPr>
          <w:rFonts w:asciiTheme="minorHAnsi" w:hAnsiTheme="minorHAnsi"/>
          <w:snapToGrid w:val="0"/>
        </w:rPr>
        <w:t>&lt;</w:t>
      </w:r>
      <w:r w:rsidR="00510454">
        <w:rPr>
          <w:rFonts w:asciiTheme="minorHAnsi" w:hAnsiTheme="minorHAnsi"/>
          <w:snapToGrid w:val="0"/>
        </w:rPr>
        <w:t> </w:t>
      </w:r>
      <w:r w:rsidR="0063642F" w:rsidRPr="0063642F">
        <w:rPr>
          <w:rFonts w:asciiTheme="minorHAnsi" w:hAnsiTheme="minorHAnsi"/>
          <w:snapToGrid w:val="0"/>
        </w:rPr>
        <w:t>$20</w:t>
      </w:r>
      <w:r w:rsidR="00510454">
        <w:rPr>
          <w:rFonts w:asciiTheme="minorHAnsi" w:hAnsiTheme="minorHAnsi"/>
          <w:snapToGrid w:val="0"/>
        </w:rPr>
        <w:t> </w:t>
      </w:r>
      <w:r w:rsidR="0063642F" w:rsidRPr="0063642F">
        <w:rPr>
          <w:rFonts w:asciiTheme="minorHAnsi" w:hAnsiTheme="minorHAnsi"/>
          <w:snapToGrid w:val="0"/>
        </w:rPr>
        <w:t>million</w:t>
      </w:r>
      <w:r w:rsidR="0063642F" w:rsidRPr="0063642F" w:rsidDel="0063642F">
        <w:rPr>
          <w:rFonts w:asciiTheme="minorHAnsi" w:hAnsiTheme="minorHAnsi"/>
          <w:snapToGrid w:val="0"/>
        </w:rPr>
        <w:t xml:space="preserve"> </w:t>
      </w:r>
      <w:r w:rsidRPr="003C04BA">
        <w:rPr>
          <w:rFonts w:asciiTheme="minorHAnsi" w:hAnsiTheme="minorHAnsi"/>
          <w:snapToGrid w:val="0"/>
        </w:rPr>
        <w:t xml:space="preserve">in Year 1, increasing to </w:t>
      </w:r>
      <w:r w:rsidR="0063642F" w:rsidRPr="0063642F">
        <w:rPr>
          <w:rFonts w:asciiTheme="minorHAnsi" w:hAnsiTheme="minorHAnsi"/>
          <w:snapToGrid w:val="0"/>
        </w:rPr>
        <w:t>$10</w:t>
      </w:r>
      <w:r w:rsidR="00400174">
        <w:rPr>
          <w:rFonts w:asciiTheme="minorHAnsi" w:hAnsiTheme="minorHAnsi"/>
          <w:snapToGrid w:val="0"/>
        </w:rPr>
        <w:t> </w:t>
      </w:r>
      <w:r w:rsidR="0063642F" w:rsidRPr="0063642F">
        <w:rPr>
          <w:rFonts w:asciiTheme="minorHAnsi" w:hAnsiTheme="minorHAnsi"/>
          <w:snapToGrid w:val="0"/>
        </w:rPr>
        <w:t>million</w:t>
      </w:r>
      <w:r w:rsidR="00400174">
        <w:rPr>
          <w:rFonts w:asciiTheme="minorHAnsi" w:hAnsiTheme="minorHAnsi"/>
          <w:snapToGrid w:val="0"/>
        </w:rPr>
        <w:t> </w:t>
      </w:r>
      <w:r w:rsidR="0063642F" w:rsidRPr="0063642F">
        <w:rPr>
          <w:rFonts w:asciiTheme="minorHAnsi" w:hAnsiTheme="minorHAnsi"/>
          <w:snapToGrid w:val="0"/>
        </w:rPr>
        <w:t>to</w:t>
      </w:r>
      <w:r w:rsidR="00400174">
        <w:rPr>
          <w:rFonts w:asciiTheme="minorHAnsi" w:hAnsiTheme="minorHAnsi"/>
          <w:snapToGrid w:val="0"/>
        </w:rPr>
        <w:t> </w:t>
      </w:r>
      <w:r w:rsidR="0063642F" w:rsidRPr="0063642F">
        <w:rPr>
          <w:rFonts w:asciiTheme="minorHAnsi" w:hAnsiTheme="minorHAnsi"/>
          <w:snapToGrid w:val="0"/>
        </w:rPr>
        <w:t>&lt;</w:t>
      </w:r>
      <w:r w:rsidR="00400174">
        <w:rPr>
          <w:rFonts w:asciiTheme="minorHAnsi" w:hAnsiTheme="minorHAnsi"/>
          <w:snapToGrid w:val="0"/>
        </w:rPr>
        <w:t> </w:t>
      </w:r>
      <w:r w:rsidR="0063642F" w:rsidRPr="0063642F">
        <w:rPr>
          <w:rFonts w:asciiTheme="minorHAnsi" w:hAnsiTheme="minorHAnsi"/>
          <w:snapToGrid w:val="0"/>
        </w:rPr>
        <w:t>$20 million</w:t>
      </w:r>
      <w:r w:rsidRPr="003C04BA">
        <w:rPr>
          <w:rFonts w:asciiTheme="minorHAnsi" w:hAnsiTheme="minorHAnsi"/>
          <w:snapToGrid w:val="0"/>
        </w:rPr>
        <w:t xml:space="preserve"> in Year 6, with a cumulative total of </w:t>
      </w:r>
      <w:r w:rsidR="0063642F" w:rsidRPr="0063642F">
        <w:rPr>
          <w:rFonts w:asciiTheme="minorHAnsi" w:hAnsiTheme="minorHAnsi"/>
          <w:snapToGrid w:val="0"/>
        </w:rPr>
        <w:t>$90 million</w:t>
      </w:r>
      <w:r w:rsidR="00B87DF9">
        <w:rPr>
          <w:rFonts w:asciiTheme="minorHAnsi" w:hAnsiTheme="minorHAnsi"/>
          <w:snapToGrid w:val="0"/>
        </w:rPr>
        <w:t> </w:t>
      </w:r>
      <w:r w:rsidR="0063642F" w:rsidRPr="0063642F">
        <w:rPr>
          <w:rFonts w:asciiTheme="minorHAnsi" w:hAnsiTheme="minorHAnsi"/>
          <w:snapToGrid w:val="0"/>
        </w:rPr>
        <w:t>to</w:t>
      </w:r>
      <w:r w:rsidR="00B87DF9">
        <w:rPr>
          <w:rFonts w:asciiTheme="minorHAnsi" w:hAnsiTheme="minorHAnsi"/>
          <w:snapToGrid w:val="0"/>
        </w:rPr>
        <w:t> </w:t>
      </w:r>
      <w:r w:rsidR="0063642F" w:rsidRPr="0063642F">
        <w:rPr>
          <w:rFonts w:asciiTheme="minorHAnsi" w:hAnsiTheme="minorHAnsi"/>
          <w:snapToGrid w:val="0"/>
        </w:rPr>
        <w:t>&lt;</w:t>
      </w:r>
      <w:r w:rsidR="00B87DF9">
        <w:rPr>
          <w:rFonts w:asciiTheme="minorHAnsi" w:hAnsiTheme="minorHAnsi"/>
          <w:snapToGrid w:val="0"/>
        </w:rPr>
        <w:t> </w:t>
      </w:r>
      <w:r w:rsidR="0063642F" w:rsidRPr="0063642F">
        <w:rPr>
          <w:rFonts w:asciiTheme="minorHAnsi" w:hAnsiTheme="minorHAnsi"/>
          <w:snapToGrid w:val="0"/>
        </w:rPr>
        <w:t>$100 million</w:t>
      </w:r>
      <w:r w:rsidRPr="003C04BA">
        <w:rPr>
          <w:rFonts w:asciiTheme="minorHAnsi" w:hAnsiTheme="minorHAnsi"/>
          <w:snapToGrid w:val="0"/>
        </w:rPr>
        <w:t xml:space="preserve"> over the first 6 years of listing.</w:t>
      </w:r>
    </w:p>
    <w:p w14:paraId="589A760D" w14:textId="77777777" w:rsidR="006B5200" w:rsidRPr="00DC4D12" w:rsidRDefault="006B5200" w:rsidP="00DC4D12">
      <w:pPr>
        <w:numPr>
          <w:ilvl w:val="1"/>
          <w:numId w:val="1"/>
        </w:numPr>
        <w:spacing w:after="120"/>
        <w:ind w:left="720" w:hanging="720"/>
        <w:rPr>
          <w:rFonts w:asciiTheme="minorHAnsi" w:hAnsiTheme="minorHAnsi"/>
          <w:snapToGrid w:val="0"/>
          <w:lang w:eastAsia="en-US"/>
        </w:rPr>
      </w:pPr>
      <w:bookmarkStart w:id="65" w:name="_Ref120530436"/>
      <w:r w:rsidRPr="00DC4D12">
        <w:rPr>
          <w:rFonts w:asciiTheme="minorHAnsi" w:hAnsiTheme="minorHAnsi"/>
          <w:snapToGrid w:val="0"/>
          <w:lang w:eastAsia="en-US"/>
        </w:rPr>
        <w:t>DUSC considers the estimates presented in the submission to be uncertain. The main issues are:</w:t>
      </w:r>
      <w:bookmarkEnd w:id="65"/>
    </w:p>
    <w:p w14:paraId="38AFBBA5" w14:textId="1DDDD519" w:rsidR="006B5200" w:rsidRPr="00DC4D12" w:rsidRDefault="006B5200" w:rsidP="00DC4D12">
      <w:pPr>
        <w:pStyle w:val="COMexecsummbulletlist"/>
        <w:spacing w:after="0"/>
        <w:ind w:left="1134"/>
      </w:pPr>
      <w:r w:rsidRPr="006B5200">
        <w:t>The financial estimates were highly uncertain given the lack of any credible estimates of the use of BMD screening in patients &lt;70 years of age without prior fracture, which is currently not subsidised through the</w:t>
      </w:r>
      <w:r w:rsidR="0069496F">
        <w:t xml:space="preserve"> </w:t>
      </w:r>
      <w:r w:rsidRPr="006B5200">
        <w:t xml:space="preserve">MBS. The expected utilisation of risedronate EC in younger patients is difficult to quantify without this information. </w:t>
      </w:r>
    </w:p>
    <w:p w14:paraId="48BE8A7F" w14:textId="6A6B1FBC" w:rsidR="006B5200" w:rsidRPr="00DC4D12" w:rsidRDefault="006B5200" w:rsidP="00DC4D12">
      <w:pPr>
        <w:pStyle w:val="COMexecsummbulletlist"/>
        <w:spacing w:after="0"/>
        <w:ind w:left="1134"/>
      </w:pPr>
      <w:r w:rsidRPr="00DC4D12">
        <w:t xml:space="preserve">The eligible population based on prevalence data </w:t>
      </w:r>
      <w:r w:rsidR="002C2EC6">
        <w:t xml:space="preserve">in those aged 50-69 years </w:t>
      </w:r>
      <w:r w:rsidRPr="00DC4D12">
        <w:t xml:space="preserve">would be 500,000 persons. There is a risk that the utilisation of risedronate EC may be substantially higher than predicted if diagnosis rates are targeted, and it is likely that if other preferred osteoporosis medicines are listed the market would also be larger than predicted for risedronate EC. </w:t>
      </w:r>
    </w:p>
    <w:p w14:paraId="50D41702" w14:textId="77777777" w:rsidR="006B5200" w:rsidRPr="006B5200" w:rsidRDefault="006B5200" w:rsidP="00DC4D12">
      <w:pPr>
        <w:pStyle w:val="COMexecsummbulletlist"/>
        <w:spacing w:after="0"/>
        <w:ind w:left="1134"/>
      </w:pPr>
      <w:r w:rsidRPr="00DC4D12">
        <w:t>Circumstances of use in the budget impact model were based on an assumed one-year duration of risedronate EC treatment. Although this reflects treatment durations in the key fracture outcome trials, persistence estimates from available utilisation data show longer durations than this, and there was assumed perfect persistence of up to 20 years in the economic analysis which suggest patients may be treated for longer than one year. Treatment durations longer than one year should not be applied to prevalence estimates.</w:t>
      </w:r>
    </w:p>
    <w:p w14:paraId="73837EA4" w14:textId="77777777" w:rsidR="006B5200" w:rsidRPr="00DC4D12" w:rsidRDefault="006B5200" w:rsidP="00DC4D12">
      <w:pPr>
        <w:pStyle w:val="COMexecsummbulletlist"/>
        <w:spacing w:after="0"/>
        <w:ind w:left="1134"/>
      </w:pPr>
      <w:r w:rsidRPr="00DC4D12">
        <w:t>The treatment uptake rates were likely overestimated as:</w:t>
      </w:r>
    </w:p>
    <w:p w14:paraId="169E4E65" w14:textId="77777777" w:rsidR="006B5200" w:rsidRPr="00DC4D12" w:rsidRDefault="006B5200" w:rsidP="006B5200">
      <w:pPr>
        <w:numPr>
          <w:ilvl w:val="1"/>
          <w:numId w:val="29"/>
        </w:numPr>
        <w:contextualSpacing/>
        <w:rPr>
          <w:rFonts w:asciiTheme="minorHAnsi" w:hAnsiTheme="minorHAnsi"/>
          <w:snapToGrid w:val="0"/>
          <w:lang w:eastAsia="en-US"/>
        </w:rPr>
      </w:pPr>
      <w:r w:rsidRPr="00DC4D12">
        <w:rPr>
          <w:rFonts w:asciiTheme="minorHAnsi" w:hAnsiTheme="minorHAnsi"/>
          <w:snapToGrid w:val="0"/>
          <w:lang w:eastAsia="en-US"/>
        </w:rPr>
        <w:t xml:space="preserve">They were based on the uptake of osteoporosis medicines in PBS patients, the majority of who likely had prior fracture. Younger patients who haven’t experienced a prior fracture may be more likely and capable of increasing their regular exercise to delay initiation of medication. </w:t>
      </w:r>
    </w:p>
    <w:p w14:paraId="783B38EE" w14:textId="0D4B0B3C" w:rsidR="003C04BA" w:rsidRDefault="006B5200" w:rsidP="009753B2">
      <w:pPr>
        <w:numPr>
          <w:ilvl w:val="1"/>
          <w:numId w:val="29"/>
        </w:numPr>
        <w:spacing w:after="240"/>
        <w:ind w:left="1434" w:hanging="357"/>
        <w:contextualSpacing/>
        <w:rPr>
          <w:rFonts w:asciiTheme="minorHAnsi" w:hAnsiTheme="minorHAnsi"/>
          <w:snapToGrid w:val="0"/>
          <w:lang w:eastAsia="en-US"/>
        </w:rPr>
      </w:pPr>
      <w:r w:rsidRPr="00DC4D12">
        <w:rPr>
          <w:rFonts w:asciiTheme="minorHAnsi" w:hAnsiTheme="minorHAnsi"/>
          <w:snapToGrid w:val="0"/>
          <w:lang w:eastAsia="en-US"/>
        </w:rPr>
        <w:t>Patients who do decide to initiate treatment may have a preference for medicines other than risedronate EC as private prescriptions.</w:t>
      </w:r>
    </w:p>
    <w:p w14:paraId="12FABC1D" w14:textId="77777777" w:rsidR="009753B2" w:rsidRPr="00DC4D12" w:rsidRDefault="009753B2" w:rsidP="00DC4D12">
      <w:pPr>
        <w:spacing w:after="240"/>
        <w:ind w:left="1434"/>
        <w:contextualSpacing/>
        <w:rPr>
          <w:rFonts w:asciiTheme="minorHAnsi" w:hAnsiTheme="minorHAnsi"/>
          <w:snapToGrid w:val="0"/>
          <w:sz w:val="16"/>
          <w:szCs w:val="16"/>
          <w:lang w:eastAsia="en-US"/>
        </w:rPr>
      </w:pPr>
    </w:p>
    <w:p w14:paraId="6E6D32EF" w14:textId="05CB36E8" w:rsidR="00E275F7" w:rsidRDefault="00E275F7" w:rsidP="00DC4D12">
      <w:pPr>
        <w:numPr>
          <w:ilvl w:val="1"/>
          <w:numId w:val="1"/>
        </w:numPr>
        <w:spacing w:before="240" w:after="120"/>
        <w:ind w:left="720" w:hanging="720"/>
        <w:rPr>
          <w:rFonts w:asciiTheme="minorHAnsi" w:hAnsiTheme="minorHAnsi"/>
          <w:snapToGrid w:val="0"/>
        </w:rPr>
      </w:pPr>
      <w:r w:rsidRPr="00DC4D12">
        <w:rPr>
          <w:rFonts w:asciiTheme="minorHAnsi" w:hAnsiTheme="minorHAnsi"/>
          <w:snapToGrid w:val="0"/>
        </w:rPr>
        <w:t xml:space="preserve">The Pre-PBAC Response acknowledged the view of the evaluation and DUSC of the challenges in developing financial estimates for the proposed population due to the lack of information on the use of BMD screening in patients younger than 70 years of age. The </w:t>
      </w:r>
      <w:r w:rsidR="009753B2">
        <w:rPr>
          <w:rFonts w:asciiTheme="minorHAnsi" w:hAnsiTheme="minorHAnsi"/>
          <w:snapToGrid w:val="0"/>
        </w:rPr>
        <w:t xml:space="preserve">response </w:t>
      </w:r>
      <w:r w:rsidRPr="00DC4D12">
        <w:rPr>
          <w:rFonts w:asciiTheme="minorHAnsi" w:hAnsiTheme="minorHAnsi"/>
          <w:snapToGrid w:val="0"/>
        </w:rPr>
        <w:t>acknowledged the view of the DUSC that diagnosis and uptake will depend on the MBS and PBS criteria to target potentially osteoporotic patients at high risk of a first fracture, and advised it was willing to work with the Department to develop revised utilisation and financial estimates.</w:t>
      </w:r>
    </w:p>
    <w:p w14:paraId="4B9C43C9" w14:textId="59403618" w:rsidR="00E275F7" w:rsidRPr="009753B2" w:rsidRDefault="002C2EC6" w:rsidP="00DC4D12">
      <w:pPr>
        <w:numPr>
          <w:ilvl w:val="1"/>
          <w:numId w:val="1"/>
        </w:numPr>
        <w:spacing w:before="240" w:after="120"/>
        <w:ind w:left="720" w:hanging="720"/>
        <w:rPr>
          <w:rFonts w:asciiTheme="minorHAnsi" w:hAnsiTheme="minorHAnsi"/>
          <w:i/>
          <w:iCs/>
          <w:snapToGrid w:val="0"/>
          <w:lang w:eastAsia="en-US"/>
        </w:rPr>
      </w:pPr>
      <w:r>
        <w:rPr>
          <w:rFonts w:asciiTheme="minorHAnsi" w:hAnsiTheme="minorHAnsi"/>
          <w:snapToGrid w:val="0"/>
        </w:rPr>
        <w:t xml:space="preserve">The PBAC noted the financial estimates presented in the submission were </w:t>
      </w:r>
      <w:r w:rsidRPr="00966B2C">
        <w:rPr>
          <w:rFonts w:asciiTheme="minorHAnsi" w:hAnsiTheme="minorHAnsi"/>
          <w:bCs/>
          <w:snapToGrid w:val="0"/>
        </w:rPr>
        <w:t>based on the 50–69-year-old population</w:t>
      </w:r>
      <w:r>
        <w:rPr>
          <w:rFonts w:asciiTheme="minorHAnsi" w:hAnsiTheme="minorHAnsi"/>
          <w:bCs/>
          <w:snapToGrid w:val="0"/>
        </w:rPr>
        <w:t xml:space="preserve">. </w:t>
      </w:r>
      <w:r w:rsidR="002E02BE">
        <w:rPr>
          <w:rFonts w:asciiTheme="minorHAnsi" w:hAnsiTheme="minorHAnsi"/>
          <w:bCs/>
          <w:snapToGrid w:val="0"/>
        </w:rPr>
        <w:t xml:space="preserve">The PBAC noted the submission did not consider the costs associated with BMD testing in the additional population in the financial estimates. </w:t>
      </w:r>
    </w:p>
    <w:p w14:paraId="2B0AF657" w14:textId="77777777" w:rsidR="003C04BA" w:rsidRPr="003C04BA" w:rsidRDefault="003C04BA" w:rsidP="003C04BA">
      <w:pPr>
        <w:keepNext/>
        <w:spacing w:before="120" w:after="120"/>
        <w:jc w:val="left"/>
        <w:outlineLvl w:val="1"/>
        <w:rPr>
          <w:rFonts w:asciiTheme="minorHAnsi" w:eastAsiaTheme="majorEastAsia" w:hAnsiTheme="minorHAnsi" w:cstheme="majorBidi"/>
          <w:b/>
          <w:i/>
          <w:spacing w:val="5"/>
          <w:kern w:val="28"/>
          <w:sz w:val="28"/>
          <w:szCs w:val="36"/>
        </w:rPr>
      </w:pPr>
      <w:bookmarkStart w:id="66" w:name="_Toc22897648"/>
      <w:bookmarkStart w:id="67" w:name="_Toc113980160"/>
      <w:r w:rsidRPr="003C04BA">
        <w:rPr>
          <w:rFonts w:asciiTheme="minorHAnsi" w:eastAsiaTheme="majorEastAsia" w:hAnsiTheme="minorHAnsi" w:cstheme="majorBidi"/>
          <w:b/>
          <w:i/>
          <w:spacing w:val="5"/>
          <w:kern w:val="28"/>
          <w:sz w:val="28"/>
          <w:szCs w:val="36"/>
        </w:rPr>
        <w:t>Quality Use of Medicines</w:t>
      </w:r>
      <w:bookmarkEnd w:id="66"/>
      <w:bookmarkEnd w:id="67"/>
    </w:p>
    <w:p w14:paraId="5E993F92" w14:textId="77777777" w:rsidR="003C04BA" w:rsidRPr="003C04BA" w:rsidRDefault="003C04BA" w:rsidP="003C04BA">
      <w:pPr>
        <w:numPr>
          <w:ilvl w:val="1"/>
          <w:numId w:val="1"/>
        </w:numPr>
        <w:spacing w:after="120"/>
        <w:ind w:left="720" w:hanging="720"/>
        <w:rPr>
          <w:rFonts w:asciiTheme="minorHAnsi" w:hAnsiTheme="minorHAnsi"/>
          <w:snapToGrid w:val="0"/>
        </w:rPr>
      </w:pPr>
      <w:r w:rsidRPr="003C04BA">
        <w:rPr>
          <w:rFonts w:asciiTheme="minorHAnsi" w:hAnsiTheme="minorHAnsi"/>
          <w:snapToGrid w:val="0"/>
        </w:rPr>
        <w:t>The submission stated the sponsor is actively involved in a range of quality use of medicines activities to improve the diagnosis and treatment of osteoporosis in Australia.</w:t>
      </w:r>
    </w:p>
    <w:p w14:paraId="6015A395" w14:textId="48A4E6B9" w:rsidR="00576972" w:rsidRPr="002E14F6" w:rsidRDefault="00576972" w:rsidP="00606FBA">
      <w:pPr>
        <w:pStyle w:val="COMH2-non-numbered"/>
      </w:pPr>
      <w:r w:rsidRPr="002E14F6">
        <w:t>Financial Management – Risk Sharing Arrangements</w:t>
      </w:r>
      <w:bookmarkEnd w:id="61"/>
      <w:bookmarkEnd w:id="62"/>
    </w:p>
    <w:p w14:paraId="4ECB9F3F" w14:textId="38E64F22" w:rsidR="003D4009" w:rsidRPr="00486A7A" w:rsidRDefault="003D4009" w:rsidP="00486A7A">
      <w:pPr>
        <w:widowControl w:val="0"/>
        <w:numPr>
          <w:ilvl w:val="1"/>
          <w:numId w:val="1"/>
        </w:numPr>
        <w:spacing w:after="120"/>
        <w:ind w:left="720" w:hanging="720"/>
        <w:rPr>
          <w:rFonts w:asciiTheme="minorHAnsi" w:hAnsiTheme="minorHAnsi"/>
          <w:snapToGrid w:val="0"/>
          <w:lang w:val="en-GB" w:eastAsia="en-US"/>
        </w:rPr>
      </w:pPr>
      <w:r w:rsidRPr="00486A7A">
        <w:rPr>
          <w:rFonts w:asciiTheme="minorHAnsi" w:hAnsiTheme="minorHAnsi"/>
          <w:snapToGrid w:val="0"/>
          <w:lang w:val="en-GB" w:eastAsia="en-US"/>
        </w:rPr>
        <w:t>The submission did not propose a risk-sharing arrangement. The submission claimed that the sponsor is willing to discuss management options but considered that financial caps based on utilisation would not be consistent with the objective of increasing the rates of diagnosis and treatment for osteoporosis as outlined in the National Strategy on Osteoporosis (Australian Department of Health, 2019).</w:t>
      </w:r>
    </w:p>
    <w:p w14:paraId="2EB606B8" w14:textId="2721D3E5" w:rsidR="00D17225" w:rsidRPr="00D17225" w:rsidRDefault="00D17225" w:rsidP="004B1117">
      <w:pPr>
        <w:pStyle w:val="COMBody"/>
        <w:ind w:left="709"/>
      </w:pPr>
      <w:r w:rsidRPr="00D17225">
        <w:rPr>
          <w:i/>
          <w:iCs/>
        </w:rPr>
        <w:t>For more detail on PBAC’s view, see section 7 PBAC outcome.</w:t>
      </w:r>
    </w:p>
    <w:p w14:paraId="698B17A0" w14:textId="77777777" w:rsidR="006B5200" w:rsidRPr="00D84ECA" w:rsidRDefault="006B5200" w:rsidP="00D84ECA">
      <w:pPr>
        <w:pStyle w:val="COMH1numbered"/>
      </w:pPr>
      <w:bookmarkStart w:id="68" w:name="_Hlk76381249"/>
      <w:bookmarkStart w:id="69" w:name="_Hlk76377955"/>
      <w:r w:rsidRPr="006B5200">
        <w:t>PBAC Outcome</w:t>
      </w:r>
    </w:p>
    <w:p w14:paraId="18164166" w14:textId="30DDC837" w:rsidR="006B5200" w:rsidRPr="006B5200" w:rsidRDefault="0027654B" w:rsidP="00B15F1F">
      <w:pPr>
        <w:widowControl w:val="0"/>
        <w:numPr>
          <w:ilvl w:val="1"/>
          <w:numId w:val="1"/>
        </w:numPr>
        <w:spacing w:after="120"/>
        <w:ind w:left="720" w:hanging="720"/>
        <w:rPr>
          <w:rFonts w:asciiTheme="minorHAnsi" w:hAnsiTheme="minorHAnsi"/>
          <w:snapToGrid w:val="0"/>
          <w:lang w:val="en-GB" w:eastAsia="en-US"/>
        </w:rPr>
      </w:pPr>
      <w:bookmarkStart w:id="70" w:name="_Hlk111543188"/>
      <w:r>
        <w:rPr>
          <w:rFonts w:asciiTheme="minorHAnsi" w:hAnsiTheme="minorHAnsi"/>
          <w:snapToGrid w:val="0"/>
          <w:lang w:val="en-GB" w:eastAsia="en-US"/>
        </w:rPr>
        <w:t>The PBAC deferred making a recommendation to amend the current age restriction on the PBS listing of risedronic acid (risedronate) for primary prevention</w:t>
      </w:r>
      <w:r w:rsidR="00185747">
        <w:rPr>
          <w:rFonts w:asciiTheme="minorHAnsi" w:hAnsiTheme="minorHAnsi"/>
          <w:snapToGrid w:val="0"/>
          <w:lang w:val="en-GB" w:eastAsia="en-US"/>
        </w:rPr>
        <w:t xml:space="preserve"> of fracture in patients with a bone mineral density (BMD) T-score of -2.5 or less</w:t>
      </w:r>
      <w:r w:rsidR="00020427">
        <w:rPr>
          <w:rFonts w:asciiTheme="minorHAnsi" w:hAnsiTheme="minorHAnsi"/>
          <w:snapToGrid w:val="0"/>
          <w:lang w:val="en-GB" w:eastAsia="en-US"/>
        </w:rPr>
        <w:t xml:space="preserve">. </w:t>
      </w:r>
      <w:r>
        <w:rPr>
          <w:rFonts w:asciiTheme="minorHAnsi" w:hAnsiTheme="minorHAnsi"/>
          <w:snapToGrid w:val="0"/>
          <w:lang w:val="en-GB" w:eastAsia="en-US"/>
        </w:rPr>
        <w:t xml:space="preserve">The PBAC advised it was of a mind to </w:t>
      </w:r>
      <w:r w:rsidR="00185747">
        <w:rPr>
          <w:rFonts w:asciiTheme="minorHAnsi" w:hAnsiTheme="minorHAnsi"/>
          <w:snapToGrid w:val="0"/>
          <w:lang w:val="en-GB" w:eastAsia="en-US"/>
        </w:rPr>
        <w:t>support amending the current age restriction of risedronate from patients aged 70 years and older, to patients aged 60 years</w:t>
      </w:r>
      <w:r w:rsidR="003433BC">
        <w:rPr>
          <w:rFonts w:asciiTheme="minorHAnsi" w:hAnsiTheme="minorHAnsi"/>
          <w:snapToGrid w:val="0"/>
          <w:lang w:val="en-GB" w:eastAsia="en-US"/>
        </w:rPr>
        <w:t xml:space="preserve"> based on the fracture risk in these patients</w:t>
      </w:r>
      <w:r w:rsidR="00463C25">
        <w:rPr>
          <w:rFonts w:asciiTheme="minorHAnsi" w:hAnsiTheme="minorHAnsi"/>
          <w:snapToGrid w:val="0"/>
          <w:lang w:val="en-GB" w:eastAsia="en-US"/>
        </w:rPr>
        <w:t>. However</w:t>
      </w:r>
      <w:r w:rsidR="00C06498">
        <w:rPr>
          <w:rFonts w:asciiTheme="minorHAnsi" w:hAnsiTheme="minorHAnsi"/>
          <w:snapToGrid w:val="0"/>
          <w:lang w:val="en-GB" w:eastAsia="en-US"/>
        </w:rPr>
        <w:t xml:space="preserve">, </w:t>
      </w:r>
      <w:r w:rsidR="00463C25">
        <w:rPr>
          <w:rFonts w:asciiTheme="minorHAnsi" w:hAnsiTheme="minorHAnsi"/>
          <w:snapToGrid w:val="0"/>
          <w:lang w:val="en-GB" w:eastAsia="en-US"/>
        </w:rPr>
        <w:t>the PBAC</w:t>
      </w:r>
      <w:r w:rsidR="00020427">
        <w:rPr>
          <w:rFonts w:asciiTheme="minorHAnsi" w:hAnsiTheme="minorHAnsi"/>
          <w:snapToGrid w:val="0"/>
          <w:lang w:val="en-GB" w:eastAsia="en-US"/>
        </w:rPr>
        <w:t xml:space="preserve"> deferred consideration pending a review of the Medical Benefits Scheme (MBS) implications, to ensure that the bone densitometry MBS items could be aligned with the PBAC recommendations</w:t>
      </w:r>
      <w:r w:rsidR="00C06498">
        <w:rPr>
          <w:rFonts w:asciiTheme="minorHAnsi" w:hAnsiTheme="minorHAnsi"/>
          <w:snapToGrid w:val="0"/>
          <w:lang w:val="en-GB" w:eastAsia="en-US"/>
        </w:rPr>
        <w:t>.</w:t>
      </w:r>
      <w:r w:rsidR="00020427">
        <w:rPr>
          <w:rFonts w:asciiTheme="minorHAnsi" w:hAnsiTheme="minorHAnsi"/>
          <w:snapToGrid w:val="0"/>
          <w:lang w:val="en-GB" w:eastAsia="en-US"/>
        </w:rPr>
        <w:t xml:space="preserve"> </w:t>
      </w:r>
      <w:r w:rsidR="003433BC">
        <w:rPr>
          <w:rFonts w:asciiTheme="minorHAnsi" w:hAnsiTheme="minorHAnsi"/>
          <w:snapToGrid w:val="0"/>
          <w:lang w:val="en-GB" w:eastAsia="en-US"/>
        </w:rPr>
        <w:t>The PBAC noted the cost-effectiveness of risedronate for the expanded population</w:t>
      </w:r>
      <w:r w:rsidR="005E3ECE">
        <w:rPr>
          <w:rFonts w:asciiTheme="minorHAnsi" w:hAnsiTheme="minorHAnsi"/>
          <w:snapToGrid w:val="0"/>
          <w:lang w:val="en-GB" w:eastAsia="en-US"/>
        </w:rPr>
        <w:t xml:space="preserve"> needs to be assessed considering the absolute fracture risk in these patients, the cost of alternative therapies and the impact of BMD screening</w:t>
      </w:r>
      <w:r w:rsidR="003433BC">
        <w:rPr>
          <w:rFonts w:asciiTheme="minorHAnsi" w:hAnsiTheme="minorHAnsi"/>
          <w:snapToGrid w:val="0"/>
          <w:lang w:val="en-GB" w:eastAsia="en-US"/>
        </w:rPr>
        <w:t>.</w:t>
      </w:r>
    </w:p>
    <w:bookmarkEnd w:id="70"/>
    <w:p w14:paraId="1844FC47" w14:textId="45C3A588" w:rsidR="006B5200" w:rsidRPr="001F544F" w:rsidRDefault="001F544F" w:rsidP="001F544F">
      <w:pPr>
        <w:widowControl w:val="0"/>
        <w:numPr>
          <w:ilvl w:val="1"/>
          <w:numId w:val="1"/>
        </w:numPr>
        <w:spacing w:after="120"/>
        <w:ind w:left="720" w:hanging="720"/>
        <w:rPr>
          <w:rFonts w:asciiTheme="minorHAnsi" w:hAnsiTheme="minorHAnsi"/>
          <w:snapToGrid w:val="0"/>
          <w:lang w:val="en-GB" w:eastAsia="en-US"/>
        </w:rPr>
      </w:pPr>
      <w:r w:rsidRPr="004B1117">
        <w:rPr>
          <w:rFonts w:asciiTheme="minorHAnsi" w:hAnsiTheme="minorHAnsi"/>
          <w:bCs/>
          <w:snapToGrid w:val="0"/>
        </w:rPr>
        <w:t xml:space="preserve">The PBAC noted </w:t>
      </w:r>
      <w:r w:rsidR="00B42511">
        <w:rPr>
          <w:rFonts w:asciiTheme="minorHAnsi" w:hAnsiTheme="minorHAnsi"/>
          <w:bCs/>
          <w:snapToGrid w:val="0"/>
        </w:rPr>
        <w:t xml:space="preserve">that while input from </w:t>
      </w:r>
      <w:r w:rsidRPr="004B1117">
        <w:rPr>
          <w:rFonts w:asciiTheme="minorHAnsi" w:hAnsiTheme="minorHAnsi"/>
          <w:bCs/>
          <w:snapToGrid w:val="0"/>
        </w:rPr>
        <w:t>specialist medical organisations including the Australian and New Zealand Bone and Mineral Society, the Endocrine Society of Australia, and the Royal Australian and New Zealand College of Obstetricians and Gynaecologists</w:t>
      </w:r>
      <w:r w:rsidR="005F7525">
        <w:rPr>
          <w:rFonts w:asciiTheme="minorHAnsi" w:hAnsiTheme="minorHAnsi"/>
          <w:bCs/>
          <w:snapToGrid w:val="0"/>
        </w:rPr>
        <w:t xml:space="preserve"> </w:t>
      </w:r>
      <w:r w:rsidR="00B42511">
        <w:rPr>
          <w:rFonts w:asciiTheme="minorHAnsi" w:hAnsiTheme="minorHAnsi"/>
          <w:bCs/>
          <w:snapToGrid w:val="0"/>
        </w:rPr>
        <w:t>supported amending the lower age restriction of the</w:t>
      </w:r>
      <w:r w:rsidR="005F7525">
        <w:rPr>
          <w:rFonts w:asciiTheme="minorHAnsi" w:hAnsiTheme="minorHAnsi"/>
          <w:bCs/>
          <w:snapToGrid w:val="0"/>
        </w:rPr>
        <w:t xml:space="preserve"> current</w:t>
      </w:r>
      <w:r w:rsidR="00B42511">
        <w:rPr>
          <w:rFonts w:asciiTheme="minorHAnsi" w:hAnsiTheme="minorHAnsi"/>
          <w:bCs/>
          <w:snapToGrid w:val="0"/>
        </w:rPr>
        <w:t xml:space="preserve"> risedronate </w:t>
      </w:r>
      <w:r w:rsidR="005F7525">
        <w:rPr>
          <w:rFonts w:asciiTheme="minorHAnsi" w:hAnsiTheme="minorHAnsi"/>
          <w:bCs/>
          <w:snapToGrid w:val="0"/>
        </w:rPr>
        <w:t>listing</w:t>
      </w:r>
      <w:r w:rsidR="00B42511">
        <w:rPr>
          <w:rFonts w:asciiTheme="minorHAnsi" w:hAnsiTheme="minorHAnsi"/>
          <w:bCs/>
          <w:snapToGrid w:val="0"/>
        </w:rPr>
        <w:t xml:space="preserve"> the</w:t>
      </w:r>
      <w:r w:rsidR="005F7525">
        <w:rPr>
          <w:rFonts w:asciiTheme="minorHAnsi" w:hAnsiTheme="minorHAnsi"/>
          <w:bCs/>
          <w:snapToGrid w:val="0"/>
        </w:rPr>
        <w:t>y</w:t>
      </w:r>
      <w:r w:rsidR="00B42511">
        <w:rPr>
          <w:rFonts w:asciiTheme="minorHAnsi" w:hAnsiTheme="minorHAnsi"/>
          <w:bCs/>
          <w:snapToGrid w:val="0"/>
        </w:rPr>
        <w:t xml:space="preserve"> did not support </w:t>
      </w:r>
      <w:r w:rsidR="005F7525">
        <w:rPr>
          <w:rFonts w:asciiTheme="minorHAnsi" w:hAnsiTheme="minorHAnsi"/>
          <w:bCs/>
          <w:snapToGrid w:val="0"/>
        </w:rPr>
        <w:t>the total removal of an age restriction</w:t>
      </w:r>
      <w:r w:rsidRPr="004B1117">
        <w:rPr>
          <w:rFonts w:asciiTheme="minorHAnsi" w:hAnsiTheme="minorHAnsi"/>
          <w:bCs/>
          <w:snapToGrid w:val="0"/>
        </w:rPr>
        <w:t xml:space="preserve"> </w:t>
      </w:r>
      <w:r w:rsidRPr="007B2184">
        <w:rPr>
          <w:rFonts w:asciiTheme="minorHAnsi" w:hAnsiTheme="minorHAnsi"/>
          <w:bCs/>
          <w:snapToGrid w:val="0"/>
        </w:rPr>
        <w:t xml:space="preserve">(see paragraph </w:t>
      </w:r>
      <w:r w:rsidRPr="007B2184">
        <w:rPr>
          <w:rFonts w:asciiTheme="minorHAnsi" w:hAnsiTheme="minorHAnsi"/>
          <w:bCs/>
          <w:snapToGrid w:val="0"/>
        </w:rPr>
        <w:fldChar w:fldCharType="begin" w:fldLock="1"/>
      </w:r>
      <w:r w:rsidRPr="007B2184">
        <w:rPr>
          <w:rFonts w:asciiTheme="minorHAnsi" w:hAnsiTheme="minorHAnsi"/>
          <w:bCs/>
          <w:snapToGrid w:val="0"/>
        </w:rPr>
        <w:instrText xml:space="preserve"> REF _Ref120453421 \r \h </w:instrText>
      </w:r>
      <w:r>
        <w:rPr>
          <w:rFonts w:asciiTheme="minorHAnsi" w:hAnsiTheme="minorHAnsi"/>
          <w:bCs/>
          <w:snapToGrid w:val="0"/>
        </w:rPr>
        <w:instrText xml:space="preserve"> \* MERGEFORMAT </w:instrText>
      </w:r>
      <w:r w:rsidRPr="007B2184">
        <w:rPr>
          <w:rFonts w:asciiTheme="minorHAnsi" w:hAnsiTheme="minorHAnsi"/>
          <w:bCs/>
          <w:snapToGrid w:val="0"/>
        </w:rPr>
      </w:r>
      <w:r w:rsidRPr="007B2184">
        <w:rPr>
          <w:rFonts w:asciiTheme="minorHAnsi" w:hAnsiTheme="minorHAnsi"/>
          <w:bCs/>
          <w:snapToGrid w:val="0"/>
        </w:rPr>
        <w:fldChar w:fldCharType="separate"/>
      </w:r>
      <w:r w:rsidR="008E5873">
        <w:rPr>
          <w:rFonts w:asciiTheme="minorHAnsi" w:hAnsiTheme="minorHAnsi"/>
          <w:bCs/>
          <w:snapToGrid w:val="0"/>
        </w:rPr>
        <w:t>6.2</w:t>
      </w:r>
      <w:r w:rsidRPr="007B2184">
        <w:rPr>
          <w:rFonts w:asciiTheme="minorHAnsi" w:hAnsiTheme="minorHAnsi"/>
          <w:bCs/>
          <w:snapToGrid w:val="0"/>
        </w:rPr>
        <w:fldChar w:fldCharType="end"/>
      </w:r>
      <w:r w:rsidRPr="007B2184">
        <w:rPr>
          <w:rFonts w:asciiTheme="minorHAnsi" w:hAnsiTheme="minorHAnsi"/>
          <w:bCs/>
          <w:snapToGrid w:val="0"/>
        </w:rPr>
        <w:t>).</w:t>
      </w:r>
      <w:r w:rsidR="00B42511">
        <w:rPr>
          <w:rFonts w:asciiTheme="minorHAnsi" w:hAnsiTheme="minorHAnsi"/>
          <w:bCs/>
          <w:snapToGrid w:val="0"/>
        </w:rPr>
        <w:t xml:space="preserve"> </w:t>
      </w:r>
      <w:r w:rsidR="00BD4DDC" w:rsidRPr="001F544F">
        <w:rPr>
          <w:rFonts w:asciiTheme="minorHAnsi" w:hAnsiTheme="minorHAnsi"/>
          <w:snapToGrid w:val="0"/>
          <w:lang w:val="en-GB" w:eastAsia="en-US"/>
        </w:rPr>
        <w:t xml:space="preserve">The PBAC </w:t>
      </w:r>
      <w:r w:rsidR="0075436A">
        <w:rPr>
          <w:rFonts w:asciiTheme="minorHAnsi" w:hAnsiTheme="minorHAnsi"/>
          <w:snapToGrid w:val="0"/>
          <w:lang w:val="en-GB" w:eastAsia="en-US"/>
        </w:rPr>
        <w:t xml:space="preserve">also </w:t>
      </w:r>
      <w:r w:rsidR="00BD4DDC" w:rsidRPr="001F544F">
        <w:rPr>
          <w:rFonts w:asciiTheme="minorHAnsi" w:hAnsiTheme="minorHAnsi"/>
          <w:snapToGrid w:val="0"/>
          <w:lang w:val="en-GB" w:eastAsia="en-US"/>
        </w:rPr>
        <w:t xml:space="preserve">noted the advice in the sponsor hearing supported access to risedronate for women with </w:t>
      </w:r>
      <w:r w:rsidR="00BD4DDC" w:rsidRPr="004B1117">
        <w:rPr>
          <w:rFonts w:asciiTheme="minorHAnsi" w:hAnsiTheme="minorHAnsi"/>
          <w:bCs/>
          <w:snapToGrid w:val="0"/>
        </w:rPr>
        <w:t>osteoporosis</w:t>
      </w:r>
      <w:r w:rsidR="00BD4DDC" w:rsidRPr="001F544F">
        <w:rPr>
          <w:rFonts w:asciiTheme="minorHAnsi" w:hAnsiTheme="minorHAnsi"/>
          <w:snapToGrid w:val="0"/>
          <w:lang w:val="en-GB" w:eastAsia="en-US"/>
        </w:rPr>
        <w:t xml:space="preserve"> aged 60 years and over (see </w:t>
      </w:r>
      <w:r>
        <w:rPr>
          <w:rFonts w:asciiTheme="minorHAnsi" w:hAnsiTheme="minorHAnsi"/>
          <w:snapToGrid w:val="0"/>
          <w:lang w:val="en-GB" w:eastAsia="en-US"/>
        </w:rPr>
        <w:t xml:space="preserve">paragraph </w:t>
      </w:r>
      <w:r>
        <w:rPr>
          <w:rFonts w:asciiTheme="minorHAnsi" w:hAnsiTheme="minorHAnsi"/>
          <w:snapToGrid w:val="0"/>
          <w:lang w:val="en-GB" w:eastAsia="en-US"/>
        </w:rPr>
        <w:fldChar w:fldCharType="begin" w:fldLock="1"/>
      </w:r>
      <w:r>
        <w:rPr>
          <w:rFonts w:asciiTheme="minorHAnsi" w:hAnsiTheme="minorHAnsi"/>
          <w:snapToGrid w:val="0"/>
          <w:lang w:val="en-GB" w:eastAsia="en-US"/>
        </w:rPr>
        <w:instrText xml:space="preserve"> REF _Ref120453651 \r \h </w:instrText>
      </w:r>
      <w:r>
        <w:rPr>
          <w:rFonts w:asciiTheme="minorHAnsi" w:hAnsiTheme="minorHAnsi"/>
          <w:snapToGrid w:val="0"/>
          <w:lang w:val="en-GB" w:eastAsia="en-US"/>
        </w:rPr>
      </w:r>
      <w:r>
        <w:rPr>
          <w:rFonts w:asciiTheme="minorHAnsi" w:hAnsiTheme="minorHAnsi"/>
          <w:snapToGrid w:val="0"/>
          <w:lang w:val="en-GB" w:eastAsia="en-US"/>
        </w:rPr>
        <w:fldChar w:fldCharType="separate"/>
      </w:r>
      <w:r w:rsidR="008E5873">
        <w:rPr>
          <w:rFonts w:asciiTheme="minorHAnsi" w:hAnsiTheme="minorHAnsi"/>
          <w:snapToGrid w:val="0"/>
          <w:lang w:val="en-GB" w:eastAsia="en-US"/>
        </w:rPr>
        <w:t>6.1</w:t>
      </w:r>
      <w:r>
        <w:rPr>
          <w:rFonts w:asciiTheme="minorHAnsi" w:hAnsiTheme="minorHAnsi"/>
          <w:snapToGrid w:val="0"/>
          <w:lang w:val="en-GB" w:eastAsia="en-US"/>
        </w:rPr>
        <w:fldChar w:fldCharType="end"/>
      </w:r>
      <w:r w:rsidR="00BD4DDC" w:rsidRPr="001F544F">
        <w:rPr>
          <w:rFonts w:asciiTheme="minorHAnsi" w:hAnsiTheme="minorHAnsi"/>
          <w:snapToGrid w:val="0"/>
          <w:lang w:val="en-GB" w:eastAsia="en-US"/>
        </w:rPr>
        <w:t>).</w:t>
      </w:r>
      <w:r w:rsidR="00CC656E" w:rsidRPr="001F544F">
        <w:rPr>
          <w:rFonts w:asciiTheme="minorHAnsi" w:hAnsiTheme="minorHAnsi"/>
          <w:snapToGrid w:val="0"/>
          <w:lang w:val="en-GB" w:eastAsia="en-US"/>
        </w:rPr>
        <w:t xml:space="preserve"> The PBAC </w:t>
      </w:r>
      <w:r w:rsidR="00531EE4">
        <w:rPr>
          <w:rFonts w:asciiTheme="minorHAnsi" w:hAnsiTheme="minorHAnsi"/>
          <w:snapToGrid w:val="0"/>
          <w:lang w:val="en-GB" w:eastAsia="en-US"/>
        </w:rPr>
        <w:t xml:space="preserve">agreed with the specialist medical organisations that </w:t>
      </w:r>
      <w:r w:rsidR="00CC656E" w:rsidRPr="001F544F">
        <w:rPr>
          <w:rFonts w:asciiTheme="minorHAnsi" w:hAnsiTheme="minorHAnsi"/>
          <w:snapToGrid w:val="0"/>
          <w:lang w:val="en-GB" w:eastAsia="en-US"/>
        </w:rPr>
        <w:t xml:space="preserve">it was not appropriate to remove the </w:t>
      </w:r>
      <w:r w:rsidR="005F7525">
        <w:rPr>
          <w:rFonts w:asciiTheme="minorHAnsi" w:hAnsiTheme="minorHAnsi"/>
          <w:snapToGrid w:val="0"/>
          <w:lang w:val="en-GB" w:eastAsia="en-US"/>
        </w:rPr>
        <w:t xml:space="preserve">current risedronate </w:t>
      </w:r>
      <w:r w:rsidR="00CC656E" w:rsidRPr="001F544F">
        <w:rPr>
          <w:rFonts w:asciiTheme="minorHAnsi" w:hAnsiTheme="minorHAnsi"/>
          <w:snapToGrid w:val="0"/>
          <w:lang w:val="en-GB" w:eastAsia="en-US"/>
        </w:rPr>
        <w:t>age restriction entirely</w:t>
      </w:r>
      <w:r w:rsidR="00BD4DDC" w:rsidRPr="001F544F">
        <w:rPr>
          <w:rFonts w:asciiTheme="minorHAnsi" w:hAnsiTheme="minorHAnsi"/>
          <w:snapToGrid w:val="0"/>
          <w:lang w:val="en-GB" w:eastAsia="en-US"/>
        </w:rPr>
        <w:t>.</w:t>
      </w:r>
    </w:p>
    <w:p w14:paraId="73D28428" w14:textId="7F67F798" w:rsidR="002D4A19" w:rsidRDefault="009163EB" w:rsidP="002D4A19">
      <w:pPr>
        <w:widowControl w:val="0"/>
        <w:numPr>
          <w:ilvl w:val="1"/>
          <w:numId w:val="1"/>
        </w:numPr>
        <w:spacing w:after="120"/>
        <w:ind w:left="720" w:hanging="720"/>
        <w:rPr>
          <w:rFonts w:asciiTheme="minorHAnsi" w:hAnsiTheme="minorHAnsi"/>
          <w:snapToGrid w:val="0"/>
          <w:lang w:val="en-GB" w:eastAsia="en-US"/>
        </w:rPr>
      </w:pPr>
      <w:r>
        <w:rPr>
          <w:rFonts w:asciiTheme="minorHAnsi" w:hAnsiTheme="minorHAnsi"/>
          <w:snapToGrid w:val="0"/>
          <w:lang w:val="en-GB" w:eastAsia="en-US"/>
        </w:rPr>
        <w:t xml:space="preserve">The PBAC considered the nominated comparator of placebo or watchful waiting was </w:t>
      </w:r>
      <w:r w:rsidR="005F7525">
        <w:rPr>
          <w:rFonts w:asciiTheme="minorHAnsi" w:hAnsiTheme="minorHAnsi"/>
          <w:snapToGrid w:val="0"/>
          <w:lang w:val="en-GB" w:eastAsia="en-US"/>
        </w:rPr>
        <w:t>appropriate</w:t>
      </w:r>
      <w:r>
        <w:rPr>
          <w:rFonts w:asciiTheme="minorHAnsi" w:hAnsiTheme="minorHAnsi"/>
          <w:snapToGrid w:val="0"/>
          <w:lang w:val="en-GB" w:eastAsia="en-US"/>
        </w:rPr>
        <w:t>.</w:t>
      </w:r>
    </w:p>
    <w:p w14:paraId="310E1588" w14:textId="39ED9A2A" w:rsidR="002D4A19" w:rsidRPr="004B1117" w:rsidRDefault="00433FEB" w:rsidP="004B1117">
      <w:pPr>
        <w:widowControl w:val="0"/>
        <w:numPr>
          <w:ilvl w:val="1"/>
          <w:numId w:val="1"/>
        </w:numPr>
        <w:spacing w:after="120"/>
        <w:ind w:left="720" w:hanging="720"/>
        <w:rPr>
          <w:szCs w:val="20"/>
        </w:rPr>
      </w:pPr>
      <w:r w:rsidRPr="004B1117">
        <w:rPr>
          <w:rFonts w:asciiTheme="minorHAnsi" w:hAnsiTheme="minorHAnsi"/>
          <w:snapToGrid w:val="0"/>
          <w:lang w:val="en-GB" w:eastAsia="en-US"/>
        </w:rPr>
        <w:t xml:space="preserve">The </w:t>
      </w:r>
      <w:r>
        <w:rPr>
          <w:rFonts w:asciiTheme="minorHAnsi" w:hAnsiTheme="minorHAnsi"/>
          <w:snapToGrid w:val="0"/>
          <w:lang w:val="en-GB" w:eastAsia="en-US"/>
        </w:rPr>
        <w:t>PBAC noted</w:t>
      </w:r>
      <w:r w:rsidRPr="004B1117">
        <w:rPr>
          <w:rFonts w:asciiTheme="minorHAnsi" w:hAnsiTheme="minorHAnsi"/>
          <w:snapToGrid w:val="0"/>
          <w:lang w:val="en-GB" w:eastAsia="en-US"/>
        </w:rPr>
        <w:t xml:space="preserve"> that the pivotal trial evidence has previously been considered by the </w:t>
      </w:r>
      <w:r>
        <w:rPr>
          <w:rFonts w:asciiTheme="minorHAnsi" w:hAnsiTheme="minorHAnsi"/>
          <w:snapToGrid w:val="0"/>
          <w:lang w:val="en-GB" w:eastAsia="en-US"/>
        </w:rPr>
        <w:t xml:space="preserve">Committee </w:t>
      </w:r>
      <w:r w:rsidRPr="00433FEB">
        <w:rPr>
          <w:rFonts w:asciiTheme="minorHAnsi" w:hAnsiTheme="minorHAnsi"/>
          <w:snapToGrid w:val="0"/>
          <w:lang w:val="en-GB" w:eastAsia="en-US"/>
        </w:rPr>
        <w:t xml:space="preserve">(see paragraph </w:t>
      </w:r>
      <w:r w:rsidR="00EA6C33">
        <w:rPr>
          <w:rFonts w:asciiTheme="minorHAnsi" w:hAnsiTheme="minorHAnsi"/>
          <w:snapToGrid w:val="0"/>
          <w:lang w:val="en-GB" w:eastAsia="en-US"/>
        </w:rPr>
        <w:fldChar w:fldCharType="begin" w:fldLock="1"/>
      </w:r>
      <w:r w:rsidR="00EA6C33">
        <w:rPr>
          <w:rFonts w:asciiTheme="minorHAnsi" w:hAnsiTheme="minorHAnsi"/>
          <w:snapToGrid w:val="0"/>
          <w:lang w:val="en-GB" w:eastAsia="en-US"/>
        </w:rPr>
        <w:instrText xml:space="preserve"> REF _Ref120458960 \r \h </w:instrText>
      </w:r>
      <w:r w:rsidR="00EA6C33">
        <w:rPr>
          <w:rFonts w:asciiTheme="minorHAnsi" w:hAnsiTheme="minorHAnsi"/>
          <w:snapToGrid w:val="0"/>
          <w:lang w:val="en-GB" w:eastAsia="en-US"/>
        </w:rPr>
      </w:r>
      <w:r w:rsidR="00EA6C33">
        <w:rPr>
          <w:rFonts w:asciiTheme="minorHAnsi" w:hAnsiTheme="minorHAnsi"/>
          <w:snapToGrid w:val="0"/>
          <w:lang w:val="en-GB" w:eastAsia="en-US"/>
        </w:rPr>
        <w:fldChar w:fldCharType="separate"/>
      </w:r>
      <w:r w:rsidR="008E5873">
        <w:rPr>
          <w:rFonts w:asciiTheme="minorHAnsi" w:hAnsiTheme="minorHAnsi"/>
          <w:snapToGrid w:val="0"/>
          <w:lang w:val="en-GB" w:eastAsia="en-US"/>
        </w:rPr>
        <w:t>6.41</w:t>
      </w:r>
      <w:r w:rsidR="00EA6C33">
        <w:rPr>
          <w:rFonts w:asciiTheme="minorHAnsi" w:hAnsiTheme="minorHAnsi"/>
          <w:snapToGrid w:val="0"/>
          <w:lang w:val="en-GB" w:eastAsia="en-US"/>
        </w:rPr>
        <w:fldChar w:fldCharType="end"/>
      </w:r>
      <w:r w:rsidRPr="00433FEB">
        <w:rPr>
          <w:rFonts w:asciiTheme="minorHAnsi" w:hAnsiTheme="minorHAnsi"/>
          <w:snapToGrid w:val="0"/>
          <w:lang w:val="en-GB" w:eastAsia="en-US"/>
        </w:rPr>
        <w:t>)</w:t>
      </w:r>
      <w:r>
        <w:rPr>
          <w:rFonts w:asciiTheme="minorHAnsi" w:hAnsiTheme="minorHAnsi"/>
          <w:snapToGrid w:val="0"/>
          <w:lang w:val="en-GB" w:eastAsia="en-US"/>
        </w:rPr>
        <w:t xml:space="preserve">. </w:t>
      </w:r>
      <w:r w:rsidR="00EA6C33">
        <w:rPr>
          <w:rFonts w:asciiTheme="minorHAnsi" w:hAnsiTheme="minorHAnsi"/>
          <w:snapToGrid w:val="0"/>
          <w:lang w:val="en-GB" w:eastAsia="en-US"/>
        </w:rPr>
        <w:t>The</w:t>
      </w:r>
      <w:r w:rsidR="00AB0D56">
        <w:rPr>
          <w:rFonts w:asciiTheme="minorHAnsi" w:hAnsiTheme="minorHAnsi"/>
          <w:snapToGrid w:val="0"/>
          <w:lang w:val="en-GB" w:eastAsia="en-US"/>
        </w:rPr>
        <w:t xml:space="preserve"> submission primarily relied on the Boonen 2010 meta-analysis </w:t>
      </w:r>
      <w:r>
        <w:rPr>
          <w:rFonts w:asciiTheme="minorHAnsi" w:hAnsiTheme="minorHAnsi"/>
          <w:snapToGrid w:val="0"/>
          <w:lang w:val="en-GB" w:eastAsia="en-US"/>
        </w:rPr>
        <w:t xml:space="preserve">which included </w:t>
      </w:r>
      <w:r w:rsidR="00AB0D56">
        <w:rPr>
          <w:rFonts w:asciiTheme="minorHAnsi" w:hAnsiTheme="minorHAnsi"/>
          <w:snapToGrid w:val="0"/>
          <w:lang w:val="en-GB" w:eastAsia="en-US"/>
        </w:rPr>
        <w:t>four of the five randomised controlled trials (RCTs) presented in the submission (</w:t>
      </w:r>
      <w:r w:rsidR="002D4A19">
        <w:rPr>
          <w:rFonts w:asciiTheme="minorHAnsi" w:hAnsiTheme="minorHAnsi"/>
          <w:snapToGrid w:val="0"/>
          <w:lang w:val="en-GB" w:eastAsia="en-US"/>
        </w:rPr>
        <w:t xml:space="preserve">see </w:t>
      </w:r>
      <w:r w:rsidR="00AB0D56">
        <w:rPr>
          <w:rFonts w:asciiTheme="minorHAnsi" w:hAnsiTheme="minorHAnsi"/>
          <w:snapToGrid w:val="0"/>
          <w:lang w:val="en-GB" w:eastAsia="en-US"/>
        </w:rPr>
        <w:fldChar w:fldCharType="begin" w:fldLock="1"/>
      </w:r>
      <w:r w:rsidR="00AB0D56">
        <w:rPr>
          <w:rFonts w:asciiTheme="minorHAnsi" w:hAnsiTheme="minorHAnsi"/>
          <w:snapToGrid w:val="0"/>
          <w:lang w:val="en-GB" w:eastAsia="en-US"/>
        </w:rPr>
        <w:instrText xml:space="preserve"> REF _Ref104804098 \h </w:instrText>
      </w:r>
      <w:r w:rsidR="00B15F1F">
        <w:rPr>
          <w:rFonts w:asciiTheme="minorHAnsi" w:hAnsiTheme="minorHAnsi"/>
          <w:snapToGrid w:val="0"/>
          <w:lang w:val="en-GB" w:eastAsia="en-US"/>
        </w:rPr>
        <w:instrText xml:space="preserve"> \* MERGEFORMAT </w:instrText>
      </w:r>
      <w:r w:rsidR="00AB0D56">
        <w:rPr>
          <w:rFonts w:asciiTheme="minorHAnsi" w:hAnsiTheme="minorHAnsi"/>
          <w:snapToGrid w:val="0"/>
          <w:lang w:val="en-GB" w:eastAsia="en-US"/>
        </w:rPr>
      </w:r>
      <w:r w:rsidR="00AB0D56">
        <w:rPr>
          <w:rFonts w:asciiTheme="minorHAnsi" w:hAnsiTheme="minorHAnsi"/>
          <w:snapToGrid w:val="0"/>
          <w:lang w:val="en-GB" w:eastAsia="en-US"/>
        </w:rPr>
        <w:fldChar w:fldCharType="separate"/>
      </w:r>
      <w:r w:rsidR="008E5873" w:rsidRPr="002E14F6">
        <w:t xml:space="preserve">Table </w:t>
      </w:r>
      <w:r w:rsidR="008E5873">
        <w:rPr>
          <w:noProof/>
        </w:rPr>
        <w:t>4</w:t>
      </w:r>
      <w:r w:rsidR="00AB0D56">
        <w:rPr>
          <w:rFonts w:asciiTheme="minorHAnsi" w:hAnsiTheme="minorHAnsi"/>
          <w:snapToGrid w:val="0"/>
          <w:lang w:val="en-GB" w:eastAsia="en-US"/>
        </w:rPr>
        <w:fldChar w:fldCharType="end"/>
      </w:r>
      <w:r w:rsidR="00AB0D56">
        <w:rPr>
          <w:rFonts w:asciiTheme="minorHAnsi" w:hAnsiTheme="minorHAnsi"/>
          <w:snapToGrid w:val="0"/>
          <w:lang w:val="en-GB" w:eastAsia="en-US"/>
        </w:rPr>
        <w:t>)</w:t>
      </w:r>
      <w:r>
        <w:rPr>
          <w:rFonts w:asciiTheme="minorHAnsi" w:hAnsiTheme="minorHAnsi"/>
          <w:snapToGrid w:val="0"/>
          <w:lang w:val="en-GB" w:eastAsia="en-US"/>
        </w:rPr>
        <w:t xml:space="preserve">. </w:t>
      </w:r>
      <w:r w:rsidR="00724579">
        <w:t xml:space="preserve">The PBAC acknowledged the </w:t>
      </w:r>
      <w:r w:rsidR="007355BA">
        <w:t xml:space="preserve">Boonen 2010 </w:t>
      </w:r>
      <w:r w:rsidR="00724579">
        <w:t xml:space="preserve">results should be interpreted with caution as the data were analysed retrospectively, with differences in the assessment of fracture outcomes across the included trials. In addition, </w:t>
      </w:r>
      <w:r w:rsidR="00724579">
        <w:rPr>
          <w:rFonts w:asciiTheme="minorHAnsi" w:hAnsiTheme="minorHAnsi"/>
          <w:snapToGrid w:val="0"/>
          <w:lang w:val="en-GB" w:eastAsia="en-US"/>
        </w:rPr>
        <w:t>t</w:t>
      </w:r>
      <w:r w:rsidR="00EA6C33">
        <w:rPr>
          <w:rFonts w:asciiTheme="minorHAnsi" w:hAnsiTheme="minorHAnsi"/>
          <w:snapToGrid w:val="0"/>
          <w:lang w:val="en-GB" w:eastAsia="en-US"/>
        </w:rPr>
        <w:t xml:space="preserve">he PBAC noted </w:t>
      </w:r>
      <w:r w:rsidR="00917BA8">
        <w:rPr>
          <w:rFonts w:asciiTheme="minorHAnsi" w:hAnsiTheme="minorHAnsi"/>
          <w:snapToGrid w:val="0"/>
          <w:lang w:val="en-GB" w:eastAsia="en-US"/>
        </w:rPr>
        <w:t>that the mean age of patients in each treatment arm was 68 years</w:t>
      </w:r>
      <w:r w:rsidR="00724579">
        <w:rPr>
          <w:rFonts w:asciiTheme="minorHAnsi" w:hAnsiTheme="minorHAnsi"/>
          <w:snapToGrid w:val="0"/>
          <w:lang w:val="en-GB" w:eastAsia="en-US"/>
        </w:rPr>
        <w:t xml:space="preserve"> (although </w:t>
      </w:r>
      <w:r w:rsidR="00917BA8">
        <w:rPr>
          <w:rFonts w:asciiTheme="minorHAnsi" w:hAnsiTheme="minorHAnsi"/>
          <w:snapToGrid w:val="0"/>
          <w:lang w:val="en-GB" w:eastAsia="en-US"/>
        </w:rPr>
        <w:t>patients as young as 38 were included in the meta-analysis</w:t>
      </w:r>
      <w:r w:rsidR="00724579">
        <w:rPr>
          <w:rFonts w:asciiTheme="minorHAnsi" w:hAnsiTheme="minorHAnsi"/>
          <w:snapToGrid w:val="0"/>
          <w:lang w:val="en-GB" w:eastAsia="en-US"/>
        </w:rPr>
        <w:t xml:space="preserve">) and that the </w:t>
      </w:r>
      <w:r w:rsidR="007355BA">
        <w:rPr>
          <w:rFonts w:asciiTheme="minorHAnsi" w:hAnsiTheme="minorHAnsi"/>
          <w:snapToGrid w:val="0"/>
          <w:lang w:val="en-GB" w:eastAsia="en-US"/>
        </w:rPr>
        <w:t>study</w:t>
      </w:r>
      <w:r w:rsidR="00724579">
        <w:rPr>
          <w:rFonts w:asciiTheme="minorHAnsi" w:hAnsiTheme="minorHAnsi"/>
          <w:snapToGrid w:val="0"/>
          <w:lang w:val="en-GB" w:eastAsia="en-US"/>
        </w:rPr>
        <w:t xml:space="preserve"> included both primary and secondary prevention populations</w:t>
      </w:r>
      <w:r w:rsidR="00917BA8">
        <w:rPr>
          <w:rFonts w:asciiTheme="minorHAnsi" w:hAnsiTheme="minorHAnsi"/>
          <w:snapToGrid w:val="0"/>
          <w:lang w:val="en-GB" w:eastAsia="en-US"/>
        </w:rPr>
        <w:t xml:space="preserve">. </w:t>
      </w:r>
      <w:r w:rsidR="007355BA">
        <w:rPr>
          <w:rFonts w:asciiTheme="minorHAnsi" w:hAnsiTheme="minorHAnsi"/>
          <w:snapToGrid w:val="0"/>
          <w:lang w:val="en-GB" w:eastAsia="en-US"/>
        </w:rPr>
        <w:t>However, t</w:t>
      </w:r>
      <w:r w:rsidR="00724579">
        <w:rPr>
          <w:rFonts w:asciiTheme="minorHAnsi" w:hAnsiTheme="minorHAnsi"/>
          <w:snapToGrid w:val="0"/>
          <w:lang w:val="en-GB" w:eastAsia="en-US"/>
        </w:rPr>
        <w:t xml:space="preserve">he </w:t>
      </w:r>
      <w:r w:rsidR="00120B4D">
        <w:rPr>
          <w:rFonts w:asciiTheme="minorHAnsi" w:hAnsiTheme="minorHAnsi"/>
          <w:snapToGrid w:val="0"/>
          <w:lang w:val="en-GB" w:eastAsia="en-US"/>
        </w:rPr>
        <w:t>PBAC</w:t>
      </w:r>
      <w:r w:rsidR="00F72DB3">
        <w:rPr>
          <w:rFonts w:asciiTheme="minorHAnsi" w:hAnsiTheme="minorHAnsi"/>
          <w:snapToGrid w:val="0"/>
          <w:lang w:val="en-GB" w:eastAsia="en-US"/>
        </w:rPr>
        <w:t xml:space="preserve"> agreed with the </w:t>
      </w:r>
      <w:r w:rsidR="00AF2276">
        <w:rPr>
          <w:rFonts w:asciiTheme="minorHAnsi" w:hAnsiTheme="minorHAnsi"/>
          <w:snapToGrid w:val="0"/>
          <w:lang w:val="en-GB" w:eastAsia="en-US"/>
        </w:rPr>
        <w:t>Pre-Sub-Committee Response</w:t>
      </w:r>
      <w:r w:rsidR="00F72DB3">
        <w:rPr>
          <w:rFonts w:asciiTheme="minorHAnsi" w:hAnsiTheme="minorHAnsi"/>
          <w:snapToGrid w:val="0"/>
          <w:lang w:val="en-GB" w:eastAsia="en-US"/>
        </w:rPr>
        <w:t xml:space="preserve"> that the Boonen 2010 meta-analysis</w:t>
      </w:r>
      <w:r w:rsidR="00AF2321">
        <w:rPr>
          <w:rFonts w:asciiTheme="minorHAnsi" w:hAnsiTheme="minorHAnsi"/>
          <w:snapToGrid w:val="0"/>
          <w:lang w:val="en-GB" w:eastAsia="en-US"/>
        </w:rPr>
        <w:t xml:space="preserve"> likely</w:t>
      </w:r>
      <w:r w:rsidR="00F72DB3">
        <w:rPr>
          <w:rFonts w:asciiTheme="minorHAnsi" w:hAnsiTheme="minorHAnsi"/>
          <w:snapToGrid w:val="0"/>
          <w:lang w:val="en-GB" w:eastAsia="en-US"/>
        </w:rPr>
        <w:t xml:space="preserve"> represent</w:t>
      </w:r>
      <w:r w:rsidR="00463C25">
        <w:rPr>
          <w:rFonts w:asciiTheme="minorHAnsi" w:hAnsiTheme="minorHAnsi"/>
          <w:snapToGrid w:val="0"/>
          <w:lang w:val="en-GB" w:eastAsia="en-US"/>
        </w:rPr>
        <w:t>ed</w:t>
      </w:r>
      <w:r w:rsidR="00F72DB3">
        <w:rPr>
          <w:rFonts w:asciiTheme="minorHAnsi" w:hAnsiTheme="minorHAnsi"/>
          <w:snapToGrid w:val="0"/>
          <w:lang w:val="en-GB" w:eastAsia="en-US"/>
        </w:rPr>
        <w:t xml:space="preserve"> the best available evidence</w:t>
      </w:r>
      <w:r w:rsidR="00AF2276">
        <w:rPr>
          <w:rFonts w:asciiTheme="minorHAnsi" w:hAnsiTheme="minorHAnsi"/>
          <w:snapToGrid w:val="0"/>
          <w:lang w:val="en-GB" w:eastAsia="en-US"/>
        </w:rPr>
        <w:t xml:space="preserve"> that demonstrates irrespective of age risedronate reduced fracture risk by 41% to 46% across the four fracture types (see paragraph </w:t>
      </w:r>
      <w:r w:rsidR="00AF2276">
        <w:rPr>
          <w:rFonts w:asciiTheme="minorHAnsi" w:hAnsiTheme="minorHAnsi"/>
          <w:snapToGrid w:val="0"/>
          <w:lang w:val="en-GB" w:eastAsia="en-US"/>
        </w:rPr>
        <w:fldChar w:fldCharType="begin" w:fldLock="1"/>
      </w:r>
      <w:r w:rsidR="00AF2276">
        <w:rPr>
          <w:rFonts w:asciiTheme="minorHAnsi" w:hAnsiTheme="minorHAnsi"/>
          <w:snapToGrid w:val="0"/>
          <w:lang w:val="en-GB" w:eastAsia="en-US"/>
        </w:rPr>
        <w:instrText xml:space="preserve"> REF _Ref120461929 \r \h </w:instrText>
      </w:r>
      <w:r w:rsidR="00AF2276">
        <w:rPr>
          <w:rFonts w:asciiTheme="minorHAnsi" w:hAnsiTheme="minorHAnsi"/>
          <w:snapToGrid w:val="0"/>
          <w:lang w:val="en-GB" w:eastAsia="en-US"/>
        </w:rPr>
      </w:r>
      <w:r w:rsidR="00AF2276">
        <w:rPr>
          <w:rFonts w:asciiTheme="minorHAnsi" w:hAnsiTheme="minorHAnsi"/>
          <w:snapToGrid w:val="0"/>
          <w:lang w:val="en-GB" w:eastAsia="en-US"/>
        </w:rPr>
        <w:fldChar w:fldCharType="separate"/>
      </w:r>
      <w:r w:rsidR="008E5873">
        <w:rPr>
          <w:rFonts w:asciiTheme="minorHAnsi" w:hAnsiTheme="minorHAnsi"/>
          <w:snapToGrid w:val="0"/>
          <w:lang w:val="en-GB" w:eastAsia="en-US"/>
        </w:rPr>
        <w:t>6.21</w:t>
      </w:r>
      <w:r w:rsidR="00AF2276">
        <w:rPr>
          <w:rFonts w:asciiTheme="minorHAnsi" w:hAnsiTheme="minorHAnsi"/>
          <w:snapToGrid w:val="0"/>
          <w:lang w:val="en-GB" w:eastAsia="en-US"/>
        </w:rPr>
        <w:fldChar w:fldCharType="end"/>
      </w:r>
      <w:r w:rsidR="00AF2276">
        <w:rPr>
          <w:rFonts w:asciiTheme="minorHAnsi" w:hAnsiTheme="minorHAnsi"/>
          <w:snapToGrid w:val="0"/>
          <w:lang w:val="en-GB" w:eastAsia="en-US"/>
        </w:rPr>
        <w:t xml:space="preserve">). </w:t>
      </w:r>
      <w:r w:rsidR="007355BA">
        <w:rPr>
          <w:rFonts w:asciiTheme="minorHAnsi" w:hAnsiTheme="minorHAnsi"/>
          <w:snapToGrid w:val="0"/>
          <w:lang w:val="en-GB" w:eastAsia="en-US"/>
        </w:rPr>
        <w:t>T</w:t>
      </w:r>
      <w:r w:rsidR="00724579">
        <w:rPr>
          <w:rFonts w:asciiTheme="minorHAnsi" w:hAnsiTheme="minorHAnsi"/>
          <w:snapToGrid w:val="0"/>
          <w:lang w:val="en-GB" w:eastAsia="en-US"/>
        </w:rPr>
        <w:t xml:space="preserve">he PBAC </w:t>
      </w:r>
      <w:r w:rsidR="007355BA">
        <w:rPr>
          <w:rFonts w:asciiTheme="minorHAnsi" w:hAnsiTheme="minorHAnsi"/>
          <w:snapToGrid w:val="0"/>
          <w:lang w:val="en-GB" w:eastAsia="en-US"/>
        </w:rPr>
        <w:t xml:space="preserve">also </w:t>
      </w:r>
      <w:r w:rsidR="006D4DD1">
        <w:rPr>
          <w:rFonts w:asciiTheme="minorHAnsi" w:hAnsiTheme="minorHAnsi"/>
          <w:snapToGrid w:val="0"/>
          <w:lang w:val="en-GB" w:eastAsia="en-US"/>
        </w:rPr>
        <w:t>considered</w:t>
      </w:r>
      <w:r w:rsidR="00724579">
        <w:rPr>
          <w:rFonts w:asciiTheme="minorHAnsi" w:hAnsiTheme="minorHAnsi"/>
          <w:snapToGrid w:val="0"/>
          <w:lang w:val="en-GB" w:eastAsia="en-US"/>
        </w:rPr>
        <w:t xml:space="preserve"> that while there were no data to suggest age is a treatment effect modifier,</w:t>
      </w:r>
      <w:r w:rsidR="006D4DD1">
        <w:rPr>
          <w:rFonts w:asciiTheme="minorHAnsi" w:hAnsiTheme="minorHAnsi"/>
          <w:snapToGrid w:val="0"/>
          <w:lang w:val="en-GB" w:eastAsia="en-US"/>
        </w:rPr>
        <w:t xml:space="preserve"> </w:t>
      </w:r>
      <w:r w:rsidR="00724579">
        <w:rPr>
          <w:rFonts w:asciiTheme="minorHAnsi" w:hAnsiTheme="minorHAnsi"/>
          <w:snapToGrid w:val="0"/>
          <w:lang w:val="en-GB" w:eastAsia="en-US"/>
        </w:rPr>
        <w:t xml:space="preserve">the Boonen 2010 study showed there is a </w:t>
      </w:r>
      <w:r w:rsidR="00A236C6">
        <w:rPr>
          <w:rFonts w:asciiTheme="minorHAnsi" w:hAnsiTheme="minorHAnsi"/>
          <w:snapToGrid w:val="0"/>
          <w:lang w:val="en-GB" w:eastAsia="en-US"/>
        </w:rPr>
        <w:t xml:space="preserve">reduced </w:t>
      </w:r>
      <w:r w:rsidR="00724579">
        <w:rPr>
          <w:rFonts w:asciiTheme="minorHAnsi" w:hAnsiTheme="minorHAnsi"/>
          <w:snapToGrid w:val="0"/>
          <w:lang w:val="en-GB" w:eastAsia="en-US"/>
        </w:rPr>
        <w:t xml:space="preserve">fracture risk </w:t>
      </w:r>
      <w:r w:rsidR="00A236C6">
        <w:rPr>
          <w:rFonts w:asciiTheme="minorHAnsi" w:hAnsiTheme="minorHAnsi"/>
          <w:snapToGrid w:val="0"/>
          <w:lang w:val="en-GB" w:eastAsia="en-US"/>
        </w:rPr>
        <w:t>in younger people</w:t>
      </w:r>
      <w:r w:rsidR="00724579" w:rsidRPr="004B1117">
        <w:rPr>
          <w:rFonts w:asciiTheme="minorHAnsi" w:hAnsiTheme="minorHAnsi"/>
          <w:snapToGrid w:val="0"/>
          <w:lang w:val="en-GB" w:eastAsia="en-US"/>
        </w:rPr>
        <w:t xml:space="preserve">. </w:t>
      </w:r>
    </w:p>
    <w:p w14:paraId="7BEE106E" w14:textId="0ED06AB3" w:rsidR="002D4A19" w:rsidRPr="00CA0B46" w:rsidRDefault="002D4A19" w:rsidP="00CA0B46">
      <w:pPr>
        <w:widowControl w:val="0"/>
        <w:numPr>
          <w:ilvl w:val="1"/>
          <w:numId w:val="1"/>
        </w:numPr>
        <w:spacing w:after="120"/>
        <w:ind w:left="720" w:hanging="720"/>
        <w:rPr>
          <w:rFonts w:asciiTheme="minorHAnsi" w:hAnsiTheme="minorHAnsi"/>
          <w:snapToGrid w:val="0"/>
          <w:lang w:val="en-GB" w:eastAsia="en-US"/>
        </w:rPr>
      </w:pPr>
      <w:r w:rsidRPr="006D4DD1">
        <w:rPr>
          <w:rFonts w:asciiTheme="minorHAnsi" w:hAnsiTheme="minorHAnsi"/>
          <w:snapToGrid w:val="0"/>
          <w:lang w:val="en-GB" w:eastAsia="en-US"/>
        </w:rPr>
        <w:t xml:space="preserve">The </w:t>
      </w:r>
      <w:r w:rsidR="00531EE4">
        <w:rPr>
          <w:rFonts w:asciiTheme="minorHAnsi" w:hAnsiTheme="minorHAnsi"/>
          <w:snapToGrid w:val="0"/>
          <w:lang w:val="en-GB" w:eastAsia="en-US"/>
        </w:rPr>
        <w:t xml:space="preserve">PBAC </w:t>
      </w:r>
      <w:r w:rsidRPr="006D4DD1">
        <w:rPr>
          <w:rFonts w:asciiTheme="minorHAnsi" w:hAnsiTheme="minorHAnsi"/>
          <w:snapToGrid w:val="0"/>
          <w:lang w:val="en-GB" w:eastAsia="en-US"/>
        </w:rPr>
        <w:t xml:space="preserve">noted that current Australian guidelines recommend </w:t>
      </w:r>
      <w:r w:rsidRPr="00712899">
        <w:rPr>
          <w:rFonts w:asciiTheme="minorHAnsi" w:hAnsiTheme="minorHAnsi"/>
          <w:snapToGrid w:val="0"/>
          <w:lang w:val="en-GB" w:eastAsia="en-US"/>
        </w:rPr>
        <w:t xml:space="preserve">treatment thresholds based on </w:t>
      </w:r>
      <w:r w:rsidR="00712899">
        <w:rPr>
          <w:rFonts w:asciiTheme="minorHAnsi" w:hAnsiTheme="minorHAnsi"/>
          <w:snapToGrid w:val="0"/>
          <w:lang w:val="en-GB" w:eastAsia="en-US"/>
        </w:rPr>
        <w:t>the use of a validated absolute fracture risk algorithm. Using the</w:t>
      </w:r>
      <w:r w:rsidRPr="00712899">
        <w:rPr>
          <w:rFonts w:asciiTheme="minorHAnsi" w:hAnsiTheme="minorHAnsi"/>
          <w:snapToGrid w:val="0"/>
          <w:lang w:val="en-GB" w:eastAsia="en-US"/>
        </w:rPr>
        <w:t xml:space="preserve"> Garvan risk calculator, patients with a 10-year risk of hip fracture of &gt;3% or any fragility fracture &gt;20% </w:t>
      </w:r>
      <w:r w:rsidR="00712899">
        <w:rPr>
          <w:rFonts w:asciiTheme="minorHAnsi" w:hAnsiTheme="minorHAnsi"/>
          <w:snapToGrid w:val="0"/>
          <w:lang w:val="en-GB" w:eastAsia="en-US"/>
        </w:rPr>
        <w:t>would meet recommended treatment thresholds. The PBAC noted</w:t>
      </w:r>
      <w:r w:rsidRPr="00712899">
        <w:rPr>
          <w:rFonts w:asciiTheme="minorHAnsi" w:hAnsiTheme="minorHAnsi"/>
          <w:snapToGrid w:val="0"/>
          <w:lang w:val="en-GB" w:eastAsia="en-US"/>
        </w:rPr>
        <w:t xml:space="preserve"> these thresholds would be met</w:t>
      </w:r>
      <w:r w:rsidR="00355E34">
        <w:rPr>
          <w:rFonts w:asciiTheme="minorHAnsi" w:hAnsiTheme="minorHAnsi"/>
          <w:snapToGrid w:val="0"/>
          <w:lang w:val="en-GB" w:eastAsia="en-US"/>
        </w:rPr>
        <w:t xml:space="preserve"> </w:t>
      </w:r>
      <w:r w:rsidRPr="00712899">
        <w:rPr>
          <w:rFonts w:asciiTheme="minorHAnsi" w:hAnsiTheme="minorHAnsi"/>
          <w:snapToGrid w:val="0"/>
          <w:lang w:val="en-GB" w:eastAsia="en-US"/>
        </w:rPr>
        <w:t xml:space="preserve">for hip fracture in females with a BMD T-score of -2.5 aged </w:t>
      </w:r>
      <w:r w:rsidR="00712899">
        <w:rPr>
          <w:rFonts w:asciiTheme="minorHAnsi" w:hAnsiTheme="minorHAnsi"/>
          <w:snapToGrid w:val="0"/>
          <w:lang w:val="en-GB" w:eastAsia="en-US"/>
        </w:rPr>
        <w:t>6</w:t>
      </w:r>
      <w:r w:rsidRPr="00712899">
        <w:rPr>
          <w:rFonts w:asciiTheme="minorHAnsi" w:hAnsiTheme="minorHAnsi"/>
          <w:snapToGrid w:val="0"/>
          <w:lang w:val="en-GB" w:eastAsia="en-US"/>
        </w:rPr>
        <w:t xml:space="preserve">5 </w:t>
      </w:r>
      <w:r w:rsidR="00E55E0C">
        <w:rPr>
          <w:rFonts w:asciiTheme="minorHAnsi" w:hAnsiTheme="minorHAnsi"/>
          <w:snapToGrid w:val="0"/>
          <w:lang w:val="en-GB" w:eastAsia="en-US"/>
        </w:rPr>
        <w:t>years</w:t>
      </w:r>
      <w:r w:rsidR="000632E8">
        <w:rPr>
          <w:rFonts w:asciiTheme="minorHAnsi" w:hAnsiTheme="minorHAnsi"/>
          <w:snapToGrid w:val="0"/>
          <w:lang w:val="en-GB" w:eastAsia="en-US"/>
        </w:rPr>
        <w:t xml:space="preserve"> and above</w:t>
      </w:r>
      <w:r w:rsidR="00355E34">
        <w:rPr>
          <w:rFonts w:asciiTheme="minorHAnsi" w:hAnsiTheme="minorHAnsi"/>
          <w:snapToGrid w:val="0"/>
          <w:lang w:val="en-GB" w:eastAsia="en-US"/>
        </w:rPr>
        <w:t>.</w:t>
      </w:r>
      <w:r w:rsidR="00E55E0C">
        <w:rPr>
          <w:rFonts w:asciiTheme="minorHAnsi" w:hAnsiTheme="minorHAnsi"/>
          <w:snapToGrid w:val="0"/>
          <w:lang w:val="en-GB" w:eastAsia="en-US"/>
        </w:rPr>
        <w:t xml:space="preserve"> The PBAC noted that females with a BMD T-score of -3.0 would meet the threshold for treatment </w:t>
      </w:r>
      <w:r w:rsidR="00881B85">
        <w:rPr>
          <w:rFonts w:asciiTheme="minorHAnsi" w:hAnsiTheme="minorHAnsi"/>
          <w:snapToGrid w:val="0"/>
          <w:lang w:val="en-GB" w:eastAsia="en-US"/>
        </w:rPr>
        <w:t xml:space="preserve">for hip fracture </w:t>
      </w:r>
      <w:r w:rsidR="00E55E0C">
        <w:rPr>
          <w:rFonts w:asciiTheme="minorHAnsi" w:hAnsiTheme="minorHAnsi"/>
          <w:snapToGrid w:val="0"/>
          <w:lang w:val="en-GB" w:eastAsia="en-US"/>
        </w:rPr>
        <w:t xml:space="preserve">when aged 55 years and </w:t>
      </w:r>
      <w:r w:rsidR="000632E8">
        <w:rPr>
          <w:rFonts w:asciiTheme="minorHAnsi" w:hAnsiTheme="minorHAnsi"/>
          <w:snapToGrid w:val="0"/>
          <w:lang w:val="en-GB" w:eastAsia="en-US"/>
        </w:rPr>
        <w:t>above</w:t>
      </w:r>
      <w:r w:rsidR="00881B85">
        <w:rPr>
          <w:rFonts w:asciiTheme="minorHAnsi" w:hAnsiTheme="minorHAnsi"/>
          <w:snapToGrid w:val="0"/>
          <w:lang w:val="en-GB" w:eastAsia="en-US"/>
        </w:rPr>
        <w:t xml:space="preserve"> (see </w:t>
      </w:r>
      <w:r w:rsidR="00881B85">
        <w:rPr>
          <w:rFonts w:asciiTheme="minorHAnsi" w:hAnsiTheme="minorHAnsi"/>
          <w:snapToGrid w:val="0"/>
          <w:lang w:val="en-GB" w:eastAsia="en-US"/>
        </w:rPr>
        <w:fldChar w:fldCharType="begin" w:fldLock="1"/>
      </w:r>
      <w:r w:rsidR="00881B85">
        <w:rPr>
          <w:rFonts w:asciiTheme="minorHAnsi" w:hAnsiTheme="minorHAnsi"/>
          <w:snapToGrid w:val="0"/>
          <w:lang w:val="en-GB" w:eastAsia="en-US"/>
        </w:rPr>
        <w:instrText xml:space="preserve"> REF _Ref112667243 \h </w:instrText>
      </w:r>
      <w:r w:rsidR="00881B85">
        <w:rPr>
          <w:rFonts w:asciiTheme="minorHAnsi" w:hAnsiTheme="minorHAnsi"/>
          <w:snapToGrid w:val="0"/>
          <w:lang w:val="en-GB" w:eastAsia="en-US"/>
        </w:rPr>
      </w:r>
      <w:r w:rsidR="00881B85">
        <w:rPr>
          <w:rFonts w:asciiTheme="minorHAnsi" w:hAnsiTheme="minorHAnsi"/>
          <w:snapToGrid w:val="0"/>
          <w:lang w:val="en-GB" w:eastAsia="en-US"/>
        </w:rPr>
        <w:fldChar w:fldCharType="separate"/>
      </w:r>
      <w:r w:rsidR="00881B85">
        <w:t xml:space="preserve">Table </w:t>
      </w:r>
      <w:r w:rsidR="00881B85">
        <w:rPr>
          <w:noProof/>
        </w:rPr>
        <w:t>2</w:t>
      </w:r>
      <w:r w:rsidR="00881B85">
        <w:rPr>
          <w:rFonts w:asciiTheme="minorHAnsi" w:hAnsiTheme="minorHAnsi"/>
          <w:snapToGrid w:val="0"/>
          <w:lang w:val="en-GB" w:eastAsia="en-US"/>
        </w:rPr>
        <w:fldChar w:fldCharType="end"/>
      </w:r>
      <w:r w:rsidR="00881B85">
        <w:rPr>
          <w:rFonts w:asciiTheme="minorHAnsi" w:hAnsiTheme="minorHAnsi"/>
          <w:snapToGrid w:val="0"/>
          <w:lang w:val="en-GB" w:eastAsia="en-US"/>
        </w:rPr>
        <w:t>)</w:t>
      </w:r>
      <w:r w:rsidR="00E55E0C">
        <w:rPr>
          <w:rFonts w:asciiTheme="minorHAnsi" w:hAnsiTheme="minorHAnsi"/>
          <w:snapToGrid w:val="0"/>
          <w:lang w:val="en-GB" w:eastAsia="en-US"/>
        </w:rPr>
        <w:t xml:space="preserve">. The PBAC </w:t>
      </w:r>
      <w:r w:rsidR="002E02BE">
        <w:rPr>
          <w:rFonts w:asciiTheme="minorHAnsi" w:hAnsiTheme="minorHAnsi"/>
          <w:snapToGrid w:val="0"/>
          <w:lang w:val="en-GB" w:eastAsia="en-US"/>
        </w:rPr>
        <w:t>noted</w:t>
      </w:r>
      <w:r w:rsidR="00E55E0C">
        <w:rPr>
          <w:rFonts w:asciiTheme="minorHAnsi" w:hAnsiTheme="minorHAnsi"/>
          <w:snapToGrid w:val="0"/>
          <w:lang w:val="en-GB" w:eastAsia="en-US"/>
        </w:rPr>
        <w:t xml:space="preserve"> support from the </w:t>
      </w:r>
      <w:r w:rsidR="00CA0B46">
        <w:rPr>
          <w:rFonts w:asciiTheme="minorHAnsi" w:hAnsiTheme="minorHAnsi"/>
          <w:snapToGrid w:val="0"/>
          <w:lang w:val="en-GB" w:eastAsia="en-US"/>
        </w:rPr>
        <w:t xml:space="preserve">clinician from the </w:t>
      </w:r>
      <w:r w:rsidR="00E55E0C">
        <w:rPr>
          <w:rFonts w:asciiTheme="minorHAnsi" w:hAnsiTheme="minorHAnsi"/>
          <w:snapToGrid w:val="0"/>
          <w:lang w:val="en-GB" w:eastAsia="en-US"/>
        </w:rPr>
        <w:t xml:space="preserve">sponsor hearing for expanding the listing to </w:t>
      </w:r>
      <w:r w:rsidR="00463C25">
        <w:rPr>
          <w:rFonts w:asciiTheme="minorHAnsi" w:hAnsiTheme="minorHAnsi"/>
          <w:snapToGrid w:val="0"/>
          <w:lang w:val="en-GB" w:eastAsia="en-US"/>
        </w:rPr>
        <w:t>women</w:t>
      </w:r>
      <w:r w:rsidR="00E55E0C">
        <w:rPr>
          <w:rFonts w:asciiTheme="minorHAnsi" w:hAnsiTheme="minorHAnsi"/>
          <w:snapToGrid w:val="0"/>
          <w:lang w:val="en-GB" w:eastAsia="en-US"/>
        </w:rPr>
        <w:t xml:space="preserve"> aged 60 years and over. </w:t>
      </w:r>
      <w:r w:rsidR="001D5A23">
        <w:rPr>
          <w:rFonts w:asciiTheme="minorHAnsi" w:hAnsiTheme="minorHAnsi"/>
          <w:snapToGrid w:val="0"/>
          <w:lang w:val="en-GB" w:eastAsia="en-US"/>
        </w:rPr>
        <w:t xml:space="preserve">The PBAC noted the submissions argument that it was reasonable to consider that the PBAC has historically considered risedronate to be effective in males (see paragraph </w:t>
      </w:r>
      <w:r w:rsidR="001D5A23">
        <w:rPr>
          <w:rFonts w:asciiTheme="minorHAnsi" w:hAnsiTheme="minorHAnsi"/>
          <w:snapToGrid w:val="0"/>
          <w:lang w:val="en-GB" w:eastAsia="en-US"/>
        </w:rPr>
        <w:fldChar w:fldCharType="begin" w:fldLock="1"/>
      </w:r>
      <w:r w:rsidR="001D5A23">
        <w:rPr>
          <w:rFonts w:asciiTheme="minorHAnsi" w:hAnsiTheme="minorHAnsi"/>
          <w:snapToGrid w:val="0"/>
          <w:lang w:val="en-GB" w:eastAsia="en-US"/>
        </w:rPr>
        <w:instrText xml:space="preserve"> REF _Ref120532728 \r \h </w:instrText>
      </w:r>
      <w:r w:rsidR="001D5A23">
        <w:rPr>
          <w:rFonts w:asciiTheme="minorHAnsi" w:hAnsiTheme="minorHAnsi"/>
          <w:snapToGrid w:val="0"/>
          <w:lang w:val="en-GB" w:eastAsia="en-US"/>
        </w:rPr>
      </w:r>
      <w:r w:rsidR="001D5A23">
        <w:rPr>
          <w:rFonts w:asciiTheme="minorHAnsi" w:hAnsiTheme="minorHAnsi"/>
          <w:snapToGrid w:val="0"/>
          <w:lang w:val="en-GB" w:eastAsia="en-US"/>
        </w:rPr>
        <w:fldChar w:fldCharType="separate"/>
      </w:r>
      <w:r w:rsidR="008E5873">
        <w:rPr>
          <w:rFonts w:asciiTheme="minorHAnsi" w:hAnsiTheme="minorHAnsi"/>
          <w:snapToGrid w:val="0"/>
          <w:lang w:val="en-GB" w:eastAsia="en-US"/>
        </w:rPr>
        <w:t>6.22</w:t>
      </w:r>
      <w:r w:rsidR="001D5A23">
        <w:rPr>
          <w:rFonts w:asciiTheme="minorHAnsi" w:hAnsiTheme="minorHAnsi"/>
          <w:snapToGrid w:val="0"/>
          <w:lang w:val="en-GB" w:eastAsia="en-US"/>
        </w:rPr>
        <w:fldChar w:fldCharType="end"/>
      </w:r>
      <w:r w:rsidR="001D5A23">
        <w:rPr>
          <w:rFonts w:asciiTheme="minorHAnsi" w:hAnsiTheme="minorHAnsi"/>
          <w:snapToGrid w:val="0"/>
          <w:lang w:val="en-GB" w:eastAsia="en-US"/>
        </w:rPr>
        <w:t xml:space="preserve">). </w:t>
      </w:r>
      <w:r w:rsidR="00E55E0C">
        <w:rPr>
          <w:rFonts w:asciiTheme="minorHAnsi" w:hAnsiTheme="minorHAnsi"/>
          <w:snapToGrid w:val="0"/>
          <w:lang w:val="en-GB" w:eastAsia="en-US"/>
        </w:rPr>
        <w:t>O</w:t>
      </w:r>
      <w:r w:rsidR="00CA0B46">
        <w:rPr>
          <w:rFonts w:asciiTheme="minorHAnsi" w:hAnsiTheme="minorHAnsi"/>
          <w:snapToGrid w:val="0"/>
          <w:lang w:val="en-GB" w:eastAsia="en-US"/>
        </w:rPr>
        <w:t>n balance</w:t>
      </w:r>
      <w:r w:rsidR="00E55E0C">
        <w:rPr>
          <w:rFonts w:asciiTheme="minorHAnsi" w:hAnsiTheme="minorHAnsi"/>
          <w:snapToGrid w:val="0"/>
          <w:lang w:val="en-GB" w:eastAsia="en-US"/>
        </w:rPr>
        <w:t>, t</w:t>
      </w:r>
      <w:r w:rsidR="00E55E0C" w:rsidRPr="004B1117">
        <w:rPr>
          <w:rFonts w:asciiTheme="minorHAnsi" w:hAnsiTheme="minorHAnsi"/>
          <w:snapToGrid w:val="0"/>
          <w:lang w:val="en-GB" w:eastAsia="en-US"/>
        </w:rPr>
        <w:t xml:space="preserve">he PBAC considered that the claim of superior comparative effectiveness versus placebo was uncertain but likely reasonable, with the absolute magnitude of benefit in a younger population without fracture likely to be smaller than observed in the trials. To reduce the uncertainty associated with the </w:t>
      </w:r>
      <w:r w:rsidR="00E55E0C">
        <w:rPr>
          <w:rFonts w:asciiTheme="minorHAnsi" w:hAnsiTheme="minorHAnsi"/>
          <w:snapToGrid w:val="0"/>
          <w:lang w:val="en-GB" w:eastAsia="en-US"/>
        </w:rPr>
        <w:t xml:space="preserve">clinical claim </w:t>
      </w:r>
      <w:r w:rsidR="00CA0B46">
        <w:rPr>
          <w:rFonts w:asciiTheme="minorHAnsi" w:hAnsiTheme="minorHAnsi"/>
          <w:snapToGrid w:val="0"/>
          <w:lang w:val="en-GB" w:eastAsia="en-US"/>
        </w:rPr>
        <w:t xml:space="preserve">the </w:t>
      </w:r>
      <w:r w:rsidRPr="00712899">
        <w:rPr>
          <w:rFonts w:asciiTheme="minorHAnsi" w:hAnsiTheme="minorHAnsi"/>
          <w:snapToGrid w:val="0"/>
          <w:lang w:val="en-GB" w:eastAsia="en-US"/>
        </w:rPr>
        <w:t xml:space="preserve">PBAC considered </w:t>
      </w:r>
      <w:r w:rsidR="004A6BEC">
        <w:rPr>
          <w:rFonts w:asciiTheme="minorHAnsi" w:hAnsiTheme="minorHAnsi"/>
          <w:snapToGrid w:val="0"/>
          <w:lang w:val="en-GB" w:eastAsia="en-US"/>
        </w:rPr>
        <w:t xml:space="preserve">the </w:t>
      </w:r>
      <w:r w:rsidRPr="00712899">
        <w:rPr>
          <w:rFonts w:asciiTheme="minorHAnsi" w:hAnsiTheme="minorHAnsi"/>
          <w:snapToGrid w:val="0"/>
          <w:lang w:val="en-GB" w:eastAsia="en-US"/>
        </w:rPr>
        <w:t xml:space="preserve">listing </w:t>
      </w:r>
      <w:r w:rsidR="004A6BEC">
        <w:rPr>
          <w:rFonts w:asciiTheme="minorHAnsi" w:hAnsiTheme="minorHAnsi"/>
          <w:snapToGrid w:val="0"/>
          <w:lang w:val="en-GB" w:eastAsia="en-US"/>
        </w:rPr>
        <w:t xml:space="preserve">should be restricted </w:t>
      </w:r>
      <w:r w:rsidRPr="00712899">
        <w:rPr>
          <w:rFonts w:asciiTheme="minorHAnsi" w:hAnsiTheme="minorHAnsi"/>
          <w:snapToGrid w:val="0"/>
          <w:lang w:val="en-GB" w:eastAsia="en-US"/>
        </w:rPr>
        <w:t xml:space="preserve">to patients aged 60 years and </w:t>
      </w:r>
      <w:r w:rsidR="000632E8">
        <w:rPr>
          <w:rFonts w:asciiTheme="minorHAnsi" w:hAnsiTheme="minorHAnsi"/>
          <w:snapToGrid w:val="0"/>
          <w:lang w:val="en-GB" w:eastAsia="en-US"/>
        </w:rPr>
        <w:t>above</w:t>
      </w:r>
      <w:r w:rsidRPr="00712899">
        <w:rPr>
          <w:rFonts w:asciiTheme="minorHAnsi" w:hAnsiTheme="minorHAnsi"/>
          <w:snapToGrid w:val="0"/>
          <w:lang w:val="en-GB" w:eastAsia="en-US"/>
        </w:rPr>
        <w:t xml:space="preserve"> (regardless of gender)</w:t>
      </w:r>
      <w:r w:rsidR="00531EE4" w:rsidRPr="00712899">
        <w:rPr>
          <w:rFonts w:asciiTheme="minorHAnsi" w:hAnsiTheme="minorHAnsi"/>
          <w:snapToGrid w:val="0"/>
          <w:lang w:val="en-GB" w:eastAsia="en-US"/>
        </w:rPr>
        <w:t>.</w:t>
      </w:r>
    </w:p>
    <w:p w14:paraId="7232381E" w14:textId="33C46983" w:rsidR="006B5200" w:rsidRPr="006B5200" w:rsidRDefault="000B1A78" w:rsidP="00B15F1F">
      <w:pPr>
        <w:widowControl w:val="0"/>
        <w:numPr>
          <w:ilvl w:val="1"/>
          <w:numId w:val="1"/>
        </w:numPr>
        <w:spacing w:after="120"/>
        <w:ind w:left="720" w:hanging="720"/>
        <w:rPr>
          <w:rFonts w:asciiTheme="minorHAnsi" w:hAnsiTheme="minorHAnsi"/>
          <w:snapToGrid w:val="0"/>
          <w:lang w:val="en-GB" w:eastAsia="en-US"/>
        </w:rPr>
      </w:pPr>
      <w:r>
        <w:rPr>
          <w:rFonts w:asciiTheme="minorHAnsi" w:hAnsiTheme="minorHAnsi"/>
          <w:snapToGrid w:val="0"/>
          <w:lang w:val="en-GB" w:eastAsia="en-US"/>
        </w:rPr>
        <w:t xml:space="preserve">The PBAC considered the safety of risedronate was generally well understood from a long history of use and noted that while many patients tolerate it acceptably, there </w:t>
      </w:r>
      <w:r w:rsidR="00D17225">
        <w:rPr>
          <w:rFonts w:asciiTheme="minorHAnsi" w:hAnsiTheme="minorHAnsi"/>
          <w:snapToGrid w:val="0"/>
          <w:lang w:val="en-GB" w:eastAsia="en-US"/>
        </w:rPr>
        <w:t>are risks in patients who are of childbearing age and</w:t>
      </w:r>
      <w:r>
        <w:rPr>
          <w:rFonts w:asciiTheme="minorHAnsi" w:hAnsiTheme="minorHAnsi"/>
          <w:snapToGrid w:val="0"/>
          <w:lang w:val="en-GB" w:eastAsia="en-US"/>
        </w:rPr>
        <w:t xml:space="preserve"> rare cases of osteonecrosis of the jaw</w:t>
      </w:r>
      <w:r w:rsidR="00D17225">
        <w:rPr>
          <w:rFonts w:asciiTheme="minorHAnsi" w:hAnsiTheme="minorHAnsi"/>
          <w:snapToGrid w:val="0"/>
          <w:lang w:val="en-GB" w:eastAsia="en-US"/>
        </w:rPr>
        <w:t xml:space="preserve"> which are serious safety concerns. Overall, the PBAC did not accept the claim of non-inferior safety to placebo and considered a claim of inferior safety was reasonable; however, the PBAC considered that the benefits of risedronate treatment outweigh the risks in its proposed extended population (i.e. patients aged 60 years and over with a BMD T-score of -2.5 or less). </w:t>
      </w:r>
    </w:p>
    <w:p w14:paraId="606333B4" w14:textId="5F960554" w:rsidR="00486A7A" w:rsidRPr="00486A7A" w:rsidRDefault="00DF1AA4" w:rsidP="00744BCB">
      <w:pPr>
        <w:widowControl w:val="0"/>
        <w:numPr>
          <w:ilvl w:val="1"/>
          <w:numId w:val="1"/>
        </w:numPr>
        <w:spacing w:after="120"/>
        <w:ind w:left="720" w:hanging="720"/>
        <w:rPr>
          <w:rFonts w:asciiTheme="minorHAnsi" w:hAnsiTheme="minorHAnsi"/>
          <w:bCs/>
          <w:snapToGrid w:val="0"/>
        </w:rPr>
      </w:pPr>
      <w:r>
        <w:rPr>
          <w:rFonts w:asciiTheme="minorHAnsi" w:hAnsiTheme="minorHAnsi"/>
          <w:bCs/>
          <w:snapToGrid w:val="0"/>
        </w:rPr>
        <w:t>The</w:t>
      </w:r>
      <w:r w:rsidRPr="00DF1AA4">
        <w:t xml:space="preserve"> </w:t>
      </w:r>
      <w:r>
        <w:t>economic evaluation was based on early initiation of treatment with risedronate EC in eligible patients aged less than 70 years, versus delayed treatment with standard of care therapies (predominantly denosumab) in patients who fracture or reach the age of 70 years.</w:t>
      </w:r>
      <w:r>
        <w:rPr>
          <w:rFonts w:asciiTheme="minorHAnsi" w:hAnsiTheme="minorHAnsi"/>
          <w:bCs/>
          <w:snapToGrid w:val="0"/>
        </w:rPr>
        <w:t xml:space="preserve"> </w:t>
      </w:r>
      <w:r w:rsidR="00881B85" w:rsidRPr="007B2184">
        <w:rPr>
          <w:rFonts w:asciiTheme="minorHAnsi" w:hAnsiTheme="minorHAnsi"/>
          <w:bCs/>
          <w:snapToGrid w:val="0"/>
        </w:rPr>
        <w:t xml:space="preserve">The </w:t>
      </w:r>
      <w:r>
        <w:rPr>
          <w:rFonts w:asciiTheme="minorHAnsi" w:hAnsiTheme="minorHAnsi"/>
          <w:bCs/>
          <w:snapToGrid w:val="0"/>
        </w:rPr>
        <w:t xml:space="preserve">PBAC agreed with </w:t>
      </w:r>
      <w:r w:rsidR="00881B85" w:rsidRPr="007B2184">
        <w:rPr>
          <w:rFonts w:asciiTheme="minorHAnsi" w:hAnsiTheme="minorHAnsi"/>
          <w:bCs/>
          <w:snapToGrid w:val="0"/>
        </w:rPr>
        <w:t xml:space="preserve">ESC concerns regarding persistence assumptions over the 20 year time horizon, use of alendronate as a proxy to determine risedronate treatment effects and overestimating the costs of fractures occurring in the younger population. The </w:t>
      </w:r>
      <w:r>
        <w:rPr>
          <w:rFonts w:asciiTheme="minorHAnsi" w:hAnsiTheme="minorHAnsi"/>
          <w:bCs/>
          <w:snapToGrid w:val="0"/>
        </w:rPr>
        <w:t xml:space="preserve">PBAC noted the </w:t>
      </w:r>
      <w:r w:rsidR="00881B85" w:rsidRPr="007B2184">
        <w:rPr>
          <w:rFonts w:asciiTheme="minorHAnsi" w:hAnsiTheme="minorHAnsi"/>
          <w:bCs/>
          <w:snapToGrid w:val="0"/>
        </w:rPr>
        <w:t xml:space="preserve">ESC </w:t>
      </w:r>
      <w:r>
        <w:rPr>
          <w:rFonts w:asciiTheme="minorHAnsi" w:hAnsiTheme="minorHAnsi"/>
          <w:bCs/>
          <w:snapToGrid w:val="0"/>
        </w:rPr>
        <w:t>favoured</w:t>
      </w:r>
      <w:r w:rsidR="000632E8">
        <w:rPr>
          <w:rFonts w:asciiTheme="minorHAnsi" w:hAnsiTheme="minorHAnsi"/>
          <w:bCs/>
          <w:snapToGrid w:val="0"/>
        </w:rPr>
        <w:t xml:space="preserve"> a</w:t>
      </w:r>
      <w:r>
        <w:rPr>
          <w:rFonts w:asciiTheme="minorHAnsi" w:hAnsiTheme="minorHAnsi"/>
          <w:bCs/>
          <w:snapToGrid w:val="0"/>
        </w:rPr>
        <w:t xml:space="preserve"> </w:t>
      </w:r>
      <w:r w:rsidR="00881B85" w:rsidRPr="007B2184">
        <w:rPr>
          <w:rFonts w:asciiTheme="minorHAnsi" w:hAnsiTheme="minorHAnsi"/>
          <w:bCs/>
          <w:snapToGrid w:val="0"/>
        </w:rPr>
        <w:t xml:space="preserve">multivariate sensitivity analysis </w:t>
      </w:r>
      <w:r>
        <w:rPr>
          <w:rFonts w:asciiTheme="minorHAnsi" w:hAnsiTheme="minorHAnsi"/>
          <w:bCs/>
          <w:snapToGrid w:val="0"/>
        </w:rPr>
        <w:t>addressing these concerns</w:t>
      </w:r>
      <w:r w:rsidR="000632E8">
        <w:rPr>
          <w:rFonts w:asciiTheme="minorHAnsi" w:hAnsiTheme="minorHAnsi"/>
          <w:bCs/>
          <w:snapToGrid w:val="0"/>
        </w:rPr>
        <w:t xml:space="preserve"> which</w:t>
      </w:r>
      <w:r w:rsidR="00881B85" w:rsidRPr="007B2184">
        <w:rPr>
          <w:rFonts w:asciiTheme="minorHAnsi" w:hAnsiTheme="minorHAnsi"/>
          <w:bCs/>
          <w:snapToGrid w:val="0"/>
        </w:rPr>
        <w:t xml:space="preserve"> increased the ICER from a base case of </w:t>
      </w:r>
      <w:r w:rsidR="0063642F" w:rsidRPr="0063642F">
        <w:rPr>
          <w:rFonts w:asciiTheme="minorHAnsi" w:hAnsiTheme="minorHAnsi"/>
          <w:bCs/>
          <w:snapToGrid w:val="0"/>
        </w:rPr>
        <w:t>$5,000</w:t>
      </w:r>
      <w:r w:rsidR="00B87DF9">
        <w:rPr>
          <w:rFonts w:asciiTheme="minorHAnsi" w:hAnsiTheme="minorHAnsi"/>
          <w:bCs/>
          <w:snapToGrid w:val="0"/>
        </w:rPr>
        <w:t> </w:t>
      </w:r>
      <w:r w:rsidR="0063642F" w:rsidRPr="0063642F">
        <w:rPr>
          <w:rFonts w:asciiTheme="minorHAnsi" w:hAnsiTheme="minorHAnsi"/>
          <w:bCs/>
          <w:snapToGrid w:val="0"/>
        </w:rPr>
        <w:t>to</w:t>
      </w:r>
      <w:r w:rsidR="00B87DF9">
        <w:rPr>
          <w:rFonts w:asciiTheme="minorHAnsi" w:hAnsiTheme="minorHAnsi"/>
          <w:bCs/>
          <w:snapToGrid w:val="0"/>
        </w:rPr>
        <w:t> </w:t>
      </w:r>
      <w:r w:rsidR="0063642F" w:rsidRPr="0063642F">
        <w:rPr>
          <w:rFonts w:asciiTheme="minorHAnsi" w:hAnsiTheme="minorHAnsi"/>
          <w:bCs/>
          <w:snapToGrid w:val="0"/>
        </w:rPr>
        <w:t>&lt;</w:t>
      </w:r>
      <w:r w:rsidR="00B87DF9">
        <w:rPr>
          <w:rFonts w:asciiTheme="minorHAnsi" w:hAnsiTheme="minorHAnsi"/>
          <w:bCs/>
          <w:snapToGrid w:val="0"/>
        </w:rPr>
        <w:t> </w:t>
      </w:r>
      <w:r w:rsidR="0063642F" w:rsidRPr="0063642F">
        <w:rPr>
          <w:rFonts w:asciiTheme="minorHAnsi" w:hAnsiTheme="minorHAnsi"/>
          <w:bCs/>
          <w:snapToGrid w:val="0"/>
        </w:rPr>
        <w:t xml:space="preserve">$15,000 </w:t>
      </w:r>
      <w:r w:rsidR="00881B85" w:rsidRPr="007B2184">
        <w:rPr>
          <w:rFonts w:asciiTheme="minorHAnsi" w:hAnsiTheme="minorHAnsi"/>
          <w:bCs/>
          <w:snapToGrid w:val="0"/>
        </w:rPr>
        <w:t xml:space="preserve">per QALY gained to </w:t>
      </w:r>
      <w:r w:rsidR="0063642F" w:rsidRPr="0063642F">
        <w:rPr>
          <w:rFonts w:asciiTheme="minorHAnsi" w:hAnsiTheme="minorHAnsi"/>
          <w:bCs/>
          <w:snapToGrid w:val="0"/>
        </w:rPr>
        <w:t>$75,000</w:t>
      </w:r>
      <w:r w:rsidR="00B87DF9">
        <w:rPr>
          <w:rFonts w:asciiTheme="minorHAnsi" w:hAnsiTheme="minorHAnsi"/>
          <w:bCs/>
          <w:snapToGrid w:val="0"/>
        </w:rPr>
        <w:t> </w:t>
      </w:r>
      <w:r w:rsidR="0063642F" w:rsidRPr="0063642F">
        <w:rPr>
          <w:rFonts w:asciiTheme="minorHAnsi" w:hAnsiTheme="minorHAnsi"/>
          <w:bCs/>
          <w:snapToGrid w:val="0"/>
        </w:rPr>
        <w:t>to</w:t>
      </w:r>
      <w:r w:rsidR="00B87DF9">
        <w:rPr>
          <w:rFonts w:asciiTheme="minorHAnsi" w:hAnsiTheme="minorHAnsi"/>
          <w:bCs/>
          <w:snapToGrid w:val="0"/>
        </w:rPr>
        <w:t> </w:t>
      </w:r>
      <w:r w:rsidR="0063642F" w:rsidRPr="0063642F">
        <w:rPr>
          <w:rFonts w:asciiTheme="minorHAnsi" w:hAnsiTheme="minorHAnsi"/>
          <w:bCs/>
          <w:snapToGrid w:val="0"/>
        </w:rPr>
        <w:t>&lt;</w:t>
      </w:r>
      <w:r w:rsidR="00B87DF9">
        <w:rPr>
          <w:rFonts w:asciiTheme="minorHAnsi" w:hAnsiTheme="minorHAnsi"/>
          <w:bCs/>
          <w:snapToGrid w:val="0"/>
        </w:rPr>
        <w:t> </w:t>
      </w:r>
      <w:r w:rsidR="0063642F" w:rsidRPr="0063642F">
        <w:rPr>
          <w:rFonts w:asciiTheme="minorHAnsi" w:hAnsiTheme="minorHAnsi"/>
          <w:bCs/>
          <w:snapToGrid w:val="0"/>
        </w:rPr>
        <w:t>$95,000</w:t>
      </w:r>
      <w:r w:rsidR="0063642F">
        <w:rPr>
          <w:rFonts w:asciiTheme="minorHAnsi" w:hAnsiTheme="minorHAnsi"/>
          <w:bCs/>
          <w:snapToGrid w:val="0"/>
        </w:rPr>
        <w:t xml:space="preserve"> </w:t>
      </w:r>
      <w:r w:rsidR="00881B85" w:rsidRPr="007B2184">
        <w:rPr>
          <w:rFonts w:asciiTheme="minorHAnsi" w:hAnsiTheme="minorHAnsi"/>
          <w:bCs/>
          <w:snapToGrid w:val="0"/>
        </w:rPr>
        <w:t>per QALY gained</w:t>
      </w:r>
      <w:r>
        <w:rPr>
          <w:rFonts w:asciiTheme="minorHAnsi" w:hAnsiTheme="minorHAnsi"/>
          <w:bCs/>
          <w:snapToGrid w:val="0"/>
        </w:rPr>
        <w:t xml:space="preserve"> (see paragraph </w:t>
      </w:r>
      <w:r>
        <w:rPr>
          <w:rFonts w:asciiTheme="minorHAnsi" w:hAnsiTheme="minorHAnsi"/>
          <w:bCs/>
          <w:snapToGrid w:val="0"/>
        </w:rPr>
        <w:fldChar w:fldCharType="begin" w:fldLock="1"/>
      </w:r>
      <w:r>
        <w:rPr>
          <w:rFonts w:asciiTheme="minorHAnsi" w:hAnsiTheme="minorHAnsi"/>
          <w:bCs/>
          <w:snapToGrid w:val="0"/>
        </w:rPr>
        <w:instrText xml:space="preserve"> REF _Ref120524831 \r \h </w:instrText>
      </w:r>
      <w:r>
        <w:rPr>
          <w:rFonts w:asciiTheme="minorHAnsi" w:hAnsiTheme="minorHAnsi"/>
          <w:bCs/>
          <w:snapToGrid w:val="0"/>
        </w:rPr>
      </w:r>
      <w:r>
        <w:rPr>
          <w:rFonts w:asciiTheme="minorHAnsi" w:hAnsiTheme="minorHAnsi"/>
          <w:bCs/>
          <w:snapToGrid w:val="0"/>
        </w:rPr>
        <w:fldChar w:fldCharType="separate"/>
      </w:r>
      <w:r w:rsidR="008E5873">
        <w:rPr>
          <w:rFonts w:asciiTheme="minorHAnsi" w:hAnsiTheme="minorHAnsi"/>
          <w:bCs/>
          <w:snapToGrid w:val="0"/>
        </w:rPr>
        <w:t>6.82</w:t>
      </w:r>
      <w:r>
        <w:rPr>
          <w:rFonts w:asciiTheme="minorHAnsi" w:hAnsiTheme="minorHAnsi"/>
          <w:bCs/>
          <w:snapToGrid w:val="0"/>
        </w:rPr>
        <w:fldChar w:fldCharType="end"/>
      </w:r>
      <w:r w:rsidR="00744BCB">
        <w:rPr>
          <w:rFonts w:asciiTheme="minorHAnsi" w:hAnsiTheme="minorHAnsi"/>
          <w:bCs/>
          <w:snapToGrid w:val="0"/>
        </w:rPr>
        <w:t>)</w:t>
      </w:r>
      <w:r w:rsidR="00881B85" w:rsidRPr="007B2184">
        <w:rPr>
          <w:rFonts w:asciiTheme="minorHAnsi" w:hAnsiTheme="minorHAnsi"/>
          <w:bCs/>
          <w:snapToGrid w:val="0"/>
        </w:rPr>
        <w:t xml:space="preserve">. </w:t>
      </w:r>
      <w:r w:rsidR="00744BCB">
        <w:rPr>
          <w:rFonts w:asciiTheme="minorHAnsi" w:hAnsiTheme="minorHAnsi"/>
          <w:bCs/>
          <w:snapToGrid w:val="0"/>
        </w:rPr>
        <w:t xml:space="preserve">The PBAC acknowledged the pre-PBAC response provided a respecified base case </w:t>
      </w:r>
      <w:r w:rsidR="00BB1141">
        <w:rPr>
          <w:rFonts w:asciiTheme="minorHAnsi" w:hAnsiTheme="minorHAnsi"/>
          <w:bCs/>
          <w:snapToGrid w:val="0"/>
        </w:rPr>
        <w:t xml:space="preserve">that included </w:t>
      </w:r>
      <w:r w:rsidR="00744BCB">
        <w:rPr>
          <w:rFonts w:asciiTheme="minorHAnsi" w:hAnsiTheme="minorHAnsi"/>
          <w:bCs/>
          <w:snapToGrid w:val="0"/>
        </w:rPr>
        <w:t xml:space="preserve">a longer time horizon (15 years) and a different method for costing fractures in younger patients than the approach favoured by ESC (see paragraph </w:t>
      </w:r>
      <w:r w:rsidR="00744BCB">
        <w:rPr>
          <w:rFonts w:asciiTheme="minorHAnsi" w:hAnsiTheme="minorHAnsi"/>
          <w:bCs/>
          <w:snapToGrid w:val="0"/>
        </w:rPr>
        <w:fldChar w:fldCharType="begin" w:fldLock="1"/>
      </w:r>
      <w:r w:rsidR="00744BCB">
        <w:rPr>
          <w:rFonts w:asciiTheme="minorHAnsi" w:hAnsiTheme="minorHAnsi"/>
          <w:bCs/>
          <w:snapToGrid w:val="0"/>
        </w:rPr>
        <w:instrText xml:space="preserve"> REF _Ref120525240 \r \h </w:instrText>
      </w:r>
      <w:r w:rsidR="00744BCB">
        <w:rPr>
          <w:rFonts w:asciiTheme="minorHAnsi" w:hAnsiTheme="minorHAnsi"/>
          <w:bCs/>
          <w:snapToGrid w:val="0"/>
        </w:rPr>
      </w:r>
      <w:r w:rsidR="00744BCB">
        <w:rPr>
          <w:rFonts w:asciiTheme="minorHAnsi" w:hAnsiTheme="minorHAnsi"/>
          <w:bCs/>
          <w:snapToGrid w:val="0"/>
        </w:rPr>
        <w:fldChar w:fldCharType="separate"/>
      </w:r>
      <w:r w:rsidR="008E5873">
        <w:rPr>
          <w:rFonts w:asciiTheme="minorHAnsi" w:hAnsiTheme="minorHAnsi"/>
          <w:bCs/>
          <w:snapToGrid w:val="0"/>
        </w:rPr>
        <w:t>6.83</w:t>
      </w:r>
      <w:r w:rsidR="00744BCB">
        <w:rPr>
          <w:rFonts w:asciiTheme="minorHAnsi" w:hAnsiTheme="minorHAnsi"/>
          <w:bCs/>
          <w:snapToGrid w:val="0"/>
        </w:rPr>
        <w:fldChar w:fldCharType="end"/>
      </w:r>
      <w:r w:rsidR="00744BCB">
        <w:rPr>
          <w:rFonts w:asciiTheme="minorHAnsi" w:hAnsiTheme="minorHAnsi"/>
          <w:bCs/>
          <w:snapToGrid w:val="0"/>
        </w:rPr>
        <w:t>)</w:t>
      </w:r>
      <w:r w:rsidR="00486A7A">
        <w:rPr>
          <w:rFonts w:asciiTheme="minorHAnsi" w:hAnsiTheme="minorHAnsi"/>
          <w:bCs/>
          <w:snapToGrid w:val="0"/>
        </w:rPr>
        <w:t xml:space="preserve">. </w:t>
      </w:r>
      <w:r w:rsidR="00881B85" w:rsidRPr="00744BCB">
        <w:rPr>
          <w:rFonts w:asciiTheme="minorHAnsi" w:hAnsiTheme="minorHAnsi"/>
          <w:bCs/>
          <w:snapToGrid w:val="0"/>
        </w:rPr>
        <w:t xml:space="preserve">However, </w:t>
      </w:r>
      <w:r w:rsidR="00486A7A">
        <w:rPr>
          <w:rFonts w:asciiTheme="minorHAnsi" w:hAnsiTheme="minorHAnsi"/>
          <w:bCs/>
          <w:snapToGrid w:val="0"/>
        </w:rPr>
        <w:t>like the ESC</w:t>
      </w:r>
      <w:r w:rsidR="00BB1141">
        <w:rPr>
          <w:rFonts w:asciiTheme="minorHAnsi" w:hAnsiTheme="minorHAnsi"/>
          <w:bCs/>
          <w:snapToGrid w:val="0"/>
        </w:rPr>
        <w:t>,</w:t>
      </w:r>
      <w:r w:rsidR="00486A7A">
        <w:rPr>
          <w:rFonts w:asciiTheme="minorHAnsi" w:hAnsiTheme="minorHAnsi"/>
          <w:bCs/>
          <w:snapToGrid w:val="0"/>
        </w:rPr>
        <w:t xml:space="preserve"> </w:t>
      </w:r>
      <w:r w:rsidR="00881B85" w:rsidRPr="00744BCB">
        <w:rPr>
          <w:rFonts w:asciiTheme="minorHAnsi" w:hAnsiTheme="minorHAnsi"/>
          <w:bCs/>
          <w:snapToGrid w:val="0"/>
        </w:rPr>
        <w:t xml:space="preserve">the </w:t>
      </w:r>
      <w:r w:rsidR="00486A7A">
        <w:rPr>
          <w:rFonts w:asciiTheme="minorHAnsi" w:hAnsiTheme="minorHAnsi"/>
          <w:bCs/>
          <w:snapToGrid w:val="0"/>
        </w:rPr>
        <w:t>PBAC</w:t>
      </w:r>
      <w:r w:rsidR="00881B85" w:rsidRPr="00744BCB">
        <w:rPr>
          <w:rFonts w:asciiTheme="minorHAnsi" w:hAnsiTheme="minorHAnsi"/>
          <w:bCs/>
          <w:snapToGrid w:val="0"/>
        </w:rPr>
        <w:t xml:space="preserve"> remained concerned that the costs associated with BMD testing in the proposed population were not included in the economic evaluation. </w:t>
      </w:r>
      <w:r w:rsidR="00486A7A">
        <w:rPr>
          <w:rFonts w:asciiTheme="minorHAnsi" w:hAnsiTheme="minorHAnsi"/>
          <w:snapToGrid w:val="0"/>
          <w:lang w:val="en-GB" w:eastAsia="en-US"/>
        </w:rPr>
        <w:t>Overall, the PBAC considered the economic model to be problematic and may not be reliable for decision making.</w:t>
      </w:r>
    </w:p>
    <w:p w14:paraId="339A37AE" w14:textId="28933967" w:rsidR="00CA0B46" w:rsidRPr="00BB1141" w:rsidRDefault="00C730C6" w:rsidP="00BB1141">
      <w:pPr>
        <w:widowControl w:val="0"/>
        <w:numPr>
          <w:ilvl w:val="1"/>
          <w:numId w:val="1"/>
        </w:numPr>
        <w:spacing w:after="120"/>
        <w:ind w:left="720" w:hanging="720"/>
        <w:rPr>
          <w:rFonts w:asciiTheme="minorHAnsi" w:hAnsiTheme="minorHAnsi"/>
          <w:bCs/>
          <w:snapToGrid w:val="0"/>
        </w:rPr>
      </w:pPr>
      <w:r>
        <w:rPr>
          <w:rFonts w:asciiTheme="minorHAnsi" w:hAnsiTheme="minorHAnsi"/>
          <w:bCs/>
          <w:snapToGrid w:val="0"/>
        </w:rPr>
        <w:t xml:space="preserve">The PBAC noted that on average the fracture risk in </w:t>
      </w:r>
      <w:r>
        <w:rPr>
          <w:rFonts w:asciiTheme="minorHAnsi" w:hAnsiTheme="minorHAnsi"/>
          <w:snapToGrid w:val="0"/>
          <w:lang w:val="en-GB" w:eastAsia="en-US"/>
        </w:rPr>
        <w:t xml:space="preserve">patients aged 60 years and over with a BMD T-score of -2.5 or less will be lower than that for </w:t>
      </w:r>
      <w:r w:rsidR="006D36E2">
        <w:rPr>
          <w:rFonts w:asciiTheme="minorHAnsi" w:hAnsiTheme="minorHAnsi"/>
          <w:snapToGrid w:val="0"/>
          <w:lang w:val="en-GB" w:eastAsia="en-US"/>
        </w:rPr>
        <w:t xml:space="preserve">patients meeting </w:t>
      </w:r>
      <w:r>
        <w:rPr>
          <w:rFonts w:asciiTheme="minorHAnsi" w:hAnsiTheme="minorHAnsi"/>
          <w:snapToGrid w:val="0"/>
          <w:lang w:val="en-GB" w:eastAsia="en-US"/>
        </w:rPr>
        <w:t xml:space="preserve">the current PBS listing </w:t>
      </w:r>
      <w:r w:rsidR="006D36E2">
        <w:rPr>
          <w:rFonts w:asciiTheme="minorHAnsi" w:hAnsiTheme="minorHAnsi"/>
          <w:snapToGrid w:val="0"/>
          <w:lang w:val="en-GB" w:eastAsia="en-US"/>
        </w:rPr>
        <w:t xml:space="preserve">criteria </w:t>
      </w:r>
      <w:r>
        <w:rPr>
          <w:rFonts w:asciiTheme="minorHAnsi" w:hAnsiTheme="minorHAnsi"/>
          <w:snapToGrid w:val="0"/>
          <w:lang w:val="en-GB" w:eastAsia="en-US"/>
        </w:rPr>
        <w:t xml:space="preserve">(patients aged 70 years and over with a BMD T-score of -2.5 or less). However, the PBAC further noted that for patients aged 60-70 years with a BMD T-score of -3.0 or less the fracture risk approaches that </w:t>
      </w:r>
      <w:r w:rsidR="006D36E2">
        <w:rPr>
          <w:rFonts w:asciiTheme="minorHAnsi" w:hAnsiTheme="minorHAnsi"/>
          <w:snapToGrid w:val="0"/>
          <w:lang w:val="en-GB" w:eastAsia="en-US"/>
        </w:rPr>
        <w:t>based on</w:t>
      </w:r>
      <w:r>
        <w:rPr>
          <w:rFonts w:asciiTheme="minorHAnsi" w:hAnsiTheme="minorHAnsi"/>
          <w:snapToGrid w:val="0"/>
          <w:lang w:val="en-GB" w:eastAsia="en-US"/>
        </w:rPr>
        <w:t xml:space="preserve"> the </w:t>
      </w:r>
      <w:r w:rsidR="006D36E2">
        <w:rPr>
          <w:rFonts w:asciiTheme="minorHAnsi" w:hAnsiTheme="minorHAnsi"/>
          <w:snapToGrid w:val="0"/>
          <w:lang w:val="en-GB" w:eastAsia="en-US"/>
        </w:rPr>
        <w:t>current PBS criteria</w:t>
      </w:r>
      <w:r w:rsidR="005E3ECE">
        <w:rPr>
          <w:rFonts w:asciiTheme="minorHAnsi" w:hAnsiTheme="minorHAnsi"/>
          <w:snapToGrid w:val="0"/>
          <w:lang w:val="en-GB" w:eastAsia="en-US"/>
        </w:rPr>
        <w:t xml:space="preserve"> (</w:t>
      </w:r>
      <w:r w:rsidR="005E3ECE">
        <w:rPr>
          <w:rFonts w:asciiTheme="minorHAnsi" w:hAnsiTheme="minorHAnsi"/>
          <w:snapToGrid w:val="0"/>
          <w:lang w:val="en-GB" w:eastAsia="en-US"/>
        </w:rPr>
        <w:fldChar w:fldCharType="begin" w:fldLock="1"/>
      </w:r>
      <w:r w:rsidR="005E3ECE">
        <w:rPr>
          <w:rFonts w:asciiTheme="minorHAnsi" w:hAnsiTheme="minorHAnsi"/>
          <w:snapToGrid w:val="0"/>
          <w:lang w:val="en-GB" w:eastAsia="en-US"/>
        </w:rPr>
        <w:instrText xml:space="preserve"> REF _Ref112667243 \h </w:instrText>
      </w:r>
      <w:r w:rsidR="005E3ECE">
        <w:rPr>
          <w:rFonts w:asciiTheme="minorHAnsi" w:hAnsiTheme="minorHAnsi"/>
          <w:snapToGrid w:val="0"/>
          <w:lang w:val="en-GB" w:eastAsia="en-US"/>
        </w:rPr>
      </w:r>
      <w:r w:rsidR="005E3ECE">
        <w:rPr>
          <w:rFonts w:asciiTheme="minorHAnsi" w:hAnsiTheme="minorHAnsi"/>
          <w:snapToGrid w:val="0"/>
          <w:lang w:val="en-GB" w:eastAsia="en-US"/>
        </w:rPr>
        <w:fldChar w:fldCharType="separate"/>
      </w:r>
      <w:r w:rsidR="005E3ECE">
        <w:t xml:space="preserve">Table </w:t>
      </w:r>
      <w:r w:rsidR="005E3ECE">
        <w:rPr>
          <w:noProof/>
        </w:rPr>
        <w:t>2</w:t>
      </w:r>
      <w:r w:rsidR="005E3ECE">
        <w:rPr>
          <w:rFonts w:asciiTheme="minorHAnsi" w:hAnsiTheme="minorHAnsi"/>
          <w:snapToGrid w:val="0"/>
          <w:lang w:val="en-GB" w:eastAsia="en-US"/>
        </w:rPr>
        <w:fldChar w:fldCharType="end"/>
      </w:r>
      <w:r w:rsidR="005E3ECE">
        <w:rPr>
          <w:rFonts w:asciiTheme="minorHAnsi" w:hAnsiTheme="minorHAnsi"/>
          <w:snapToGrid w:val="0"/>
          <w:lang w:val="en-GB" w:eastAsia="en-US"/>
        </w:rPr>
        <w:t>)</w:t>
      </w:r>
      <w:r w:rsidR="006D36E2">
        <w:rPr>
          <w:rFonts w:asciiTheme="minorHAnsi" w:hAnsiTheme="minorHAnsi"/>
          <w:snapToGrid w:val="0"/>
          <w:lang w:val="en-GB" w:eastAsia="en-US"/>
        </w:rPr>
        <w:t>. On this basis, the PBAC considered risedronate may be cost-effective for the expanded population at a price similar to that for the PBS listed bisphosphonates, however the PBAC also noted that a price higher than that for the least costly PBS listed bisphosphonate has not been justified and any differences in extent of BMD screening needs to be accounted for.</w:t>
      </w:r>
    </w:p>
    <w:p w14:paraId="18D2ABB4" w14:textId="0430BBFA" w:rsidR="002C2EC6" w:rsidRDefault="008E5F01" w:rsidP="00B42274">
      <w:pPr>
        <w:widowControl w:val="0"/>
        <w:numPr>
          <w:ilvl w:val="1"/>
          <w:numId w:val="1"/>
        </w:numPr>
        <w:spacing w:after="120"/>
        <w:ind w:left="720" w:hanging="720"/>
        <w:rPr>
          <w:rFonts w:asciiTheme="minorHAnsi" w:hAnsiTheme="minorHAnsi"/>
          <w:snapToGrid w:val="0"/>
          <w:lang w:eastAsia="en-US"/>
        </w:rPr>
      </w:pPr>
      <w:r>
        <w:rPr>
          <w:rFonts w:asciiTheme="minorHAnsi" w:hAnsiTheme="minorHAnsi"/>
          <w:snapToGrid w:val="0"/>
          <w:lang w:val="en-GB" w:eastAsia="en-US"/>
        </w:rPr>
        <w:t xml:space="preserve">The PBAC </w:t>
      </w:r>
      <w:r w:rsidR="00915B4D">
        <w:rPr>
          <w:rFonts w:asciiTheme="minorHAnsi" w:hAnsiTheme="minorHAnsi"/>
          <w:snapToGrid w:val="0"/>
          <w:lang w:val="en-GB" w:eastAsia="en-US"/>
        </w:rPr>
        <w:t xml:space="preserve">noted DUSC </w:t>
      </w:r>
      <w:r>
        <w:rPr>
          <w:rFonts w:asciiTheme="minorHAnsi" w:hAnsiTheme="minorHAnsi"/>
          <w:snapToGrid w:val="0"/>
          <w:lang w:val="en-GB" w:eastAsia="en-US"/>
        </w:rPr>
        <w:t>considered the utilisation and financial estimates</w:t>
      </w:r>
      <w:r w:rsidR="00D02DBF">
        <w:rPr>
          <w:rFonts w:asciiTheme="minorHAnsi" w:hAnsiTheme="minorHAnsi"/>
          <w:snapToGrid w:val="0"/>
          <w:lang w:val="en-GB" w:eastAsia="en-US"/>
        </w:rPr>
        <w:t xml:space="preserve"> in the submission</w:t>
      </w:r>
      <w:r>
        <w:rPr>
          <w:rFonts w:asciiTheme="minorHAnsi" w:hAnsiTheme="minorHAnsi"/>
          <w:snapToGrid w:val="0"/>
          <w:lang w:val="en-GB" w:eastAsia="en-US"/>
        </w:rPr>
        <w:t xml:space="preserve"> to be uncertain</w:t>
      </w:r>
      <w:r w:rsidR="00915B4D">
        <w:rPr>
          <w:rFonts w:asciiTheme="minorHAnsi" w:hAnsiTheme="minorHAnsi"/>
          <w:snapToGrid w:val="0"/>
          <w:lang w:val="en-GB" w:eastAsia="en-US"/>
        </w:rPr>
        <w:t xml:space="preserve">. DUSC considered the lack of </w:t>
      </w:r>
      <w:r w:rsidR="00915B4D" w:rsidRPr="006B5200">
        <w:t>credible estimates of the use of BMD screening in patients &lt;70 years of age without prior fracture</w:t>
      </w:r>
      <w:r w:rsidR="00915B4D">
        <w:t xml:space="preserve"> and the likely overestimation of uptake rates as key sources of uncertainty (see paragraph </w:t>
      </w:r>
      <w:r w:rsidR="00915B4D">
        <w:rPr>
          <w:rFonts w:asciiTheme="minorHAnsi" w:hAnsiTheme="minorHAnsi"/>
          <w:snapToGrid w:val="0"/>
          <w:lang w:val="en-GB" w:eastAsia="en-US"/>
        </w:rPr>
        <w:fldChar w:fldCharType="begin" w:fldLock="1"/>
      </w:r>
      <w:r w:rsidR="00915B4D">
        <w:rPr>
          <w:rFonts w:asciiTheme="minorHAnsi" w:hAnsiTheme="minorHAnsi"/>
          <w:snapToGrid w:val="0"/>
          <w:lang w:val="en-GB" w:eastAsia="en-US"/>
        </w:rPr>
        <w:instrText xml:space="preserve"> REF _Ref120530436 \r \h </w:instrText>
      </w:r>
      <w:r w:rsidR="00915B4D">
        <w:rPr>
          <w:rFonts w:asciiTheme="minorHAnsi" w:hAnsiTheme="minorHAnsi"/>
          <w:snapToGrid w:val="0"/>
          <w:lang w:val="en-GB" w:eastAsia="en-US"/>
        </w:rPr>
      </w:r>
      <w:r w:rsidR="00915B4D">
        <w:rPr>
          <w:rFonts w:asciiTheme="minorHAnsi" w:hAnsiTheme="minorHAnsi"/>
          <w:snapToGrid w:val="0"/>
          <w:lang w:val="en-GB" w:eastAsia="en-US"/>
        </w:rPr>
        <w:fldChar w:fldCharType="separate"/>
      </w:r>
      <w:r w:rsidR="008E5873">
        <w:rPr>
          <w:rFonts w:asciiTheme="minorHAnsi" w:hAnsiTheme="minorHAnsi"/>
          <w:snapToGrid w:val="0"/>
          <w:lang w:val="en-GB" w:eastAsia="en-US"/>
        </w:rPr>
        <w:t>6.88</w:t>
      </w:r>
      <w:r w:rsidR="00915B4D">
        <w:rPr>
          <w:rFonts w:asciiTheme="minorHAnsi" w:hAnsiTheme="minorHAnsi"/>
          <w:snapToGrid w:val="0"/>
          <w:lang w:val="en-GB" w:eastAsia="en-US"/>
        </w:rPr>
        <w:fldChar w:fldCharType="end"/>
      </w:r>
      <w:r w:rsidR="00915B4D">
        <w:rPr>
          <w:rFonts w:asciiTheme="minorHAnsi" w:hAnsiTheme="minorHAnsi"/>
          <w:snapToGrid w:val="0"/>
          <w:lang w:val="en-GB" w:eastAsia="en-US"/>
        </w:rPr>
        <w:t>)</w:t>
      </w:r>
      <w:r w:rsidR="00915B4D">
        <w:t xml:space="preserve">. </w:t>
      </w:r>
      <w:r w:rsidR="002E3B7E">
        <w:t xml:space="preserve">The PBAC acknowledged the difficulty of estimating BMD screening </w:t>
      </w:r>
      <w:r w:rsidR="000632E8">
        <w:t xml:space="preserve">in </w:t>
      </w:r>
      <w:r w:rsidR="002E3B7E">
        <w:t>the proposed expanded population.</w:t>
      </w:r>
      <w:r w:rsidR="00D02DBF">
        <w:rPr>
          <w:rFonts w:asciiTheme="minorHAnsi" w:hAnsiTheme="minorHAnsi"/>
          <w:snapToGrid w:val="0"/>
          <w:lang w:val="en-GB" w:eastAsia="en-US"/>
        </w:rPr>
        <w:t xml:space="preserve"> </w:t>
      </w:r>
      <w:r w:rsidR="00E753EB">
        <w:rPr>
          <w:rFonts w:asciiTheme="minorHAnsi" w:hAnsiTheme="minorHAnsi"/>
          <w:snapToGrid w:val="0"/>
        </w:rPr>
        <w:t xml:space="preserve">The PBAC noted the financial estimates presented in the submission were </w:t>
      </w:r>
      <w:r w:rsidR="00E753EB" w:rsidRPr="00966B2C">
        <w:rPr>
          <w:rFonts w:asciiTheme="minorHAnsi" w:hAnsiTheme="minorHAnsi"/>
          <w:bCs/>
          <w:snapToGrid w:val="0"/>
        </w:rPr>
        <w:t>based on the 50–69-year-old population</w:t>
      </w:r>
      <w:r w:rsidR="00E753EB">
        <w:rPr>
          <w:rFonts w:asciiTheme="minorHAnsi" w:hAnsiTheme="minorHAnsi"/>
          <w:bCs/>
          <w:snapToGrid w:val="0"/>
        </w:rPr>
        <w:t xml:space="preserve"> </w:t>
      </w:r>
      <w:r w:rsidR="00D02DBF">
        <w:rPr>
          <w:rFonts w:asciiTheme="minorHAnsi" w:hAnsiTheme="minorHAnsi"/>
          <w:snapToGrid w:val="0"/>
          <w:lang w:val="en-GB" w:eastAsia="en-US"/>
        </w:rPr>
        <w:t xml:space="preserve">and </w:t>
      </w:r>
      <w:r w:rsidR="00E753EB">
        <w:rPr>
          <w:rFonts w:asciiTheme="minorHAnsi" w:hAnsiTheme="minorHAnsi"/>
          <w:snapToGrid w:val="0"/>
          <w:lang w:val="en-GB" w:eastAsia="en-US"/>
        </w:rPr>
        <w:t>advised</w:t>
      </w:r>
      <w:r w:rsidR="00D02DBF">
        <w:rPr>
          <w:rFonts w:asciiTheme="minorHAnsi" w:hAnsiTheme="minorHAnsi"/>
          <w:snapToGrid w:val="0"/>
          <w:lang w:val="en-GB" w:eastAsia="en-US"/>
        </w:rPr>
        <w:t xml:space="preserve"> revised estimates for the population aged 60</w:t>
      </w:r>
      <w:r w:rsidR="00E753EB">
        <w:rPr>
          <w:rFonts w:asciiTheme="minorHAnsi" w:hAnsiTheme="minorHAnsi"/>
          <w:snapToGrid w:val="0"/>
          <w:lang w:val="en-GB" w:eastAsia="en-US"/>
        </w:rPr>
        <w:t>-69</w:t>
      </w:r>
      <w:r w:rsidR="00D02DBF">
        <w:rPr>
          <w:rFonts w:asciiTheme="minorHAnsi" w:hAnsiTheme="minorHAnsi"/>
          <w:snapToGrid w:val="0"/>
          <w:lang w:val="en-GB" w:eastAsia="en-US"/>
        </w:rPr>
        <w:t xml:space="preserve"> years would be required to progress a listing. The Committee considered </w:t>
      </w:r>
      <w:r w:rsidR="00070ADB">
        <w:rPr>
          <w:rFonts w:asciiTheme="minorHAnsi" w:hAnsiTheme="minorHAnsi"/>
          <w:snapToGrid w:val="0"/>
          <w:lang w:val="en-GB" w:eastAsia="en-US"/>
        </w:rPr>
        <w:t xml:space="preserve">the revised estimates </w:t>
      </w:r>
      <w:r w:rsidR="002E3B7E">
        <w:rPr>
          <w:rFonts w:asciiTheme="minorHAnsi" w:hAnsiTheme="minorHAnsi"/>
          <w:snapToGrid w:val="0"/>
          <w:lang w:val="en-GB" w:eastAsia="en-US"/>
        </w:rPr>
        <w:t>should</w:t>
      </w:r>
      <w:r w:rsidR="00070ADB">
        <w:rPr>
          <w:rFonts w:asciiTheme="minorHAnsi" w:hAnsiTheme="minorHAnsi"/>
          <w:snapToGrid w:val="0"/>
          <w:lang w:val="en-GB" w:eastAsia="en-US"/>
        </w:rPr>
        <w:t xml:space="preserve"> </w:t>
      </w:r>
      <w:r w:rsidR="00E753EB">
        <w:rPr>
          <w:rFonts w:asciiTheme="minorHAnsi" w:hAnsiTheme="minorHAnsi"/>
          <w:snapToGrid w:val="0"/>
          <w:lang w:val="en-GB" w:eastAsia="en-US"/>
        </w:rPr>
        <w:t>address concerns regarding overestimation of uptake rates</w:t>
      </w:r>
      <w:r w:rsidR="00CD16E9">
        <w:rPr>
          <w:rFonts w:asciiTheme="minorHAnsi" w:hAnsiTheme="minorHAnsi"/>
          <w:snapToGrid w:val="0"/>
          <w:lang w:val="en-GB" w:eastAsia="en-US"/>
        </w:rPr>
        <w:t xml:space="preserve"> and the </w:t>
      </w:r>
      <w:r w:rsidR="005E1957">
        <w:rPr>
          <w:rFonts w:asciiTheme="minorHAnsi" w:hAnsiTheme="minorHAnsi"/>
          <w:snapToGrid w:val="0"/>
          <w:lang w:val="en-GB" w:eastAsia="en-US"/>
        </w:rPr>
        <w:t>uncertainty regarding BMD screening in patients &lt;70 years without prior fracture</w:t>
      </w:r>
      <w:r w:rsidR="002E3B7E">
        <w:rPr>
          <w:rFonts w:asciiTheme="minorHAnsi" w:hAnsiTheme="minorHAnsi"/>
          <w:snapToGrid w:val="0"/>
          <w:lang w:val="en-GB" w:eastAsia="en-US"/>
        </w:rPr>
        <w:t xml:space="preserve">. </w:t>
      </w:r>
    </w:p>
    <w:p w14:paraId="46C7EE81" w14:textId="77777777" w:rsidR="006B5200" w:rsidRPr="006B5200" w:rsidRDefault="006B5200" w:rsidP="006B5200">
      <w:pPr>
        <w:spacing w:before="240"/>
        <w:rPr>
          <w:rFonts w:asciiTheme="minorHAnsi" w:hAnsiTheme="minorHAnsi"/>
          <w:b/>
          <w:bCs/>
          <w:snapToGrid w:val="0"/>
          <w:lang w:val="en-GB" w:eastAsia="en-US"/>
        </w:rPr>
      </w:pPr>
      <w:r w:rsidRPr="006B5200">
        <w:rPr>
          <w:rFonts w:asciiTheme="minorHAnsi" w:hAnsiTheme="minorHAnsi"/>
          <w:b/>
          <w:bCs/>
          <w:snapToGrid w:val="0"/>
          <w:lang w:val="en-GB" w:eastAsia="en-US"/>
        </w:rPr>
        <w:t>Outcome:</w:t>
      </w:r>
    </w:p>
    <w:p w14:paraId="55A1EB1D" w14:textId="411309DD" w:rsidR="007305AA" w:rsidRPr="008E5873" w:rsidRDefault="006B5200" w:rsidP="008E5873">
      <w:pPr>
        <w:spacing w:after="120"/>
        <w:rPr>
          <w:rFonts w:asciiTheme="minorHAnsi" w:hAnsiTheme="minorHAnsi"/>
          <w:bCs/>
          <w:snapToGrid w:val="0"/>
          <w:lang w:val="en-GB" w:eastAsia="en-US"/>
        </w:rPr>
      </w:pPr>
      <w:r w:rsidRPr="006B5200">
        <w:rPr>
          <w:rFonts w:asciiTheme="minorHAnsi" w:hAnsiTheme="minorHAnsi"/>
          <w:bCs/>
          <w:snapToGrid w:val="0"/>
          <w:lang w:val="en-GB" w:eastAsia="en-US"/>
        </w:rPr>
        <w:t xml:space="preserve">Deferred </w:t>
      </w:r>
      <w:bookmarkStart w:id="71" w:name="_Hlk111543254"/>
    </w:p>
    <w:p w14:paraId="60A3C1E6" w14:textId="1F230147" w:rsidR="00823071" w:rsidRDefault="00823071" w:rsidP="00823071">
      <w:pPr>
        <w:pStyle w:val="COMH1numbered"/>
        <w:rPr>
          <w:bCs/>
          <w:lang w:val="en-GB"/>
        </w:rPr>
      </w:pPr>
      <w:r w:rsidRPr="00C07617">
        <w:t>Context for Decision</w:t>
      </w:r>
    </w:p>
    <w:p w14:paraId="0552912A" w14:textId="77777777" w:rsidR="00823071" w:rsidRPr="007129F2" w:rsidRDefault="00823071" w:rsidP="00B273AE">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B97AE5B" w14:textId="4DED0224" w:rsidR="00823071" w:rsidRPr="00823071" w:rsidRDefault="00823071" w:rsidP="00823071">
      <w:pPr>
        <w:pStyle w:val="COMH1numbered"/>
      </w:pPr>
      <w:r>
        <w:t>Sponsor’s Comment</w:t>
      </w:r>
    </w:p>
    <w:p w14:paraId="0A98A9A9" w14:textId="3EE41D6D" w:rsidR="00217D33" w:rsidRDefault="00823071" w:rsidP="00B273AE">
      <w:pPr>
        <w:spacing w:after="120"/>
        <w:ind w:firstLine="720"/>
        <w:rPr>
          <w:rFonts w:asciiTheme="minorHAnsi" w:hAnsiTheme="minorHAnsi"/>
          <w:bCs/>
        </w:rPr>
      </w:pPr>
      <w:r w:rsidRPr="00C07617">
        <w:rPr>
          <w:rFonts w:asciiTheme="minorHAnsi" w:hAnsiTheme="minorHAnsi"/>
          <w:bCs/>
        </w:rPr>
        <w:t>The sponsor had no comment.</w:t>
      </w:r>
    </w:p>
    <w:p w14:paraId="5049ADDF" w14:textId="77777777" w:rsidR="00217D33" w:rsidRDefault="00217D33">
      <w:pPr>
        <w:jc w:val="left"/>
        <w:rPr>
          <w:rFonts w:asciiTheme="minorHAnsi" w:hAnsiTheme="minorHAnsi"/>
          <w:bCs/>
        </w:rPr>
      </w:pPr>
      <w:r>
        <w:rPr>
          <w:rFonts w:asciiTheme="minorHAnsi" w:hAnsiTheme="minorHAnsi"/>
          <w:bCs/>
        </w:rPr>
        <w:br w:type="page"/>
      </w:r>
    </w:p>
    <w:p w14:paraId="7914E66C" w14:textId="13615179" w:rsidR="00217D33" w:rsidRDefault="00217D33" w:rsidP="00217D33">
      <w:pPr>
        <w:widowControl w:val="0"/>
        <w:spacing w:before="120" w:after="160"/>
        <w:outlineLvl w:val="0"/>
        <w:rPr>
          <w:rFonts w:eastAsia="Calibri"/>
          <w:b/>
          <w:snapToGrid w:val="0"/>
          <w:color w:val="FF0000"/>
          <w:sz w:val="28"/>
          <w:szCs w:val="28"/>
          <w:lang w:eastAsia="en-US"/>
        </w:rPr>
      </w:pPr>
      <w:r w:rsidRPr="00073B4B">
        <w:rPr>
          <w:rFonts w:eastAsia="Calibri"/>
          <w:b/>
          <w:snapToGrid w:val="0"/>
          <w:color w:val="FF0000"/>
          <w:sz w:val="28"/>
          <w:szCs w:val="28"/>
          <w:lang w:eastAsia="en-US"/>
        </w:rPr>
        <w:t xml:space="preserve">Addendum to the </w:t>
      </w:r>
      <w:r>
        <w:rPr>
          <w:rFonts w:eastAsia="Calibri"/>
          <w:b/>
          <w:snapToGrid w:val="0"/>
          <w:color w:val="FF0000"/>
          <w:sz w:val="28"/>
          <w:szCs w:val="28"/>
          <w:lang w:eastAsia="en-US"/>
        </w:rPr>
        <w:t>November 2022</w:t>
      </w:r>
      <w:r w:rsidRPr="00073B4B">
        <w:rPr>
          <w:rFonts w:eastAsia="Calibri"/>
          <w:b/>
          <w:snapToGrid w:val="0"/>
          <w:color w:val="FF0000"/>
          <w:sz w:val="28"/>
          <w:szCs w:val="28"/>
          <w:lang w:eastAsia="en-US"/>
        </w:rPr>
        <w:t xml:space="preserve"> PBAC </w:t>
      </w:r>
      <w:r w:rsidR="00CB0C3E">
        <w:rPr>
          <w:rFonts w:eastAsia="Calibri"/>
          <w:b/>
          <w:snapToGrid w:val="0"/>
          <w:color w:val="FF0000"/>
          <w:sz w:val="28"/>
          <w:szCs w:val="28"/>
          <w:lang w:eastAsia="en-US"/>
        </w:rPr>
        <w:t>PSD</w:t>
      </w:r>
      <w:r w:rsidRPr="00073B4B">
        <w:rPr>
          <w:rFonts w:eastAsia="Calibri"/>
          <w:b/>
          <w:snapToGrid w:val="0"/>
          <w:color w:val="FF0000"/>
          <w:sz w:val="28"/>
          <w:szCs w:val="28"/>
          <w:lang w:eastAsia="en-US"/>
        </w:rPr>
        <w:t>:</w:t>
      </w:r>
    </w:p>
    <w:p w14:paraId="1CF809BE" w14:textId="77777777" w:rsidR="00217D33" w:rsidRPr="00524243" w:rsidRDefault="00217D33" w:rsidP="00217D33">
      <w:pPr>
        <w:pStyle w:val="COMH1-non-numbered"/>
        <w:rPr>
          <w:sz w:val="36"/>
        </w:rPr>
      </w:pPr>
      <w:r w:rsidRPr="00524243">
        <w:rPr>
          <w:sz w:val="36"/>
        </w:rPr>
        <w:t>4.03</w:t>
      </w:r>
      <w:r w:rsidRPr="00524243">
        <w:rPr>
          <w:sz w:val="36"/>
        </w:rPr>
        <w:tab/>
        <w:t>RISEDRONIC ACID,</w:t>
      </w:r>
      <w:r w:rsidRPr="00524243">
        <w:rPr>
          <w:sz w:val="36"/>
        </w:rPr>
        <w:br/>
        <w:t xml:space="preserve">Tablet (enteric coated) containing risedronate sodium </w:t>
      </w:r>
      <w:r w:rsidRPr="00524243">
        <w:rPr>
          <w:sz w:val="36"/>
        </w:rPr>
        <w:br/>
        <w:t>35 mg,</w:t>
      </w:r>
      <w:r w:rsidRPr="00524243">
        <w:rPr>
          <w:sz w:val="36"/>
        </w:rPr>
        <w:br/>
        <w:t>Actonel</w:t>
      </w:r>
      <w:r w:rsidRPr="00524243">
        <w:rPr>
          <w:sz w:val="36"/>
          <w:vertAlign w:val="superscript"/>
        </w:rPr>
        <w:t xml:space="preserve">® </w:t>
      </w:r>
      <w:r w:rsidRPr="00524243">
        <w:rPr>
          <w:sz w:val="36"/>
        </w:rPr>
        <w:t>EC,</w:t>
      </w:r>
      <w:r w:rsidRPr="00524243">
        <w:rPr>
          <w:sz w:val="36"/>
        </w:rPr>
        <w:br/>
        <w:t>THERAMEX AUSTRALIA PTY LTD.</w:t>
      </w:r>
    </w:p>
    <w:p w14:paraId="729A7A43" w14:textId="77777777" w:rsidR="00217D33" w:rsidRDefault="00217D33" w:rsidP="00217D33">
      <w:pPr>
        <w:pStyle w:val="COMH1numbered"/>
      </w:pPr>
      <w:r>
        <w:t xml:space="preserve">Background </w:t>
      </w:r>
    </w:p>
    <w:p w14:paraId="2B515E0B" w14:textId="77777777" w:rsidR="00217D33" w:rsidRPr="00675F75" w:rsidRDefault="00217D33" w:rsidP="00217D33">
      <w:pPr>
        <w:widowControl w:val="0"/>
        <w:numPr>
          <w:ilvl w:val="1"/>
          <w:numId w:val="1"/>
        </w:numPr>
        <w:spacing w:after="120"/>
        <w:ind w:left="720" w:hanging="720"/>
        <w:rPr>
          <w:rFonts w:asciiTheme="minorHAnsi" w:hAnsiTheme="minorHAnsi"/>
          <w:snapToGrid w:val="0"/>
          <w:lang w:val="en-GB" w:eastAsia="en-US"/>
        </w:rPr>
      </w:pPr>
      <w:r w:rsidRPr="00675F75">
        <w:rPr>
          <w:rFonts w:asciiTheme="minorHAnsi" w:hAnsiTheme="minorHAnsi"/>
          <w:snapToGrid w:val="0"/>
          <w:lang w:val="en-GB" w:eastAsia="en-US"/>
        </w:rPr>
        <w:t xml:space="preserve">The current PBS restrictions for </w:t>
      </w:r>
      <w:r>
        <w:rPr>
          <w:rFonts w:asciiTheme="minorHAnsi" w:hAnsiTheme="minorHAnsi"/>
          <w:snapToGrid w:val="0"/>
          <w:lang w:val="en-GB" w:eastAsia="en-US"/>
        </w:rPr>
        <w:t xml:space="preserve">risedronic acid (risedronate) </w:t>
      </w:r>
      <w:r w:rsidRPr="00675F75">
        <w:rPr>
          <w:rFonts w:asciiTheme="minorHAnsi" w:hAnsiTheme="minorHAnsi"/>
          <w:snapToGrid w:val="0"/>
          <w:lang w:val="en-GB" w:eastAsia="en-US"/>
        </w:rPr>
        <w:t xml:space="preserve">for primary prevention of osteoporosis are co-dependent on MBS items for </w:t>
      </w:r>
      <w:r>
        <w:rPr>
          <w:rFonts w:asciiTheme="minorHAnsi" w:hAnsiTheme="minorHAnsi"/>
          <w:snapToGrid w:val="0"/>
          <w:lang w:val="en-GB" w:eastAsia="en-US"/>
        </w:rPr>
        <w:t xml:space="preserve">bone mineral density (BMD) </w:t>
      </w:r>
      <w:r w:rsidRPr="00675F75">
        <w:rPr>
          <w:rFonts w:asciiTheme="minorHAnsi" w:hAnsiTheme="minorHAnsi"/>
          <w:snapToGrid w:val="0"/>
          <w:lang w:val="en-GB" w:eastAsia="en-US"/>
        </w:rPr>
        <w:t xml:space="preserve">testing. </w:t>
      </w:r>
      <w:bookmarkStart w:id="72" w:name="_Hlk130307798"/>
      <w:r w:rsidRPr="00675F75">
        <w:rPr>
          <w:rFonts w:asciiTheme="minorHAnsi" w:hAnsiTheme="minorHAnsi"/>
          <w:snapToGrid w:val="0"/>
          <w:lang w:val="en-GB" w:eastAsia="en-US"/>
        </w:rPr>
        <w:t>The November 2022 risedronate submission was not submitted as a co-dependent application and the submission did not consider the costs associated with BMD testing in the expanded population in either the economic evaluation or the financial estimates.</w:t>
      </w:r>
      <w:bookmarkEnd w:id="72"/>
    </w:p>
    <w:p w14:paraId="6B918FA7" w14:textId="77777777" w:rsidR="00217D33" w:rsidRDefault="00217D33" w:rsidP="00217D33">
      <w:pPr>
        <w:widowControl w:val="0"/>
        <w:numPr>
          <w:ilvl w:val="1"/>
          <w:numId w:val="1"/>
        </w:numPr>
        <w:spacing w:after="120"/>
        <w:ind w:left="720" w:hanging="720"/>
        <w:rPr>
          <w:rFonts w:asciiTheme="minorHAnsi" w:hAnsiTheme="minorHAnsi"/>
          <w:snapToGrid w:val="0"/>
          <w:lang w:val="en-GB" w:eastAsia="en-US"/>
        </w:rPr>
      </w:pPr>
      <w:r>
        <w:rPr>
          <w:rFonts w:asciiTheme="minorHAnsi" w:hAnsiTheme="minorHAnsi"/>
          <w:snapToGrid w:val="0"/>
          <w:lang w:val="en-GB" w:eastAsia="en-US"/>
        </w:rPr>
        <w:t xml:space="preserve">At its November 2022 meeting, the PBAC deferred making a recommendation to amend the current age restriction on the PBS listing of risedronate for primary prevention of fracture in patients with a BMD T-score of -2.5 or less. Overall, the PBAC advised it was of a mind to support amending the current age restriction of risedronate from patients aged 70 years and older, to patients aged 60 years and older based on the fracture risk in these patients. However, the PBAC deferred consideration pending a review of the Medical Benefits Scheme (MBS) implications, to ensure that the bone densitometry MBS items could be aligned with the PBAC recommendations. </w:t>
      </w:r>
    </w:p>
    <w:p w14:paraId="4A40FAB2" w14:textId="77777777" w:rsidR="00217D33" w:rsidRPr="00C02B62" w:rsidRDefault="00217D33" w:rsidP="00217D33">
      <w:pPr>
        <w:widowControl w:val="0"/>
        <w:numPr>
          <w:ilvl w:val="1"/>
          <w:numId w:val="1"/>
        </w:numPr>
        <w:spacing w:after="120"/>
        <w:ind w:left="720" w:hanging="720"/>
        <w:rPr>
          <w:rFonts w:asciiTheme="minorHAnsi" w:hAnsiTheme="minorHAnsi"/>
          <w:snapToGrid w:val="0"/>
          <w:lang w:val="en-GB" w:eastAsia="en-US"/>
        </w:rPr>
      </w:pPr>
      <w:r>
        <w:rPr>
          <w:rFonts w:asciiTheme="minorHAnsi" w:hAnsiTheme="minorHAnsi"/>
          <w:snapToGrid w:val="0"/>
          <w:lang w:val="en-GB" w:eastAsia="en-US"/>
        </w:rPr>
        <w:t>The advice of the Medical Services Advisory Committee (MSAC) Executive was sought regarding the appropriate process for MSAC to consider amending age requirements for specific bone densitometry MBS items.</w:t>
      </w:r>
    </w:p>
    <w:p w14:paraId="39DE5069" w14:textId="77777777" w:rsidR="00217D33" w:rsidRPr="00D84ECA" w:rsidRDefault="00217D33" w:rsidP="00217D33">
      <w:pPr>
        <w:pStyle w:val="COMH1numbered"/>
      </w:pPr>
      <w:r>
        <w:t>Additional information</w:t>
      </w:r>
    </w:p>
    <w:p w14:paraId="20BFAC81" w14:textId="77777777" w:rsidR="00217D33" w:rsidRPr="00DF16F4" w:rsidRDefault="00217D33" w:rsidP="00217D33">
      <w:pPr>
        <w:pStyle w:val="3-SubsectionHeading"/>
        <w:rPr>
          <w:snapToGrid w:val="0"/>
          <w:lang w:val="en-GB"/>
        </w:rPr>
      </w:pPr>
      <w:r>
        <w:rPr>
          <w:snapToGrid w:val="0"/>
          <w:lang w:val="en-GB"/>
        </w:rPr>
        <w:t>Advice from the MSAC Executive</w:t>
      </w:r>
    </w:p>
    <w:p w14:paraId="74499AF7" w14:textId="5391F7EA" w:rsidR="00217D33" w:rsidRDefault="00217D33" w:rsidP="00217D33">
      <w:pPr>
        <w:widowControl w:val="0"/>
        <w:numPr>
          <w:ilvl w:val="1"/>
          <w:numId w:val="1"/>
        </w:numPr>
        <w:spacing w:after="120"/>
        <w:ind w:left="720" w:hanging="720"/>
        <w:rPr>
          <w:rFonts w:asciiTheme="minorHAnsi" w:hAnsiTheme="minorHAnsi"/>
          <w:snapToGrid w:val="0"/>
          <w:lang w:val="en-GB" w:eastAsia="en-US"/>
        </w:rPr>
      </w:pPr>
      <w:r w:rsidRPr="00486A7A">
        <w:rPr>
          <w:rFonts w:asciiTheme="minorHAnsi" w:hAnsiTheme="minorHAnsi"/>
          <w:snapToGrid w:val="0"/>
          <w:lang w:val="en-GB" w:eastAsia="en-US"/>
        </w:rPr>
        <w:t xml:space="preserve">The </w:t>
      </w:r>
      <w:r>
        <w:rPr>
          <w:rFonts w:asciiTheme="minorHAnsi" w:hAnsiTheme="minorHAnsi"/>
          <w:snapToGrid w:val="0"/>
          <w:lang w:val="en-GB" w:eastAsia="en-US"/>
        </w:rPr>
        <w:t xml:space="preserve">MSAC Executive considered the PBAC request for advice in December 2022.  The MSAC Executive considered expanding the MBS listing </w:t>
      </w:r>
      <w:r w:rsidRPr="0026016A">
        <w:rPr>
          <w:rFonts w:asciiTheme="minorHAnsi" w:hAnsiTheme="minorHAnsi"/>
          <w:snapToGrid w:val="0"/>
          <w:lang w:val="en-GB" w:eastAsia="en-US"/>
        </w:rPr>
        <w:t xml:space="preserve">of bone densitometry to </w:t>
      </w:r>
      <w:r>
        <w:rPr>
          <w:rFonts w:asciiTheme="minorHAnsi" w:hAnsiTheme="minorHAnsi"/>
          <w:snapToGrid w:val="0"/>
          <w:lang w:val="en-GB" w:eastAsia="en-US"/>
        </w:rPr>
        <w:t xml:space="preserve">include </w:t>
      </w:r>
      <w:r w:rsidRPr="0026016A">
        <w:rPr>
          <w:rFonts w:asciiTheme="minorHAnsi" w:hAnsiTheme="minorHAnsi"/>
          <w:snapToGrid w:val="0"/>
          <w:lang w:val="en-GB" w:eastAsia="en-US"/>
        </w:rPr>
        <w:t>people aged 60-69 years of age may have a substantial net cost to the MBS.</w:t>
      </w:r>
      <w:r>
        <w:rPr>
          <w:rFonts w:asciiTheme="minorHAnsi" w:hAnsiTheme="minorHAnsi"/>
          <w:snapToGrid w:val="0"/>
          <w:lang w:val="en-GB" w:eastAsia="en-US"/>
        </w:rPr>
        <w:t xml:space="preserve"> The MSAC Executive advised the MSAC assessment of BMD testing can be achieved either through a resubmission of the risedronate PBAC submission as a </w:t>
      </w:r>
      <w:r w:rsidRPr="000B26D2">
        <w:rPr>
          <w:rFonts w:asciiTheme="minorHAnsi" w:hAnsiTheme="minorHAnsi"/>
          <w:snapToGrid w:val="0"/>
          <w:lang w:val="en-GB" w:eastAsia="en-US"/>
        </w:rPr>
        <w:t>co</w:t>
      </w:r>
      <w:r>
        <w:rPr>
          <w:rFonts w:asciiTheme="minorHAnsi" w:hAnsiTheme="minorHAnsi"/>
          <w:snapToGrid w:val="0"/>
          <w:lang w:val="en-GB" w:eastAsia="en-US"/>
        </w:rPr>
        <w:t>-</w:t>
      </w:r>
      <w:r w:rsidRPr="000B26D2">
        <w:rPr>
          <w:rFonts w:asciiTheme="minorHAnsi" w:hAnsiTheme="minorHAnsi"/>
          <w:snapToGrid w:val="0"/>
          <w:lang w:val="en-GB" w:eastAsia="en-US"/>
        </w:rPr>
        <w:t xml:space="preserve">dependent application </w:t>
      </w:r>
      <w:r>
        <w:rPr>
          <w:rFonts w:asciiTheme="minorHAnsi" w:hAnsiTheme="minorHAnsi"/>
          <w:snapToGrid w:val="0"/>
          <w:lang w:val="en-GB" w:eastAsia="en-US"/>
        </w:rPr>
        <w:t xml:space="preserve">or through the department independently progressing the September 2021 PBAC advice (see paragraph </w:t>
      </w:r>
      <w:r>
        <w:rPr>
          <w:rFonts w:asciiTheme="minorHAnsi" w:hAnsiTheme="minorHAnsi"/>
          <w:snapToGrid w:val="0"/>
          <w:lang w:val="en-GB" w:eastAsia="en-US"/>
        </w:rPr>
        <w:fldChar w:fldCharType="begin"/>
      </w:r>
      <w:r>
        <w:rPr>
          <w:rFonts w:asciiTheme="minorHAnsi" w:hAnsiTheme="minorHAnsi"/>
          <w:snapToGrid w:val="0"/>
          <w:lang w:val="en-GB" w:eastAsia="en-US"/>
        </w:rPr>
        <w:instrText xml:space="preserve"> REF _Ref120526799 \r \h </w:instrText>
      </w:r>
      <w:r>
        <w:rPr>
          <w:rFonts w:asciiTheme="minorHAnsi" w:hAnsiTheme="minorHAnsi"/>
          <w:snapToGrid w:val="0"/>
          <w:lang w:val="en-GB" w:eastAsia="en-US"/>
        </w:rPr>
      </w:r>
      <w:r>
        <w:rPr>
          <w:rFonts w:asciiTheme="minorHAnsi" w:hAnsiTheme="minorHAnsi"/>
          <w:snapToGrid w:val="0"/>
          <w:lang w:val="en-GB" w:eastAsia="en-US"/>
        </w:rPr>
        <w:fldChar w:fldCharType="separate"/>
      </w:r>
      <w:r w:rsidR="00F744B8">
        <w:rPr>
          <w:rFonts w:asciiTheme="minorHAnsi" w:hAnsiTheme="minorHAnsi"/>
          <w:snapToGrid w:val="0"/>
          <w:lang w:val="en-GB" w:eastAsia="en-US"/>
        </w:rPr>
        <w:t>4.10</w:t>
      </w:r>
      <w:r>
        <w:rPr>
          <w:rFonts w:asciiTheme="minorHAnsi" w:hAnsiTheme="minorHAnsi"/>
          <w:snapToGrid w:val="0"/>
          <w:lang w:val="en-GB" w:eastAsia="en-US"/>
        </w:rPr>
        <w:fldChar w:fldCharType="end"/>
      </w:r>
      <w:r>
        <w:rPr>
          <w:rFonts w:asciiTheme="minorHAnsi" w:hAnsiTheme="minorHAnsi"/>
          <w:snapToGrid w:val="0"/>
          <w:lang w:val="en-GB" w:eastAsia="en-US"/>
        </w:rPr>
        <w:t>).</w:t>
      </w:r>
    </w:p>
    <w:p w14:paraId="46CAE839" w14:textId="77777777" w:rsidR="00217D33" w:rsidRPr="00DF16F4" w:rsidRDefault="00217D33" w:rsidP="00217D33">
      <w:pPr>
        <w:pStyle w:val="3-SubsectionHeading"/>
        <w:rPr>
          <w:snapToGrid w:val="0"/>
          <w:lang w:val="en-GB"/>
        </w:rPr>
      </w:pPr>
      <w:r>
        <w:rPr>
          <w:snapToGrid w:val="0"/>
          <w:lang w:val="en-GB"/>
        </w:rPr>
        <w:t>Follow-up advice from the Sponsor</w:t>
      </w:r>
    </w:p>
    <w:p w14:paraId="713B9B29" w14:textId="77777777" w:rsidR="00217D33" w:rsidRPr="00486A7A" w:rsidRDefault="00217D33" w:rsidP="00217D33">
      <w:pPr>
        <w:widowControl w:val="0"/>
        <w:numPr>
          <w:ilvl w:val="1"/>
          <w:numId w:val="1"/>
        </w:numPr>
        <w:spacing w:after="120"/>
        <w:ind w:left="720" w:hanging="720"/>
        <w:rPr>
          <w:rFonts w:asciiTheme="minorHAnsi" w:hAnsiTheme="minorHAnsi"/>
          <w:snapToGrid w:val="0"/>
          <w:lang w:val="en-GB" w:eastAsia="en-US"/>
        </w:rPr>
      </w:pPr>
      <w:bookmarkStart w:id="73" w:name="_Ref130308922"/>
      <w:r>
        <w:rPr>
          <w:rFonts w:asciiTheme="minorHAnsi" w:hAnsiTheme="minorHAnsi"/>
          <w:snapToGrid w:val="0"/>
          <w:lang w:val="en-GB" w:eastAsia="en-US"/>
        </w:rPr>
        <w:t>The sponsor advised in early March 2023, following receipt of the MSAC Executive advice, that it was not in a position to prepare a co-dependent application exploring expanded access to BMD testing to address the concerns raised by the MSAC Executive.</w:t>
      </w:r>
      <w:bookmarkEnd w:id="73"/>
    </w:p>
    <w:p w14:paraId="16BC668A" w14:textId="77777777" w:rsidR="00217D33" w:rsidRPr="00D84ECA" w:rsidRDefault="00217D33" w:rsidP="00217D33">
      <w:pPr>
        <w:pStyle w:val="COMH1numbered"/>
      </w:pPr>
      <w:r w:rsidRPr="006B5200">
        <w:t>PBAC Outcome</w:t>
      </w:r>
    </w:p>
    <w:p w14:paraId="54B66C50" w14:textId="77777777" w:rsidR="00217D33" w:rsidRDefault="00217D33" w:rsidP="00217D33">
      <w:pPr>
        <w:widowControl w:val="0"/>
        <w:numPr>
          <w:ilvl w:val="1"/>
          <w:numId w:val="1"/>
        </w:numPr>
        <w:spacing w:after="120"/>
        <w:ind w:left="720" w:hanging="720"/>
        <w:rPr>
          <w:rFonts w:asciiTheme="minorHAnsi" w:hAnsiTheme="minorHAnsi"/>
          <w:snapToGrid w:val="0"/>
          <w:lang w:val="en-GB" w:eastAsia="en-US"/>
        </w:rPr>
      </w:pPr>
      <w:bookmarkStart w:id="74" w:name="_Hlk130310506"/>
      <w:r>
        <w:rPr>
          <w:rFonts w:asciiTheme="minorHAnsi" w:hAnsiTheme="minorHAnsi"/>
          <w:snapToGrid w:val="0"/>
          <w:lang w:val="en-GB" w:eastAsia="en-US"/>
        </w:rPr>
        <w:t xml:space="preserve">The PBAC did not recommend an amendment to the current age restriction on the PBS listing of risedronic acid (risedronate) for the primary prevention of fracture in patients with a bone mineral density (BMD) T-score of -2.5 or less, on the basis the MSAC Executive advised that resubmission as a co-dependent application would be required to assess the cost-effectiveness and financial implications of expanded bone mineral density (BMD) testing on the MBS to support such a listing. </w:t>
      </w:r>
    </w:p>
    <w:bookmarkEnd w:id="74"/>
    <w:p w14:paraId="75660B08" w14:textId="38D4E6E3" w:rsidR="00217D33" w:rsidRDefault="00217D33" w:rsidP="00217D33">
      <w:pPr>
        <w:widowControl w:val="0"/>
        <w:numPr>
          <w:ilvl w:val="1"/>
          <w:numId w:val="1"/>
        </w:numPr>
        <w:spacing w:after="120"/>
        <w:ind w:left="720" w:hanging="720"/>
        <w:rPr>
          <w:rFonts w:asciiTheme="minorHAnsi" w:hAnsiTheme="minorHAnsi"/>
          <w:snapToGrid w:val="0"/>
          <w:lang w:val="en-GB" w:eastAsia="en-US"/>
        </w:rPr>
      </w:pPr>
      <w:r>
        <w:rPr>
          <w:rFonts w:asciiTheme="minorHAnsi" w:hAnsiTheme="minorHAnsi"/>
          <w:snapToGrid w:val="0"/>
          <w:lang w:val="en-GB" w:eastAsia="en-US"/>
        </w:rPr>
        <w:t xml:space="preserve">The PBAC noted the advice from the sponsor that they were not in a position to prepare a co-dependent application for risedronate (see paragraph </w:t>
      </w:r>
      <w:r>
        <w:rPr>
          <w:rFonts w:asciiTheme="minorHAnsi" w:hAnsiTheme="minorHAnsi"/>
          <w:snapToGrid w:val="0"/>
          <w:lang w:val="en-GB" w:eastAsia="en-US"/>
        </w:rPr>
        <w:fldChar w:fldCharType="begin"/>
      </w:r>
      <w:r>
        <w:rPr>
          <w:rFonts w:asciiTheme="minorHAnsi" w:hAnsiTheme="minorHAnsi"/>
          <w:snapToGrid w:val="0"/>
          <w:lang w:val="en-GB" w:eastAsia="en-US"/>
        </w:rPr>
        <w:instrText xml:space="preserve"> REF _Ref130308922 \r \h </w:instrText>
      </w:r>
      <w:r>
        <w:rPr>
          <w:rFonts w:asciiTheme="minorHAnsi" w:hAnsiTheme="minorHAnsi"/>
          <w:snapToGrid w:val="0"/>
          <w:lang w:val="en-GB" w:eastAsia="en-US"/>
        </w:rPr>
      </w:r>
      <w:r>
        <w:rPr>
          <w:rFonts w:asciiTheme="minorHAnsi" w:hAnsiTheme="minorHAnsi"/>
          <w:snapToGrid w:val="0"/>
          <w:lang w:val="en-GB" w:eastAsia="en-US"/>
        </w:rPr>
        <w:fldChar w:fldCharType="separate"/>
      </w:r>
      <w:r w:rsidR="00F744B8">
        <w:rPr>
          <w:rFonts w:asciiTheme="minorHAnsi" w:hAnsiTheme="minorHAnsi"/>
          <w:snapToGrid w:val="0"/>
          <w:lang w:val="en-GB" w:eastAsia="en-US"/>
        </w:rPr>
        <w:t>11.2</w:t>
      </w:r>
      <w:r>
        <w:rPr>
          <w:rFonts w:asciiTheme="minorHAnsi" w:hAnsiTheme="minorHAnsi"/>
          <w:snapToGrid w:val="0"/>
          <w:lang w:val="en-GB" w:eastAsia="en-US"/>
        </w:rPr>
        <w:fldChar w:fldCharType="end"/>
      </w:r>
      <w:r>
        <w:rPr>
          <w:rFonts w:asciiTheme="minorHAnsi" w:hAnsiTheme="minorHAnsi"/>
          <w:snapToGrid w:val="0"/>
          <w:lang w:val="en-GB" w:eastAsia="en-US"/>
        </w:rPr>
        <w:t xml:space="preserve">). The PBAC noted the MSAC Executive advice that an alternative approach to achieving MSAC assessment of BMD testing would involve the department independently progressing the September 2021 PBAC advice (see paragraph </w:t>
      </w:r>
      <w:r>
        <w:rPr>
          <w:rFonts w:asciiTheme="minorHAnsi" w:hAnsiTheme="minorHAnsi"/>
          <w:snapToGrid w:val="0"/>
          <w:lang w:val="en-GB" w:eastAsia="en-US"/>
        </w:rPr>
        <w:fldChar w:fldCharType="begin"/>
      </w:r>
      <w:r>
        <w:rPr>
          <w:rFonts w:asciiTheme="minorHAnsi" w:hAnsiTheme="minorHAnsi"/>
          <w:snapToGrid w:val="0"/>
          <w:lang w:val="en-GB" w:eastAsia="en-US"/>
        </w:rPr>
        <w:instrText xml:space="preserve"> REF _Ref120526799 \r \h </w:instrText>
      </w:r>
      <w:r>
        <w:rPr>
          <w:rFonts w:asciiTheme="minorHAnsi" w:hAnsiTheme="minorHAnsi"/>
          <w:snapToGrid w:val="0"/>
          <w:lang w:val="en-GB" w:eastAsia="en-US"/>
        </w:rPr>
      </w:r>
      <w:r>
        <w:rPr>
          <w:rFonts w:asciiTheme="minorHAnsi" w:hAnsiTheme="minorHAnsi"/>
          <w:snapToGrid w:val="0"/>
          <w:lang w:val="en-GB" w:eastAsia="en-US"/>
        </w:rPr>
        <w:fldChar w:fldCharType="separate"/>
      </w:r>
      <w:r w:rsidR="00F744B8">
        <w:rPr>
          <w:rFonts w:asciiTheme="minorHAnsi" w:hAnsiTheme="minorHAnsi"/>
          <w:snapToGrid w:val="0"/>
          <w:lang w:val="en-GB" w:eastAsia="en-US"/>
        </w:rPr>
        <w:t>4.10</w:t>
      </w:r>
      <w:r>
        <w:rPr>
          <w:rFonts w:asciiTheme="minorHAnsi" w:hAnsiTheme="minorHAnsi"/>
          <w:snapToGrid w:val="0"/>
          <w:lang w:val="en-GB" w:eastAsia="en-US"/>
        </w:rPr>
        <w:fldChar w:fldCharType="end"/>
      </w:r>
      <w:r>
        <w:rPr>
          <w:rFonts w:asciiTheme="minorHAnsi" w:hAnsiTheme="minorHAnsi"/>
          <w:snapToGrid w:val="0"/>
          <w:lang w:val="en-GB" w:eastAsia="en-US"/>
        </w:rPr>
        <w:t xml:space="preserve">) and considered that this approach should be explored. </w:t>
      </w:r>
    </w:p>
    <w:p w14:paraId="66C2272B" w14:textId="77777777" w:rsidR="00217D33" w:rsidRPr="00D75BE4" w:rsidRDefault="00217D33" w:rsidP="00217D33">
      <w:pPr>
        <w:pStyle w:val="3-BodyText"/>
        <w:numPr>
          <w:ilvl w:val="1"/>
          <w:numId w:val="1"/>
        </w:numPr>
        <w:ind w:hanging="720"/>
        <w:rPr>
          <w:iCs/>
        </w:rPr>
      </w:pPr>
      <w:r w:rsidRPr="00E1521D">
        <w:rPr>
          <w:iCs/>
        </w:rPr>
        <w:t xml:space="preserve">The PBAC noted that this submission is eligible for an Independent Review. </w:t>
      </w:r>
    </w:p>
    <w:p w14:paraId="416580CD" w14:textId="77777777" w:rsidR="00217D33" w:rsidRPr="000E0894" w:rsidRDefault="00217D33" w:rsidP="00217D33">
      <w:pPr>
        <w:ind w:left="720" w:hanging="720"/>
        <w:rPr>
          <w:b/>
          <w:bCs/>
          <w:lang w:val="en-GB"/>
        </w:rPr>
      </w:pPr>
      <w:r w:rsidRPr="000E0894">
        <w:rPr>
          <w:b/>
          <w:bCs/>
          <w:lang w:val="en-GB"/>
        </w:rPr>
        <w:t>Outcome:</w:t>
      </w:r>
    </w:p>
    <w:p w14:paraId="6E0B0CB1" w14:textId="77777777" w:rsidR="00217D33" w:rsidRPr="000E0894" w:rsidRDefault="00217D33" w:rsidP="00217D33">
      <w:pPr>
        <w:ind w:left="720" w:hanging="720"/>
        <w:rPr>
          <w:lang w:val="en-GB"/>
        </w:rPr>
      </w:pPr>
      <w:r>
        <w:rPr>
          <w:lang w:val="en-GB"/>
        </w:rPr>
        <w:t>Not recommended</w:t>
      </w:r>
    </w:p>
    <w:bookmarkEnd w:id="68"/>
    <w:bookmarkEnd w:id="69"/>
    <w:bookmarkEnd w:id="71"/>
    <w:p w14:paraId="55A3D9FA" w14:textId="652F97E4" w:rsidR="005E46AC" w:rsidRPr="005E46AC" w:rsidRDefault="005E46AC" w:rsidP="005E46AC">
      <w:pPr>
        <w:pStyle w:val="COMH1numbered"/>
      </w:pPr>
      <w:r w:rsidRPr="00C07617">
        <w:t>Context for Decision</w:t>
      </w:r>
    </w:p>
    <w:p w14:paraId="09EE20F1" w14:textId="77777777" w:rsidR="005E46AC" w:rsidRPr="007129F2" w:rsidRDefault="005E46AC" w:rsidP="005E46AC">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F727E38" w14:textId="1DE4156D" w:rsidR="005E46AC" w:rsidRPr="005E46AC" w:rsidRDefault="005E46AC" w:rsidP="005E46AC">
      <w:pPr>
        <w:pStyle w:val="COMH1numbered"/>
      </w:pPr>
      <w:r>
        <w:t>Sponsor’s Comment</w:t>
      </w:r>
    </w:p>
    <w:p w14:paraId="3E567E8E" w14:textId="7182AED9" w:rsidR="002C5099" w:rsidRPr="002E14F6" w:rsidRDefault="003E64DC" w:rsidP="000D16BA">
      <w:pPr>
        <w:spacing w:after="120"/>
        <w:ind w:left="720"/>
      </w:pPr>
      <w:r w:rsidRPr="000D16BA">
        <w:rPr>
          <w:rFonts w:asciiTheme="minorHAnsi" w:hAnsiTheme="minorHAnsi" w:cstheme="minorHAnsi"/>
          <w:color w:val="000000"/>
        </w:rPr>
        <w:t>Theramex wishes to thank the PBAC, clinicians, medical organisations (ANZBMS, ESA, RANZCOG) and Healthy Bones Australia for their advice and support to broaden access to anti-resorptive therapy for those, mainly older female Australians, in medical need</w:t>
      </w:r>
      <w:r>
        <w:rPr>
          <w:color w:val="000000"/>
          <w:sz w:val="27"/>
          <w:szCs w:val="27"/>
        </w:rPr>
        <w:t>.</w:t>
      </w:r>
    </w:p>
    <w:sectPr w:rsidR="002C5099" w:rsidRPr="002E14F6" w:rsidSect="00845A43">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CA4F5" w14:textId="77777777" w:rsidR="006917EF" w:rsidRDefault="006917EF" w:rsidP="00124A51">
      <w:r>
        <w:separator/>
      </w:r>
    </w:p>
    <w:p w14:paraId="36A11615" w14:textId="77777777" w:rsidR="006917EF" w:rsidRDefault="006917EF"/>
    <w:p w14:paraId="5CD8FD9E" w14:textId="77777777" w:rsidR="006917EF" w:rsidRDefault="006917EF"/>
  </w:endnote>
  <w:endnote w:type="continuationSeparator" w:id="0">
    <w:p w14:paraId="4069FBE0" w14:textId="77777777" w:rsidR="006917EF" w:rsidRDefault="006917EF" w:rsidP="00124A51">
      <w:r>
        <w:continuationSeparator/>
      </w:r>
    </w:p>
    <w:p w14:paraId="3CF08F5A" w14:textId="77777777" w:rsidR="006917EF" w:rsidRDefault="006917EF"/>
    <w:p w14:paraId="73B83467" w14:textId="77777777" w:rsidR="006917EF" w:rsidRDefault="006917EF"/>
  </w:endnote>
  <w:endnote w:type="continuationNotice" w:id="1">
    <w:p w14:paraId="5076C946" w14:textId="77777777" w:rsidR="006917EF" w:rsidRDefault="00691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DEA16" w14:textId="77777777" w:rsidR="00F7437E" w:rsidRDefault="00F743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67DAD566" w:rsidR="00D843F2" w:rsidRDefault="00D843F2" w:rsidP="00753B29">
    <w:pPr>
      <w:jc w:val="center"/>
    </w:pPr>
  </w:p>
  <w:p w14:paraId="37484CD3" w14:textId="751740CE" w:rsidR="00D843F2" w:rsidRPr="00B600AA" w:rsidRDefault="00400174" w:rsidP="00753B29">
    <w:pPr>
      <w:jc w:val="center"/>
      <w:rPr>
        <w:b/>
        <w:bCs/>
      </w:rPr>
    </w:pPr>
    <w:sdt>
      <w:sdtPr>
        <w:id w:val="1036156457"/>
        <w:docPartObj>
          <w:docPartGallery w:val="Page Numbers (Bottom of Page)"/>
          <w:docPartUnique/>
        </w:docPartObj>
      </w:sdtPr>
      <w:sdtEndPr>
        <w:rPr>
          <w:b/>
          <w:bCs/>
          <w:noProof/>
        </w:rPr>
      </w:sdtEndPr>
      <w:sdtContent>
        <w:r w:rsidR="00D843F2" w:rsidRPr="00B600AA">
          <w:rPr>
            <w:b/>
            <w:bCs/>
          </w:rPr>
          <w:fldChar w:fldCharType="begin"/>
        </w:r>
        <w:r w:rsidR="00D843F2" w:rsidRPr="00B600AA">
          <w:rPr>
            <w:b/>
            <w:bCs/>
          </w:rPr>
          <w:instrText xml:space="preserve"> PAGE   \* MERGEFORMAT </w:instrText>
        </w:r>
        <w:r w:rsidR="00D843F2" w:rsidRPr="00B600AA">
          <w:rPr>
            <w:b/>
            <w:bCs/>
          </w:rPr>
          <w:fldChar w:fldCharType="separate"/>
        </w:r>
        <w:r w:rsidR="007C5906">
          <w:rPr>
            <w:b/>
            <w:bCs/>
            <w:noProof/>
          </w:rPr>
          <w:t>38</w:t>
        </w:r>
        <w:r w:rsidR="00D843F2" w:rsidRPr="00B600AA">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AA5CC" w14:textId="77777777" w:rsidR="00F7437E" w:rsidRDefault="00F74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208A6" w14:textId="77777777" w:rsidR="006917EF" w:rsidRDefault="006917EF" w:rsidP="00124A51">
      <w:r>
        <w:separator/>
      </w:r>
    </w:p>
    <w:p w14:paraId="5BF2BB65" w14:textId="77777777" w:rsidR="006917EF" w:rsidRDefault="006917EF"/>
    <w:p w14:paraId="0A0BEB89" w14:textId="77777777" w:rsidR="006917EF" w:rsidRDefault="006917EF"/>
  </w:footnote>
  <w:footnote w:type="continuationSeparator" w:id="0">
    <w:p w14:paraId="688BE2A7" w14:textId="77777777" w:rsidR="006917EF" w:rsidRDefault="006917EF" w:rsidP="00124A51">
      <w:r>
        <w:continuationSeparator/>
      </w:r>
    </w:p>
    <w:p w14:paraId="59831541" w14:textId="77777777" w:rsidR="006917EF" w:rsidRDefault="006917EF"/>
    <w:p w14:paraId="14D350BB" w14:textId="77777777" w:rsidR="006917EF" w:rsidRDefault="006917EF"/>
  </w:footnote>
  <w:footnote w:type="continuationNotice" w:id="1">
    <w:p w14:paraId="14038888" w14:textId="77777777" w:rsidR="006917EF" w:rsidRDefault="006917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BD4D5" w14:textId="77777777" w:rsidR="00F7437E" w:rsidRDefault="00F743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E204" w14:textId="18EBAD0B" w:rsidR="00D843F2" w:rsidRPr="00195452" w:rsidRDefault="00823071" w:rsidP="003C2DE2">
    <w:pPr>
      <w:jc w:val="center"/>
      <w:rPr>
        <w:rFonts w:asciiTheme="minorHAnsi" w:hAnsiTheme="minorHAnsi"/>
        <w:i/>
        <w:color w:val="808080"/>
      </w:rPr>
    </w:pPr>
    <w:r w:rsidRPr="00823071">
      <w:rPr>
        <w:rFonts w:asciiTheme="minorHAnsi" w:hAnsiTheme="minorHAnsi"/>
        <w:i/>
        <w:color w:val="808080"/>
      </w:rPr>
      <w:t xml:space="preserve">Public Summary Document </w:t>
    </w:r>
    <w:r w:rsidR="00B600AA">
      <w:rPr>
        <w:rFonts w:asciiTheme="minorHAnsi" w:hAnsiTheme="minorHAnsi"/>
        <w:i/>
        <w:color w:val="808080"/>
      </w:rPr>
      <w:t xml:space="preserve">- </w:t>
    </w:r>
    <w:r w:rsidR="00990318">
      <w:rPr>
        <w:rFonts w:asciiTheme="minorHAnsi" w:hAnsiTheme="minorHAnsi"/>
        <w:i/>
        <w:color w:val="808080"/>
      </w:rPr>
      <w:t>November</w:t>
    </w:r>
    <w:r w:rsidR="00D843F2">
      <w:rPr>
        <w:rFonts w:asciiTheme="minorHAnsi" w:hAnsiTheme="minorHAnsi"/>
        <w:i/>
        <w:color w:val="808080"/>
      </w:rPr>
      <w:t xml:space="preserve"> 202</w:t>
    </w:r>
    <w:r w:rsidR="00990318">
      <w:rPr>
        <w:rFonts w:asciiTheme="minorHAnsi" w:hAnsiTheme="minorHAnsi"/>
        <w:i/>
        <w:color w:val="808080"/>
      </w:rPr>
      <w:t>2</w:t>
    </w:r>
    <w:r w:rsidR="00D843F2">
      <w:rPr>
        <w:rFonts w:asciiTheme="minorHAnsi" w:hAnsiTheme="minorHAnsi"/>
        <w:i/>
        <w:color w:val="808080"/>
      </w:rPr>
      <w:t xml:space="preserve"> </w:t>
    </w:r>
    <w:r w:rsidR="00D843F2" w:rsidRPr="00195452">
      <w:rPr>
        <w:rFonts w:asciiTheme="minorHAnsi" w:hAnsiTheme="minorHAnsi"/>
        <w:i/>
        <w:color w:val="808080"/>
      </w:rPr>
      <w:t>PBAC Meeting</w:t>
    </w:r>
    <w:r w:rsidR="00217D33">
      <w:rPr>
        <w:rFonts w:asciiTheme="minorHAnsi" w:hAnsiTheme="minorHAnsi"/>
        <w:i/>
        <w:color w:val="808080"/>
      </w:rPr>
      <w:t xml:space="preserve"> with March 2023 Addendum</w:t>
    </w:r>
  </w:p>
  <w:p w14:paraId="03AF943B" w14:textId="77777777" w:rsidR="00D843F2" w:rsidRPr="008C7ECB" w:rsidRDefault="00D843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DFF7" w14:textId="77777777" w:rsidR="00F7437E" w:rsidRDefault="00F743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4AE99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7E6766"/>
    <w:multiLevelType w:val="hybridMultilevel"/>
    <w:tmpl w:val="D8AE17AC"/>
    <w:lvl w:ilvl="0" w:tplc="DC7E9244">
      <w:start w:val="49"/>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201E7B"/>
    <w:multiLevelType w:val="hybridMultilevel"/>
    <w:tmpl w:val="C7162026"/>
    <w:lvl w:ilvl="0" w:tplc="FFFFFFFF">
      <w:start w:val="1"/>
      <w:numFmt w:val="bullet"/>
      <w:lvlText w:val=""/>
      <w:lvlJc w:val="left"/>
      <w:pPr>
        <w:ind w:left="360" w:hanging="360"/>
      </w:pPr>
      <w:rPr>
        <w:rFonts w:ascii="Symbol" w:hAnsi="Symbol" w:hint="default"/>
      </w:rPr>
    </w:lvl>
    <w:lvl w:ilvl="1" w:tplc="53E4B806">
      <w:start w:val="1"/>
      <w:numFmt w:val="bullet"/>
      <w:lvlText w:val="-"/>
      <w:lvlJc w:val="left"/>
      <w:pPr>
        <w:ind w:left="1080" w:hanging="360"/>
      </w:pPr>
      <w:rPr>
        <w:rFonts w:ascii="Arial" w:hAnsi="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A4B0925"/>
    <w:multiLevelType w:val="hybridMultilevel"/>
    <w:tmpl w:val="173A4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3060DE"/>
    <w:multiLevelType w:val="hybridMultilevel"/>
    <w:tmpl w:val="E19A8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6756AE"/>
    <w:multiLevelType w:val="hybridMultilevel"/>
    <w:tmpl w:val="30A8E9C2"/>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8" w15:restartNumberingAfterBreak="0">
    <w:nsid w:val="1C7C745B"/>
    <w:multiLevelType w:val="hybridMultilevel"/>
    <w:tmpl w:val="36142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B219F8"/>
    <w:multiLevelType w:val="hybridMultilevel"/>
    <w:tmpl w:val="6CA0CEB4"/>
    <w:lvl w:ilvl="0" w:tplc="4F38898A">
      <w:start w:val="1"/>
      <w:numFmt w:val="bullet"/>
      <w:pStyle w:val="COMexecsummmainissues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D160FE"/>
    <w:multiLevelType w:val="hybridMultilevel"/>
    <w:tmpl w:val="66C64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B6274A"/>
    <w:multiLevelType w:val="hybridMultilevel"/>
    <w:tmpl w:val="E07A47CC"/>
    <w:lvl w:ilvl="0" w:tplc="E1B6BF4A">
      <w:start w:val="1"/>
      <w:numFmt w:val="decimal"/>
      <w:lvlText w:val="%1."/>
      <w:lvlJc w:val="left"/>
      <w:pPr>
        <w:ind w:left="1064" w:hanging="360"/>
      </w:pPr>
      <w:rPr>
        <w:rFonts w:hint="default"/>
        <w:color w:val="auto"/>
      </w:rPr>
    </w:lvl>
    <w:lvl w:ilvl="1" w:tplc="0C090019">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13" w15:restartNumberingAfterBreak="0">
    <w:nsid w:val="23DD11E3"/>
    <w:multiLevelType w:val="hybridMultilevel"/>
    <w:tmpl w:val="CC22AED4"/>
    <w:lvl w:ilvl="0" w:tplc="8E90AB30">
      <w:start w:val="1"/>
      <w:numFmt w:val="decimal"/>
      <w:pStyle w:val="ListNos0"/>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7F0188"/>
    <w:multiLevelType w:val="hybridMultilevel"/>
    <w:tmpl w:val="406CB9A4"/>
    <w:lvl w:ilvl="0" w:tplc="FFFFFFFF">
      <w:start w:val="1"/>
      <w:numFmt w:val="bullet"/>
      <w:lvlText w:val=""/>
      <w:lvlJc w:val="left"/>
      <w:pPr>
        <w:ind w:left="720" w:hanging="360"/>
      </w:pPr>
      <w:rPr>
        <w:rFonts w:ascii="Symbol" w:hAnsi="Symbol" w:hint="default"/>
      </w:rPr>
    </w:lvl>
    <w:lvl w:ilvl="1" w:tplc="53E4B806">
      <w:start w:val="1"/>
      <w:numFmt w:val="bullet"/>
      <w:lvlText w:val="-"/>
      <w:lvlJc w:val="left"/>
      <w:pPr>
        <w:ind w:left="144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CC1A36"/>
    <w:multiLevelType w:val="hybridMultilevel"/>
    <w:tmpl w:val="9146D0F4"/>
    <w:lvl w:ilvl="0" w:tplc="0C090001">
      <w:start w:val="1"/>
      <w:numFmt w:val="bullet"/>
      <w:lvlText w:val=""/>
      <w:lvlJc w:val="left"/>
      <w:pPr>
        <w:ind w:left="720" w:hanging="360"/>
      </w:pPr>
      <w:rPr>
        <w:rFonts w:ascii="Symbol" w:hAnsi="Symbol" w:hint="default"/>
      </w:rPr>
    </w:lvl>
    <w:lvl w:ilvl="1" w:tplc="4E00BE38">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442297"/>
    <w:multiLevelType w:val="hybridMultilevel"/>
    <w:tmpl w:val="E6FE4E00"/>
    <w:lvl w:ilvl="0" w:tplc="C324F4FC">
      <w:start w:val="1"/>
      <w:numFmt w:val="bullet"/>
      <w:pStyle w:val="zz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8D67A6"/>
    <w:multiLevelType w:val="hybridMultilevel"/>
    <w:tmpl w:val="4AA0561A"/>
    <w:lvl w:ilvl="0" w:tplc="8708BECA">
      <w:start w:val="1"/>
      <w:numFmt w:val="bullet"/>
      <w:pStyle w:val="ListParagraph"/>
      <w:lvlText w:val=""/>
      <w:lvlJc w:val="left"/>
      <w:pPr>
        <w:ind w:left="720" w:hanging="360"/>
      </w:pPr>
      <w:rPr>
        <w:rFonts w:ascii="Symbol" w:hAnsi="Symbol" w:hint="default"/>
      </w:rPr>
    </w:lvl>
    <w:lvl w:ilvl="1" w:tplc="88E656E2">
      <w:numFmt w:val="bullet"/>
      <w:lvlText w:val="-"/>
      <w:lvlJc w:val="left"/>
      <w:pPr>
        <w:ind w:left="1440" w:hanging="360"/>
      </w:pPr>
      <w:rPr>
        <w:rFonts w:ascii="Arial Narrow" w:eastAsiaTheme="majorEastAsia" w:hAnsi="Arial Narrow" w:cstheme="maj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60413"/>
    <w:multiLevelType w:val="hybridMultilevel"/>
    <w:tmpl w:val="D6AE6836"/>
    <w:lvl w:ilvl="0" w:tplc="3B8838D6">
      <w:start w:val="49"/>
      <w:numFmt w:val="bullet"/>
      <w:lvlText w:val="-"/>
      <w:lvlJc w:val="left"/>
      <w:pPr>
        <w:ind w:left="360" w:hanging="360"/>
      </w:pPr>
      <w:rPr>
        <w:rFonts w:ascii="Arial Narrow" w:eastAsiaTheme="majorEastAsia" w:hAnsi="Arial Narrow" w:cstheme="maj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39838CD"/>
    <w:multiLevelType w:val="hybridMultilevel"/>
    <w:tmpl w:val="87B815AE"/>
    <w:lvl w:ilvl="0" w:tplc="0C09001B">
      <w:start w:val="1"/>
      <w:numFmt w:val="lowerRoman"/>
      <w:lvlText w:val="%1."/>
      <w:lvlJc w:val="righ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2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4D7F35"/>
    <w:multiLevelType w:val="hybridMultilevel"/>
    <w:tmpl w:val="AB569B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DB64D79"/>
    <w:multiLevelType w:val="hybridMultilevel"/>
    <w:tmpl w:val="B0D45FA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7"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9FC2B07"/>
    <w:multiLevelType w:val="hybridMultilevel"/>
    <w:tmpl w:val="15E09482"/>
    <w:lvl w:ilvl="0" w:tplc="FFFFFFFF">
      <w:start w:val="1"/>
      <w:numFmt w:val="bullet"/>
      <w:lvlText w:val=""/>
      <w:lvlJc w:val="left"/>
      <w:pPr>
        <w:ind w:left="720" w:hanging="360"/>
      </w:pPr>
      <w:rPr>
        <w:rFonts w:ascii="Symbol" w:hAnsi="Symbol" w:hint="default"/>
      </w:rPr>
    </w:lvl>
    <w:lvl w:ilvl="1" w:tplc="53E4B806">
      <w:start w:val="1"/>
      <w:numFmt w:val="bullet"/>
      <w:lvlText w:val="-"/>
      <w:lvlJc w:val="left"/>
      <w:pPr>
        <w:ind w:left="144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FA3C06"/>
    <w:multiLevelType w:val="hybridMultilevel"/>
    <w:tmpl w:val="C478C4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0E0E98"/>
    <w:multiLevelType w:val="hybridMultilevel"/>
    <w:tmpl w:val="415A662C"/>
    <w:lvl w:ilvl="0" w:tplc="DC7E9244">
      <w:start w:val="49"/>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D290883"/>
    <w:multiLevelType w:val="hybridMultilevel"/>
    <w:tmpl w:val="5B66B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84D033C"/>
    <w:multiLevelType w:val="multilevel"/>
    <w:tmpl w:val="45FC285E"/>
    <w:lvl w:ilvl="0">
      <w:start w:val="1"/>
      <w:numFmt w:val="decimal"/>
      <w:pStyle w:val="COMH1numbered"/>
      <w:lvlText w:val="%1"/>
      <w:lvlJc w:val="left"/>
      <w:pPr>
        <w:ind w:left="720" w:hanging="720"/>
      </w:pPr>
      <w:rPr>
        <w:rFonts w:hint="default"/>
        <w:b/>
      </w:rPr>
    </w:lvl>
    <w:lvl w:ilvl="1">
      <w:start w:val="1"/>
      <w:numFmt w:val="decimal"/>
      <w:pStyle w:val="COMexecsumnumberedpara"/>
      <w:lvlText w:val="%1.%2"/>
      <w:lvlJc w:val="left"/>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34"/>
  </w:num>
  <w:num w:numId="2">
    <w:abstractNumId w:val="19"/>
  </w:num>
  <w:num w:numId="3">
    <w:abstractNumId w:val="20"/>
  </w:num>
  <w:num w:numId="4">
    <w:abstractNumId w:val="17"/>
  </w:num>
  <w:num w:numId="5">
    <w:abstractNumId w:val="0"/>
  </w:num>
  <w:num w:numId="6">
    <w:abstractNumId w:val="32"/>
  </w:num>
  <w:num w:numId="7">
    <w:abstractNumId w:val="9"/>
  </w:num>
  <w:num w:numId="8">
    <w:abstractNumId w:val="21"/>
  </w:num>
  <w:num w:numId="9">
    <w:abstractNumId w:val="34"/>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1"/>
  </w:num>
  <w:num w:numId="13">
    <w:abstractNumId w:val="13"/>
  </w:num>
  <w:num w:numId="14">
    <w:abstractNumId w:val="4"/>
  </w:num>
  <w:num w:numId="15">
    <w:abstractNumId w:val="6"/>
  </w:num>
  <w:num w:numId="16">
    <w:abstractNumId w:val="8"/>
  </w:num>
  <w:num w:numId="17">
    <w:abstractNumId w:val="10"/>
  </w:num>
  <w:num w:numId="18">
    <w:abstractNumId w:val="28"/>
  </w:num>
  <w:num w:numId="19">
    <w:abstractNumId w:val="3"/>
  </w:num>
  <w:num w:numId="20">
    <w:abstractNumId w:val="16"/>
  </w:num>
  <w:num w:numId="21">
    <w:abstractNumId w:val="12"/>
  </w:num>
  <w:num w:numId="22">
    <w:abstractNumId w:val="35"/>
  </w:num>
  <w:num w:numId="23">
    <w:abstractNumId w:val="20"/>
  </w:num>
  <w:num w:numId="24">
    <w:abstractNumId w:val="29"/>
  </w:num>
  <w:num w:numId="25">
    <w:abstractNumId w:val="9"/>
  </w:num>
  <w:num w:numId="26">
    <w:abstractNumId w:val="16"/>
  </w:num>
  <w:num w:numId="27">
    <w:abstractNumId w:val="22"/>
  </w:num>
  <w:num w:numId="28">
    <w:abstractNumId w:val="30"/>
  </w:num>
  <w:num w:numId="29">
    <w:abstractNumId w:val="18"/>
  </w:num>
  <w:num w:numId="30">
    <w:abstractNumId w:val="23"/>
  </w:num>
  <w:num w:numId="31">
    <w:abstractNumId w:val="24"/>
  </w:num>
  <w:num w:numId="32">
    <w:abstractNumId w:val="5"/>
  </w:num>
  <w:num w:numId="33">
    <w:abstractNumId w:val="1"/>
  </w:num>
  <w:num w:numId="34">
    <w:abstractNumId w:val="14"/>
  </w:num>
  <w:num w:numId="35">
    <w:abstractNumId w:val="15"/>
  </w:num>
  <w:num w:numId="36">
    <w:abstractNumId w:val="11"/>
  </w:num>
  <w:num w:numId="3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25"/>
  </w:num>
  <w:num w:numId="40">
    <w:abstractNumId w:val="26"/>
  </w:num>
  <w:num w:numId="41">
    <w:abstractNumId w:val="7"/>
  </w:num>
  <w:num w:numId="42">
    <w:abstractNumId w:val="20"/>
  </w:num>
  <w:num w:numId="43">
    <w:abstractNumId w:val="20"/>
  </w:num>
  <w:num w:numId="44">
    <w:abstractNumId w:val="20"/>
  </w:num>
  <w:num w:numId="45">
    <w:abstractNumId w:val="34"/>
  </w:num>
  <w:num w:numId="46">
    <w:abstractNumId w:val="34"/>
  </w:num>
  <w:num w:numId="47">
    <w:abstractNumId w:val="34"/>
  </w:num>
  <w:num w:numId="48">
    <w:abstractNumId w:val="34"/>
  </w:num>
  <w:num w:numId="49">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089"/>
    <w:rsid w:val="00000790"/>
    <w:rsid w:val="00000FCC"/>
    <w:rsid w:val="0000110B"/>
    <w:rsid w:val="00001560"/>
    <w:rsid w:val="00001869"/>
    <w:rsid w:val="00002279"/>
    <w:rsid w:val="000022C9"/>
    <w:rsid w:val="0000292F"/>
    <w:rsid w:val="000029C9"/>
    <w:rsid w:val="00002AC9"/>
    <w:rsid w:val="00002BCA"/>
    <w:rsid w:val="00002E41"/>
    <w:rsid w:val="00003499"/>
    <w:rsid w:val="000035F6"/>
    <w:rsid w:val="000039B7"/>
    <w:rsid w:val="000041C6"/>
    <w:rsid w:val="0000430F"/>
    <w:rsid w:val="00004785"/>
    <w:rsid w:val="00004A5E"/>
    <w:rsid w:val="000056B9"/>
    <w:rsid w:val="0000639A"/>
    <w:rsid w:val="00006742"/>
    <w:rsid w:val="0000684E"/>
    <w:rsid w:val="00006AB3"/>
    <w:rsid w:val="00006CBB"/>
    <w:rsid w:val="00006D6B"/>
    <w:rsid w:val="000071F4"/>
    <w:rsid w:val="00007D3A"/>
    <w:rsid w:val="00007FC6"/>
    <w:rsid w:val="0001007F"/>
    <w:rsid w:val="000106F5"/>
    <w:rsid w:val="00010B87"/>
    <w:rsid w:val="00010D10"/>
    <w:rsid w:val="0001117D"/>
    <w:rsid w:val="00011AE1"/>
    <w:rsid w:val="00011E2C"/>
    <w:rsid w:val="00012365"/>
    <w:rsid w:val="00012D4C"/>
    <w:rsid w:val="00012D96"/>
    <w:rsid w:val="00013247"/>
    <w:rsid w:val="00013317"/>
    <w:rsid w:val="000136AF"/>
    <w:rsid w:val="00013A55"/>
    <w:rsid w:val="0001403D"/>
    <w:rsid w:val="000151E1"/>
    <w:rsid w:val="000153C0"/>
    <w:rsid w:val="000155E2"/>
    <w:rsid w:val="00015886"/>
    <w:rsid w:val="00015909"/>
    <w:rsid w:val="0001594E"/>
    <w:rsid w:val="00015D17"/>
    <w:rsid w:val="00015D60"/>
    <w:rsid w:val="00015F92"/>
    <w:rsid w:val="000162EF"/>
    <w:rsid w:val="00016EE9"/>
    <w:rsid w:val="00017D30"/>
    <w:rsid w:val="00017E3E"/>
    <w:rsid w:val="000203BE"/>
    <w:rsid w:val="00020427"/>
    <w:rsid w:val="00020502"/>
    <w:rsid w:val="00020519"/>
    <w:rsid w:val="0002057C"/>
    <w:rsid w:val="000207C9"/>
    <w:rsid w:val="0002082C"/>
    <w:rsid w:val="00020A51"/>
    <w:rsid w:val="00020CAF"/>
    <w:rsid w:val="00020F66"/>
    <w:rsid w:val="0002134D"/>
    <w:rsid w:val="000215F8"/>
    <w:rsid w:val="00021D45"/>
    <w:rsid w:val="00021F71"/>
    <w:rsid w:val="00021F76"/>
    <w:rsid w:val="00021FFA"/>
    <w:rsid w:val="0002211D"/>
    <w:rsid w:val="0002225F"/>
    <w:rsid w:val="000231E3"/>
    <w:rsid w:val="000233BA"/>
    <w:rsid w:val="00023763"/>
    <w:rsid w:val="00023AB6"/>
    <w:rsid w:val="00023AD8"/>
    <w:rsid w:val="00023B2B"/>
    <w:rsid w:val="00024266"/>
    <w:rsid w:val="00024CEC"/>
    <w:rsid w:val="00024EB5"/>
    <w:rsid w:val="0002688E"/>
    <w:rsid w:val="00026F32"/>
    <w:rsid w:val="00026FD4"/>
    <w:rsid w:val="0002701F"/>
    <w:rsid w:val="00027137"/>
    <w:rsid w:val="000274B8"/>
    <w:rsid w:val="00027CD2"/>
    <w:rsid w:val="00030353"/>
    <w:rsid w:val="00031123"/>
    <w:rsid w:val="0003190C"/>
    <w:rsid w:val="000322DE"/>
    <w:rsid w:val="00032827"/>
    <w:rsid w:val="00032AD2"/>
    <w:rsid w:val="00032CE8"/>
    <w:rsid w:val="00032E6F"/>
    <w:rsid w:val="0003308C"/>
    <w:rsid w:val="000332CD"/>
    <w:rsid w:val="00033863"/>
    <w:rsid w:val="00033C99"/>
    <w:rsid w:val="00034149"/>
    <w:rsid w:val="00034420"/>
    <w:rsid w:val="0003476A"/>
    <w:rsid w:val="00034858"/>
    <w:rsid w:val="000348FD"/>
    <w:rsid w:val="000354CB"/>
    <w:rsid w:val="000359D2"/>
    <w:rsid w:val="00035C37"/>
    <w:rsid w:val="00035DC0"/>
    <w:rsid w:val="000364EA"/>
    <w:rsid w:val="00036829"/>
    <w:rsid w:val="00036AD6"/>
    <w:rsid w:val="00036C8D"/>
    <w:rsid w:val="00036DCC"/>
    <w:rsid w:val="00036E4E"/>
    <w:rsid w:val="00037251"/>
    <w:rsid w:val="00037369"/>
    <w:rsid w:val="000374FD"/>
    <w:rsid w:val="00037501"/>
    <w:rsid w:val="00037511"/>
    <w:rsid w:val="00037A04"/>
    <w:rsid w:val="00037D1C"/>
    <w:rsid w:val="00037F97"/>
    <w:rsid w:val="00040727"/>
    <w:rsid w:val="00040895"/>
    <w:rsid w:val="00040D3F"/>
    <w:rsid w:val="000410A0"/>
    <w:rsid w:val="000412F0"/>
    <w:rsid w:val="0004161F"/>
    <w:rsid w:val="000416A9"/>
    <w:rsid w:val="000421DE"/>
    <w:rsid w:val="000423D0"/>
    <w:rsid w:val="00042778"/>
    <w:rsid w:val="000428D6"/>
    <w:rsid w:val="00042A04"/>
    <w:rsid w:val="00042DA9"/>
    <w:rsid w:val="0004313A"/>
    <w:rsid w:val="00043192"/>
    <w:rsid w:val="00043358"/>
    <w:rsid w:val="000435EE"/>
    <w:rsid w:val="00043716"/>
    <w:rsid w:val="00043769"/>
    <w:rsid w:val="00043AA7"/>
    <w:rsid w:val="00043C37"/>
    <w:rsid w:val="00044036"/>
    <w:rsid w:val="000448D5"/>
    <w:rsid w:val="00045017"/>
    <w:rsid w:val="000454D6"/>
    <w:rsid w:val="0004579E"/>
    <w:rsid w:val="00045A2B"/>
    <w:rsid w:val="0004698F"/>
    <w:rsid w:val="00046A27"/>
    <w:rsid w:val="00046B6A"/>
    <w:rsid w:val="00046D64"/>
    <w:rsid w:val="00046FB8"/>
    <w:rsid w:val="000471CD"/>
    <w:rsid w:val="0004737C"/>
    <w:rsid w:val="000501F4"/>
    <w:rsid w:val="0005024D"/>
    <w:rsid w:val="000502F1"/>
    <w:rsid w:val="00050489"/>
    <w:rsid w:val="0005080E"/>
    <w:rsid w:val="000508C2"/>
    <w:rsid w:val="000509E3"/>
    <w:rsid w:val="00050BA8"/>
    <w:rsid w:val="000518C6"/>
    <w:rsid w:val="00051A00"/>
    <w:rsid w:val="000536E6"/>
    <w:rsid w:val="00053913"/>
    <w:rsid w:val="000539D0"/>
    <w:rsid w:val="00053EA4"/>
    <w:rsid w:val="000543D2"/>
    <w:rsid w:val="000544F0"/>
    <w:rsid w:val="0005460D"/>
    <w:rsid w:val="00054621"/>
    <w:rsid w:val="000546D7"/>
    <w:rsid w:val="0005494C"/>
    <w:rsid w:val="00054A8D"/>
    <w:rsid w:val="0005535C"/>
    <w:rsid w:val="000556FB"/>
    <w:rsid w:val="00056B29"/>
    <w:rsid w:val="00056ECF"/>
    <w:rsid w:val="00056FCF"/>
    <w:rsid w:val="00057168"/>
    <w:rsid w:val="00057641"/>
    <w:rsid w:val="00057B27"/>
    <w:rsid w:val="00057BC4"/>
    <w:rsid w:val="000604DF"/>
    <w:rsid w:val="00060FCC"/>
    <w:rsid w:val="00061412"/>
    <w:rsid w:val="000614D8"/>
    <w:rsid w:val="00061557"/>
    <w:rsid w:val="00061ABC"/>
    <w:rsid w:val="000622BE"/>
    <w:rsid w:val="00062324"/>
    <w:rsid w:val="000632E8"/>
    <w:rsid w:val="00063438"/>
    <w:rsid w:val="00063679"/>
    <w:rsid w:val="00063C18"/>
    <w:rsid w:val="00063CA4"/>
    <w:rsid w:val="00063D3E"/>
    <w:rsid w:val="000643BA"/>
    <w:rsid w:val="0006446B"/>
    <w:rsid w:val="00064683"/>
    <w:rsid w:val="00064EBA"/>
    <w:rsid w:val="000653B5"/>
    <w:rsid w:val="000653F4"/>
    <w:rsid w:val="00065467"/>
    <w:rsid w:val="00065A43"/>
    <w:rsid w:val="00065D86"/>
    <w:rsid w:val="00065F78"/>
    <w:rsid w:val="000662E7"/>
    <w:rsid w:val="00066360"/>
    <w:rsid w:val="0006670F"/>
    <w:rsid w:val="00066AF8"/>
    <w:rsid w:val="0006731D"/>
    <w:rsid w:val="000675DD"/>
    <w:rsid w:val="000678DA"/>
    <w:rsid w:val="00070514"/>
    <w:rsid w:val="00070ADB"/>
    <w:rsid w:val="00070E2D"/>
    <w:rsid w:val="000711E7"/>
    <w:rsid w:val="00071248"/>
    <w:rsid w:val="000716F5"/>
    <w:rsid w:val="000720B9"/>
    <w:rsid w:val="000729B2"/>
    <w:rsid w:val="00073168"/>
    <w:rsid w:val="00073378"/>
    <w:rsid w:val="000735BE"/>
    <w:rsid w:val="000737F7"/>
    <w:rsid w:val="00073A1C"/>
    <w:rsid w:val="00073B30"/>
    <w:rsid w:val="00074219"/>
    <w:rsid w:val="0007431D"/>
    <w:rsid w:val="00074406"/>
    <w:rsid w:val="00074FCE"/>
    <w:rsid w:val="00075210"/>
    <w:rsid w:val="000759DE"/>
    <w:rsid w:val="00075A70"/>
    <w:rsid w:val="00075EE0"/>
    <w:rsid w:val="00076073"/>
    <w:rsid w:val="0007672F"/>
    <w:rsid w:val="00076B54"/>
    <w:rsid w:val="00077096"/>
    <w:rsid w:val="000774F0"/>
    <w:rsid w:val="00077940"/>
    <w:rsid w:val="000779DC"/>
    <w:rsid w:val="000808C0"/>
    <w:rsid w:val="00080909"/>
    <w:rsid w:val="00080B2C"/>
    <w:rsid w:val="000810FB"/>
    <w:rsid w:val="000812B9"/>
    <w:rsid w:val="000812CA"/>
    <w:rsid w:val="0008135E"/>
    <w:rsid w:val="00081E63"/>
    <w:rsid w:val="00082203"/>
    <w:rsid w:val="00082336"/>
    <w:rsid w:val="000824B6"/>
    <w:rsid w:val="00082537"/>
    <w:rsid w:val="0008258D"/>
    <w:rsid w:val="00083905"/>
    <w:rsid w:val="00083A44"/>
    <w:rsid w:val="00083E99"/>
    <w:rsid w:val="000840A7"/>
    <w:rsid w:val="000844FC"/>
    <w:rsid w:val="000847FB"/>
    <w:rsid w:val="00084801"/>
    <w:rsid w:val="00084AD5"/>
    <w:rsid w:val="00084F57"/>
    <w:rsid w:val="00084FA8"/>
    <w:rsid w:val="0008564D"/>
    <w:rsid w:val="00085657"/>
    <w:rsid w:val="000856C5"/>
    <w:rsid w:val="000858AB"/>
    <w:rsid w:val="00085C31"/>
    <w:rsid w:val="00085F4E"/>
    <w:rsid w:val="000860B3"/>
    <w:rsid w:val="0008668A"/>
    <w:rsid w:val="00086DA4"/>
    <w:rsid w:val="00087426"/>
    <w:rsid w:val="0009014D"/>
    <w:rsid w:val="000901DA"/>
    <w:rsid w:val="000902D9"/>
    <w:rsid w:val="00090C7E"/>
    <w:rsid w:val="00090DC9"/>
    <w:rsid w:val="000911AC"/>
    <w:rsid w:val="000913F6"/>
    <w:rsid w:val="0009145B"/>
    <w:rsid w:val="00091945"/>
    <w:rsid w:val="00091F17"/>
    <w:rsid w:val="00092600"/>
    <w:rsid w:val="0009262B"/>
    <w:rsid w:val="000928DB"/>
    <w:rsid w:val="00092EE9"/>
    <w:rsid w:val="00093006"/>
    <w:rsid w:val="00093032"/>
    <w:rsid w:val="000932E6"/>
    <w:rsid w:val="00093310"/>
    <w:rsid w:val="00093E1F"/>
    <w:rsid w:val="0009445C"/>
    <w:rsid w:val="000944EA"/>
    <w:rsid w:val="00094B6B"/>
    <w:rsid w:val="00095200"/>
    <w:rsid w:val="00095398"/>
    <w:rsid w:val="000953C8"/>
    <w:rsid w:val="00095673"/>
    <w:rsid w:val="0009585E"/>
    <w:rsid w:val="00095B22"/>
    <w:rsid w:val="00095C6D"/>
    <w:rsid w:val="00095E83"/>
    <w:rsid w:val="00095FE5"/>
    <w:rsid w:val="00096284"/>
    <w:rsid w:val="000962C7"/>
    <w:rsid w:val="00096A11"/>
    <w:rsid w:val="00096A96"/>
    <w:rsid w:val="0009734B"/>
    <w:rsid w:val="0009743A"/>
    <w:rsid w:val="0009748A"/>
    <w:rsid w:val="00097985"/>
    <w:rsid w:val="000A0F28"/>
    <w:rsid w:val="000A1961"/>
    <w:rsid w:val="000A1BC0"/>
    <w:rsid w:val="000A1BF8"/>
    <w:rsid w:val="000A1D60"/>
    <w:rsid w:val="000A1D6D"/>
    <w:rsid w:val="000A2AE1"/>
    <w:rsid w:val="000A2DCF"/>
    <w:rsid w:val="000A2F9E"/>
    <w:rsid w:val="000A33FD"/>
    <w:rsid w:val="000A354D"/>
    <w:rsid w:val="000A3B4E"/>
    <w:rsid w:val="000A3E40"/>
    <w:rsid w:val="000A3E47"/>
    <w:rsid w:val="000A40EA"/>
    <w:rsid w:val="000A4164"/>
    <w:rsid w:val="000A42BD"/>
    <w:rsid w:val="000A4487"/>
    <w:rsid w:val="000A488F"/>
    <w:rsid w:val="000A51F6"/>
    <w:rsid w:val="000A522B"/>
    <w:rsid w:val="000A5346"/>
    <w:rsid w:val="000A6039"/>
    <w:rsid w:val="000A676A"/>
    <w:rsid w:val="000A676D"/>
    <w:rsid w:val="000A6F47"/>
    <w:rsid w:val="000A7378"/>
    <w:rsid w:val="000A7453"/>
    <w:rsid w:val="000A7C8A"/>
    <w:rsid w:val="000A7D08"/>
    <w:rsid w:val="000A7F8A"/>
    <w:rsid w:val="000B0098"/>
    <w:rsid w:val="000B0121"/>
    <w:rsid w:val="000B02F9"/>
    <w:rsid w:val="000B0670"/>
    <w:rsid w:val="000B0E75"/>
    <w:rsid w:val="000B1032"/>
    <w:rsid w:val="000B1309"/>
    <w:rsid w:val="000B1A78"/>
    <w:rsid w:val="000B1ACD"/>
    <w:rsid w:val="000B1AF3"/>
    <w:rsid w:val="000B1EDD"/>
    <w:rsid w:val="000B1F28"/>
    <w:rsid w:val="000B2DCB"/>
    <w:rsid w:val="000B32E4"/>
    <w:rsid w:val="000B38BE"/>
    <w:rsid w:val="000B3A05"/>
    <w:rsid w:val="000B3A24"/>
    <w:rsid w:val="000B3D0E"/>
    <w:rsid w:val="000B4694"/>
    <w:rsid w:val="000B5181"/>
    <w:rsid w:val="000B5CE0"/>
    <w:rsid w:val="000B617F"/>
    <w:rsid w:val="000B6CAC"/>
    <w:rsid w:val="000B751E"/>
    <w:rsid w:val="000B7612"/>
    <w:rsid w:val="000B78AE"/>
    <w:rsid w:val="000B7F13"/>
    <w:rsid w:val="000C0093"/>
    <w:rsid w:val="000C09F4"/>
    <w:rsid w:val="000C151E"/>
    <w:rsid w:val="000C1D8F"/>
    <w:rsid w:val="000C2565"/>
    <w:rsid w:val="000C2673"/>
    <w:rsid w:val="000C2DF8"/>
    <w:rsid w:val="000C32FF"/>
    <w:rsid w:val="000C3D7A"/>
    <w:rsid w:val="000C3DF9"/>
    <w:rsid w:val="000C40D9"/>
    <w:rsid w:val="000C48F3"/>
    <w:rsid w:val="000C4CF2"/>
    <w:rsid w:val="000C5029"/>
    <w:rsid w:val="000C53D7"/>
    <w:rsid w:val="000C5A53"/>
    <w:rsid w:val="000C663C"/>
    <w:rsid w:val="000C6713"/>
    <w:rsid w:val="000C6BF0"/>
    <w:rsid w:val="000C6BFA"/>
    <w:rsid w:val="000C6DE1"/>
    <w:rsid w:val="000C6F75"/>
    <w:rsid w:val="000C7157"/>
    <w:rsid w:val="000C7A90"/>
    <w:rsid w:val="000C7B66"/>
    <w:rsid w:val="000D0155"/>
    <w:rsid w:val="000D0618"/>
    <w:rsid w:val="000D076F"/>
    <w:rsid w:val="000D09AA"/>
    <w:rsid w:val="000D115A"/>
    <w:rsid w:val="000D1224"/>
    <w:rsid w:val="000D1307"/>
    <w:rsid w:val="000D16BA"/>
    <w:rsid w:val="000D1BFC"/>
    <w:rsid w:val="000D1D5D"/>
    <w:rsid w:val="000D20B1"/>
    <w:rsid w:val="000D214F"/>
    <w:rsid w:val="000D24A5"/>
    <w:rsid w:val="000D27C3"/>
    <w:rsid w:val="000D281A"/>
    <w:rsid w:val="000D2848"/>
    <w:rsid w:val="000D2993"/>
    <w:rsid w:val="000D2C6C"/>
    <w:rsid w:val="000D2D5C"/>
    <w:rsid w:val="000D2E8E"/>
    <w:rsid w:val="000D2F26"/>
    <w:rsid w:val="000D303D"/>
    <w:rsid w:val="000D3227"/>
    <w:rsid w:val="000D326A"/>
    <w:rsid w:val="000D38A8"/>
    <w:rsid w:val="000D3982"/>
    <w:rsid w:val="000D3A69"/>
    <w:rsid w:val="000D4737"/>
    <w:rsid w:val="000D49EC"/>
    <w:rsid w:val="000D51FB"/>
    <w:rsid w:val="000D6346"/>
    <w:rsid w:val="000D6501"/>
    <w:rsid w:val="000D6892"/>
    <w:rsid w:val="000D6D94"/>
    <w:rsid w:val="000D6F2E"/>
    <w:rsid w:val="000D7337"/>
    <w:rsid w:val="000D758A"/>
    <w:rsid w:val="000D79DF"/>
    <w:rsid w:val="000E0244"/>
    <w:rsid w:val="000E0640"/>
    <w:rsid w:val="000E0C49"/>
    <w:rsid w:val="000E135D"/>
    <w:rsid w:val="000E1368"/>
    <w:rsid w:val="000E1B3E"/>
    <w:rsid w:val="000E1BA1"/>
    <w:rsid w:val="000E1D3A"/>
    <w:rsid w:val="000E1E41"/>
    <w:rsid w:val="000E1FB2"/>
    <w:rsid w:val="000E1FCA"/>
    <w:rsid w:val="000E20F8"/>
    <w:rsid w:val="000E27D8"/>
    <w:rsid w:val="000E284A"/>
    <w:rsid w:val="000E29F9"/>
    <w:rsid w:val="000E2A7D"/>
    <w:rsid w:val="000E2C51"/>
    <w:rsid w:val="000E2F83"/>
    <w:rsid w:val="000E2FAE"/>
    <w:rsid w:val="000E30D1"/>
    <w:rsid w:val="000E3219"/>
    <w:rsid w:val="000E3657"/>
    <w:rsid w:val="000E3778"/>
    <w:rsid w:val="000E3D7D"/>
    <w:rsid w:val="000E43AD"/>
    <w:rsid w:val="000E47B4"/>
    <w:rsid w:val="000E47C1"/>
    <w:rsid w:val="000E492F"/>
    <w:rsid w:val="000E49FE"/>
    <w:rsid w:val="000E50D2"/>
    <w:rsid w:val="000E5439"/>
    <w:rsid w:val="000E556A"/>
    <w:rsid w:val="000E5839"/>
    <w:rsid w:val="000E5D88"/>
    <w:rsid w:val="000E5DCF"/>
    <w:rsid w:val="000E63ED"/>
    <w:rsid w:val="000E64C3"/>
    <w:rsid w:val="000E64EC"/>
    <w:rsid w:val="000E68B4"/>
    <w:rsid w:val="000E7DAC"/>
    <w:rsid w:val="000F00BA"/>
    <w:rsid w:val="000F0156"/>
    <w:rsid w:val="000F0412"/>
    <w:rsid w:val="000F0439"/>
    <w:rsid w:val="000F0DD4"/>
    <w:rsid w:val="000F155E"/>
    <w:rsid w:val="000F1D43"/>
    <w:rsid w:val="000F2626"/>
    <w:rsid w:val="000F2C9D"/>
    <w:rsid w:val="000F2E0E"/>
    <w:rsid w:val="000F316A"/>
    <w:rsid w:val="000F3354"/>
    <w:rsid w:val="000F379A"/>
    <w:rsid w:val="000F3C74"/>
    <w:rsid w:val="000F40D1"/>
    <w:rsid w:val="000F4142"/>
    <w:rsid w:val="000F46DC"/>
    <w:rsid w:val="000F49CE"/>
    <w:rsid w:val="000F4AF5"/>
    <w:rsid w:val="000F4BB8"/>
    <w:rsid w:val="000F4FA9"/>
    <w:rsid w:val="000F53FB"/>
    <w:rsid w:val="000F6806"/>
    <w:rsid w:val="000F7127"/>
    <w:rsid w:val="000F7409"/>
    <w:rsid w:val="000F7B54"/>
    <w:rsid w:val="001000B3"/>
    <w:rsid w:val="00100319"/>
    <w:rsid w:val="001009C3"/>
    <w:rsid w:val="00100AD3"/>
    <w:rsid w:val="00100EA3"/>
    <w:rsid w:val="00100F8A"/>
    <w:rsid w:val="0010138C"/>
    <w:rsid w:val="00101DB5"/>
    <w:rsid w:val="00102409"/>
    <w:rsid w:val="00102667"/>
    <w:rsid w:val="00102E2B"/>
    <w:rsid w:val="00103323"/>
    <w:rsid w:val="001034DF"/>
    <w:rsid w:val="00103777"/>
    <w:rsid w:val="00103F54"/>
    <w:rsid w:val="001040B9"/>
    <w:rsid w:val="0010423E"/>
    <w:rsid w:val="0010452E"/>
    <w:rsid w:val="001049F6"/>
    <w:rsid w:val="00104A70"/>
    <w:rsid w:val="00104AA8"/>
    <w:rsid w:val="00104BB5"/>
    <w:rsid w:val="00104FE5"/>
    <w:rsid w:val="00105508"/>
    <w:rsid w:val="00105AE2"/>
    <w:rsid w:val="00105B9A"/>
    <w:rsid w:val="001060C6"/>
    <w:rsid w:val="001063A5"/>
    <w:rsid w:val="001065DF"/>
    <w:rsid w:val="00106B80"/>
    <w:rsid w:val="00106E86"/>
    <w:rsid w:val="00107BA5"/>
    <w:rsid w:val="00110008"/>
    <w:rsid w:val="00110250"/>
    <w:rsid w:val="0011032E"/>
    <w:rsid w:val="001103C5"/>
    <w:rsid w:val="001107D4"/>
    <w:rsid w:val="00110857"/>
    <w:rsid w:val="00110A67"/>
    <w:rsid w:val="00111254"/>
    <w:rsid w:val="00111489"/>
    <w:rsid w:val="00111675"/>
    <w:rsid w:val="00111DB8"/>
    <w:rsid w:val="00112BA7"/>
    <w:rsid w:val="00112F9C"/>
    <w:rsid w:val="0011348B"/>
    <w:rsid w:val="00113E96"/>
    <w:rsid w:val="00113F9A"/>
    <w:rsid w:val="001148CB"/>
    <w:rsid w:val="00114DCD"/>
    <w:rsid w:val="00115417"/>
    <w:rsid w:val="00115982"/>
    <w:rsid w:val="001162C8"/>
    <w:rsid w:val="001164E3"/>
    <w:rsid w:val="00116873"/>
    <w:rsid w:val="00116C53"/>
    <w:rsid w:val="00116CFC"/>
    <w:rsid w:val="0011718D"/>
    <w:rsid w:val="0011722C"/>
    <w:rsid w:val="0011733E"/>
    <w:rsid w:val="001179BB"/>
    <w:rsid w:val="00117DDF"/>
    <w:rsid w:val="00120424"/>
    <w:rsid w:val="00120B4D"/>
    <w:rsid w:val="00120DD4"/>
    <w:rsid w:val="00120E5F"/>
    <w:rsid w:val="00121130"/>
    <w:rsid w:val="00121385"/>
    <w:rsid w:val="00121799"/>
    <w:rsid w:val="00122200"/>
    <w:rsid w:val="001222FC"/>
    <w:rsid w:val="00122DBE"/>
    <w:rsid w:val="001234B3"/>
    <w:rsid w:val="00123729"/>
    <w:rsid w:val="00123847"/>
    <w:rsid w:val="00123848"/>
    <w:rsid w:val="00123902"/>
    <w:rsid w:val="00123B6B"/>
    <w:rsid w:val="00123EC8"/>
    <w:rsid w:val="00124A51"/>
    <w:rsid w:val="001262F8"/>
    <w:rsid w:val="00126554"/>
    <w:rsid w:val="00126621"/>
    <w:rsid w:val="0012668B"/>
    <w:rsid w:val="00126B1D"/>
    <w:rsid w:val="0012731C"/>
    <w:rsid w:val="0012748A"/>
    <w:rsid w:val="00127699"/>
    <w:rsid w:val="001278FC"/>
    <w:rsid w:val="00127FB5"/>
    <w:rsid w:val="001300FC"/>
    <w:rsid w:val="00130186"/>
    <w:rsid w:val="001301E9"/>
    <w:rsid w:val="0013097E"/>
    <w:rsid w:val="00130CA4"/>
    <w:rsid w:val="00130DF7"/>
    <w:rsid w:val="00130FA8"/>
    <w:rsid w:val="00131D82"/>
    <w:rsid w:val="00131F11"/>
    <w:rsid w:val="00131FC4"/>
    <w:rsid w:val="00132400"/>
    <w:rsid w:val="00132628"/>
    <w:rsid w:val="00132B22"/>
    <w:rsid w:val="00133082"/>
    <w:rsid w:val="001332B0"/>
    <w:rsid w:val="00133594"/>
    <w:rsid w:val="00133697"/>
    <w:rsid w:val="001338E9"/>
    <w:rsid w:val="00133CA8"/>
    <w:rsid w:val="00133D36"/>
    <w:rsid w:val="001347D4"/>
    <w:rsid w:val="001347DF"/>
    <w:rsid w:val="00134878"/>
    <w:rsid w:val="001348C7"/>
    <w:rsid w:val="00134AB5"/>
    <w:rsid w:val="00135043"/>
    <w:rsid w:val="0013543F"/>
    <w:rsid w:val="0013562A"/>
    <w:rsid w:val="00135E2A"/>
    <w:rsid w:val="00135F2D"/>
    <w:rsid w:val="001361B9"/>
    <w:rsid w:val="00136251"/>
    <w:rsid w:val="001363E7"/>
    <w:rsid w:val="0013641A"/>
    <w:rsid w:val="00136637"/>
    <w:rsid w:val="00136659"/>
    <w:rsid w:val="00136C5F"/>
    <w:rsid w:val="001372B1"/>
    <w:rsid w:val="00137645"/>
    <w:rsid w:val="00137756"/>
    <w:rsid w:val="00137CED"/>
    <w:rsid w:val="0014015A"/>
    <w:rsid w:val="00140223"/>
    <w:rsid w:val="00140812"/>
    <w:rsid w:val="00140ABE"/>
    <w:rsid w:val="00140B20"/>
    <w:rsid w:val="00140BD7"/>
    <w:rsid w:val="00140E99"/>
    <w:rsid w:val="001416D5"/>
    <w:rsid w:val="001416FE"/>
    <w:rsid w:val="00141AD7"/>
    <w:rsid w:val="00141D75"/>
    <w:rsid w:val="00141E3A"/>
    <w:rsid w:val="00141F60"/>
    <w:rsid w:val="00142120"/>
    <w:rsid w:val="001424F7"/>
    <w:rsid w:val="00142743"/>
    <w:rsid w:val="00142A3E"/>
    <w:rsid w:val="00142F9B"/>
    <w:rsid w:val="0014307A"/>
    <w:rsid w:val="001434E1"/>
    <w:rsid w:val="00143775"/>
    <w:rsid w:val="001438BC"/>
    <w:rsid w:val="00143C22"/>
    <w:rsid w:val="00143C62"/>
    <w:rsid w:val="00143E1C"/>
    <w:rsid w:val="00143E27"/>
    <w:rsid w:val="00143F67"/>
    <w:rsid w:val="00143FF1"/>
    <w:rsid w:val="001442C9"/>
    <w:rsid w:val="001445F4"/>
    <w:rsid w:val="0014484E"/>
    <w:rsid w:val="00144E44"/>
    <w:rsid w:val="00144FB6"/>
    <w:rsid w:val="00144FF2"/>
    <w:rsid w:val="00145234"/>
    <w:rsid w:val="00145540"/>
    <w:rsid w:val="001456B0"/>
    <w:rsid w:val="001458EF"/>
    <w:rsid w:val="00145B5C"/>
    <w:rsid w:val="001461E7"/>
    <w:rsid w:val="001465A6"/>
    <w:rsid w:val="00146709"/>
    <w:rsid w:val="0014670B"/>
    <w:rsid w:val="0014749D"/>
    <w:rsid w:val="00147C76"/>
    <w:rsid w:val="00147EDA"/>
    <w:rsid w:val="00150317"/>
    <w:rsid w:val="00150CB5"/>
    <w:rsid w:val="00150EA9"/>
    <w:rsid w:val="0015149F"/>
    <w:rsid w:val="0015155F"/>
    <w:rsid w:val="00151566"/>
    <w:rsid w:val="0015161B"/>
    <w:rsid w:val="00151D63"/>
    <w:rsid w:val="001520E8"/>
    <w:rsid w:val="00152915"/>
    <w:rsid w:val="00152B28"/>
    <w:rsid w:val="00152DA0"/>
    <w:rsid w:val="001534AB"/>
    <w:rsid w:val="00153C77"/>
    <w:rsid w:val="00153FAB"/>
    <w:rsid w:val="001547AB"/>
    <w:rsid w:val="00154BD1"/>
    <w:rsid w:val="00154E7D"/>
    <w:rsid w:val="00155986"/>
    <w:rsid w:val="00155C6A"/>
    <w:rsid w:val="00155E5A"/>
    <w:rsid w:val="001564FC"/>
    <w:rsid w:val="00156538"/>
    <w:rsid w:val="00156821"/>
    <w:rsid w:val="001568F5"/>
    <w:rsid w:val="00156CEA"/>
    <w:rsid w:val="00156F8F"/>
    <w:rsid w:val="00156FDF"/>
    <w:rsid w:val="00157130"/>
    <w:rsid w:val="00157408"/>
    <w:rsid w:val="001576B1"/>
    <w:rsid w:val="00157CF7"/>
    <w:rsid w:val="0016047B"/>
    <w:rsid w:val="00160A4C"/>
    <w:rsid w:val="00160A9E"/>
    <w:rsid w:val="00161328"/>
    <w:rsid w:val="00161CA8"/>
    <w:rsid w:val="00161F4B"/>
    <w:rsid w:val="00161FEB"/>
    <w:rsid w:val="001624E8"/>
    <w:rsid w:val="00162709"/>
    <w:rsid w:val="00162913"/>
    <w:rsid w:val="0016380E"/>
    <w:rsid w:val="0016392E"/>
    <w:rsid w:val="00163D5D"/>
    <w:rsid w:val="00163E81"/>
    <w:rsid w:val="00163EFF"/>
    <w:rsid w:val="00163F66"/>
    <w:rsid w:val="0016478E"/>
    <w:rsid w:val="00164B92"/>
    <w:rsid w:val="00164FBD"/>
    <w:rsid w:val="00165166"/>
    <w:rsid w:val="00165502"/>
    <w:rsid w:val="00165A50"/>
    <w:rsid w:val="00165E1C"/>
    <w:rsid w:val="00165EC4"/>
    <w:rsid w:val="00165F45"/>
    <w:rsid w:val="001661FB"/>
    <w:rsid w:val="0016665D"/>
    <w:rsid w:val="0016684A"/>
    <w:rsid w:val="0016689C"/>
    <w:rsid w:val="00166B8D"/>
    <w:rsid w:val="0016706E"/>
    <w:rsid w:val="001671A0"/>
    <w:rsid w:val="0016767F"/>
    <w:rsid w:val="001676F0"/>
    <w:rsid w:val="001703C7"/>
    <w:rsid w:val="00170F30"/>
    <w:rsid w:val="001714AF"/>
    <w:rsid w:val="00171A61"/>
    <w:rsid w:val="00171B00"/>
    <w:rsid w:val="00172B4B"/>
    <w:rsid w:val="00173565"/>
    <w:rsid w:val="00173B07"/>
    <w:rsid w:val="00173E8A"/>
    <w:rsid w:val="0017410E"/>
    <w:rsid w:val="00174BF9"/>
    <w:rsid w:val="00174DC0"/>
    <w:rsid w:val="00174E7F"/>
    <w:rsid w:val="00174EBD"/>
    <w:rsid w:val="001751FA"/>
    <w:rsid w:val="001752EF"/>
    <w:rsid w:val="00175364"/>
    <w:rsid w:val="001753C6"/>
    <w:rsid w:val="00176135"/>
    <w:rsid w:val="001767ED"/>
    <w:rsid w:val="00176D7E"/>
    <w:rsid w:val="00177826"/>
    <w:rsid w:val="00177B29"/>
    <w:rsid w:val="00177E17"/>
    <w:rsid w:val="001803C3"/>
    <w:rsid w:val="0018060B"/>
    <w:rsid w:val="00180791"/>
    <w:rsid w:val="0018110E"/>
    <w:rsid w:val="0018118D"/>
    <w:rsid w:val="001812EA"/>
    <w:rsid w:val="001813F6"/>
    <w:rsid w:val="001814B6"/>
    <w:rsid w:val="00181994"/>
    <w:rsid w:val="00181C10"/>
    <w:rsid w:val="00181D9C"/>
    <w:rsid w:val="001820E7"/>
    <w:rsid w:val="0018225F"/>
    <w:rsid w:val="00182354"/>
    <w:rsid w:val="00182B7C"/>
    <w:rsid w:val="00182DFB"/>
    <w:rsid w:val="00182F49"/>
    <w:rsid w:val="001835D4"/>
    <w:rsid w:val="001837FF"/>
    <w:rsid w:val="0018431F"/>
    <w:rsid w:val="001843CA"/>
    <w:rsid w:val="00184A7E"/>
    <w:rsid w:val="00184AF9"/>
    <w:rsid w:val="00184B0E"/>
    <w:rsid w:val="00184C55"/>
    <w:rsid w:val="00185267"/>
    <w:rsid w:val="0018554B"/>
    <w:rsid w:val="00185747"/>
    <w:rsid w:val="001857C8"/>
    <w:rsid w:val="001859E9"/>
    <w:rsid w:val="00186C34"/>
    <w:rsid w:val="0018752F"/>
    <w:rsid w:val="001876E3"/>
    <w:rsid w:val="0018771D"/>
    <w:rsid w:val="00187B25"/>
    <w:rsid w:val="00187EDE"/>
    <w:rsid w:val="001901E5"/>
    <w:rsid w:val="00190C40"/>
    <w:rsid w:val="0019138A"/>
    <w:rsid w:val="001914DA"/>
    <w:rsid w:val="001916BC"/>
    <w:rsid w:val="00191EC8"/>
    <w:rsid w:val="001920E6"/>
    <w:rsid w:val="001921ED"/>
    <w:rsid w:val="00192847"/>
    <w:rsid w:val="00192E4E"/>
    <w:rsid w:val="001937B0"/>
    <w:rsid w:val="00193838"/>
    <w:rsid w:val="00193E19"/>
    <w:rsid w:val="00193E57"/>
    <w:rsid w:val="00193F5C"/>
    <w:rsid w:val="00194AD8"/>
    <w:rsid w:val="00195222"/>
    <w:rsid w:val="00195452"/>
    <w:rsid w:val="00195649"/>
    <w:rsid w:val="0019571D"/>
    <w:rsid w:val="00195FCD"/>
    <w:rsid w:val="00196112"/>
    <w:rsid w:val="00196667"/>
    <w:rsid w:val="00196A7D"/>
    <w:rsid w:val="001971D1"/>
    <w:rsid w:val="001975D8"/>
    <w:rsid w:val="001979C6"/>
    <w:rsid w:val="001A0099"/>
    <w:rsid w:val="001A0319"/>
    <w:rsid w:val="001A0429"/>
    <w:rsid w:val="001A06A8"/>
    <w:rsid w:val="001A0F6E"/>
    <w:rsid w:val="001A1129"/>
    <w:rsid w:val="001A178E"/>
    <w:rsid w:val="001A1950"/>
    <w:rsid w:val="001A19B7"/>
    <w:rsid w:val="001A1AD9"/>
    <w:rsid w:val="001A2094"/>
    <w:rsid w:val="001A23A4"/>
    <w:rsid w:val="001A2ED9"/>
    <w:rsid w:val="001A2F42"/>
    <w:rsid w:val="001A3A31"/>
    <w:rsid w:val="001A3C9C"/>
    <w:rsid w:val="001A43FA"/>
    <w:rsid w:val="001A4777"/>
    <w:rsid w:val="001A47C5"/>
    <w:rsid w:val="001A4C13"/>
    <w:rsid w:val="001A4C46"/>
    <w:rsid w:val="001A4C80"/>
    <w:rsid w:val="001A4CC0"/>
    <w:rsid w:val="001A4EEA"/>
    <w:rsid w:val="001A50BA"/>
    <w:rsid w:val="001A50FA"/>
    <w:rsid w:val="001A51D9"/>
    <w:rsid w:val="001A53C0"/>
    <w:rsid w:val="001A549E"/>
    <w:rsid w:val="001A5551"/>
    <w:rsid w:val="001A5583"/>
    <w:rsid w:val="001A55BB"/>
    <w:rsid w:val="001A59BC"/>
    <w:rsid w:val="001A59FB"/>
    <w:rsid w:val="001A5AF6"/>
    <w:rsid w:val="001A5E9E"/>
    <w:rsid w:val="001A5FE5"/>
    <w:rsid w:val="001A6354"/>
    <w:rsid w:val="001A6366"/>
    <w:rsid w:val="001A6B9B"/>
    <w:rsid w:val="001A6BBA"/>
    <w:rsid w:val="001A716D"/>
    <w:rsid w:val="001A72CB"/>
    <w:rsid w:val="001A75FD"/>
    <w:rsid w:val="001A7AE8"/>
    <w:rsid w:val="001B09CF"/>
    <w:rsid w:val="001B0DBA"/>
    <w:rsid w:val="001B1324"/>
    <w:rsid w:val="001B15A0"/>
    <w:rsid w:val="001B1A04"/>
    <w:rsid w:val="001B1D74"/>
    <w:rsid w:val="001B204E"/>
    <w:rsid w:val="001B2372"/>
    <w:rsid w:val="001B3443"/>
    <w:rsid w:val="001B3CE3"/>
    <w:rsid w:val="001B3F2E"/>
    <w:rsid w:val="001B40E4"/>
    <w:rsid w:val="001B456B"/>
    <w:rsid w:val="001B4A14"/>
    <w:rsid w:val="001B4C0E"/>
    <w:rsid w:val="001B4D05"/>
    <w:rsid w:val="001B4D20"/>
    <w:rsid w:val="001B5394"/>
    <w:rsid w:val="001B5499"/>
    <w:rsid w:val="001B5AF0"/>
    <w:rsid w:val="001B5F33"/>
    <w:rsid w:val="001B62C1"/>
    <w:rsid w:val="001B63B1"/>
    <w:rsid w:val="001B652B"/>
    <w:rsid w:val="001B68A5"/>
    <w:rsid w:val="001B6E4A"/>
    <w:rsid w:val="001B70EA"/>
    <w:rsid w:val="001B7106"/>
    <w:rsid w:val="001B77D1"/>
    <w:rsid w:val="001B7A6D"/>
    <w:rsid w:val="001B7F84"/>
    <w:rsid w:val="001B7FE6"/>
    <w:rsid w:val="001C0047"/>
    <w:rsid w:val="001C0270"/>
    <w:rsid w:val="001C03EF"/>
    <w:rsid w:val="001C080C"/>
    <w:rsid w:val="001C139E"/>
    <w:rsid w:val="001C1544"/>
    <w:rsid w:val="001C18E9"/>
    <w:rsid w:val="001C2129"/>
    <w:rsid w:val="001C254F"/>
    <w:rsid w:val="001C2558"/>
    <w:rsid w:val="001C2A9B"/>
    <w:rsid w:val="001C2D68"/>
    <w:rsid w:val="001C339B"/>
    <w:rsid w:val="001C3D2D"/>
    <w:rsid w:val="001C3DD3"/>
    <w:rsid w:val="001C3DD6"/>
    <w:rsid w:val="001C4299"/>
    <w:rsid w:val="001C42C2"/>
    <w:rsid w:val="001C4874"/>
    <w:rsid w:val="001C4CEE"/>
    <w:rsid w:val="001C4EA0"/>
    <w:rsid w:val="001C519D"/>
    <w:rsid w:val="001C52E5"/>
    <w:rsid w:val="001C5435"/>
    <w:rsid w:val="001C5455"/>
    <w:rsid w:val="001C5F94"/>
    <w:rsid w:val="001C6824"/>
    <w:rsid w:val="001C6D6A"/>
    <w:rsid w:val="001C6E66"/>
    <w:rsid w:val="001C6E8C"/>
    <w:rsid w:val="001C6EB4"/>
    <w:rsid w:val="001C793B"/>
    <w:rsid w:val="001C7AF5"/>
    <w:rsid w:val="001D07D7"/>
    <w:rsid w:val="001D1100"/>
    <w:rsid w:val="001D1391"/>
    <w:rsid w:val="001D214D"/>
    <w:rsid w:val="001D22D3"/>
    <w:rsid w:val="001D24BF"/>
    <w:rsid w:val="001D25D7"/>
    <w:rsid w:val="001D27EC"/>
    <w:rsid w:val="001D282B"/>
    <w:rsid w:val="001D29DF"/>
    <w:rsid w:val="001D2BDB"/>
    <w:rsid w:val="001D2D12"/>
    <w:rsid w:val="001D2E06"/>
    <w:rsid w:val="001D3474"/>
    <w:rsid w:val="001D350A"/>
    <w:rsid w:val="001D353D"/>
    <w:rsid w:val="001D38E3"/>
    <w:rsid w:val="001D4150"/>
    <w:rsid w:val="001D4191"/>
    <w:rsid w:val="001D50B2"/>
    <w:rsid w:val="001D5A23"/>
    <w:rsid w:val="001D610E"/>
    <w:rsid w:val="001D6386"/>
    <w:rsid w:val="001D68B0"/>
    <w:rsid w:val="001D71F4"/>
    <w:rsid w:val="001D7260"/>
    <w:rsid w:val="001D7645"/>
    <w:rsid w:val="001D7673"/>
    <w:rsid w:val="001D77A4"/>
    <w:rsid w:val="001D77EE"/>
    <w:rsid w:val="001D7897"/>
    <w:rsid w:val="001D78F0"/>
    <w:rsid w:val="001E023C"/>
    <w:rsid w:val="001E1420"/>
    <w:rsid w:val="001E1786"/>
    <w:rsid w:val="001E1E86"/>
    <w:rsid w:val="001E1FF9"/>
    <w:rsid w:val="001E20BF"/>
    <w:rsid w:val="001E238E"/>
    <w:rsid w:val="001E2483"/>
    <w:rsid w:val="001E2586"/>
    <w:rsid w:val="001E299F"/>
    <w:rsid w:val="001E2AC4"/>
    <w:rsid w:val="001E2B1E"/>
    <w:rsid w:val="001E2C76"/>
    <w:rsid w:val="001E2CE1"/>
    <w:rsid w:val="001E2CFF"/>
    <w:rsid w:val="001E2F24"/>
    <w:rsid w:val="001E30D4"/>
    <w:rsid w:val="001E33C4"/>
    <w:rsid w:val="001E33D7"/>
    <w:rsid w:val="001E34DF"/>
    <w:rsid w:val="001E35A0"/>
    <w:rsid w:val="001E407D"/>
    <w:rsid w:val="001E4381"/>
    <w:rsid w:val="001E440F"/>
    <w:rsid w:val="001E47A1"/>
    <w:rsid w:val="001E50F7"/>
    <w:rsid w:val="001E52EB"/>
    <w:rsid w:val="001E548C"/>
    <w:rsid w:val="001E595E"/>
    <w:rsid w:val="001E61D2"/>
    <w:rsid w:val="001E6329"/>
    <w:rsid w:val="001E6660"/>
    <w:rsid w:val="001E6BE8"/>
    <w:rsid w:val="001E6F66"/>
    <w:rsid w:val="001E706F"/>
    <w:rsid w:val="001E71DA"/>
    <w:rsid w:val="001E740C"/>
    <w:rsid w:val="001E78EE"/>
    <w:rsid w:val="001F0084"/>
    <w:rsid w:val="001F03BA"/>
    <w:rsid w:val="001F045D"/>
    <w:rsid w:val="001F1235"/>
    <w:rsid w:val="001F1615"/>
    <w:rsid w:val="001F16E6"/>
    <w:rsid w:val="001F1B52"/>
    <w:rsid w:val="001F1CB3"/>
    <w:rsid w:val="001F246E"/>
    <w:rsid w:val="001F2538"/>
    <w:rsid w:val="001F265B"/>
    <w:rsid w:val="001F2AD7"/>
    <w:rsid w:val="001F2D33"/>
    <w:rsid w:val="001F32A3"/>
    <w:rsid w:val="001F34F8"/>
    <w:rsid w:val="001F3546"/>
    <w:rsid w:val="001F3702"/>
    <w:rsid w:val="001F38B5"/>
    <w:rsid w:val="001F3EB3"/>
    <w:rsid w:val="001F4081"/>
    <w:rsid w:val="001F4DD2"/>
    <w:rsid w:val="001F4EBF"/>
    <w:rsid w:val="001F544F"/>
    <w:rsid w:val="001F5DB7"/>
    <w:rsid w:val="001F67B2"/>
    <w:rsid w:val="001F6805"/>
    <w:rsid w:val="001F6E49"/>
    <w:rsid w:val="001F7047"/>
    <w:rsid w:val="001F7361"/>
    <w:rsid w:val="001F73CB"/>
    <w:rsid w:val="001F7433"/>
    <w:rsid w:val="001F7876"/>
    <w:rsid w:val="001F7B18"/>
    <w:rsid w:val="001F7D90"/>
    <w:rsid w:val="00200103"/>
    <w:rsid w:val="0020030A"/>
    <w:rsid w:val="00200914"/>
    <w:rsid w:val="002011B0"/>
    <w:rsid w:val="00201D63"/>
    <w:rsid w:val="00201E3F"/>
    <w:rsid w:val="00201F70"/>
    <w:rsid w:val="002023F3"/>
    <w:rsid w:val="00202608"/>
    <w:rsid w:val="00203181"/>
    <w:rsid w:val="002031AC"/>
    <w:rsid w:val="002035B3"/>
    <w:rsid w:val="0020361C"/>
    <w:rsid w:val="00203783"/>
    <w:rsid w:val="0020385F"/>
    <w:rsid w:val="002038EB"/>
    <w:rsid w:val="002040A3"/>
    <w:rsid w:val="00204758"/>
    <w:rsid w:val="002049EC"/>
    <w:rsid w:val="00204A1C"/>
    <w:rsid w:val="00204A73"/>
    <w:rsid w:val="00205227"/>
    <w:rsid w:val="0020594E"/>
    <w:rsid w:val="00205B90"/>
    <w:rsid w:val="00205FC2"/>
    <w:rsid w:val="00206208"/>
    <w:rsid w:val="00206899"/>
    <w:rsid w:val="002068A0"/>
    <w:rsid w:val="002069D7"/>
    <w:rsid w:val="00206C96"/>
    <w:rsid w:val="00206F91"/>
    <w:rsid w:val="00207021"/>
    <w:rsid w:val="00207046"/>
    <w:rsid w:val="0020732F"/>
    <w:rsid w:val="002078B4"/>
    <w:rsid w:val="002078EA"/>
    <w:rsid w:val="00207A08"/>
    <w:rsid w:val="00207C4F"/>
    <w:rsid w:val="00207D00"/>
    <w:rsid w:val="002105C1"/>
    <w:rsid w:val="002116FD"/>
    <w:rsid w:val="00211CD4"/>
    <w:rsid w:val="00211FED"/>
    <w:rsid w:val="0021220F"/>
    <w:rsid w:val="00212F7D"/>
    <w:rsid w:val="002132AA"/>
    <w:rsid w:val="0021383C"/>
    <w:rsid w:val="00213EF5"/>
    <w:rsid w:val="00213F51"/>
    <w:rsid w:val="00214071"/>
    <w:rsid w:val="00214C28"/>
    <w:rsid w:val="00214C71"/>
    <w:rsid w:val="002158FE"/>
    <w:rsid w:val="002159CA"/>
    <w:rsid w:val="002160C3"/>
    <w:rsid w:val="00216BF5"/>
    <w:rsid w:val="0021784A"/>
    <w:rsid w:val="00217AE8"/>
    <w:rsid w:val="00217BF0"/>
    <w:rsid w:val="00217D33"/>
    <w:rsid w:val="00217FDA"/>
    <w:rsid w:val="00220197"/>
    <w:rsid w:val="00220954"/>
    <w:rsid w:val="00220D66"/>
    <w:rsid w:val="00221384"/>
    <w:rsid w:val="00221636"/>
    <w:rsid w:val="00221756"/>
    <w:rsid w:val="0022257D"/>
    <w:rsid w:val="00223007"/>
    <w:rsid w:val="00223B49"/>
    <w:rsid w:val="00223BB3"/>
    <w:rsid w:val="00223D5A"/>
    <w:rsid w:val="0022427C"/>
    <w:rsid w:val="0022435D"/>
    <w:rsid w:val="0022436B"/>
    <w:rsid w:val="00224DD4"/>
    <w:rsid w:val="002258BC"/>
    <w:rsid w:val="00225FC3"/>
    <w:rsid w:val="002261FE"/>
    <w:rsid w:val="00226E1C"/>
    <w:rsid w:val="00227313"/>
    <w:rsid w:val="00227761"/>
    <w:rsid w:val="00227891"/>
    <w:rsid w:val="002278A0"/>
    <w:rsid w:val="00227CE0"/>
    <w:rsid w:val="00230270"/>
    <w:rsid w:val="002309CC"/>
    <w:rsid w:val="00230B89"/>
    <w:rsid w:val="00230E10"/>
    <w:rsid w:val="00230FBF"/>
    <w:rsid w:val="00231175"/>
    <w:rsid w:val="002312CC"/>
    <w:rsid w:val="002313FE"/>
    <w:rsid w:val="002315A2"/>
    <w:rsid w:val="002318CF"/>
    <w:rsid w:val="00231BA3"/>
    <w:rsid w:val="00231BA9"/>
    <w:rsid w:val="00231E90"/>
    <w:rsid w:val="0023209F"/>
    <w:rsid w:val="00232757"/>
    <w:rsid w:val="00232805"/>
    <w:rsid w:val="00233170"/>
    <w:rsid w:val="0023317A"/>
    <w:rsid w:val="0023318E"/>
    <w:rsid w:val="002331D7"/>
    <w:rsid w:val="00233C01"/>
    <w:rsid w:val="0023413C"/>
    <w:rsid w:val="0023455A"/>
    <w:rsid w:val="002346F0"/>
    <w:rsid w:val="00234984"/>
    <w:rsid w:val="00234C96"/>
    <w:rsid w:val="00234E3C"/>
    <w:rsid w:val="00235561"/>
    <w:rsid w:val="00235725"/>
    <w:rsid w:val="002357ED"/>
    <w:rsid w:val="0023629D"/>
    <w:rsid w:val="0023659E"/>
    <w:rsid w:val="00236714"/>
    <w:rsid w:val="002367BE"/>
    <w:rsid w:val="002367F6"/>
    <w:rsid w:val="00236DB1"/>
    <w:rsid w:val="00236E1D"/>
    <w:rsid w:val="00236E56"/>
    <w:rsid w:val="00237255"/>
    <w:rsid w:val="00237BBF"/>
    <w:rsid w:val="0024006A"/>
    <w:rsid w:val="002401E8"/>
    <w:rsid w:val="00240CD7"/>
    <w:rsid w:val="002413BB"/>
    <w:rsid w:val="00241987"/>
    <w:rsid w:val="00241ABE"/>
    <w:rsid w:val="002424AF"/>
    <w:rsid w:val="00242713"/>
    <w:rsid w:val="00242C08"/>
    <w:rsid w:val="00242CAD"/>
    <w:rsid w:val="002430FE"/>
    <w:rsid w:val="002439DC"/>
    <w:rsid w:val="00243C08"/>
    <w:rsid w:val="0024419E"/>
    <w:rsid w:val="002441D2"/>
    <w:rsid w:val="002443B7"/>
    <w:rsid w:val="0024458D"/>
    <w:rsid w:val="00244729"/>
    <w:rsid w:val="002448E2"/>
    <w:rsid w:val="00244DC8"/>
    <w:rsid w:val="00244E81"/>
    <w:rsid w:val="0024546B"/>
    <w:rsid w:val="002458BA"/>
    <w:rsid w:val="00245CE9"/>
    <w:rsid w:val="0024617B"/>
    <w:rsid w:val="002462B6"/>
    <w:rsid w:val="0024636C"/>
    <w:rsid w:val="002465CD"/>
    <w:rsid w:val="00246D49"/>
    <w:rsid w:val="002478F2"/>
    <w:rsid w:val="00247925"/>
    <w:rsid w:val="00247C1F"/>
    <w:rsid w:val="00247EBF"/>
    <w:rsid w:val="002504A1"/>
    <w:rsid w:val="0025089E"/>
    <w:rsid w:val="00250A72"/>
    <w:rsid w:val="00250CD1"/>
    <w:rsid w:val="00251006"/>
    <w:rsid w:val="0025128D"/>
    <w:rsid w:val="00251AA2"/>
    <w:rsid w:val="00251D8C"/>
    <w:rsid w:val="002524D5"/>
    <w:rsid w:val="002524E4"/>
    <w:rsid w:val="00252611"/>
    <w:rsid w:val="002526CA"/>
    <w:rsid w:val="002527C4"/>
    <w:rsid w:val="0025281D"/>
    <w:rsid w:val="002528D4"/>
    <w:rsid w:val="002529EF"/>
    <w:rsid w:val="00252B83"/>
    <w:rsid w:val="002530FA"/>
    <w:rsid w:val="0025315D"/>
    <w:rsid w:val="002532FB"/>
    <w:rsid w:val="00253349"/>
    <w:rsid w:val="00253B1D"/>
    <w:rsid w:val="002540E9"/>
    <w:rsid w:val="0025411A"/>
    <w:rsid w:val="002541ED"/>
    <w:rsid w:val="00254290"/>
    <w:rsid w:val="00254665"/>
    <w:rsid w:val="00254AF2"/>
    <w:rsid w:val="00254DCF"/>
    <w:rsid w:val="00254E2A"/>
    <w:rsid w:val="002552CC"/>
    <w:rsid w:val="0025534B"/>
    <w:rsid w:val="002555CB"/>
    <w:rsid w:val="002559BA"/>
    <w:rsid w:val="00255A29"/>
    <w:rsid w:val="00255B0C"/>
    <w:rsid w:val="00255BB7"/>
    <w:rsid w:val="00255E67"/>
    <w:rsid w:val="00255E81"/>
    <w:rsid w:val="00255F4E"/>
    <w:rsid w:val="00256420"/>
    <w:rsid w:val="0025693A"/>
    <w:rsid w:val="00256B7D"/>
    <w:rsid w:val="00256FE2"/>
    <w:rsid w:val="002570DB"/>
    <w:rsid w:val="002573E0"/>
    <w:rsid w:val="002573F1"/>
    <w:rsid w:val="00257541"/>
    <w:rsid w:val="0025771E"/>
    <w:rsid w:val="00257A39"/>
    <w:rsid w:val="00257AC4"/>
    <w:rsid w:val="00257BBE"/>
    <w:rsid w:val="00257DDB"/>
    <w:rsid w:val="0026036D"/>
    <w:rsid w:val="002606BD"/>
    <w:rsid w:val="002609C3"/>
    <w:rsid w:val="0026157B"/>
    <w:rsid w:val="0026188E"/>
    <w:rsid w:val="00261D5A"/>
    <w:rsid w:val="00261EEF"/>
    <w:rsid w:val="00262417"/>
    <w:rsid w:val="00262A1A"/>
    <w:rsid w:val="00262A87"/>
    <w:rsid w:val="00262CC9"/>
    <w:rsid w:val="00262E78"/>
    <w:rsid w:val="002634A9"/>
    <w:rsid w:val="002635D4"/>
    <w:rsid w:val="002636C0"/>
    <w:rsid w:val="00264339"/>
    <w:rsid w:val="00264381"/>
    <w:rsid w:val="00264D26"/>
    <w:rsid w:val="00265051"/>
    <w:rsid w:val="0026512A"/>
    <w:rsid w:val="00265744"/>
    <w:rsid w:val="002665B3"/>
    <w:rsid w:val="00266F4B"/>
    <w:rsid w:val="0026705E"/>
    <w:rsid w:val="002672AA"/>
    <w:rsid w:val="00267642"/>
    <w:rsid w:val="0026768B"/>
    <w:rsid w:val="002679DB"/>
    <w:rsid w:val="00267A19"/>
    <w:rsid w:val="00267AEA"/>
    <w:rsid w:val="00267C30"/>
    <w:rsid w:val="00267D6A"/>
    <w:rsid w:val="002700E6"/>
    <w:rsid w:val="00270346"/>
    <w:rsid w:val="00270614"/>
    <w:rsid w:val="002706FD"/>
    <w:rsid w:val="00270EE8"/>
    <w:rsid w:val="00271080"/>
    <w:rsid w:val="00271094"/>
    <w:rsid w:val="002710D4"/>
    <w:rsid w:val="00271342"/>
    <w:rsid w:val="00271872"/>
    <w:rsid w:val="00271965"/>
    <w:rsid w:val="00271BC2"/>
    <w:rsid w:val="002720A7"/>
    <w:rsid w:val="002722D9"/>
    <w:rsid w:val="0027235C"/>
    <w:rsid w:val="002726B0"/>
    <w:rsid w:val="0027294B"/>
    <w:rsid w:val="00272B43"/>
    <w:rsid w:val="002732D2"/>
    <w:rsid w:val="00273732"/>
    <w:rsid w:val="00273EB4"/>
    <w:rsid w:val="00274342"/>
    <w:rsid w:val="00274682"/>
    <w:rsid w:val="00274D3D"/>
    <w:rsid w:val="00274DE1"/>
    <w:rsid w:val="00275158"/>
    <w:rsid w:val="002754BF"/>
    <w:rsid w:val="002754C8"/>
    <w:rsid w:val="002759C9"/>
    <w:rsid w:val="00275C5A"/>
    <w:rsid w:val="00275D02"/>
    <w:rsid w:val="00276482"/>
    <w:rsid w:val="0027654B"/>
    <w:rsid w:val="002766CE"/>
    <w:rsid w:val="00277051"/>
    <w:rsid w:val="00277417"/>
    <w:rsid w:val="00277714"/>
    <w:rsid w:val="002778A9"/>
    <w:rsid w:val="002779E8"/>
    <w:rsid w:val="0028047D"/>
    <w:rsid w:val="00281014"/>
    <w:rsid w:val="00281380"/>
    <w:rsid w:val="00281415"/>
    <w:rsid w:val="00281CBE"/>
    <w:rsid w:val="00282161"/>
    <w:rsid w:val="002829B7"/>
    <w:rsid w:val="00282CD6"/>
    <w:rsid w:val="00282F24"/>
    <w:rsid w:val="00283A38"/>
    <w:rsid w:val="00284272"/>
    <w:rsid w:val="002853A1"/>
    <w:rsid w:val="00285916"/>
    <w:rsid w:val="00285BCE"/>
    <w:rsid w:val="002861AF"/>
    <w:rsid w:val="002865B6"/>
    <w:rsid w:val="0028665D"/>
    <w:rsid w:val="00286FF4"/>
    <w:rsid w:val="00287402"/>
    <w:rsid w:val="00287694"/>
    <w:rsid w:val="002900A1"/>
    <w:rsid w:val="0029039F"/>
    <w:rsid w:val="0029088C"/>
    <w:rsid w:val="00290D45"/>
    <w:rsid w:val="00290F0B"/>
    <w:rsid w:val="002910D7"/>
    <w:rsid w:val="002914FB"/>
    <w:rsid w:val="002918DB"/>
    <w:rsid w:val="002920B3"/>
    <w:rsid w:val="002924F1"/>
    <w:rsid w:val="00292EE0"/>
    <w:rsid w:val="00292F5E"/>
    <w:rsid w:val="00293173"/>
    <w:rsid w:val="0029319C"/>
    <w:rsid w:val="00293618"/>
    <w:rsid w:val="0029373B"/>
    <w:rsid w:val="00293DFA"/>
    <w:rsid w:val="00293F75"/>
    <w:rsid w:val="002954E5"/>
    <w:rsid w:val="0029591B"/>
    <w:rsid w:val="002959AF"/>
    <w:rsid w:val="00295CDF"/>
    <w:rsid w:val="002960CD"/>
    <w:rsid w:val="00296E46"/>
    <w:rsid w:val="002A1105"/>
    <w:rsid w:val="002A14AB"/>
    <w:rsid w:val="002A1A8E"/>
    <w:rsid w:val="002A2246"/>
    <w:rsid w:val="002A24B1"/>
    <w:rsid w:val="002A288E"/>
    <w:rsid w:val="002A29E4"/>
    <w:rsid w:val="002A2ADE"/>
    <w:rsid w:val="002A2E97"/>
    <w:rsid w:val="002A2EED"/>
    <w:rsid w:val="002A2F50"/>
    <w:rsid w:val="002A2FC9"/>
    <w:rsid w:val="002A3200"/>
    <w:rsid w:val="002A39A0"/>
    <w:rsid w:val="002A3C7A"/>
    <w:rsid w:val="002A3DC8"/>
    <w:rsid w:val="002A4031"/>
    <w:rsid w:val="002A424A"/>
    <w:rsid w:val="002A47C1"/>
    <w:rsid w:val="002A5267"/>
    <w:rsid w:val="002A5558"/>
    <w:rsid w:val="002A5BCF"/>
    <w:rsid w:val="002A5C50"/>
    <w:rsid w:val="002A67F9"/>
    <w:rsid w:val="002A6A72"/>
    <w:rsid w:val="002A71C0"/>
    <w:rsid w:val="002A7943"/>
    <w:rsid w:val="002A7FD9"/>
    <w:rsid w:val="002B05A1"/>
    <w:rsid w:val="002B09A4"/>
    <w:rsid w:val="002B0AD9"/>
    <w:rsid w:val="002B19C3"/>
    <w:rsid w:val="002B1C1F"/>
    <w:rsid w:val="002B1E1F"/>
    <w:rsid w:val="002B2DA9"/>
    <w:rsid w:val="002B3621"/>
    <w:rsid w:val="002B39AA"/>
    <w:rsid w:val="002B3E0F"/>
    <w:rsid w:val="002B3EDF"/>
    <w:rsid w:val="002B41B6"/>
    <w:rsid w:val="002B424B"/>
    <w:rsid w:val="002B432F"/>
    <w:rsid w:val="002B45C8"/>
    <w:rsid w:val="002B48D3"/>
    <w:rsid w:val="002B5224"/>
    <w:rsid w:val="002B52EE"/>
    <w:rsid w:val="002B5498"/>
    <w:rsid w:val="002B62B3"/>
    <w:rsid w:val="002B6538"/>
    <w:rsid w:val="002B667C"/>
    <w:rsid w:val="002B6754"/>
    <w:rsid w:val="002B6C5A"/>
    <w:rsid w:val="002B6CCE"/>
    <w:rsid w:val="002B6EFA"/>
    <w:rsid w:val="002B6F5C"/>
    <w:rsid w:val="002B7200"/>
    <w:rsid w:val="002B72A5"/>
    <w:rsid w:val="002B76A9"/>
    <w:rsid w:val="002B7EB8"/>
    <w:rsid w:val="002C0B22"/>
    <w:rsid w:val="002C1E6F"/>
    <w:rsid w:val="002C2028"/>
    <w:rsid w:val="002C2510"/>
    <w:rsid w:val="002C2775"/>
    <w:rsid w:val="002C27C1"/>
    <w:rsid w:val="002C2953"/>
    <w:rsid w:val="002C2EC6"/>
    <w:rsid w:val="002C305B"/>
    <w:rsid w:val="002C36E3"/>
    <w:rsid w:val="002C393D"/>
    <w:rsid w:val="002C405F"/>
    <w:rsid w:val="002C4832"/>
    <w:rsid w:val="002C4C66"/>
    <w:rsid w:val="002C4D6F"/>
    <w:rsid w:val="002C5099"/>
    <w:rsid w:val="002C5517"/>
    <w:rsid w:val="002C5889"/>
    <w:rsid w:val="002C690D"/>
    <w:rsid w:val="002C6E59"/>
    <w:rsid w:val="002C6FED"/>
    <w:rsid w:val="002C71CE"/>
    <w:rsid w:val="002C7780"/>
    <w:rsid w:val="002C7AE1"/>
    <w:rsid w:val="002D0172"/>
    <w:rsid w:val="002D0340"/>
    <w:rsid w:val="002D08F8"/>
    <w:rsid w:val="002D0C79"/>
    <w:rsid w:val="002D0F79"/>
    <w:rsid w:val="002D183A"/>
    <w:rsid w:val="002D18D6"/>
    <w:rsid w:val="002D18DE"/>
    <w:rsid w:val="002D19E7"/>
    <w:rsid w:val="002D1F3E"/>
    <w:rsid w:val="002D208F"/>
    <w:rsid w:val="002D22FD"/>
    <w:rsid w:val="002D2FF2"/>
    <w:rsid w:val="002D338B"/>
    <w:rsid w:val="002D3420"/>
    <w:rsid w:val="002D3797"/>
    <w:rsid w:val="002D3815"/>
    <w:rsid w:val="002D4329"/>
    <w:rsid w:val="002D4A19"/>
    <w:rsid w:val="002D4D9F"/>
    <w:rsid w:val="002D5445"/>
    <w:rsid w:val="002D5495"/>
    <w:rsid w:val="002D562E"/>
    <w:rsid w:val="002D577C"/>
    <w:rsid w:val="002D5FC4"/>
    <w:rsid w:val="002D6766"/>
    <w:rsid w:val="002D68B4"/>
    <w:rsid w:val="002D69FE"/>
    <w:rsid w:val="002D6F85"/>
    <w:rsid w:val="002D7074"/>
    <w:rsid w:val="002D711D"/>
    <w:rsid w:val="002D7245"/>
    <w:rsid w:val="002D7373"/>
    <w:rsid w:val="002D76B7"/>
    <w:rsid w:val="002D7730"/>
    <w:rsid w:val="002D7832"/>
    <w:rsid w:val="002D7F3A"/>
    <w:rsid w:val="002E02BE"/>
    <w:rsid w:val="002E039E"/>
    <w:rsid w:val="002E0E5B"/>
    <w:rsid w:val="002E1071"/>
    <w:rsid w:val="002E11AF"/>
    <w:rsid w:val="002E14F6"/>
    <w:rsid w:val="002E15B9"/>
    <w:rsid w:val="002E214E"/>
    <w:rsid w:val="002E2158"/>
    <w:rsid w:val="002E21B0"/>
    <w:rsid w:val="002E223E"/>
    <w:rsid w:val="002E2BBB"/>
    <w:rsid w:val="002E2F85"/>
    <w:rsid w:val="002E3246"/>
    <w:rsid w:val="002E35B8"/>
    <w:rsid w:val="002E368D"/>
    <w:rsid w:val="002E375A"/>
    <w:rsid w:val="002E39EA"/>
    <w:rsid w:val="002E3B7E"/>
    <w:rsid w:val="002E3D83"/>
    <w:rsid w:val="002E43AE"/>
    <w:rsid w:val="002E4F02"/>
    <w:rsid w:val="002E53F5"/>
    <w:rsid w:val="002E5973"/>
    <w:rsid w:val="002E5AD7"/>
    <w:rsid w:val="002E5C3D"/>
    <w:rsid w:val="002E5E17"/>
    <w:rsid w:val="002E601E"/>
    <w:rsid w:val="002E622B"/>
    <w:rsid w:val="002E6271"/>
    <w:rsid w:val="002E6892"/>
    <w:rsid w:val="002E6CB5"/>
    <w:rsid w:val="002E6EE5"/>
    <w:rsid w:val="002E7409"/>
    <w:rsid w:val="002E763F"/>
    <w:rsid w:val="002E7655"/>
    <w:rsid w:val="002E7722"/>
    <w:rsid w:val="002E7D3D"/>
    <w:rsid w:val="002F00DD"/>
    <w:rsid w:val="002F0500"/>
    <w:rsid w:val="002F052B"/>
    <w:rsid w:val="002F0578"/>
    <w:rsid w:val="002F06B6"/>
    <w:rsid w:val="002F07BA"/>
    <w:rsid w:val="002F0927"/>
    <w:rsid w:val="002F0DA9"/>
    <w:rsid w:val="002F1014"/>
    <w:rsid w:val="002F15F2"/>
    <w:rsid w:val="002F19AC"/>
    <w:rsid w:val="002F1E3B"/>
    <w:rsid w:val="002F2303"/>
    <w:rsid w:val="002F3127"/>
    <w:rsid w:val="002F34DF"/>
    <w:rsid w:val="002F3637"/>
    <w:rsid w:val="002F3BF2"/>
    <w:rsid w:val="002F3C40"/>
    <w:rsid w:val="002F4360"/>
    <w:rsid w:val="002F462A"/>
    <w:rsid w:val="002F4B48"/>
    <w:rsid w:val="002F4DE7"/>
    <w:rsid w:val="002F50C3"/>
    <w:rsid w:val="002F51D7"/>
    <w:rsid w:val="002F530D"/>
    <w:rsid w:val="002F5D87"/>
    <w:rsid w:val="002F643C"/>
    <w:rsid w:val="002F6A6E"/>
    <w:rsid w:val="002F6F23"/>
    <w:rsid w:val="002F71C0"/>
    <w:rsid w:val="002F74F1"/>
    <w:rsid w:val="002F7D5B"/>
    <w:rsid w:val="002F7D8B"/>
    <w:rsid w:val="00300BD9"/>
    <w:rsid w:val="00301017"/>
    <w:rsid w:val="003013CE"/>
    <w:rsid w:val="0030155F"/>
    <w:rsid w:val="00301569"/>
    <w:rsid w:val="00301974"/>
    <w:rsid w:val="00301BAD"/>
    <w:rsid w:val="00301BCE"/>
    <w:rsid w:val="00301C21"/>
    <w:rsid w:val="00302A62"/>
    <w:rsid w:val="00302B50"/>
    <w:rsid w:val="003030CD"/>
    <w:rsid w:val="003037C3"/>
    <w:rsid w:val="003040E8"/>
    <w:rsid w:val="0030440D"/>
    <w:rsid w:val="003045D4"/>
    <w:rsid w:val="00304B3C"/>
    <w:rsid w:val="003057CA"/>
    <w:rsid w:val="0030587B"/>
    <w:rsid w:val="003059FC"/>
    <w:rsid w:val="00305D57"/>
    <w:rsid w:val="00305DD6"/>
    <w:rsid w:val="00305EA2"/>
    <w:rsid w:val="00306162"/>
    <w:rsid w:val="00306446"/>
    <w:rsid w:val="00306D98"/>
    <w:rsid w:val="00307518"/>
    <w:rsid w:val="00307553"/>
    <w:rsid w:val="0030786C"/>
    <w:rsid w:val="00307B3C"/>
    <w:rsid w:val="0031031A"/>
    <w:rsid w:val="0031043D"/>
    <w:rsid w:val="00310981"/>
    <w:rsid w:val="00310C83"/>
    <w:rsid w:val="00311661"/>
    <w:rsid w:val="0031196E"/>
    <w:rsid w:val="003119E8"/>
    <w:rsid w:val="00311B6E"/>
    <w:rsid w:val="00311C1D"/>
    <w:rsid w:val="00311D9B"/>
    <w:rsid w:val="00312159"/>
    <w:rsid w:val="003121A9"/>
    <w:rsid w:val="0031226C"/>
    <w:rsid w:val="003124D9"/>
    <w:rsid w:val="00312594"/>
    <w:rsid w:val="00312865"/>
    <w:rsid w:val="00312DA9"/>
    <w:rsid w:val="0031308F"/>
    <w:rsid w:val="00313290"/>
    <w:rsid w:val="00313A80"/>
    <w:rsid w:val="00313D03"/>
    <w:rsid w:val="003143B5"/>
    <w:rsid w:val="00314436"/>
    <w:rsid w:val="0031490E"/>
    <w:rsid w:val="00314946"/>
    <w:rsid w:val="00315287"/>
    <w:rsid w:val="00315498"/>
    <w:rsid w:val="00315976"/>
    <w:rsid w:val="00315A2D"/>
    <w:rsid w:val="00315D27"/>
    <w:rsid w:val="00315F42"/>
    <w:rsid w:val="00316474"/>
    <w:rsid w:val="003164F5"/>
    <w:rsid w:val="00316A73"/>
    <w:rsid w:val="00316C34"/>
    <w:rsid w:val="00316C7E"/>
    <w:rsid w:val="00316FCC"/>
    <w:rsid w:val="00317950"/>
    <w:rsid w:val="00317E02"/>
    <w:rsid w:val="0032017B"/>
    <w:rsid w:val="003204EC"/>
    <w:rsid w:val="003208BB"/>
    <w:rsid w:val="00321083"/>
    <w:rsid w:val="00321187"/>
    <w:rsid w:val="00321E61"/>
    <w:rsid w:val="00322107"/>
    <w:rsid w:val="00322355"/>
    <w:rsid w:val="0032277E"/>
    <w:rsid w:val="0032282A"/>
    <w:rsid w:val="00322846"/>
    <w:rsid w:val="00322F76"/>
    <w:rsid w:val="00323387"/>
    <w:rsid w:val="003247B9"/>
    <w:rsid w:val="00324D61"/>
    <w:rsid w:val="00325155"/>
    <w:rsid w:val="003254D6"/>
    <w:rsid w:val="00325742"/>
    <w:rsid w:val="003258C3"/>
    <w:rsid w:val="00326524"/>
    <w:rsid w:val="003266BC"/>
    <w:rsid w:val="00326930"/>
    <w:rsid w:val="0032698C"/>
    <w:rsid w:val="00326A53"/>
    <w:rsid w:val="00326DA7"/>
    <w:rsid w:val="003270E4"/>
    <w:rsid w:val="00327377"/>
    <w:rsid w:val="00327879"/>
    <w:rsid w:val="00327FDC"/>
    <w:rsid w:val="0033017E"/>
    <w:rsid w:val="003303FA"/>
    <w:rsid w:val="00330C51"/>
    <w:rsid w:val="00330DAA"/>
    <w:rsid w:val="00330F5C"/>
    <w:rsid w:val="00331008"/>
    <w:rsid w:val="003310C9"/>
    <w:rsid w:val="00331426"/>
    <w:rsid w:val="00331501"/>
    <w:rsid w:val="0033154B"/>
    <w:rsid w:val="00331A3D"/>
    <w:rsid w:val="00331B9E"/>
    <w:rsid w:val="00332710"/>
    <w:rsid w:val="00332FA6"/>
    <w:rsid w:val="0033399E"/>
    <w:rsid w:val="00333EEF"/>
    <w:rsid w:val="00333F24"/>
    <w:rsid w:val="003340ED"/>
    <w:rsid w:val="00335023"/>
    <w:rsid w:val="003351C5"/>
    <w:rsid w:val="003356D0"/>
    <w:rsid w:val="003359D7"/>
    <w:rsid w:val="003359FF"/>
    <w:rsid w:val="00335AE3"/>
    <w:rsid w:val="00335E36"/>
    <w:rsid w:val="003366C9"/>
    <w:rsid w:val="00336812"/>
    <w:rsid w:val="00336887"/>
    <w:rsid w:val="00336E47"/>
    <w:rsid w:val="00336E59"/>
    <w:rsid w:val="003371B0"/>
    <w:rsid w:val="003371E8"/>
    <w:rsid w:val="0033720F"/>
    <w:rsid w:val="003373E8"/>
    <w:rsid w:val="003375C9"/>
    <w:rsid w:val="00337D1B"/>
    <w:rsid w:val="00337FF9"/>
    <w:rsid w:val="0034063A"/>
    <w:rsid w:val="00340D78"/>
    <w:rsid w:val="00340DF1"/>
    <w:rsid w:val="00340F4C"/>
    <w:rsid w:val="00341027"/>
    <w:rsid w:val="00341102"/>
    <w:rsid w:val="00341425"/>
    <w:rsid w:val="003414F7"/>
    <w:rsid w:val="003415C3"/>
    <w:rsid w:val="003423EE"/>
    <w:rsid w:val="003428BE"/>
    <w:rsid w:val="00343332"/>
    <w:rsid w:val="003433BC"/>
    <w:rsid w:val="003433EC"/>
    <w:rsid w:val="003439FD"/>
    <w:rsid w:val="00343DFA"/>
    <w:rsid w:val="0034410A"/>
    <w:rsid w:val="00344421"/>
    <w:rsid w:val="00344D73"/>
    <w:rsid w:val="00345062"/>
    <w:rsid w:val="00345100"/>
    <w:rsid w:val="003466D2"/>
    <w:rsid w:val="00347171"/>
    <w:rsid w:val="003479F2"/>
    <w:rsid w:val="00350137"/>
    <w:rsid w:val="00350713"/>
    <w:rsid w:val="003507E6"/>
    <w:rsid w:val="00350DDA"/>
    <w:rsid w:val="00351249"/>
    <w:rsid w:val="003513A5"/>
    <w:rsid w:val="003517F9"/>
    <w:rsid w:val="00351BA9"/>
    <w:rsid w:val="00352957"/>
    <w:rsid w:val="00352ADD"/>
    <w:rsid w:val="00352F22"/>
    <w:rsid w:val="003545B5"/>
    <w:rsid w:val="00354C23"/>
    <w:rsid w:val="00354F64"/>
    <w:rsid w:val="003554A4"/>
    <w:rsid w:val="003554F8"/>
    <w:rsid w:val="00355851"/>
    <w:rsid w:val="00355E34"/>
    <w:rsid w:val="00355FE5"/>
    <w:rsid w:val="00356073"/>
    <w:rsid w:val="0035620E"/>
    <w:rsid w:val="003568C2"/>
    <w:rsid w:val="00356E09"/>
    <w:rsid w:val="00357271"/>
    <w:rsid w:val="003572FC"/>
    <w:rsid w:val="003573E6"/>
    <w:rsid w:val="0035746D"/>
    <w:rsid w:val="00357484"/>
    <w:rsid w:val="003575BE"/>
    <w:rsid w:val="0035761D"/>
    <w:rsid w:val="00360345"/>
    <w:rsid w:val="00360732"/>
    <w:rsid w:val="003607A6"/>
    <w:rsid w:val="0036083E"/>
    <w:rsid w:val="00360E03"/>
    <w:rsid w:val="00361292"/>
    <w:rsid w:val="00361495"/>
    <w:rsid w:val="00361A05"/>
    <w:rsid w:val="00361BD8"/>
    <w:rsid w:val="00361D94"/>
    <w:rsid w:val="00362060"/>
    <w:rsid w:val="003624C4"/>
    <w:rsid w:val="0036257D"/>
    <w:rsid w:val="00362712"/>
    <w:rsid w:val="00362C16"/>
    <w:rsid w:val="00362E97"/>
    <w:rsid w:val="0036366C"/>
    <w:rsid w:val="00363778"/>
    <w:rsid w:val="003638A7"/>
    <w:rsid w:val="00363A01"/>
    <w:rsid w:val="00363B00"/>
    <w:rsid w:val="00363E63"/>
    <w:rsid w:val="0036416F"/>
    <w:rsid w:val="0036420D"/>
    <w:rsid w:val="00364213"/>
    <w:rsid w:val="0036430D"/>
    <w:rsid w:val="003644B5"/>
    <w:rsid w:val="00364FBE"/>
    <w:rsid w:val="00365364"/>
    <w:rsid w:val="003654AC"/>
    <w:rsid w:val="00365E16"/>
    <w:rsid w:val="00366A75"/>
    <w:rsid w:val="00366FA4"/>
    <w:rsid w:val="00367A71"/>
    <w:rsid w:val="003701AF"/>
    <w:rsid w:val="00370A95"/>
    <w:rsid w:val="00370F22"/>
    <w:rsid w:val="003710CF"/>
    <w:rsid w:val="0037153E"/>
    <w:rsid w:val="0037160F"/>
    <w:rsid w:val="00371642"/>
    <w:rsid w:val="0037182D"/>
    <w:rsid w:val="003718DA"/>
    <w:rsid w:val="00371EB8"/>
    <w:rsid w:val="0037214A"/>
    <w:rsid w:val="003724AE"/>
    <w:rsid w:val="0037260D"/>
    <w:rsid w:val="00372A4E"/>
    <w:rsid w:val="00372BEB"/>
    <w:rsid w:val="00372C84"/>
    <w:rsid w:val="003730A0"/>
    <w:rsid w:val="0037358A"/>
    <w:rsid w:val="003737D3"/>
    <w:rsid w:val="00373C1D"/>
    <w:rsid w:val="0037465E"/>
    <w:rsid w:val="00374A4B"/>
    <w:rsid w:val="00374AB7"/>
    <w:rsid w:val="00374B3F"/>
    <w:rsid w:val="00374B5D"/>
    <w:rsid w:val="003750F6"/>
    <w:rsid w:val="00376052"/>
    <w:rsid w:val="003760FC"/>
    <w:rsid w:val="0037653C"/>
    <w:rsid w:val="0037653D"/>
    <w:rsid w:val="00376594"/>
    <w:rsid w:val="003773A7"/>
    <w:rsid w:val="003773F9"/>
    <w:rsid w:val="00377C40"/>
    <w:rsid w:val="00377C85"/>
    <w:rsid w:val="00377C9F"/>
    <w:rsid w:val="00380694"/>
    <w:rsid w:val="00380F4C"/>
    <w:rsid w:val="003812A2"/>
    <w:rsid w:val="00381670"/>
    <w:rsid w:val="003818E7"/>
    <w:rsid w:val="00381910"/>
    <w:rsid w:val="00381C99"/>
    <w:rsid w:val="0038205B"/>
    <w:rsid w:val="003823F5"/>
    <w:rsid w:val="003825B2"/>
    <w:rsid w:val="003829E4"/>
    <w:rsid w:val="00382E60"/>
    <w:rsid w:val="0038332E"/>
    <w:rsid w:val="0038337D"/>
    <w:rsid w:val="003834F8"/>
    <w:rsid w:val="0038365C"/>
    <w:rsid w:val="0038369B"/>
    <w:rsid w:val="00383B78"/>
    <w:rsid w:val="00383F0C"/>
    <w:rsid w:val="0038459E"/>
    <w:rsid w:val="00384D20"/>
    <w:rsid w:val="00384ED4"/>
    <w:rsid w:val="00385A9D"/>
    <w:rsid w:val="00385BE8"/>
    <w:rsid w:val="00385D1D"/>
    <w:rsid w:val="00386371"/>
    <w:rsid w:val="0038647D"/>
    <w:rsid w:val="0038657E"/>
    <w:rsid w:val="00386709"/>
    <w:rsid w:val="003868FE"/>
    <w:rsid w:val="003870BA"/>
    <w:rsid w:val="00387121"/>
    <w:rsid w:val="0038737A"/>
    <w:rsid w:val="00387B11"/>
    <w:rsid w:val="003900CF"/>
    <w:rsid w:val="00390241"/>
    <w:rsid w:val="003902B1"/>
    <w:rsid w:val="0039053F"/>
    <w:rsid w:val="00390894"/>
    <w:rsid w:val="00390D5B"/>
    <w:rsid w:val="0039115C"/>
    <w:rsid w:val="00391289"/>
    <w:rsid w:val="00391369"/>
    <w:rsid w:val="0039179C"/>
    <w:rsid w:val="00392BE4"/>
    <w:rsid w:val="0039307D"/>
    <w:rsid w:val="003932C8"/>
    <w:rsid w:val="00393653"/>
    <w:rsid w:val="00393697"/>
    <w:rsid w:val="003936B4"/>
    <w:rsid w:val="00393B40"/>
    <w:rsid w:val="00393F5E"/>
    <w:rsid w:val="0039401B"/>
    <w:rsid w:val="00395172"/>
    <w:rsid w:val="003951C0"/>
    <w:rsid w:val="00395506"/>
    <w:rsid w:val="00395534"/>
    <w:rsid w:val="00395934"/>
    <w:rsid w:val="00395B57"/>
    <w:rsid w:val="00395E56"/>
    <w:rsid w:val="00396896"/>
    <w:rsid w:val="00396A40"/>
    <w:rsid w:val="00396FD0"/>
    <w:rsid w:val="00397747"/>
    <w:rsid w:val="00397EEB"/>
    <w:rsid w:val="003A060E"/>
    <w:rsid w:val="003A06ED"/>
    <w:rsid w:val="003A0FAA"/>
    <w:rsid w:val="003A118E"/>
    <w:rsid w:val="003A1A7A"/>
    <w:rsid w:val="003A1D78"/>
    <w:rsid w:val="003A1F50"/>
    <w:rsid w:val="003A1F70"/>
    <w:rsid w:val="003A2058"/>
    <w:rsid w:val="003A2392"/>
    <w:rsid w:val="003A251D"/>
    <w:rsid w:val="003A2738"/>
    <w:rsid w:val="003A2831"/>
    <w:rsid w:val="003A2966"/>
    <w:rsid w:val="003A3978"/>
    <w:rsid w:val="003A3CB6"/>
    <w:rsid w:val="003A3CB8"/>
    <w:rsid w:val="003A3ED1"/>
    <w:rsid w:val="003A4199"/>
    <w:rsid w:val="003A446D"/>
    <w:rsid w:val="003A44DB"/>
    <w:rsid w:val="003A4678"/>
    <w:rsid w:val="003A4853"/>
    <w:rsid w:val="003A4C14"/>
    <w:rsid w:val="003A5092"/>
    <w:rsid w:val="003A5583"/>
    <w:rsid w:val="003A5599"/>
    <w:rsid w:val="003A5AFE"/>
    <w:rsid w:val="003A5BB5"/>
    <w:rsid w:val="003A6192"/>
    <w:rsid w:val="003A6390"/>
    <w:rsid w:val="003A6A6E"/>
    <w:rsid w:val="003A6B26"/>
    <w:rsid w:val="003A72FE"/>
    <w:rsid w:val="003A757F"/>
    <w:rsid w:val="003A7F99"/>
    <w:rsid w:val="003B0355"/>
    <w:rsid w:val="003B07A7"/>
    <w:rsid w:val="003B0E94"/>
    <w:rsid w:val="003B15E1"/>
    <w:rsid w:val="003B1BC7"/>
    <w:rsid w:val="003B1D0E"/>
    <w:rsid w:val="003B27D4"/>
    <w:rsid w:val="003B3897"/>
    <w:rsid w:val="003B3971"/>
    <w:rsid w:val="003B3F23"/>
    <w:rsid w:val="003B46A2"/>
    <w:rsid w:val="003B4FB9"/>
    <w:rsid w:val="003B5071"/>
    <w:rsid w:val="003B517A"/>
    <w:rsid w:val="003B5443"/>
    <w:rsid w:val="003B55D1"/>
    <w:rsid w:val="003B577E"/>
    <w:rsid w:val="003B5787"/>
    <w:rsid w:val="003B5B61"/>
    <w:rsid w:val="003B5CA5"/>
    <w:rsid w:val="003B6143"/>
    <w:rsid w:val="003B61AB"/>
    <w:rsid w:val="003B6771"/>
    <w:rsid w:val="003B72AD"/>
    <w:rsid w:val="003B75FE"/>
    <w:rsid w:val="003B780E"/>
    <w:rsid w:val="003B7D8A"/>
    <w:rsid w:val="003C04BA"/>
    <w:rsid w:val="003C0510"/>
    <w:rsid w:val="003C057B"/>
    <w:rsid w:val="003C0824"/>
    <w:rsid w:val="003C08F4"/>
    <w:rsid w:val="003C0B32"/>
    <w:rsid w:val="003C0DCB"/>
    <w:rsid w:val="003C0F4C"/>
    <w:rsid w:val="003C1071"/>
    <w:rsid w:val="003C15E3"/>
    <w:rsid w:val="003C1654"/>
    <w:rsid w:val="003C1B51"/>
    <w:rsid w:val="003C2879"/>
    <w:rsid w:val="003C2B4A"/>
    <w:rsid w:val="003C2DE2"/>
    <w:rsid w:val="003C31B4"/>
    <w:rsid w:val="003C35B3"/>
    <w:rsid w:val="003C35CB"/>
    <w:rsid w:val="003C5109"/>
    <w:rsid w:val="003C543C"/>
    <w:rsid w:val="003C5542"/>
    <w:rsid w:val="003C58E1"/>
    <w:rsid w:val="003C6221"/>
    <w:rsid w:val="003C6976"/>
    <w:rsid w:val="003C6FAE"/>
    <w:rsid w:val="003C7243"/>
    <w:rsid w:val="003C7C15"/>
    <w:rsid w:val="003C7D19"/>
    <w:rsid w:val="003C7D2F"/>
    <w:rsid w:val="003C7F45"/>
    <w:rsid w:val="003D022B"/>
    <w:rsid w:val="003D0335"/>
    <w:rsid w:val="003D06B7"/>
    <w:rsid w:val="003D06E2"/>
    <w:rsid w:val="003D0994"/>
    <w:rsid w:val="003D0C5A"/>
    <w:rsid w:val="003D1468"/>
    <w:rsid w:val="003D1828"/>
    <w:rsid w:val="003D18FA"/>
    <w:rsid w:val="003D1941"/>
    <w:rsid w:val="003D1A95"/>
    <w:rsid w:val="003D1DE4"/>
    <w:rsid w:val="003D1E9A"/>
    <w:rsid w:val="003D20C6"/>
    <w:rsid w:val="003D23E8"/>
    <w:rsid w:val="003D2422"/>
    <w:rsid w:val="003D265C"/>
    <w:rsid w:val="003D2763"/>
    <w:rsid w:val="003D29F2"/>
    <w:rsid w:val="003D2DEC"/>
    <w:rsid w:val="003D3221"/>
    <w:rsid w:val="003D39A1"/>
    <w:rsid w:val="003D3B60"/>
    <w:rsid w:val="003D3FBF"/>
    <w:rsid w:val="003D4009"/>
    <w:rsid w:val="003D42AF"/>
    <w:rsid w:val="003D4332"/>
    <w:rsid w:val="003D489D"/>
    <w:rsid w:val="003D4A30"/>
    <w:rsid w:val="003D5E7B"/>
    <w:rsid w:val="003D674E"/>
    <w:rsid w:val="003D687A"/>
    <w:rsid w:val="003D6A6F"/>
    <w:rsid w:val="003D6AD3"/>
    <w:rsid w:val="003D6B6A"/>
    <w:rsid w:val="003D73FA"/>
    <w:rsid w:val="003D7452"/>
    <w:rsid w:val="003D74A2"/>
    <w:rsid w:val="003D7738"/>
    <w:rsid w:val="003D79BB"/>
    <w:rsid w:val="003D7C98"/>
    <w:rsid w:val="003D7CCA"/>
    <w:rsid w:val="003D7D9D"/>
    <w:rsid w:val="003D7E05"/>
    <w:rsid w:val="003D7E11"/>
    <w:rsid w:val="003E0543"/>
    <w:rsid w:val="003E0840"/>
    <w:rsid w:val="003E1725"/>
    <w:rsid w:val="003E17D7"/>
    <w:rsid w:val="003E19DC"/>
    <w:rsid w:val="003E1F2C"/>
    <w:rsid w:val="003E2207"/>
    <w:rsid w:val="003E24B6"/>
    <w:rsid w:val="003E24C1"/>
    <w:rsid w:val="003E24E8"/>
    <w:rsid w:val="003E2A73"/>
    <w:rsid w:val="003E2AFD"/>
    <w:rsid w:val="003E2FFB"/>
    <w:rsid w:val="003E34C2"/>
    <w:rsid w:val="003E36C8"/>
    <w:rsid w:val="003E38CC"/>
    <w:rsid w:val="003E39A8"/>
    <w:rsid w:val="003E3D88"/>
    <w:rsid w:val="003E3D91"/>
    <w:rsid w:val="003E3FD6"/>
    <w:rsid w:val="003E41B2"/>
    <w:rsid w:val="003E44EB"/>
    <w:rsid w:val="003E4579"/>
    <w:rsid w:val="003E4D7C"/>
    <w:rsid w:val="003E4E24"/>
    <w:rsid w:val="003E53CF"/>
    <w:rsid w:val="003E5576"/>
    <w:rsid w:val="003E5590"/>
    <w:rsid w:val="003E5603"/>
    <w:rsid w:val="003E566E"/>
    <w:rsid w:val="003E567E"/>
    <w:rsid w:val="003E58C5"/>
    <w:rsid w:val="003E59F6"/>
    <w:rsid w:val="003E5EDB"/>
    <w:rsid w:val="003E5F28"/>
    <w:rsid w:val="003E617C"/>
    <w:rsid w:val="003E6407"/>
    <w:rsid w:val="003E64DC"/>
    <w:rsid w:val="003E6E2E"/>
    <w:rsid w:val="003E71B9"/>
    <w:rsid w:val="003E7202"/>
    <w:rsid w:val="003E749E"/>
    <w:rsid w:val="003E7B92"/>
    <w:rsid w:val="003E7C0F"/>
    <w:rsid w:val="003F0333"/>
    <w:rsid w:val="003F07EB"/>
    <w:rsid w:val="003F0B04"/>
    <w:rsid w:val="003F0E80"/>
    <w:rsid w:val="003F10E7"/>
    <w:rsid w:val="003F1129"/>
    <w:rsid w:val="003F1338"/>
    <w:rsid w:val="003F1340"/>
    <w:rsid w:val="003F14FA"/>
    <w:rsid w:val="003F16F3"/>
    <w:rsid w:val="003F1AE9"/>
    <w:rsid w:val="003F1CDA"/>
    <w:rsid w:val="003F2006"/>
    <w:rsid w:val="003F2A5D"/>
    <w:rsid w:val="003F2B80"/>
    <w:rsid w:val="003F306C"/>
    <w:rsid w:val="003F4031"/>
    <w:rsid w:val="003F4156"/>
    <w:rsid w:val="003F50A7"/>
    <w:rsid w:val="003F56C1"/>
    <w:rsid w:val="003F5A25"/>
    <w:rsid w:val="003F5ADF"/>
    <w:rsid w:val="003F5F1A"/>
    <w:rsid w:val="003F6249"/>
    <w:rsid w:val="003F62D1"/>
    <w:rsid w:val="003F6751"/>
    <w:rsid w:val="003F6787"/>
    <w:rsid w:val="003F67D3"/>
    <w:rsid w:val="003F7453"/>
    <w:rsid w:val="003F7685"/>
    <w:rsid w:val="003F7690"/>
    <w:rsid w:val="003F76EA"/>
    <w:rsid w:val="003F76FA"/>
    <w:rsid w:val="003F7932"/>
    <w:rsid w:val="003F7A5E"/>
    <w:rsid w:val="003F7B03"/>
    <w:rsid w:val="003F7C0E"/>
    <w:rsid w:val="003F7F05"/>
    <w:rsid w:val="003F7FF1"/>
    <w:rsid w:val="00400174"/>
    <w:rsid w:val="0040029F"/>
    <w:rsid w:val="00400389"/>
    <w:rsid w:val="00400A9A"/>
    <w:rsid w:val="00400ADF"/>
    <w:rsid w:val="00400B29"/>
    <w:rsid w:val="004017FA"/>
    <w:rsid w:val="00401B33"/>
    <w:rsid w:val="00401E64"/>
    <w:rsid w:val="004024B7"/>
    <w:rsid w:val="00402812"/>
    <w:rsid w:val="004029C4"/>
    <w:rsid w:val="00402A07"/>
    <w:rsid w:val="00403029"/>
    <w:rsid w:val="00403F65"/>
    <w:rsid w:val="004047CE"/>
    <w:rsid w:val="00404ADF"/>
    <w:rsid w:val="0040503B"/>
    <w:rsid w:val="0040504B"/>
    <w:rsid w:val="00405163"/>
    <w:rsid w:val="00405216"/>
    <w:rsid w:val="00405425"/>
    <w:rsid w:val="004055C4"/>
    <w:rsid w:val="004059F4"/>
    <w:rsid w:val="00405B83"/>
    <w:rsid w:val="0040612A"/>
    <w:rsid w:val="0040639E"/>
    <w:rsid w:val="00406679"/>
    <w:rsid w:val="00406A60"/>
    <w:rsid w:val="00406DE5"/>
    <w:rsid w:val="00406EC0"/>
    <w:rsid w:val="0040795E"/>
    <w:rsid w:val="00407B9E"/>
    <w:rsid w:val="00407F67"/>
    <w:rsid w:val="00407FE5"/>
    <w:rsid w:val="004101B0"/>
    <w:rsid w:val="00410326"/>
    <w:rsid w:val="004104C3"/>
    <w:rsid w:val="0041061B"/>
    <w:rsid w:val="00410623"/>
    <w:rsid w:val="00410708"/>
    <w:rsid w:val="00410EC7"/>
    <w:rsid w:val="00411631"/>
    <w:rsid w:val="004116B4"/>
    <w:rsid w:val="004118CE"/>
    <w:rsid w:val="00411A0F"/>
    <w:rsid w:val="00411B39"/>
    <w:rsid w:val="004123C0"/>
    <w:rsid w:val="004125A4"/>
    <w:rsid w:val="004127A7"/>
    <w:rsid w:val="00412A61"/>
    <w:rsid w:val="00413022"/>
    <w:rsid w:val="0041345B"/>
    <w:rsid w:val="00413809"/>
    <w:rsid w:val="00413A1E"/>
    <w:rsid w:val="00413B40"/>
    <w:rsid w:val="00413C43"/>
    <w:rsid w:val="00414476"/>
    <w:rsid w:val="00414594"/>
    <w:rsid w:val="0041483C"/>
    <w:rsid w:val="00414B67"/>
    <w:rsid w:val="00414C2E"/>
    <w:rsid w:val="00415006"/>
    <w:rsid w:val="004151CF"/>
    <w:rsid w:val="0041561D"/>
    <w:rsid w:val="00415E60"/>
    <w:rsid w:val="00416364"/>
    <w:rsid w:val="004165E3"/>
    <w:rsid w:val="00416B1D"/>
    <w:rsid w:val="00416CD1"/>
    <w:rsid w:val="00416FB8"/>
    <w:rsid w:val="0041722F"/>
    <w:rsid w:val="00417258"/>
    <w:rsid w:val="00417DDA"/>
    <w:rsid w:val="00417FF4"/>
    <w:rsid w:val="00420312"/>
    <w:rsid w:val="00420437"/>
    <w:rsid w:val="0042047F"/>
    <w:rsid w:val="00420707"/>
    <w:rsid w:val="004209C8"/>
    <w:rsid w:val="00420A56"/>
    <w:rsid w:val="00420AA6"/>
    <w:rsid w:val="00420B9F"/>
    <w:rsid w:val="00421086"/>
    <w:rsid w:val="00421349"/>
    <w:rsid w:val="0042192C"/>
    <w:rsid w:val="004219AD"/>
    <w:rsid w:val="00421BA3"/>
    <w:rsid w:val="00422260"/>
    <w:rsid w:val="004225BD"/>
    <w:rsid w:val="004226C7"/>
    <w:rsid w:val="00423004"/>
    <w:rsid w:val="00423641"/>
    <w:rsid w:val="004239C7"/>
    <w:rsid w:val="00423CFC"/>
    <w:rsid w:val="00423D90"/>
    <w:rsid w:val="0042413F"/>
    <w:rsid w:val="00424197"/>
    <w:rsid w:val="004242A1"/>
    <w:rsid w:val="00424F19"/>
    <w:rsid w:val="00424F81"/>
    <w:rsid w:val="0042666B"/>
    <w:rsid w:val="0042678A"/>
    <w:rsid w:val="0042678F"/>
    <w:rsid w:val="004268B7"/>
    <w:rsid w:val="00426B9D"/>
    <w:rsid w:val="004275E8"/>
    <w:rsid w:val="00427676"/>
    <w:rsid w:val="0042773E"/>
    <w:rsid w:val="00427B87"/>
    <w:rsid w:val="00427E3C"/>
    <w:rsid w:val="00427E99"/>
    <w:rsid w:val="00427F4E"/>
    <w:rsid w:val="00430798"/>
    <w:rsid w:val="0043088E"/>
    <w:rsid w:val="00430EB6"/>
    <w:rsid w:val="004310EB"/>
    <w:rsid w:val="00431193"/>
    <w:rsid w:val="004319F8"/>
    <w:rsid w:val="00431C8B"/>
    <w:rsid w:val="00431E55"/>
    <w:rsid w:val="00432001"/>
    <w:rsid w:val="004321F6"/>
    <w:rsid w:val="0043260D"/>
    <w:rsid w:val="00432F03"/>
    <w:rsid w:val="00433044"/>
    <w:rsid w:val="0043325D"/>
    <w:rsid w:val="00433878"/>
    <w:rsid w:val="00433FEB"/>
    <w:rsid w:val="00434088"/>
    <w:rsid w:val="0043464F"/>
    <w:rsid w:val="00434B9B"/>
    <w:rsid w:val="00434E9F"/>
    <w:rsid w:val="0043554D"/>
    <w:rsid w:val="00435638"/>
    <w:rsid w:val="004358A5"/>
    <w:rsid w:val="00435A7C"/>
    <w:rsid w:val="00435BDD"/>
    <w:rsid w:val="00436152"/>
    <w:rsid w:val="0043635D"/>
    <w:rsid w:val="0043686C"/>
    <w:rsid w:val="00436DFD"/>
    <w:rsid w:val="00437274"/>
    <w:rsid w:val="004374EC"/>
    <w:rsid w:val="004375B9"/>
    <w:rsid w:val="0043767D"/>
    <w:rsid w:val="0043785F"/>
    <w:rsid w:val="004378E3"/>
    <w:rsid w:val="00437A8F"/>
    <w:rsid w:val="004409CC"/>
    <w:rsid w:val="00440B78"/>
    <w:rsid w:val="00440F4E"/>
    <w:rsid w:val="004411D5"/>
    <w:rsid w:val="0044179A"/>
    <w:rsid w:val="00441A6E"/>
    <w:rsid w:val="0044224B"/>
    <w:rsid w:val="0044236F"/>
    <w:rsid w:val="00442453"/>
    <w:rsid w:val="004426BB"/>
    <w:rsid w:val="0044275F"/>
    <w:rsid w:val="004428D0"/>
    <w:rsid w:val="00442EE7"/>
    <w:rsid w:val="00442F89"/>
    <w:rsid w:val="00443744"/>
    <w:rsid w:val="0044393C"/>
    <w:rsid w:val="00443F81"/>
    <w:rsid w:val="00444185"/>
    <w:rsid w:val="004443A7"/>
    <w:rsid w:val="0044442C"/>
    <w:rsid w:val="00444E73"/>
    <w:rsid w:val="00444F9B"/>
    <w:rsid w:val="00444FAE"/>
    <w:rsid w:val="004450B3"/>
    <w:rsid w:val="00445941"/>
    <w:rsid w:val="00445A05"/>
    <w:rsid w:val="00445BBB"/>
    <w:rsid w:val="00445D56"/>
    <w:rsid w:val="00446447"/>
    <w:rsid w:val="004464EB"/>
    <w:rsid w:val="00446AD8"/>
    <w:rsid w:val="00446E8F"/>
    <w:rsid w:val="0044731F"/>
    <w:rsid w:val="00447487"/>
    <w:rsid w:val="00447692"/>
    <w:rsid w:val="004479E1"/>
    <w:rsid w:val="00447BBD"/>
    <w:rsid w:val="00447D26"/>
    <w:rsid w:val="00447DFC"/>
    <w:rsid w:val="00447FE1"/>
    <w:rsid w:val="004500A2"/>
    <w:rsid w:val="004502C3"/>
    <w:rsid w:val="0045125A"/>
    <w:rsid w:val="004516F5"/>
    <w:rsid w:val="00451C1F"/>
    <w:rsid w:val="0045201A"/>
    <w:rsid w:val="00452083"/>
    <w:rsid w:val="00452222"/>
    <w:rsid w:val="004523A4"/>
    <w:rsid w:val="0045284C"/>
    <w:rsid w:val="00452E2F"/>
    <w:rsid w:val="00452EFE"/>
    <w:rsid w:val="004532A6"/>
    <w:rsid w:val="00453449"/>
    <w:rsid w:val="00453AFD"/>
    <w:rsid w:val="00453D3F"/>
    <w:rsid w:val="0045425A"/>
    <w:rsid w:val="004542E7"/>
    <w:rsid w:val="004544CE"/>
    <w:rsid w:val="004547FC"/>
    <w:rsid w:val="00454CCD"/>
    <w:rsid w:val="00454F92"/>
    <w:rsid w:val="00455377"/>
    <w:rsid w:val="00455D45"/>
    <w:rsid w:val="00456300"/>
    <w:rsid w:val="0045633D"/>
    <w:rsid w:val="004563CC"/>
    <w:rsid w:val="00456E2B"/>
    <w:rsid w:val="00456EEC"/>
    <w:rsid w:val="004570B9"/>
    <w:rsid w:val="0045738E"/>
    <w:rsid w:val="00457E96"/>
    <w:rsid w:val="00460625"/>
    <w:rsid w:val="00460F11"/>
    <w:rsid w:val="00460F3E"/>
    <w:rsid w:val="004610F4"/>
    <w:rsid w:val="0046116F"/>
    <w:rsid w:val="0046140F"/>
    <w:rsid w:val="00461837"/>
    <w:rsid w:val="00461A68"/>
    <w:rsid w:val="00461B25"/>
    <w:rsid w:val="00461ECE"/>
    <w:rsid w:val="004620D5"/>
    <w:rsid w:val="00462F75"/>
    <w:rsid w:val="0046303B"/>
    <w:rsid w:val="004631AB"/>
    <w:rsid w:val="0046375F"/>
    <w:rsid w:val="00463C25"/>
    <w:rsid w:val="00463F25"/>
    <w:rsid w:val="00463F48"/>
    <w:rsid w:val="00464098"/>
    <w:rsid w:val="00464595"/>
    <w:rsid w:val="00464AC2"/>
    <w:rsid w:val="00464E12"/>
    <w:rsid w:val="00465209"/>
    <w:rsid w:val="0046522B"/>
    <w:rsid w:val="004654EF"/>
    <w:rsid w:val="004656F1"/>
    <w:rsid w:val="004658B5"/>
    <w:rsid w:val="00465987"/>
    <w:rsid w:val="0046613B"/>
    <w:rsid w:val="004664B7"/>
    <w:rsid w:val="0047039D"/>
    <w:rsid w:val="0047080A"/>
    <w:rsid w:val="0047082A"/>
    <w:rsid w:val="004708BB"/>
    <w:rsid w:val="00470B81"/>
    <w:rsid w:val="004710C4"/>
    <w:rsid w:val="004714E6"/>
    <w:rsid w:val="00471DA9"/>
    <w:rsid w:val="00471EA5"/>
    <w:rsid w:val="0047284E"/>
    <w:rsid w:val="00472A79"/>
    <w:rsid w:val="00472D03"/>
    <w:rsid w:val="00472D47"/>
    <w:rsid w:val="00473112"/>
    <w:rsid w:val="00473590"/>
    <w:rsid w:val="0047383C"/>
    <w:rsid w:val="00473F19"/>
    <w:rsid w:val="0047450A"/>
    <w:rsid w:val="00474607"/>
    <w:rsid w:val="00474AB3"/>
    <w:rsid w:val="00474C95"/>
    <w:rsid w:val="00475719"/>
    <w:rsid w:val="00475A97"/>
    <w:rsid w:val="00475AF7"/>
    <w:rsid w:val="00475E22"/>
    <w:rsid w:val="00475F15"/>
    <w:rsid w:val="00475F5F"/>
    <w:rsid w:val="0047614F"/>
    <w:rsid w:val="004771EB"/>
    <w:rsid w:val="00477936"/>
    <w:rsid w:val="00477A7E"/>
    <w:rsid w:val="00477C24"/>
    <w:rsid w:val="00477D2E"/>
    <w:rsid w:val="0048003F"/>
    <w:rsid w:val="0048013C"/>
    <w:rsid w:val="0048073B"/>
    <w:rsid w:val="0048088E"/>
    <w:rsid w:val="00480C46"/>
    <w:rsid w:val="00480F2B"/>
    <w:rsid w:val="004815F0"/>
    <w:rsid w:val="0048193E"/>
    <w:rsid w:val="004819F4"/>
    <w:rsid w:val="00481BB0"/>
    <w:rsid w:val="0048203C"/>
    <w:rsid w:val="00482720"/>
    <w:rsid w:val="00482733"/>
    <w:rsid w:val="00482AE0"/>
    <w:rsid w:val="00483445"/>
    <w:rsid w:val="004835E7"/>
    <w:rsid w:val="00483C01"/>
    <w:rsid w:val="00484056"/>
    <w:rsid w:val="004853E4"/>
    <w:rsid w:val="004859E1"/>
    <w:rsid w:val="00485B84"/>
    <w:rsid w:val="00485DB3"/>
    <w:rsid w:val="00486653"/>
    <w:rsid w:val="004867E2"/>
    <w:rsid w:val="00486977"/>
    <w:rsid w:val="00486A7A"/>
    <w:rsid w:val="0049002A"/>
    <w:rsid w:val="004901DE"/>
    <w:rsid w:val="004904AA"/>
    <w:rsid w:val="00490B17"/>
    <w:rsid w:val="00490C7E"/>
    <w:rsid w:val="00490CEF"/>
    <w:rsid w:val="00490E5C"/>
    <w:rsid w:val="004911F9"/>
    <w:rsid w:val="0049199C"/>
    <w:rsid w:val="004919EC"/>
    <w:rsid w:val="00491AEC"/>
    <w:rsid w:val="00491B3A"/>
    <w:rsid w:val="0049288D"/>
    <w:rsid w:val="00492CFD"/>
    <w:rsid w:val="004931F0"/>
    <w:rsid w:val="00494009"/>
    <w:rsid w:val="00494207"/>
    <w:rsid w:val="00494C33"/>
    <w:rsid w:val="00494DD5"/>
    <w:rsid w:val="00495478"/>
    <w:rsid w:val="00495685"/>
    <w:rsid w:val="00496119"/>
    <w:rsid w:val="004962D2"/>
    <w:rsid w:val="004963D0"/>
    <w:rsid w:val="004966F6"/>
    <w:rsid w:val="004969A3"/>
    <w:rsid w:val="004969EF"/>
    <w:rsid w:val="00496D26"/>
    <w:rsid w:val="00496F05"/>
    <w:rsid w:val="00496FDF"/>
    <w:rsid w:val="004970D8"/>
    <w:rsid w:val="004975B7"/>
    <w:rsid w:val="004A06F9"/>
    <w:rsid w:val="004A0DA1"/>
    <w:rsid w:val="004A0DAF"/>
    <w:rsid w:val="004A11E9"/>
    <w:rsid w:val="004A13D6"/>
    <w:rsid w:val="004A1429"/>
    <w:rsid w:val="004A178E"/>
    <w:rsid w:val="004A1A05"/>
    <w:rsid w:val="004A25F3"/>
    <w:rsid w:val="004A2EB7"/>
    <w:rsid w:val="004A2FC4"/>
    <w:rsid w:val="004A3280"/>
    <w:rsid w:val="004A35A4"/>
    <w:rsid w:val="004A45D3"/>
    <w:rsid w:val="004A4812"/>
    <w:rsid w:val="004A485D"/>
    <w:rsid w:val="004A4B71"/>
    <w:rsid w:val="004A52E9"/>
    <w:rsid w:val="004A53C5"/>
    <w:rsid w:val="004A5842"/>
    <w:rsid w:val="004A5E82"/>
    <w:rsid w:val="004A6040"/>
    <w:rsid w:val="004A6307"/>
    <w:rsid w:val="004A6597"/>
    <w:rsid w:val="004A6931"/>
    <w:rsid w:val="004A6BEC"/>
    <w:rsid w:val="004A6F1A"/>
    <w:rsid w:val="004A7848"/>
    <w:rsid w:val="004A793B"/>
    <w:rsid w:val="004A79AB"/>
    <w:rsid w:val="004A7EC8"/>
    <w:rsid w:val="004B0D50"/>
    <w:rsid w:val="004B1117"/>
    <w:rsid w:val="004B1748"/>
    <w:rsid w:val="004B17FF"/>
    <w:rsid w:val="004B1CB4"/>
    <w:rsid w:val="004B1DBA"/>
    <w:rsid w:val="004B1E9E"/>
    <w:rsid w:val="004B1EE3"/>
    <w:rsid w:val="004B2377"/>
    <w:rsid w:val="004B23FB"/>
    <w:rsid w:val="004B2B59"/>
    <w:rsid w:val="004B2F18"/>
    <w:rsid w:val="004B31E1"/>
    <w:rsid w:val="004B362A"/>
    <w:rsid w:val="004B3DDB"/>
    <w:rsid w:val="004B3E7E"/>
    <w:rsid w:val="004B44FD"/>
    <w:rsid w:val="004B51A8"/>
    <w:rsid w:val="004B5231"/>
    <w:rsid w:val="004B5745"/>
    <w:rsid w:val="004B5CFC"/>
    <w:rsid w:val="004B6189"/>
    <w:rsid w:val="004B6292"/>
    <w:rsid w:val="004B631F"/>
    <w:rsid w:val="004B6F79"/>
    <w:rsid w:val="004B774D"/>
    <w:rsid w:val="004B77E6"/>
    <w:rsid w:val="004C011D"/>
    <w:rsid w:val="004C0C14"/>
    <w:rsid w:val="004C175E"/>
    <w:rsid w:val="004C1B50"/>
    <w:rsid w:val="004C216D"/>
    <w:rsid w:val="004C2AC2"/>
    <w:rsid w:val="004C2BF4"/>
    <w:rsid w:val="004C2C70"/>
    <w:rsid w:val="004C2DB4"/>
    <w:rsid w:val="004C3028"/>
    <w:rsid w:val="004C3956"/>
    <w:rsid w:val="004C3FF8"/>
    <w:rsid w:val="004C4AED"/>
    <w:rsid w:val="004C5522"/>
    <w:rsid w:val="004C5B8A"/>
    <w:rsid w:val="004C6031"/>
    <w:rsid w:val="004C6192"/>
    <w:rsid w:val="004C63F2"/>
    <w:rsid w:val="004C69F9"/>
    <w:rsid w:val="004C6A37"/>
    <w:rsid w:val="004C6D89"/>
    <w:rsid w:val="004C7576"/>
    <w:rsid w:val="004C75FA"/>
    <w:rsid w:val="004C76DE"/>
    <w:rsid w:val="004C786A"/>
    <w:rsid w:val="004C7DDF"/>
    <w:rsid w:val="004D0039"/>
    <w:rsid w:val="004D00FA"/>
    <w:rsid w:val="004D0FCF"/>
    <w:rsid w:val="004D1287"/>
    <w:rsid w:val="004D1654"/>
    <w:rsid w:val="004D18CD"/>
    <w:rsid w:val="004D1E4A"/>
    <w:rsid w:val="004D223A"/>
    <w:rsid w:val="004D2643"/>
    <w:rsid w:val="004D2803"/>
    <w:rsid w:val="004D299A"/>
    <w:rsid w:val="004D2C2D"/>
    <w:rsid w:val="004D2E8B"/>
    <w:rsid w:val="004D2EDA"/>
    <w:rsid w:val="004D3172"/>
    <w:rsid w:val="004D393E"/>
    <w:rsid w:val="004D3A61"/>
    <w:rsid w:val="004D3A89"/>
    <w:rsid w:val="004D406C"/>
    <w:rsid w:val="004D42A1"/>
    <w:rsid w:val="004D4364"/>
    <w:rsid w:val="004D45EC"/>
    <w:rsid w:val="004D4C24"/>
    <w:rsid w:val="004D4D4F"/>
    <w:rsid w:val="004D4EE4"/>
    <w:rsid w:val="004D503B"/>
    <w:rsid w:val="004D50AD"/>
    <w:rsid w:val="004D5501"/>
    <w:rsid w:val="004D582B"/>
    <w:rsid w:val="004D6528"/>
    <w:rsid w:val="004D69B5"/>
    <w:rsid w:val="004D6A25"/>
    <w:rsid w:val="004D7108"/>
    <w:rsid w:val="004D7227"/>
    <w:rsid w:val="004D72D5"/>
    <w:rsid w:val="004D763F"/>
    <w:rsid w:val="004D7B5E"/>
    <w:rsid w:val="004D7D04"/>
    <w:rsid w:val="004D7F61"/>
    <w:rsid w:val="004E00F6"/>
    <w:rsid w:val="004E05C6"/>
    <w:rsid w:val="004E0E7F"/>
    <w:rsid w:val="004E0EB8"/>
    <w:rsid w:val="004E1807"/>
    <w:rsid w:val="004E1819"/>
    <w:rsid w:val="004E18E9"/>
    <w:rsid w:val="004E1B4A"/>
    <w:rsid w:val="004E270F"/>
    <w:rsid w:val="004E29BD"/>
    <w:rsid w:val="004E29D5"/>
    <w:rsid w:val="004E2ADC"/>
    <w:rsid w:val="004E33A9"/>
    <w:rsid w:val="004E356C"/>
    <w:rsid w:val="004E37CA"/>
    <w:rsid w:val="004E4035"/>
    <w:rsid w:val="004E4399"/>
    <w:rsid w:val="004E43B2"/>
    <w:rsid w:val="004E4FBE"/>
    <w:rsid w:val="004E5350"/>
    <w:rsid w:val="004E57B7"/>
    <w:rsid w:val="004E5845"/>
    <w:rsid w:val="004E6139"/>
    <w:rsid w:val="004E626B"/>
    <w:rsid w:val="004E66CC"/>
    <w:rsid w:val="004E6BD4"/>
    <w:rsid w:val="004E6F7C"/>
    <w:rsid w:val="004E6FCC"/>
    <w:rsid w:val="004E7127"/>
    <w:rsid w:val="004E7146"/>
    <w:rsid w:val="004F0A7A"/>
    <w:rsid w:val="004F0C90"/>
    <w:rsid w:val="004F0CBA"/>
    <w:rsid w:val="004F0D3F"/>
    <w:rsid w:val="004F1416"/>
    <w:rsid w:val="004F1D02"/>
    <w:rsid w:val="004F1FE3"/>
    <w:rsid w:val="004F20BB"/>
    <w:rsid w:val="004F256F"/>
    <w:rsid w:val="004F2679"/>
    <w:rsid w:val="004F282A"/>
    <w:rsid w:val="004F2983"/>
    <w:rsid w:val="004F2BE2"/>
    <w:rsid w:val="004F2F21"/>
    <w:rsid w:val="004F3BB0"/>
    <w:rsid w:val="004F3CAF"/>
    <w:rsid w:val="004F3DE5"/>
    <w:rsid w:val="004F3E42"/>
    <w:rsid w:val="004F3EDC"/>
    <w:rsid w:val="004F47D1"/>
    <w:rsid w:val="004F4CD2"/>
    <w:rsid w:val="004F51FA"/>
    <w:rsid w:val="004F572F"/>
    <w:rsid w:val="004F5993"/>
    <w:rsid w:val="004F5F34"/>
    <w:rsid w:val="004F5F61"/>
    <w:rsid w:val="004F664C"/>
    <w:rsid w:val="004F6848"/>
    <w:rsid w:val="004F6913"/>
    <w:rsid w:val="004F6BB5"/>
    <w:rsid w:val="004F72AD"/>
    <w:rsid w:val="004F7365"/>
    <w:rsid w:val="004F74EC"/>
    <w:rsid w:val="004F762C"/>
    <w:rsid w:val="004F77A5"/>
    <w:rsid w:val="004F7806"/>
    <w:rsid w:val="004F7865"/>
    <w:rsid w:val="004F7957"/>
    <w:rsid w:val="004F7AB3"/>
    <w:rsid w:val="004F7F73"/>
    <w:rsid w:val="005002EE"/>
    <w:rsid w:val="00500A83"/>
    <w:rsid w:val="0050174E"/>
    <w:rsid w:val="00501854"/>
    <w:rsid w:val="005018CA"/>
    <w:rsid w:val="0050219B"/>
    <w:rsid w:val="0050223A"/>
    <w:rsid w:val="005023F4"/>
    <w:rsid w:val="00502C8E"/>
    <w:rsid w:val="005037E4"/>
    <w:rsid w:val="00503983"/>
    <w:rsid w:val="00503F17"/>
    <w:rsid w:val="00503F3A"/>
    <w:rsid w:val="0050423B"/>
    <w:rsid w:val="00504693"/>
    <w:rsid w:val="005046BB"/>
    <w:rsid w:val="005048BE"/>
    <w:rsid w:val="00504A7D"/>
    <w:rsid w:val="00504C04"/>
    <w:rsid w:val="005050CF"/>
    <w:rsid w:val="0050538A"/>
    <w:rsid w:val="00505460"/>
    <w:rsid w:val="00505C2D"/>
    <w:rsid w:val="00505D1D"/>
    <w:rsid w:val="00505F49"/>
    <w:rsid w:val="005062E4"/>
    <w:rsid w:val="0050678F"/>
    <w:rsid w:val="00506928"/>
    <w:rsid w:val="00506AD1"/>
    <w:rsid w:val="00506CCC"/>
    <w:rsid w:val="005077EF"/>
    <w:rsid w:val="005078C1"/>
    <w:rsid w:val="00507F9E"/>
    <w:rsid w:val="00510454"/>
    <w:rsid w:val="005113AA"/>
    <w:rsid w:val="005114ED"/>
    <w:rsid w:val="00511AD5"/>
    <w:rsid w:val="00511BE7"/>
    <w:rsid w:val="00511DC7"/>
    <w:rsid w:val="00512693"/>
    <w:rsid w:val="00512F20"/>
    <w:rsid w:val="00513396"/>
    <w:rsid w:val="005134D3"/>
    <w:rsid w:val="0051358C"/>
    <w:rsid w:val="005138E2"/>
    <w:rsid w:val="00513AB7"/>
    <w:rsid w:val="00513BE8"/>
    <w:rsid w:val="00514129"/>
    <w:rsid w:val="0051429B"/>
    <w:rsid w:val="005142C5"/>
    <w:rsid w:val="005143CB"/>
    <w:rsid w:val="00514DDB"/>
    <w:rsid w:val="00514F46"/>
    <w:rsid w:val="0051501B"/>
    <w:rsid w:val="005152B5"/>
    <w:rsid w:val="00515886"/>
    <w:rsid w:val="00516389"/>
    <w:rsid w:val="00516628"/>
    <w:rsid w:val="00516B95"/>
    <w:rsid w:val="00516D19"/>
    <w:rsid w:val="00516E08"/>
    <w:rsid w:val="005170F2"/>
    <w:rsid w:val="005171D7"/>
    <w:rsid w:val="00517D69"/>
    <w:rsid w:val="005200FD"/>
    <w:rsid w:val="0052060B"/>
    <w:rsid w:val="0052067A"/>
    <w:rsid w:val="005208B9"/>
    <w:rsid w:val="0052123C"/>
    <w:rsid w:val="005212C5"/>
    <w:rsid w:val="00521319"/>
    <w:rsid w:val="0052144E"/>
    <w:rsid w:val="00521496"/>
    <w:rsid w:val="00521658"/>
    <w:rsid w:val="00521C12"/>
    <w:rsid w:val="00522956"/>
    <w:rsid w:val="00522BC8"/>
    <w:rsid w:val="00522D99"/>
    <w:rsid w:val="00523168"/>
    <w:rsid w:val="00523484"/>
    <w:rsid w:val="00523802"/>
    <w:rsid w:val="00523870"/>
    <w:rsid w:val="00523C28"/>
    <w:rsid w:val="005242D0"/>
    <w:rsid w:val="0052430B"/>
    <w:rsid w:val="005244E8"/>
    <w:rsid w:val="005244EE"/>
    <w:rsid w:val="005249D5"/>
    <w:rsid w:val="00524A46"/>
    <w:rsid w:val="00524CAE"/>
    <w:rsid w:val="00525CB5"/>
    <w:rsid w:val="00526086"/>
    <w:rsid w:val="00526290"/>
    <w:rsid w:val="0052654F"/>
    <w:rsid w:val="00526C8E"/>
    <w:rsid w:val="00527238"/>
    <w:rsid w:val="005275AA"/>
    <w:rsid w:val="00527DE5"/>
    <w:rsid w:val="00527F4C"/>
    <w:rsid w:val="00530388"/>
    <w:rsid w:val="005303CB"/>
    <w:rsid w:val="00530856"/>
    <w:rsid w:val="0053087F"/>
    <w:rsid w:val="00530B0F"/>
    <w:rsid w:val="00530B50"/>
    <w:rsid w:val="005315E2"/>
    <w:rsid w:val="0053172D"/>
    <w:rsid w:val="0053176B"/>
    <w:rsid w:val="005319F7"/>
    <w:rsid w:val="00531A0D"/>
    <w:rsid w:val="00531A4A"/>
    <w:rsid w:val="00531DDA"/>
    <w:rsid w:val="00531EE4"/>
    <w:rsid w:val="005323EE"/>
    <w:rsid w:val="0053257D"/>
    <w:rsid w:val="0053259D"/>
    <w:rsid w:val="00532C20"/>
    <w:rsid w:val="00532D15"/>
    <w:rsid w:val="00533E52"/>
    <w:rsid w:val="00534035"/>
    <w:rsid w:val="005341B3"/>
    <w:rsid w:val="00534935"/>
    <w:rsid w:val="00534A13"/>
    <w:rsid w:val="00534E34"/>
    <w:rsid w:val="00535FC7"/>
    <w:rsid w:val="00536132"/>
    <w:rsid w:val="005361D2"/>
    <w:rsid w:val="005364B7"/>
    <w:rsid w:val="0053653E"/>
    <w:rsid w:val="00536728"/>
    <w:rsid w:val="00536C09"/>
    <w:rsid w:val="00536CDC"/>
    <w:rsid w:val="00536F42"/>
    <w:rsid w:val="00536FCC"/>
    <w:rsid w:val="00537182"/>
    <w:rsid w:val="00537584"/>
    <w:rsid w:val="005376D6"/>
    <w:rsid w:val="005379C4"/>
    <w:rsid w:val="00537B27"/>
    <w:rsid w:val="00537BF6"/>
    <w:rsid w:val="0054010E"/>
    <w:rsid w:val="00540334"/>
    <w:rsid w:val="00540928"/>
    <w:rsid w:val="00541066"/>
    <w:rsid w:val="0054147F"/>
    <w:rsid w:val="0054169C"/>
    <w:rsid w:val="00541EDD"/>
    <w:rsid w:val="00542330"/>
    <w:rsid w:val="00542743"/>
    <w:rsid w:val="00542823"/>
    <w:rsid w:val="00542C2D"/>
    <w:rsid w:val="0054362D"/>
    <w:rsid w:val="00543ADC"/>
    <w:rsid w:val="00543CD5"/>
    <w:rsid w:val="00543DD4"/>
    <w:rsid w:val="00543E89"/>
    <w:rsid w:val="00543ED3"/>
    <w:rsid w:val="00544013"/>
    <w:rsid w:val="00544067"/>
    <w:rsid w:val="00544AD8"/>
    <w:rsid w:val="00544E00"/>
    <w:rsid w:val="00545300"/>
    <w:rsid w:val="00545782"/>
    <w:rsid w:val="00545978"/>
    <w:rsid w:val="005459E2"/>
    <w:rsid w:val="005460AE"/>
    <w:rsid w:val="0054637A"/>
    <w:rsid w:val="005463DD"/>
    <w:rsid w:val="005465A3"/>
    <w:rsid w:val="005468BF"/>
    <w:rsid w:val="00546F2D"/>
    <w:rsid w:val="005473A2"/>
    <w:rsid w:val="005478BD"/>
    <w:rsid w:val="005478DA"/>
    <w:rsid w:val="005479E3"/>
    <w:rsid w:val="00547EF4"/>
    <w:rsid w:val="00551125"/>
    <w:rsid w:val="005511F4"/>
    <w:rsid w:val="00551668"/>
    <w:rsid w:val="005518AA"/>
    <w:rsid w:val="00551985"/>
    <w:rsid w:val="00551B72"/>
    <w:rsid w:val="00551D3C"/>
    <w:rsid w:val="00552079"/>
    <w:rsid w:val="00552B0A"/>
    <w:rsid w:val="00552BD3"/>
    <w:rsid w:val="00552C1F"/>
    <w:rsid w:val="005532A0"/>
    <w:rsid w:val="00553959"/>
    <w:rsid w:val="00553C43"/>
    <w:rsid w:val="00553E2A"/>
    <w:rsid w:val="00553EEB"/>
    <w:rsid w:val="00553F62"/>
    <w:rsid w:val="0055433F"/>
    <w:rsid w:val="00554704"/>
    <w:rsid w:val="00554A80"/>
    <w:rsid w:val="00554A85"/>
    <w:rsid w:val="00555109"/>
    <w:rsid w:val="00555B86"/>
    <w:rsid w:val="00556166"/>
    <w:rsid w:val="0055625D"/>
    <w:rsid w:val="00556463"/>
    <w:rsid w:val="00556921"/>
    <w:rsid w:val="005569A3"/>
    <w:rsid w:val="00556B35"/>
    <w:rsid w:val="00556DC2"/>
    <w:rsid w:val="0055741A"/>
    <w:rsid w:val="0055788F"/>
    <w:rsid w:val="005578FF"/>
    <w:rsid w:val="00557C03"/>
    <w:rsid w:val="00557F64"/>
    <w:rsid w:val="00560069"/>
    <w:rsid w:val="0056007B"/>
    <w:rsid w:val="00560088"/>
    <w:rsid w:val="005604F2"/>
    <w:rsid w:val="00560752"/>
    <w:rsid w:val="005610AE"/>
    <w:rsid w:val="005611B7"/>
    <w:rsid w:val="005618D4"/>
    <w:rsid w:val="00561BD3"/>
    <w:rsid w:val="00561DAC"/>
    <w:rsid w:val="00562536"/>
    <w:rsid w:val="00562610"/>
    <w:rsid w:val="005630AF"/>
    <w:rsid w:val="0056316E"/>
    <w:rsid w:val="0056333C"/>
    <w:rsid w:val="00563652"/>
    <w:rsid w:val="00563CE0"/>
    <w:rsid w:val="00564747"/>
    <w:rsid w:val="00564867"/>
    <w:rsid w:val="00564A67"/>
    <w:rsid w:val="00564C21"/>
    <w:rsid w:val="00564F37"/>
    <w:rsid w:val="005652AD"/>
    <w:rsid w:val="00565C79"/>
    <w:rsid w:val="00565CA5"/>
    <w:rsid w:val="00565D78"/>
    <w:rsid w:val="00565DF0"/>
    <w:rsid w:val="005665F2"/>
    <w:rsid w:val="0056682D"/>
    <w:rsid w:val="0056696F"/>
    <w:rsid w:val="00566B97"/>
    <w:rsid w:val="00567011"/>
    <w:rsid w:val="00567DA9"/>
    <w:rsid w:val="00570EE9"/>
    <w:rsid w:val="005717F3"/>
    <w:rsid w:val="00571A34"/>
    <w:rsid w:val="00571B28"/>
    <w:rsid w:val="00572269"/>
    <w:rsid w:val="005722AE"/>
    <w:rsid w:val="0057244A"/>
    <w:rsid w:val="00572DEF"/>
    <w:rsid w:val="00572F26"/>
    <w:rsid w:val="005732D7"/>
    <w:rsid w:val="00573829"/>
    <w:rsid w:val="005738EC"/>
    <w:rsid w:val="00573C13"/>
    <w:rsid w:val="00573EC9"/>
    <w:rsid w:val="00573EE9"/>
    <w:rsid w:val="00573F75"/>
    <w:rsid w:val="005741AD"/>
    <w:rsid w:val="00574378"/>
    <w:rsid w:val="0057484E"/>
    <w:rsid w:val="00574892"/>
    <w:rsid w:val="00574A35"/>
    <w:rsid w:val="00574BC3"/>
    <w:rsid w:val="00574BE2"/>
    <w:rsid w:val="005750C5"/>
    <w:rsid w:val="005752DE"/>
    <w:rsid w:val="005753D7"/>
    <w:rsid w:val="005758CC"/>
    <w:rsid w:val="00575D60"/>
    <w:rsid w:val="00575D8D"/>
    <w:rsid w:val="0057620A"/>
    <w:rsid w:val="0057690A"/>
    <w:rsid w:val="00576972"/>
    <w:rsid w:val="00576B27"/>
    <w:rsid w:val="00576B9B"/>
    <w:rsid w:val="00576F40"/>
    <w:rsid w:val="00577248"/>
    <w:rsid w:val="00577332"/>
    <w:rsid w:val="0057777E"/>
    <w:rsid w:val="005803CB"/>
    <w:rsid w:val="0058068C"/>
    <w:rsid w:val="0058091A"/>
    <w:rsid w:val="00580970"/>
    <w:rsid w:val="00580A7A"/>
    <w:rsid w:val="00580DD3"/>
    <w:rsid w:val="005813A6"/>
    <w:rsid w:val="005814A6"/>
    <w:rsid w:val="00581918"/>
    <w:rsid w:val="00581ACF"/>
    <w:rsid w:val="00581CD7"/>
    <w:rsid w:val="00581EB1"/>
    <w:rsid w:val="00581F7B"/>
    <w:rsid w:val="00582D4E"/>
    <w:rsid w:val="005831A3"/>
    <w:rsid w:val="00583450"/>
    <w:rsid w:val="00583699"/>
    <w:rsid w:val="00583EAF"/>
    <w:rsid w:val="005842D1"/>
    <w:rsid w:val="005845B1"/>
    <w:rsid w:val="00584F82"/>
    <w:rsid w:val="0058549C"/>
    <w:rsid w:val="005857D7"/>
    <w:rsid w:val="0058599F"/>
    <w:rsid w:val="00585BB3"/>
    <w:rsid w:val="00585CDD"/>
    <w:rsid w:val="00586191"/>
    <w:rsid w:val="00586745"/>
    <w:rsid w:val="005867C7"/>
    <w:rsid w:val="0058689F"/>
    <w:rsid w:val="00586A98"/>
    <w:rsid w:val="00586C57"/>
    <w:rsid w:val="00587058"/>
    <w:rsid w:val="00587A82"/>
    <w:rsid w:val="005904BA"/>
    <w:rsid w:val="0059065F"/>
    <w:rsid w:val="005906A9"/>
    <w:rsid w:val="00590876"/>
    <w:rsid w:val="005909AC"/>
    <w:rsid w:val="00590ADE"/>
    <w:rsid w:val="00590BEE"/>
    <w:rsid w:val="00590D41"/>
    <w:rsid w:val="00590F1D"/>
    <w:rsid w:val="00591049"/>
    <w:rsid w:val="00591957"/>
    <w:rsid w:val="005919AF"/>
    <w:rsid w:val="005926C9"/>
    <w:rsid w:val="00592DE5"/>
    <w:rsid w:val="0059330E"/>
    <w:rsid w:val="00593350"/>
    <w:rsid w:val="00593E6E"/>
    <w:rsid w:val="00593FD1"/>
    <w:rsid w:val="00594100"/>
    <w:rsid w:val="00594E04"/>
    <w:rsid w:val="00594F4D"/>
    <w:rsid w:val="00594FFA"/>
    <w:rsid w:val="0059511F"/>
    <w:rsid w:val="0059542B"/>
    <w:rsid w:val="0059574A"/>
    <w:rsid w:val="00595E16"/>
    <w:rsid w:val="00596075"/>
    <w:rsid w:val="0059699E"/>
    <w:rsid w:val="00596D22"/>
    <w:rsid w:val="00597493"/>
    <w:rsid w:val="00597BF9"/>
    <w:rsid w:val="00597E0F"/>
    <w:rsid w:val="00597EE0"/>
    <w:rsid w:val="005A041A"/>
    <w:rsid w:val="005A0430"/>
    <w:rsid w:val="005A0BB6"/>
    <w:rsid w:val="005A0C11"/>
    <w:rsid w:val="005A0EEE"/>
    <w:rsid w:val="005A15EE"/>
    <w:rsid w:val="005A1BE3"/>
    <w:rsid w:val="005A1E52"/>
    <w:rsid w:val="005A1EC3"/>
    <w:rsid w:val="005A24C4"/>
    <w:rsid w:val="005A2998"/>
    <w:rsid w:val="005A2BD7"/>
    <w:rsid w:val="005A2EDA"/>
    <w:rsid w:val="005A3098"/>
    <w:rsid w:val="005A309A"/>
    <w:rsid w:val="005A30CA"/>
    <w:rsid w:val="005A35C1"/>
    <w:rsid w:val="005A373D"/>
    <w:rsid w:val="005A396C"/>
    <w:rsid w:val="005A3CCF"/>
    <w:rsid w:val="005A400F"/>
    <w:rsid w:val="005A459D"/>
    <w:rsid w:val="005A462C"/>
    <w:rsid w:val="005A46F5"/>
    <w:rsid w:val="005A4841"/>
    <w:rsid w:val="005A4B80"/>
    <w:rsid w:val="005A4BE3"/>
    <w:rsid w:val="005A500B"/>
    <w:rsid w:val="005A51F2"/>
    <w:rsid w:val="005A57E7"/>
    <w:rsid w:val="005A5C3D"/>
    <w:rsid w:val="005A5CEE"/>
    <w:rsid w:val="005A5E0A"/>
    <w:rsid w:val="005A6D77"/>
    <w:rsid w:val="005A70D8"/>
    <w:rsid w:val="005A7471"/>
    <w:rsid w:val="005A7570"/>
    <w:rsid w:val="005A775B"/>
    <w:rsid w:val="005A7AC7"/>
    <w:rsid w:val="005B00A9"/>
    <w:rsid w:val="005B0AB4"/>
    <w:rsid w:val="005B0B04"/>
    <w:rsid w:val="005B0B58"/>
    <w:rsid w:val="005B1084"/>
    <w:rsid w:val="005B1177"/>
    <w:rsid w:val="005B12DB"/>
    <w:rsid w:val="005B136A"/>
    <w:rsid w:val="005B1438"/>
    <w:rsid w:val="005B1C19"/>
    <w:rsid w:val="005B1DDC"/>
    <w:rsid w:val="005B1FCC"/>
    <w:rsid w:val="005B2218"/>
    <w:rsid w:val="005B2612"/>
    <w:rsid w:val="005B3147"/>
    <w:rsid w:val="005B3335"/>
    <w:rsid w:val="005B3382"/>
    <w:rsid w:val="005B33A7"/>
    <w:rsid w:val="005B3552"/>
    <w:rsid w:val="005B46D3"/>
    <w:rsid w:val="005B4CDB"/>
    <w:rsid w:val="005B4E53"/>
    <w:rsid w:val="005B5068"/>
    <w:rsid w:val="005B50C6"/>
    <w:rsid w:val="005B576D"/>
    <w:rsid w:val="005B5857"/>
    <w:rsid w:val="005B59B9"/>
    <w:rsid w:val="005B5F94"/>
    <w:rsid w:val="005B747F"/>
    <w:rsid w:val="005B75BC"/>
    <w:rsid w:val="005B7C56"/>
    <w:rsid w:val="005C09C7"/>
    <w:rsid w:val="005C0DC1"/>
    <w:rsid w:val="005C0E0B"/>
    <w:rsid w:val="005C1929"/>
    <w:rsid w:val="005C19C4"/>
    <w:rsid w:val="005C1B83"/>
    <w:rsid w:val="005C20D8"/>
    <w:rsid w:val="005C2349"/>
    <w:rsid w:val="005C25FF"/>
    <w:rsid w:val="005C2876"/>
    <w:rsid w:val="005C2CB9"/>
    <w:rsid w:val="005C2D55"/>
    <w:rsid w:val="005C346B"/>
    <w:rsid w:val="005C351C"/>
    <w:rsid w:val="005C3E6E"/>
    <w:rsid w:val="005C417C"/>
    <w:rsid w:val="005C43E7"/>
    <w:rsid w:val="005C449E"/>
    <w:rsid w:val="005C4F45"/>
    <w:rsid w:val="005C5179"/>
    <w:rsid w:val="005C5400"/>
    <w:rsid w:val="005C5ABC"/>
    <w:rsid w:val="005C5D74"/>
    <w:rsid w:val="005C60AD"/>
    <w:rsid w:val="005C6D4F"/>
    <w:rsid w:val="005C6F8A"/>
    <w:rsid w:val="005C70D9"/>
    <w:rsid w:val="005D044D"/>
    <w:rsid w:val="005D08A2"/>
    <w:rsid w:val="005D0ABD"/>
    <w:rsid w:val="005D1013"/>
    <w:rsid w:val="005D1117"/>
    <w:rsid w:val="005D18AD"/>
    <w:rsid w:val="005D214F"/>
    <w:rsid w:val="005D21B6"/>
    <w:rsid w:val="005D26B4"/>
    <w:rsid w:val="005D2D37"/>
    <w:rsid w:val="005D2D5A"/>
    <w:rsid w:val="005D2E18"/>
    <w:rsid w:val="005D3389"/>
    <w:rsid w:val="005D3B65"/>
    <w:rsid w:val="005D3C7E"/>
    <w:rsid w:val="005D43CF"/>
    <w:rsid w:val="005D45D6"/>
    <w:rsid w:val="005D4ABE"/>
    <w:rsid w:val="005D4AED"/>
    <w:rsid w:val="005D514E"/>
    <w:rsid w:val="005D524B"/>
    <w:rsid w:val="005D53FD"/>
    <w:rsid w:val="005D58E5"/>
    <w:rsid w:val="005D5C69"/>
    <w:rsid w:val="005D5DCE"/>
    <w:rsid w:val="005D5E07"/>
    <w:rsid w:val="005D5F9E"/>
    <w:rsid w:val="005D682C"/>
    <w:rsid w:val="005D6C56"/>
    <w:rsid w:val="005D71C5"/>
    <w:rsid w:val="005D782E"/>
    <w:rsid w:val="005E0219"/>
    <w:rsid w:val="005E0F7F"/>
    <w:rsid w:val="005E1028"/>
    <w:rsid w:val="005E1030"/>
    <w:rsid w:val="005E11E5"/>
    <w:rsid w:val="005E18BC"/>
    <w:rsid w:val="005E1957"/>
    <w:rsid w:val="005E1995"/>
    <w:rsid w:val="005E2142"/>
    <w:rsid w:val="005E259B"/>
    <w:rsid w:val="005E297C"/>
    <w:rsid w:val="005E354C"/>
    <w:rsid w:val="005E35F1"/>
    <w:rsid w:val="005E379D"/>
    <w:rsid w:val="005E3B15"/>
    <w:rsid w:val="005E3ECE"/>
    <w:rsid w:val="005E41F7"/>
    <w:rsid w:val="005E46AC"/>
    <w:rsid w:val="005E5729"/>
    <w:rsid w:val="005E573B"/>
    <w:rsid w:val="005E5B5A"/>
    <w:rsid w:val="005E6473"/>
    <w:rsid w:val="005E69F2"/>
    <w:rsid w:val="005E6A6E"/>
    <w:rsid w:val="005E6CBC"/>
    <w:rsid w:val="005E72FF"/>
    <w:rsid w:val="005E73C0"/>
    <w:rsid w:val="005E754C"/>
    <w:rsid w:val="005E770D"/>
    <w:rsid w:val="005F0298"/>
    <w:rsid w:val="005F04F7"/>
    <w:rsid w:val="005F07ED"/>
    <w:rsid w:val="005F112C"/>
    <w:rsid w:val="005F1158"/>
    <w:rsid w:val="005F1412"/>
    <w:rsid w:val="005F1556"/>
    <w:rsid w:val="005F1B55"/>
    <w:rsid w:val="005F22A3"/>
    <w:rsid w:val="005F2608"/>
    <w:rsid w:val="005F2704"/>
    <w:rsid w:val="005F2706"/>
    <w:rsid w:val="005F2C36"/>
    <w:rsid w:val="005F2F79"/>
    <w:rsid w:val="005F3BF3"/>
    <w:rsid w:val="005F4008"/>
    <w:rsid w:val="005F4133"/>
    <w:rsid w:val="005F4412"/>
    <w:rsid w:val="005F46EE"/>
    <w:rsid w:val="005F4DC8"/>
    <w:rsid w:val="005F5332"/>
    <w:rsid w:val="005F58C8"/>
    <w:rsid w:val="005F5C3E"/>
    <w:rsid w:val="005F63FD"/>
    <w:rsid w:val="005F6449"/>
    <w:rsid w:val="005F6A8F"/>
    <w:rsid w:val="005F6BB7"/>
    <w:rsid w:val="005F7525"/>
    <w:rsid w:val="005F7588"/>
    <w:rsid w:val="005F761D"/>
    <w:rsid w:val="005F76A3"/>
    <w:rsid w:val="005F7913"/>
    <w:rsid w:val="005F7EC5"/>
    <w:rsid w:val="006002FA"/>
    <w:rsid w:val="006003F1"/>
    <w:rsid w:val="0060066F"/>
    <w:rsid w:val="006009E3"/>
    <w:rsid w:val="0060112F"/>
    <w:rsid w:val="00601216"/>
    <w:rsid w:val="00601546"/>
    <w:rsid w:val="0060193B"/>
    <w:rsid w:val="00602443"/>
    <w:rsid w:val="00602DA3"/>
    <w:rsid w:val="00603248"/>
    <w:rsid w:val="006035E6"/>
    <w:rsid w:val="00603DB9"/>
    <w:rsid w:val="00603DEA"/>
    <w:rsid w:val="00603E53"/>
    <w:rsid w:val="006044BF"/>
    <w:rsid w:val="00605388"/>
    <w:rsid w:val="006055CF"/>
    <w:rsid w:val="006069B1"/>
    <w:rsid w:val="00606D6C"/>
    <w:rsid w:val="00606FBA"/>
    <w:rsid w:val="0060749F"/>
    <w:rsid w:val="00607669"/>
    <w:rsid w:val="006076F4"/>
    <w:rsid w:val="00607AFD"/>
    <w:rsid w:val="00610C81"/>
    <w:rsid w:val="00611201"/>
    <w:rsid w:val="00611B12"/>
    <w:rsid w:val="00611B65"/>
    <w:rsid w:val="00611F03"/>
    <w:rsid w:val="0061223D"/>
    <w:rsid w:val="00612368"/>
    <w:rsid w:val="006124CE"/>
    <w:rsid w:val="00612892"/>
    <w:rsid w:val="00612EC9"/>
    <w:rsid w:val="00612F97"/>
    <w:rsid w:val="0061345D"/>
    <w:rsid w:val="00613465"/>
    <w:rsid w:val="006138DC"/>
    <w:rsid w:val="006139D0"/>
    <w:rsid w:val="00613C68"/>
    <w:rsid w:val="00613F03"/>
    <w:rsid w:val="00613F3F"/>
    <w:rsid w:val="006143AD"/>
    <w:rsid w:val="00614726"/>
    <w:rsid w:val="00614B0A"/>
    <w:rsid w:val="00614C68"/>
    <w:rsid w:val="00615458"/>
    <w:rsid w:val="0061545F"/>
    <w:rsid w:val="0061549B"/>
    <w:rsid w:val="006154E4"/>
    <w:rsid w:val="006159CB"/>
    <w:rsid w:val="006159F1"/>
    <w:rsid w:val="00615CC2"/>
    <w:rsid w:val="00615D87"/>
    <w:rsid w:val="00615F89"/>
    <w:rsid w:val="006165F4"/>
    <w:rsid w:val="00616802"/>
    <w:rsid w:val="0061682F"/>
    <w:rsid w:val="006168CA"/>
    <w:rsid w:val="00616F44"/>
    <w:rsid w:val="00617255"/>
    <w:rsid w:val="00617C91"/>
    <w:rsid w:val="00617DDF"/>
    <w:rsid w:val="00617E12"/>
    <w:rsid w:val="00620050"/>
    <w:rsid w:val="006208A9"/>
    <w:rsid w:val="00620C25"/>
    <w:rsid w:val="00621189"/>
    <w:rsid w:val="0062123E"/>
    <w:rsid w:val="0062126A"/>
    <w:rsid w:val="006213C1"/>
    <w:rsid w:val="00621477"/>
    <w:rsid w:val="00621482"/>
    <w:rsid w:val="006215AA"/>
    <w:rsid w:val="006218CA"/>
    <w:rsid w:val="00621A51"/>
    <w:rsid w:val="00621ADA"/>
    <w:rsid w:val="00621E31"/>
    <w:rsid w:val="00621F43"/>
    <w:rsid w:val="006223F5"/>
    <w:rsid w:val="00622811"/>
    <w:rsid w:val="006230D0"/>
    <w:rsid w:val="00623867"/>
    <w:rsid w:val="00623F7B"/>
    <w:rsid w:val="0062442A"/>
    <w:rsid w:val="00624BD4"/>
    <w:rsid w:val="0062508B"/>
    <w:rsid w:val="00625511"/>
    <w:rsid w:val="00625725"/>
    <w:rsid w:val="00626207"/>
    <w:rsid w:val="00627057"/>
    <w:rsid w:val="00627092"/>
    <w:rsid w:val="0062763F"/>
    <w:rsid w:val="006278DF"/>
    <w:rsid w:val="00630235"/>
    <w:rsid w:val="00630816"/>
    <w:rsid w:val="00630CC6"/>
    <w:rsid w:val="0063118D"/>
    <w:rsid w:val="00631239"/>
    <w:rsid w:val="0063143A"/>
    <w:rsid w:val="0063158F"/>
    <w:rsid w:val="00631CE1"/>
    <w:rsid w:val="00631D6B"/>
    <w:rsid w:val="00631FE2"/>
    <w:rsid w:val="00632183"/>
    <w:rsid w:val="006323EF"/>
    <w:rsid w:val="006330A1"/>
    <w:rsid w:val="00633230"/>
    <w:rsid w:val="006335EB"/>
    <w:rsid w:val="0063418F"/>
    <w:rsid w:val="0063479F"/>
    <w:rsid w:val="006350CB"/>
    <w:rsid w:val="006353F0"/>
    <w:rsid w:val="006357B5"/>
    <w:rsid w:val="00635C7C"/>
    <w:rsid w:val="00636385"/>
    <w:rsid w:val="0063642F"/>
    <w:rsid w:val="006364A1"/>
    <w:rsid w:val="006365A3"/>
    <w:rsid w:val="00636600"/>
    <w:rsid w:val="0063678E"/>
    <w:rsid w:val="00636B6A"/>
    <w:rsid w:val="00636C9D"/>
    <w:rsid w:val="00637443"/>
    <w:rsid w:val="0063776B"/>
    <w:rsid w:val="0063783A"/>
    <w:rsid w:val="00637972"/>
    <w:rsid w:val="00637BFD"/>
    <w:rsid w:val="00637C5C"/>
    <w:rsid w:val="006401B7"/>
    <w:rsid w:val="0064038C"/>
    <w:rsid w:val="006405D1"/>
    <w:rsid w:val="006406CA"/>
    <w:rsid w:val="00640810"/>
    <w:rsid w:val="00640F46"/>
    <w:rsid w:val="00640F6A"/>
    <w:rsid w:val="00641196"/>
    <w:rsid w:val="006411DD"/>
    <w:rsid w:val="00641591"/>
    <w:rsid w:val="0064181E"/>
    <w:rsid w:val="00641BD0"/>
    <w:rsid w:val="00641C4E"/>
    <w:rsid w:val="00641FB3"/>
    <w:rsid w:val="006421B7"/>
    <w:rsid w:val="006421EC"/>
    <w:rsid w:val="00642949"/>
    <w:rsid w:val="00642A4E"/>
    <w:rsid w:val="006431D1"/>
    <w:rsid w:val="00643542"/>
    <w:rsid w:val="00643E69"/>
    <w:rsid w:val="00643F33"/>
    <w:rsid w:val="0064434C"/>
    <w:rsid w:val="00644471"/>
    <w:rsid w:val="00644B8F"/>
    <w:rsid w:val="00645225"/>
    <w:rsid w:val="0064545F"/>
    <w:rsid w:val="006465EE"/>
    <w:rsid w:val="0064682C"/>
    <w:rsid w:val="00646BCC"/>
    <w:rsid w:val="006471CC"/>
    <w:rsid w:val="006472FE"/>
    <w:rsid w:val="00647A29"/>
    <w:rsid w:val="00647EE4"/>
    <w:rsid w:val="00647EEE"/>
    <w:rsid w:val="00647F47"/>
    <w:rsid w:val="00650229"/>
    <w:rsid w:val="00650290"/>
    <w:rsid w:val="0065079F"/>
    <w:rsid w:val="00650DDF"/>
    <w:rsid w:val="006512CD"/>
    <w:rsid w:val="00651387"/>
    <w:rsid w:val="00651C99"/>
    <w:rsid w:val="00651CD1"/>
    <w:rsid w:val="00652637"/>
    <w:rsid w:val="006526EE"/>
    <w:rsid w:val="00652A28"/>
    <w:rsid w:val="00652B26"/>
    <w:rsid w:val="00652EC3"/>
    <w:rsid w:val="006531AD"/>
    <w:rsid w:val="0065379F"/>
    <w:rsid w:val="00653B4A"/>
    <w:rsid w:val="00653C5D"/>
    <w:rsid w:val="00654262"/>
    <w:rsid w:val="0065476A"/>
    <w:rsid w:val="00654B20"/>
    <w:rsid w:val="00654E1E"/>
    <w:rsid w:val="00655F14"/>
    <w:rsid w:val="00655FA5"/>
    <w:rsid w:val="00656188"/>
    <w:rsid w:val="00656AFA"/>
    <w:rsid w:val="00656C2A"/>
    <w:rsid w:val="00656C49"/>
    <w:rsid w:val="00656D92"/>
    <w:rsid w:val="00656DDE"/>
    <w:rsid w:val="00656E78"/>
    <w:rsid w:val="00656EB6"/>
    <w:rsid w:val="0065715A"/>
    <w:rsid w:val="006578EE"/>
    <w:rsid w:val="0065797F"/>
    <w:rsid w:val="00657A6E"/>
    <w:rsid w:val="00657E51"/>
    <w:rsid w:val="00660AED"/>
    <w:rsid w:val="006610F1"/>
    <w:rsid w:val="0066124A"/>
    <w:rsid w:val="00661C6B"/>
    <w:rsid w:val="00661C90"/>
    <w:rsid w:val="00661D67"/>
    <w:rsid w:val="006624F0"/>
    <w:rsid w:val="00662A1B"/>
    <w:rsid w:val="00662D3E"/>
    <w:rsid w:val="00663319"/>
    <w:rsid w:val="0066352D"/>
    <w:rsid w:val="00663E5A"/>
    <w:rsid w:val="006649EB"/>
    <w:rsid w:val="00664BB9"/>
    <w:rsid w:val="0066563D"/>
    <w:rsid w:val="00665C28"/>
    <w:rsid w:val="00665D71"/>
    <w:rsid w:val="00666285"/>
    <w:rsid w:val="00666333"/>
    <w:rsid w:val="006664F2"/>
    <w:rsid w:val="006669ED"/>
    <w:rsid w:val="00666D24"/>
    <w:rsid w:val="00667BE3"/>
    <w:rsid w:val="00667F31"/>
    <w:rsid w:val="00670296"/>
    <w:rsid w:val="006705F3"/>
    <w:rsid w:val="006707EF"/>
    <w:rsid w:val="00670E4D"/>
    <w:rsid w:val="00671004"/>
    <w:rsid w:val="0067109E"/>
    <w:rsid w:val="006713D7"/>
    <w:rsid w:val="00671C99"/>
    <w:rsid w:val="00672342"/>
    <w:rsid w:val="00672445"/>
    <w:rsid w:val="006724DB"/>
    <w:rsid w:val="00672646"/>
    <w:rsid w:val="00672946"/>
    <w:rsid w:val="00672A70"/>
    <w:rsid w:val="0067311F"/>
    <w:rsid w:val="006733A8"/>
    <w:rsid w:val="006736B5"/>
    <w:rsid w:val="006737B1"/>
    <w:rsid w:val="00673FD1"/>
    <w:rsid w:val="00674524"/>
    <w:rsid w:val="00674DFE"/>
    <w:rsid w:val="00674E42"/>
    <w:rsid w:val="00674F57"/>
    <w:rsid w:val="00674FEF"/>
    <w:rsid w:val="00675046"/>
    <w:rsid w:val="006753CC"/>
    <w:rsid w:val="006754C5"/>
    <w:rsid w:val="0067556D"/>
    <w:rsid w:val="00675B67"/>
    <w:rsid w:val="00675D55"/>
    <w:rsid w:val="00676187"/>
    <w:rsid w:val="00676484"/>
    <w:rsid w:val="00676563"/>
    <w:rsid w:val="006766E4"/>
    <w:rsid w:val="00676E84"/>
    <w:rsid w:val="00677133"/>
    <w:rsid w:val="00677288"/>
    <w:rsid w:val="00677484"/>
    <w:rsid w:val="0067769E"/>
    <w:rsid w:val="00677AFE"/>
    <w:rsid w:val="00677DDB"/>
    <w:rsid w:val="00677FD7"/>
    <w:rsid w:val="006802A1"/>
    <w:rsid w:val="006803FB"/>
    <w:rsid w:val="006804CE"/>
    <w:rsid w:val="00680639"/>
    <w:rsid w:val="00680B29"/>
    <w:rsid w:val="00680C93"/>
    <w:rsid w:val="00680E17"/>
    <w:rsid w:val="006813F8"/>
    <w:rsid w:val="006818C6"/>
    <w:rsid w:val="00682112"/>
    <w:rsid w:val="006824D4"/>
    <w:rsid w:val="006825EE"/>
    <w:rsid w:val="00682712"/>
    <w:rsid w:val="0068290B"/>
    <w:rsid w:val="00682BA6"/>
    <w:rsid w:val="00683733"/>
    <w:rsid w:val="00683F90"/>
    <w:rsid w:val="00684B62"/>
    <w:rsid w:val="00685057"/>
    <w:rsid w:val="006850E8"/>
    <w:rsid w:val="00685458"/>
    <w:rsid w:val="006856E6"/>
    <w:rsid w:val="00685957"/>
    <w:rsid w:val="00685A81"/>
    <w:rsid w:val="00685AAB"/>
    <w:rsid w:val="00685D4B"/>
    <w:rsid w:val="00685F9D"/>
    <w:rsid w:val="006861D5"/>
    <w:rsid w:val="00686957"/>
    <w:rsid w:val="00686B3D"/>
    <w:rsid w:val="006872BA"/>
    <w:rsid w:val="00687BF1"/>
    <w:rsid w:val="00687C5D"/>
    <w:rsid w:val="00687CB9"/>
    <w:rsid w:val="006904B6"/>
    <w:rsid w:val="0069056F"/>
    <w:rsid w:val="0069072F"/>
    <w:rsid w:val="00690795"/>
    <w:rsid w:val="00690AF8"/>
    <w:rsid w:val="00690AF9"/>
    <w:rsid w:val="00690B94"/>
    <w:rsid w:val="00690F8A"/>
    <w:rsid w:val="00691238"/>
    <w:rsid w:val="00691648"/>
    <w:rsid w:val="00691720"/>
    <w:rsid w:val="006917D7"/>
    <w:rsid w:val="006917EF"/>
    <w:rsid w:val="006919D0"/>
    <w:rsid w:val="00691BCC"/>
    <w:rsid w:val="00692760"/>
    <w:rsid w:val="00692A76"/>
    <w:rsid w:val="006930EF"/>
    <w:rsid w:val="006931EC"/>
    <w:rsid w:val="006937D1"/>
    <w:rsid w:val="00693952"/>
    <w:rsid w:val="00693FA9"/>
    <w:rsid w:val="006941B1"/>
    <w:rsid w:val="00694279"/>
    <w:rsid w:val="0069434C"/>
    <w:rsid w:val="0069485A"/>
    <w:rsid w:val="0069496F"/>
    <w:rsid w:val="00694D84"/>
    <w:rsid w:val="00694F44"/>
    <w:rsid w:val="006953BF"/>
    <w:rsid w:val="00695700"/>
    <w:rsid w:val="006960D7"/>
    <w:rsid w:val="0069633C"/>
    <w:rsid w:val="00696400"/>
    <w:rsid w:val="006969EA"/>
    <w:rsid w:val="00696E1A"/>
    <w:rsid w:val="00696EF9"/>
    <w:rsid w:val="00696F51"/>
    <w:rsid w:val="006970ED"/>
    <w:rsid w:val="006979A5"/>
    <w:rsid w:val="00697E8C"/>
    <w:rsid w:val="006A010B"/>
    <w:rsid w:val="006A016F"/>
    <w:rsid w:val="006A0185"/>
    <w:rsid w:val="006A0A29"/>
    <w:rsid w:val="006A0D6F"/>
    <w:rsid w:val="006A0DE4"/>
    <w:rsid w:val="006A0DF7"/>
    <w:rsid w:val="006A10EF"/>
    <w:rsid w:val="006A1C36"/>
    <w:rsid w:val="006A1D4B"/>
    <w:rsid w:val="006A2016"/>
    <w:rsid w:val="006A2743"/>
    <w:rsid w:val="006A2F16"/>
    <w:rsid w:val="006A30DD"/>
    <w:rsid w:val="006A3799"/>
    <w:rsid w:val="006A3BFE"/>
    <w:rsid w:val="006A3C89"/>
    <w:rsid w:val="006A4321"/>
    <w:rsid w:val="006A43D9"/>
    <w:rsid w:val="006A4994"/>
    <w:rsid w:val="006A4C49"/>
    <w:rsid w:val="006A4E50"/>
    <w:rsid w:val="006A5273"/>
    <w:rsid w:val="006A52B2"/>
    <w:rsid w:val="006A5760"/>
    <w:rsid w:val="006A5893"/>
    <w:rsid w:val="006A5ED5"/>
    <w:rsid w:val="006A63EC"/>
    <w:rsid w:val="006A65F8"/>
    <w:rsid w:val="006A66AC"/>
    <w:rsid w:val="006A6A75"/>
    <w:rsid w:val="006A6B99"/>
    <w:rsid w:val="006A701B"/>
    <w:rsid w:val="006A7063"/>
    <w:rsid w:val="006A7B8C"/>
    <w:rsid w:val="006A7DD8"/>
    <w:rsid w:val="006A7E5F"/>
    <w:rsid w:val="006A7E96"/>
    <w:rsid w:val="006A7EF8"/>
    <w:rsid w:val="006A7F67"/>
    <w:rsid w:val="006B009A"/>
    <w:rsid w:val="006B03FE"/>
    <w:rsid w:val="006B075D"/>
    <w:rsid w:val="006B0CD8"/>
    <w:rsid w:val="006B1015"/>
    <w:rsid w:val="006B1039"/>
    <w:rsid w:val="006B1BBA"/>
    <w:rsid w:val="006B1C27"/>
    <w:rsid w:val="006B1C9A"/>
    <w:rsid w:val="006B1D13"/>
    <w:rsid w:val="006B2094"/>
    <w:rsid w:val="006B20E2"/>
    <w:rsid w:val="006B261B"/>
    <w:rsid w:val="006B262C"/>
    <w:rsid w:val="006B2718"/>
    <w:rsid w:val="006B2C90"/>
    <w:rsid w:val="006B3113"/>
    <w:rsid w:val="006B35E6"/>
    <w:rsid w:val="006B40C4"/>
    <w:rsid w:val="006B44BE"/>
    <w:rsid w:val="006B465A"/>
    <w:rsid w:val="006B4BE8"/>
    <w:rsid w:val="006B5200"/>
    <w:rsid w:val="006B5337"/>
    <w:rsid w:val="006B5AEB"/>
    <w:rsid w:val="006B6DD0"/>
    <w:rsid w:val="006B6EAB"/>
    <w:rsid w:val="006B712F"/>
    <w:rsid w:val="006B7461"/>
    <w:rsid w:val="006B748F"/>
    <w:rsid w:val="006B7A02"/>
    <w:rsid w:val="006C0399"/>
    <w:rsid w:val="006C0FB0"/>
    <w:rsid w:val="006C1132"/>
    <w:rsid w:val="006C16F3"/>
    <w:rsid w:val="006C1B9D"/>
    <w:rsid w:val="006C2417"/>
    <w:rsid w:val="006C2A8E"/>
    <w:rsid w:val="006C2F96"/>
    <w:rsid w:val="006C3255"/>
    <w:rsid w:val="006C339A"/>
    <w:rsid w:val="006C3553"/>
    <w:rsid w:val="006C358A"/>
    <w:rsid w:val="006C378B"/>
    <w:rsid w:val="006C380D"/>
    <w:rsid w:val="006C3F26"/>
    <w:rsid w:val="006C41F6"/>
    <w:rsid w:val="006C440C"/>
    <w:rsid w:val="006C4700"/>
    <w:rsid w:val="006C54A7"/>
    <w:rsid w:val="006C55D6"/>
    <w:rsid w:val="006C57BA"/>
    <w:rsid w:val="006C5C0E"/>
    <w:rsid w:val="006C6D68"/>
    <w:rsid w:val="006C6E3E"/>
    <w:rsid w:val="006D0100"/>
    <w:rsid w:val="006D0327"/>
    <w:rsid w:val="006D0C5F"/>
    <w:rsid w:val="006D0D17"/>
    <w:rsid w:val="006D0EF0"/>
    <w:rsid w:val="006D2B7D"/>
    <w:rsid w:val="006D32CA"/>
    <w:rsid w:val="006D331C"/>
    <w:rsid w:val="006D34DA"/>
    <w:rsid w:val="006D36E2"/>
    <w:rsid w:val="006D3B3C"/>
    <w:rsid w:val="006D3C7D"/>
    <w:rsid w:val="006D4659"/>
    <w:rsid w:val="006D4DD1"/>
    <w:rsid w:val="006D5D22"/>
    <w:rsid w:val="006D5D5F"/>
    <w:rsid w:val="006D5D62"/>
    <w:rsid w:val="006D666F"/>
    <w:rsid w:val="006D68FB"/>
    <w:rsid w:val="006D6924"/>
    <w:rsid w:val="006D7625"/>
    <w:rsid w:val="006E00F7"/>
    <w:rsid w:val="006E01E6"/>
    <w:rsid w:val="006E08DE"/>
    <w:rsid w:val="006E1A89"/>
    <w:rsid w:val="006E1B50"/>
    <w:rsid w:val="006E1F6F"/>
    <w:rsid w:val="006E2868"/>
    <w:rsid w:val="006E2DD7"/>
    <w:rsid w:val="006E3070"/>
    <w:rsid w:val="006E3342"/>
    <w:rsid w:val="006E3B82"/>
    <w:rsid w:val="006E3E9A"/>
    <w:rsid w:val="006E4221"/>
    <w:rsid w:val="006E44F8"/>
    <w:rsid w:val="006E4508"/>
    <w:rsid w:val="006E45B9"/>
    <w:rsid w:val="006E47E7"/>
    <w:rsid w:val="006E53D5"/>
    <w:rsid w:val="006E5D93"/>
    <w:rsid w:val="006E7499"/>
    <w:rsid w:val="006E7DA7"/>
    <w:rsid w:val="006F097B"/>
    <w:rsid w:val="006F0BCF"/>
    <w:rsid w:val="006F15F4"/>
    <w:rsid w:val="006F1885"/>
    <w:rsid w:val="006F1B22"/>
    <w:rsid w:val="006F1EBB"/>
    <w:rsid w:val="006F28BE"/>
    <w:rsid w:val="006F302E"/>
    <w:rsid w:val="006F306C"/>
    <w:rsid w:val="006F3155"/>
    <w:rsid w:val="006F3352"/>
    <w:rsid w:val="006F373F"/>
    <w:rsid w:val="006F3BD6"/>
    <w:rsid w:val="006F3C63"/>
    <w:rsid w:val="006F3D38"/>
    <w:rsid w:val="006F3E20"/>
    <w:rsid w:val="006F3E53"/>
    <w:rsid w:val="006F3EBD"/>
    <w:rsid w:val="006F3FC4"/>
    <w:rsid w:val="006F41B4"/>
    <w:rsid w:val="006F4DE6"/>
    <w:rsid w:val="006F564C"/>
    <w:rsid w:val="006F5C51"/>
    <w:rsid w:val="006F602B"/>
    <w:rsid w:val="006F61BD"/>
    <w:rsid w:val="006F63A5"/>
    <w:rsid w:val="006F641D"/>
    <w:rsid w:val="006F65D2"/>
    <w:rsid w:val="006F676F"/>
    <w:rsid w:val="006F6836"/>
    <w:rsid w:val="006F6CFD"/>
    <w:rsid w:val="006F7F17"/>
    <w:rsid w:val="007000AE"/>
    <w:rsid w:val="007003DB"/>
    <w:rsid w:val="0070053C"/>
    <w:rsid w:val="00701231"/>
    <w:rsid w:val="0070142B"/>
    <w:rsid w:val="00701A7F"/>
    <w:rsid w:val="00701E2F"/>
    <w:rsid w:val="0070276E"/>
    <w:rsid w:val="007027A1"/>
    <w:rsid w:val="00702A18"/>
    <w:rsid w:val="00702BD6"/>
    <w:rsid w:val="00702F8F"/>
    <w:rsid w:val="0070344E"/>
    <w:rsid w:val="00703644"/>
    <w:rsid w:val="007039CF"/>
    <w:rsid w:val="00703D42"/>
    <w:rsid w:val="007040EE"/>
    <w:rsid w:val="0070476F"/>
    <w:rsid w:val="0070494B"/>
    <w:rsid w:val="007053C9"/>
    <w:rsid w:val="0070598B"/>
    <w:rsid w:val="00705A16"/>
    <w:rsid w:val="00705EDA"/>
    <w:rsid w:val="0070643F"/>
    <w:rsid w:val="0070666A"/>
    <w:rsid w:val="0070667B"/>
    <w:rsid w:val="007066A6"/>
    <w:rsid w:val="00706873"/>
    <w:rsid w:val="00706A26"/>
    <w:rsid w:val="00706AB2"/>
    <w:rsid w:val="00706DDF"/>
    <w:rsid w:val="00706F3E"/>
    <w:rsid w:val="007079FC"/>
    <w:rsid w:val="00707AF6"/>
    <w:rsid w:val="00707E22"/>
    <w:rsid w:val="00710387"/>
    <w:rsid w:val="007103BF"/>
    <w:rsid w:val="0071086A"/>
    <w:rsid w:val="00710914"/>
    <w:rsid w:val="007110E5"/>
    <w:rsid w:val="00711366"/>
    <w:rsid w:val="00711923"/>
    <w:rsid w:val="00711A36"/>
    <w:rsid w:val="00711B26"/>
    <w:rsid w:val="00711F5A"/>
    <w:rsid w:val="00712000"/>
    <w:rsid w:val="007125D3"/>
    <w:rsid w:val="00712899"/>
    <w:rsid w:val="00712986"/>
    <w:rsid w:val="00712A27"/>
    <w:rsid w:val="00712A86"/>
    <w:rsid w:val="00712F6C"/>
    <w:rsid w:val="00713583"/>
    <w:rsid w:val="007136DD"/>
    <w:rsid w:val="00714638"/>
    <w:rsid w:val="00714751"/>
    <w:rsid w:val="00714C26"/>
    <w:rsid w:val="00715077"/>
    <w:rsid w:val="0071510C"/>
    <w:rsid w:val="0071529C"/>
    <w:rsid w:val="007152E6"/>
    <w:rsid w:val="00715C02"/>
    <w:rsid w:val="00715F21"/>
    <w:rsid w:val="0071611B"/>
    <w:rsid w:val="00716537"/>
    <w:rsid w:val="007170DA"/>
    <w:rsid w:val="0071719A"/>
    <w:rsid w:val="00717221"/>
    <w:rsid w:val="007172AD"/>
    <w:rsid w:val="00717546"/>
    <w:rsid w:val="00717A94"/>
    <w:rsid w:val="00717EA3"/>
    <w:rsid w:val="007206A1"/>
    <w:rsid w:val="00720801"/>
    <w:rsid w:val="00720C7B"/>
    <w:rsid w:val="00720D95"/>
    <w:rsid w:val="007213F2"/>
    <w:rsid w:val="007216F2"/>
    <w:rsid w:val="00721EA3"/>
    <w:rsid w:val="007223E9"/>
    <w:rsid w:val="00722B1B"/>
    <w:rsid w:val="00722F84"/>
    <w:rsid w:val="00722F9E"/>
    <w:rsid w:val="00723184"/>
    <w:rsid w:val="0072319B"/>
    <w:rsid w:val="00723A78"/>
    <w:rsid w:val="00723E19"/>
    <w:rsid w:val="0072416F"/>
    <w:rsid w:val="007242F7"/>
    <w:rsid w:val="00724579"/>
    <w:rsid w:val="00724712"/>
    <w:rsid w:val="00724BE4"/>
    <w:rsid w:val="00724F59"/>
    <w:rsid w:val="0072503A"/>
    <w:rsid w:val="007255D5"/>
    <w:rsid w:val="007255DC"/>
    <w:rsid w:val="007258DA"/>
    <w:rsid w:val="00725ADA"/>
    <w:rsid w:val="00725ADB"/>
    <w:rsid w:val="00725B6D"/>
    <w:rsid w:val="00725CD5"/>
    <w:rsid w:val="00726819"/>
    <w:rsid w:val="00726910"/>
    <w:rsid w:val="007271A5"/>
    <w:rsid w:val="00727A11"/>
    <w:rsid w:val="00727C94"/>
    <w:rsid w:val="00727ED1"/>
    <w:rsid w:val="007305AA"/>
    <w:rsid w:val="007309F4"/>
    <w:rsid w:val="00730FF1"/>
    <w:rsid w:val="00731675"/>
    <w:rsid w:val="00731B0A"/>
    <w:rsid w:val="00731EAE"/>
    <w:rsid w:val="007325EC"/>
    <w:rsid w:val="00732EB3"/>
    <w:rsid w:val="00733073"/>
    <w:rsid w:val="00733514"/>
    <w:rsid w:val="00733529"/>
    <w:rsid w:val="007335B7"/>
    <w:rsid w:val="007336D5"/>
    <w:rsid w:val="0073461D"/>
    <w:rsid w:val="00734EC5"/>
    <w:rsid w:val="00735033"/>
    <w:rsid w:val="00735328"/>
    <w:rsid w:val="00735518"/>
    <w:rsid w:val="007355BA"/>
    <w:rsid w:val="0073577B"/>
    <w:rsid w:val="007357B0"/>
    <w:rsid w:val="0073581B"/>
    <w:rsid w:val="007358F8"/>
    <w:rsid w:val="00736155"/>
    <w:rsid w:val="007365F1"/>
    <w:rsid w:val="0073685B"/>
    <w:rsid w:val="00736D10"/>
    <w:rsid w:val="00736D6D"/>
    <w:rsid w:val="00736F1B"/>
    <w:rsid w:val="00737002"/>
    <w:rsid w:val="0073713C"/>
    <w:rsid w:val="00737B15"/>
    <w:rsid w:val="00737DA3"/>
    <w:rsid w:val="00740670"/>
    <w:rsid w:val="0074081C"/>
    <w:rsid w:val="00740E83"/>
    <w:rsid w:val="00740F6A"/>
    <w:rsid w:val="00740FDB"/>
    <w:rsid w:val="00741CF1"/>
    <w:rsid w:val="00741DBE"/>
    <w:rsid w:val="00741F75"/>
    <w:rsid w:val="0074211C"/>
    <w:rsid w:val="0074267C"/>
    <w:rsid w:val="007428FA"/>
    <w:rsid w:val="00742D4E"/>
    <w:rsid w:val="00743697"/>
    <w:rsid w:val="007436B9"/>
    <w:rsid w:val="00743A29"/>
    <w:rsid w:val="00743CC7"/>
    <w:rsid w:val="007446C4"/>
    <w:rsid w:val="00744863"/>
    <w:rsid w:val="007449BF"/>
    <w:rsid w:val="00744BCB"/>
    <w:rsid w:val="00744D7F"/>
    <w:rsid w:val="00744DEA"/>
    <w:rsid w:val="00745502"/>
    <w:rsid w:val="007456C7"/>
    <w:rsid w:val="00745A17"/>
    <w:rsid w:val="00745B5F"/>
    <w:rsid w:val="00745E3B"/>
    <w:rsid w:val="007463FE"/>
    <w:rsid w:val="00746BC0"/>
    <w:rsid w:val="00746E1B"/>
    <w:rsid w:val="0074702B"/>
    <w:rsid w:val="00747151"/>
    <w:rsid w:val="00747578"/>
    <w:rsid w:val="00747A29"/>
    <w:rsid w:val="00747F55"/>
    <w:rsid w:val="007502DA"/>
    <w:rsid w:val="0075087D"/>
    <w:rsid w:val="00750A09"/>
    <w:rsid w:val="00750AAB"/>
    <w:rsid w:val="00750B3A"/>
    <w:rsid w:val="007510B4"/>
    <w:rsid w:val="0075213F"/>
    <w:rsid w:val="00752142"/>
    <w:rsid w:val="007521AD"/>
    <w:rsid w:val="007521D7"/>
    <w:rsid w:val="007523F9"/>
    <w:rsid w:val="00752727"/>
    <w:rsid w:val="007527F4"/>
    <w:rsid w:val="007528F0"/>
    <w:rsid w:val="0075357E"/>
    <w:rsid w:val="0075384A"/>
    <w:rsid w:val="007539DF"/>
    <w:rsid w:val="00753A37"/>
    <w:rsid w:val="00753B29"/>
    <w:rsid w:val="00753DA7"/>
    <w:rsid w:val="0075436A"/>
    <w:rsid w:val="007547F4"/>
    <w:rsid w:val="0075581D"/>
    <w:rsid w:val="00755DFD"/>
    <w:rsid w:val="0075667A"/>
    <w:rsid w:val="00757182"/>
    <w:rsid w:val="00757361"/>
    <w:rsid w:val="007573E8"/>
    <w:rsid w:val="007573EC"/>
    <w:rsid w:val="00757516"/>
    <w:rsid w:val="00757D8C"/>
    <w:rsid w:val="00760228"/>
    <w:rsid w:val="00760C4E"/>
    <w:rsid w:val="00760F9E"/>
    <w:rsid w:val="007615B4"/>
    <w:rsid w:val="007616E6"/>
    <w:rsid w:val="00761A7D"/>
    <w:rsid w:val="0076208B"/>
    <w:rsid w:val="007620DC"/>
    <w:rsid w:val="007627BE"/>
    <w:rsid w:val="00762D7D"/>
    <w:rsid w:val="00763905"/>
    <w:rsid w:val="00763D03"/>
    <w:rsid w:val="00763F07"/>
    <w:rsid w:val="0076427E"/>
    <w:rsid w:val="0076444A"/>
    <w:rsid w:val="00764538"/>
    <w:rsid w:val="00764562"/>
    <w:rsid w:val="0076462B"/>
    <w:rsid w:val="007646AC"/>
    <w:rsid w:val="0076476E"/>
    <w:rsid w:val="00764E82"/>
    <w:rsid w:val="00764F03"/>
    <w:rsid w:val="007655FB"/>
    <w:rsid w:val="00765B1A"/>
    <w:rsid w:val="00765D2E"/>
    <w:rsid w:val="00765DC1"/>
    <w:rsid w:val="0076630C"/>
    <w:rsid w:val="007664AE"/>
    <w:rsid w:val="00766A5E"/>
    <w:rsid w:val="00766B83"/>
    <w:rsid w:val="00766F42"/>
    <w:rsid w:val="007676A8"/>
    <w:rsid w:val="00767C53"/>
    <w:rsid w:val="00767E9B"/>
    <w:rsid w:val="0077066D"/>
    <w:rsid w:val="00770AFB"/>
    <w:rsid w:val="007716F4"/>
    <w:rsid w:val="00771CE5"/>
    <w:rsid w:val="007724BA"/>
    <w:rsid w:val="007724C7"/>
    <w:rsid w:val="007725B8"/>
    <w:rsid w:val="007727D1"/>
    <w:rsid w:val="007729D5"/>
    <w:rsid w:val="00772CD8"/>
    <w:rsid w:val="007730F4"/>
    <w:rsid w:val="00773152"/>
    <w:rsid w:val="0077346E"/>
    <w:rsid w:val="007738EA"/>
    <w:rsid w:val="00773BD2"/>
    <w:rsid w:val="00774325"/>
    <w:rsid w:val="00774499"/>
    <w:rsid w:val="00774CCF"/>
    <w:rsid w:val="00774FD7"/>
    <w:rsid w:val="007752B3"/>
    <w:rsid w:val="0077549C"/>
    <w:rsid w:val="00775C36"/>
    <w:rsid w:val="007760A7"/>
    <w:rsid w:val="00776298"/>
    <w:rsid w:val="007764C7"/>
    <w:rsid w:val="00776A57"/>
    <w:rsid w:val="00776BE1"/>
    <w:rsid w:val="00776D0B"/>
    <w:rsid w:val="00776EBF"/>
    <w:rsid w:val="00777335"/>
    <w:rsid w:val="007774EC"/>
    <w:rsid w:val="0078029C"/>
    <w:rsid w:val="007804B5"/>
    <w:rsid w:val="007808C7"/>
    <w:rsid w:val="007813DC"/>
    <w:rsid w:val="0078141C"/>
    <w:rsid w:val="00781799"/>
    <w:rsid w:val="00782007"/>
    <w:rsid w:val="007833FA"/>
    <w:rsid w:val="00783873"/>
    <w:rsid w:val="00783ACE"/>
    <w:rsid w:val="00783D4B"/>
    <w:rsid w:val="00783ED5"/>
    <w:rsid w:val="0078406F"/>
    <w:rsid w:val="0078434D"/>
    <w:rsid w:val="007843F2"/>
    <w:rsid w:val="007846FA"/>
    <w:rsid w:val="00784789"/>
    <w:rsid w:val="00784B52"/>
    <w:rsid w:val="00784D70"/>
    <w:rsid w:val="00784EFD"/>
    <w:rsid w:val="00785088"/>
    <w:rsid w:val="00785165"/>
    <w:rsid w:val="00785287"/>
    <w:rsid w:val="007857E9"/>
    <w:rsid w:val="00785A9F"/>
    <w:rsid w:val="00786046"/>
    <w:rsid w:val="007865FE"/>
    <w:rsid w:val="007866AD"/>
    <w:rsid w:val="00786724"/>
    <w:rsid w:val="00787070"/>
    <w:rsid w:val="00787765"/>
    <w:rsid w:val="0078780F"/>
    <w:rsid w:val="00787825"/>
    <w:rsid w:val="00787FA2"/>
    <w:rsid w:val="00790108"/>
    <w:rsid w:val="00790696"/>
    <w:rsid w:val="007907A4"/>
    <w:rsid w:val="00790874"/>
    <w:rsid w:val="00790BFF"/>
    <w:rsid w:val="00790C62"/>
    <w:rsid w:val="00790DF3"/>
    <w:rsid w:val="00791356"/>
    <w:rsid w:val="00791597"/>
    <w:rsid w:val="007917E0"/>
    <w:rsid w:val="007919CA"/>
    <w:rsid w:val="007923F5"/>
    <w:rsid w:val="007925DF"/>
    <w:rsid w:val="0079278D"/>
    <w:rsid w:val="007927C1"/>
    <w:rsid w:val="007927D3"/>
    <w:rsid w:val="007929A8"/>
    <w:rsid w:val="00793556"/>
    <w:rsid w:val="00793827"/>
    <w:rsid w:val="0079418D"/>
    <w:rsid w:val="00794230"/>
    <w:rsid w:val="00794B04"/>
    <w:rsid w:val="0079580C"/>
    <w:rsid w:val="00795881"/>
    <w:rsid w:val="007959E2"/>
    <w:rsid w:val="00795D85"/>
    <w:rsid w:val="0079607F"/>
    <w:rsid w:val="0079627F"/>
    <w:rsid w:val="00796965"/>
    <w:rsid w:val="007969E3"/>
    <w:rsid w:val="00796A17"/>
    <w:rsid w:val="00797258"/>
    <w:rsid w:val="00797284"/>
    <w:rsid w:val="00797299"/>
    <w:rsid w:val="0079752F"/>
    <w:rsid w:val="00797BFF"/>
    <w:rsid w:val="00797F9B"/>
    <w:rsid w:val="007A088E"/>
    <w:rsid w:val="007A08AA"/>
    <w:rsid w:val="007A0A12"/>
    <w:rsid w:val="007A0A53"/>
    <w:rsid w:val="007A0DA6"/>
    <w:rsid w:val="007A0E51"/>
    <w:rsid w:val="007A0F61"/>
    <w:rsid w:val="007A0FE0"/>
    <w:rsid w:val="007A1012"/>
    <w:rsid w:val="007A132D"/>
    <w:rsid w:val="007A1345"/>
    <w:rsid w:val="007A1CC2"/>
    <w:rsid w:val="007A2053"/>
    <w:rsid w:val="007A233A"/>
    <w:rsid w:val="007A264D"/>
    <w:rsid w:val="007A2DDB"/>
    <w:rsid w:val="007A3097"/>
    <w:rsid w:val="007A321C"/>
    <w:rsid w:val="007A3629"/>
    <w:rsid w:val="007A3A40"/>
    <w:rsid w:val="007A48CC"/>
    <w:rsid w:val="007A4E87"/>
    <w:rsid w:val="007A5302"/>
    <w:rsid w:val="007A55BB"/>
    <w:rsid w:val="007A56AE"/>
    <w:rsid w:val="007A5CCE"/>
    <w:rsid w:val="007A651A"/>
    <w:rsid w:val="007A65E2"/>
    <w:rsid w:val="007A6756"/>
    <w:rsid w:val="007A686A"/>
    <w:rsid w:val="007A70BA"/>
    <w:rsid w:val="007A71ED"/>
    <w:rsid w:val="007B048E"/>
    <w:rsid w:val="007B0D68"/>
    <w:rsid w:val="007B1A0D"/>
    <w:rsid w:val="007B1C5D"/>
    <w:rsid w:val="007B1E15"/>
    <w:rsid w:val="007B1ED2"/>
    <w:rsid w:val="007B2088"/>
    <w:rsid w:val="007B251D"/>
    <w:rsid w:val="007B2EAE"/>
    <w:rsid w:val="007B3533"/>
    <w:rsid w:val="007B3C15"/>
    <w:rsid w:val="007B41F0"/>
    <w:rsid w:val="007B448E"/>
    <w:rsid w:val="007B4F58"/>
    <w:rsid w:val="007B528D"/>
    <w:rsid w:val="007B5368"/>
    <w:rsid w:val="007B53C5"/>
    <w:rsid w:val="007B5629"/>
    <w:rsid w:val="007B59BA"/>
    <w:rsid w:val="007B5C6D"/>
    <w:rsid w:val="007B5E99"/>
    <w:rsid w:val="007B63CA"/>
    <w:rsid w:val="007B6583"/>
    <w:rsid w:val="007B699B"/>
    <w:rsid w:val="007B6C59"/>
    <w:rsid w:val="007B6C73"/>
    <w:rsid w:val="007B7678"/>
    <w:rsid w:val="007B77D1"/>
    <w:rsid w:val="007C011F"/>
    <w:rsid w:val="007C01B9"/>
    <w:rsid w:val="007C07C7"/>
    <w:rsid w:val="007C0A75"/>
    <w:rsid w:val="007C0EE9"/>
    <w:rsid w:val="007C10F4"/>
    <w:rsid w:val="007C141B"/>
    <w:rsid w:val="007C18FA"/>
    <w:rsid w:val="007C1CD9"/>
    <w:rsid w:val="007C23C4"/>
    <w:rsid w:val="007C2FA5"/>
    <w:rsid w:val="007C30D5"/>
    <w:rsid w:val="007C32EF"/>
    <w:rsid w:val="007C35DF"/>
    <w:rsid w:val="007C361D"/>
    <w:rsid w:val="007C3B1E"/>
    <w:rsid w:val="007C4498"/>
    <w:rsid w:val="007C44D9"/>
    <w:rsid w:val="007C4B84"/>
    <w:rsid w:val="007C4FC2"/>
    <w:rsid w:val="007C55DC"/>
    <w:rsid w:val="007C560C"/>
    <w:rsid w:val="007C5906"/>
    <w:rsid w:val="007C6322"/>
    <w:rsid w:val="007C66F7"/>
    <w:rsid w:val="007C68CB"/>
    <w:rsid w:val="007C6C87"/>
    <w:rsid w:val="007C6F85"/>
    <w:rsid w:val="007C70FF"/>
    <w:rsid w:val="007C72B8"/>
    <w:rsid w:val="007C77E3"/>
    <w:rsid w:val="007C7A10"/>
    <w:rsid w:val="007C7AEC"/>
    <w:rsid w:val="007C7B80"/>
    <w:rsid w:val="007C7BBB"/>
    <w:rsid w:val="007C7C25"/>
    <w:rsid w:val="007C7C97"/>
    <w:rsid w:val="007C7F40"/>
    <w:rsid w:val="007D004F"/>
    <w:rsid w:val="007D035F"/>
    <w:rsid w:val="007D06B2"/>
    <w:rsid w:val="007D0B38"/>
    <w:rsid w:val="007D0F88"/>
    <w:rsid w:val="007D1178"/>
    <w:rsid w:val="007D120F"/>
    <w:rsid w:val="007D13E2"/>
    <w:rsid w:val="007D151C"/>
    <w:rsid w:val="007D15F6"/>
    <w:rsid w:val="007D1958"/>
    <w:rsid w:val="007D1F1D"/>
    <w:rsid w:val="007D21A3"/>
    <w:rsid w:val="007D27F7"/>
    <w:rsid w:val="007D29C4"/>
    <w:rsid w:val="007D32AD"/>
    <w:rsid w:val="007D3C1F"/>
    <w:rsid w:val="007D4333"/>
    <w:rsid w:val="007D439E"/>
    <w:rsid w:val="007D4623"/>
    <w:rsid w:val="007D4EA2"/>
    <w:rsid w:val="007D540B"/>
    <w:rsid w:val="007D5440"/>
    <w:rsid w:val="007D59D8"/>
    <w:rsid w:val="007D5FD0"/>
    <w:rsid w:val="007D68C3"/>
    <w:rsid w:val="007D6954"/>
    <w:rsid w:val="007D69EB"/>
    <w:rsid w:val="007D6D3C"/>
    <w:rsid w:val="007D6FE8"/>
    <w:rsid w:val="007D7104"/>
    <w:rsid w:val="007D7922"/>
    <w:rsid w:val="007D7B94"/>
    <w:rsid w:val="007E0301"/>
    <w:rsid w:val="007E061A"/>
    <w:rsid w:val="007E1201"/>
    <w:rsid w:val="007E128F"/>
    <w:rsid w:val="007E130E"/>
    <w:rsid w:val="007E13BC"/>
    <w:rsid w:val="007E15A1"/>
    <w:rsid w:val="007E1F72"/>
    <w:rsid w:val="007E2789"/>
    <w:rsid w:val="007E2AA5"/>
    <w:rsid w:val="007E2BA6"/>
    <w:rsid w:val="007E3219"/>
    <w:rsid w:val="007E3363"/>
    <w:rsid w:val="007E3B5D"/>
    <w:rsid w:val="007E3BB3"/>
    <w:rsid w:val="007E3BF3"/>
    <w:rsid w:val="007E453D"/>
    <w:rsid w:val="007E458F"/>
    <w:rsid w:val="007E4594"/>
    <w:rsid w:val="007E4874"/>
    <w:rsid w:val="007E4A7E"/>
    <w:rsid w:val="007E4AFE"/>
    <w:rsid w:val="007E50E4"/>
    <w:rsid w:val="007E53E4"/>
    <w:rsid w:val="007E5CF1"/>
    <w:rsid w:val="007E5E02"/>
    <w:rsid w:val="007E5EC2"/>
    <w:rsid w:val="007E5F02"/>
    <w:rsid w:val="007E6254"/>
    <w:rsid w:val="007E62A2"/>
    <w:rsid w:val="007E6956"/>
    <w:rsid w:val="007E6977"/>
    <w:rsid w:val="007E6D12"/>
    <w:rsid w:val="007E6F13"/>
    <w:rsid w:val="007E7876"/>
    <w:rsid w:val="007E7CE8"/>
    <w:rsid w:val="007F014B"/>
    <w:rsid w:val="007F08DC"/>
    <w:rsid w:val="007F0F0D"/>
    <w:rsid w:val="007F1017"/>
    <w:rsid w:val="007F11AC"/>
    <w:rsid w:val="007F1A8A"/>
    <w:rsid w:val="007F1D85"/>
    <w:rsid w:val="007F2340"/>
    <w:rsid w:val="007F373E"/>
    <w:rsid w:val="007F3886"/>
    <w:rsid w:val="007F3887"/>
    <w:rsid w:val="007F393D"/>
    <w:rsid w:val="007F3B5A"/>
    <w:rsid w:val="007F42F8"/>
    <w:rsid w:val="007F4739"/>
    <w:rsid w:val="007F4A2D"/>
    <w:rsid w:val="007F4A3F"/>
    <w:rsid w:val="007F4A61"/>
    <w:rsid w:val="007F4B93"/>
    <w:rsid w:val="007F4B96"/>
    <w:rsid w:val="007F5255"/>
    <w:rsid w:val="007F5357"/>
    <w:rsid w:val="007F56CC"/>
    <w:rsid w:val="007F5BC5"/>
    <w:rsid w:val="007F5DDD"/>
    <w:rsid w:val="007F61C2"/>
    <w:rsid w:val="007F6593"/>
    <w:rsid w:val="007F6A65"/>
    <w:rsid w:val="007F6E69"/>
    <w:rsid w:val="007F7622"/>
    <w:rsid w:val="007F7927"/>
    <w:rsid w:val="007F7A81"/>
    <w:rsid w:val="007F7ADF"/>
    <w:rsid w:val="007F7B5E"/>
    <w:rsid w:val="007F7DD5"/>
    <w:rsid w:val="008006E3"/>
    <w:rsid w:val="00800D5A"/>
    <w:rsid w:val="008010DA"/>
    <w:rsid w:val="00801101"/>
    <w:rsid w:val="008011AE"/>
    <w:rsid w:val="00801687"/>
    <w:rsid w:val="00801BF8"/>
    <w:rsid w:val="00801FB8"/>
    <w:rsid w:val="008020CE"/>
    <w:rsid w:val="008026BB"/>
    <w:rsid w:val="00802969"/>
    <w:rsid w:val="00802E0A"/>
    <w:rsid w:val="00802E21"/>
    <w:rsid w:val="00802E38"/>
    <w:rsid w:val="0080316E"/>
    <w:rsid w:val="00803295"/>
    <w:rsid w:val="0080379B"/>
    <w:rsid w:val="00803804"/>
    <w:rsid w:val="00803F69"/>
    <w:rsid w:val="008043C1"/>
    <w:rsid w:val="00804413"/>
    <w:rsid w:val="00804A75"/>
    <w:rsid w:val="00804BAD"/>
    <w:rsid w:val="00804FB1"/>
    <w:rsid w:val="00805142"/>
    <w:rsid w:val="00805763"/>
    <w:rsid w:val="00805B03"/>
    <w:rsid w:val="00805E70"/>
    <w:rsid w:val="00805EBB"/>
    <w:rsid w:val="00805FCE"/>
    <w:rsid w:val="0080633A"/>
    <w:rsid w:val="0080680C"/>
    <w:rsid w:val="00807A8B"/>
    <w:rsid w:val="00807C0D"/>
    <w:rsid w:val="00807CF1"/>
    <w:rsid w:val="00807F43"/>
    <w:rsid w:val="00810CB2"/>
    <w:rsid w:val="00810EAB"/>
    <w:rsid w:val="00811081"/>
    <w:rsid w:val="00811383"/>
    <w:rsid w:val="0081138E"/>
    <w:rsid w:val="00811613"/>
    <w:rsid w:val="00811614"/>
    <w:rsid w:val="00811EDB"/>
    <w:rsid w:val="00812149"/>
    <w:rsid w:val="00812320"/>
    <w:rsid w:val="008125C8"/>
    <w:rsid w:val="008129E9"/>
    <w:rsid w:val="00812B82"/>
    <w:rsid w:val="00812CAC"/>
    <w:rsid w:val="00812E72"/>
    <w:rsid w:val="0081338F"/>
    <w:rsid w:val="00813985"/>
    <w:rsid w:val="00813B5B"/>
    <w:rsid w:val="008140DF"/>
    <w:rsid w:val="00814A82"/>
    <w:rsid w:val="00814AA2"/>
    <w:rsid w:val="00814C35"/>
    <w:rsid w:val="00814ED5"/>
    <w:rsid w:val="00814F13"/>
    <w:rsid w:val="00814F36"/>
    <w:rsid w:val="00816361"/>
    <w:rsid w:val="008166EF"/>
    <w:rsid w:val="00816F58"/>
    <w:rsid w:val="00816F9F"/>
    <w:rsid w:val="00816FEF"/>
    <w:rsid w:val="00817161"/>
    <w:rsid w:val="008171BC"/>
    <w:rsid w:val="008171FE"/>
    <w:rsid w:val="00817722"/>
    <w:rsid w:val="008179F0"/>
    <w:rsid w:val="00817A59"/>
    <w:rsid w:val="00817CD6"/>
    <w:rsid w:val="008200BA"/>
    <w:rsid w:val="008200FC"/>
    <w:rsid w:val="00820896"/>
    <w:rsid w:val="00820A8C"/>
    <w:rsid w:val="00820B6E"/>
    <w:rsid w:val="00820E16"/>
    <w:rsid w:val="008215E9"/>
    <w:rsid w:val="008215FB"/>
    <w:rsid w:val="008216EF"/>
    <w:rsid w:val="008216FA"/>
    <w:rsid w:val="0082196A"/>
    <w:rsid w:val="00821BF7"/>
    <w:rsid w:val="008220CC"/>
    <w:rsid w:val="00822381"/>
    <w:rsid w:val="00822942"/>
    <w:rsid w:val="00823071"/>
    <w:rsid w:val="00823119"/>
    <w:rsid w:val="00823174"/>
    <w:rsid w:val="00823355"/>
    <w:rsid w:val="00823936"/>
    <w:rsid w:val="0082432F"/>
    <w:rsid w:val="0082442A"/>
    <w:rsid w:val="008245D7"/>
    <w:rsid w:val="00824BCA"/>
    <w:rsid w:val="00825214"/>
    <w:rsid w:val="00825751"/>
    <w:rsid w:val="00825B87"/>
    <w:rsid w:val="00825F68"/>
    <w:rsid w:val="00825FE4"/>
    <w:rsid w:val="008264EB"/>
    <w:rsid w:val="008265FF"/>
    <w:rsid w:val="00826891"/>
    <w:rsid w:val="008268CE"/>
    <w:rsid w:val="008269CA"/>
    <w:rsid w:val="00826F28"/>
    <w:rsid w:val="00826FA4"/>
    <w:rsid w:val="00827060"/>
    <w:rsid w:val="0082733B"/>
    <w:rsid w:val="00827B92"/>
    <w:rsid w:val="00827C23"/>
    <w:rsid w:val="0083002F"/>
    <w:rsid w:val="00830075"/>
    <w:rsid w:val="00830389"/>
    <w:rsid w:val="008304D0"/>
    <w:rsid w:val="0083096F"/>
    <w:rsid w:val="00830AF4"/>
    <w:rsid w:val="00830B2D"/>
    <w:rsid w:val="00830C9D"/>
    <w:rsid w:val="00831004"/>
    <w:rsid w:val="008315B4"/>
    <w:rsid w:val="008317F0"/>
    <w:rsid w:val="008319C8"/>
    <w:rsid w:val="00831A0B"/>
    <w:rsid w:val="00831D81"/>
    <w:rsid w:val="00831DC7"/>
    <w:rsid w:val="008322B5"/>
    <w:rsid w:val="008322EE"/>
    <w:rsid w:val="008322F9"/>
    <w:rsid w:val="008326F1"/>
    <w:rsid w:val="00832C6F"/>
    <w:rsid w:val="008333F4"/>
    <w:rsid w:val="00833606"/>
    <w:rsid w:val="0083394F"/>
    <w:rsid w:val="00833B05"/>
    <w:rsid w:val="00833CD7"/>
    <w:rsid w:val="00834592"/>
    <w:rsid w:val="00834ED9"/>
    <w:rsid w:val="0083503B"/>
    <w:rsid w:val="00835749"/>
    <w:rsid w:val="0083593F"/>
    <w:rsid w:val="008359DA"/>
    <w:rsid w:val="00835C02"/>
    <w:rsid w:val="008360E7"/>
    <w:rsid w:val="008362B4"/>
    <w:rsid w:val="00836DBE"/>
    <w:rsid w:val="00836FAC"/>
    <w:rsid w:val="008370D3"/>
    <w:rsid w:val="0083736A"/>
    <w:rsid w:val="008377CF"/>
    <w:rsid w:val="008378CD"/>
    <w:rsid w:val="00837BD7"/>
    <w:rsid w:val="00837DDC"/>
    <w:rsid w:val="00840589"/>
    <w:rsid w:val="008407C4"/>
    <w:rsid w:val="00840B93"/>
    <w:rsid w:val="00840C17"/>
    <w:rsid w:val="00840CA2"/>
    <w:rsid w:val="0084124E"/>
    <w:rsid w:val="008413C0"/>
    <w:rsid w:val="008414B3"/>
    <w:rsid w:val="0084159B"/>
    <w:rsid w:val="0084183B"/>
    <w:rsid w:val="00841AFC"/>
    <w:rsid w:val="00842167"/>
    <w:rsid w:val="008430FD"/>
    <w:rsid w:val="00843482"/>
    <w:rsid w:val="0084374F"/>
    <w:rsid w:val="008440C3"/>
    <w:rsid w:val="0084410A"/>
    <w:rsid w:val="00844311"/>
    <w:rsid w:val="008445D8"/>
    <w:rsid w:val="00844A22"/>
    <w:rsid w:val="00844D3E"/>
    <w:rsid w:val="00844F0C"/>
    <w:rsid w:val="008452B3"/>
    <w:rsid w:val="008453AE"/>
    <w:rsid w:val="008455E7"/>
    <w:rsid w:val="00845751"/>
    <w:rsid w:val="00845A43"/>
    <w:rsid w:val="0084713D"/>
    <w:rsid w:val="00847141"/>
    <w:rsid w:val="00847605"/>
    <w:rsid w:val="00847703"/>
    <w:rsid w:val="00847900"/>
    <w:rsid w:val="00847B8E"/>
    <w:rsid w:val="00847DF5"/>
    <w:rsid w:val="00850356"/>
    <w:rsid w:val="00850386"/>
    <w:rsid w:val="008505A3"/>
    <w:rsid w:val="008507CE"/>
    <w:rsid w:val="008507ED"/>
    <w:rsid w:val="00850831"/>
    <w:rsid w:val="00850A24"/>
    <w:rsid w:val="00850B39"/>
    <w:rsid w:val="00850CE7"/>
    <w:rsid w:val="0085105B"/>
    <w:rsid w:val="008513CF"/>
    <w:rsid w:val="0085178C"/>
    <w:rsid w:val="00852524"/>
    <w:rsid w:val="0085278E"/>
    <w:rsid w:val="008528A1"/>
    <w:rsid w:val="00852E1E"/>
    <w:rsid w:val="00852F86"/>
    <w:rsid w:val="0085309D"/>
    <w:rsid w:val="008537E1"/>
    <w:rsid w:val="00853904"/>
    <w:rsid w:val="00853A6A"/>
    <w:rsid w:val="00853FE9"/>
    <w:rsid w:val="00854406"/>
    <w:rsid w:val="0085455D"/>
    <w:rsid w:val="0085497E"/>
    <w:rsid w:val="008549DA"/>
    <w:rsid w:val="00854CAF"/>
    <w:rsid w:val="00854FF8"/>
    <w:rsid w:val="00855410"/>
    <w:rsid w:val="0085565F"/>
    <w:rsid w:val="008556AB"/>
    <w:rsid w:val="00855DF6"/>
    <w:rsid w:val="00856391"/>
    <w:rsid w:val="00856897"/>
    <w:rsid w:val="00856902"/>
    <w:rsid w:val="00856A22"/>
    <w:rsid w:val="00856AA7"/>
    <w:rsid w:val="00856E9A"/>
    <w:rsid w:val="008570B7"/>
    <w:rsid w:val="008574D7"/>
    <w:rsid w:val="008579DC"/>
    <w:rsid w:val="00857A53"/>
    <w:rsid w:val="0086023F"/>
    <w:rsid w:val="0086059D"/>
    <w:rsid w:val="0086075D"/>
    <w:rsid w:val="00860F16"/>
    <w:rsid w:val="00860FA2"/>
    <w:rsid w:val="00861D6D"/>
    <w:rsid w:val="0086211D"/>
    <w:rsid w:val="0086236D"/>
    <w:rsid w:val="008624A0"/>
    <w:rsid w:val="00862502"/>
    <w:rsid w:val="00862699"/>
    <w:rsid w:val="00862876"/>
    <w:rsid w:val="00862A3A"/>
    <w:rsid w:val="00862CC1"/>
    <w:rsid w:val="0086328A"/>
    <w:rsid w:val="008637C5"/>
    <w:rsid w:val="00863923"/>
    <w:rsid w:val="00863AE1"/>
    <w:rsid w:val="00863D5C"/>
    <w:rsid w:val="008642A7"/>
    <w:rsid w:val="008643E7"/>
    <w:rsid w:val="00864974"/>
    <w:rsid w:val="00865216"/>
    <w:rsid w:val="008653B4"/>
    <w:rsid w:val="00865964"/>
    <w:rsid w:val="00865F0D"/>
    <w:rsid w:val="008660D4"/>
    <w:rsid w:val="00866541"/>
    <w:rsid w:val="0086685F"/>
    <w:rsid w:val="00867010"/>
    <w:rsid w:val="0086785F"/>
    <w:rsid w:val="00867CCA"/>
    <w:rsid w:val="00870239"/>
    <w:rsid w:val="0087027B"/>
    <w:rsid w:val="00870F40"/>
    <w:rsid w:val="008716B2"/>
    <w:rsid w:val="008717BF"/>
    <w:rsid w:val="00871CFD"/>
    <w:rsid w:val="00871FA9"/>
    <w:rsid w:val="00872538"/>
    <w:rsid w:val="008726E2"/>
    <w:rsid w:val="008728E9"/>
    <w:rsid w:val="00872A3F"/>
    <w:rsid w:val="00873370"/>
    <w:rsid w:val="0087339C"/>
    <w:rsid w:val="008738A3"/>
    <w:rsid w:val="00873D6C"/>
    <w:rsid w:val="00873F7B"/>
    <w:rsid w:val="00874037"/>
    <w:rsid w:val="008740EA"/>
    <w:rsid w:val="00874884"/>
    <w:rsid w:val="008748AB"/>
    <w:rsid w:val="00874A40"/>
    <w:rsid w:val="00874B90"/>
    <w:rsid w:val="00875175"/>
    <w:rsid w:val="00875A67"/>
    <w:rsid w:val="00876175"/>
    <w:rsid w:val="008761E8"/>
    <w:rsid w:val="00876AA9"/>
    <w:rsid w:val="008773DF"/>
    <w:rsid w:val="0087781F"/>
    <w:rsid w:val="00877B8F"/>
    <w:rsid w:val="00880004"/>
    <w:rsid w:val="008801CB"/>
    <w:rsid w:val="00880A2B"/>
    <w:rsid w:val="00880C78"/>
    <w:rsid w:val="00881425"/>
    <w:rsid w:val="00881448"/>
    <w:rsid w:val="00881976"/>
    <w:rsid w:val="008819B1"/>
    <w:rsid w:val="00881B85"/>
    <w:rsid w:val="0088227B"/>
    <w:rsid w:val="008826BF"/>
    <w:rsid w:val="00882874"/>
    <w:rsid w:val="00882E3C"/>
    <w:rsid w:val="0088308A"/>
    <w:rsid w:val="00883787"/>
    <w:rsid w:val="00883CFB"/>
    <w:rsid w:val="00883EF9"/>
    <w:rsid w:val="0088410F"/>
    <w:rsid w:val="008845D3"/>
    <w:rsid w:val="00885126"/>
    <w:rsid w:val="008855E4"/>
    <w:rsid w:val="0088578A"/>
    <w:rsid w:val="008859A6"/>
    <w:rsid w:val="008859E2"/>
    <w:rsid w:val="00885BC8"/>
    <w:rsid w:val="00885DC8"/>
    <w:rsid w:val="00886B98"/>
    <w:rsid w:val="00886CD2"/>
    <w:rsid w:val="00887733"/>
    <w:rsid w:val="008879D5"/>
    <w:rsid w:val="0089038B"/>
    <w:rsid w:val="0089056E"/>
    <w:rsid w:val="00890970"/>
    <w:rsid w:val="008909E5"/>
    <w:rsid w:val="00891217"/>
    <w:rsid w:val="0089160A"/>
    <w:rsid w:val="00891780"/>
    <w:rsid w:val="008917E3"/>
    <w:rsid w:val="00891936"/>
    <w:rsid w:val="00891D7D"/>
    <w:rsid w:val="00891E6F"/>
    <w:rsid w:val="00892112"/>
    <w:rsid w:val="00892513"/>
    <w:rsid w:val="00892661"/>
    <w:rsid w:val="0089275D"/>
    <w:rsid w:val="00892A36"/>
    <w:rsid w:val="00892A60"/>
    <w:rsid w:val="00892DEF"/>
    <w:rsid w:val="00893161"/>
    <w:rsid w:val="00893239"/>
    <w:rsid w:val="008932E4"/>
    <w:rsid w:val="00893362"/>
    <w:rsid w:val="00893772"/>
    <w:rsid w:val="0089389A"/>
    <w:rsid w:val="0089399D"/>
    <w:rsid w:val="008943BE"/>
    <w:rsid w:val="00894489"/>
    <w:rsid w:val="0089491D"/>
    <w:rsid w:val="00894CD6"/>
    <w:rsid w:val="00894E87"/>
    <w:rsid w:val="00895688"/>
    <w:rsid w:val="00895886"/>
    <w:rsid w:val="00895890"/>
    <w:rsid w:val="008963A5"/>
    <w:rsid w:val="008968FA"/>
    <w:rsid w:val="008968FB"/>
    <w:rsid w:val="00896D5D"/>
    <w:rsid w:val="00896E4B"/>
    <w:rsid w:val="00896ECF"/>
    <w:rsid w:val="008973CB"/>
    <w:rsid w:val="0089788F"/>
    <w:rsid w:val="00897C9C"/>
    <w:rsid w:val="008A04CD"/>
    <w:rsid w:val="008A0868"/>
    <w:rsid w:val="008A0CFB"/>
    <w:rsid w:val="008A1639"/>
    <w:rsid w:val="008A1822"/>
    <w:rsid w:val="008A1851"/>
    <w:rsid w:val="008A22B2"/>
    <w:rsid w:val="008A2381"/>
    <w:rsid w:val="008A24C5"/>
    <w:rsid w:val="008A2810"/>
    <w:rsid w:val="008A2DE6"/>
    <w:rsid w:val="008A2DFA"/>
    <w:rsid w:val="008A3158"/>
    <w:rsid w:val="008A322B"/>
    <w:rsid w:val="008A3363"/>
    <w:rsid w:val="008A3371"/>
    <w:rsid w:val="008A36B4"/>
    <w:rsid w:val="008A3C3E"/>
    <w:rsid w:val="008A3DA3"/>
    <w:rsid w:val="008A3F01"/>
    <w:rsid w:val="008A43B0"/>
    <w:rsid w:val="008A44D6"/>
    <w:rsid w:val="008A4817"/>
    <w:rsid w:val="008A494F"/>
    <w:rsid w:val="008A4DEA"/>
    <w:rsid w:val="008A5237"/>
    <w:rsid w:val="008A5B5F"/>
    <w:rsid w:val="008A6213"/>
    <w:rsid w:val="008A62DA"/>
    <w:rsid w:val="008A6633"/>
    <w:rsid w:val="008A6D5D"/>
    <w:rsid w:val="008A6D7D"/>
    <w:rsid w:val="008A712C"/>
    <w:rsid w:val="008A73FF"/>
    <w:rsid w:val="008A75A4"/>
    <w:rsid w:val="008A76E4"/>
    <w:rsid w:val="008A79DE"/>
    <w:rsid w:val="008A7FBF"/>
    <w:rsid w:val="008B02A3"/>
    <w:rsid w:val="008B062B"/>
    <w:rsid w:val="008B06C1"/>
    <w:rsid w:val="008B070A"/>
    <w:rsid w:val="008B07E3"/>
    <w:rsid w:val="008B0D0E"/>
    <w:rsid w:val="008B1757"/>
    <w:rsid w:val="008B1A0C"/>
    <w:rsid w:val="008B1C33"/>
    <w:rsid w:val="008B1D92"/>
    <w:rsid w:val="008B2B45"/>
    <w:rsid w:val="008B2E1E"/>
    <w:rsid w:val="008B2E24"/>
    <w:rsid w:val="008B3024"/>
    <w:rsid w:val="008B3074"/>
    <w:rsid w:val="008B35A4"/>
    <w:rsid w:val="008B35DA"/>
    <w:rsid w:val="008B3723"/>
    <w:rsid w:val="008B3ED8"/>
    <w:rsid w:val="008B4580"/>
    <w:rsid w:val="008B4681"/>
    <w:rsid w:val="008B4B6F"/>
    <w:rsid w:val="008B5508"/>
    <w:rsid w:val="008B5B48"/>
    <w:rsid w:val="008B5C05"/>
    <w:rsid w:val="008B654D"/>
    <w:rsid w:val="008B68FB"/>
    <w:rsid w:val="008B7992"/>
    <w:rsid w:val="008B7A47"/>
    <w:rsid w:val="008B7D7E"/>
    <w:rsid w:val="008B7E25"/>
    <w:rsid w:val="008C06EF"/>
    <w:rsid w:val="008C0C08"/>
    <w:rsid w:val="008C0DE6"/>
    <w:rsid w:val="008C122C"/>
    <w:rsid w:val="008C1234"/>
    <w:rsid w:val="008C125A"/>
    <w:rsid w:val="008C13B4"/>
    <w:rsid w:val="008C15F9"/>
    <w:rsid w:val="008C1B03"/>
    <w:rsid w:val="008C1F35"/>
    <w:rsid w:val="008C25F4"/>
    <w:rsid w:val="008C28FB"/>
    <w:rsid w:val="008C29A7"/>
    <w:rsid w:val="008C2D99"/>
    <w:rsid w:val="008C2E0E"/>
    <w:rsid w:val="008C3578"/>
    <w:rsid w:val="008C38AA"/>
    <w:rsid w:val="008C3F6F"/>
    <w:rsid w:val="008C434E"/>
    <w:rsid w:val="008C49E9"/>
    <w:rsid w:val="008C51DA"/>
    <w:rsid w:val="008C5610"/>
    <w:rsid w:val="008C5739"/>
    <w:rsid w:val="008C57F3"/>
    <w:rsid w:val="008C5CA3"/>
    <w:rsid w:val="008C5E29"/>
    <w:rsid w:val="008C6486"/>
    <w:rsid w:val="008C6731"/>
    <w:rsid w:val="008C6EA9"/>
    <w:rsid w:val="008C7282"/>
    <w:rsid w:val="008C7ECB"/>
    <w:rsid w:val="008D0173"/>
    <w:rsid w:val="008D07A5"/>
    <w:rsid w:val="008D150A"/>
    <w:rsid w:val="008D2846"/>
    <w:rsid w:val="008D2AFD"/>
    <w:rsid w:val="008D2DD3"/>
    <w:rsid w:val="008D2EC2"/>
    <w:rsid w:val="008D2F89"/>
    <w:rsid w:val="008D39BF"/>
    <w:rsid w:val="008D3B86"/>
    <w:rsid w:val="008D3BE0"/>
    <w:rsid w:val="008D3C04"/>
    <w:rsid w:val="008D43FD"/>
    <w:rsid w:val="008D4755"/>
    <w:rsid w:val="008D4C3D"/>
    <w:rsid w:val="008D534E"/>
    <w:rsid w:val="008D58C3"/>
    <w:rsid w:val="008D6560"/>
    <w:rsid w:val="008D6712"/>
    <w:rsid w:val="008D696D"/>
    <w:rsid w:val="008D7104"/>
    <w:rsid w:val="008D72E3"/>
    <w:rsid w:val="008D743C"/>
    <w:rsid w:val="008D7484"/>
    <w:rsid w:val="008D779D"/>
    <w:rsid w:val="008D7B24"/>
    <w:rsid w:val="008E0219"/>
    <w:rsid w:val="008E082D"/>
    <w:rsid w:val="008E0877"/>
    <w:rsid w:val="008E0D3C"/>
    <w:rsid w:val="008E1346"/>
    <w:rsid w:val="008E142A"/>
    <w:rsid w:val="008E1818"/>
    <w:rsid w:val="008E1B9E"/>
    <w:rsid w:val="008E1D84"/>
    <w:rsid w:val="008E2209"/>
    <w:rsid w:val="008E2606"/>
    <w:rsid w:val="008E28C9"/>
    <w:rsid w:val="008E2AD2"/>
    <w:rsid w:val="008E2DCD"/>
    <w:rsid w:val="008E3B10"/>
    <w:rsid w:val="008E3C89"/>
    <w:rsid w:val="008E4A6F"/>
    <w:rsid w:val="008E4A8D"/>
    <w:rsid w:val="008E5193"/>
    <w:rsid w:val="008E55AB"/>
    <w:rsid w:val="008E5873"/>
    <w:rsid w:val="008E589B"/>
    <w:rsid w:val="008E5C86"/>
    <w:rsid w:val="008E5F01"/>
    <w:rsid w:val="008E5FFC"/>
    <w:rsid w:val="008E6495"/>
    <w:rsid w:val="008E64CE"/>
    <w:rsid w:val="008E6B28"/>
    <w:rsid w:val="008E7AE9"/>
    <w:rsid w:val="008E7F89"/>
    <w:rsid w:val="008F014C"/>
    <w:rsid w:val="008F0749"/>
    <w:rsid w:val="008F07F9"/>
    <w:rsid w:val="008F0997"/>
    <w:rsid w:val="008F0EE5"/>
    <w:rsid w:val="008F120A"/>
    <w:rsid w:val="008F1376"/>
    <w:rsid w:val="008F166C"/>
    <w:rsid w:val="008F1929"/>
    <w:rsid w:val="008F1B81"/>
    <w:rsid w:val="008F22F6"/>
    <w:rsid w:val="008F241A"/>
    <w:rsid w:val="008F27DD"/>
    <w:rsid w:val="008F27E0"/>
    <w:rsid w:val="008F393B"/>
    <w:rsid w:val="008F3BCC"/>
    <w:rsid w:val="008F3F63"/>
    <w:rsid w:val="008F4332"/>
    <w:rsid w:val="008F4579"/>
    <w:rsid w:val="008F45D1"/>
    <w:rsid w:val="008F48EB"/>
    <w:rsid w:val="008F4DEC"/>
    <w:rsid w:val="008F4F0B"/>
    <w:rsid w:val="008F53CD"/>
    <w:rsid w:val="008F57F6"/>
    <w:rsid w:val="008F5C06"/>
    <w:rsid w:val="008F6904"/>
    <w:rsid w:val="008F6E70"/>
    <w:rsid w:val="008F6E7D"/>
    <w:rsid w:val="008F7048"/>
    <w:rsid w:val="008F71BE"/>
    <w:rsid w:val="008F77A9"/>
    <w:rsid w:val="008F7DAA"/>
    <w:rsid w:val="00900AB1"/>
    <w:rsid w:val="00900DE1"/>
    <w:rsid w:val="00902894"/>
    <w:rsid w:val="0090304A"/>
    <w:rsid w:val="009031DC"/>
    <w:rsid w:val="00903203"/>
    <w:rsid w:val="009035C2"/>
    <w:rsid w:val="009038E7"/>
    <w:rsid w:val="00903BBD"/>
    <w:rsid w:val="00903FBF"/>
    <w:rsid w:val="009040C4"/>
    <w:rsid w:val="00904162"/>
    <w:rsid w:val="00904663"/>
    <w:rsid w:val="009046C4"/>
    <w:rsid w:val="00905466"/>
    <w:rsid w:val="00905D4F"/>
    <w:rsid w:val="00905D7A"/>
    <w:rsid w:val="009062A5"/>
    <w:rsid w:val="0090632D"/>
    <w:rsid w:val="0090692B"/>
    <w:rsid w:val="0090709E"/>
    <w:rsid w:val="0090713E"/>
    <w:rsid w:val="009072B0"/>
    <w:rsid w:val="00907699"/>
    <w:rsid w:val="0090784D"/>
    <w:rsid w:val="009079F4"/>
    <w:rsid w:val="00907B30"/>
    <w:rsid w:val="00907FA5"/>
    <w:rsid w:val="009102C5"/>
    <w:rsid w:val="00910A4E"/>
    <w:rsid w:val="00910CFD"/>
    <w:rsid w:val="00910FA7"/>
    <w:rsid w:val="00911272"/>
    <w:rsid w:val="00911339"/>
    <w:rsid w:val="0091151B"/>
    <w:rsid w:val="009115B4"/>
    <w:rsid w:val="009118CB"/>
    <w:rsid w:val="00911AE2"/>
    <w:rsid w:val="009121DF"/>
    <w:rsid w:val="0091290E"/>
    <w:rsid w:val="009133FA"/>
    <w:rsid w:val="0091342F"/>
    <w:rsid w:val="009135D6"/>
    <w:rsid w:val="009136AC"/>
    <w:rsid w:val="009137FD"/>
    <w:rsid w:val="0091399F"/>
    <w:rsid w:val="00913BC5"/>
    <w:rsid w:val="00913C68"/>
    <w:rsid w:val="00914237"/>
    <w:rsid w:val="009146B3"/>
    <w:rsid w:val="00914B7F"/>
    <w:rsid w:val="00914C77"/>
    <w:rsid w:val="009154E9"/>
    <w:rsid w:val="00915AEC"/>
    <w:rsid w:val="00915B4D"/>
    <w:rsid w:val="00915BF2"/>
    <w:rsid w:val="0091618A"/>
    <w:rsid w:val="009162EF"/>
    <w:rsid w:val="009162F5"/>
    <w:rsid w:val="00916397"/>
    <w:rsid w:val="009163D5"/>
    <w:rsid w:val="009163EB"/>
    <w:rsid w:val="009169FB"/>
    <w:rsid w:val="0091723E"/>
    <w:rsid w:val="00917555"/>
    <w:rsid w:val="00917BA8"/>
    <w:rsid w:val="00917F20"/>
    <w:rsid w:val="00920223"/>
    <w:rsid w:val="0092024A"/>
    <w:rsid w:val="009202D3"/>
    <w:rsid w:val="00920D61"/>
    <w:rsid w:val="00920F78"/>
    <w:rsid w:val="009216CA"/>
    <w:rsid w:val="009216D3"/>
    <w:rsid w:val="009217F8"/>
    <w:rsid w:val="00921ACB"/>
    <w:rsid w:val="00921E8B"/>
    <w:rsid w:val="00922508"/>
    <w:rsid w:val="00922A37"/>
    <w:rsid w:val="00922A96"/>
    <w:rsid w:val="00922CDB"/>
    <w:rsid w:val="009233B6"/>
    <w:rsid w:val="0092346C"/>
    <w:rsid w:val="0092369B"/>
    <w:rsid w:val="009238C6"/>
    <w:rsid w:val="00923FEC"/>
    <w:rsid w:val="00924042"/>
    <w:rsid w:val="009243B3"/>
    <w:rsid w:val="00924574"/>
    <w:rsid w:val="00924913"/>
    <w:rsid w:val="00924C0F"/>
    <w:rsid w:val="0092507F"/>
    <w:rsid w:val="0092539E"/>
    <w:rsid w:val="00925444"/>
    <w:rsid w:val="00925DBB"/>
    <w:rsid w:val="00926457"/>
    <w:rsid w:val="0092667D"/>
    <w:rsid w:val="00926B6D"/>
    <w:rsid w:val="009278C0"/>
    <w:rsid w:val="00927D7A"/>
    <w:rsid w:val="009300ED"/>
    <w:rsid w:val="00930276"/>
    <w:rsid w:val="009302C0"/>
    <w:rsid w:val="0093070C"/>
    <w:rsid w:val="00930981"/>
    <w:rsid w:val="00930E86"/>
    <w:rsid w:val="0093122C"/>
    <w:rsid w:val="0093159E"/>
    <w:rsid w:val="00931928"/>
    <w:rsid w:val="0093201F"/>
    <w:rsid w:val="00932511"/>
    <w:rsid w:val="00932C7F"/>
    <w:rsid w:val="009339A9"/>
    <w:rsid w:val="00933AF0"/>
    <w:rsid w:val="00934173"/>
    <w:rsid w:val="009344F6"/>
    <w:rsid w:val="00934986"/>
    <w:rsid w:val="00934988"/>
    <w:rsid w:val="00934C0F"/>
    <w:rsid w:val="00934C59"/>
    <w:rsid w:val="0093538A"/>
    <w:rsid w:val="00935605"/>
    <w:rsid w:val="009360F7"/>
    <w:rsid w:val="009362A1"/>
    <w:rsid w:val="0093667E"/>
    <w:rsid w:val="009367CC"/>
    <w:rsid w:val="00936803"/>
    <w:rsid w:val="00937089"/>
    <w:rsid w:val="009378B4"/>
    <w:rsid w:val="00937B4C"/>
    <w:rsid w:val="00937C0A"/>
    <w:rsid w:val="00940732"/>
    <w:rsid w:val="0094084F"/>
    <w:rsid w:val="00940AD8"/>
    <w:rsid w:val="00940E15"/>
    <w:rsid w:val="0094126C"/>
    <w:rsid w:val="009419B5"/>
    <w:rsid w:val="00941B7F"/>
    <w:rsid w:val="00941F2F"/>
    <w:rsid w:val="00942892"/>
    <w:rsid w:val="00943B2C"/>
    <w:rsid w:val="00944266"/>
    <w:rsid w:val="00944511"/>
    <w:rsid w:val="009447C3"/>
    <w:rsid w:val="00944CAF"/>
    <w:rsid w:val="00944F8A"/>
    <w:rsid w:val="0094530A"/>
    <w:rsid w:val="00945935"/>
    <w:rsid w:val="00946152"/>
    <w:rsid w:val="009464D4"/>
    <w:rsid w:val="00946C87"/>
    <w:rsid w:val="00946D0A"/>
    <w:rsid w:val="009474CC"/>
    <w:rsid w:val="00947B78"/>
    <w:rsid w:val="00947C56"/>
    <w:rsid w:val="0095037A"/>
    <w:rsid w:val="00950454"/>
    <w:rsid w:val="009506EE"/>
    <w:rsid w:val="0095099A"/>
    <w:rsid w:val="00950B83"/>
    <w:rsid w:val="009510A2"/>
    <w:rsid w:val="00951103"/>
    <w:rsid w:val="009511A6"/>
    <w:rsid w:val="00951BB8"/>
    <w:rsid w:val="00951ED4"/>
    <w:rsid w:val="009527C9"/>
    <w:rsid w:val="009528E4"/>
    <w:rsid w:val="009529EE"/>
    <w:rsid w:val="00952B55"/>
    <w:rsid w:val="00952B6E"/>
    <w:rsid w:val="00952D3F"/>
    <w:rsid w:val="00953257"/>
    <w:rsid w:val="0095355C"/>
    <w:rsid w:val="00953B4B"/>
    <w:rsid w:val="00953DF1"/>
    <w:rsid w:val="00954318"/>
    <w:rsid w:val="009544C9"/>
    <w:rsid w:val="0095474C"/>
    <w:rsid w:val="009548D9"/>
    <w:rsid w:val="009549FE"/>
    <w:rsid w:val="00955007"/>
    <w:rsid w:val="00955A18"/>
    <w:rsid w:val="00955BC3"/>
    <w:rsid w:val="00956456"/>
    <w:rsid w:val="00956823"/>
    <w:rsid w:val="00956C30"/>
    <w:rsid w:val="0095762A"/>
    <w:rsid w:val="00957707"/>
    <w:rsid w:val="00957D92"/>
    <w:rsid w:val="00957E7B"/>
    <w:rsid w:val="00957F1D"/>
    <w:rsid w:val="00960018"/>
    <w:rsid w:val="00960042"/>
    <w:rsid w:val="009605DB"/>
    <w:rsid w:val="00960C78"/>
    <w:rsid w:val="00961575"/>
    <w:rsid w:val="00961975"/>
    <w:rsid w:val="00961E10"/>
    <w:rsid w:val="00962299"/>
    <w:rsid w:val="00962CB9"/>
    <w:rsid w:val="009631BF"/>
    <w:rsid w:val="00963AEF"/>
    <w:rsid w:val="00964312"/>
    <w:rsid w:val="00964BC3"/>
    <w:rsid w:val="00965B8A"/>
    <w:rsid w:val="00965D38"/>
    <w:rsid w:val="00965E36"/>
    <w:rsid w:val="00965F92"/>
    <w:rsid w:val="009664F1"/>
    <w:rsid w:val="00966B2C"/>
    <w:rsid w:val="00967B1F"/>
    <w:rsid w:val="0097071F"/>
    <w:rsid w:val="00970804"/>
    <w:rsid w:val="00970C94"/>
    <w:rsid w:val="00970E2E"/>
    <w:rsid w:val="009717AC"/>
    <w:rsid w:val="00972607"/>
    <w:rsid w:val="00972824"/>
    <w:rsid w:val="0097310E"/>
    <w:rsid w:val="0097337D"/>
    <w:rsid w:val="0097339C"/>
    <w:rsid w:val="009737D9"/>
    <w:rsid w:val="00973A04"/>
    <w:rsid w:val="00973A47"/>
    <w:rsid w:val="00973AEB"/>
    <w:rsid w:val="0097463E"/>
    <w:rsid w:val="009746BF"/>
    <w:rsid w:val="00974854"/>
    <w:rsid w:val="009748A4"/>
    <w:rsid w:val="00974B7A"/>
    <w:rsid w:val="00974F74"/>
    <w:rsid w:val="009751C1"/>
    <w:rsid w:val="009753B2"/>
    <w:rsid w:val="00975416"/>
    <w:rsid w:val="009754F1"/>
    <w:rsid w:val="00975D33"/>
    <w:rsid w:val="0097604D"/>
    <w:rsid w:val="00976625"/>
    <w:rsid w:val="009767C6"/>
    <w:rsid w:val="00977249"/>
    <w:rsid w:val="009778DB"/>
    <w:rsid w:val="00977D30"/>
    <w:rsid w:val="00977D98"/>
    <w:rsid w:val="00977F1B"/>
    <w:rsid w:val="00977F51"/>
    <w:rsid w:val="00977F7E"/>
    <w:rsid w:val="00980319"/>
    <w:rsid w:val="0098040F"/>
    <w:rsid w:val="009811F1"/>
    <w:rsid w:val="0098157B"/>
    <w:rsid w:val="00981DBE"/>
    <w:rsid w:val="00981EAE"/>
    <w:rsid w:val="009821BF"/>
    <w:rsid w:val="009827DA"/>
    <w:rsid w:val="00982AFA"/>
    <w:rsid w:val="00983257"/>
    <w:rsid w:val="009833A2"/>
    <w:rsid w:val="009833D4"/>
    <w:rsid w:val="009835A5"/>
    <w:rsid w:val="00983C14"/>
    <w:rsid w:val="00983E57"/>
    <w:rsid w:val="00983E8F"/>
    <w:rsid w:val="00984134"/>
    <w:rsid w:val="009844AF"/>
    <w:rsid w:val="00984898"/>
    <w:rsid w:val="009848B3"/>
    <w:rsid w:val="00984934"/>
    <w:rsid w:val="00985690"/>
    <w:rsid w:val="00985958"/>
    <w:rsid w:val="00985DE2"/>
    <w:rsid w:val="0098675D"/>
    <w:rsid w:val="00986CE2"/>
    <w:rsid w:val="00986DA9"/>
    <w:rsid w:val="00987186"/>
    <w:rsid w:val="0098738B"/>
    <w:rsid w:val="00987491"/>
    <w:rsid w:val="00987BA4"/>
    <w:rsid w:val="00990318"/>
    <w:rsid w:val="00991683"/>
    <w:rsid w:val="0099236E"/>
    <w:rsid w:val="009926E0"/>
    <w:rsid w:val="009929A7"/>
    <w:rsid w:val="0099393B"/>
    <w:rsid w:val="00993A60"/>
    <w:rsid w:val="00993AB3"/>
    <w:rsid w:val="00993B89"/>
    <w:rsid w:val="00993CB3"/>
    <w:rsid w:val="00993F37"/>
    <w:rsid w:val="00993FD1"/>
    <w:rsid w:val="0099402F"/>
    <w:rsid w:val="00994114"/>
    <w:rsid w:val="00994145"/>
    <w:rsid w:val="009944FF"/>
    <w:rsid w:val="0099451E"/>
    <w:rsid w:val="00994635"/>
    <w:rsid w:val="00994E75"/>
    <w:rsid w:val="00994F4E"/>
    <w:rsid w:val="00996498"/>
    <w:rsid w:val="009968CF"/>
    <w:rsid w:val="00996B1A"/>
    <w:rsid w:val="00996C75"/>
    <w:rsid w:val="00996E32"/>
    <w:rsid w:val="0099759A"/>
    <w:rsid w:val="00997729"/>
    <w:rsid w:val="009979AF"/>
    <w:rsid w:val="00997DBB"/>
    <w:rsid w:val="00997EC7"/>
    <w:rsid w:val="009A0CF3"/>
    <w:rsid w:val="009A0FE0"/>
    <w:rsid w:val="009A1000"/>
    <w:rsid w:val="009A18F6"/>
    <w:rsid w:val="009A20E7"/>
    <w:rsid w:val="009A2D46"/>
    <w:rsid w:val="009A2DCC"/>
    <w:rsid w:val="009A30C0"/>
    <w:rsid w:val="009A30F6"/>
    <w:rsid w:val="009A3131"/>
    <w:rsid w:val="009A3658"/>
    <w:rsid w:val="009A3A4C"/>
    <w:rsid w:val="009A4437"/>
    <w:rsid w:val="009A4FC8"/>
    <w:rsid w:val="009A562B"/>
    <w:rsid w:val="009A5ABC"/>
    <w:rsid w:val="009A5CE1"/>
    <w:rsid w:val="009A74C6"/>
    <w:rsid w:val="009A7F10"/>
    <w:rsid w:val="009B0008"/>
    <w:rsid w:val="009B06A5"/>
    <w:rsid w:val="009B0F34"/>
    <w:rsid w:val="009B0FA0"/>
    <w:rsid w:val="009B129A"/>
    <w:rsid w:val="009B1310"/>
    <w:rsid w:val="009B170A"/>
    <w:rsid w:val="009B17AF"/>
    <w:rsid w:val="009B18AD"/>
    <w:rsid w:val="009B2F1F"/>
    <w:rsid w:val="009B347F"/>
    <w:rsid w:val="009B3E26"/>
    <w:rsid w:val="009B3E8A"/>
    <w:rsid w:val="009B3F69"/>
    <w:rsid w:val="009B404F"/>
    <w:rsid w:val="009B41F4"/>
    <w:rsid w:val="009B42E2"/>
    <w:rsid w:val="009B4641"/>
    <w:rsid w:val="009B4D9C"/>
    <w:rsid w:val="009B52CC"/>
    <w:rsid w:val="009B5A2F"/>
    <w:rsid w:val="009B5F04"/>
    <w:rsid w:val="009B6352"/>
    <w:rsid w:val="009B63B3"/>
    <w:rsid w:val="009B6D63"/>
    <w:rsid w:val="009B7600"/>
    <w:rsid w:val="009B7689"/>
    <w:rsid w:val="009C0435"/>
    <w:rsid w:val="009C06F9"/>
    <w:rsid w:val="009C084D"/>
    <w:rsid w:val="009C1271"/>
    <w:rsid w:val="009C163C"/>
    <w:rsid w:val="009C1940"/>
    <w:rsid w:val="009C1B99"/>
    <w:rsid w:val="009C1E0F"/>
    <w:rsid w:val="009C1EA1"/>
    <w:rsid w:val="009C25F2"/>
    <w:rsid w:val="009C2732"/>
    <w:rsid w:val="009C2DCA"/>
    <w:rsid w:val="009C2F99"/>
    <w:rsid w:val="009C3020"/>
    <w:rsid w:val="009C3540"/>
    <w:rsid w:val="009C3706"/>
    <w:rsid w:val="009C378A"/>
    <w:rsid w:val="009C3A3A"/>
    <w:rsid w:val="009C4521"/>
    <w:rsid w:val="009C4563"/>
    <w:rsid w:val="009C4596"/>
    <w:rsid w:val="009C4BCC"/>
    <w:rsid w:val="009C4CB3"/>
    <w:rsid w:val="009C4CF6"/>
    <w:rsid w:val="009C4DA4"/>
    <w:rsid w:val="009C51D4"/>
    <w:rsid w:val="009C52FD"/>
    <w:rsid w:val="009C549E"/>
    <w:rsid w:val="009C55BE"/>
    <w:rsid w:val="009C6134"/>
    <w:rsid w:val="009C6360"/>
    <w:rsid w:val="009C693F"/>
    <w:rsid w:val="009C6A6F"/>
    <w:rsid w:val="009C6CEA"/>
    <w:rsid w:val="009C6E5F"/>
    <w:rsid w:val="009C7137"/>
    <w:rsid w:val="009C725C"/>
    <w:rsid w:val="009C76ED"/>
    <w:rsid w:val="009C7B85"/>
    <w:rsid w:val="009C7F67"/>
    <w:rsid w:val="009D0180"/>
    <w:rsid w:val="009D0254"/>
    <w:rsid w:val="009D0942"/>
    <w:rsid w:val="009D0BA4"/>
    <w:rsid w:val="009D0D98"/>
    <w:rsid w:val="009D15C6"/>
    <w:rsid w:val="009D1761"/>
    <w:rsid w:val="009D1A64"/>
    <w:rsid w:val="009D234A"/>
    <w:rsid w:val="009D2622"/>
    <w:rsid w:val="009D28CD"/>
    <w:rsid w:val="009D2BEE"/>
    <w:rsid w:val="009D2C40"/>
    <w:rsid w:val="009D3099"/>
    <w:rsid w:val="009D3765"/>
    <w:rsid w:val="009D379B"/>
    <w:rsid w:val="009D39C3"/>
    <w:rsid w:val="009D3ADB"/>
    <w:rsid w:val="009D3F29"/>
    <w:rsid w:val="009D4319"/>
    <w:rsid w:val="009D4746"/>
    <w:rsid w:val="009D491A"/>
    <w:rsid w:val="009D4934"/>
    <w:rsid w:val="009D5B91"/>
    <w:rsid w:val="009D6391"/>
    <w:rsid w:val="009D651A"/>
    <w:rsid w:val="009D6E43"/>
    <w:rsid w:val="009D792E"/>
    <w:rsid w:val="009D7D11"/>
    <w:rsid w:val="009D7FA1"/>
    <w:rsid w:val="009E004E"/>
    <w:rsid w:val="009E0066"/>
    <w:rsid w:val="009E0435"/>
    <w:rsid w:val="009E07BD"/>
    <w:rsid w:val="009E0820"/>
    <w:rsid w:val="009E0A11"/>
    <w:rsid w:val="009E0DFE"/>
    <w:rsid w:val="009E1270"/>
    <w:rsid w:val="009E1BEE"/>
    <w:rsid w:val="009E1DF6"/>
    <w:rsid w:val="009E1E3B"/>
    <w:rsid w:val="009E1F06"/>
    <w:rsid w:val="009E1F70"/>
    <w:rsid w:val="009E2527"/>
    <w:rsid w:val="009E31F6"/>
    <w:rsid w:val="009E36BF"/>
    <w:rsid w:val="009E3783"/>
    <w:rsid w:val="009E37B7"/>
    <w:rsid w:val="009E4649"/>
    <w:rsid w:val="009E4A5F"/>
    <w:rsid w:val="009E4C07"/>
    <w:rsid w:val="009E5358"/>
    <w:rsid w:val="009E53F9"/>
    <w:rsid w:val="009E5C26"/>
    <w:rsid w:val="009E5EA5"/>
    <w:rsid w:val="009E5FBD"/>
    <w:rsid w:val="009E6116"/>
    <w:rsid w:val="009E6471"/>
    <w:rsid w:val="009E6A34"/>
    <w:rsid w:val="009E6D99"/>
    <w:rsid w:val="009E70D9"/>
    <w:rsid w:val="009E7253"/>
    <w:rsid w:val="009E76B8"/>
    <w:rsid w:val="009E777F"/>
    <w:rsid w:val="009E7E50"/>
    <w:rsid w:val="009E7E72"/>
    <w:rsid w:val="009E7EFE"/>
    <w:rsid w:val="009F0382"/>
    <w:rsid w:val="009F0559"/>
    <w:rsid w:val="009F05D3"/>
    <w:rsid w:val="009F0615"/>
    <w:rsid w:val="009F0753"/>
    <w:rsid w:val="009F11D2"/>
    <w:rsid w:val="009F15B9"/>
    <w:rsid w:val="009F1E21"/>
    <w:rsid w:val="009F23DE"/>
    <w:rsid w:val="009F240B"/>
    <w:rsid w:val="009F274F"/>
    <w:rsid w:val="009F2C07"/>
    <w:rsid w:val="009F2DCB"/>
    <w:rsid w:val="009F395D"/>
    <w:rsid w:val="009F3D36"/>
    <w:rsid w:val="009F4849"/>
    <w:rsid w:val="009F502D"/>
    <w:rsid w:val="009F5660"/>
    <w:rsid w:val="009F56C5"/>
    <w:rsid w:val="009F5FA4"/>
    <w:rsid w:val="009F60BA"/>
    <w:rsid w:val="009F6120"/>
    <w:rsid w:val="009F69F5"/>
    <w:rsid w:val="009F6B9A"/>
    <w:rsid w:val="009F6C4C"/>
    <w:rsid w:val="009F72CE"/>
    <w:rsid w:val="009F7EDA"/>
    <w:rsid w:val="00A005AA"/>
    <w:rsid w:val="00A00D76"/>
    <w:rsid w:val="00A01184"/>
    <w:rsid w:val="00A01405"/>
    <w:rsid w:val="00A01449"/>
    <w:rsid w:val="00A01479"/>
    <w:rsid w:val="00A01608"/>
    <w:rsid w:val="00A017D1"/>
    <w:rsid w:val="00A01A76"/>
    <w:rsid w:val="00A01DFF"/>
    <w:rsid w:val="00A02285"/>
    <w:rsid w:val="00A032D3"/>
    <w:rsid w:val="00A0338C"/>
    <w:rsid w:val="00A037C2"/>
    <w:rsid w:val="00A03D43"/>
    <w:rsid w:val="00A03D84"/>
    <w:rsid w:val="00A03D87"/>
    <w:rsid w:val="00A03F08"/>
    <w:rsid w:val="00A0410B"/>
    <w:rsid w:val="00A04380"/>
    <w:rsid w:val="00A0443F"/>
    <w:rsid w:val="00A04786"/>
    <w:rsid w:val="00A04A23"/>
    <w:rsid w:val="00A04D0E"/>
    <w:rsid w:val="00A04D14"/>
    <w:rsid w:val="00A05472"/>
    <w:rsid w:val="00A05695"/>
    <w:rsid w:val="00A05C32"/>
    <w:rsid w:val="00A05D77"/>
    <w:rsid w:val="00A05DAA"/>
    <w:rsid w:val="00A05DF7"/>
    <w:rsid w:val="00A0637A"/>
    <w:rsid w:val="00A0653F"/>
    <w:rsid w:val="00A06879"/>
    <w:rsid w:val="00A06B03"/>
    <w:rsid w:val="00A06CC9"/>
    <w:rsid w:val="00A070AE"/>
    <w:rsid w:val="00A075C2"/>
    <w:rsid w:val="00A078EF"/>
    <w:rsid w:val="00A07A5D"/>
    <w:rsid w:val="00A07BB1"/>
    <w:rsid w:val="00A07DEA"/>
    <w:rsid w:val="00A101AA"/>
    <w:rsid w:val="00A10227"/>
    <w:rsid w:val="00A10264"/>
    <w:rsid w:val="00A10815"/>
    <w:rsid w:val="00A11142"/>
    <w:rsid w:val="00A11223"/>
    <w:rsid w:val="00A11720"/>
    <w:rsid w:val="00A11A9D"/>
    <w:rsid w:val="00A11CD0"/>
    <w:rsid w:val="00A11DE0"/>
    <w:rsid w:val="00A11E4F"/>
    <w:rsid w:val="00A12585"/>
    <w:rsid w:val="00A12631"/>
    <w:rsid w:val="00A12824"/>
    <w:rsid w:val="00A12871"/>
    <w:rsid w:val="00A13948"/>
    <w:rsid w:val="00A13959"/>
    <w:rsid w:val="00A13BB6"/>
    <w:rsid w:val="00A14081"/>
    <w:rsid w:val="00A140CD"/>
    <w:rsid w:val="00A1555B"/>
    <w:rsid w:val="00A155C5"/>
    <w:rsid w:val="00A156DA"/>
    <w:rsid w:val="00A159FB"/>
    <w:rsid w:val="00A15A52"/>
    <w:rsid w:val="00A16177"/>
    <w:rsid w:val="00A165B0"/>
    <w:rsid w:val="00A165DC"/>
    <w:rsid w:val="00A16AD8"/>
    <w:rsid w:val="00A16B90"/>
    <w:rsid w:val="00A16CBD"/>
    <w:rsid w:val="00A16E53"/>
    <w:rsid w:val="00A16F50"/>
    <w:rsid w:val="00A1743C"/>
    <w:rsid w:val="00A17AF9"/>
    <w:rsid w:val="00A2021E"/>
    <w:rsid w:val="00A20B2E"/>
    <w:rsid w:val="00A2110A"/>
    <w:rsid w:val="00A211EE"/>
    <w:rsid w:val="00A21601"/>
    <w:rsid w:val="00A21BD1"/>
    <w:rsid w:val="00A21C95"/>
    <w:rsid w:val="00A21CF3"/>
    <w:rsid w:val="00A22768"/>
    <w:rsid w:val="00A22774"/>
    <w:rsid w:val="00A2284B"/>
    <w:rsid w:val="00A22BFE"/>
    <w:rsid w:val="00A23546"/>
    <w:rsid w:val="00A236C6"/>
    <w:rsid w:val="00A236D1"/>
    <w:rsid w:val="00A23B25"/>
    <w:rsid w:val="00A23C54"/>
    <w:rsid w:val="00A2422F"/>
    <w:rsid w:val="00A24813"/>
    <w:rsid w:val="00A25779"/>
    <w:rsid w:val="00A25AEE"/>
    <w:rsid w:val="00A25C9A"/>
    <w:rsid w:val="00A25CCD"/>
    <w:rsid w:val="00A25F0D"/>
    <w:rsid w:val="00A25F8A"/>
    <w:rsid w:val="00A2642E"/>
    <w:rsid w:val="00A26DEA"/>
    <w:rsid w:val="00A27AEC"/>
    <w:rsid w:val="00A27B27"/>
    <w:rsid w:val="00A27F98"/>
    <w:rsid w:val="00A302B6"/>
    <w:rsid w:val="00A30358"/>
    <w:rsid w:val="00A30A3D"/>
    <w:rsid w:val="00A30EEC"/>
    <w:rsid w:val="00A313A5"/>
    <w:rsid w:val="00A31973"/>
    <w:rsid w:val="00A31EB1"/>
    <w:rsid w:val="00A32053"/>
    <w:rsid w:val="00A320DB"/>
    <w:rsid w:val="00A3216A"/>
    <w:rsid w:val="00A323F3"/>
    <w:rsid w:val="00A32542"/>
    <w:rsid w:val="00A32DD3"/>
    <w:rsid w:val="00A33044"/>
    <w:rsid w:val="00A34221"/>
    <w:rsid w:val="00A34245"/>
    <w:rsid w:val="00A357D1"/>
    <w:rsid w:val="00A35946"/>
    <w:rsid w:val="00A35D16"/>
    <w:rsid w:val="00A362B4"/>
    <w:rsid w:val="00A3636C"/>
    <w:rsid w:val="00A367B8"/>
    <w:rsid w:val="00A369C1"/>
    <w:rsid w:val="00A37A95"/>
    <w:rsid w:val="00A37BCD"/>
    <w:rsid w:val="00A37D83"/>
    <w:rsid w:val="00A37E05"/>
    <w:rsid w:val="00A37F8A"/>
    <w:rsid w:val="00A400C8"/>
    <w:rsid w:val="00A40FB7"/>
    <w:rsid w:val="00A411F8"/>
    <w:rsid w:val="00A41689"/>
    <w:rsid w:val="00A416AB"/>
    <w:rsid w:val="00A41908"/>
    <w:rsid w:val="00A41C74"/>
    <w:rsid w:val="00A41F22"/>
    <w:rsid w:val="00A4220C"/>
    <w:rsid w:val="00A42255"/>
    <w:rsid w:val="00A422F2"/>
    <w:rsid w:val="00A42592"/>
    <w:rsid w:val="00A42779"/>
    <w:rsid w:val="00A42927"/>
    <w:rsid w:val="00A42A1C"/>
    <w:rsid w:val="00A42C89"/>
    <w:rsid w:val="00A4304B"/>
    <w:rsid w:val="00A4313B"/>
    <w:rsid w:val="00A43285"/>
    <w:rsid w:val="00A4367B"/>
    <w:rsid w:val="00A43A0A"/>
    <w:rsid w:val="00A43A38"/>
    <w:rsid w:val="00A43A9E"/>
    <w:rsid w:val="00A43C59"/>
    <w:rsid w:val="00A4411F"/>
    <w:rsid w:val="00A44B10"/>
    <w:rsid w:val="00A4566C"/>
    <w:rsid w:val="00A458BD"/>
    <w:rsid w:val="00A458CB"/>
    <w:rsid w:val="00A46195"/>
    <w:rsid w:val="00A466A8"/>
    <w:rsid w:val="00A46CA9"/>
    <w:rsid w:val="00A46CE4"/>
    <w:rsid w:val="00A50279"/>
    <w:rsid w:val="00A503CC"/>
    <w:rsid w:val="00A5073F"/>
    <w:rsid w:val="00A508BF"/>
    <w:rsid w:val="00A50A98"/>
    <w:rsid w:val="00A50ECD"/>
    <w:rsid w:val="00A518F3"/>
    <w:rsid w:val="00A52058"/>
    <w:rsid w:val="00A52608"/>
    <w:rsid w:val="00A52729"/>
    <w:rsid w:val="00A52CBF"/>
    <w:rsid w:val="00A52EB1"/>
    <w:rsid w:val="00A52EF9"/>
    <w:rsid w:val="00A533C0"/>
    <w:rsid w:val="00A53457"/>
    <w:rsid w:val="00A53675"/>
    <w:rsid w:val="00A5385E"/>
    <w:rsid w:val="00A53888"/>
    <w:rsid w:val="00A539FA"/>
    <w:rsid w:val="00A53A47"/>
    <w:rsid w:val="00A53C80"/>
    <w:rsid w:val="00A53FD7"/>
    <w:rsid w:val="00A54ECB"/>
    <w:rsid w:val="00A5528E"/>
    <w:rsid w:val="00A556F3"/>
    <w:rsid w:val="00A558F8"/>
    <w:rsid w:val="00A55E60"/>
    <w:rsid w:val="00A564D7"/>
    <w:rsid w:val="00A56B6A"/>
    <w:rsid w:val="00A57751"/>
    <w:rsid w:val="00A578DC"/>
    <w:rsid w:val="00A57A60"/>
    <w:rsid w:val="00A57B84"/>
    <w:rsid w:val="00A602AB"/>
    <w:rsid w:val="00A6080F"/>
    <w:rsid w:val="00A60A4D"/>
    <w:rsid w:val="00A60C74"/>
    <w:rsid w:val="00A60F85"/>
    <w:rsid w:val="00A61F19"/>
    <w:rsid w:val="00A62657"/>
    <w:rsid w:val="00A62C75"/>
    <w:rsid w:val="00A635B2"/>
    <w:rsid w:val="00A640E2"/>
    <w:rsid w:val="00A6415E"/>
    <w:rsid w:val="00A64786"/>
    <w:rsid w:val="00A64A1C"/>
    <w:rsid w:val="00A64AB7"/>
    <w:rsid w:val="00A64CCB"/>
    <w:rsid w:val="00A64D65"/>
    <w:rsid w:val="00A64EC9"/>
    <w:rsid w:val="00A64EF4"/>
    <w:rsid w:val="00A655C0"/>
    <w:rsid w:val="00A65B91"/>
    <w:rsid w:val="00A668BA"/>
    <w:rsid w:val="00A66A93"/>
    <w:rsid w:val="00A67058"/>
    <w:rsid w:val="00A6725B"/>
    <w:rsid w:val="00A6747D"/>
    <w:rsid w:val="00A674A2"/>
    <w:rsid w:val="00A67ADE"/>
    <w:rsid w:val="00A67AE6"/>
    <w:rsid w:val="00A67EA4"/>
    <w:rsid w:val="00A67F43"/>
    <w:rsid w:val="00A705CD"/>
    <w:rsid w:val="00A70605"/>
    <w:rsid w:val="00A70C46"/>
    <w:rsid w:val="00A71548"/>
    <w:rsid w:val="00A71584"/>
    <w:rsid w:val="00A71C9E"/>
    <w:rsid w:val="00A71FDF"/>
    <w:rsid w:val="00A7200D"/>
    <w:rsid w:val="00A72241"/>
    <w:rsid w:val="00A72288"/>
    <w:rsid w:val="00A728A7"/>
    <w:rsid w:val="00A72AE8"/>
    <w:rsid w:val="00A73134"/>
    <w:rsid w:val="00A73485"/>
    <w:rsid w:val="00A735C5"/>
    <w:rsid w:val="00A73603"/>
    <w:rsid w:val="00A7365A"/>
    <w:rsid w:val="00A7448A"/>
    <w:rsid w:val="00A74EB2"/>
    <w:rsid w:val="00A75455"/>
    <w:rsid w:val="00A7571E"/>
    <w:rsid w:val="00A75A10"/>
    <w:rsid w:val="00A75EA4"/>
    <w:rsid w:val="00A76001"/>
    <w:rsid w:val="00A76134"/>
    <w:rsid w:val="00A7633E"/>
    <w:rsid w:val="00A76644"/>
    <w:rsid w:val="00A76E85"/>
    <w:rsid w:val="00A76FED"/>
    <w:rsid w:val="00A7719A"/>
    <w:rsid w:val="00A7737E"/>
    <w:rsid w:val="00A77529"/>
    <w:rsid w:val="00A775B5"/>
    <w:rsid w:val="00A7768B"/>
    <w:rsid w:val="00A777B2"/>
    <w:rsid w:val="00A77A4D"/>
    <w:rsid w:val="00A77BAD"/>
    <w:rsid w:val="00A77BD1"/>
    <w:rsid w:val="00A8076E"/>
    <w:rsid w:val="00A8098F"/>
    <w:rsid w:val="00A80B68"/>
    <w:rsid w:val="00A80CDA"/>
    <w:rsid w:val="00A80CEA"/>
    <w:rsid w:val="00A8158A"/>
    <w:rsid w:val="00A817D3"/>
    <w:rsid w:val="00A81EE5"/>
    <w:rsid w:val="00A821AD"/>
    <w:rsid w:val="00A822AE"/>
    <w:rsid w:val="00A825D4"/>
    <w:rsid w:val="00A826C3"/>
    <w:rsid w:val="00A828F6"/>
    <w:rsid w:val="00A82B73"/>
    <w:rsid w:val="00A8307C"/>
    <w:rsid w:val="00A834B6"/>
    <w:rsid w:val="00A842A0"/>
    <w:rsid w:val="00A84616"/>
    <w:rsid w:val="00A84632"/>
    <w:rsid w:val="00A8486F"/>
    <w:rsid w:val="00A84969"/>
    <w:rsid w:val="00A857D5"/>
    <w:rsid w:val="00A85EA9"/>
    <w:rsid w:val="00A86644"/>
    <w:rsid w:val="00A86D43"/>
    <w:rsid w:val="00A86E7E"/>
    <w:rsid w:val="00A86E8B"/>
    <w:rsid w:val="00A86F90"/>
    <w:rsid w:val="00A870A6"/>
    <w:rsid w:val="00A870AD"/>
    <w:rsid w:val="00A87164"/>
    <w:rsid w:val="00A871A9"/>
    <w:rsid w:val="00A8737C"/>
    <w:rsid w:val="00A875C3"/>
    <w:rsid w:val="00A87685"/>
    <w:rsid w:val="00A87820"/>
    <w:rsid w:val="00A87925"/>
    <w:rsid w:val="00A87DE1"/>
    <w:rsid w:val="00A908E1"/>
    <w:rsid w:val="00A90F1A"/>
    <w:rsid w:val="00A9127C"/>
    <w:rsid w:val="00A91514"/>
    <w:rsid w:val="00A9180D"/>
    <w:rsid w:val="00A9194B"/>
    <w:rsid w:val="00A91C67"/>
    <w:rsid w:val="00A92350"/>
    <w:rsid w:val="00A93072"/>
    <w:rsid w:val="00A93339"/>
    <w:rsid w:val="00A9350A"/>
    <w:rsid w:val="00A936CD"/>
    <w:rsid w:val="00A938BD"/>
    <w:rsid w:val="00A938D0"/>
    <w:rsid w:val="00A93953"/>
    <w:rsid w:val="00A93DB0"/>
    <w:rsid w:val="00A93DCD"/>
    <w:rsid w:val="00A947F3"/>
    <w:rsid w:val="00A95229"/>
    <w:rsid w:val="00A956BD"/>
    <w:rsid w:val="00A95705"/>
    <w:rsid w:val="00A958BF"/>
    <w:rsid w:val="00A95923"/>
    <w:rsid w:val="00A959D8"/>
    <w:rsid w:val="00A95DEA"/>
    <w:rsid w:val="00A96650"/>
    <w:rsid w:val="00A967DF"/>
    <w:rsid w:val="00A97590"/>
    <w:rsid w:val="00A97BD7"/>
    <w:rsid w:val="00A97FCD"/>
    <w:rsid w:val="00AA01F6"/>
    <w:rsid w:val="00AA0FF9"/>
    <w:rsid w:val="00AA113D"/>
    <w:rsid w:val="00AA1A94"/>
    <w:rsid w:val="00AA1C17"/>
    <w:rsid w:val="00AA2217"/>
    <w:rsid w:val="00AA23A2"/>
    <w:rsid w:val="00AA2987"/>
    <w:rsid w:val="00AA2D15"/>
    <w:rsid w:val="00AA352A"/>
    <w:rsid w:val="00AA3560"/>
    <w:rsid w:val="00AA3B87"/>
    <w:rsid w:val="00AA3D3D"/>
    <w:rsid w:val="00AA3EB3"/>
    <w:rsid w:val="00AA43D9"/>
    <w:rsid w:val="00AA44F9"/>
    <w:rsid w:val="00AA4E07"/>
    <w:rsid w:val="00AA4EDA"/>
    <w:rsid w:val="00AA500A"/>
    <w:rsid w:val="00AA5251"/>
    <w:rsid w:val="00AA5302"/>
    <w:rsid w:val="00AA54E5"/>
    <w:rsid w:val="00AA5E8C"/>
    <w:rsid w:val="00AA6738"/>
    <w:rsid w:val="00AA6811"/>
    <w:rsid w:val="00AA6A85"/>
    <w:rsid w:val="00AA6BD5"/>
    <w:rsid w:val="00AA6BD8"/>
    <w:rsid w:val="00AA6C7D"/>
    <w:rsid w:val="00AA77D0"/>
    <w:rsid w:val="00AA789A"/>
    <w:rsid w:val="00AA7A1C"/>
    <w:rsid w:val="00AA7FD6"/>
    <w:rsid w:val="00AB042A"/>
    <w:rsid w:val="00AB0D56"/>
    <w:rsid w:val="00AB11AD"/>
    <w:rsid w:val="00AB1422"/>
    <w:rsid w:val="00AB19EF"/>
    <w:rsid w:val="00AB1B1C"/>
    <w:rsid w:val="00AB1C57"/>
    <w:rsid w:val="00AB1F84"/>
    <w:rsid w:val="00AB2495"/>
    <w:rsid w:val="00AB26AB"/>
    <w:rsid w:val="00AB2AAA"/>
    <w:rsid w:val="00AB2AF2"/>
    <w:rsid w:val="00AB2D34"/>
    <w:rsid w:val="00AB2EF0"/>
    <w:rsid w:val="00AB3430"/>
    <w:rsid w:val="00AB3704"/>
    <w:rsid w:val="00AB37B9"/>
    <w:rsid w:val="00AB3856"/>
    <w:rsid w:val="00AB3C8A"/>
    <w:rsid w:val="00AB3EAC"/>
    <w:rsid w:val="00AB4AD1"/>
    <w:rsid w:val="00AB523F"/>
    <w:rsid w:val="00AB54CA"/>
    <w:rsid w:val="00AB553F"/>
    <w:rsid w:val="00AB582B"/>
    <w:rsid w:val="00AB584B"/>
    <w:rsid w:val="00AB5E07"/>
    <w:rsid w:val="00AB5FAE"/>
    <w:rsid w:val="00AB64E3"/>
    <w:rsid w:val="00AB65DD"/>
    <w:rsid w:val="00AB6AAC"/>
    <w:rsid w:val="00AB6C93"/>
    <w:rsid w:val="00AB71AF"/>
    <w:rsid w:val="00AB725E"/>
    <w:rsid w:val="00AB7260"/>
    <w:rsid w:val="00AB757E"/>
    <w:rsid w:val="00AB765F"/>
    <w:rsid w:val="00AB7CFA"/>
    <w:rsid w:val="00AC04CF"/>
    <w:rsid w:val="00AC065D"/>
    <w:rsid w:val="00AC072E"/>
    <w:rsid w:val="00AC0C7B"/>
    <w:rsid w:val="00AC1457"/>
    <w:rsid w:val="00AC152C"/>
    <w:rsid w:val="00AC1C37"/>
    <w:rsid w:val="00AC2044"/>
    <w:rsid w:val="00AC2773"/>
    <w:rsid w:val="00AC2E27"/>
    <w:rsid w:val="00AC312D"/>
    <w:rsid w:val="00AC36B4"/>
    <w:rsid w:val="00AC3853"/>
    <w:rsid w:val="00AC390B"/>
    <w:rsid w:val="00AC3D80"/>
    <w:rsid w:val="00AC4137"/>
    <w:rsid w:val="00AC5451"/>
    <w:rsid w:val="00AC57D4"/>
    <w:rsid w:val="00AC5B42"/>
    <w:rsid w:val="00AC5B48"/>
    <w:rsid w:val="00AC6386"/>
    <w:rsid w:val="00AC6403"/>
    <w:rsid w:val="00AC6449"/>
    <w:rsid w:val="00AC65AB"/>
    <w:rsid w:val="00AC699C"/>
    <w:rsid w:val="00AC6D75"/>
    <w:rsid w:val="00AC6F70"/>
    <w:rsid w:val="00AC6F7A"/>
    <w:rsid w:val="00AC72D2"/>
    <w:rsid w:val="00AC74A0"/>
    <w:rsid w:val="00AC7C0E"/>
    <w:rsid w:val="00AC7C58"/>
    <w:rsid w:val="00AD0147"/>
    <w:rsid w:val="00AD0611"/>
    <w:rsid w:val="00AD0830"/>
    <w:rsid w:val="00AD0A94"/>
    <w:rsid w:val="00AD0C58"/>
    <w:rsid w:val="00AD0C7D"/>
    <w:rsid w:val="00AD0FF9"/>
    <w:rsid w:val="00AD1450"/>
    <w:rsid w:val="00AD15E8"/>
    <w:rsid w:val="00AD19A2"/>
    <w:rsid w:val="00AD1C78"/>
    <w:rsid w:val="00AD2D89"/>
    <w:rsid w:val="00AD3009"/>
    <w:rsid w:val="00AD356D"/>
    <w:rsid w:val="00AD3D6A"/>
    <w:rsid w:val="00AD3FDE"/>
    <w:rsid w:val="00AD3FF9"/>
    <w:rsid w:val="00AD4321"/>
    <w:rsid w:val="00AD4F53"/>
    <w:rsid w:val="00AD4F81"/>
    <w:rsid w:val="00AD4FE6"/>
    <w:rsid w:val="00AD5470"/>
    <w:rsid w:val="00AD5D1B"/>
    <w:rsid w:val="00AD6502"/>
    <w:rsid w:val="00AD6907"/>
    <w:rsid w:val="00AD6B13"/>
    <w:rsid w:val="00AD6DDC"/>
    <w:rsid w:val="00AD7944"/>
    <w:rsid w:val="00AD7A36"/>
    <w:rsid w:val="00AD7E2E"/>
    <w:rsid w:val="00AD7F47"/>
    <w:rsid w:val="00AE03F2"/>
    <w:rsid w:val="00AE0695"/>
    <w:rsid w:val="00AE085F"/>
    <w:rsid w:val="00AE0AFA"/>
    <w:rsid w:val="00AE0B94"/>
    <w:rsid w:val="00AE1084"/>
    <w:rsid w:val="00AE1516"/>
    <w:rsid w:val="00AE20AC"/>
    <w:rsid w:val="00AE20D8"/>
    <w:rsid w:val="00AE24BF"/>
    <w:rsid w:val="00AE28EE"/>
    <w:rsid w:val="00AE3210"/>
    <w:rsid w:val="00AE3AD2"/>
    <w:rsid w:val="00AE3E7E"/>
    <w:rsid w:val="00AE3E9A"/>
    <w:rsid w:val="00AE3ED7"/>
    <w:rsid w:val="00AE3F0A"/>
    <w:rsid w:val="00AE472E"/>
    <w:rsid w:val="00AE4B71"/>
    <w:rsid w:val="00AE4DE6"/>
    <w:rsid w:val="00AE5E12"/>
    <w:rsid w:val="00AE64BA"/>
    <w:rsid w:val="00AE65D8"/>
    <w:rsid w:val="00AE787D"/>
    <w:rsid w:val="00AE7DB6"/>
    <w:rsid w:val="00AE7E13"/>
    <w:rsid w:val="00AE7E53"/>
    <w:rsid w:val="00AF00FA"/>
    <w:rsid w:val="00AF05BA"/>
    <w:rsid w:val="00AF08CB"/>
    <w:rsid w:val="00AF1216"/>
    <w:rsid w:val="00AF1247"/>
    <w:rsid w:val="00AF1289"/>
    <w:rsid w:val="00AF1315"/>
    <w:rsid w:val="00AF19BF"/>
    <w:rsid w:val="00AF1F52"/>
    <w:rsid w:val="00AF2042"/>
    <w:rsid w:val="00AF2113"/>
    <w:rsid w:val="00AF213F"/>
    <w:rsid w:val="00AF2276"/>
    <w:rsid w:val="00AF2321"/>
    <w:rsid w:val="00AF2C02"/>
    <w:rsid w:val="00AF2DC3"/>
    <w:rsid w:val="00AF2DCA"/>
    <w:rsid w:val="00AF2F61"/>
    <w:rsid w:val="00AF36B0"/>
    <w:rsid w:val="00AF3E59"/>
    <w:rsid w:val="00AF3E6F"/>
    <w:rsid w:val="00AF4208"/>
    <w:rsid w:val="00AF43EF"/>
    <w:rsid w:val="00AF45EE"/>
    <w:rsid w:val="00AF4B6C"/>
    <w:rsid w:val="00AF502B"/>
    <w:rsid w:val="00AF55F2"/>
    <w:rsid w:val="00AF5858"/>
    <w:rsid w:val="00AF5C34"/>
    <w:rsid w:val="00AF62E1"/>
    <w:rsid w:val="00AF6F5D"/>
    <w:rsid w:val="00AF7112"/>
    <w:rsid w:val="00AF728A"/>
    <w:rsid w:val="00AF7C75"/>
    <w:rsid w:val="00AF7F35"/>
    <w:rsid w:val="00B002A8"/>
    <w:rsid w:val="00B00320"/>
    <w:rsid w:val="00B01061"/>
    <w:rsid w:val="00B0211F"/>
    <w:rsid w:val="00B021BB"/>
    <w:rsid w:val="00B02B04"/>
    <w:rsid w:val="00B02E77"/>
    <w:rsid w:val="00B0302F"/>
    <w:rsid w:val="00B03392"/>
    <w:rsid w:val="00B033E5"/>
    <w:rsid w:val="00B03474"/>
    <w:rsid w:val="00B03A3A"/>
    <w:rsid w:val="00B03A63"/>
    <w:rsid w:val="00B03DE1"/>
    <w:rsid w:val="00B04B42"/>
    <w:rsid w:val="00B04EFE"/>
    <w:rsid w:val="00B04F73"/>
    <w:rsid w:val="00B0501D"/>
    <w:rsid w:val="00B058B8"/>
    <w:rsid w:val="00B05C79"/>
    <w:rsid w:val="00B06534"/>
    <w:rsid w:val="00B069AF"/>
    <w:rsid w:val="00B070FC"/>
    <w:rsid w:val="00B072E3"/>
    <w:rsid w:val="00B076DD"/>
    <w:rsid w:val="00B07C3B"/>
    <w:rsid w:val="00B1007F"/>
    <w:rsid w:val="00B101D3"/>
    <w:rsid w:val="00B102F6"/>
    <w:rsid w:val="00B1049E"/>
    <w:rsid w:val="00B1063F"/>
    <w:rsid w:val="00B11DBE"/>
    <w:rsid w:val="00B129A0"/>
    <w:rsid w:val="00B129A4"/>
    <w:rsid w:val="00B129C3"/>
    <w:rsid w:val="00B12EA5"/>
    <w:rsid w:val="00B134F1"/>
    <w:rsid w:val="00B1377E"/>
    <w:rsid w:val="00B13E0E"/>
    <w:rsid w:val="00B1460D"/>
    <w:rsid w:val="00B147B0"/>
    <w:rsid w:val="00B14A24"/>
    <w:rsid w:val="00B15690"/>
    <w:rsid w:val="00B15AE5"/>
    <w:rsid w:val="00B15F1F"/>
    <w:rsid w:val="00B16346"/>
    <w:rsid w:val="00B16825"/>
    <w:rsid w:val="00B169D4"/>
    <w:rsid w:val="00B16C17"/>
    <w:rsid w:val="00B16E82"/>
    <w:rsid w:val="00B174B8"/>
    <w:rsid w:val="00B176CE"/>
    <w:rsid w:val="00B2004B"/>
    <w:rsid w:val="00B201A4"/>
    <w:rsid w:val="00B201D1"/>
    <w:rsid w:val="00B20C03"/>
    <w:rsid w:val="00B20D56"/>
    <w:rsid w:val="00B210AA"/>
    <w:rsid w:val="00B213A6"/>
    <w:rsid w:val="00B21B8F"/>
    <w:rsid w:val="00B22612"/>
    <w:rsid w:val="00B22D2B"/>
    <w:rsid w:val="00B232DD"/>
    <w:rsid w:val="00B23530"/>
    <w:rsid w:val="00B235B0"/>
    <w:rsid w:val="00B24281"/>
    <w:rsid w:val="00B2434E"/>
    <w:rsid w:val="00B24DF6"/>
    <w:rsid w:val="00B24E49"/>
    <w:rsid w:val="00B2548E"/>
    <w:rsid w:val="00B255A4"/>
    <w:rsid w:val="00B25B34"/>
    <w:rsid w:val="00B26473"/>
    <w:rsid w:val="00B268DB"/>
    <w:rsid w:val="00B26DB8"/>
    <w:rsid w:val="00B273AE"/>
    <w:rsid w:val="00B27733"/>
    <w:rsid w:val="00B27A24"/>
    <w:rsid w:val="00B27A61"/>
    <w:rsid w:val="00B27CBD"/>
    <w:rsid w:val="00B27D38"/>
    <w:rsid w:val="00B27E60"/>
    <w:rsid w:val="00B303CF"/>
    <w:rsid w:val="00B30978"/>
    <w:rsid w:val="00B30F28"/>
    <w:rsid w:val="00B31467"/>
    <w:rsid w:val="00B319DC"/>
    <w:rsid w:val="00B32054"/>
    <w:rsid w:val="00B32A12"/>
    <w:rsid w:val="00B32BB2"/>
    <w:rsid w:val="00B32D6E"/>
    <w:rsid w:val="00B336AA"/>
    <w:rsid w:val="00B3392B"/>
    <w:rsid w:val="00B34023"/>
    <w:rsid w:val="00B34162"/>
    <w:rsid w:val="00B34A1E"/>
    <w:rsid w:val="00B34CFD"/>
    <w:rsid w:val="00B34D86"/>
    <w:rsid w:val="00B34FE2"/>
    <w:rsid w:val="00B35166"/>
    <w:rsid w:val="00B355BA"/>
    <w:rsid w:val="00B356D8"/>
    <w:rsid w:val="00B357D8"/>
    <w:rsid w:val="00B35A06"/>
    <w:rsid w:val="00B35E8E"/>
    <w:rsid w:val="00B36094"/>
    <w:rsid w:val="00B360F4"/>
    <w:rsid w:val="00B369D8"/>
    <w:rsid w:val="00B36A00"/>
    <w:rsid w:val="00B36AE5"/>
    <w:rsid w:val="00B36C47"/>
    <w:rsid w:val="00B372B0"/>
    <w:rsid w:val="00B37496"/>
    <w:rsid w:val="00B3792B"/>
    <w:rsid w:val="00B37BFC"/>
    <w:rsid w:val="00B37E06"/>
    <w:rsid w:val="00B400B5"/>
    <w:rsid w:val="00B40358"/>
    <w:rsid w:val="00B4039D"/>
    <w:rsid w:val="00B408DB"/>
    <w:rsid w:val="00B40B08"/>
    <w:rsid w:val="00B40E98"/>
    <w:rsid w:val="00B40F25"/>
    <w:rsid w:val="00B410AA"/>
    <w:rsid w:val="00B41614"/>
    <w:rsid w:val="00B42274"/>
    <w:rsid w:val="00B42511"/>
    <w:rsid w:val="00B42550"/>
    <w:rsid w:val="00B426B5"/>
    <w:rsid w:val="00B42851"/>
    <w:rsid w:val="00B42960"/>
    <w:rsid w:val="00B42EF1"/>
    <w:rsid w:val="00B42F80"/>
    <w:rsid w:val="00B432D9"/>
    <w:rsid w:val="00B433A9"/>
    <w:rsid w:val="00B435CB"/>
    <w:rsid w:val="00B4363C"/>
    <w:rsid w:val="00B43992"/>
    <w:rsid w:val="00B43A32"/>
    <w:rsid w:val="00B43D1C"/>
    <w:rsid w:val="00B43D75"/>
    <w:rsid w:val="00B444A0"/>
    <w:rsid w:val="00B449EA"/>
    <w:rsid w:val="00B451CB"/>
    <w:rsid w:val="00B45439"/>
    <w:rsid w:val="00B456AD"/>
    <w:rsid w:val="00B45943"/>
    <w:rsid w:val="00B4612D"/>
    <w:rsid w:val="00B465EC"/>
    <w:rsid w:val="00B46DF8"/>
    <w:rsid w:val="00B47627"/>
    <w:rsid w:val="00B47DF2"/>
    <w:rsid w:val="00B500AF"/>
    <w:rsid w:val="00B5010F"/>
    <w:rsid w:val="00B50362"/>
    <w:rsid w:val="00B5050D"/>
    <w:rsid w:val="00B505C8"/>
    <w:rsid w:val="00B506D3"/>
    <w:rsid w:val="00B50DB8"/>
    <w:rsid w:val="00B5100C"/>
    <w:rsid w:val="00B514ED"/>
    <w:rsid w:val="00B51657"/>
    <w:rsid w:val="00B53296"/>
    <w:rsid w:val="00B53409"/>
    <w:rsid w:val="00B53654"/>
    <w:rsid w:val="00B5370E"/>
    <w:rsid w:val="00B53905"/>
    <w:rsid w:val="00B53B26"/>
    <w:rsid w:val="00B53BEF"/>
    <w:rsid w:val="00B5430C"/>
    <w:rsid w:val="00B5456A"/>
    <w:rsid w:val="00B546DB"/>
    <w:rsid w:val="00B54B5B"/>
    <w:rsid w:val="00B54B6D"/>
    <w:rsid w:val="00B54B7A"/>
    <w:rsid w:val="00B54C5D"/>
    <w:rsid w:val="00B54D31"/>
    <w:rsid w:val="00B54D54"/>
    <w:rsid w:val="00B54DE0"/>
    <w:rsid w:val="00B550FD"/>
    <w:rsid w:val="00B552C7"/>
    <w:rsid w:val="00B5562E"/>
    <w:rsid w:val="00B5572A"/>
    <w:rsid w:val="00B55862"/>
    <w:rsid w:val="00B55D65"/>
    <w:rsid w:val="00B56305"/>
    <w:rsid w:val="00B56D1C"/>
    <w:rsid w:val="00B56D32"/>
    <w:rsid w:val="00B57000"/>
    <w:rsid w:val="00B5750E"/>
    <w:rsid w:val="00B57893"/>
    <w:rsid w:val="00B57962"/>
    <w:rsid w:val="00B579AD"/>
    <w:rsid w:val="00B60056"/>
    <w:rsid w:val="00B600AA"/>
    <w:rsid w:val="00B600C2"/>
    <w:rsid w:val="00B601F4"/>
    <w:rsid w:val="00B607B2"/>
    <w:rsid w:val="00B60939"/>
    <w:rsid w:val="00B60AFD"/>
    <w:rsid w:val="00B61D25"/>
    <w:rsid w:val="00B622E4"/>
    <w:rsid w:val="00B624D6"/>
    <w:rsid w:val="00B62715"/>
    <w:rsid w:val="00B629D8"/>
    <w:rsid w:val="00B631C3"/>
    <w:rsid w:val="00B631F4"/>
    <w:rsid w:val="00B6339B"/>
    <w:rsid w:val="00B63EC3"/>
    <w:rsid w:val="00B63F50"/>
    <w:rsid w:val="00B645E6"/>
    <w:rsid w:val="00B64777"/>
    <w:rsid w:val="00B64D91"/>
    <w:rsid w:val="00B6504E"/>
    <w:rsid w:val="00B65611"/>
    <w:rsid w:val="00B660E6"/>
    <w:rsid w:val="00B66354"/>
    <w:rsid w:val="00B6700E"/>
    <w:rsid w:val="00B67DC4"/>
    <w:rsid w:val="00B7046D"/>
    <w:rsid w:val="00B70833"/>
    <w:rsid w:val="00B70E8E"/>
    <w:rsid w:val="00B70F83"/>
    <w:rsid w:val="00B71862"/>
    <w:rsid w:val="00B72102"/>
    <w:rsid w:val="00B72F9D"/>
    <w:rsid w:val="00B733F8"/>
    <w:rsid w:val="00B73BD6"/>
    <w:rsid w:val="00B73BEA"/>
    <w:rsid w:val="00B749FF"/>
    <w:rsid w:val="00B74A4A"/>
    <w:rsid w:val="00B74EBD"/>
    <w:rsid w:val="00B751DD"/>
    <w:rsid w:val="00B753FA"/>
    <w:rsid w:val="00B7553F"/>
    <w:rsid w:val="00B7633B"/>
    <w:rsid w:val="00B76414"/>
    <w:rsid w:val="00B7675F"/>
    <w:rsid w:val="00B76786"/>
    <w:rsid w:val="00B769A7"/>
    <w:rsid w:val="00B76C92"/>
    <w:rsid w:val="00B76E31"/>
    <w:rsid w:val="00B80A55"/>
    <w:rsid w:val="00B80AD7"/>
    <w:rsid w:val="00B80D02"/>
    <w:rsid w:val="00B80EFD"/>
    <w:rsid w:val="00B81017"/>
    <w:rsid w:val="00B8176F"/>
    <w:rsid w:val="00B818A4"/>
    <w:rsid w:val="00B818E6"/>
    <w:rsid w:val="00B81F20"/>
    <w:rsid w:val="00B82485"/>
    <w:rsid w:val="00B8260C"/>
    <w:rsid w:val="00B828F8"/>
    <w:rsid w:val="00B82AE2"/>
    <w:rsid w:val="00B82F7D"/>
    <w:rsid w:val="00B8328E"/>
    <w:rsid w:val="00B83513"/>
    <w:rsid w:val="00B83739"/>
    <w:rsid w:val="00B83F89"/>
    <w:rsid w:val="00B84117"/>
    <w:rsid w:val="00B8412A"/>
    <w:rsid w:val="00B843B6"/>
    <w:rsid w:val="00B84EAA"/>
    <w:rsid w:val="00B85123"/>
    <w:rsid w:val="00B854A6"/>
    <w:rsid w:val="00B858F0"/>
    <w:rsid w:val="00B85AA2"/>
    <w:rsid w:val="00B85ED7"/>
    <w:rsid w:val="00B8649C"/>
    <w:rsid w:val="00B864E0"/>
    <w:rsid w:val="00B8695D"/>
    <w:rsid w:val="00B86B64"/>
    <w:rsid w:val="00B87605"/>
    <w:rsid w:val="00B87905"/>
    <w:rsid w:val="00B8791B"/>
    <w:rsid w:val="00B87A4F"/>
    <w:rsid w:val="00B87A5A"/>
    <w:rsid w:val="00B87B18"/>
    <w:rsid w:val="00B87D5D"/>
    <w:rsid w:val="00B87DF9"/>
    <w:rsid w:val="00B87F0A"/>
    <w:rsid w:val="00B90C5A"/>
    <w:rsid w:val="00B90FEB"/>
    <w:rsid w:val="00B91449"/>
    <w:rsid w:val="00B91460"/>
    <w:rsid w:val="00B91512"/>
    <w:rsid w:val="00B924C1"/>
    <w:rsid w:val="00B9289E"/>
    <w:rsid w:val="00B92D0B"/>
    <w:rsid w:val="00B92EF8"/>
    <w:rsid w:val="00B9314B"/>
    <w:rsid w:val="00B932AC"/>
    <w:rsid w:val="00B932EB"/>
    <w:rsid w:val="00B9346C"/>
    <w:rsid w:val="00B9354F"/>
    <w:rsid w:val="00B936A6"/>
    <w:rsid w:val="00B93703"/>
    <w:rsid w:val="00B9379F"/>
    <w:rsid w:val="00B939E3"/>
    <w:rsid w:val="00B93EE3"/>
    <w:rsid w:val="00B93FFC"/>
    <w:rsid w:val="00B94945"/>
    <w:rsid w:val="00B94A1D"/>
    <w:rsid w:val="00B94AB5"/>
    <w:rsid w:val="00B94DD6"/>
    <w:rsid w:val="00B94F55"/>
    <w:rsid w:val="00B95272"/>
    <w:rsid w:val="00B957EE"/>
    <w:rsid w:val="00B9607F"/>
    <w:rsid w:val="00B9627C"/>
    <w:rsid w:val="00B9671E"/>
    <w:rsid w:val="00B96745"/>
    <w:rsid w:val="00B967F0"/>
    <w:rsid w:val="00B96B8A"/>
    <w:rsid w:val="00B96D6D"/>
    <w:rsid w:val="00B96D92"/>
    <w:rsid w:val="00B96DA3"/>
    <w:rsid w:val="00B96E8F"/>
    <w:rsid w:val="00B9709C"/>
    <w:rsid w:val="00B9744F"/>
    <w:rsid w:val="00B97653"/>
    <w:rsid w:val="00B97CDA"/>
    <w:rsid w:val="00B97FA0"/>
    <w:rsid w:val="00BA0061"/>
    <w:rsid w:val="00BA0086"/>
    <w:rsid w:val="00BA031A"/>
    <w:rsid w:val="00BA049D"/>
    <w:rsid w:val="00BA0D39"/>
    <w:rsid w:val="00BA0FF0"/>
    <w:rsid w:val="00BA1BF2"/>
    <w:rsid w:val="00BA1DF0"/>
    <w:rsid w:val="00BA1EC3"/>
    <w:rsid w:val="00BA23D5"/>
    <w:rsid w:val="00BA271C"/>
    <w:rsid w:val="00BA2C1B"/>
    <w:rsid w:val="00BA2C67"/>
    <w:rsid w:val="00BA2E72"/>
    <w:rsid w:val="00BA2F82"/>
    <w:rsid w:val="00BA322D"/>
    <w:rsid w:val="00BA338B"/>
    <w:rsid w:val="00BA3CD5"/>
    <w:rsid w:val="00BA3DB9"/>
    <w:rsid w:val="00BA3DF5"/>
    <w:rsid w:val="00BA3F7C"/>
    <w:rsid w:val="00BA47BA"/>
    <w:rsid w:val="00BA47CC"/>
    <w:rsid w:val="00BA4F5F"/>
    <w:rsid w:val="00BA5395"/>
    <w:rsid w:val="00BA62B3"/>
    <w:rsid w:val="00BA63FA"/>
    <w:rsid w:val="00BA6AEB"/>
    <w:rsid w:val="00BA6B3D"/>
    <w:rsid w:val="00BA747C"/>
    <w:rsid w:val="00BA7939"/>
    <w:rsid w:val="00BA7A35"/>
    <w:rsid w:val="00BA7D19"/>
    <w:rsid w:val="00BB00B3"/>
    <w:rsid w:val="00BB0324"/>
    <w:rsid w:val="00BB0BDD"/>
    <w:rsid w:val="00BB1141"/>
    <w:rsid w:val="00BB176C"/>
    <w:rsid w:val="00BB1A1F"/>
    <w:rsid w:val="00BB1EC1"/>
    <w:rsid w:val="00BB1FA2"/>
    <w:rsid w:val="00BB2149"/>
    <w:rsid w:val="00BB258F"/>
    <w:rsid w:val="00BB2A73"/>
    <w:rsid w:val="00BB2F93"/>
    <w:rsid w:val="00BB3049"/>
    <w:rsid w:val="00BB34E6"/>
    <w:rsid w:val="00BB3939"/>
    <w:rsid w:val="00BB3A45"/>
    <w:rsid w:val="00BB47AB"/>
    <w:rsid w:val="00BB4ACC"/>
    <w:rsid w:val="00BB4C0C"/>
    <w:rsid w:val="00BB4D9A"/>
    <w:rsid w:val="00BB50C3"/>
    <w:rsid w:val="00BB5934"/>
    <w:rsid w:val="00BB5E1E"/>
    <w:rsid w:val="00BB5E2C"/>
    <w:rsid w:val="00BB6207"/>
    <w:rsid w:val="00BB64AB"/>
    <w:rsid w:val="00BB663E"/>
    <w:rsid w:val="00BB703E"/>
    <w:rsid w:val="00BB732D"/>
    <w:rsid w:val="00BB7405"/>
    <w:rsid w:val="00BB7ACF"/>
    <w:rsid w:val="00BB7C0D"/>
    <w:rsid w:val="00BC0A5F"/>
    <w:rsid w:val="00BC1146"/>
    <w:rsid w:val="00BC12FC"/>
    <w:rsid w:val="00BC134E"/>
    <w:rsid w:val="00BC17A8"/>
    <w:rsid w:val="00BC1C3A"/>
    <w:rsid w:val="00BC2208"/>
    <w:rsid w:val="00BC2278"/>
    <w:rsid w:val="00BC22AF"/>
    <w:rsid w:val="00BC31B8"/>
    <w:rsid w:val="00BC31EF"/>
    <w:rsid w:val="00BC341E"/>
    <w:rsid w:val="00BC3465"/>
    <w:rsid w:val="00BC3631"/>
    <w:rsid w:val="00BC3867"/>
    <w:rsid w:val="00BC3A34"/>
    <w:rsid w:val="00BC3D01"/>
    <w:rsid w:val="00BC41A5"/>
    <w:rsid w:val="00BC4A81"/>
    <w:rsid w:val="00BC591F"/>
    <w:rsid w:val="00BC5CCD"/>
    <w:rsid w:val="00BC61BB"/>
    <w:rsid w:val="00BC6A96"/>
    <w:rsid w:val="00BC6CB4"/>
    <w:rsid w:val="00BC720B"/>
    <w:rsid w:val="00BC7339"/>
    <w:rsid w:val="00BC73F8"/>
    <w:rsid w:val="00BC757B"/>
    <w:rsid w:val="00BC7D55"/>
    <w:rsid w:val="00BC7D6D"/>
    <w:rsid w:val="00BC7E26"/>
    <w:rsid w:val="00BD0096"/>
    <w:rsid w:val="00BD00E3"/>
    <w:rsid w:val="00BD015E"/>
    <w:rsid w:val="00BD04A2"/>
    <w:rsid w:val="00BD0670"/>
    <w:rsid w:val="00BD0806"/>
    <w:rsid w:val="00BD0F95"/>
    <w:rsid w:val="00BD2108"/>
    <w:rsid w:val="00BD2364"/>
    <w:rsid w:val="00BD313B"/>
    <w:rsid w:val="00BD3383"/>
    <w:rsid w:val="00BD35C5"/>
    <w:rsid w:val="00BD3E09"/>
    <w:rsid w:val="00BD41F3"/>
    <w:rsid w:val="00BD48EC"/>
    <w:rsid w:val="00BD4AA8"/>
    <w:rsid w:val="00BD4AC9"/>
    <w:rsid w:val="00BD4DDC"/>
    <w:rsid w:val="00BD50CC"/>
    <w:rsid w:val="00BD52E7"/>
    <w:rsid w:val="00BD5465"/>
    <w:rsid w:val="00BD5A2E"/>
    <w:rsid w:val="00BD5F27"/>
    <w:rsid w:val="00BD5FB2"/>
    <w:rsid w:val="00BD628E"/>
    <w:rsid w:val="00BD660C"/>
    <w:rsid w:val="00BD68A3"/>
    <w:rsid w:val="00BD6938"/>
    <w:rsid w:val="00BD6A04"/>
    <w:rsid w:val="00BD6CF3"/>
    <w:rsid w:val="00BD6D47"/>
    <w:rsid w:val="00BD737E"/>
    <w:rsid w:val="00BD7852"/>
    <w:rsid w:val="00BD7F72"/>
    <w:rsid w:val="00BE023C"/>
    <w:rsid w:val="00BE062D"/>
    <w:rsid w:val="00BE0AE5"/>
    <w:rsid w:val="00BE0B85"/>
    <w:rsid w:val="00BE0ECA"/>
    <w:rsid w:val="00BE0F30"/>
    <w:rsid w:val="00BE1292"/>
    <w:rsid w:val="00BE185D"/>
    <w:rsid w:val="00BE186B"/>
    <w:rsid w:val="00BE2180"/>
    <w:rsid w:val="00BE21F2"/>
    <w:rsid w:val="00BE2550"/>
    <w:rsid w:val="00BE2A79"/>
    <w:rsid w:val="00BE2E64"/>
    <w:rsid w:val="00BE330F"/>
    <w:rsid w:val="00BE3514"/>
    <w:rsid w:val="00BE361B"/>
    <w:rsid w:val="00BE3C01"/>
    <w:rsid w:val="00BE3EEB"/>
    <w:rsid w:val="00BE3FAB"/>
    <w:rsid w:val="00BE4105"/>
    <w:rsid w:val="00BE4275"/>
    <w:rsid w:val="00BE466A"/>
    <w:rsid w:val="00BE4B8F"/>
    <w:rsid w:val="00BE52F6"/>
    <w:rsid w:val="00BE5977"/>
    <w:rsid w:val="00BE5AE7"/>
    <w:rsid w:val="00BE68C1"/>
    <w:rsid w:val="00BE6914"/>
    <w:rsid w:val="00BE7787"/>
    <w:rsid w:val="00BF05F3"/>
    <w:rsid w:val="00BF06AE"/>
    <w:rsid w:val="00BF090D"/>
    <w:rsid w:val="00BF09B6"/>
    <w:rsid w:val="00BF0F95"/>
    <w:rsid w:val="00BF1269"/>
    <w:rsid w:val="00BF2093"/>
    <w:rsid w:val="00BF2433"/>
    <w:rsid w:val="00BF24EE"/>
    <w:rsid w:val="00BF24F4"/>
    <w:rsid w:val="00BF25BD"/>
    <w:rsid w:val="00BF2767"/>
    <w:rsid w:val="00BF2DC6"/>
    <w:rsid w:val="00BF2E6E"/>
    <w:rsid w:val="00BF38C9"/>
    <w:rsid w:val="00BF3B85"/>
    <w:rsid w:val="00BF3BD2"/>
    <w:rsid w:val="00BF4391"/>
    <w:rsid w:val="00BF4C8E"/>
    <w:rsid w:val="00BF51A2"/>
    <w:rsid w:val="00BF51C5"/>
    <w:rsid w:val="00BF55BB"/>
    <w:rsid w:val="00BF598F"/>
    <w:rsid w:val="00BF5EE9"/>
    <w:rsid w:val="00BF6058"/>
    <w:rsid w:val="00BF61C9"/>
    <w:rsid w:val="00BF6996"/>
    <w:rsid w:val="00BF6C00"/>
    <w:rsid w:val="00BF6C94"/>
    <w:rsid w:val="00BF6E88"/>
    <w:rsid w:val="00BF734A"/>
    <w:rsid w:val="00BF7365"/>
    <w:rsid w:val="00C00424"/>
    <w:rsid w:val="00C00448"/>
    <w:rsid w:val="00C006E7"/>
    <w:rsid w:val="00C00A4C"/>
    <w:rsid w:val="00C00BB0"/>
    <w:rsid w:val="00C0103F"/>
    <w:rsid w:val="00C010AF"/>
    <w:rsid w:val="00C0185A"/>
    <w:rsid w:val="00C01D2A"/>
    <w:rsid w:val="00C0214B"/>
    <w:rsid w:val="00C0222E"/>
    <w:rsid w:val="00C0260E"/>
    <w:rsid w:val="00C030C3"/>
    <w:rsid w:val="00C03327"/>
    <w:rsid w:val="00C03596"/>
    <w:rsid w:val="00C04050"/>
    <w:rsid w:val="00C041A4"/>
    <w:rsid w:val="00C042D3"/>
    <w:rsid w:val="00C04391"/>
    <w:rsid w:val="00C05DA7"/>
    <w:rsid w:val="00C06119"/>
    <w:rsid w:val="00C061F5"/>
    <w:rsid w:val="00C0622C"/>
    <w:rsid w:val="00C06498"/>
    <w:rsid w:val="00C0666C"/>
    <w:rsid w:val="00C0674E"/>
    <w:rsid w:val="00C06772"/>
    <w:rsid w:val="00C06D15"/>
    <w:rsid w:val="00C06E19"/>
    <w:rsid w:val="00C06E5E"/>
    <w:rsid w:val="00C07900"/>
    <w:rsid w:val="00C100CA"/>
    <w:rsid w:val="00C1030A"/>
    <w:rsid w:val="00C103ED"/>
    <w:rsid w:val="00C10831"/>
    <w:rsid w:val="00C10FB1"/>
    <w:rsid w:val="00C1179F"/>
    <w:rsid w:val="00C11CD3"/>
    <w:rsid w:val="00C11F95"/>
    <w:rsid w:val="00C12212"/>
    <w:rsid w:val="00C126C6"/>
    <w:rsid w:val="00C127B9"/>
    <w:rsid w:val="00C128FA"/>
    <w:rsid w:val="00C12A8A"/>
    <w:rsid w:val="00C12C14"/>
    <w:rsid w:val="00C1343B"/>
    <w:rsid w:val="00C13451"/>
    <w:rsid w:val="00C134D8"/>
    <w:rsid w:val="00C1358D"/>
    <w:rsid w:val="00C135F1"/>
    <w:rsid w:val="00C13A74"/>
    <w:rsid w:val="00C13C05"/>
    <w:rsid w:val="00C147ED"/>
    <w:rsid w:val="00C14A55"/>
    <w:rsid w:val="00C14D64"/>
    <w:rsid w:val="00C151D0"/>
    <w:rsid w:val="00C159E3"/>
    <w:rsid w:val="00C15BE8"/>
    <w:rsid w:val="00C15C96"/>
    <w:rsid w:val="00C15F04"/>
    <w:rsid w:val="00C172AF"/>
    <w:rsid w:val="00C17345"/>
    <w:rsid w:val="00C17612"/>
    <w:rsid w:val="00C17690"/>
    <w:rsid w:val="00C179B3"/>
    <w:rsid w:val="00C17D39"/>
    <w:rsid w:val="00C17E3F"/>
    <w:rsid w:val="00C17EB2"/>
    <w:rsid w:val="00C200AA"/>
    <w:rsid w:val="00C201AF"/>
    <w:rsid w:val="00C2055A"/>
    <w:rsid w:val="00C20BB8"/>
    <w:rsid w:val="00C21778"/>
    <w:rsid w:val="00C21F3B"/>
    <w:rsid w:val="00C21F55"/>
    <w:rsid w:val="00C22021"/>
    <w:rsid w:val="00C222CC"/>
    <w:rsid w:val="00C2257F"/>
    <w:rsid w:val="00C227A0"/>
    <w:rsid w:val="00C22813"/>
    <w:rsid w:val="00C22929"/>
    <w:rsid w:val="00C22960"/>
    <w:rsid w:val="00C22E77"/>
    <w:rsid w:val="00C23249"/>
    <w:rsid w:val="00C233D1"/>
    <w:rsid w:val="00C235FC"/>
    <w:rsid w:val="00C23778"/>
    <w:rsid w:val="00C237ED"/>
    <w:rsid w:val="00C24097"/>
    <w:rsid w:val="00C24632"/>
    <w:rsid w:val="00C24A7E"/>
    <w:rsid w:val="00C24BBC"/>
    <w:rsid w:val="00C24EC4"/>
    <w:rsid w:val="00C25418"/>
    <w:rsid w:val="00C2552D"/>
    <w:rsid w:val="00C25591"/>
    <w:rsid w:val="00C2595B"/>
    <w:rsid w:val="00C25D9C"/>
    <w:rsid w:val="00C25E24"/>
    <w:rsid w:val="00C26ACA"/>
    <w:rsid w:val="00C26B6D"/>
    <w:rsid w:val="00C26CBA"/>
    <w:rsid w:val="00C26D10"/>
    <w:rsid w:val="00C26F6C"/>
    <w:rsid w:val="00C2719F"/>
    <w:rsid w:val="00C2778B"/>
    <w:rsid w:val="00C304AE"/>
    <w:rsid w:val="00C30528"/>
    <w:rsid w:val="00C30643"/>
    <w:rsid w:val="00C30677"/>
    <w:rsid w:val="00C30C89"/>
    <w:rsid w:val="00C30DDF"/>
    <w:rsid w:val="00C3147C"/>
    <w:rsid w:val="00C31649"/>
    <w:rsid w:val="00C3204D"/>
    <w:rsid w:val="00C32225"/>
    <w:rsid w:val="00C3266D"/>
    <w:rsid w:val="00C32828"/>
    <w:rsid w:val="00C33171"/>
    <w:rsid w:val="00C3334D"/>
    <w:rsid w:val="00C33839"/>
    <w:rsid w:val="00C34082"/>
    <w:rsid w:val="00C3424E"/>
    <w:rsid w:val="00C3434C"/>
    <w:rsid w:val="00C345B5"/>
    <w:rsid w:val="00C34D07"/>
    <w:rsid w:val="00C34D5E"/>
    <w:rsid w:val="00C34F47"/>
    <w:rsid w:val="00C34FF1"/>
    <w:rsid w:val="00C351B1"/>
    <w:rsid w:val="00C354C8"/>
    <w:rsid w:val="00C364E6"/>
    <w:rsid w:val="00C367CC"/>
    <w:rsid w:val="00C36B6B"/>
    <w:rsid w:val="00C37AD0"/>
    <w:rsid w:val="00C37F66"/>
    <w:rsid w:val="00C40385"/>
    <w:rsid w:val="00C403D6"/>
    <w:rsid w:val="00C40A86"/>
    <w:rsid w:val="00C40ADF"/>
    <w:rsid w:val="00C40EE1"/>
    <w:rsid w:val="00C41768"/>
    <w:rsid w:val="00C4231C"/>
    <w:rsid w:val="00C43B8A"/>
    <w:rsid w:val="00C43FAA"/>
    <w:rsid w:val="00C441B9"/>
    <w:rsid w:val="00C44D6D"/>
    <w:rsid w:val="00C45293"/>
    <w:rsid w:val="00C459A1"/>
    <w:rsid w:val="00C46189"/>
    <w:rsid w:val="00C4655C"/>
    <w:rsid w:val="00C469AE"/>
    <w:rsid w:val="00C46A65"/>
    <w:rsid w:val="00C46B3D"/>
    <w:rsid w:val="00C46E7D"/>
    <w:rsid w:val="00C47034"/>
    <w:rsid w:val="00C4744C"/>
    <w:rsid w:val="00C475AA"/>
    <w:rsid w:val="00C47990"/>
    <w:rsid w:val="00C479A1"/>
    <w:rsid w:val="00C47B46"/>
    <w:rsid w:val="00C47E62"/>
    <w:rsid w:val="00C5021E"/>
    <w:rsid w:val="00C50227"/>
    <w:rsid w:val="00C50642"/>
    <w:rsid w:val="00C5064C"/>
    <w:rsid w:val="00C51374"/>
    <w:rsid w:val="00C517BB"/>
    <w:rsid w:val="00C5199F"/>
    <w:rsid w:val="00C51FDF"/>
    <w:rsid w:val="00C52363"/>
    <w:rsid w:val="00C527C7"/>
    <w:rsid w:val="00C527FD"/>
    <w:rsid w:val="00C52DF4"/>
    <w:rsid w:val="00C53123"/>
    <w:rsid w:val="00C53702"/>
    <w:rsid w:val="00C5383E"/>
    <w:rsid w:val="00C53B55"/>
    <w:rsid w:val="00C53C98"/>
    <w:rsid w:val="00C54284"/>
    <w:rsid w:val="00C54D7C"/>
    <w:rsid w:val="00C54D83"/>
    <w:rsid w:val="00C54E94"/>
    <w:rsid w:val="00C557A9"/>
    <w:rsid w:val="00C558A4"/>
    <w:rsid w:val="00C55900"/>
    <w:rsid w:val="00C55F74"/>
    <w:rsid w:val="00C56027"/>
    <w:rsid w:val="00C5625F"/>
    <w:rsid w:val="00C56484"/>
    <w:rsid w:val="00C5660E"/>
    <w:rsid w:val="00C56B86"/>
    <w:rsid w:val="00C56DA2"/>
    <w:rsid w:val="00C56FCF"/>
    <w:rsid w:val="00C57435"/>
    <w:rsid w:val="00C575B7"/>
    <w:rsid w:val="00C5775C"/>
    <w:rsid w:val="00C57B4F"/>
    <w:rsid w:val="00C57B6C"/>
    <w:rsid w:val="00C57DE0"/>
    <w:rsid w:val="00C57E9C"/>
    <w:rsid w:val="00C61264"/>
    <w:rsid w:val="00C61A59"/>
    <w:rsid w:val="00C61CBD"/>
    <w:rsid w:val="00C61CCC"/>
    <w:rsid w:val="00C61FD1"/>
    <w:rsid w:val="00C62364"/>
    <w:rsid w:val="00C624C6"/>
    <w:rsid w:val="00C62575"/>
    <w:rsid w:val="00C6287C"/>
    <w:rsid w:val="00C628A6"/>
    <w:rsid w:val="00C628BB"/>
    <w:rsid w:val="00C629F8"/>
    <w:rsid w:val="00C62DBE"/>
    <w:rsid w:val="00C62EC6"/>
    <w:rsid w:val="00C6352E"/>
    <w:rsid w:val="00C63623"/>
    <w:rsid w:val="00C63D38"/>
    <w:rsid w:val="00C64344"/>
    <w:rsid w:val="00C64499"/>
    <w:rsid w:val="00C649F6"/>
    <w:rsid w:val="00C64DA3"/>
    <w:rsid w:val="00C65108"/>
    <w:rsid w:val="00C65576"/>
    <w:rsid w:val="00C655EE"/>
    <w:rsid w:val="00C66165"/>
    <w:rsid w:val="00C67610"/>
    <w:rsid w:val="00C67A42"/>
    <w:rsid w:val="00C67CF7"/>
    <w:rsid w:val="00C70411"/>
    <w:rsid w:val="00C7060A"/>
    <w:rsid w:val="00C706AB"/>
    <w:rsid w:val="00C70A5A"/>
    <w:rsid w:val="00C71180"/>
    <w:rsid w:val="00C7151A"/>
    <w:rsid w:val="00C716F3"/>
    <w:rsid w:val="00C717E3"/>
    <w:rsid w:val="00C71896"/>
    <w:rsid w:val="00C71A9D"/>
    <w:rsid w:val="00C71AF3"/>
    <w:rsid w:val="00C71F60"/>
    <w:rsid w:val="00C72241"/>
    <w:rsid w:val="00C72909"/>
    <w:rsid w:val="00C72BC4"/>
    <w:rsid w:val="00C72BFD"/>
    <w:rsid w:val="00C72F8E"/>
    <w:rsid w:val="00C72FD1"/>
    <w:rsid w:val="00C730C6"/>
    <w:rsid w:val="00C7314B"/>
    <w:rsid w:val="00C7389D"/>
    <w:rsid w:val="00C73D65"/>
    <w:rsid w:val="00C744F3"/>
    <w:rsid w:val="00C74912"/>
    <w:rsid w:val="00C74BE9"/>
    <w:rsid w:val="00C74C68"/>
    <w:rsid w:val="00C750BB"/>
    <w:rsid w:val="00C750C8"/>
    <w:rsid w:val="00C7553B"/>
    <w:rsid w:val="00C7560F"/>
    <w:rsid w:val="00C75A79"/>
    <w:rsid w:val="00C75D7A"/>
    <w:rsid w:val="00C76BB6"/>
    <w:rsid w:val="00C76C68"/>
    <w:rsid w:val="00C7787E"/>
    <w:rsid w:val="00C77A73"/>
    <w:rsid w:val="00C77CA2"/>
    <w:rsid w:val="00C77F68"/>
    <w:rsid w:val="00C8053B"/>
    <w:rsid w:val="00C805EB"/>
    <w:rsid w:val="00C80A0E"/>
    <w:rsid w:val="00C80DF8"/>
    <w:rsid w:val="00C80E73"/>
    <w:rsid w:val="00C8130F"/>
    <w:rsid w:val="00C81521"/>
    <w:rsid w:val="00C81B3D"/>
    <w:rsid w:val="00C81BB2"/>
    <w:rsid w:val="00C8213F"/>
    <w:rsid w:val="00C8303F"/>
    <w:rsid w:val="00C839B2"/>
    <w:rsid w:val="00C83A60"/>
    <w:rsid w:val="00C83B57"/>
    <w:rsid w:val="00C8400B"/>
    <w:rsid w:val="00C841E9"/>
    <w:rsid w:val="00C848BA"/>
    <w:rsid w:val="00C84A64"/>
    <w:rsid w:val="00C85154"/>
    <w:rsid w:val="00C853AA"/>
    <w:rsid w:val="00C85A70"/>
    <w:rsid w:val="00C85A8D"/>
    <w:rsid w:val="00C85E85"/>
    <w:rsid w:val="00C8659C"/>
    <w:rsid w:val="00C86C05"/>
    <w:rsid w:val="00C8732D"/>
    <w:rsid w:val="00C87431"/>
    <w:rsid w:val="00C876D7"/>
    <w:rsid w:val="00C8797A"/>
    <w:rsid w:val="00C900B8"/>
    <w:rsid w:val="00C90197"/>
    <w:rsid w:val="00C905C3"/>
    <w:rsid w:val="00C906BC"/>
    <w:rsid w:val="00C90C71"/>
    <w:rsid w:val="00C90F28"/>
    <w:rsid w:val="00C915C1"/>
    <w:rsid w:val="00C91689"/>
    <w:rsid w:val="00C91FD1"/>
    <w:rsid w:val="00C9202A"/>
    <w:rsid w:val="00C929E6"/>
    <w:rsid w:val="00C92CC4"/>
    <w:rsid w:val="00C93155"/>
    <w:rsid w:val="00C931CF"/>
    <w:rsid w:val="00C93525"/>
    <w:rsid w:val="00C9356B"/>
    <w:rsid w:val="00C938CF"/>
    <w:rsid w:val="00C94053"/>
    <w:rsid w:val="00C948B8"/>
    <w:rsid w:val="00C951B3"/>
    <w:rsid w:val="00C95AF7"/>
    <w:rsid w:val="00C96008"/>
    <w:rsid w:val="00C9624D"/>
    <w:rsid w:val="00C965EF"/>
    <w:rsid w:val="00C966AB"/>
    <w:rsid w:val="00C969DA"/>
    <w:rsid w:val="00C973BA"/>
    <w:rsid w:val="00C9751A"/>
    <w:rsid w:val="00C97E64"/>
    <w:rsid w:val="00CA0299"/>
    <w:rsid w:val="00CA0B46"/>
    <w:rsid w:val="00CA0CB3"/>
    <w:rsid w:val="00CA0F47"/>
    <w:rsid w:val="00CA0F59"/>
    <w:rsid w:val="00CA109B"/>
    <w:rsid w:val="00CA112D"/>
    <w:rsid w:val="00CA14B3"/>
    <w:rsid w:val="00CA252B"/>
    <w:rsid w:val="00CA2619"/>
    <w:rsid w:val="00CA278E"/>
    <w:rsid w:val="00CA27C1"/>
    <w:rsid w:val="00CA2C77"/>
    <w:rsid w:val="00CA2D67"/>
    <w:rsid w:val="00CA36F3"/>
    <w:rsid w:val="00CA38D9"/>
    <w:rsid w:val="00CA3D2A"/>
    <w:rsid w:val="00CA421C"/>
    <w:rsid w:val="00CA444F"/>
    <w:rsid w:val="00CA4563"/>
    <w:rsid w:val="00CA473C"/>
    <w:rsid w:val="00CA4A8B"/>
    <w:rsid w:val="00CA5234"/>
    <w:rsid w:val="00CA5245"/>
    <w:rsid w:val="00CA56A2"/>
    <w:rsid w:val="00CA5CA2"/>
    <w:rsid w:val="00CA5F9D"/>
    <w:rsid w:val="00CA63A9"/>
    <w:rsid w:val="00CA66BA"/>
    <w:rsid w:val="00CA670B"/>
    <w:rsid w:val="00CA71F4"/>
    <w:rsid w:val="00CA7321"/>
    <w:rsid w:val="00CA7442"/>
    <w:rsid w:val="00CA7622"/>
    <w:rsid w:val="00CA77F1"/>
    <w:rsid w:val="00CA7A6E"/>
    <w:rsid w:val="00CA7B09"/>
    <w:rsid w:val="00CB0281"/>
    <w:rsid w:val="00CB06B0"/>
    <w:rsid w:val="00CB0B91"/>
    <w:rsid w:val="00CB0C3E"/>
    <w:rsid w:val="00CB12A5"/>
    <w:rsid w:val="00CB19C9"/>
    <w:rsid w:val="00CB19F3"/>
    <w:rsid w:val="00CB1AB2"/>
    <w:rsid w:val="00CB1CAC"/>
    <w:rsid w:val="00CB1D3D"/>
    <w:rsid w:val="00CB2BF3"/>
    <w:rsid w:val="00CB2E78"/>
    <w:rsid w:val="00CB2F2A"/>
    <w:rsid w:val="00CB3921"/>
    <w:rsid w:val="00CB3B40"/>
    <w:rsid w:val="00CB47AB"/>
    <w:rsid w:val="00CB49DD"/>
    <w:rsid w:val="00CB4A7D"/>
    <w:rsid w:val="00CB4BD6"/>
    <w:rsid w:val="00CB5768"/>
    <w:rsid w:val="00CB5B1A"/>
    <w:rsid w:val="00CB5F79"/>
    <w:rsid w:val="00CB6B22"/>
    <w:rsid w:val="00CB6EDF"/>
    <w:rsid w:val="00CB7017"/>
    <w:rsid w:val="00CB7312"/>
    <w:rsid w:val="00CB751C"/>
    <w:rsid w:val="00CB75A5"/>
    <w:rsid w:val="00CB76B8"/>
    <w:rsid w:val="00CB7705"/>
    <w:rsid w:val="00CB7F5F"/>
    <w:rsid w:val="00CC07F2"/>
    <w:rsid w:val="00CC0D50"/>
    <w:rsid w:val="00CC1B0E"/>
    <w:rsid w:val="00CC1B39"/>
    <w:rsid w:val="00CC1BFA"/>
    <w:rsid w:val="00CC1C1C"/>
    <w:rsid w:val="00CC1D87"/>
    <w:rsid w:val="00CC2340"/>
    <w:rsid w:val="00CC239A"/>
    <w:rsid w:val="00CC25EE"/>
    <w:rsid w:val="00CC2806"/>
    <w:rsid w:val="00CC2819"/>
    <w:rsid w:val="00CC2C66"/>
    <w:rsid w:val="00CC2DBA"/>
    <w:rsid w:val="00CC2E05"/>
    <w:rsid w:val="00CC2E9F"/>
    <w:rsid w:val="00CC3400"/>
    <w:rsid w:val="00CC35EA"/>
    <w:rsid w:val="00CC36FE"/>
    <w:rsid w:val="00CC3848"/>
    <w:rsid w:val="00CC3E77"/>
    <w:rsid w:val="00CC4028"/>
    <w:rsid w:val="00CC4425"/>
    <w:rsid w:val="00CC4900"/>
    <w:rsid w:val="00CC522C"/>
    <w:rsid w:val="00CC54EC"/>
    <w:rsid w:val="00CC5817"/>
    <w:rsid w:val="00CC62D7"/>
    <w:rsid w:val="00CC6309"/>
    <w:rsid w:val="00CC63A9"/>
    <w:rsid w:val="00CC656E"/>
    <w:rsid w:val="00CC6A1A"/>
    <w:rsid w:val="00CC6CA4"/>
    <w:rsid w:val="00CC6D1B"/>
    <w:rsid w:val="00CC6D5E"/>
    <w:rsid w:val="00CC6D9A"/>
    <w:rsid w:val="00CC7035"/>
    <w:rsid w:val="00CC71C0"/>
    <w:rsid w:val="00CC755C"/>
    <w:rsid w:val="00CC79AC"/>
    <w:rsid w:val="00CC7E6D"/>
    <w:rsid w:val="00CD0110"/>
    <w:rsid w:val="00CD0200"/>
    <w:rsid w:val="00CD03CB"/>
    <w:rsid w:val="00CD0512"/>
    <w:rsid w:val="00CD059C"/>
    <w:rsid w:val="00CD07B8"/>
    <w:rsid w:val="00CD0DCC"/>
    <w:rsid w:val="00CD1048"/>
    <w:rsid w:val="00CD1684"/>
    <w:rsid w:val="00CD16E7"/>
    <w:rsid w:val="00CD16E9"/>
    <w:rsid w:val="00CD19FE"/>
    <w:rsid w:val="00CD1DEB"/>
    <w:rsid w:val="00CD2240"/>
    <w:rsid w:val="00CD2821"/>
    <w:rsid w:val="00CD2950"/>
    <w:rsid w:val="00CD2C28"/>
    <w:rsid w:val="00CD2C4F"/>
    <w:rsid w:val="00CD3028"/>
    <w:rsid w:val="00CD3878"/>
    <w:rsid w:val="00CD3F77"/>
    <w:rsid w:val="00CD4844"/>
    <w:rsid w:val="00CD4E6A"/>
    <w:rsid w:val="00CD4F8C"/>
    <w:rsid w:val="00CD501D"/>
    <w:rsid w:val="00CD5514"/>
    <w:rsid w:val="00CD553B"/>
    <w:rsid w:val="00CD5C4A"/>
    <w:rsid w:val="00CD5DAD"/>
    <w:rsid w:val="00CD5EE4"/>
    <w:rsid w:val="00CD6065"/>
    <w:rsid w:val="00CD6136"/>
    <w:rsid w:val="00CD6463"/>
    <w:rsid w:val="00CD667A"/>
    <w:rsid w:val="00CD6727"/>
    <w:rsid w:val="00CD6ADC"/>
    <w:rsid w:val="00CD6E3F"/>
    <w:rsid w:val="00CD6F29"/>
    <w:rsid w:val="00CD7193"/>
    <w:rsid w:val="00CD7414"/>
    <w:rsid w:val="00CD7EB9"/>
    <w:rsid w:val="00CE0379"/>
    <w:rsid w:val="00CE066C"/>
    <w:rsid w:val="00CE06C5"/>
    <w:rsid w:val="00CE0743"/>
    <w:rsid w:val="00CE0AA1"/>
    <w:rsid w:val="00CE0E79"/>
    <w:rsid w:val="00CE13AC"/>
    <w:rsid w:val="00CE144F"/>
    <w:rsid w:val="00CE1733"/>
    <w:rsid w:val="00CE178D"/>
    <w:rsid w:val="00CE1BB8"/>
    <w:rsid w:val="00CE1FA6"/>
    <w:rsid w:val="00CE237D"/>
    <w:rsid w:val="00CE240E"/>
    <w:rsid w:val="00CE2A42"/>
    <w:rsid w:val="00CE32DA"/>
    <w:rsid w:val="00CE3447"/>
    <w:rsid w:val="00CE3753"/>
    <w:rsid w:val="00CE38C8"/>
    <w:rsid w:val="00CE3D7A"/>
    <w:rsid w:val="00CE4232"/>
    <w:rsid w:val="00CE42C3"/>
    <w:rsid w:val="00CE524F"/>
    <w:rsid w:val="00CE564E"/>
    <w:rsid w:val="00CE58CC"/>
    <w:rsid w:val="00CE5A6D"/>
    <w:rsid w:val="00CE5B91"/>
    <w:rsid w:val="00CE5EE9"/>
    <w:rsid w:val="00CE6003"/>
    <w:rsid w:val="00CE6274"/>
    <w:rsid w:val="00CE6FB4"/>
    <w:rsid w:val="00CE77AA"/>
    <w:rsid w:val="00CE77B6"/>
    <w:rsid w:val="00CE7A51"/>
    <w:rsid w:val="00CE7E36"/>
    <w:rsid w:val="00CF0A3A"/>
    <w:rsid w:val="00CF148B"/>
    <w:rsid w:val="00CF1DDD"/>
    <w:rsid w:val="00CF1FE1"/>
    <w:rsid w:val="00CF27BD"/>
    <w:rsid w:val="00CF2B8D"/>
    <w:rsid w:val="00CF33BB"/>
    <w:rsid w:val="00CF3405"/>
    <w:rsid w:val="00CF3A1B"/>
    <w:rsid w:val="00CF3C49"/>
    <w:rsid w:val="00CF3FA9"/>
    <w:rsid w:val="00CF4006"/>
    <w:rsid w:val="00CF405B"/>
    <w:rsid w:val="00CF456B"/>
    <w:rsid w:val="00CF4962"/>
    <w:rsid w:val="00CF498C"/>
    <w:rsid w:val="00CF4BFE"/>
    <w:rsid w:val="00CF4E75"/>
    <w:rsid w:val="00CF512B"/>
    <w:rsid w:val="00CF5A22"/>
    <w:rsid w:val="00CF65BA"/>
    <w:rsid w:val="00CF76E8"/>
    <w:rsid w:val="00CF7A63"/>
    <w:rsid w:val="00D002B1"/>
    <w:rsid w:val="00D00FF3"/>
    <w:rsid w:val="00D012D7"/>
    <w:rsid w:val="00D01387"/>
    <w:rsid w:val="00D015B7"/>
    <w:rsid w:val="00D01769"/>
    <w:rsid w:val="00D018BC"/>
    <w:rsid w:val="00D01919"/>
    <w:rsid w:val="00D01EDF"/>
    <w:rsid w:val="00D0262E"/>
    <w:rsid w:val="00D0271D"/>
    <w:rsid w:val="00D0275D"/>
    <w:rsid w:val="00D02B28"/>
    <w:rsid w:val="00D02DBF"/>
    <w:rsid w:val="00D0341B"/>
    <w:rsid w:val="00D03507"/>
    <w:rsid w:val="00D03679"/>
    <w:rsid w:val="00D037A5"/>
    <w:rsid w:val="00D037EE"/>
    <w:rsid w:val="00D0508B"/>
    <w:rsid w:val="00D051AD"/>
    <w:rsid w:val="00D05625"/>
    <w:rsid w:val="00D057F9"/>
    <w:rsid w:val="00D05C35"/>
    <w:rsid w:val="00D05C77"/>
    <w:rsid w:val="00D05D87"/>
    <w:rsid w:val="00D05E3D"/>
    <w:rsid w:val="00D06139"/>
    <w:rsid w:val="00D068DA"/>
    <w:rsid w:val="00D06BDA"/>
    <w:rsid w:val="00D06E39"/>
    <w:rsid w:val="00D07176"/>
    <w:rsid w:val="00D0724D"/>
    <w:rsid w:val="00D07724"/>
    <w:rsid w:val="00D07D42"/>
    <w:rsid w:val="00D105E0"/>
    <w:rsid w:val="00D108A0"/>
    <w:rsid w:val="00D1090E"/>
    <w:rsid w:val="00D10D48"/>
    <w:rsid w:val="00D1105C"/>
    <w:rsid w:val="00D110BD"/>
    <w:rsid w:val="00D1116E"/>
    <w:rsid w:val="00D115E2"/>
    <w:rsid w:val="00D11879"/>
    <w:rsid w:val="00D11908"/>
    <w:rsid w:val="00D11F77"/>
    <w:rsid w:val="00D128E7"/>
    <w:rsid w:val="00D12BC2"/>
    <w:rsid w:val="00D13496"/>
    <w:rsid w:val="00D13675"/>
    <w:rsid w:val="00D136A8"/>
    <w:rsid w:val="00D13B37"/>
    <w:rsid w:val="00D140D6"/>
    <w:rsid w:val="00D141E1"/>
    <w:rsid w:val="00D145B5"/>
    <w:rsid w:val="00D145DA"/>
    <w:rsid w:val="00D14A67"/>
    <w:rsid w:val="00D14DF6"/>
    <w:rsid w:val="00D1518B"/>
    <w:rsid w:val="00D15314"/>
    <w:rsid w:val="00D15B48"/>
    <w:rsid w:val="00D15ED8"/>
    <w:rsid w:val="00D1601D"/>
    <w:rsid w:val="00D166CB"/>
    <w:rsid w:val="00D17225"/>
    <w:rsid w:val="00D173C0"/>
    <w:rsid w:val="00D17D6C"/>
    <w:rsid w:val="00D200EA"/>
    <w:rsid w:val="00D20272"/>
    <w:rsid w:val="00D2031B"/>
    <w:rsid w:val="00D20377"/>
    <w:rsid w:val="00D20559"/>
    <w:rsid w:val="00D20663"/>
    <w:rsid w:val="00D20B7E"/>
    <w:rsid w:val="00D20FA1"/>
    <w:rsid w:val="00D20FCC"/>
    <w:rsid w:val="00D21065"/>
    <w:rsid w:val="00D2155B"/>
    <w:rsid w:val="00D21773"/>
    <w:rsid w:val="00D21E5E"/>
    <w:rsid w:val="00D22416"/>
    <w:rsid w:val="00D22904"/>
    <w:rsid w:val="00D22F42"/>
    <w:rsid w:val="00D23514"/>
    <w:rsid w:val="00D23D11"/>
    <w:rsid w:val="00D244B6"/>
    <w:rsid w:val="00D2482D"/>
    <w:rsid w:val="00D24CB4"/>
    <w:rsid w:val="00D25342"/>
    <w:rsid w:val="00D255CD"/>
    <w:rsid w:val="00D25722"/>
    <w:rsid w:val="00D26101"/>
    <w:rsid w:val="00D264B8"/>
    <w:rsid w:val="00D26B9A"/>
    <w:rsid w:val="00D26E63"/>
    <w:rsid w:val="00D2754D"/>
    <w:rsid w:val="00D27A48"/>
    <w:rsid w:val="00D27B27"/>
    <w:rsid w:val="00D27C48"/>
    <w:rsid w:val="00D27ED0"/>
    <w:rsid w:val="00D27EE4"/>
    <w:rsid w:val="00D30777"/>
    <w:rsid w:val="00D30B0E"/>
    <w:rsid w:val="00D30D5B"/>
    <w:rsid w:val="00D32249"/>
    <w:rsid w:val="00D32BED"/>
    <w:rsid w:val="00D32FF8"/>
    <w:rsid w:val="00D3321B"/>
    <w:rsid w:val="00D335BC"/>
    <w:rsid w:val="00D33BE9"/>
    <w:rsid w:val="00D33E1B"/>
    <w:rsid w:val="00D33F93"/>
    <w:rsid w:val="00D34296"/>
    <w:rsid w:val="00D348B5"/>
    <w:rsid w:val="00D349BB"/>
    <w:rsid w:val="00D349D3"/>
    <w:rsid w:val="00D34A20"/>
    <w:rsid w:val="00D34A6E"/>
    <w:rsid w:val="00D34AAB"/>
    <w:rsid w:val="00D34BEC"/>
    <w:rsid w:val="00D357FF"/>
    <w:rsid w:val="00D35AEE"/>
    <w:rsid w:val="00D35E52"/>
    <w:rsid w:val="00D3636F"/>
    <w:rsid w:val="00D3649A"/>
    <w:rsid w:val="00D366E0"/>
    <w:rsid w:val="00D36D20"/>
    <w:rsid w:val="00D3717E"/>
    <w:rsid w:val="00D371C0"/>
    <w:rsid w:val="00D371CF"/>
    <w:rsid w:val="00D374C4"/>
    <w:rsid w:val="00D402CA"/>
    <w:rsid w:val="00D410E4"/>
    <w:rsid w:val="00D41354"/>
    <w:rsid w:val="00D414A2"/>
    <w:rsid w:val="00D418C5"/>
    <w:rsid w:val="00D4191F"/>
    <w:rsid w:val="00D41EFF"/>
    <w:rsid w:val="00D424C7"/>
    <w:rsid w:val="00D42906"/>
    <w:rsid w:val="00D42EB6"/>
    <w:rsid w:val="00D43974"/>
    <w:rsid w:val="00D43B2A"/>
    <w:rsid w:val="00D43CF1"/>
    <w:rsid w:val="00D43D83"/>
    <w:rsid w:val="00D440CB"/>
    <w:rsid w:val="00D44209"/>
    <w:rsid w:val="00D44659"/>
    <w:rsid w:val="00D449EF"/>
    <w:rsid w:val="00D44A7F"/>
    <w:rsid w:val="00D44EEE"/>
    <w:rsid w:val="00D44FD2"/>
    <w:rsid w:val="00D452A0"/>
    <w:rsid w:val="00D454F9"/>
    <w:rsid w:val="00D45673"/>
    <w:rsid w:val="00D45A4C"/>
    <w:rsid w:val="00D45C17"/>
    <w:rsid w:val="00D45F31"/>
    <w:rsid w:val="00D46470"/>
    <w:rsid w:val="00D46BC9"/>
    <w:rsid w:val="00D47575"/>
    <w:rsid w:val="00D50194"/>
    <w:rsid w:val="00D50199"/>
    <w:rsid w:val="00D50B0D"/>
    <w:rsid w:val="00D50D22"/>
    <w:rsid w:val="00D510DA"/>
    <w:rsid w:val="00D519EB"/>
    <w:rsid w:val="00D51A08"/>
    <w:rsid w:val="00D51CAD"/>
    <w:rsid w:val="00D52025"/>
    <w:rsid w:val="00D5229C"/>
    <w:rsid w:val="00D5243B"/>
    <w:rsid w:val="00D529E9"/>
    <w:rsid w:val="00D52AE5"/>
    <w:rsid w:val="00D533EC"/>
    <w:rsid w:val="00D5394D"/>
    <w:rsid w:val="00D53B64"/>
    <w:rsid w:val="00D53C7B"/>
    <w:rsid w:val="00D53E0C"/>
    <w:rsid w:val="00D54402"/>
    <w:rsid w:val="00D5469F"/>
    <w:rsid w:val="00D54702"/>
    <w:rsid w:val="00D54815"/>
    <w:rsid w:val="00D548D0"/>
    <w:rsid w:val="00D54BFC"/>
    <w:rsid w:val="00D54C1D"/>
    <w:rsid w:val="00D55254"/>
    <w:rsid w:val="00D55BBD"/>
    <w:rsid w:val="00D55F66"/>
    <w:rsid w:val="00D55FAD"/>
    <w:rsid w:val="00D561E0"/>
    <w:rsid w:val="00D56426"/>
    <w:rsid w:val="00D56A95"/>
    <w:rsid w:val="00D571AE"/>
    <w:rsid w:val="00D57A6A"/>
    <w:rsid w:val="00D57EC4"/>
    <w:rsid w:val="00D60170"/>
    <w:rsid w:val="00D6030B"/>
    <w:rsid w:val="00D6076E"/>
    <w:rsid w:val="00D60A5F"/>
    <w:rsid w:val="00D60DCD"/>
    <w:rsid w:val="00D60DFE"/>
    <w:rsid w:val="00D60ED3"/>
    <w:rsid w:val="00D612F0"/>
    <w:rsid w:val="00D61765"/>
    <w:rsid w:val="00D621D9"/>
    <w:rsid w:val="00D62456"/>
    <w:rsid w:val="00D62474"/>
    <w:rsid w:val="00D62770"/>
    <w:rsid w:val="00D62813"/>
    <w:rsid w:val="00D62CD6"/>
    <w:rsid w:val="00D62EEF"/>
    <w:rsid w:val="00D635FF"/>
    <w:rsid w:val="00D6379D"/>
    <w:rsid w:val="00D63A6D"/>
    <w:rsid w:val="00D63C8D"/>
    <w:rsid w:val="00D641E8"/>
    <w:rsid w:val="00D6465A"/>
    <w:rsid w:val="00D64724"/>
    <w:rsid w:val="00D649E1"/>
    <w:rsid w:val="00D64E38"/>
    <w:rsid w:val="00D64F44"/>
    <w:rsid w:val="00D6548F"/>
    <w:rsid w:val="00D659B5"/>
    <w:rsid w:val="00D66126"/>
    <w:rsid w:val="00D673B1"/>
    <w:rsid w:val="00D6759A"/>
    <w:rsid w:val="00D67905"/>
    <w:rsid w:val="00D67B55"/>
    <w:rsid w:val="00D67DF1"/>
    <w:rsid w:val="00D67F58"/>
    <w:rsid w:val="00D70048"/>
    <w:rsid w:val="00D7010B"/>
    <w:rsid w:val="00D709D1"/>
    <w:rsid w:val="00D70CE7"/>
    <w:rsid w:val="00D70F16"/>
    <w:rsid w:val="00D711E2"/>
    <w:rsid w:val="00D714D6"/>
    <w:rsid w:val="00D71923"/>
    <w:rsid w:val="00D71B06"/>
    <w:rsid w:val="00D72147"/>
    <w:rsid w:val="00D72617"/>
    <w:rsid w:val="00D729E4"/>
    <w:rsid w:val="00D72A74"/>
    <w:rsid w:val="00D72B4E"/>
    <w:rsid w:val="00D72F57"/>
    <w:rsid w:val="00D732EF"/>
    <w:rsid w:val="00D73A51"/>
    <w:rsid w:val="00D74604"/>
    <w:rsid w:val="00D7494F"/>
    <w:rsid w:val="00D74DC0"/>
    <w:rsid w:val="00D755F2"/>
    <w:rsid w:val="00D7577B"/>
    <w:rsid w:val="00D76A44"/>
    <w:rsid w:val="00D76E43"/>
    <w:rsid w:val="00D76E6D"/>
    <w:rsid w:val="00D7748B"/>
    <w:rsid w:val="00D776E3"/>
    <w:rsid w:val="00D77E40"/>
    <w:rsid w:val="00D8009F"/>
    <w:rsid w:val="00D8046E"/>
    <w:rsid w:val="00D80675"/>
    <w:rsid w:val="00D80E0C"/>
    <w:rsid w:val="00D8123B"/>
    <w:rsid w:val="00D81385"/>
    <w:rsid w:val="00D814C8"/>
    <w:rsid w:val="00D815EF"/>
    <w:rsid w:val="00D81949"/>
    <w:rsid w:val="00D81D57"/>
    <w:rsid w:val="00D81F26"/>
    <w:rsid w:val="00D81F82"/>
    <w:rsid w:val="00D822E2"/>
    <w:rsid w:val="00D8266C"/>
    <w:rsid w:val="00D82973"/>
    <w:rsid w:val="00D82A09"/>
    <w:rsid w:val="00D82A83"/>
    <w:rsid w:val="00D8342A"/>
    <w:rsid w:val="00D83525"/>
    <w:rsid w:val="00D83666"/>
    <w:rsid w:val="00D83802"/>
    <w:rsid w:val="00D8384C"/>
    <w:rsid w:val="00D843F2"/>
    <w:rsid w:val="00D84437"/>
    <w:rsid w:val="00D84A8D"/>
    <w:rsid w:val="00D84E0A"/>
    <w:rsid w:val="00D84ECA"/>
    <w:rsid w:val="00D84F82"/>
    <w:rsid w:val="00D85A8D"/>
    <w:rsid w:val="00D861DE"/>
    <w:rsid w:val="00D86231"/>
    <w:rsid w:val="00D86A40"/>
    <w:rsid w:val="00D870FD"/>
    <w:rsid w:val="00D871BB"/>
    <w:rsid w:val="00D872B3"/>
    <w:rsid w:val="00D87EC6"/>
    <w:rsid w:val="00D90039"/>
    <w:rsid w:val="00D90203"/>
    <w:rsid w:val="00D9036E"/>
    <w:rsid w:val="00D91012"/>
    <w:rsid w:val="00D912AB"/>
    <w:rsid w:val="00D9158C"/>
    <w:rsid w:val="00D91923"/>
    <w:rsid w:val="00D91A40"/>
    <w:rsid w:val="00D9206E"/>
    <w:rsid w:val="00D926E5"/>
    <w:rsid w:val="00D93453"/>
    <w:rsid w:val="00D93753"/>
    <w:rsid w:val="00D94076"/>
    <w:rsid w:val="00D94695"/>
    <w:rsid w:val="00D94C63"/>
    <w:rsid w:val="00D95BE2"/>
    <w:rsid w:val="00D95C78"/>
    <w:rsid w:val="00D96186"/>
    <w:rsid w:val="00D96608"/>
    <w:rsid w:val="00D96C91"/>
    <w:rsid w:val="00D96E2F"/>
    <w:rsid w:val="00D96E8E"/>
    <w:rsid w:val="00D97B05"/>
    <w:rsid w:val="00D97CEF"/>
    <w:rsid w:val="00DA06E3"/>
    <w:rsid w:val="00DA0D6E"/>
    <w:rsid w:val="00DA0DAA"/>
    <w:rsid w:val="00DA0DEE"/>
    <w:rsid w:val="00DA154C"/>
    <w:rsid w:val="00DA163C"/>
    <w:rsid w:val="00DA199C"/>
    <w:rsid w:val="00DA19CC"/>
    <w:rsid w:val="00DA1AA2"/>
    <w:rsid w:val="00DA1AA9"/>
    <w:rsid w:val="00DA1CE8"/>
    <w:rsid w:val="00DA27E1"/>
    <w:rsid w:val="00DA29D3"/>
    <w:rsid w:val="00DA2A36"/>
    <w:rsid w:val="00DA2C2E"/>
    <w:rsid w:val="00DA3037"/>
    <w:rsid w:val="00DA3167"/>
    <w:rsid w:val="00DA32D6"/>
    <w:rsid w:val="00DA37E0"/>
    <w:rsid w:val="00DA4DC3"/>
    <w:rsid w:val="00DA4FEC"/>
    <w:rsid w:val="00DA528D"/>
    <w:rsid w:val="00DA5ABF"/>
    <w:rsid w:val="00DA66D9"/>
    <w:rsid w:val="00DA673F"/>
    <w:rsid w:val="00DA69CA"/>
    <w:rsid w:val="00DA6A11"/>
    <w:rsid w:val="00DA7346"/>
    <w:rsid w:val="00DA736D"/>
    <w:rsid w:val="00DA77A5"/>
    <w:rsid w:val="00DA7E25"/>
    <w:rsid w:val="00DA7F85"/>
    <w:rsid w:val="00DB0020"/>
    <w:rsid w:val="00DB0987"/>
    <w:rsid w:val="00DB0E36"/>
    <w:rsid w:val="00DB11A3"/>
    <w:rsid w:val="00DB1380"/>
    <w:rsid w:val="00DB161C"/>
    <w:rsid w:val="00DB1D5D"/>
    <w:rsid w:val="00DB2A97"/>
    <w:rsid w:val="00DB33C5"/>
    <w:rsid w:val="00DB33D5"/>
    <w:rsid w:val="00DB3DBF"/>
    <w:rsid w:val="00DB3E1F"/>
    <w:rsid w:val="00DB44B4"/>
    <w:rsid w:val="00DB484F"/>
    <w:rsid w:val="00DB4C5F"/>
    <w:rsid w:val="00DB4D58"/>
    <w:rsid w:val="00DB526E"/>
    <w:rsid w:val="00DB6386"/>
    <w:rsid w:val="00DB6840"/>
    <w:rsid w:val="00DB6932"/>
    <w:rsid w:val="00DB7540"/>
    <w:rsid w:val="00DB79AE"/>
    <w:rsid w:val="00DC047F"/>
    <w:rsid w:val="00DC04F6"/>
    <w:rsid w:val="00DC0641"/>
    <w:rsid w:val="00DC0690"/>
    <w:rsid w:val="00DC0EF5"/>
    <w:rsid w:val="00DC14A3"/>
    <w:rsid w:val="00DC1540"/>
    <w:rsid w:val="00DC19E1"/>
    <w:rsid w:val="00DC1AE7"/>
    <w:rsid w:val="00DC1D65"/>
    <w:rsid w:val="00DC1F9E"/>
    <w:rsid w:val="00DC254D"/>
    <w:rsid w:val="00DC2668"/>
    <w:rsid w:val="00DC30B5"/>
    <w:rsid w:val="00DC32A6"/>
    <w:rsid w:val="00DC32B9"/>
    <w:rsid w:val="00DC3527"/>
    <w:rsid w:val="00DC35DA"/>
    <w:rsid w:val="00DC3934"/>
    <w:rsid w:val="00DC396C"/>
    <w:rsid w:val="00DC3C57"/>
    <w:rsid w:val="00DC41DD"/>
    <w:rsid w:val="00DC41E0"/>
    <w:rsid w:val="00DC4295"/>
    <w:rsid w:val="00DC4D12"/>
    <w:rsid w:val="00DC4F63"/>
    <w:rsid w:val="00DC51D7"/>
    <w:rsid w:val="00DC54A0"/>
    <w:rsid w:val="00DC5501"/>
    <w:rsid w:val="00DC59B0"/>
    <w:rsid w:val="00DC5D55"/>
    <w:rsid w:val="00DC5DE4"/>
    <w:rsid w:val="00DC5E95"/>
    <w:rsid w:val="00DC5F38"/>
    <w:rsid w:val="00DC616B"/>
    <w:rsid w:val="00DC67A8"/>
    <w:rsid w:val="00DC6B0E"/>
    <w:rsid w:val="00DC6D92"/>
    <w:rsid w:val="00DC6FD6"/>
    <w:rsid w:val="00DC7154"/>
    <w:rsid w:val="00DC7952"/>
    <w:rsid w:val="00DC7E8A"/>
    <w:rsid w:val="00DD01B3"/>
    <w:rsid w:val="00DD01CC"/>
    <w:rsid w:val="00DD0F78"/>
    <w:rsid w:val="00DD11C6"/>
    <w:rsid w:val="00DD1875"/>
    <w:rsid w:val="00DD1B00"/>
    <w:rsid w:val="00DD1EE5"/>
    <w:rsid w:val="00DD1FDF"/>
    <w:rsid w:val="00DD20E3"/>
    <w:rsid w:val="00DD2167"/>
    <w:rsid w:val="00DD237C"/>
    <w:rsid w:val="00DD273C"/>
    <w:rsid w:val="00DD2B42"/>
    <w:rsid w:val="00DD2EE1"/>
    <w:rsid w:val="00DD2FAF"/>
    <w:rsid w:val="00DD319A"/>
    <w:rsid w:val="00DD3F28"/>
    <w:rsid w:val="00DD4446"/>
    <w:rsid w:val="00DD4537"/>
    <w:rsid w:val="00DD461A"/>
    <w:rsid w:val="00DD46E1"/>
    <w:rsid w:val="00DD48BF"/>
    <w:rsid w:val="00DD4C15"/>
    <w:rsid w:val="00DD4E15"/>
    <w:rsid w:val="00DD4E28"/>
    <w:rsid w:val="00DD5191"/>
    <w:rsid w:val="00DD5251"/>
    <w:rsid w:val="00DD546B"/>
    <w:rsid w:val="00DD56E9"/>
    <w:rsid w:val="00DD5A51"/>
    <w:rsid w:val="00DD6067"/>
    <w:rsid w:val="00DD6285"/>
    <w:rsid w:val="00DD664C"/>
    <w:rsid w:val="00DD6AC0"/>
    <w:rsid w:val="00DD74FD"/>
    <w:rsid w:val="00DD7B39"/>
    <w:rsid w:val="00DD7B68"/>
    <w:rsid w:val="00DD7BC0"/>
    <w:rsid w:val="00DE0485"/>
    <w:rsid w:val="00DE0C35"/>
    <w:rsid w:val="00DE0DA5"/>
    <w:rsid w:val="00DE154E"/>
    <w:rsid w:val="00DE1E14"/>
    <w:rsid w:val="00DE2304"/>
    <w:rsid w:val="00DE2512"/>
    <w:rsid w:val="00DE2718"/>
    <w:rsid w:val="00DE27EA"/>
    <w:rsid w:val="00DE2958"/>
    <w:rsid w:val="00DE2AB9"/>
    <w:rsid w:val="00DE2B4C"/>
    <w:rsid w:val="00DE303E"/>
    <w:rsid w:val="00DE30F4"/>
    <w:rsid w:val="00DE3138"/>
    <w:rsid w:val="00DE3232"/>
    <w:rsid w:val="00DE33A6"/>
    <w:rsid w:val="00DE3674"/>
    <w:rsid w:val="00DE37F8"/>
    <w:rsid w:val="00DE3AD7"/>
    <w:rsid w:val="00DE3EC9"/>
    <w:rsid w:val="00DE4273"/>
    <w:rsid w:val="00DE4650"/>
    <w:rsid w:val="00DE4848"/>
    <w:rsid w:val="00DE48AC"/>
    <w:rsid w:val="00DE4952"/>
    <w:rsid w:val="00DE49BE"/>
    <w:rsid w:val="00DE4B22"/>
    <w:rsid w:val="00DE4BA4"/>
    <w:rsid w:val="00DE4BA8"/>
    <w:rsid w:val="00DE4BCA"/>
    <w:rsid w:val="00DE4FCB"/>
    <w:rsid w:val="00DE5440"/>
    <w:rsid w:val="00DE563F"/>
    <w:rsid w:val="00DE56D7"/>
    <w:rsid w:val="00DE576C"/>
    <w:rsid w:val="00DE5C1A"/>
    <w:rsid w:val="00DE5D07"/>
    <w:rsid w:val="00DE5F2B"/>
    <w:rsid w:val="00DE60E3"/>
    <w:rsid w:val="00DE61FA"/>
    <w:rsid w:val="00DE6402"/>
    <w:rsid w:val="00DE6D13"/>
    <w:rsid w:val="00DE6F32"/>
    <w:rsid w:val="00DE72A7"/>
    <w:rsid w:val="00DE7832"/>
    <w:rsid w:val="00DE79F2"/>
    <w:rsid w:val="00DF053D"/>
    <w:rsid w:val="00DF0723"/>
    <w:rsid w:val="00DF0D9C"/>
    <w:rsid w:val="00DF0ED9"/>
    <w:rsid w:val="00DF18DC"/>
    <w:rsid w:val="00DF18FC"/>
    <w:rsid w:val="00DF1AA4"/>
    <w:rsid w:val="00DF1B68"/>
    <w:rsid w:val="00DF230E"/>
    <w:rsid w:val="00DF2728"/>
    <w:rsid w:val="00DF2C4B"/>
    <w:rsid w:val="00DF3354"/>
    <w:rsid w:val="00DF341C"/>
    <w:rsid w:val="00DF39DD"/>
    <w:rsid w:val="00DF3BE1"/>
    <w:rsid w:val="00DF513F"/>
    <w:rsid w:val="00DF54DF"/>
    <w:rsid w:val="00DF5726"/>
    <w:rsid w:val="00DF58DD"/>
    <w:rsid w:val="00DF5D2B"/>
    <w:rsid w:val="00DF5E5E"/>
    <w:rsid w:val="00DF61DF"/>
    <w:rsid w:val="00DF6276"/>
    <w:rsid w:val="00DF6341"/>
    <w:rsid w:val="00DF6708"/>
    <w:rsid w:val="00DF6DDD"/>
    <w:rsid w:val="00DF712F"/>
    <w:rsid w:val="00DF71A0"/>
    <w:rsid w:val="00DF7495"/>
    <w:rsid w:val="00DF7704"/>
    <w:rsid w:val="00DF77EA"/>
    <w:rsid w:val="00E0022C"/>
    <w:rsid w:val="00E0093A"/>
    <w:rsid w:val="00E00E8E"/>
    <w:rsid w:val="00E00ED5"/>
    <w:rsid w:val="00E0100D"/>
    <w:rsid w:val="00E010D4"/>
    <w:rsid w:val="00E021B4"/>
    <w:rsid w:val="00E023C0"/>
    <w:rsid w:val="00E0260E"/>
    <w:rsid w:val="00E02712"/>
    <w:rsid w:val="00E0310D"/>
    <w:rsid w:val="00E04128"/>
    <w:rsid w:val="00E041E7"/>
    <w:rsid w:val="00E04631"/>
    <w:rsid w:val="00E047C0"/>
    <w:rsid w:val="00E04A48"/>
    <w:rsid w:val="00E04CC7"/>
    <w:rsid w:val="00E04D19"/>
    <w:rsid w:val="00E05411"/>
    <w:rsid w:val="00E055FE"/>
    <w:rsid w:val="00E05630"/>
    <w:rsid w:val="00E0598D"/>
    <w:rsid w:val="00E05A98"/>
    <w:rsid w:val="00E063E8"/>
    <w:rsid w:val="00E06436"/>
    <w:rsid w:val="00E06528"/>
    <w:rsid w:val="00E0693D"/>
    <w:rsid w:val="00E06942"/>
    <w:rsid w:val="00E06DBB"/>
    <w:rsid w:val="00E071C0"/>
    <w:rsid w:val="00E0776B"/>
    <w:rsid w:val="00E0782C"/>
    <w:rsid w:val="00E10149"/>
    <w:rsid w:val="00E102FA"/>
    <w:rsid w:val="00E105F5"/>
    <w:rsid w:val="00E10949"/>
    <w:rsid w:val="00E1094B"/>
    <w:rsid w:val="00E10D43"/>
    <w:rsid w:val="00E10D9D"/>
    <w:rsid w:val="00E1128F"/>
    <w:rsid w:val="00E11340"/>
    <w:rsid w:val="00E113ED"/>
    <w:rsid w:val="00E11D82"/>
    <w:rsid w:val="00E11FAB"/>
    <w:rsid w:val="00E122A1"/>
    <w:rsid w:val="00E1253F"/>
    <w:rsid w:val="00E12736"/>
    <w:rsid w:val="00E12C12"/>
    <w:rsid w:val="00E13326"/>
    <w:rsid w:val="00E13380"/>
    <w:rsid w:val="00E1356C"/>
    <w:rsid w:val="00E13713"/>
    <w:rsid w:val="00E13D51"/>
    <w:rsid w:val="00E146AF"/>
    <w:rsid w:val="00E14A93"/>
    <w:rsid w:val="00E15079"/>
    <w:rsid w:val="00E15444"/>
    <w:rsid w:val="00E1546F"/>
    <w:rsid w:val="00E15C22"/>
    <w:rsid w:val="00E16372"/>
    <w:rsid w:val="00E1696A"/>
    <w:rsid w:val="00E16AD8"/>
    <w:rsid w:val="00E16B43"/>
    <w:rsid w:val="00E16E4B"/>
    <w:rsid w:val="00E17608"/>
    <w:rsid w:val="00E17A59"/>
    <w:rsid w:val="00E17FFA"/>
    <w:rsid w:val="00E20275"/>
    <w:rsid w:val="00E20E4D"/>
    <w:rsid w:val="00E20EA9"/>
    <w:rsid w:val="00E20ED6"/>
    <w:rsid w:val="00E21358"/>
    <w:rsid w:val="00E2136B"/>
    <w:rsid w:val="00E21F46"/>
    <w:rsid w:val="00E2249B"/>
    <w:rsid w:val="00E225CA"/>
    <w:rsid w:val="00E2261D"/>
    <w:rsid w:val="00E2291D"/>
    <w:rsid w:val="00E22A0D"/>
    <w:rsid w:val="00E22D39"/>
    <w:rsid w:val="00E22E3E"/>
    <w:rsid w:val="00E22EF0"/>
    <w:rsid w:val="00E244BE"/>
    <w:rsid w:val="00E244F6"/>
    <w:rsid w:val="00E2485F"/>
    <w:rsid w:val="00E24BCE"/>
    <w:rsid w:val="00E251B8"/>
    <w:rsid w:val="00E25336"/>
    <w:rsid w:val="00E253FD"/>
    <w:rsid w:val="00E258DB"/>
    <w:rsid w:val="00E2621D"/>
    <w:rsid w:val="00E2637A"/>
    <w:rsid w:val="00E263DF"/>
    <w:rsid w:val="00E269B3"/>
    <w:rsid w:val="00E2716B"/>
    <w:rsid w:val="00E275B9"/>
    <w:rsid w:val="00E275F7"/>
    <w:rsid w:val="00E2771E"/>
    <w:rsid w:val="00E277C2"/>
    <w:rsid w:val="00E27B44"/>
    <w:rsid w:val="00E306AF"/>
    <w:rsid w:val="00E30E7A"/>
    <w:rsid w:val="00E30E93"/>
    <w:rsid w:val="00E311EF"/>
    <w:rsid w:val="00E31887"/>
    <w:rsid w:val="00E318DD"/>
    <w:rsid w:val="00E318EF"/>
    <w:rsid w:val="00E32180"/>
    <w:rsid w:val="00E32787"/>
    <w:rsid w:val="00E3360E"/>
    <w:rsid w:val="00E336A7"/>
    <w:rsid w:val="00E339DD"/>
    <w:rsid w:val="00E339EC"/>
    <w:rsid w:val="00E34948"/>
    <w:rsid w:val="00E34B67"/>
    <w:rsid w:val="00E34CF7"/>
    <w:rsid w:val="00E34EB8"/>
    <w:rsid w:val="00E35354"/>
    <w:rsid w:val="00E3555A"/>
    <w:rsid w:val="00E357A2"/>
    <w:rsid w:val="00E35972"/>
    <w:rsid w:val="00E3598A"/>
    <w:rsid w:val="00E35A77"/>
    <w:rsid w:val="00E36099"/>
    <w:rsid w:val="00E366A7"/>
    <w:rsid w:val="00E36933"/>
    <w:rsid w:val="00E36CFF"/>
    <w:rsid w:val="00E3700B"/>
    <w:rsid w:val="00E370CF"/>
    <w:rsid w:val="00E374FF"/>
    <w:rsid w:val="00E37569"/>
    <w:rsid w:val="00E37B17"/>
    <w:rsid w:val="00E37C4F"/>
    <w:rsid w:val="00E37EB8"/>
    <w:rsid w:val="00E401B2"/>
    <w:rsid w:val="00E40249"/>
    <w:rsid w:val="00E40B88"/>
    <w:rsid w:val="00E410B9"/>
    <w:rsid w:val="00E41BE0"/>
    <w:rsid w:val="00E41C26"/>
    <w:rsid w:val="00E41E30"/>
    <w:rsid w:val="00E4213C"/>
    <w:rsid w:val="00E42B7B"/>
    <w:rsid w:val="00E42CFA"/>
    <w:rsid w:val="00E42F73"/>
    <w:rsid w:val="00E431F7"/>
    <w:rsid w:val="00E436CF"/>
    <w:rsid w:val="00E43811"/>
    <w:rsid w:val="00E43D70"/>
    <w:rsid w:val="00E441A8"/>
    <w:rsid w:val="00E442C0"/>
    <w:rsid w:val="00E4449B"/>
    <w:rsid w:val="00E44B9E"/>
    <w:rsid w:val="00E44C89"/>
    <w:rsid w:val="00E44CCA"/>
    <w:rsid w:val="00E44D48"/>
    <w:rsid w:val="00E45589"/>
    <w:rsid w:val="00E4596A"/>
    <w:rsid w:val="00E45C59"/>
    <w:rsid w:val="00E45D08"/>
    <w:rsid w:val="00E4639D"/>
    <w:rsid w:val="00E46601"/>
    <w:rsid w:val="00E466F3"/>
    <w:rsid w:val="00E46D18"/>
    <w:rsid w:val="00E470C1"/>
    <w:rsid w:val="00E471FE"/>
    <w:rsid w:val="00E472B3"/>
    <w:rsid w:val="00E47327"/>
    <w:rsid w:val="00E47B2C"/>
    <w:rsid w:val="00E509E4"/>
    <w:rsid w:val="00E51560"/>
    <w:rsid w:val="00E515F4"/>
    <w:rsid w:val="00E51821"/>
    <w:rsid w:val="00E518A9"/>
    <w:rsid w:val="00E5255D"/>
    <w:rsid w:val="00E53891"/>
    <w:rsid w:val="00E53BE4"/>
    <w:rsid w:val="00E53DB3"/>
    <w:rsid w:val="00E53DD5"/>
    <w:rsid w:val="00E53E7F"/>
    <w:rsid w:val="00E53EF7"/>
    <w:rsid w:val="00E53FC8"/>
    <w:rsid w:val="00E5417B"/>
    <w:rsid w:val="00E54347"/>
    <w:rsid w:val="00E54987"/>
    <w:rsid w:val="00E54EDC"/>
    <w:rsid w:val="00E55424"/>
    <w:rsid w:val="00E554F3"/>
    <w:rsid w:val="00E5573E"/>
    <w:rsid w:val="00E5581C"/>
    <w:rsid w:val="00E55915"/>
    <w:rsid w:val="00E55BB5"/>
    <w:rsid w:val="00E55C60"/>
    <w:rsid w:val="00E55E0C"/>
    <w:rsid w:val="00E55F85"/>
    <w:rsid w:val="00E56715"/>
    <w:rsid w:val="00E5689C"/>
    <w:rsid w:val="00E56D6B"/>
    <w:rsid w:val="00E56DC1"/>
    <w:rsid w:val="00E56FDA"/>
    <w:rsid w:val="00E5737B"/>
    <w:rsid w:val="00E57594"/>
    <w:rsid w:val="00E57722"/>
    <w:rsid w:val="00E57773"/>
    <w:rsid w:val="00E60ECB"/>
    <w:rsid w:val="00E61118"/>
    <w:rsid w:val="00E611DF"/>
    <w:rsid w:val="00E61998"/>
    <w:rsid w:val="00E62480"/>
    <w:rsid w:val="00E62BDD"/>
    <w:rsid w:val="00E62D40"/>
    <w:rsid w:val="00E62E76"/>
    <w:rsid w:val="00E6369B"/>
    <w:rsid w:val="00E6379E"/>
    <w:rsid w:val="00E6391E"/>
    <w:rsid w:val="00E64266"/>
    <w:rsid w:val="00E645F2"/>
    <w:rsid w:val="00E64904"/>
    <w:rsid w:val="00E64B9D"/>
    <w:rsid w:val="00E652E3"/>
    <w:rsid w:val="00E653FC"/>
    <w:rsid w:val="00E65487"/>
    <w:rsid w:val="00E65E00"/>
    <w:rsid w:val="00E65E79"/>
    <w:rsid w:val="00E662DF"/>
    <w:rsid w:val="00E667D9"/>
    <w:rsid w:val="00E66BA2"/>
    <w:rsid w:val="00E66D17"/>
    <w:rsid w:val="00E66F29"/>
    <w:rsid w:val="00E670AB"/>
    <w:rsid w:val="00E671F8"/>
    <w:rsid w:val="00E6730B"/>
    <w:rsid w:val="00E67416"/>
    <w:rsid w:val="00E67580"/>
    <w:rsid w:val="00E67700"/>
    <w:rsid w:val="00E6770D"/>
    <w:rsid w:val="00E678CA"/>
    <w:rsid w:val="00E67944"/>
    <w:rsid w:val="00E70463"/>
    <w:rsid w:val="00E7062D"/>
    <w:rsid w:val="00E70A2C"/>
    <w:rsid w:val="00E70AE6"/>
    <w:rsid w:val="00E70D07"/>
    <w:rsid w:val="00E70EC2"/>
    <w:rsid w:val="00E715DE"/>
    <w:rsid w:val="00E718B6"/>
    <w:rsid w:val="00E718F3"/>
    <w:rsid w:val="00E71963"/>
    <w:rsid w:val="00E71C9A"/>
    <w:rsid w:val="00E7206C"/>
    <w:rsid w:val="00E72340"/>
    <w:rsid w:val="00E723BA"/>
    <w:rsid w:val="00E7240C"/>
    <w:rsid w:val="00E7271C"/>
    <w:rsid w:val="00E72767"/>
    <w:rsid w:val="00E72833"/>
    <w:rsid w:val="00E7300B"/>
    <w:rsid w:val="00E734D4"/>
    <w:rsid w:val="00E73581"/>
    <w:rsid w:val="00E73F51"/>
    <w:rsid w:val="00E74147"/>
    <w:rsid w:val="00E748A9"/>
    <w:rsid w:val="00E748CB"/>
    <w:rsid w:val="00E74A10"/>
    <w:rsid w:val="00E74E98"/>
    <w:rsid w:val="00E753EB"/>
    <w:rsid w:val="00E759F8"/>
    <w:rsid w:val="00E76183"/>
    <w:rsid w:val="00E777AB"/>
    <w:rsid w:val="00E77945"/>
    <w:rsid w:val="00E8036D"/>
    <w:rsid w:val="00E80F59"/>
    <w:rsid w:val="00E818BF"/>
    <w:rsid w:val="00E8214C"/>
    <w:rsid w:val="00E8235B"/>
    <w:rsid w:val="00E8301A"/>
    <w:rsid w:val="00E831B5"/>
    <w:rsid w:val="00E83247"/>
    <w:rsid w:val="00E833F7"/>
    <w:rsid w:val="00E8348F"/>
    <w:rsid w:val="00E83593"/>
    <w:rsid w:val="00E8376A"/>
    <w:rsid w:val="00E83A22"/>
    <w:rsid w:val="00E83BDF"/>
    <w:rsid w:val="00E83F9E"/>
    <w:rsid w:val="00E83FA7"/>
    <w:rsid w:val="00E840EE"/>
    <w:rsid w:val="00E844C5"/>
    <w:rsid w:val="00E8450C"/>
    <w:rsid w:val="00E8497E"/>
    <w:rsid w:val="00E84BFB"/>
    <w:rsid w:val="00E84C7C"/>
    <w:rsid w:val="00E84F1A"/>
    <w:rsid w:val="00E85DFD"/>
    <w:rsid w:val="00E86045"/>
    <w:rsid w:val="00E8647B"/>
    <w:rsid w:val="00E86B84"/>
    <w:rsid w:val="00E86FCC"/>
    <w:rsid w:val="00E8778B"/>
    <w:rsid w:val="00E87A1D"/>
    <w:rsid w:val="00E87BEA"/>
    <w:rsid w:val="00E900CC"/>
    <w:rsid w:val="00E901ED"/>
    <w:rsid w:val="00E903AD"/>
    <w:rsid w:val="00E903B6"/>
    <w:rsid w:val="00E908B3"/>
    <w:rsid w:val="00E9094A"/>
    <w:rsid w:val="00E90C41"/>
    <w:rsid w:val="00E91694"/>
    <w:rsid w:val="00E9175F"/>
    <w:rsid w:val="00E91D35"/>
    <w:rsid w:val="00E922F2"/>
    <w:rsid w:val="00E9254F"/>
    <w:rsid w:val="00E926A5"/>
    <w:rsid w:val="00E926FE"/>
    <w:rsid w:val="00E92DDB"/>
    <w:rsid w:val="00E931EF"/>
    <w:rsid w:val="00E935D4"/>
    <w:rsid w:val="00E938A2"/>
    <w:rsid w:val="00E93AA8"/>
    <w:rsid w:val="00E93DA7"/>
    <w:rsid w:val="00E94341"/>
    <w:rsid w:val="00E94471"/>
    <w:rsid w:val="00E952A3"/>
    <w:rsid w:val="00E958D1"/>
    <w:rsid w:val="00E95FC6"/>
    <w:rsid w:val="00E962CC"/>
    <w:rsid w:val="00E96832"/>
    <w:rsid w:val="00E96AB2"/>
    <w:rsid w:val="00E96CC0"/>
    <w:rsid w:val="00E971CF"/>
    <w:rsid w:val="00E974CA"/>
    <w:rsid w:val="00E974EA"/>
    <w:rsid w:val="00E97CBA"/>
    <w:rsid w:val="00EA057D"/>
    <w:rsid w:val="00EA0701"/>
    <w:rsid w:val="00EA07BB"/>
    <w:rsid w:val="00EA08CA"/>
    <w:rsid w:val="00EA0E6C"/>
    <w:rsid w:val="00EA0FA7"/>
    <w:rsid w:val="00EA13A3"/>
    <w:rsid w:val="00EA16C9"/>
    <w:rsid w:val="00EA17C3"/>
    <w:rsid w:val="00EA1B74"/>
    <w:rsid w:val="00EA2CAA"/>
    <w:rsid w:val="00EA3864"/>
    <w:rsid w:val="00EA3C29"/>
    <w:rsid w:val="00EA405D"/>
    <w:rsid w:val="00EA4407"/>
    <w:rsid w:val="00EA4597"/>
    <w:rsid w:val="00EA4DE5"/>
    <w:rsid w:val="00EA5046"/>
    <w:rsid w:val="00EA545F"/>
    <w:rsid w:val="00EA5C5C"/>
    <w:rsid w:val="00EA61D0"/>
    <w:rsid w:val="00EA61DB"/>
    <w:rsid w:val="00EA6329"/>
    <w:rsid w:val="00EA639F"/>
    <w:rsid w:val="00EA6A65"/>
    <w:rsid w:val="00EA6C33"/>
    <w:rsid w:val="00EA7522"/>
    <w:rsid w:val="00EA7F1C"/>
    <w:rsid w:val="00EB05D2"/>
    <w:rsid w:val="00EB062D"/>
    <w:rsid w:val="00EB0D80"/>
    <w:rsid w:val="00EB0F5B"/>
    <w:rsid w:val="00EB1590"/>
    <w:rsid w:val="00EB15B6"/>
    <w:rsid w:val="00EB2081"/>
    <w:rsid w:val="00EB25B3"/>
    <w:rsid w:val="00EB284E"/>
    <w:rsid w:val="00EB2B54"/>
    <w:rsid w:val="00EB2E7E"/>
    <w:rsid w:val="00EB2EE3"/>
    <w:rsid w:val="00EB33AC"/>
    <w:rsid w:val="00EB35DF"/>
    <w:rsid w:val="00EB3778"/>
    <w:rsid w:val="00EB3A83"/>
    <w:rsid w:val="00EB3D06"/>
    <w:rsid w:val="00EB3E52"/>
    <w:rsid w:val="00EB3FD3"/>
    <w:rsid w:val="00EB415B"/>
    <w:rsid w:val="00EB41EB"/>
    <w:rsid w:val="00EB4392"/>
    <w:rsid w:val="00EB449D"/>
    <w:rsid w:val="00EB4916"/>
    <w:rsid w:val="00EB54A2"/>
    <w:rsid w:val="00EB55AD"/>
    <w:rsid w:val="00EB5FF7"/>
    <w:rsid w:val="00EB60E2"/>
    <w:rsid w:val="00EB6101"/>
    <w:rsid w:val="00EB646E"/>
    <w:rsid w:val="00EB6E31"/>
    <w:rsid w:val="00EB6F53"/>
    <w:rsid w:val="00EB72B8"/>
    <w:rsid w:val="00EB75A7"/>
    <w:rsid w:val="00EB7AB8"/>
    <w:rsid w:val="00EB7E8F"/>
    <w:rsid w:val="00EC00C9"/>
    <w:rsid w:val="00EC00E7"/>
    <w:rsid w:val="00EC01A0"/>
    <w:rsid w:val="00EC05BA"/>
    <w:rsid w:val="00EC0CCB"/>
    <w:rsid w:val="00EC0DD9"/>
    <w:rsid w:val="00EC0E87"/>
    <w:rsid w:val="00EC120C"/>
    <w:rsid w:val="00EC1337"/>
    <w:rsid w:val="00EC14F8"/>
    <w:rsid w:val="00EC15FF"/>
    <w:rsid w:val="00EC1CB7"/>
    <w:rsid w:val="00EC2571"/>
    <w:rsid w:val="00EC2649"/>
    <w:rsid w:val="00EC2955"/>
    <w:rsid w:val="00EC29E0"/>
    <w:rsid w:val="00EC2EDB"/>
    <w:rsid w:val="00EC2EDC"/>
    <w:rsid w:val="00EC31ED"/>
    <w:rsid w:val="00EC36B2"/>
    <w:rsid w:val="00EC3709"/>
    <w:rsid w:val="00EC37B6"/>
    <w:rsid w:val="00EC3D65"/>
    <w:rsid w:val="00EC42AE"/>
    <w:rsid w:val="00EC447B"/>
    <w:rsid w:val="00EC48C8"/>
    <w:rsid w:val="00EC53F9"/>
    <w:rsid w:val="00EC543F"/>
    <w:rsid w:val="00EC57D8"/>
    <w:rsid w:val="00EC5836"/>
    <w:rsid w:val="00EC5BF4"/>
    <w:rsid w:val="00EC688C"/>
    <w:rsid w:val="00EC6C09"/>
    <w:rsid w:val="00EC7998"/>
    <w:rsid w:val="00EC7DCF"/>
    <w:rsid w:val="00EC7EE9"/>
    <w:rsid w:val="00EC7FEF"/>
    <w:rsid w:val="00ED01A8"/>
    <w:rsid w:val="00ED0DA1"/>
    <w:rsid w:val="00ED0FA5"/>
    <w:rsid w:val="00ED12E3"/>
    <w:rsid w:val="00ED13CF"/>
    <w:rsid w:val="00ED15D3"/>
    <w:rsid w:val="00ED1B60"/>
    <w:rsid w:val="00ED2247"/>
    <w:rsid w:val="00ED2444"/>
    <w:rsid w:val="00ED27AC"/>
    <w:rsid w:val="00ED2C6A"/>
    <w:rsid w:val="00ED3222"/>
    <w:rsid w:val="00ED3296"/>
    <w:rsid w:val="00ED359C"/>
    <w:rsid w:val="00ED3699"/>
    <w:rsid w:val="00ED386A"/>
    <w:rsid w:val="00ED420A"/>
    <w:rsid w:val="00ED4623"/>
    <w:rsid w:val="00ED4A20"/>
    <w:rsid w:val="00ED4B04"/>
    <w:rsid w:val="00ED4F48"/>
    <w:rsid w:val="00ED5066"/>
    <w:rsid w:val="00ED54B3"/>
    <w:rsid w:val="00ED552D"/>
    <w:rsid w:val="00ED57EA"/>
    <w:rsid w:val="00ED5935"/>
    <w:rsid w:val="00ED5BD4"/>
    <w:rsid w:val="00ED5F10"/>
    <w:rsid w:val="00ED5FE2"/>
    <w:rsid w:val="00ED5FF7"/>
    <w:rsid w:val="00ED6B72"/>
    <w:rsid w:val="00ED6CFA"/>
    <w:rsid w:val="00ED76C8"/>
    <w:rsid w:val="00EE00DB"/>
    <w:rsid w:val="00EE07D3"/>
    <w:rsid w:val="00EE08E0"/>
    <w:rsid w:val="00EE0BC6"/>
    <w:rsid w:val="00EE0F62"/>
    <w:rsid w:val="00EE17EC"/>
    <w:rsid w:val="00EE1986"/>
    <w:rsid w:val="00EE1996"/>
    <w:rsid w:val="00EE19CA"/>
    <w:rsid w:val="00EE1C01"/>
    <w:rsid w:val="00EE20BB"/>
    <w:rsid w:val="00EE210B"/>
    <w:rsid w:val="00EE2153"/>
    <w:rsid w:val="00EE22AF"/>
    <w:rsid w:val="00EE26AC"/>
    <w:rsid w:val="00EE2CDD"/>
    <w:rsid w:val="00EE30B6"/>
    <w:rsid w:val="00EE394D"/>
    <w:rsid w:val="00EE5237"/>
    <w:rsid w:val="00EE53A5"/>
    <w:rsid w:val="00EE5B4D"/>
    <w:rsid w:val="00EE5E2B"/>
    <w:rsid w:val="00EE5E32"/>
    <w:rsid w:val="00EE62AB"/>
    <w:rsid w:val="00EE6303"/>
    <w:rsid w:val="00EE6399"/>
    <w:rsid w:val="00EE6786"/>
    <w:rsid w:val="00EE67B2"/>
    <w:rsid w:val="00EE6AC9"/>
    <w:rsid w:val="00EE6C43"/>
    <w:rsid w:val="00EE6EE1"/>
    <w:rsid w:val="00EE6F6D"/>
    <w:rsid w:val="00EE7093"/>
    <w:rsid w:val="00EE70E6"/>
    <w:rsid w:val="00EE7651"/>
    <w:rsid w:val="00EE7707"/>
    <w:rsid w:val="00EE7746"/>
    <w:rsid w:val="00EF0171"/>
    <w:rsid w:val="00EF01C4"/>
    <w:rsid w:val="00EF05A9"/>
    <w:rsid w:val="00EF07AE"/>
    <w:rsid w:val="00EF0B0B"/>
    <w:rsid w:val="00EF0BCD"/>
    <w:rsid w:val="00EF1230"/>
    <w:rsid w:val="00EF14B3"/>
    <w:rsid w:val="00EF18D1"/>
    <w:rsid w:val="00EF1A1F"/>
    <w:rsid w:val="00EF1B25"/>
    <w:rsid w:val="00EF1DA0"/>
    <w:rsid w:val="00EF2852"/>
    <w:rsid w:val="00EF2E0E"/>
    <w:rsid w:val="00EF33DE"/>
    <w:rsid w:val="00EF37C6"/>
    <w:rsid w:val="00EF3881"/>
    <w:rsid w:val="00EF3CEF"/>
    <w:rsid w:val="00EF400A"/>
    <w:rsid w:val="00EF41BB"/>
    <w:rsid w:val="00EF4624"/>
    <w:rsid w:val="00EF4747"/>
    <w:rsid w:val="00EF4BF8"/>
    <w:rsid w:val="00EF4EB8"/>
    <w:rsid w:val="00EF50C0"/>
    <w:rsid w:val="00EF539D"/>
    <w:rsid w:val="00EF5499"/>
    <w:rsid w:val="00EF57EA"/>
    <w:rsid w:val="00EF5B6D"/>
    <w:rsid w:val="00EF5CB4"/>
    <w:rsid w:val="00EF60DA"/>
    <w:rsid w:val="00EF61AE"/>
    <w:rsid w:val="00EF6621"/>
    <w:rsid w:val="00EF68FB"/>
    <w:rsid w:val="00EF6A56"/>
    <w:rsid w:val="00EF6DA7"/>
    <w:rsid w:val="00EF6F1C"/>
    <w:rsid w:val="00EF6F8D"/>
    <w:rsid w:val="00EF7097"/>
    <w:rsid w:val="00EF72F8"/>
    <w:rsid w:val="00EF75C3"/>
    <w:rsid w:val="00EF7917"/>
    <w:rsid w:val="00EF7CFF"/>
    <w:rsid w:val="00F00520"/>
    <w:rsid w:val="00F01632"/>
    <w:rsid w:val="00F016B9"/>
    <w:rsid w:val="00F01B5C"/>
    <w:rsid w:val="00F01CBD"/>
    <w:rsid w:val="00F01E04"/>
    <w:rsid w:val="00F01FD5"/>
    <w:rsid w:val="00F02253"/>
    <w:rsid w:val="00F02778"/>
    <w:rsid w:val="00F02A14"/>
    <w:rsid w:val="00F03C2E"/>
    <w:rsid w:val="00F03DED"/>
    <w:rsid w:val="00F03F53"/>
    <w:rsid w:val="00F041F5"/>
    <w:rsid w:val="00F04821"/>
    <w:rsid w:val="00F049AF"/>
    <w:rsid w:val="00F04A66"/>
    <w:rsid w:val="00F04B4B"/>
    <w:rsid w:val="00F04BB8"/>
    <w:rsid w:val="00F0516C"/>
    <w:rsid w:val="00F059FC"/>
    <w:rsid w:val="00F05A79"/>
    <w:rsid w:val="00F05A93"/>
    <w:rsid w:val="00F05EDE"/>
    <w:rsid w:val="00F05FB9"/>
    <w:rsid w:val="00F063C7"/>
    <w:rsid w:val="00F06705"/>
    <w:rsid w:val="00F067A2"/>
    <w:rsid w:val="00F0682B"/>
    <w:rsid w:val="00F078C2"/>
    <w:rsid w:val="00F07B9E"/>
    <w:rsid w:val="00F07BDA"/>
    <w:rsid w:val="00F1001B"/>
    <w:rsid w:val="00F10CE0"/>
    <w:rsid w:val="00F10E3F"/>
    <w:rsid w:val="00F1115D"/>
    <w:rsid w:val="00F1116F"/>
    <w:rsid w:val="00F1121A"/>
    <w:rsid w:val="00F1121F"/>
    <w:rsid w:val="00F1152A"/>
    <w:rsid w:val="00F118AB"/>
    <w:rsid w:val="00F125AC"/>
    <w:rsid w:val="00F1263A"/>
    <w:rsid w:val="00F1292B"/>
    <w:rsid w:val="00F139C5"/>
    <w:rsid w:val="00F139D7"/>
    <w:rsid w:val="00F13AAB"/>
    <w:rsid w:val="00F13C20"/>
    <w:rsid w:val="00F1440D"/>
    <w:rsid w:val="00F14692"/>
    <w:rsid w:val="00F14A43"/>
    <w:rsid w:val="00F14DA8"/>
    <w:rsid w:val="00F15523"/>
    <w:rsid w:val="00F1576B"/>
    <w:rsid w:val="00F15B77"/>
    <w:rsid w:val="00F15BEB"/>
    <w:rsid w:val="00F16282"/>
    <w:rsid w:val="00F163D1"/>
    <w:rsid w:val="00F165BE"/>
    <w:rsid w:val="00F165D5"/>
    <w:rsid w:val="00F166A9"/>
    <w:rsid w:val="00F17110"/>
    <w:rsid w:val="00F17339"/>
    <w:rsid w:val="00F178C9"/>
    <w:rsid w:val="00F2010D"/>
    <w:rsid w:val="00F20A83"/>
    <w:rsid w:val="00F20E0F"/>
    <w:rsid w:val="00F211E7"/>
    <w:rsid w:val="00F21236"/>
    <w:rsid w:val="00F2131B"/>
    <w:rsid w:val="00F22719"/>
    <w:rsid w:val="00F22A57"/>
    <w:rsid w:val="00F22C59"/>
    <w:rsid w:val="00F230E0"/>
    <w:rsid w:val="00F236CC"/>
    <w:rsid w:val="00F2393A"/>
    <w:rsid w:val="00F239DF"/>
    <w:rsid w:val="00F23B24"/>
    <w:rsid w:val="00F23D38"/>
    <w:rsid w:val="00F24352"/>
    <w:rsid w:val="00F244D9"/>
    <w:rsid w:val="00F2469F"/>
    <w:rsid w:val="00F24837"/>
    <w:rsid w:val="00F2575F"/>
    <w:rsid w:val="00F259E2"/>
    <w:rsid w:val="00F25A90"/>
    <w:rsid w:val="00F25C52"/>
    <w:rsid w:val="00F25ECF"/>
    <w:rsid w:val="00F266B3"/>
    <w:rsid w:val="00F26A6F"/>
    <w:rsid w:val="00F26D9A"/>
    <w:rsid w:val="00F271CC"/>
    <w:rsid w:val="00F27565"/>
    <w:rsid w:val="00F2768B"/>
    <w:rsid w:val="00F2780B"/>
    <w:rsid w:val="00F303BB"/>
    <w:rsid w:val="00F30544"/>
    <w:rsid w:val="00F30707"/>
    <w:rsid w:val="00F30C44"/>
    <w:rsid w:val="00F30D0B"/>
    <w:rsid w:val="00F30F92"/>
    <w:rsid w:val="00F30F9E"/>
    <w:rsid w:val="00F310D4"/>
    <w:rsid w:val="00F310EF"/>
    <w:rsid w:val="00F31274"/>
    <w:rsid w:val="00F3134C"/>
    <w:rsid w:val="00F318B0"/>
    <w:rsid w:val="00F31D5A"/>
    <w:rsid w:val="00F31F99"/>
    <w:rsid w:val="00F323D2"/>
    <w:rsid w:val="00F32684"/>
    <w:rsid w:val="00F32AF9"/>
    <w:rsid w:val="00F33792"/>
    <w:rsid w:val="00F33845"/>
    <w:rsid w:val="00F338E7"/>
    <w:rsid w:val="00F33975"/>
    <w:rsid w:val="00F33BF6"/>
    <w:rsid w:val="00F33CCB"/>
    <w:rsid w:val="00F33DE9"/>
    <w:rsid w:val="00F34693"/>
    <w:rsid w:val="00F34DD9"/>
    <w:rsid w:val="00F34E19"/>
    <w:rsid w:val="00F3538F"/>
    <w:rsid w:val="00F35E6D"/>
    <w:rsid w:val="00F35E8A"/>
    <w:rsid w:val="00F36011"/>
    <w:rsid w:val="00F360B5"/>
    <w:rsid w:val="00F3619A"/>
    <w:rsid w:val="00F361A9"/>
    <w:rsid w:val="00F366E3"/>
    <w:rsid w:val="00F36BD6"/>
    <w:rsid w:val="00F373FB"/>
    <w:rsid w:val="00F405C8"/>
    <w:rsid w:val="00F409DE"/>
    <w:rsid w:val="00F40AAA"/>
    <w:rsid w:val="00F40BA7"/>
    <w:rsid w:val="00F40CD8"/>
    <w:rsid w:val="00F40F9D"/>
    <w:rsid w:val="00F411D5"/>
    <w:rsid w:val="00F41480"/>
    <w:rsid w:val="00F41A19"/>
    <w:rsid w:val="00F41ACD"/>
    <w:rsid w:val="00F41B4C"/>
    <w:rsid w:val="00F421A1"/>
    <w:rsid w:val="00F425D4"/>
    <w:rsid w:val="00F430D6"/>
    <w:rsid w:val="00F4312A"/>
    <w:rsid w:val="00F4436A"/>
    <w:rsid w:val="00F4480F"/>
    <w:rsid w:val="00F44B6C"/>
    <w:rsid w:val="00F459FE"/>
    <w:rsid w:val="00F45CD2"/>
    <w:rsid w:val="00F45D45"/>
    <w:rsid w:val="00F460F7"/>
    <w:rsid w:val="00F46299"/>
    <w:rsid w:val="00F4656E"/>
    <w:rsid w:val="00F46CB6"/>
    <w:rsid w:val="00F46D7B"/>
    <w:rsid w:val="00F46FE2"/>
    <w:rsid w:val="00F470DB"/>
    <w:rsid w:val="00F471C4"/>
    <w:rsid w:val="00F4756D"/>
    <w:rsid w:val="00F47AF2"/>
    <w:rsid w:val="00F47B20"/>
    <w:rsid w:val="00F47DE8"/>
    <w:rsid w:val="00F502DA"/>
    <w:rsid w:val="00F50513"/>
    <w:rsid w:val="00F50FE7"/>
    <w:rsid w:val="00F513D9"/>
    <w:rsid w:val="00F51A75"/>
    <w:rsid w:val="00F51E4C"/>
    <w:rsid w:val="00F5241F"/>
    <w:rsid w:val="00F528CA"/>
    <w:rsid w:val="00F52AC9"/>
    <w:rsid w:val="00F53AC9"/>
    <w:rsid w:val="00F53BC6"/>
    <w:rsid w:val="00F540D6"/>
    <w:rsid w:val="00F542C1"/>
    <w:rsid w:val="00F5463C"/>
    <w:rsid w:val="00F54C33"/>
    <w:rsid w:val="00F550E3"/>
    <w:rsid w:val="00F55437"/>
    <w:rsid w:val="00F55550"/>
    <w:rsid w:val="00F55D13"/>
    <w:rsid w:val="00F55E73"/>
    <w:rsid w:val="00F55EDA"/>
    <w:rsid w:val="00F5650D"/>
    <w:rsid w:val="00F5677D"/>
    <w:rsid w:val="00F56C80"/>
    <w:rsid w:val="00F60092"/>
    <w:rsid w:val="00F608D8"/>
    <w:rsid w:val="00F60B28"/>
    <w:rsid w:val="00F616A5"/>
    <w:rsid w:val="00F61C18"/>
    <w:rsid w:val="00F61C63"/>
    <w:rsid w:val="00F61F0C"/>
    <w:rsid w:val="00F6235C"/>
    <w:rsid w:val="00F626F4"/>
    <w:rsid w:val="00F6303D"/>
    <w:rsid w:val="00F637AB"/>
    <w:rsid w:val="00F63B47"/>
    <w:rsid w:val="00F63F57"/>
    <w:rsid w:val="00F6485C"/>
    <w:rsid w:val="00F6588F"/>
    <w:rsid w:val="00F65F4B"/>
    <w:rsid w:val="00F66050"/>
    <w:rsid w:val="00F66310"/>
    <w:rsid w:val="00F66B93"/>
    <w:rsid w:val="00F66BF0"/>
    <w:rsid w:val="00F66E93"/>
    <w:rsid w:val="00F674EF"/>
    <w:rsid w:val="00F67596"/>
    <w:rsid w:val="00F67718"/>
    <w:rsid w:val="00F6786E"/>
    <w:rsid w:val="00F67A69"/>
    <w:rsid w:val="00F67AFB"/>
    <w:rsid w:val="00F67F9A"/>
    <w:rsid w:val="00F70BFF"/>
    <w:rsid w:val="00F70C9D"/>
    <w:rsid w:val="00F70CC4"/>
    <w:rsid w:val="00F71550"/>
    <w:rsid w:val="00F7224B"/>
    <w:rsid w:val="00F72388"/>
    <w:rsid w:val="00F7299C"/>
    <w:rsid w:val="00F72DB3"/>
    <w:rsid w:val="00F7359C"/>
    <w:rsid w:val="00F73943"/>
    <w:rsid w:val="00F73989"/>
    <w:rsid w:val="00F73E08"/>
    <w:rsid w:val="00F7437E"/>
    <w:rsid w:val="00F744B8"/>
    <w:rsid w:val="00F748C5"/>
    <w:rsid w:val="00F74986"/>
    <w:rsid w:val="00F74CD9"/>
    <w:rsid w:val="00F74DA1"/>
    <w:rsid w:val="00F75805"/>
    <w:rsid w:val="00F75E61"/>
    <w:rsid w:val="00F761F6"/>
    <w:rsid w:val="00F7652A"/>
    <w:rsid w:val="00F7696A"/>
    <w:rsid w:val="00F76FAC"/>
    <w:rsid w:val="00F77B3A"/>
    <w:rsid w:val="00F800CC"/>
    <w:rsid w:val="00F808FA"/>
    <w:rsid w:val="00F80A7B"/>
    <w:rsid w:val="00F80D8A"/>
    <w:rsid w:val="00F80E5D"/>
    <w:rsid w:val="00F8109E"/>
    <w:rsid w:val="00F81215"/>
    <w:rsid w:val="00F81451"/>
    <w:rsid w:val="00F81533"/>
    <w:rsid w:val="00F8154B"/>
    <w:rsid w:val="00F81648"/>
    <w:rsid w:val="00F81C6B"/>
    <w:rsid w:val="00F81E78"/>
    <w:rsid w:val="00F824EA"/>
    <w:rsid w:val="00F82744"/>
    <w:rsid w:val="00F82B9A"/>
    <w:rsid w:val="00F82FDF"/>
    <w:rsid w:val="00F834D6"/>
    <w:rsid w:val="00F83728"/>
    <w:rsid w:val="00F83916"/>
    <w:rsid w:val="00F84F22"/>
    <w:rsid w:val="00F851CE"/>
    <w:rsid w:val="00F85350"/>
    <w:rsid w:val="00F854A7"/>
    <w:rsid w:val="00F859FD"/>
    <w:rsid w:val="00F85AAD"/>
    <w:rsid w:val="00F85D7E"/>
    <w:rsid w:val="00F86391"/>
    <w:rsid w:val="00F864E6"/>
    <w:rsid w:val="00F86B41"/>
    <w:rsid w:val="00F87364"/>
    <w:rsid w:val="00F874EE"/>
    <w:rsid w:val="00F8750F"/>
    <w:rsid w:val="00F8764F"/>
    <w:rsid w:val="00F90011"/>
    <w:rsid w:val="00F901EF"/>
    <w:rsid w:val="00F90839"/>
    <w:rsid w:val="00F91219"/>
    <w:rsid w:val="00F9132B"/>
    <w:rsid w:val="00F9139D"/>
    <w:rsid w:val="00F9213D"/>
    <w:rsid w:val="00F9232F"/>
    <w:rsid w:val="00F92444"/>
    <w:rsid w:val="00F92483"/>
    <w:rsid w:val="00F9249D"/>
    <w:rsid w:val="00F928F8"/>
    <w:rsid w:val="00F932DA"/>
    <w:rsid w:val="00F9346A"/>
    <w:rsid w:val="00F9393E"/>
    <w:rsid w:val="00F93E00"/>
    <w:rsid w:val="00F945E3"/>
    <w:rsid w:val="00F94EDA"/>
    <w:rsid w:val="00F9510F"/>
    <w:rsid w:val="00F95A0A"/>
    <w:rsid w:val="00F95D10"/>
    <w:rsid w:val="00F95E61"/>
    <w:rsid w:val="00F962E2"/>
    <w:rsid w:val="00F96C1F"/>
    <w:rsid w:val="00F96FD0"/>
    <w:rsid w:val="00F973E9"/>
    <w:rsid w:val="00F9783C"/>
    <w:rsid w:val="00F97A78"/>
    <w:rsid w:val="00F97CE1"/>
    <w:rsid w:val="00FA0362"/>
    <w:rsid w:val="00FA0507"/>
    <w:rsid w:val="00FA0524"/>
    <w:rsid w:val="00FA083F"/>
    <w:rsid w:val="00FA08C5"/>
    <w:rsid w:val="00FA0B20"/>
    <w:rsid w:val="00FA13EE"/>
    <w:rsid w:val="00FA1A37"/>
    <w:rsid w:val="00FA1AB0"/>
    <w:rsid w:val="00FA1AE5"/>
    <w:rsid w:val="00FA2162"/>
    <w:rsid w:val="00FA23F1"/>
    <w:rsid w:val="00FA24E7"/>
    <w:rsid w:val="00FA24F8"/>
    <w:rsid w:val="00FA25AF"/>
    <w:rsid w:val="00FA2644"/>
    <w:rsid w:val="00FA2F60"/>
    <w:rsid w:val="00FA3150"/>
    <w:rsid w:val="00FA363B"/>
    <w:rsid w:val="00FA3764"/>
    <w:rsid w:val="00FA383E"/>
    <w:rsid w:val="00FA3C7E"/>
    <w:rsid w:val="00FA3CA6"/>
    <w:rsid w:val="00FA3D38"/>
    <w:rsid w:val="00FA3E5C"/>
    <w:rsid w:val="00FA4DD1"/>
    <w:rsid w:val="00FA5EE6"/>
    <w:rsid w:val="00FA7276"/>
    <w:rsid w:val="00FA7295"/>
    <w:rsid w:val="00FA74E8"/>
    <w:rsid w:val="00FA76C8"/>
    <w:rsid w:val="00FA78FD"/>
    <w:rsid w:val="00FA7955"/>
    <w:rsid w:val="00FA7956"/>
    <w:rsid w:val="00FA7BAA"/>
    <w:rsid w:val="00FB0213"/>
    <w:rsid w:val="00FB029A"/>
    <w:rsid w:val="00FB0340"/>
    <w:rsid w:val="00FB0485"/>
    <w:rsid w:val="00FB0688"/>
    <w:rsid w:val="00FB0824"/>
    <w:rsid w:val="00FB0BA0"/>
    <w:rsid w:val="00FB0C59"/>
    <w:rsid w:val="00FB15EC"/>
    <w:rsid w:val="00FB1888"/>
    <w:rsid w:val="00FB28F1"/>
    <w:rsid w:val="00FB2BCF"/>
    <w:rsid w:val="00FB2CA7"/>
    <w:rsid w:val="00FB2CE2"/>
    <w:rsid w:val="00FB2DB9"/>
    <w:rsid w:val="00FB2E8B"/>
    <w:rsid w:val="00FB2FCB"/>
    <w:rsid w:val="00FB32D3"/>
    <w:rsid w:val="00FB35DA"/>
    <w:rsid w:val="00FB3803"/>
    <w:rsid w:val="00FB3E98"/>
    <w:rsid w:val="00FB3F2F"/>
    <w:rsid w:val="00FB3F57"/>
    <w:rsid w:val="00FB4C9C"/>
    <w:rsid w:val="00FB4CAE"/>
    <w:rsid w:val="00FB4FE0"/>
    <w:rsid w:val="00FB51C7"/>
    <w:rsid w:val="00FB59C9"/>
    <w:rsid w:val="00FB612A"/>
    <w:rsid w:val="00FB656B"/>
    <w:rsid w:val="00FB6F17"/>
    <w:rsid w:val="00FB7053"/>
    <w:rsid w:val="00FB75FA"/>
    <w:rsid w:val="00FB793F"/>
    <w:rsid w:val="00FB7A53"/>
    <w:rsid w:val="00FB7A56"/>
    <w:rsid w:val="00FB7C55"/>
    <w:rsid w:val="00FB7D7C"/>
    <w:rsid w:val="00FB7DA3"/>
    <w:rsid w:val="00FB7EC7"/>
    <w:rsid w:val="00FC016F"/>
    <w:rsid w:val="00FC06D9"/>
    <w:rsid w:val="00FC0AB2"/>
    <w:rsid w:val="00FC0CE5"/>
    <w:rsid w:val="00FC1074"/>
    <w:rsid w:val="00FC10C4"/>
    <w:rsid w:val="00FC1300"/>
    <w:rsid w:val="00FC164C"/>
    <w:rsid w:val="00FC1884"/>
    <w:rsid w:val="00FC1D43"/>
    <w:rsid w:val="00FC1E8A"/>
    <w:rsid w:val="00FC1FEE"/>
    <w:rsid w:val="00FC2263"/>
    <w:rsid w:val="00FC236A"/>
    <w:rsid w:val="00FC256C"/>
    <w:rsid w:val="00FC28E5"/>
    <w:rsid w:val="00FC2A5E"/>
    <w:rsid w:val="00FC2C7E"/>
    <w:rsid w:val="00FC2CC4"/>
    <w:rsid w:val="00FC2E47"/>
    <w:rsid w:val="00FC2EFB"/>
    <w:rsid w:val="00FC30FE"/>
    <w:rsid w:val="00FC371D"/>
    <w:rsid w:val="00FC383D"/>
    <w:rsid w:val="00FC4557"/>
    <w:rsid w:val="00FC5761"/>
    <w:rsid w:val="00FC5C98"/>
    <w:rsid w:val="00FC5F0B"/>
    <w:rsid w:val="00FC6517"/>
    <w:rsid w:val="00FC72E3"/>
    <w:rsid w:val="00FC740C"/>
    <w:rsid w:val="00FC78CC"/>
    <w:rsid w:val="00FC7983"/>
    <w:rsid w:val="00FC7C5B"/>
    <w:rsid w:val="00FC7CCF"/>
    <w:rsid w:val="00FC7E86"/>
    <w:rsid w:val="00FD0A6D"/>
    <w:rsid w:val="00FD104D"/>
    <w:rsid w:val="00FD1362"/>
    <w:rsid w:val="00FD1884"/>
    <w:rsid w:val="00FD18E4"/>
    <w:rsid w:val="00FD1C4C"/>
    <w:rsid w:val="00FD2100"/>
    <w:rsid w:val="00FD218A"/>
    <w:rsid w:val="00FD244D"/>
    <w:rsid w:val="00FD25D7"/>
    <w:rsid w:val="00FD2798"/>
    <w:rsid w:val="00FD3D5B"/>
    <w:rsid w:val="00FD3E31"/>
    <w:rsid w:val="00FD401C"/>
    <w:rsid w:val="00FD4215"/>
    <w:rsid w:val="00FD436C"/>
    <w:rsid w:val="00FD446D"/>
    <w:rsid w:val="00FD4649"/>
    <w:rsid w:val="00FD46A5"/>
    <w:rsid w:val="00FD4BB1"/>
    <w:rsid w:val="00FD4C35"/>
    <w:rsid w:val="00FD4E79"/>
    <w:rsid w:val="00FD4ED6"/>
    <w:rsid w:val="00FD4F2C"/>
    <w:rsid w:val="00FD5067"/>
    <w:rsid w:val="00FD52A6"/>
    <w:rsid w:val="00FD5374"/>
    <w:rsid w:val="00FD5AD2"/>
    <w:rsid w:val="00FD5B1C"/>
    <w:rsid w:val="00FD5C2A"/>
    <w:rsid w:val="00FD5D87"/>
    <w:rsid w:val="00FD6394"/>
    <w:rsid w:val="00FD651E"/>
    <w:rsid w:val="00FD6555"/>
    <w:rsid w:val="00FD66A8"/>
    <w:rsid w:val="00FD6D03"/>
    <w:rsid w:val="00FD705B"/>
    <w:rsid w:val="00FD7237"/>
    <w:rsid w:val="00FD72E8"/>
    <w:rsid w:val="00FD740C"/>
    <w:rsid w:val="00FD7D18"/>
    <w:rsid w:val="00FE0707"/>
    <w:rsid w:val="00FE0BFF"/>
    <w:rsid w:val="00FE0E6C"/>
    <w:rsid w:val="00FE0F2F"/>
    <w:rsid w:val="00FE11A8"/>
    <w:rsid w:val="00FE129E"/>
    <w:rsid w:val="00FE1857"/>
    <w:rsid w:val="00FE1CDC"/>
    <w:rsid w:val="00FE1D11"/>
    <w:rsid w:val="00FE2207"/>
    <w:rsid w:val="00FE2223"/>
    <w:rsid w:val="00FE3DBB"/>
    <w:rsid w:val="00FE3F0C"/>
    <w:rsid w:val="00FE432A"/>
    <w:rsid w:val="00FE4857"/>
    <w:rsid w:val="00FE4C73"/>
    <w:rsid w:val="00FE54BB"/>
    <w:rsid w:val="00FE5627"/>
    <w:rsid w:val="00FE5AFB"/>
    <w:rsid w:val="00FE60EF"/>
    <w:rsid w:val="00FE625C"/>
    <w:rsid w:val="00FE6297"/>
    <w:rsid w:val="00FE62A7"/>
    <w:rsid w:val="00FE63F0"/>
    <w:rsid w:val="00FE64EC"/>
    <w:rsid w:val="00FE6B56"/>
    <w:rsid w:val="00FE70C3"/>
    <w:rsid w:val="00FE74B6"/>
    <w:rsid w:val="00FE77E4"/>
    <w:rsid w:val="00FE7A8B"/>
    <w:rsid w:val="00FE7F1D"/>
    <w:rsid w:val="00FF0A70"/>
    <w:rsid w:val="00FF1330"/>
    <w:rsid w:val="00FF1854"/>
    <w:rsid w:val="00FF1958"/>
    <w:rsid w:val="00FF1A77"/>
    <w:rsid w:val="00FF1A8B"/>
    <w:rsid w:val="00FF1B94"/>
    <w:rsid w:val="00FF20CD"/>
    <w:rsid w:val="00FF2117"/>
    <w:rsid w:val="00FF2372"/>
    <w:rsid w:val="00FF25AF"/>
    <w:rsid w:val="00FF2625"/>
    <w:rsid w:val="00FF27EF"/>
    <w:rsid w:val="00FF2994"/>
    <w:rsid w:val="00FF2AD9"/>
    <w:rsid w:val="00FF2CDE"/>
    <w:rsid w:val="00FF359F"/>
    <w:rsid w:val="00FF35CB"/>
    <w:rsid w:val="00FF3DCF"/>
    <w:rsid w:val="00FF3FD9"/>
    <w:rsid w:val="00FF4407"/>
    <w:rsid w:val="00FF492C"/>
    <w:rsid w:val="00FF4A21"/>
    <w:rsid w:val="00FF4B15"/>
    <w:rsid w:val="00FF55D9"/>
    <w:rsid w:val="00FF59FC"/>
    <w:rsid w:val="00FF5AA3"/>
    <w:rsid w:val="00FF5AD8"/>
    <w:rsid w:val="00FF64C9"/>
    <w:rsid w:val="00FF667E"/>
    <w:rsid w:val="00FF66A4"/>
    <w:rsid w:val="00FF6BB7"/>
    <w:rsid w:val="00FF7DA6"/>
    <w:rsid w:val="00FF7E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87"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next w:val="Normal"/>
    <w:link w:val="Heading2Char"/>
    <w:rsid w:val="00D410E4"/>
    <w:pPr>
      <w:outlineLvl w:val="1"/>
    </w:pPr>
    <w:rPr>
      <w:rFonts w:ascii="Calibri" w:hAnsi="Calibri" w:cs="Arial"/>
      <w:b/>
      <w:i/>
      <w:sz w:val="28"/>
      <w:szCs w:val="24"/>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410E4"/>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execsummbulletlist">
    <w:name w:val="COM exec summ bullet list"/>
    <w:basedOn w:val="ListParagraph"/>
    <w:link w:val="COMexecsummbulletlistChar"/>
    <w:qFormat/>
    <w:rsid w:val="00DB0020"/>
  </w:style>
  <w:style w:type="paragraph" w:customStyle="1" w:styleId="COMexecsummmainissuesbullets">
    <w:name w:val="COM exec summ main issues bullets"/>
    <w:basedOn w:val="ListParagraph"/>
    <w:link w:val="COMexecsummmainissuesbulletsChar"/>
    <w:qFormat/>
    <w:rsid w:val="00023AB6"/>
    <w:pPr>
      <w:numPr>
        <w:numId w:val="7"/>
      </w:numPr>
    </w:pPr>
    <w:rPr>
      <w:color w:val="0066FF"/>
    </w:rPr>
  </w:style>
  <w:style w:type="character" w:customStyle="1" w:styleId="COMexecsummbulletlistChar">
    <w:name w:val="COM exec summ bullet list Char"/>
    <w:basedOn w:val="ListParagraphChar"/>
    <w:link w:val="COMexecsummbulletlist"/>
    <w:rsid w:val="00DB0020"/>
    <w:rPr>
      <w:rFonts w:asciiTheme="minorHAnsi" w:hAnsiTheme="minorHAnsi" w:cs="Arial"/>
      <w:snapToGrid w:val="0"/>
      <w:sz w:val="24"/>
      <w:szCs w:val="24"/>
    </w:rPr>
  </w:style>
  <w:style w:type="paragraph" w:customStyle="1" w:styleId="COMH3">
    <w:name w:val="COM H3"/>
    <w:basedOn w:val="Normal"/>
    <w:next w:val="Normal"/>
    <w:link w:val="COMH3Char"/>
    <w:qFormat/>
    <w:rsid w:val="00910CFD"/>
    <w:pPr>
      <w:keepNext/>
      <w:spacing w:after="240"/>
    </w:pPr>
    <w:rPr>
      <w:b/>
      <w:iCs/>
      <w:sz w:val="28"/>
    </w:rPr>
  </w:style>
  <w:style w:type="paragraph" w:styleId="ListParagraph">
    <w:name w:val="List Paragraph"/>
    <w:aliases w:val="BulletPoints,Numbered para,Bullet point,List Paragraph1,List Paragraph11,Recommendation,L,Bullet Point,Bulletr List Paragraph,Content descriptions,FooterText,List Bullet 1,List Paragraph2,List Paragraph21,Listeafsnit1,NFP GP Bulleted List"/>
    <w:next w:val="ListBullet"/>
    <w:link w:val="ListParagraphChar"/>
    <w:uiPriority w:val="87"/>
    <w:qFormat/>
    <w:rsid w:val="00BB00B3"/>
    <w:pPr>
      <w:numPr>
        <w:numId w:val="3"/>
      </w:numPr>
      <w:spacing w:after="120"/>
      <w:jc w:val="both"/>
    </w:pPr>
    <w:rPr>
      <w:rFonts w:asciiTheme="minorHAnsi" w:hAnsiTheme="minorHAnsi" w:cs="Arial"/>
      <w:snapToGrid w:val="0"/>
      <w:sz w:val="24"/>
      <w:szCs w:val="24"/>
    </w:rPr>
  </w:style>
  <w:style w:type="paragraph" w:styleId="ListBullet">
    <w:name w:val="List Bullet"/>
    <w:aliases w:val="zz List Bullet"/>
    <w:basedOn w:val="Normal"/>
    <w:link w:val="ListBulletChar"/>
    <w:unhideWhenUsed/>
    <w:rsid w:val="00EE1996"/>
    <w:pPr>
      <w:numPr>
        <w:numId w:val="5"/>
      </w:numPr>
      <w:contextualSpacing/>
    </w:pPr>
  </w:style>
  <w:style w:type="character" w:customStyle="1" w:styleId="ListParagraphChar">
    <w:name w:val="List Paragraph Char"/>
    <w:aliases w:val="BulletPoints Char,Numbered para Char,Bullet point Char,List Paragraph1 Char,List Paragraph11 Char,Recommendation Char,L Char,Bullet Point Char,Bulletr List Paragraph Char,Content descriptions Char,FooterText Char,List Bullet 1 Char"/>
    <w:basedOn w:val="DefaultParagraphFont"/>
    <w:link w:val="ListParagraph"/>
    <w:uiPriority w:val="87"/>
    <w:qFormat/>
    <w:locked/>
    <w:rsid w:val="00BB00B3"/>
    <w:rPr>
      <w:rFonts w:asciiTheme="minorHAnsi" w:hAnsiTheme="minorHAnsi" w:cs="Arial"/>
      <w:snapToGrid w:val="0"/>
      <w:sz w:val="24"/>
      <w:szCs w:val="24"/>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H2-numbered">
    <w:name w:val="COM H2 - numbered"/>
    <w:basedOn w:val="Heading2"/>
    <w:link w:val="COMH2-numberedChar"/>
    <w:qFormat/>
    <w:rsid w:val="00721EA3"/>
    <w:pPr>
      <w:keepNext/>
      <w:spacing w:after="240"/>
    </w:p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customStyle="1" w:styleId="COMexecsummmainissuesbulletsChar">
    <w:name w:val="COM exec summ main issues bullets Char"/>
    <w:basedOn w:val="ListParagraphChar"/>
    <w:link w:val="COMexecsummmainissuesbullets"/>
    <w:rsid w:val="00023AB6"/>
    <w:rPr>
      <w:rFonts w:asciiTheme="minorHAnsi" w:hAnsiTheme="minorHAnsi" w:cs="Arial"/>
      <w:snapToGrid w:val="0"/>
      <w:color w:val="0066FF"/>
      <w:sz w:val="24"/>
      <w:szCs w:val="24"/>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character" w:customStyle="1" w:styleId="COMH2-numberedChar">
    <w:name w:val="COM H2 - numbered Char"/>
    <w:basedOn w:val="Heading2Char"/>
    <w:link w:val="COMH2-numbered"/>
    <w:rsid w:val="00721EA3"/>
    <w:rPr>
      <w:rFonts w:ascii="Calibri" w:hAnsi="Calibri" w:cs="Arial"/>
      <w:b/>
      <w:i/>
      <w:sz w:val="28"/>
      <w:szCs w:val="24"/>
    </w:rPr>
  </w:style>
  <w:style w:type="paragraph" w:customStyle="1" w:styleId="COMH4">
    <w:name w:val="COM H4"/>
    <w:basedOn w:val="Normal"/>
    <w:link w:val="COMH4Char"/>
    <w:qFormat/>
    <w:rsid w:val="00C042D3"/>
    <w:pPr>
      <w:spacing w:after="120"/>
    </w:pPr>
    <w:rPr>
      <w:b/>
      <w:i/>
    </w:rPr>
  </w:style>
  <w:style w:type="character" w:customStyle="1" w:styleId="COMH3Char">
    <w:name w:val="COM H3 Char"/>
    <w:basedOn w:val="DefaultParagraphFont"/>
    <w:link w:val="COMH3"/>
    <w:rsid w:val="00910CFD"/>
    <w:rPr>
      <w:rFonts w:ascii="Calibri" w:hAnsi="Calibri" w:cs="Arial"/>
      <w:b/>
      <w:iCs/>
      <w:sz w:val="28"/>
      <w:szCs w:val="24"/>
    </w:rPr>
  </w:style>
  <w:style w:type="paragraph" w:customStyle="1" w:styleId="COMbodybulletlist">
    <w:name w:val="COM body bullet list"/>
    <w:basedOn w:val="ListBullet"/>
    <w:link w:val="COMbodybulletlistChar"/>
    <w:qFormat/>
    <w:rsid w:val="00894E87"/>
  </w:style>
  <w:style w:type="character" w:customStyle="1" w:styleId="COMH4Char">
    <w:name w:val="COM H4 Char"/>
    <w:basedOn w:val="DefaultParagraphFont"/>
    <w:link w:val="COMH4"/>
    <w:rsid w:val="00C042D3"/>
    <w:rPr>
      <w:rFonts w:ascii="Calibri" w:hAnsi="Calibri" w:cs="Arial"/>
      <w:b/>
      <w:i/>
      <w:sz w:val="24"/>
      <w:szCs w:val="24"/>
    </w:rPr>
  </w:style>
  <w:style w:type="paragraph" w:customStyle="1" w:styleId="zzBulletpoints">
    <w:name w:val="zz Bullet points"/>
    <w:basedOn w:val="ListParagraph"/>
    <w:rsid w:val="00B70E8E"/>
    <w:pPr>
      <w:numPr>
        <w:numId w:val="2"/>
      </w:numPr>
      <w:contextualSpacing/>
    </w:pPr>
  </w:style>
  <w:style w:type="paragraph" w:customStyle="1" w:styleId="COMBody">
    <w:name w:val="COM Body"/>
    <w:basedOn w:val="Normal"/>
    <w:link w:val="COMBodyChar"/>
    <w:qFormat/>
    <w:rsid w:val="00894E87"/>
  </w:style>
  <w:style w:type="character" w:customStyle="1" w:styleId="ListBulletChar">
    <w:name w:val="List Bullet Char"/>
    <w:aliases w:val="zz List Bullet Char"/>
    <w:basedOn w:val="DefaultParagraphFont"/>
    <w:link w:val="ListBullet"/>
    <w:rsid w:val="00894E87"/>
    <w:rPr>
      <w:rFonts w:ascii="Calibri" w:hAnsi="Calibri" w:cs="Arial"/>
      <w:sz w:val="24"/>
      <w:szCs w:val="24"/>
    </w:rPr>
  </w:style>
  <w:style w:type="paragraph" w:styleId="Revision">
    <w:name w:val="Revision"/>
    <w:hidden/>
    <w:uiPriority w:val="99"/>
    <w:semiHidden/>
    <w:rsid w:val="00043C37"/>
    <w:rPr>
      <w:rFonts w:ascii="Arial" w:hAnsi="Arial" w:cs="Arial"/>
      <w:snapToGrid w:val="0"/>
      <w:sz w:val="22"/>
      <w:lang w:eastAsia="en-US"/>
    </w:rPr>
  </w:style>
  <w:style w:type="character" w:customStyle="1" w:styleId="COMbodybulletlistChar">
    <w:name w:val="COM body bullet list Char"/>
    <w:basedOn w:val="ListBulletChar"/>
    <w:link w:val="COMbodybulletlist"/>
    <w:rsid w:val="00894E87"/>
    <w:rPr>
      <w:rFonts w:ascii="Calibri" w:hAnsi="Calibri" w:cs="Arial"/>
      <w:sz w:val="24"/>
      <w:szCs w:val="24"/>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character" w:customStyle="1" w:styleId="COMBodyChar">
    <w:name w:val="COM Body Char"/>
    <w:basedOn w:val="DefaultParagraphFont"/>
    <w:link w:val="COMBody"/>
    <w:rsid w:val="00894E87"/>
    <w:rPr>
      <w:rFonts w:ascii="Calibri" w:hAnsi="Calibri" w:cs="Arial"/>
      <w:sz w:val="24"/>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COMTabletext">
    <w:name w:val="COM Table text"/>
    <w:link w:val="COMTabletextChar"/>
    <w:qFormat/>
    <w:rsid w:val="00EE1996"/>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EE1996"/>
    <w:rPr>
      <w:rFonts w:ascii="Arial Narrow" w:eastAsiaTheme="majorEastAsia" w:hAnsi="Arial Narrow" w:cstheme="majorBidi"/>
      <w:bCs/>
      <w:szCs w:val="24"/>
    </w:rPr>
  </w:style>
  <w:style w:type="paragraph" w:customStyle="1" w:styleId="COMTableheadingrow">
    <w:name w:val="COM Table heading row"/>
    <w:qFormat/>
    <w:rsid w:val="00EE1996"/>
    <w:pPr>
      <w:keepNext/>
    </w:pPr>
    <w:rPr>
      <w:rFonts w:ascii="Arial Narrow" w:eastAsiaTheme="majorEastAsia" w:hAnsi="Arial Narrow"/>
      <w:b/>
      <w:szCs w:val="24"/>
      <w:lang w:val="en-US"/>
    </w:rPr>
  </w:style>
  <w:style w:type="paragraph" w:customStyle="1" w:styleId="COMH1numbered">
    <w:name w:val="COM H1 numbered"/>
    <w:next w:val="Normal"/>
    <w:link w:val="COMH1numberedChar"/>
    <w:qFormat/>
    <w:rsid w:val="00163E81"/>
    <w:pPr>
      <w:keepNext/>
      <w:numPr>
        <w:numId w:val="1"/>
      </w:numPr>
      <w:spacing w:before="240" w:after="120"/>
      <w:outlineLvl w:val="0"/>
    </w:pPr>
    <w:rPr>
      <w:rFonts w:asciiTheme="minorHAnsi" w:hAnsiTheme="minorHAnsi" w:cs="Arial"/>
      <w:b/>
      <w:snapToGrid w:val="0"/>
      <w:sz w:val="32"/>
      <w:szCs w:val="32"/>
    </w:rPr>
  </w:style>
  <w:style w:type="paragraph" w:customStyle="1" w:styleId="COMH1-non-numbered">
    <w:name w:val="COM H1 - non-numbered"/>
    <w:next w:val="Normal"/>
    <w:link w:val="COMH1-non-numberedChar"/>
    <w:qFormat/>
    <w:rsid w:val="00603248"/>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603248"/>
    <w:rPr>
      <w:rFonts w:asciiTheme="minorHAnsi" w:eastAsiaTheme="majorEastAsia" w:hAnsiTheme="minorHAnsi" w:cstheme="majorBidi"/>
      <w:b/>
      <w:spacing w:val="5"/>
      <w:kern w:val="28"/>
      <w:sz w:val="32"/>
      <w:szCs w:val="36"/>
    </w:rPr>
  </w:style>
  <w:style w:type="paragraph" w:customStyle="1" w:styleId="COMtablefigcaption">
    <w:name w:val="COM table/fig caption"/>
    <w:next w:val="COMTableheadingrow"/>
    <w:link w:val="COMtablefigcaptionChar"/>
    <w:qFormat/>
    <w:rsid w:val="00EA545F"/>
    <w:pPr>
      <w:keepNext/>
      <w:jc w:val="both"/>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EA545F"/>
    <w:rPr>
      <w:rFonts w:ascii="Arial Narrow" w:eastAsiaTheme="majorEastAsia" w:hAnsi="Arial Narrow" w:cstheme="majorBidi"/>
      <w:b/>
      <w:bCs/>
      <w:szCs w:val="24"/>
    </w:rPr>
  </w:style>
  <w:style w:type="paragraph" w:customStyle="1" w:styleId="COMexecsumnumberedpara">
    <w:name w:val="COM exec sum numbered para"/>
    <w:basedOn w:val="ListParagraph"/>
    <w:link w:val="COMexecsumnumberedparaChar"/>
    <w:qFormat/>
    <w:rsid w:val="00A12631"/>
    <w:pPr>
      <w:numPr>
        <w:ilvl w:val="1"/>
        <w:numId w:val="1"/>
      </w:numPr>
    </w:pPr>
  </w:style>
  <w:style w:type="character" w:customStyle="1" w:styleId="COMexecsumnumberedparaChar">
    <w:name w:val="COM exec sum numbered para Char"/>
    <w:basedOn w:val="ListParagraphChar"/>
    <w:link w:val="COMexecsumnumberedpara"/>
    <w:rsid w:val="00A12631"/>
    <w:rPr>
      <w:rFonts w:asciiTheme="minorHAnsi" w:hAnsiTheme="minorHAnsi" w:cs="Arial"/>
      <w:snapToGrid w:val="0"/>
      <w:sz w:val="24"/>
      <w:szCs w:val="24"/>
    </w:rPr>
  </w:style>
  <w:style w:type="paragraph" w:customStyle="1" w:styleId="COMTablefooter">
    <w:name w:val="COM Table footer"/>
    <w:basedOn w:val="Normal"/>
    <w:link w:val="COMTablefooterChar"/>
    <w:qFormat/>
    <w:rsid w:val="00EC5836"/>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EC5836"/>
    <w:rPr>
      <w:rFonts w:ascii="Arial Narrow" w:hAnsi="Arial Narrow" w:cs="Arial"/>
      <w:snapToGrid w:val="0"/>
      <w:sz w:val="18"/>
      <w:szCs w:val="22"/>
    </w:rPr>
  </w:style>
  <w:style w:type="paragraph" w:customStyle="1" w:styleId="COMH2-non-numbered">
    <w:name w:val="COM H2 - non-numbered"/>
    <w:basedOn w:val="Heading2"/>
    <w:next w:val="Normal"/>
    <w:link w:val="COMH2-non-numbered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COMH2-non-numberedChar">
    <w:name w:val="COM H2 - non-numbered Char"/>
    <w:basedOn w:val="Heading2Char"/>
    <w:link w:val="COMH2-non-numbered"/>
    <w:rsid w:val="00EE1996"/>
    <w:rPr>
      <w:rFonts w:asciiTheme="minorHAnsi" w:eastAsiaTheme="majorEastAsia" w:hAnsiTheme="minorHAnsi" w:cstheme="majorBidi"/>
      <w:b/>
      <w:i/>
      <w:snapToGrid w:val="0"/>
      <w:spacing w:val="5"/>
      <w:kern w:val="28"/>
      <w:sz w:val="28"/>
      <w:szCs w:val="36"/>
      <w:lang w:eastAsia="en-US"/>
    </w:rPr>
  </w:style>
  <w:style w:type="character" w:customStyle="1" w:styleId="COMH1numberedChar">
    <w:name w:val="COM H1 numbered Char"/>
    <w:basedOn w:val="DefaultParagraphFont"/>
    <w:link w:val="COMH1numbered"/>
    <w:rsid w:val="00163E81"/>
    <w:rPr>
      <w:rFonts w:asciiTheme="minorHAnsi" w:hAnsiTheme="minorHAnsi" w:cs="Arial"/>
      <w:b/>
      <w:snapToGrid w:val="0"/>
      <w:sz w:val="32"/>
      <w:szCs w:val="32"/>
    </w:rPr>
  </w:style>
  <w:style w:type="character" w:styleId="CommentReference">
    <w:name w:val="annotation reference"/>
    <w:basedOn w:val="DefaultParagraphFont"/>
    <w:uiPriority w:val="99"/>
    <w:semiHidden/>
    <w:unhideWhenUsed/>
    <w:rsid w:val="000A7378"/>
    <w:rPr>
      <w:sz w:val="16"/>
      <w:szCs w:val="16"/>
    </w:rPr>
  </w:style>
  <w:style w:type="paragraph" w:styleId="CommentText">
    <w:name w:val="annotation text"/>
    <w:basedOn w:val="Normal"/>
    <w:link w:val="CommentTextChar"/>
    <w:uiPriority w:val="99"/>
    <w:unhideWhenUsed/>
    <w:rsid w:val="000A7378"/>
    <w:rPr>
      <w:sz w:val="20"/>
      <w:szCs w:val="20"/>
    </w:rPr>
  </w:style>
  <w:style w:type="character" w:customStyle="1" w:styleId="CommentTextChar">
    <w:name w:val="Comment Text Char"/>
    <w:basedOn w:val="DefaultParagraphFont"/>
    <w:link w:val="CommentText"/>
    <w:uiPriority w:val="99"/>
    <w:rsid w:val="000A7378"/>
    <w:rPr>
      <w:rFonts w:ascii="Calibri" w:hAnsi="Calibri" w:cs="Arial"/>
    </w:rPr>
  </w:style>
  <w:style w:type="paragraph" w:styleId="CommentSubject">
    <w:name w:val="annotation subject"/>
    <w:basedOn w:val="CommentText"/>
    <w:next w:val="CommentText"/>
    <w:link w:val="CommentSubjectChar"/>
    <w:semiHidden/>
    <w:unhideWhenUsed/>
    <w:rsid w:val="000A7378"/>
    <w:rPr>
      <w:b/>
      <w:bCs/>
    </w:rPr>
  </w:style>
  <w:style w:type="character" w:customStyle="1" w:styleId="CommentSubjectChar">
    <w:name w:val="Comment Subject Char"/>
    <w:basedOn w:val="CommentTextChar"/>
    <w:link w:val="CommentSubject"/>
    <w:semiHidden/>
    <w:rsid w:val="000A7378"/>
    <w:rPr>
      <w:rFonts w:ascii="Calibri" w:hAnsi="Calibri" w:cs="Arial"/>
      <w:b/>
      <w:bCs/>
    </w:rPr>
  </w:style>
  <w:style w:type="paragraph" w:styleId="Header">
    <w:name w:val="header"/>
    <w:basedOn w:val="Normal"/>
    <w:link w:val="HeaderChar"/>
    <w:unhideWhenUsed/>
    <w:qFormat/>
    <w:rsid w:val="00990318"/>
    <w:pPr>
      <w:tabs>
        <w:tab w:val="center" w:pos="4513"/>
        <w:tab w:val="right" w:pos="9026"/>
      </w:tabs>
    </w:pPr>
  </w:style>
  <w:style w:type="character" w:customStyle="1" w:styleId="HeaderChar">
    <w:name w:val="Header Char"/>
    <w:basedOn w:val="DefaultParagraphFont"/>
    <w:link w:val="Header"/>
    <w:rsid w:val="00990318"/>
    <w:rPr>
      <w:rFonts w:ascii="Calibri" w:hAnsi="Calibri" w:cs="Arial"/>
      <w:sz w:val="24"/>
      <w:szCs w:val="24"/>
    </w:rPr>
  </w:style>
  <w:style w:type="paragraph" w:styleId="Footer">
    <w:name w:val="footer"/>
    <w:basedOn w:val="Normal"/>
    <w:link w:val="FooterChar"/>
    <w:uiPriority w:val="99"/>
    <w:unhideWhenUsed/>
    <w:rsid w:val="00990318"/>
    <w:pPr>
      <w:tabs>
        <w:tab w:val="center" w:pos="4513"/>
        <w:tab w:val="right" w:pos="9026"/>
      </w:tabs>
    </w:pPr>
  </w:style>
  <w:style w:type="character" w:customStyle="1" w:styleId="FooterChar">
    <w:name w:val="Footer Char"/>
    <w:basedOn w:val="DefaultParagraphFont"/>
    <w:link w:val="Footer"/>
    <w:uiPriority w:val="99"/>
    <w:rsid w:val="00990318"/>
    <w:rPr>
      <w:rFonts w:ascii="Calibri" w:hAnsi="Calibri" w:cs="Arial"/>
      <w:sz w:val="24"/>
      <w:szCs w:val="24"/>
    </w:rPr>
  </w:style>
  <w:style w:type="character" w:styleId="Hyperlink">
    <w:name w:val="Hyperlink"/>
    <w:basedOn w:val="DefaultParagraphFont"/>
    <w:uiPriority w:val="99"/>
    <w:unhideWhenUsed/>
    <w:rsid w:val="00C966AB"/>
    <w:rPr>
      <w:color w:val="0000FF" w:themeColor="hyperlink"/>
      <w:u w:val="single"/>
    </w:rPr>
  </w:style>
  <w:style w:type="character" w:customStyle="1" w:styleId="UnresolvedMention1">
    <w:name w:val="Unresolved Mention1"/>
    <w:basedOn w:val="DefaultParagraphFont"/>
    <w:uiPriority w:val="99"/>
    <w:semiHidden/>
    <w:unhideWhenUsed/>
    <w:rsid w:val="00C966AB"/>
    <w:rPr>
      <w:color w:val="605E5C"/>
      <w:shd w:val="clear" w:color="auto" w:fill="E1DFDD"/>
    </w:rPr>
  </w:style>
  <w:style w:type="paragraph" w:styleId="BodyText">
    <w:name w:val="Body Text"/>
    <w:link w:val="BodyTextChar"/>
    <w:uiPriority w:val="99"/>
    <w:rsid w:val="00C40EE1"/>
    <w:pPr>
      <w:spacing w:after="200" w:line="276" w:lineRule="auto"/>
    </w:pPr>
    <w:rPr>
      <w:rFonts w:asciiTheme="minorHAnsi" w:eastAsiaTheme="minorHAnsi" w:hAnsiTheme="minorHAnsi" w:cs="Tahoma"/>
      <w:sz w:val="22"/>
      <w:szCs w:val="22"/>
      <w:lang w:eastAsia="en-US"/>
    </w:rPr>
  </w:style>
  <w:style w:type="character" w:customStyle="1" w:styleId="BodyTextChar">
    <w:name w:val="Body Text Char"/>
    <w:basedOn w:val="DefaultParagraphFont"/>
    <w:link w:val="BodyText"/>
    <w:uiPriority w:val="99"/>
    <w:rsid w:val="00C40EE1"/>
    <w:rPr>
      <w:rFonts w:asciiTheme="minorHAnsi" w:eastAsiaTheme="minorHAnsi" w:hAnsiTheme="minorHAnsi" w:cs="Tahoma"/>
      <w:sz w:val="22"/>
      <w:szCs w:val="22"/>
      <w:lang w:eastAsia="en-US"/>
    </w:rPr>
  </w:style>
  <w:style w:type="paragraph" w:customStyle="1" w:styleId="ListNos0">
    <w:name w:val="ListNos+0"/>
    <w:basedOn w:val="BodyText"/>
    <w:uiPriority w:val="2"/>
    <w:qFormat/>
    <w:rsid w:val="00C40EE1"/>
    <w:pPr>
      <w:numPr>
        <w:numId w:val="13"/>
      </w:numPr>
      <w:spacing w:after="0"/>
    </w:pPr>
  </w:style>
  <w:style w:type="paragraph" w:customStyle="1" w:styleId="TableFigureFooter">
    <w:name w:val="Table/Figure Footer"/>
    <w:basedOn w:val="Normal"/>
    <w:link w:val="TableFigureFooterChar"/>
    <w:qFormat/>
    <w:rsid w:val="00CB2E78"/>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CB2E78"/>
    <w:rPr>
      <w:rFonts w:ascii="Arial Narrow" w:hAnsi="Arial Narrow" w:cs="Arial"/>
      <w:snapToGrid w:val="0"/>
      <w:sz w:val="18"/>
      <w:szCs w:val="22"/>
    </w:rPr>
  </w:style>
  <w:style w:type="paragraph" w:customStyle="1" w:styleId="TableText">
    <w:name w:val="Table Text"/>
    <w:link w:val="TableTextChar"/>
    <w:qFormat/>
    <w:rsid w:val="00CB2E78"/>
    <w:pPr>
      <w:keepNext/>
    </w:pPr>
    <w:rPr>
      <w:rFonts w:ascii="Arial Narrow" w:eastAsiaTheme="majorEastAsia" w:hAnsi="Arial Narrow" w:cstheme="majorBidi"/>
      <w:bCs/>
      <w:szCs w:val="24"/>
    </w:rPr>
  </w:style>
  <w:style w:type="paragraph" w:customStyle="1" w:styleId="Tableheadingrow">
    <w:name w:val="Table heading row"/>
    <w:qFormat/>
    <w:rsid w:val="00CB2E78"/>
    <w:pPr>
      <w:keepNext/>
    </w:pPr>
    <w:rPr>
      <w:rFonts w:ascii="Arial Narrow" w:eastAsiaTheme="majorEastAsia" w:hAnsi="Arial Narrow"/>
      <w:b/>
      <w:szCs w:val="24"/>
      <w:lang w:val="en-US"/>
    </w:rPr>
  </w:style>
  <w:style w:type="character" w:customStyle="1" w:styleId="TableTextChar">
    <w:name w:val="Table Text Char"/>
    <w:basedOn w:val="DefaultParagraphFont"/>
    <w:link w:val="TableText"/>
    <w:rsid w:val="00CB2E78"/>
    <w:rPr>
      <w:rFonts w:ascii="Arial Narrow" w:eastAsiaTheme="majorEastAsia" w:hAnsi="Arial Narrow" w:cstheme="majorBidi"/>
      <w:bCs/>
      <w:szCs w:val="24"/>
    </w:rPr>
  </w:style>
  <w:style w:type="paragraph" w:customStyle="1" w:styleId="TableHeading">
    <w:name w:val="Table Heading"/>
    <w:basedOn w:val="Normal"/>
    <w:link w:val="TableHeadingChar"/>
    <w:qFormat/>
    <w:rsid w:val="00CB2E78"/>
    <w:pPr>
      <w:keepNext/>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
    <w:rsid w:val="00CB2E78"/>
    <w:rPr>
      <w:rFonts w:ascii="Arial Narrow" w:eastAsiaTheme="minorHAnsi" w:hAnsi="Arial Narrow" w:cstheme="minorBidi"/>
      <w:b/>
      <w:szCs w:val="22"/>
      <w:lang w:eastAsia="en-US"/>
    </w:rPr>
  </w:style>
  <w:style w:type="paragraph" w:customStyle="1" w:styleId="TableFigureCaption">
    <w:name w:val="Table/Figure Caption"/>
    <w:next w:val="Tableheadingrow"/>
    <w:link w:val="TableFigureCaptionChar"/>
    <w:qFormat/>
    <w:rsid w:val="00EE30B6"/>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EE30B6"/>
    <w:rPr>
      <w:rFonts w:ascii="Arial Narrow" w:eastAsiaTheme="majorEastAsia" w:hAnsi="Arial Narrow" w:cstheme="majorBidi"/>
      <w:b/>
      <w:bCs/>
      <w:szCs w:val="24"/>
    </w:rPr>
  </w:style>
  <w:style w:type="paragraph" w:styleId="Caption">
    <w:name w:val="caption"/>
    <w:basedOn w:val="Normal"/>
    <w:next w:val="Normal"/>
    <w:unhideWhenUsed/>
    <w:rsid w:val="00D0508B"/>
    <w:pPr>
      <w:spacing w:after="200"/>
    </w:pPr>
    <w:rPr>
      <w:i/>
      <w:iCs/>
      <w:color w:val="1F497D" w:themeColor="text2"/>
      <w:sz w:val="18"/>
      <w:szCs w:val="18"/>
    </w:rPr>
  </w:style>
  <w:style w:type="paragraph" w:customStyle="1" w:styleId="Bulletpoints">
    <w:name w:val="Bullet points"/>
    <w:basedOn w:val="Normal"/>
    <w:rsid w:val="00F46FE2"/>
    <w:pPr>
      <w:spacing w:after="120"/>
      <w:ind w:left="720"/>
      <w:contextualSpacing/>
    </w:pPr>
    <w:rPr>
      <w:snapToGrid w:val="0"/>
    </w:rPr>
  </w:style>
  <w:style w:type="paragraph" w:styleId="FootnoteText">
    <w:name w:val="footnote text"/>
    <w:basedOn w:val="Normal"/>
    <w:link w:val="FootnoteTextChar"/>
    <w:semiHidden/>
    <w:unhideWhenUsed/>
    <w:rsid w:val="00DF230E"/>
    <w:rPr>
      <w:sz w:val="20"/>
      <w:szCs w:val="20"/>
    </w:rPr>
  </w:style>
  <w:style w:type="character" w:customStyle="1" w:styleId="FootnoteTextChar">
    <w:name w:val="Footnote Text Char"/>
    <w:basedOn w:val="DefaultParagraphFont"/>
    <w:link w:val="FootnoteText"/>
    <w:semiHidden/>
    <w:rsid w:val="00DF230E"/>
    <w:rPr>
      <w:rFonts w:ascii="Calibri" w:hAnsi="Calibri" w:cs="Arial"/>
    </w:rPr>
  </w:style>
  <w:style w:type="character" w:styleId="FootnoteReference">
    <w:name w:val="footnote reference"/>
    <w:basedOn w:val="DefaultParagraphFont"/>
    <w:uiPriority w:val="99"/>
    <w:semiHidden/>
    <w:unhideWhenUsed/>
    <w:rsid w:val="00DF230E"/>
    <w:rPr>
      <w:vertAlign w:val="superscript"/>
    </w:rPr>
  </w:style>
  <w:style w:type="paragraph" w:customStyle="1" w:styleId="3-SubsectionHeading">
    <w:name w:val="3-Subsection Heading"/>
    <w:basedOn w:val="Heading2"/>
    <w:next w:val="Normal"/>
    <w:link w:val="3-SubsectionHeadingChar"/>
    <w:qFormat/>
    <w:rsid w:val="003C04BA"/>
    <w:pPr>
      <w:keepNext/>
      <w:spacing w:before="120" w:after="120"/>
      <w:jc w:val="both"/>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3C04BA"/>
    <w:rPr>
      <w:rFonts w:asciiTheme="minorHAnsi" w:eastAsiaTheme="majorEastAsia" w:hAnsiTheme="minorHAnsi" w:cstheme="majorBidi"/>
      <w:b/>
      <w:i/>
      <w:spacing w:val="5"/>
      <w:kern w:val="28"/>
      <w:sz w:val="28"/>
      <w:szCs w:val="36"/>
      <w:lang w:eastAsia="en-US"/>
    </w:rPr>
  </w:style>
  <w:style w:type="character" w:customStyle="1" w:styleId="normaltextrun">
    <w:name w:val="normaltextrun"/>
    <w:basedOn w:val="DefaultParagraphFont"/>
    <w:rsid w:val="00B426B5"/>
  </w:style>
  <w:style w:type="paragraph" w:customStyle="1" w:styleId="2-SectionHeading">
    <w:name w:val="2-Section Heading"/>
    <w:qFormat/>
    <w:rsid w:val="00B550FD"/>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basedOn w:val="ListParagraph"/>
    <w:link w:val="3-BodyTextChar"/>
    <w:qFormat/>
    <w:rsid w:val="00B550FD"/>
    <w:pPr>
      <w:numPr>
        <w:numId w:val="0"/>
      </w:numPr>
      <w:tabs>
        <w:tab w:val="num" w:pos="360"/>
      </w:tabs>
      <w:ind w:left="720"/>
    </w:pPr>
  </w:style>
  <w:style w:type="character" w:customStyle="1" w:styleId="3-BodyTextChar">
    <w:name w:val="3-Body Text Char"/>
    <w:basedOn w:val="DefaultParagraphFont"/>
    <w:link w:val="3-BodyText"/>
    <w:rsid w:val="00217D33"/>
    <w:rPr>
      <w:rFonts w:asciiTheme="minorHAnsi" w:hAnsiTheme="minorHAnsi" w:cs="Arial"/>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0052">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95471909">
      <w:bodyDiv w:val="1"/>
      <w:marLeft w:val="0"/>
      <w:marRight w:val="0"/>
      <w:marTop w:val="0"/>
      <w:marBottom w:val="0"/>
      <w:divBdr>
        <w:top w:val="none" w:sz="0" w:space="0" w:color="auto"/>
        <w:left w:val="none" w:sz="0" w:space="0" w:color="auto"/>
        <w:bottom w:val="none" w:sz="0" w:space="0" w:color="auto"/>
        <w:right w:val="none" w:sz="0" w:space="0" w:color="auto"/>
      </w:divBdr>
    </w:div>
    <w:div w:id="675771985">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091319512">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13689332">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66384717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127311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arvan.org.au/promotions/bone-fracture-risk/calculato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C4CD9-BAFC-4ECF-A5D7-A2BE046FA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16704</Words>
  <Characters>95219</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111700</CharactersWithSpaces>
  <SharedDoc>false</SharedDoc>
  <HLinks>
    <vt:vector size="492" baseType="variant">
      <vt:variant>
        <vt:i4>2752635</vt:i4>
      </vt:variant>
      <vt:variant>
        <vt:i4>618</vt:i4>
      </vt:variant>
      <vt:variant>
        <vt:i4>0</vt:i4>
      </vt:variant>
      <vt:variant>
        <vt:i4>5</vt:i4>
      </vt:variant>
      <vt:variant>
        <vt:lpwstr>http://handbook.cochrane.org/chapter_8/table_8_5_a_the_cochrane_collaborations_tool_for_assessing.htm</vt:lpwstr>
      </vt:variant>
      <vt:variant>
        <vt:lpwstr/>
      </vt:variant>
      <vt:variant>
        <vt:i4>1638422</vt:i4>
      </vt:variant>
      <vt:variant>
        <vt:i4>615</vt:i4>
      </vt:variant>
      <vt:variant>
        <vt:i4>0</vt:i4>
      </vt:variant>
      <vt:variant>
        <vt:i4>5</vt:i4>
      </vt:variant>
      <vt:variant>
        <vt:lpwstr>https://sites.google.com/site/riskofbiastool/ROBINS-I_detailed_guidance.pdf?attredirects=0&amp;d=1</vt:lpwstr>
      </vt:variant>
      <vt:variant>
        <vt:lpwstr/>
      </vt:variant>
      <vt:variant>
        <vt:i4>6684731</vt:i4>
      </vt:variant>
      <vt:variant>
        <vt:i4>603</vt:i4>
      </vt:variant>
      <vt:variant>
        <vt:i4>0</vt:i4>
      </vt:variant>
      <vt:variant>
        <vt:i4>5</vt:i4>
      </vt:variant>
      <vt:variant>
        <vt:lpwstr>https://www.garvan.org.au/promotions/bone-fracture-risk/calculator/</vt:lpwstr>
      </vt:variant>
      <vt:variant>
        <vt:lpwstr/>
      </vt:variant>
      <vt:variant>
        <vt:i4>1048626</vt:i4>
      </vt:variant>
      <vt:variant>
        <vt:i4>470</vt:i4>
      </vt:variant>
      <vt:variant>
        <vt:i4>0</vt:i4>
      </vt:variant>
      <vt:variant>
        <vt:i4>5</vt:i4>
      </vt:variant>
      <vt:variant>
        <vt:lpwstr/>
      </vt:variant>
      <vt:variant>
        <vt:lpwstr>_Toc107927690</vt:lpwstr>
      </vt:variant>
      <vt:variant>
        <vt:i4>1114162</vt:i4>
      </vt:variant>
      <vt:variant>
        <vt:i4>464</vt:i4>
      </vt:variant>
      <vt:variant>
        <vt:i4>0</vt:i4>
      </vt:variant>
      <vt:variant>
        <vt:i4>5</vt:i4>
      </vt:variant>
      <vt:variant>
        <vt:lpwstr/>
      </vt:variant>
      <vt:variant>
        <vt:lpwstr>_Toc107927689</vt:lpwstr>
      </vt:variant>
      <vt:variant>
        <vt:i4>1114162</vt:i4>
      </vt:variant>
      <vt:variant>
        <vt:i4>458</vt:i4>
      </vt:variant>
      <vt:variant>
        <vt:i4>0</vt:i4>
      </vt:variant>
      <vt:variant>
        <vt:i4>5</vt:i4>
      </vt:variant>
      <vt:variant>
        <vt:lpwstr/>
      </vt:variant>
      <vt:variant>
        <vt:lpwstr>_Toc107927688</vt:lpwstr>
      </vt:variant>
      <vt:variant>
        <vt:i4>1114162</vt:i4>
      </vt:variant>
      <vt:variant>
        <vt:i4>452</vt:i4>
      </vt:variant>
      <vt:variant>
        <vt:i4>0</vt:i4>
      </vt:variant>
      <vt:variant>
        <vt:i4>5</vt:i4>
      </vt:variant>
      <vt:variant>
        <vt:lpwstr/>
      </vt:variant>
      <vt:variant>
        <vt:lpwstr>_Toc107927687</vt:lpwstr>
      </vt:variant>
      <vt:variant>
        <vt:i4>1114162</vt:i4>
      </vt:variant>
      <vt:variant>
        <vt:i4>446</vt:i4>
      </vt:variant>
      <vt:variant>
        <vt:i4>0</vt:i4>
      </vt:variant>
      <vt:variant>
        <vt:i4>5</vt:i4>
      </vt:variant>
      <vt:variant>
        <vt:lpwstr/>
      </vt:variant>
      <vt:variant>
        <vt:lpwstr>_Toc107927686</vt:lpwstr>
      </vt:variant>
      <vt:variant>
        <vt:i4>1114162</vt:i4>
      </vt:variant>
      <vt:variant>
        <vt:i4>440</vt:i4>
      </vt:variant>
      <vt:variant>
        <vt:i4>0</vt:i4>
      </vt:variant>
      <vt:variant>
        <vt:i4>5</vt:i4>
      </vt:variant>
      <vt:variant>
        <vt:lpwstr/>
      </vt:variant>
      <vt:variant>
        <vt:lpwstr>_Toc107927685</vt:lpwstr>
      </vt:variant>
      <vt:variant>
        <vt:i4>1114162</vt:i4>
      </vt:variant>
      <vt:variant>
        <vt:i4>434</vt:i4>
      </vt:variant>
      <vt:variant>
        <vt:i4>0</vt:i4>
      </vt:variant>
      <vt:variant>
        <vt:i4>5</vt:i4>
      </vt:variant>
      <vt:variant>
        <vt:lpwstr/>
      </vt:variant>
      <vt:variant>
        <vt:lpwstr>_Toc107927684</vt:lpwstr>
      </vt:variant>
      <vt:variant>
        <vt:i4>1114162</vt:i4>
      </vt:variant>
      <vt:variant>
        <vt:i4>428</vt:i4>
      </vt:variant>
      <vt:variant>
        <vt:i4>0</vt:i4>
      </vt:variant>
      <vt:variant>
        <vt:i4>5</vt:i4>
      </vt:variant>
      <vt:variant>
        <vt:lpwstr/>
      </vt:variant>
      <vt:variant>
        <vt:lpwstr>_Toc107927683</vt:lpwstr>
      </vt:variant>
      <vt:variant>
        <vt:i4>1114162</vt:i4>
      </vt:variant>
      <vt:variant>
        <vt:i4>422</vt:i4>
      </vt:variant>
      <vt:variant>
        <vt:i4>0</vt:i4>
      </vt:variant>
      <vt:variant>
        <vt:i4>5</vt:i4>
      </vt:variant>
      <vt:variant>
        <vt:lpwstr/>
      </vt:variant>
      <vt:variant>
        <vt:lpwstr>_Toc107927682</vt:lpwstr>
      </vt:variant>
      <vt:variant>
        <vt:i4>1114162</vt:i4>
      </vt:variant>
      <vt:variant>
        <vt:i4>416</vt:i4>
      </vt:variant>
      <vt:variant>
        <vt:i4>0</vt:i4>
      </vt:variant>
      <vt:variant>
        <vt:i4>5</vt:i4>
      </vt:variant>
      <vt:variant>
        <vt:lpwstr/>
      </vt:variant>
      <vt:variant>
        <vt:lpwstr>_Toc107927681</vt:lpwstr>
      </vt:variant>
      <vt:variant>
        <vt:i4>1114162</vt:i4>
      </vt:variant>
      <vt:variant>
        <vt:i4>410</vt:i4>
      </vt:variant>
      <vt:variant>
        <vt:i4>0</vt:i4>
      </vt:variant>
      <vt:variant>
        <vt:i4>5</vt:i4>
      </vt:variant>
      <vt:variant>
        <vt:lpwstr/>
      </vt:variant>
      <vt:variant>
        <vt:lpwstr>_Toc107927680</vt:lpwstr>
      </vt:variant>
      <vt:variant>
        <vt:i4>1966130</vt:i4>
      </vt:variant>
      <vt:variant>
        <vt:i4>404</vt:i4>
      </vt:variant>
      <vt:variant>
        <vt:i4>0</vt:i4>
      </vt:variant>
      <vt:variant>
        <vt:i4>5</vt:i4>
      </vt:variant>
      <vt:variant>
        <vt:lpwstr/>
      </vt:variant>
      <vt:variant>
        <vt:lpwstr>_Toc107927679</vt:lpwstr>
      </vt:variant>
      <vt:variant>
        <vt:i4>1966130</vt:i4>
      </vt:variant>
      <vt:variant>
        <vt:i4>398</vt:i4>
      </vt:variant>
      <vt:variant>
        <vt:i4>0</vt:i4>
      </vt:variant>
      <vt:variant>
        <vt:i4>5</vt:i4>
      </vt:variant>
      <vt:variant>
        <vt:lpwstr/>
      </vt:variant>
      <vt:variant>
        <vt:lpwstr>_Toc107927678</vt:lpwstr>
      </vt:variant>
      <vt:variant>
        <vt:i4>1966130</vt:i4>
      </vt:variant>
      <vt:variant>
        <vt:i4>392</vt:i4>
      </vt:variant>
      <vt:variant>
        <vt:i4>0</vt:i4>
      </vt:variant>
      <vt:variant>
        <vt:i4>5</vt:i4>
      </vt:variant>
      <vt:variant>
        <vt:lpwstr/>
      </vt:variant>
      <vt:variant>
        <vt:lpwstr>_Toc107927677</vt:lpwstr>
      </vt:variant>
      <vt:variant>
        <vt:i4>1966130</vt:i4>
      </vt:variant>
      <vt:variant>
        <vt:i4>386</vt:i4>
      </vt:variant>
      <vt:variant>
        <vt:i4>0</vt:i4>
      </vt:variant>
      <vt:variant>
        <vt:i4>5</vt:i4>
      </vt:variant>
      <vt:variant>
        <vt:lpwstr/>
      </vt:variant>
      <vt:variant>
        <vt:lpwstr>_Toc107927676</vt:lpwstr>
      </vt:variant>
      <vt:variant>
        <vt:i4>1966130</vt:i4>
      </vt:variant>
      <vt:variant>
        <vt:i4>380</vt:i4>
      </vt:variant>
      <vt:variant>
        <vt:i4>0</vt:i4>
      </vt:variant>
      <vt:variant>
        <vt:i4>5</vt:i4>
      </vt:variant>
      <vt:variant>
        <vt:lpwstr/>
      </vt:variant>
      <vt:variant>
        <vt:lpwstr>_Toc107927675</vt:lpwstr>
      </vt:variant>
      <vt:variant>
        <vt:i4>1966130</vt:i4>
      </vt:variant>
      <vt:variant>
        <vt:i4>374</vt:i4>
      </vt:variant>
      <vt:variant>
        <vt:i4>0</vt:i4>
      </vt:variant>
      <vt:variant>
        <vt:i4>5</vt:i4>
      </vt:variant>
      <vt:variant>
        <vt:lpwstr/>
      </vt:variant>
      <vt:variant>
        <vt:lpwstr>_Toc107927674</vt:lpwstr>
      </vt:variant>
      <vt:variant>
        <vt:i4>1966130</vt:i4>
      </vt:variant>
      <vt:variant>
        <vt:i4>368</vt:i4>
      </vt:variant>
      <vt:variant>
        <vt:i4>0</vt:i4>
      </vt:variant>
      <vt:variant>
        <vt:i4>5</vt:i4>
      </vt:variant>
      <vt:variant>
        <vt:lpwstr/>
      </vt:variant>
      <vt:variant>
        <vt:lpwstr>_Toc107927673</vt:lpwstr>
      </vt:variant>
      <vt:variant>
        <vt:i4>1966130</vt:i4>
      </vt:variant>
      <vt:variant>
        <vt:i4>362</vt:i4>
      </vt:variant>
      <vt:variant>
        <vt:i4>0</vt:i4>
      </vt:variant>
      <vt:variant>
        <vt:i4>5</vt:i4>
      </vt:variant>
      <vt:variant>
        <vt:lpwstr/>
      </vt:variant>
      <vt:variant>
        <vt:lpwstr>_Toc107927672</vt:lpwstr>
      </vt:variant>
      <vt:variant>
        <vt:i4>1966130</vt:i4>
      </vt:variant>
      <vt:variant>
        <vt:i4>356</vt:i4>
      </vt:variant>
      <vt:variant>
        <vt:i4>0</vt:i4>
      </vt:variant>
      <vt:variant>
        <vt:i4>5</vt:i4>
      </vt:variant>
      <vt:variant>
        <vt:lpwstr/>
      </vt:variant>
      <vt:variant>
        <vt:lpwstr>_Toc107927671</vt:lpwstr>
      </vt:variant>
      <vt:variant>
        <vt:i4>1966130</vt:i4>
      </vt:variant>
      <vt:variant>
        <vt:i4>350</vt:i4>
      </vt:variant>
      <vt:variant>
        <vt:i4>0</vt:i4>
      </vt:variant>
      <vt:variant>
        <vt:i4>5</vt:i4>
      </vt:variant>
      <vt:variant>
        <vt:lpwstr/>
      </vt:variant>
      <vt:variant>
        <vt:lpwstr>_Toc107927670</vt:lpwstr>
      </vt:variant>
      <vt:variant>
        <vt:i4>2031666</vt:i4>
      </vt:variant>
      <vt:variant>
        <vt:i4>344</vt:i4>
      </vt:variant>
      <vt:variant>
        <vt:i4>0</vt:i4>
      </vt:variant>
      <vt:variant>
        <vt:i4>5</vt:i4>
      </vt:variant>
      <vt:variant>
        <vt:lpwstr/>
      </vt:variant>
      <vt:variant>
        <vt:lpwstr>_Toc107927669</vt:lpwstr>
      </vt:variant>
      <vt:variant>
        <vt:i4>2031666</vt:i4>
      </vt:variant>
      <vt:variant>
        <vt:i4>338</vt:i4>
      </vt:variant>
      <vt:variant>
        <vt:i4>0</vt:i4>
      </vt:variant>
      <vt:variant>
        <vt:i4>5</vt:i4>
      </vt:variant>
      <vt:variant>
        <vt:lpwstr/>
      </vt:variant>
      <vt:variant>
        <vt:lpwstr>_Toc107927668</vt:lpwstr>
      </vt:variant>
      <vt:variant>
        <vt:i4>2031666</vt:i4>
      </vt:variant>
      <vt:variant>
        <vt:i4>332</vt:i4>
      </vt:variant>
      <vt:variant>
        <vt:i4>0</vt:i4>
      </vt:variant>
      <vt:variant>
        <vt:i4>5</vt:i4>
      </vt:variant>
      <vt:variant>
        <vt:lpwstr/>
      </vt:variant>
      <vt:variant>
        <vt:lpwstr>_Toc107927667</vt:lpwstr>
      </vt:variant>
      <vt:variant>
        <vt:i4>2031666</vt:i4>
      </vt:variant>
      <vt:variant>
        <vt:i4>326</vt:i4>
      </vt:variant>
      <vt:variant>
        <vt:i4>0</vt:i4>
      </vt:variant>
      <vt:variant>
        <vt:i4>5</vt:i4>
      </vt:variant>
      <vt:variant>
        <vt:lpwstr/>
      </vt:variant>
      <vt:variant>
        <vt:lpwstr>_Toc107927666</vt:lpwstr>
      </vt:variant>
      <vt:variant>
        <vt:i4>2031666</vt:i4>
      </vt:variant>
      <vt:variant>
        <vt:i4>320</vt:i4>
      </vt:variant>
      <vt:variant>
        <vt:i4>0</vt:i4>
      </vt:variant>
      <vt:variant>
        <vt:i4>5</vt:i4>
      </vt:variant>
      <vt:variant>
        <vt:lpwstr/>
      </vt:variant>
      <vt:variant>
        <vt:lpwstr>_Toc107927665</vt:lpwstr>
      </vt:variant>
      <vt:variant>
        <vt:i4>2031666</vt:i4>
      </vt:variant>
      <vt:variant>
        <vt:i4>314</vt:i4>
      </vt:variant>
      <vt:variant>
        <vt:i4>0</vt:i4>
      </vt:variant>
      <vt:variant>
        <vt:i4>5</vt:i4>
      </vt:variant>
      <vt:variant>
        <vt:lpwstr/>
      </vt:variant>
      <vt:variant>
        <vt:lpwstr>_Toc107927664</vt:lpwstr>
      </vt:variant>
      <vt:variant>
        <vt:i4>2031666</vt:i4>
      </vt:variant>
      <vt:variant>
        <vt:i4>308</vt:i4>
      </vt:variant>
      <vt:variant>
        <vt:i4>0</vt:i4>
      </vt:variant>
      <vt:variant>
        <vt:i4>5</vt:i4>
      </vt:variant>
      <vt:variant>
        <vt:lpwstr/>
      </vt:variant>
      <vt:variant>
        <vt:lpwstr>_Toc107927663</vt:lpwstr>
      </vt:variant>
      <vt:variant>
        <vt:i4>2031666</vt:i4>
      </vt:variant>
      <vt:variant>
        <vt:i4>302</vt:i4>
      </vt:variant>
      <vt:variant>
        <vt:i4>0</vt:i4>
      </vt:variant>
      <vt:variant>
        <vt:i4>5</vt:i4>
      </vt:variant>
      <vt:variant>
        <vt:lpwstr/>
      </vt:variant>
      <vt:variant>
        <vt:lpwstr>_Toc107927662</vt:lpwstr>
      </vt:variant>
      <vt:variant>
        <vt:i4>2031666</vt:i4>
      </vt:variant>
      <vt:variant>
        <vt:i4>296</vt:i4>
      </vt:variant>
      <vt:variant>
        <vt:i4>0</vt:i4>
      </vt:variant>
      <vt:variant>
        <vt:i4>5</vt:i4>
      </vt:variant>
      <vt:variant>
        <vt:lpwstr/>
      </vt:variant>
      <vt:variant>
        <vt:lpwstr>_Toc107927661</vt:lpwstr>
      </vt:variant>
      <vt:variant>
        <vt:i4>2031666</vt:i4>
      </vt:variant>
      <vt:variant>
        <vt:i4>290</vt:i4>
      </vt:variant>
      <vt:variant>
        <vt:i4>0</vt:i4>
      </vt:variant>
      <vt:variant>
        <vt:i4>5</vt:i4>
      </vt:variant>
      <vt:variant>
        <vt:lpwstr/>
      </vt:variant>
      <vt:variant>
        <vt:lpwstr>_Toc107927660</vt:lpwstr>
      </vt:variant>
      <vt:variant>
        <vt:i4>1835058</vt:i4>
      </vt:variant>
      <vt:variant>
        <vt:i4>284</vt:i4>
      </vt:variant>
      <vt:variant>
        <vt:i4>0</vt:i4>
      </vt:variant>
      <vt:variant>
        <vt:i4>5</vt:i4>
      </vt:variant>
      <vt:variant>
        <vt:lpwstr/>
      </vt:variant>
      <vt:variant>
        <vt:lpwstr>_Toc107927659</vt:lpwstr>
      </vt:variant>
      <vt:variant>
        <vt:i4>1835058</vt:i4>
      </vt:variant>
      <vt:variant>
        <vt:i4>278</vt:i4>
      </vt:variant>
      <vt:variant>
        <vt:i4>0</vt:i4>
      </vt:variant>
      <vt:variant>
        <vt:i4>5</vt:i4>
      </vt:variant>
      <vt:variant>
        <vt:lpwstr/>
      </vt:variant>
      <vt:variant>
        <vt:lpwstr>_Toc107927658</vt:lpwstr>
      </vt:variant>
      <vt:variant>
        <vt:i4>1835058</vt:i4>
      </vt:variant>
      <vt:variant>
        <vt:i4>272</vt:i4>
      </vt:variant>
      <vt:variant>
        <vt:i4>0</vt:i4>
      </vt:variant>
      <vt:variant>
        <vt:i4>5</vt:i4>
      </vt:variant>
      <vt:variant>
        <vt:lpwstr/>
      </vt:variant>
      <vt:variant>
        <vt:lpwstr>_Toc107927657</vt:lpwstr>
      </vt:variant>
      <vt:variant>
        <vt:i4>1835058</vt:i4>
      </vt:variant>
      <vt:variant>
        <vt:i4>266</vt:i4>
      </vt:variant>
      <vt:variant>
        <vt:i4>0</vt:i4>
      </vt:variant>
      <vt:variant>
        <vt:i4>5</vt:i4>
      </vt:variant>
      <vt:variant>
        <vt:lpwstr/>
      </vt:variant>
      <vt:variant>
        <vt:lpwstr>_Toc107927656</vt:lpwstr>
      </vt:variant>
      <vt:variant>
        <vt:i4>1835058</vt:i4>
      </vt:variant>
      <vt:variant>
        <vt:i4>260</vt:i4>
      </vt:variant>
      <vt:variant>
        <vt:i4>0</vt:i4>
      </vt:variant>
      <vt:variant>
        <vt:i4>5</vt:i4>
      </vt:variant>
      <vt:variant>
        <vt:lpwstr/>
      </vt:variant>
      <vt:variant>
        <vt:lpwstr>_Toc107927655</vt:lpwstr>
      </vt:variant>
      <vt:variant>
        <vt:i4>1835058</vt:i4>
      </vt:variant>
      <vt:variant>
        <vt:i4>254</vt:i4>
      </vt:variant>
      <vt:variant>
        <vt:i4>0</vt:i4>
      </vt:variant>
      <vt:variant>
        <vt:i4>5</vt:i4>
      </vt:variant>
      <vt:variant>
        <vt:lpwstr/>
      </vt:variant>
      <vt:variant>
        <vt:lpwstr>_Toc107927654</vt:lpwstr>
      </vt:variant>
      <vt:variant>
        <vt:i4>1835058</vt:i4>
      </vt:variant>
      <vt:variant>
        <vt:i4>248</vt:i4>
      </vt:variant>
      <vt:variant>
        <vt:i4>0</vt:i4>
      </vt:variant>
      <vt:variant>
        <vt:i4>5</vt:i4>
      </vt:variant>
      <vt:variant>
        <vt:lpwstr/>
      </vt:variant>
      <vt:variant>
        <vt:lpwstr>_Toc107927653</vt:lpwstr>
      </vt:variant>
      <vt:variant>
        <vt:i4>1835058</vt:i4>
      </vt:variant>
      <vt:variant>
        <vt:i4>242</vt:i4>
      </vt:variant>
      <vt:variant>
        <vt:i4>0</vt:i4>
      </vt:variant>
      <vt:variant>
        <vt:i4>5</vt:i4>
      </vt:variant>
      <vt:variant>
        <vt:lpwstr/>
      </vt:variant>
      <vt:variant>
        <vt:lpwstr>_Toc107927652</vt:lpwstr>
      </vt:variant>
      <vt:variant>
        <vt:i4>1835058</vt:i4>
      </vt:variant>
      <vt:variant>
        <vt:i4>236</vt:i4>
      </vt:variant>
      <vt:variant>
        <vt:i4>0</vt:i4>
      </vt:variant>
      <vt:variant>
        <vt:i4>5</vt:i4>
      </vt:variant>
      <vt:variant>
        <vt:lpwstr/>
      </vt:variant>
      <vt:variant>
        <vt:lpwstr>_Toc107927651</vt:lpwstr>
      </vt:variant>
      <vt:variant>
        <vt:i4>1835058</vt:i4>
      </vt:variant>
      <vt:variant>
        <vt:i4>230</vt:i4>
      </vt:variant>
      <vt:variant>
        <vt:i4>0</vt:i4>
      </vt:variant>
      <vt:variant>
        <vt:i4>5</vt:i4>
      </vt:variant>
      <vt:variant>
        <vt:lpwstr/>
      </vt:variant>
      <vt:variant>
        <vt:lpwstr>_Toc107927650</vt:lpwstr>
      </vt:variant>
      <vt:variant>
        <vt:i4>1900594</vt:i4>
      </vt:variant>
      <vt:variant>
        <vt:i4>224</vt:i4>
      </vt:variant>
      <vt:variant>
        <vt:i4>0</vt:i4>
      </vt:variant>
      <vt:variant>
        <vt:i4>5</vt:i4>
      </vt:variant>
      <vt:variant>
        <vt:lpwstr/>
      </vt:variant>
      <vt:variant>
        <vt:lpwstr>_Toc107927649</vt:lpwstr>
      </vt:variant>
      <vt:variant>
        <vt:i4>1900594</vt:i4>
      </vt:variant>
      <vt:variant>
        <vt:i4>218</vt:i4>
      </vt:variant>
      <vt:variant>
        <vt:i4>0</vt:i4>
      </vt:variant>
      <vt:variant>
        <vt:i4>5</vt:i4>
      </vt:variant>
      <vt:variant>
        <vt:lpwstr/>
      </vt:variant>
      <vt:variant>
        <vt:lpwstr>_Toc107927648</vt:lpwstr>
      </vt:variant>
      <vt:variant>
        <vt:i4>1900594</vt:i4>
      </vt:variant>
      <vt:variant>
        <vt:i4>212</vt:i4>
      </vt:variant>
      <vt:variant>
        <vt:i4>0</vt:i4>
      </vt:variant>
      <vt:variant>
        <vt:i4>5</vt:i4>
      </vt:variant>
      <vt:variant>
        <vt:lpwstr/>
      </vt:variant>
      <vt:variant>
        <vt:lpwstr>_Toc107927647</vt:lpwstr>
      </vt:variant>
      <vt:variant>
        <vt:i4>1900594</vt:i4>
      </vt:variant>
      <vt:variant>
        <vt:i4>206</vt:i4>
      </vt:variant>
      <vt:variant>
        <vt:i4>0</vt:i4>
      </vt:variant>
      <vt:variant>
        <vt:i4>5</vt:i4>
      </vt:variant>
      <vt:variant>
        <vt:lpwstr/>
      </vt:variant>
      <vt:variant>
        <vt:lpwstr>_Toc107927646</vt:lpwstr>
      </vt:variant>
      <vt:variant>
        <vt:i4>1900594</vt:i4>
      </vt:variant>
      <vt:variant>
        <vt:i4>200</vt:i4>
      </vt:variant>
      <vt:variant>
        <vt:i4>0</vt:i4>
      </vt:variant>
      <vt:variant>
        <vt:i4>5</vt:i4>
      </vt:variant>
      <vt:variant>
        <vt:lpwstr/>
      </vt:variant>
      <vt:variant>
        <vt:lpwstr>_Toc107927645</vt:lpwstr>
      </vt:variant>
      <vt:variant>
        <vt:i4>1900594</vt:i4>
      </vt:variant>
      <vt:variant>
        <vt:i4>194</vt:i4>
      </vt:variant>
      <vt:variant>
        <vt:i4>0</vt:i4>
      </vt:variant>
      <vt:variant>
        <vt:i4>5</vt:i4>
      </vt:variant>
      <vt:variant>
        <vt:lpwstr/>
      </vt:variant>
      <vt:variant>
        <vt:lpwstr>_Toc107927644</vt:lpwstr>
      </vt:variant>
      <vt:variant>
        <vt:i4>1900594</vt:i4>
      </vt:variant>
      <vt:variant>
        <vt:i4>188</vt:i4>
      </vt:variant>
      <vt:variant>
        <vt:i4>0</vt:i4>
      </vt:variant>
      <vt:variant>
        <vt:i4>5</vt:i4>
      </vt:variant>
      <vt:variant>
        <vt:lpwstr/>
      </vt:variant>
      <vt:variant>
        <vt:lpwstr>_Toc107927643</vt:lpwstr>
      </vt:variant>
      <vt:variant>
        <vt:i4>1900594</vt:i4>
      </vt:variant>
      <vt:variant>
        <vt:i4>182</vt:i4>
      </vt:variant>
      <vt:variant>
        <vt:i4>0</vt:i4>
      </vt:variant>
      <vt:variant>
        <vt:i4>5</vt:i4>
      </vt:variant>
      <vt:variant>
        <vt:lpwstr/>
      </vt:variant>
      <vt:variant>
        <vt:lpwstr>_Toc107927642</vt:lpwstr>
      </vt:variant>
      <vt:variant>
        <vt:i4>1900594</vt:i4>
      </vt:variant>
      <vt:variant>
        <vt:i4>176</vt:i4>
      </vt:variant>
      <vt:variant>
        <vt:i4>0</vt:i4>
      </vt:variant>
      <vt:variant>
        <vt:i4>5</vt:i4>
      </vt:variant>
      <vt:variant>
        <vt:lpwstr/>
      </vt:variant>
      <vt:variant>
        <vt:lpwstr>_Toc107927641</vt:lpwstr>
      </vt:variant>
      <vt:variant>
        <vt:i4>1900594</vt:i4>
      </vt:variant>
      <vt:variant>
        <vt:i4>170</vt:i4>
      </vt:variant>
      <vt:variant>
        <vt:i4>0</vt:i4>
      </vt:variant>
      <vt:variant>
        <vt:i4>5</vt:i4>
      </vt:variant>
      <vt:variant>
        <vt:lpwstr/>
      </vt:variant>
      <vt:variant>
        <vt:lpwstr>_Toc107927640</vt:lpwstr>
      </vt:variant>
      <vt:variant>
        <vt:i4>1703986</vt:i4>
      </vt:variant>
      <vt:variant>
        <vt:i4>164</vt:i4>
      </vt:variant>
      <vt:variant>
        <vt:i4>0</vt:i4>
      </vt:variant>
      <vt:variant>
        <vt:i4>5</vt:i4>
      </vt:variant>
      <vt:variant>
        <vt:lpwstr/>
      </vt:variant>
      <vt:variant>
        <vt:lpwstr>_Toc107927639</vt:lpwstr>
      </vt:variant>
      <vt:variant>
        <vt:i4>1703986</vt:i4>
      </vt:variant>
      <vt:variant>
        <vt:i4>158</vt:i4>
      </vt:variant>
      <vt:variant>
        <vt:i4>0</vt:i4>
      </vt:variant>
      <vt:variant>
        <vt:i4>5</vt:i4>
      </vt:variant>
      <vt:variant>
        <vt:lpwstr/>
      </vt:variant>
      <vt:variant>
        <vt:lpwstr>_Toc107927638</vt:lpwstr>
      </vt:variant>
      <vt:variant>
        <vt:i4>1703986</vt:i4>
      </vt:variant>
      <vt:variant>
        <vt:i4>152</vt:i4>
      </vt:variant>
      <vt:variant>
        <vt:i4>0</vt:i4>
      </vt:variant>
      <vt:variant>
        <vt:i4>5</vt:i4>
      </vt:variant>
      <vt:variant>
        <vt:lpwstr/>
      </vt:variant>
      <vt:variant>
        <vt:lpwstr>_Toc107927637</vt:lpwstr>
      </vt:variant>
      <vt:variant>
        <vt:i4>1703986</vt:i4>
      </vt:variant>
      <vt:variant>
        <vt:i4>146</vt:i4>
      </vt:variant>
      <vt:variant>
        <vt:i4>0</vt:i4>
      </vt:variant>
      <vt:variant>
        <vt:i4>5</vt:i4>
      </vt:variant>
      <vt:variant>
        <vt:lpwstr/>
      </vt:variant>
      <vt:variant>
        <vt:lpwstr>_Toc107927636</vt:lpwstr>
      </vt:variant>
      <vt:variant>
        <vt:i4>1703986</vt:i4>
      </vt:variant>
      <vt:variant>
        <vt:i4>140</vt:i4>
      </vt:variant>
      <vt:variant>
        <vt:i4>0</vt:i4>
      </vt:variant>
      <vt:variant>
        <vt:i4>5</vt:i4>
      </vt:variant>
      <vt:variant>
        <vt:lpwstr/>
      </vt:variant>
      <vt:variant>
        <vt:lpwstr>_Toc107927635</vt:lpwstr>
      </vt:variant>
      <vt:variant>
        <vt:i4>1703986</vt:i4>
      </vt:variant>
      <vt:variant>
        <vt:i4>134</vt:i4>
      </vt:variant>
      <vt:variant>
        <vt:i4>0</vt:i4>
      </vt:variant>
      <vt:variant>
        <vt:i4>5</vt:i4>
      </vt:variant>
      <vt:variant>
        <vt:lpwstr/>
      </vt:variant>
      <vt:variant>
        <vt:lpwstr>_Toc107927634</vt:lpwstr>
      </vt:variant>
      <vt:variant>
        <vt:i4>1703986</vt:i4>
      </vt:variant>
      <vt:variant>
        <vt:i4>128</vt:i4>
      </vt:variant>
      <vt:variant>
        <vt:i4>0</vt:i4>
      </vt:variant>
      <vt:variant>
        <vt:i4>5</vt:i4>
      </vt:variant>
      <vt:variant>
        <vt:lpwstr/>
      </vt:variant>
      <vt:variant>
        <vt:lpwstr>_Toc107927633</vt:lpwstr>
      </vt:variant>
      <vt:variant>
        <vt:i4>1703986</vt:i4>
      </vt:variant>
      <vt:variant>
        <vt:i4>122</vt:i4>
      </vt:variant>
      <vt:variant>
        <vt:i4>0</vt:i4>
      </vt:variant>
      <vt:variant>
        <vt:i4>5</vt:i4>
      </vt:variant>
      <vt:variant>
        <vt:lpwstr/>
      </vt:variant>
      <vt:variant>
        <vt:lpwstr>_Toc107927632</vt:lpwstr>
      </vt:variant>
      <vt:variant>
        <vt:i4>1703986</vt:i4>
      </vt:variant>
      <vt:variant>
        <vt:i4>116</vt:i4>
      </vt:variant>
      <vt:variant>
        <vt:i4>0</vt:i4>
      </vt:variant>
      <vt:variant>
        <vt:i4>5</vt:i4>
      </vt:variant>
      <vt:variant>
        <vt:lpwstr/>
      </vt:variant>
      <vt:variant>
        <vt:lpwstr>_Toc107927631</vt:lpwstr>
      </vt:variant>
      <vt:variant>
        <vt:i4>1703986</vt:i4>
      </vt:variant>
      <vt:variant>
        <vt:i4>110</vt:i4>
      </vt:variant>
      <vt:variant>
        <vt:i4>0</vt:i4>
      </vt:variant>
      <vt:variant>
        <vt:i4>5</vt:i4>
      </vt:variant>
      <vt:variant>
        <vt:lpwstr/>
      </vt:variant>
      <vt:variant>
        <vt:lpwstr>_Toc107927630</vt:lpwstr>
      </vt:variant>
      <vt:variant>
        <vt:i4>1769522</vt:i4>
      </vt:variant>
      <vt:variant>
        <vt:i4>104</vt:i4>
      </vt:variant>
      <vt:variant>
        <vt:i4>0</vt:i4>
      </vt:variant>
      <vt:variant>
        <vt:i4>5</vt:i4>
      </vt:variant>
      <vt:variant>
        <vt:lpwstr/>
      </vt:variant>
      <vt:variant>
        <vt:lpwstr>_Toc107927629</vt:lpwstr>
      </vt:variant>
      <vt:variant>
        <vt:i4>1769522</vt:i4>
      </vt:variant>
      <vt:variant>
        <vt:i4>98</vt:i4>
      </vt:variant>
      <vt:variant>
        <vt:i4>0</vt:i4>
      </vt:variant>
      <vt:variant>
        <vt:i4>5</vt:i4>
      </vt:variant>
      <vt:variant>
        <vt:lpwstr/>
      </vt:variant>
      <vt:variant>
        <vt:lpwstr>_Toc107927628</vt:lpwstr>
      </vt:variant>
      <vt:variant>
        <vt:i4>1769522</vt:i4>
      </vt:variant>
      <vt:variant>
        <vt:i4>92</vt:i4>
      </vt:variant>
      <vt:variant>
        <vt:i4>0</vt:i4>
      </vt:variant>
      <vt:variant>
        <vt:i4>5</vt:i4>
      </vt:variant>
      <vt:variant>
        <vt:lpwstr/>
      </vt:variant>
      <vt:variant>
        <vt:lpwstr>_Toc107927627</vt:lpwstr>
      </vt:variant>
      <vt:variant>
        <vt:i4>1769522</vt:i4>
      </vt:variant>
      <vt:variant>
        <vt:i4>86</vt:i4>
      </vt:variant>
      <vt:variant>
        <vt:i4>0</vt:i4>
      </vt:variant>
      <vt:variant>
        <vt:i4>5</vt:i4>
      </vt:variant>
      <vt:variant>
        <vt:lpwstr/>
      </vt:variant>
      <vt:variant>
        <vt:lpwstr>_Toc107927626</vt:lpwstr>
      </vt:variant>
      <vt:variant>
        <vt:i4>1769522</vt:i4>
      </vt:variant>
      <vt:variant>
        <vt:i4>80</vt:i4>
      </vt:variant>
      <vt:variant>
        <vt:i4>0</vt:i4>
      </vt:variant>
      <vt:variant>
        <vt:i4>5</vt:i4>
      </vt:variant>
      <vt:variant>
        <vt:lpwstr/>
      </vt:variant>
      <vt:variant>
        <vt:lpwstr>_Toc107927625</vt:lpwstr>
      </vt:variant>
      <vt:variant>
        <vt:i4>1769522</vt:i4>
      </vt:variant>
      <vt:variant>
        <vt:i4>74</vt:i4>
      </vt:variant>
      <vt:variant>
        <vt:i4>0</vt:i4>
      </vt:variant>
      <vt:variant>
        <vt:i4>5</vt:i4>
      </vt:variant>
      <vt:variant>
        <vt:lpwstr/>
      </vt:variant>
      <vt:variant>
        <vt:lpwstr>_Toc107927624</vt:lpwstr>
      </vt:variant>
      <vt:variant>
        <vt:i4>1769522</vt:i4>
      </vt:variant>
      <vt:variant>
        <vt:i4>68</vt:i4>
      </vt:variant>
      <vt:variant>
        <vt:i4>0</vt:i4>
      </vt:variant>
      <vt:variant>
        <vt:i4>5</vt:i4>
      </vt:variant>
      <vt:variant>
        <vt:lpwstr/>
      </vt:variant>
      <vt:variant>
        <vt:lpwstr>_Toc107927623</vt:lpwstr>
      </vt:variant>
      <vt:variant>
        <vt:i4>1769522</vt:i4>
      </vt:variant>
      <vt:variant>
        <vt:i4>62</vt:i4>
      </vt:variant>
      <vt:variant>
        <vt:i4>0</vt:i4>
      </vt:variant>
      <vt:variant>
        <vt:i4>5</vt:i4>
      </vt:variant>
      <vt:variant>
        <vt:lpwstr/>
      </vt:variant>
      <vt:variant>
        <vt:lpwstr>_Toc107927622</vt:lpwstr>
      </vt:variant>
      <vt:variant>
        <vt:i4>1769522</vt:i4>
      </vt:variant>
      <vt:variant>
        <vt:i4>56</vt:i4>
      </vt:variant>
      <vt:variant>
        <vt:i4>0</vt:i4>
      </vt:variant>
      <vt:variant>
        <vt:i4>5</vt:i4>
      </vt:variant>
      <vt:variant>
        <vt:lpwstr/>
      </vt:variant>
      <vt:variant>
        <vt:lpwstr>_Toc107927621</vt:lpwstr>
      </vt:variant>
      <vt:variant>
        <vt:i4>1769522</vt:i4>
      </vt:variant>
      <vt:variant>
        <vt:i4>50</vt:i4>
      </vt:variant>
      <vt:variant>
        <vt:i4>0</vt:i4>
      </vt:variant>
      <vt:variant>
        <vt:i4>5</vt:i4>
      </vt:variant>
      <vt:variant>
        <vt:lpwstr/>
      </vt:variant>
      <vt:variant>
        <vt:lpwstr>_Toc107927620</vt:lpwstr>
      </vt:variant>
      <vt:variant>
        <vt:i4>1572914</vt:i4>
      </vt:variant>
      <vt:variant>
        <vt:i4>44</vt:i4>
      </vt:variant>
      <vt:variant>
        <vt:i4>0</vt:i4>
      </vt:variant>
      <vt:variant>
        <vt:i4>5</vt:i4>
      </vt:variant>
      <vt:variant>
        <vt:lpwstr/>
      </vt:variant>
      <vt:variant>
        <vt:lpwstr>_Toc107927619</vt:lpwstr>
      </vt:variant>
      <vt:variant>
        <vt:i4>1572914</vt:i4>
      </vt:variant>
      <vt:variant>
        <vt:i4>38</vt:i4>
      </vt:variant>
      <vt:variant>
        <vt:i4>0</vt:i4>
      </vt:variant>
      <vt:variant>
        <vt:i4>5</vt:i4>
      </vt:variant>
      <vt:variant>
        <vt:lpwstr/>
      </vt:variant>
      <vt:variant>
        <vt:lpwstr>_Toc107927618</vt:lpwstr>
      </vt:variant>
      <vt:variant>
        <vt:i4>1572914</vt:i4>
      </vt:variant>
      <vt:variant>
        <vt:i4>32</vt:i4>
      </vt:variant>
      <vt:variant>
        <vt:i4>0</vt:i4>
      </vt:variant>
      <vt:variant>
        <vt:i4>5</vt:i4>
      </vt:variant>
      <vt:variant>
        <vt:lpwstr/>
      </vt:variant>
      <vt:variant>
        <vt:lpwstr>_Toc107927617</vt:lpwstr>
      </vt:variant>
      <vt:variant>
        <vt:i4>1572914</vt:i4>
      </vt:variant>
      <vt:variant>
        <vt:i4>26</vt:i4>
      </vt:variant>
      <vt:variant>
        <vt:i4>0</vt:i4>
      </vt:variant>
      <vt:variant>
        <vt:i4>5</vt:i4>
      </vt:variant>
      <vt:variant>
        <vt:lpwstr/>
      </vt:variant>
      <vt:variant>
        <vt:lpwstr>_Toc107927616</vt:lpwstr>
      </vt:variant>
      <vt:variant>
        <vt:i4>1572914</vt:i4>
      </vt:variant>
      <vt:variant>
        <vt:i4>20</vt:i4>
      </vt:variant>
      <vt:variant>
        <vt:i4>0</vt:i4>
      </vt:variant>
      <vt:variant>
        <vt:i4>5</vt:i4>
      </vt:variant>
      <vt:variant>
        <vt:lpwstr/>
      </vt:variant>
      <vt:variant>
        <vt:lpwstr>_Toc107927615</vt:lpwstr>
      </vt:variant>
      <vt:variant>
        <vt:i4>1572914</vt:i4>
      </vt:variant>
      <vt:variant>
        <vt:i4>14</vt:i4>
      </vt:variant>
      <vt:variant>
        <vt:i4>0</vt:i4>
      </vt:variant>
      <vt:variant>
        <vt:i4>5</vt:i4>
      </vt:variant>
      <vt:variant>
        <vt:lpwstr/>
      </vt:variant>
      <vt:variant>
        <vt:lpwstr>_Toc107927614</vt:lpwstr>
      </vt:variant>
      <vt:variant>
        <vt:i4>1572914</vt:i4>
      </vt:variant>
      <vt:variant>
        <vt:i4>8</vt:i4>
      </vt:variant>
      <vt:variant>
        <vt:i4>0</vt:i4>
      </vt:variant>
      <vt:variant>
        <vt:i4>5</vt:i4>
      </vt:variant>
      <vt:variant>
        <vt:lpwstr/>
      </vt:variant>
      <vt:variant>
        <vt:lpwstr>_Toc107927613</vt:lpwstr>
      </vt:variant>
      <vt:variant>
        <vt:i4>1572914</vt:i4>
      </vt:variant>
      <vt:variant>
        <vt:i4>2</vt:i4>
      </vt:variant>
      <vt:variant>
        <vt:i4>0</vt:i4>
      </vt:variant>
      <vt:variant>
        <vt:i4>5</vt:i4>
      </vt:variant>
      <vt:variant>
        <vt:lpwstr/>
      </vt:variant>
      <vt:variant>
        <vt:lpwstr>_Toc107927612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2023-06-27T04:12:00Z</dcterms:created>
  <dcterms:modified xsi:type="dcterms:W3CDTF">2023-06-27T04:16:00Z</dcterms:modified>
</cp:coreProperties>
</file>