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526A" w14:textId="78C72149" w:rsidR="00F811DD" w:rsidRPr="005B024E" w:rsidRDefault="00A23F46" w:rsidP="00F811DD">
      <w:pPr>
        <w:pStyle w:val="1-MainHeading"/>
      </w:pPr>
      <w:bookmarkStart w:id="0" w:name="_Toc113975468"/>
      <w:bookmarkStart w:id="1" w:name="_Hlk113283667"/>
      <w:bookmarkStart w:id="2" w:name="_Toc108433827"/>
      <w:r w:rsidRPr="005B024E">
        <w:t>5.08</w:t>
      </w:r>
      <w:r w:rsidR="00F811DD" w:rsidRPr="005B024E">
        <w:tab/>
        <w:t>POLATUZUMAB VEDOTIN,</w:t>
      </w:r>
      <w:r w:rsidR="00F811DD" w:rsidRPr="005B024E">
        <w:br/>
        <w:t xml:space="preserve">Powder for </w:t>
      </w:r>
      <w:r w:rsidR="00781316">
        <w:t>I.V. infusion 30</w:t>
      </w:r>
      <w:r w:rsidR="000160B2">
        <w:t xml:space="preserve"> </w:t>
      </w:r>
      <w:r w:rsidR="00781316">
        <w:t>mg</w:t>
      </w:r>
      <w:r w:rsidR="00F811DD" w:rsidRPr="005B024E">
        <w:t>,</w:t>
      </w:r>
      <w:r w:rsidR="00F811DD" w:rsidRPr="005B024E">
        <w:br/>
      </w:r>
      <w:r w:rsidR="00781316">
        <w:t xml:space="preserve">Powder for I.V. infusion </w:t>
      </w:r>
      <w:r w:rsidR="00F811DD" w:rsidRPr="005B024E">
        <w:t>140 mg,</w:t>
      </w:r>
      <w:r w:rsidR="00F811DD" w:rsidRPr="005B024E">
        <w:br/>
        <w:t>Polivy</w:t>
      </w:r>
      <w:r w:rsidR="00F811DD" w:rsidRPr="005B024E">
        <w:rPr>
          <w:vertAlign w:val="superscript"/>
        </w:rPr>
        <w:t>®</w:t>
      </w:r>
      <w:r w:rsidR="00F811DD" w:rsidRPr="005B024E">
        <w:t>,</w:t>
      </w:r>
      <w:r w:rsidR="00F811DD" w:rsidRPr="005B024E">
        <w:br/>
        <w:t>Roche Products Pty Ltd.</w:t>
      </w:r>
      <w:bookmarkEnd w:id="0"/>
      <w:r w:rsidR="00F811DD" w:rsidRPr="005B024E">
        <w:t xml:space="preserve"> </w:t>
      </w:r>
    </w:p>
    <w:p w14:paraId="5C0BADB9" w14:textId="77777777" w:rsidR="00F811DD" w:rsidRPr="006D3562" w:rsidRDefault="00F811DD" w:rsidP="00F811DD">
      <w:pPr>
        <w:pStyle w:val="2-SectionHeading"/>
        <w:numPr>
          <w:ilvl w:val="0"/>
          <w:numId w:val="1"/>
        </w:numPr>
      </w:pPr>
      <w:bookmarkStart w:id="3" w:name="_Toc113975470"/>
      <w:bookmarkEnd w:id="1"/>
      <w:r w:rsidRPr="006D3562">
        <w:t>Purpose of submission</w:t>
      </w:r>
      <w:bookmarkEnd w:id="3"/>
    </w:p>
    <w:p w14:paraId="4714812D" w14:textId="7F392868" w:rsidR="00F811DD" w:rsidRPr="00E1521D" w:rsidRDefault="00F811DD" w:rsidP="00E1521D">
      <w:pPr>
        <w:pStyle w:val="3-BodyText"/>
        <w:ind w:left="720"/>
        <w:rPr>
          <w:iCs/>
        </w:rPr>
      </w:pPr>
      <w:bookmarkStart w:id="4" w:name="_Hlk113283697"/>
      <w:r w:rsidRPr="00E1521D">
        <w:rPr>
          <w:iCs/>
        </w:rPr>
        <w:t xml:space="preserve">The Category </w:t>
      </w:r>
      <w:r w:rsidR="008E08B0" w:rsidRPr="00E1521D">
        <w:rPr>
          <w:iCs/>
        </w:rPr>
        <w:t xml:space="preserve">2 </w:t>
      </w:r>
      <w:r w:rsidRPr="00E1521D">
        <w:rPr>
          <w:iCs/>
        </w:rPr>
        <w:t>submission requested Section 100</w:t>
      </w:r>
      <w:r w:rsidR="00DF1EE1" w:rsidRPr="00E1521D">
        <w:rPr>
          <w:iCs/>
        </w:rPr>
        <w:t xml:space="preserve"> Efficient Funding of Chemotherapy</w:t>
      </w:r>
      <w:r w:rsidRPr="00E1521D">
        <w:rPr>
          <w:iCs/>
        </w:rPr>
        <w:t>, Authority Required</w:t>
      </w:r>
      <w:r w:rsidR="008E08B0" w:rsidRPr="00E1521D">
        <w:rPr>
          <w:iCs/>
        </w:rPr>
        <w:t xml:space="preserve"> (Streamlined)</w:t>
      </w:r>
      <w:r w:rsidRPr="00E1521D">
        <w:rPr>
          <w:iCs/>
        </w:rPr>
        <w:t xml:space="preserve"> listing for </w:t>
      </w:r>
      <w:r w:rsidR="008E08B0" w:rsidRPr="00E1521D">
        <w:rPr>
          <w:iCs/>
        </w:rPr>
        <w:t>polatuzumab vedotin in combination with rituximab plus cyclophosphamide, d</w:t>
      </w:r>
      <w:r w:rsidR="0026368E" w:rsidRPr="00E1521D">
        <w:rPr>
          <w:iCs/>
        </w:rPr>
        <w:t>oxorubicin and prednisone (Pola</w:t>
      </w:r>
      <w:r w:rsidR="008E08B0" w:rsidRPr="00E1521D">
        <w:rPr>
          <w:iCs/>
        </w:rPr>
        <w:t>+R-CHP) for the treatment of diffuse large B cell lymphoma (DLBCL) in previously untreated patients with an international prognostic index (IPI) score of 3-5.</w:t>
      </w:r>
      <w:bookmarkEnd w:id="4"/>
      <w:r w:rsidR="008E08B0" w:rsidRPr="00E1521D">
        <w:rPr>
          <w:iCs/>
        </w:rPr>
        <w:t xml:space="preserve"> </w:t>
      </w:r>
      <w:r w:rsidR="007A02A7" w:rsidRPr="00E1521D">
        <w:rPr>
          <w:iCs/>
        </w:rPr>
        <w:t>The PBAC ha</w:t>
      </w:r>
      <w:r w:rsidR="00E81E89" w:rsidRPr="00E1521D">
        <w:rPr>
          <w:iCs/>
        </w:rPr>
        <w:t>d</w:t>
      </w:r>
      <w:r w:rsidR="007A02A7" w:rsidRPr="00E1521D">
        <w:rPr>
          <w:iCs/>
        </w:rPr>
        <w:t xml:space="preserve"> not previously considered polatuzumab vedotin for this indication.</w:t>
      </w:r>
    </w:p>
    <w:p w14:paraId="78AC758F" w14:textId="4DFF07A4" w:rsidR="00F811DD" w:rsidRPr="00E1521D" w:rsidRDefault="00F811DD" w:rsidP="00E1521D">
      <w:pPr>
        <w:pStyle w:val="3-BodyText"/>
        <w:ind w:left="720"/>
        <w:rPr>
          <w:iCs/>
        </w:rPr>
      </w:pPr>
      <w:bookmarkStart w:id="5" w:name="_Hlk113283717"/>
      <w:r w:rsidRPr="00E1521D">
        <w:rPr>
          <w:iCs/>
        </w:rPr>
        <w:t xml:space="preserve">Listing was requested on the basis of a cost-effectiveness analysis versus </w:t>
      </w:r>
      <w:r w:rsidR="00E1173C" w:rsidRPr="00E1521D">
        <w:rPr>
          <w:iCs/>
        </w:rPr>
        <w:t>rituximab in combination with cyclophosphamide, doxorubicin, vincristine, and prednisolone (R-CHOP), administered over a 21-day cycle for 6 cycles, as the main comparator</w:t>
      </w:r>
      <w:r w:rsidRPr="00E1521D">
        <w:rPr>
          <w:iCs/>
        </w:rPr>
        <w:t>.</w:t>
      </w:r>
    </w:p>
    <w:bookmarkEnd w:id="5"/>
    <w:p w14:paraId="0B26E377" w14:textId="3C52C289" w:rsidR="00F811DD" w:rsidRPr="005B024E" w:rsidRDefault="00B3168E" w:rsidP="00F811DD">
      <w:pPr>
        <w:pStyle w:val="TableFigureHeading"/>
        <w:rPr>
          <w:rStyle w:val="CommentReference"/>
          <w:b/>
          <w:szCs w:val="24"/>
        </w:rPr>
      </w:pPr>
      <w:r w:rsidRPr="005B024E">
        <w:t xml:space="preserve">Table </w:t>
      </w:r>
      <w:r w:rsidR="007F2580">
        <w:fldChar w:fldCharType="begin"/>
      </w:r>
      <w:r w:rsidR="007F2580">
        <w:instrText xml:space="preserve"> SEQ Table \* ARABIC </w:instrText>
      </w:r>
      <w:r w:rsidR="007F2580">
        <w:fldChar w:fldCharType="separate"/>
      </w:r>
      <w:r w:rsidR="007F2580">
        <w:rPr>
          <w:noProof/>
        </w:rPr>
        <w:t>1</w:t>
      </w:r>
      <w:r w:rsidR="007F2580">
        <w:rPr>
          <w:noProof/>
        </w:rPr>
        <w:fldChar w:fldCharType="end"/>
      </w:r>
      <w:r w:rsidRPr="005B024E">
        <w:t>:</w:t>
      </w:r>
      <w:r w:rsidR="00F811DD" w:rsidRPr="005B024E">
        <w:rPr>
          <w:rStyle w:val="CommentReference"/>
          <w:b/>
          <w:szCs w:val="24"/>
        </w:rPr>
        <w:t xml:space="preserve"> Key components of the clinical issue addressed by the submission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414"/>
        <w:gridCol w:w="7603"/>
      </w:tblGrid>
      <w:tr w:rsidR="00F811DD" w:rsidRPr="005B024E" w14:paraId="55B0E9C5" w14:textId="77777777" w:rsidTr="003A79DF">
        <w:trPr>
          <w:cantSplit/>
          <w:tblHeader/>
        </w:trPr>
        <w:tc>
          <w:tcPr>
            <w:tcW w:w="784" w:type="pct"/>
            <w:shd w:val="clear" w:color="auto" w:fill="auto"/>
          </w:tcPr>
          <w:p w14:paraId="6DF11116" w14:textId="77777777" w:rsidR="00F811DD" w:rsidRPr="005B024E" w:rsidRDefault="00F811DD" w:rsidP="00F811DD">
            <w:pPr>
              <w:pStyle w:val="In-tableHeading"/>
              <w:rPr>
                <w:szCs w:val="20"/>
                <w:lang w:val="en-AU"/>
              </w:rPr>
            </w:pPr>
            <w:r w:rsidRPr="005B024E">
              <w:rPr>
                <w:lang w:val="en-AU"/>
              </w:rPr>
              <w:t>Component</w:t>
            </w:r>
          </w:p>
        </w:tc>
        <w:tc>
          <w:tcPr>
            <w:tcW w:w="4216" w:type="pct"/>
            <w:shd w:val="clear" w:color="auto" w:fill="auto"/>
          </w:tcPr>
          <w:p w14:paraId="5429766C" w14:textId="77777777" w:rsidR="00F811DD" w:rsidRPr="005B024E" w:rsidRDefault="00F811DD" w:rsidP="00F811DD">
            <w:pPr>
              <w:pStyle w:val="In-tableHeading"/>
              <w:rPr>
                <w:lang w:val="en-AU"/>
              </w:rPr>
            </w:pPr>
            <w:r w:rsidRPr="005B024E">
              <w:rPr>
                <w:lang w:val="en-AU"/>
              </w:rPr>
              <w:t>Description</w:t>
            </w:r>
          </w:p>
        </w:tc>
      </w:tr>
      <w:tr w:rsidR="00E1173C" w:rsidRPr="005B024E" w14:paraId="653AC35D" w14:textId="77777777" w:rsidTr="003A79DF">
        <w:trPr>
          <w:cantSplit/>
        </w:trPr>
        <w:tc>
          <w:tcPr>
            <w:tcW w:w="784" w:type="pct"/>
            <w:shd w:val="clear" w:color="auto" w:fill="auto"/>
          </w:tcPr>
          <w:p w14:paraId="7F0510EA" w14:textId="77777777" w:rsidR="00E1173C" w:rsidRPr="005B024E" w:rsidRDefault="00E1173C" w:rsidP="00E1173C">
            <w:pPr>
              <w:pStyle w:val="TableText0"/>
            </w:pPr>
            <w:r w:rsidRPr="005B024E">
              <w:t>Population</w:t>
            </w:r>
          </w:p>
        </w:tc>
        <w:tc>
          <w:tcPr>
            <w:tcW w:w="4216" w:type="pct"/>
            <w:shd w:val="clear" w:color="auto" w:fill="auto"/>
            <w:vAlign w:val="center"/>
          </w:tcPr>
          <w:p w14:paraId="068CDE59" w14:textId="09DBE854" w:rsidR="00E1173C" w:rsidRPr="005B024E" w:rsidRDefault="00E1173C" w:rsidP="00E1173C">
            <w:pPr>
              <w:pStyle w:val="TableText0"/>
              <w:rPr>
                <w:szCs w:val="20"/>
              </w:rPr>
            </w:pPr>
            <w:r w:rsidRPr="005B024E">
              <w:t>Patients with previously untreated DLBCL and an IPI score of 3–5</w:t>
            </w:r>
          </w:p>
        </w:tc>
      </w:tr>
      <w:tr w:rsidR="00E1173C" w:rsidRPr="005B024E" w14:paraId="5E325938" w14:textId="77777777" w:rsidTr="003A79DF">
        <w:trPr>
          <w:cantSplit/>
        </w:trPr>
        <w:tc>
          <w:tcPr>
            <w:tcW w:w="784" w:type="pct"/>
            <w:shd w:val="clear" w:color="auto" w:fill="auto"/>
          </w:tcPr>
          <w:p w14:paraId="1A65B67E" w14:textId="77777777" w:rsidR="00E1173C" w:rsidRPr="005B024E" w:rsidRDefault="00E1173C" w:rsidP="00E1173C">
            <w:pPr>
              <w:pStyle w:val="TableText0"/>
            </w:pPr>
            <w:r w:rsidRPr="005B024E">
              <w:t>Intervention</w:t>
            </w:r>
          </w:p>
        </w:tc>
        <w:tc>
          <w:tcPr>
            <w:tcW w:w="4216" w:type="pct"/>
            <w:shd w:val="clear" w:color="auto" w:fill="auto"/>
            <w:vAlign w:val="center"/>
          </w:tcPr>
          <w:p w14:paraId="423AA0A9" w14:textId="2B35EAB0" w:rsidR="00E1173C" w:rsidRPr="005B024E" w:rsidRDefault="00E1173C" w:rsidP="0026368E">
            <w:pPr>
              <w:pStyle w:val="TableText0"/>
            </w:pPr>
            <w:r w:rsidRPr="005B024E">
              <w:t>6 cycles of Pola+R-CHP plus 2 cycles of rituximab monotherapy</w:t>
            </w:r>
            <w:r w:rsidR="0026368E" w:rsidRPr="005B024E">
              <w:t xml:space="preserve"> (21 day cycles)</w:t>
            </w:r>
          </w:p>
        </w:tc>
      </w:tr>
      <w:tr w:rsidR="00E1173C" w:rsidRPr="005B024E" w14:paraId="4E7F1BB9" w14:textId="77777777" w:rsidTr="003A79DF">
        <w:trPr>
          <w:cantSplit/>
        </w:trPr>
        <w:tc>
          <w:tcPr>
            <w:tcW w:w="784" w:type="pct"/>
            <w:shd w:val="clear" w:color="auto" w:fill="auto"/>
          </w:tcPr>
          <w:p w14:paraId="4C95B3C7" w14:textId="77777777" w:rsidR="00E1173C" w:rsidRPr="005B024E" w:rsidRDefault="00E1173C" w:rsidP="00E1173C">
            <w:pPr>
              <w:pStyle w:val="TableText0"/>
            </w:pPr>
            <w:r w:rsidRPr="005B024E">
              <w:t>Comparator</w:t>
            </w:r>
          </w:p>
        </w:tc>
        <w:tc>
          <w:tcPr>
            <w:tcW w:w="4216" w:type="pct"/>
            <w:shd w:val="clear" w:color="auto" w:fill="auto"/>
            <w:vAlign w:val="center"/>
          </w:tcPr>
          <w:p w14:paraId="01A5BE38" w14:textId="6D7395F2" w:rsidR="00E1173C" w:rsidRPr="005B024E" w:rsidRDefault="00E1173C" w:rsidP="00E1173C">
            <w:pPr>
              <w:pStyle w:val="TableText0"/>
            </w:pPr>
            <w:r w:rsidRPr="005B024E">
              <w:t>6 cycles of R-CHOP plus 2 cycles of rituximab monotherapy</w:t>
            </w:r>
            <w:r w:rsidR="0026368E" w:rsidRPr="005B024E">
              <w:t xml:space="preserve"> (21 day cycles)</w:t>
            </w:r>
          </w:p>
        </w:tc>
      </w:tr>
      <w:tr w:rsidR="00E1173C" w:rsidRPr="005B024E" w14:paraId="5CDE9FD3" w14:textId="77777777" w:rsidTr="003A79DF">
        <w:trPr>
          <w:cantSplit/>
        </w:trPr>
        <w:tc>
          <w:tcPr>
            <w:tcW w:w="784" w:type="pct"/>
            <w:shd w:val="clear" w:color="auto" w:fill="auto"/>
          </w:tcPr>
          <w:p w14:paraId="7D575694" w14:textId="77777777" w:rsidR="00E1173C" w:rsidRPr="005B024E" w:rsidRDefault="00E1173C" w:rsidP="00E1173C">
            <w:pPr>
              <w:pStyle w:val="TableText0"/>
            </w:pPr>
            <w:r w:rsidRPr="005B024E">
              <w:t>Outcomes</w:t>
            </w:r>
          </w:p>
        </w:tc>
        <w:tc>
          <w:tcPr>
            <w:tcW w:w="4216" w:type="pct"/>
            <w:shd w:val="clear" w:color="auto" w:fill="auto"/>
            <w:vAlign w:val="center"/>
          </w:tcPr>
          <w:p w14:paraId="5F40AA9D" w14:textId="6D31B553" w:rsidR="00E1173C" w:rsidRPr="005B024E" w:rsidRDefault="00E1173C" w:rsidP="00E1173C">
            <w:pPr>
              <w:pStyle w:val="TableText0"/>
            </w:pPr>
            <w:r w:rsidRPr="005B024E">
              <w:t>Primary endpoint: PFS</w:t>
            </w:r>
          </w:p>
          <w:p w14:paraId="3F69E763" w14:textId="12B89D8B" w:rsidR="00E1173C" w:rsidRPr="005B024E" w:rsidRDefault="00E1173C" w:rsidP="0026368E">
            <w:pPr>
              <w:pStyle w:val="TableText0"/>
              <w:rPr>
                <w:rFonts w:eastAsia="Times New Roman" w:cs="Arial"/>
                <w:bCs w:val="0"/>
                <w:snapToGrid w:val="0"/>
                <w:szCs w:val="20"/>
              </w:rPr>
            </w:pPr>
            <w:r w:rsidRPr="005B024E">
              <w:t>Secondary/exploratory endpoints:</w:t>
            </w:r>
            <w:r w:rsidR="0026368E" w:rsidRPr="005B024E">
              <w:t xml:space="preserve"> </w:t>
            </w:r>
            <w:r w:rsidRPr="005B024E">
              <w:t>EFSeff</w:t>
            </w:r>
            <w:r w:rsidR="0026368E" w:rsidRPr="005B024E">
              <w:t xml:space="preserve">, </w:t>
            </w:r>
            <w:r w:rsidRPr="005B024E">
              <w:t>CR</w:t>
            </w:r>
            <w:r w:rsidR="0026368E" w:rsidRPr="005B024E">
              <w:t xml:space="preserve">, </w:t>
            </w:r>
            <w:r w:rsidRPr="005B024E">
              <w:t>OS</w:t>
            </w:r>
            <w:r w:rsidR="0026368E" w:rsidRPr="005B024E">
              <w:t xml:space="preserve">, </w:t>
            </w:r>
            <w:r w:rsidRPr="005B024E">
              <w:tab/>
              <w:t>AEs</w:t>
            </w:r>
          </w:p>
        </w:tc>
      </w:tr>
      <w:tr w:rsidR="00E1173C" w:rsidRPr="005B024E" w14:paraId="4F31F0AD" w14:textId="77777777" w:rsidTr="003A79DF">
        <w:trPr>
          <w:cantSplit/>
        </w:trPr>
        <w:tc>
          <w:tcPr>
            <w:tcW w:w="784" w:type="pct"/>
            <w:shd w:val="clear" w:color="auto" w:fill="auto"/>
          </w:tcPr>
          <w:p w14:paraId="63A639D7" w14:textId="77777777" w:rsidR="00E1173C" w:rsidRPr="005B024E" w:rsidRDefault="00E1173C" w:rsidP="00E1173C">
            <w:pPr>
              <w:pStyle w:val="TableText0"/>
            </w:pPr>
            <w:r w:rsidRPr="005B024E">
              <w:t>Clinical claim</w:t>
            </w:r>
          </w:p>
        </w:tc>
        <w:tc>
          <w:tcPr>
            <w:tcW w:w="4216" w:type="pct"/>
            <w:shd w:val="clear" w:color="auto" w:fill="auto"/>
            <w:vAlign w:val="center"/>
          </w:tcPr>
          <w:p w14:paraId="2C3A2F36" w14:textId="04D2D46F" w:rsidR="00E1173C" w:rsidRPr="005B024E" w:rsidRDefault="00E1173C" w:rsidP="0026368E">
            <w:pPr>
              <w:pStyle w:val="TableText0"/>
              <w:rPr>
                <w:rFonts w:eastAsia="Times New Roman" w:cs="Arial"/>
                <w:bCs w:val="0"/>
                <w:snapToGrid w:val="0"/>
                <w:szCs w:val="20"/>
              </w:rPr>
            </w:pPr>
            <w:r w:rsidRPr="005B024E">
              <w:t>Pola+R-CHP in patients with previously untreated DLBCL and an IPI score of 3–5 is associated with superior comparative efficacy and non-inferior comparative safety to R-CHOP.</w:t>
            </w:r>
          </w:p>
        </w:tc>
      </w:tr>
    </w:tbl>
    <w:p w14:paraId="6DE21252" w14:textId="4D42D735" w:rsidR="00E1173C" w:rsidRPr="005B024E" w:rsidRDefault="00E1173C" w:rsidP="00E1173C">
      <w:pPr>
        <w:pStyle w:val="FooterTableFigure"/>
      </w:pPr>
      <w:r w:rsidRPr="005B024E">
        <w:t xml:space="preserve">Source: Table 1.1, p 3 of the submission </w:t>
      </w:r>
    </w:p>
    <w:p w14:paraId="55123A9A" w14:textId="15218845" w:rsidR="00F811DD" w:rsidRPr="005B024E" w:rsidRDefault="00E1173C" w:rsidP="00626FF0">
      <w:pPr>
        <w:pStyle w:val="FooterTableFigure"/>
        <w:spacing w:after="0"/>
      </w:pPr>
      <w:r w:rsidRPr="005B024E">
        <w:t>AEs = adverse events; DLBCL = diffuse large B-cell lymphoma; CR = complete response; EFSeff = event-free survival-efficacy; IPI = international prognostic Index score; OS = overall survival; PFS = progression-free survival; Pola</w:t>
      </w:r>
      <w:r w:rsidR="008235CA">
        <w:t>+</w:t>
      </w:r>
      <w:r w:rsidRPr="005B024E">
        <w:t>R-CHP=polatuzumab vedotin plus rituximab, cyclophosphamide, doxorubicin and prednisone; R-CHOP=Rituximab plus cyclophosphamide, doxorubicin, vincristine and prednisone</w:t>
      </w:r>
    </w:p>
    <w:p w14:paraId="375F045B" w14:textId="4277AD59" w:rsidR="00F811DD" w:rsidRPr="005B024E" w:rsidRDefault="00F811DD" w:rsidP="00F811DD">
      <w:pPr>
        <w:pStyle w:val="2-SectionHeading"/>
        <w:numPr>
          <w:ilvl w:val="0"/>
          <w:numId w:val="1"/>
        </w:numPr>
      </w:pPr>
      <w:bookmarkStart w:id="6" w:name="_Toc113975471"/>
      <w:r w:rsidRPr="005B024E">
        <w:t>Background</w:t>
      </w:r>
      <w:bookmarkEnd w:id="6"/>
    </w:p>
    <w:p w14:paraId="5336EBCD" w14:textId="77777777" w:rsidR="00F811DD" w:rsidRPr="005B024E" w:rsidRDefault="00F811DD" w:rsidP="00F811DD">
      <w:pPr>
        <w:pStyle w:val="4-SubsectionHeading"/>
      </w:pPr>
      <w:bookmarkStart w:id="7" w:name="_Toc22897638"/>
      <w:bookmarkStart w:id="8" w:name="_Toc113975472"/>
      <w:r w:rsidRPr="005B024E">
        <w:t>Registration status</w:t>
      </w:r>
      <w:bookmarkEnd w:id="7"/>
      <w:bookmarkEnd w:id="8"/>
    </w:p>
    <w:p w14:paraId="2064FD61" w14:textId="6F441B14" w:rsidR="00601F24" w:rsidRPr="00E1521D" w:rsidRDefault="00F811DD" w:rsidP="00E1521D">
      <w:pPr>
        <w:pStyle w:val="3-BodyText"/>
        <w:ind w:left="720"/>
        <w:rPr>
          <w:iCs/>
        </w:rPr>
      </w:pPr>
      <w:r w:rsidRPr="00E1521D">
        <w:rPr>
          <w:iCs/>
        </w:rPr>
        <w:t>The submission was made under the TGA/PBAC Parallel Process.</w:t>
      </w:r>
      <w:r w:rsidR="00B90ECE" w:rsidRPr="00E1521D">
        <w:rPr>
          <w:iCs/>
        </w:rPr>
        <w:t xml:space="preserve"> </w:t>
      </w:r>
      <w:r w:rsidR="00347110" w:rsidRPr="00E1521D">
        <w:rPr>
          <w:iCs/>
        </w:rPr>
        <w:t xml:space="preserve">The </w:t>
      </w:r>
      <w:r w:rsidR="00BD7D2D" w:rsidRPr="00E1521D">
        <w:rPr>
          <w:iCs/>
        </w:rPr>
        <w:t>TGA Delegate’s Overview was made available on 1 November 2022. The requested indication was for</w:t>
      </w:r>
      <w:r w:rsidR="00190093" w:rsidRPr="00E1521D">
        <w:rPr>
          <w:iCs/>
        </w:rPr>
        <w:t>:</w:t>
      </w:r>
    </w:p>
    <w:p w14:paraId="1EC2B483" w14:textId="077224E1" w:rsidR="006949F0" w:rsidRDefault="00190093" w:rsidP="006949F0">
      <w:pPr>
        <w:pStyle w:val="3-BodyText"/>
        <w:numPr>
          <w:ilvl w:val="0"/>
          <w:numId w:val="0"/>
        </w:numPr>
        <w:ind w:left="720"/>
        <w:rPr>
          <w:iCs/>
        </w:rPr>
      </w:pPr>
      <w:r w:rsidRPr="000B2FEE">
        <w:rPr>
          <w:iCs/>
        </w:rPr>
        <w:t>“Polatuzumab vedotin (Polivy) in combination with rituximab, cyclophosphamide, doxorubicin, and prednisone (R</w:t>
      </w:r>
      <w:r w:rsidR="00347110" w:rsidRPr="000B2FEE">
        <w:rPr>
          <w:iCs/>
        </w:rPr>
        <w:t>-</w:t>
      </w:r>
      <w:r w:rsidRPr="000B2FEE">
        <w:rPr>
          <w:iCs/>
        </w:rPr>
        <w:t>CHP) is indicated for the treatment of adult patients with previously untreated diffuse large B-cell lymphoma (DLBCL).”</w:t>
      </w:r>
    </w:p>
    <w:p w14:paraId="40FD6EA8" w14:textId="0D69B1C3" w:rsidR="00F155D9" w:rsidRPr="000B2FEE" w:rsidRDefault="00F155D9" w:rsidP="006949F0">
      <w:pPr>
        <w:pStyle w:val="3-BodyText"/>
        <w:numPr>
          <w:ilvl w:val="0"/>
          <w:numId w:val="0"/>
        </w:numPr>
        <w:ind w:left="720"/>
        <w:rPr>
          <w:iCs/>
        </w:rPr>
      </w:pPr>
      <w:r w:rsidRPr="002954FB">
        <w:t xml:space="preserve">The </w:t>
      </w:r>
      <w:r w:rsidR="00BD7D2D" w:rsidRPr="002954FB">
        <w:t>Delegate was not persuaded that Pola</w:t>
      </w:r>
      <w:r w:rsidR="00BC0F9C" w:rsidRPr="002954FB">
        <w:t>+</w:t>
      </w:r>
      <w:r w:rsidR="00BD7D2D" w:rsidRPr="002954FB">
        <w:t xml:space="preserve">R-CHP was a superior regimen to R-CHOP and sought the advice of the ACM to assist with the considerations as to whether the </w:t>
      </w:r>
      <w:r w:rsidR="00BD7D2D" w:rsidRPr="002954FB">
        <w:lastRenderedPageBreak/>
        <w:t>evidence is sufficient to accept Pola</w:t>
      </w:r>
      <w:r w:rsidR="00BC0F9C" w:rsidRPr="002954FB">
        <w:t>+</w:t>
      </w:r>
      <w:r w:rsidR="00BD7D2D" w:rsidRPr="002954FB">
        <w:t>R-CHP as an alternative to R-CHOP in first line DLBCL</w:t>
      </w:r>
      <w:r w:rsidRPr="002954FB">
        <w:t>.</w:t>
      </w:r>
      <w:r w:rsidR="00300D1E" w:rsidRPr="002954FB">
        <w:t xml:space="preserve"> The ACM had not considered Pola+R-CHP at the time of PBAC consideration</w:t>
      </w:r>
      <w:r w:rsidR="002954FB">
        <w:rPr>
          <w:rStyle w:val="FootnoteReference"/>
        </w:rPr>
        <w:footnoteReference w:id="1"/>
      </w:r>
      <w:r w:rsidR="00300D1E" w:rsidRPr="002954FB">
        <w:t>.</w:t>
      </w:r>
      <w:r w:rsidR="00300D1E">
        <w:t xml:space="preserve"> </w:t>
      </w:r>
    </w:p>
    <w:p w14:paraId="77424CE6" w14:textId="3DAE22AE" w:rsidR="00B90ECE" w:rsidRPr="00E1521D" w:rsidRDefault="006949F0" w:rsidP="00E1521D">
      <w:pPr>
        <w:pStyle w:val="3-BodyText"/>
        <w:ind w:left="720"/>
        <w:rPr>
          <w:iCs/>
        </w:rPr>
      </w:pPr>
      <w:r w:rsidRPr="00E1521D">
        <w:rPr>
          <w:iCs/>
        </w:rPr>
        <w:t xml:space="preserve">Polatuzumab vedotin </w:t>
      </w:r>
      <w:r w:rsidR="00097FCD" w:rsidRPr="00E1521D">
        <w:rPr>
          <w:iCs/>
        </w:rPr>
        <w:t xml:space="preserve">is </w:t>
      </w:r>
      <w:r w:rsidR="00347110" w:rsidRPr="00E1521D">
        <w:rPr>
          <w:iCs/>
        </w:rPr>
        <w:t xml:space="preserve">currently </w:t>
      </w:r>
      <w:r w:rsidR="00097FCD" w:rsidRPr="00E1521D">
        <w:rPr>
          <w:iCs/>
        </w:rPr>
        <w:t xml:space="preserve">TGA approved (since October 2019) </w:t>
      </w:r>
      <w:r w:rsidRPr="00E1521D">
        <w:rPr>
          <w:iCs/>
        </w:rPr>
        <w:t xml:space="preserve">for use in combination with bendamustine and rituximab in previously treated adult patients with DLBCL who </w:t>
      </w:r>
      <w:r w:rsidR="00C93D4F" w:rsidRPr="00E1521D">
        <w:rPr>
          <w:iCs/>
        </w:rPr>
        <w:t>we</w:t>
      </w:r>
      <w:r w:rsidRPr="00E1521D">
        <w:rPr>
          <w:iCs/>
        </w:rPr>
        <w:t>re not candidates for haematopoietic stem cell transplant.</w:t>
      </w:r>
      <w:r w:rsidR="003C7B80" w:rsidRPr="00E1521D">
        <w:rPr>
          <w:iCs/>
        </w:rPr>
        <w:t xml:space="preserve"> </w:t>
      </w:r>
    </w:p>
    <w:p w14:paraId="08252F41" w14:textId="77777777" w:rsidR="00F811DD" w:rsidRPr="005B024E" w:rsidRDefault="00F811DD" w:rsidP="00F811DD">
      <w:pPr>
        <w:pStyle w:val="4-SubsectionHeading"/>
      </w:pPr>
      <w:bookmarkStart w:id="9" w:name="_Toc22897639"/>
      <w:bookmarkStart w:id="10" w:name="_Toc113975473"/>
      <w:r w:rsidRPr="005B024E">
        <w:t>Previous PBAC consideration</w:t>
      </w:r>
      <w:bookmarkEnd w:id="9"/>
      <w:bookmarkEnd w:id="10"/>
    </w:p>
    <w:p w14:paraId="51E183C9" w14:textId="70E5D9B9" w:rsidR="007A02A7" w:rsidRPr="00E1521D" w:rsidRDefault="007A02A7" w:rsidP="00E1521D">
      <w:pPr>
        <w:pStyle w:val="3-BodyText"/>
        <w:ind w:left="720"/>
        <w:rPr>
          <w:iCs/>
        </w:rPr>
      </w:pPr>
      <w:bookmarkStart w:id="11" w:name="_Toc107902078"/>
      <w:bookmarkEnd w:id="11"/>
      <w:r w:rsidRPr="00E1521D">
        <w:rPr>
          <w:iCs/>
        </w:rPr>
        <w:t xml:space="preserve">The PBAC </w:t>
      </w:r>
      <w:r w:rsidR="00CF14A4" w:rsidRPr="00E1521D">
        <w:rPr>
          <w:iCs/>
        </w:rPr>
        <w:t xml:space="preserve">had </w:t>
      </w:r>
      <w:r w:rsidRPr="00E1521D">
        <w:rPr>
          <w:iCs/>
        </w:rPr>
        <w:t>previously considered listing polatuzumab vedotin in combination with bendamustine and rituximab for the treatment of relapsed</w:t>
      </w:r>
      <w:r w:rsidR="00050593" w:rsidRPr="00E1521D">
        <w:rPr>
          <w:iCs/>
        </w:rPr>
        <w:t xml:space="preserve"> and</w:t>
      </w:r>
      <w:r w:rsidRPr="00E1521D">
        <w:rPr>
          <w:iCs/>
        </w:rPr>
        <w:t>/</w:t>
      </w:r>
      <w:r w:rsidR="00050593" w:rsidRPr="00E1521D">
        <w:rPr>
          <w:iCs/>
        </w:rPr>
        <w:t xml:space="preserve">or </w:t>
      </w:r>
      <w:r w:rsidRPr="00E1521D">
        <w:rPr>
          <w:iCs/>
        </w:rPr>
        <w:t>refractory DLBCL</w:t>
      </w:r>
      <w:r w:rsidR="00CF14A4" w:rsidRPr="00E1521D">
        <w:rPr>
          <w:iCs/>
        </w:rPr>
        <w:t xml:space="preserve"> in November 2019</w:t>
      </w:r>
      <w:r w:rsidRPr="00E1521D">
        <w:rPr>
          <w:iCs/>
        </w:rPr>
        <w:t xml:space="preserve">. The </w:t>
      </w:r>
      <w:r w:rsidR="00CF14A4" w:rsidRPr="00E1521D">
        <w:rPr>
          <w:iCs/>
        </w:rPr>
        <w:t xml:space="preserve">committee </w:t>
      </w:r>
      <w:r w:rsidRPr="00E1521D">
        <w:rPr>
          <w:iCs/>
        </w:rPr>
        <w:t xml:space="preserve">did not recommend polatuzumab vedotin for that indication because the validity of the clinical effectiveness data presented was ‘very uncertain’ and likely favoured polatuzumab vedotin. The </w:t>
      </w:r>
      <w:r w:rsidR="00CF14A4" w:rsidRPr="00E1521D">
        <w:rPr>
          <w:iCs/>
        </w:rPr>
        <w:t>committee</w:t>
      </w:r>
      <w:r w:rsidRPr="00E1521D">
        <w:rPr>
          <w:iCs/>
        </w:rPr>
        <w:t xml:space="preserve"> also did not accept the submission’s nominated comparator, bendamustine in combination with rituximab, as bendamustine was not TGA-registered or PBS-listed for relapsed</w:t>
      </w:r>
      <w:r w:rsidR="00050593" w:rsidRPr="00E1521D">
        <w:rPr>
          <w:iCs/>
        </w:rPr>
        <w:t xml:space="preserve"> and</w:t>
      </w:r>
      <w:r w:rsidRPr="00E1521D">
        <w:rPr>
          <w:iCs/>
        </w:rPr>
        <w:t>/</w:t>
      </w:r>
      <w:r w:rsidR="00050593" w:rsidRPr="00E1521D">
        <w:rPr>
          <w:iCs/>
        </w:rPr>
        <w:t xml:space="preserve">or </w:t>
      </w:r>
      <w:r w:rsidRPr="00E1521D">
        <w:rPr>
          <w:iCs/>
        </w:rPr>
        <w:t>refractory DLBCL (</w:t>
      </w:r>
      <w:r w:rsidR="002672A7" w:rsidRPr="00E1521D">
        <w:rPr>
          <w:iCs/>
        </w:rPr>
        <w:t>p</w:t>
      </w:r>
      <w:r w:rsidRPr="00E1521D">
        <w:rPr>
          <w:iCs/>
        </w:rPr>
        <w:t xml:space="preserve">aragraphs 7.1 and 7.4, Polatuzumab vedotin </w:t>
      </w:r>
      <w:r w:rsidR="00C55676" w:rsidRPr="00FF5744">
        <w:t>Public Summary Document</w:t>
      </w:r>
      <w:r w:rsidR="00C55676">
        <w:t xml:space="preserve"> (</w:t>
      </w:r>
      <w:r w:rsidRPr="00E1521D">
        <w:rPr>
          <w:iCs/>
        </w:rPr>
        <w:t>PSD</w:t>
      </w:r>
      <w:r w:rsidR="00C55676">
        <w:rPr>
          <w:iCs/>
        </w:rPr>
        <w:t>)</w:t>
      </w:r>
      <w:r w:rsidRPr="00E1521D">
        <w:rPr>
          <w:iCs/>
        </w:rPr>
        <w:t>, November 2019</w:t>
      </w:r>
      <w:r w:rsidR="00E81E89" w:rsidRPr="00E1521D">
        <w:rPr>
          <w:iCs/>
        </w:rPr>
        <w:t xml:space="preserve"> PBAC meeting</w:t>
      </w:r>
      <w:r w:rsidRPr="00E1521D">
        <w:rPr>
          <w:iCs/>
        </w:rPr>
        <w:t>).</w:t>
      </w:r>
    </w:p>
    <w:p w14:paraId="1A62B1BE" w14:textId="5D908F4B" w:rsidR="003C0896" w:rsidRPr="002954FB" w:rsidRDefault="003C0896" w:rsidP="002954FB">
      <w:pPr>
        <w:pStyle w:val="ExecSumBodyText"/>
        <w:ind w:firstLine="0"/>
        <w:rPr>
          <w:i/>
        </w:rPr>
      </w:pPr>
      <w:bookmarkStart w:id="12" w:name="_Hlk76375324"/>
      <w:r w:rsidRPr="002954FB">
        <w:rPr>
          <w:i/>
        </w:rPr>
        <w:t>For more detail on PBAC’s view, see section 7 PBAC outcome.</w:t>
      </w:r>
      <w:bookmarkEnd w:id="12"/>
    </w:p>
    <w:p w14:paraId="2FE87A85" w14:textId="186EE742" w:rsidR="00F811DD" w:rsidRDefault="00F811DD" w:rsidP="00F811DD">
      <w:pPr>
        <w:pStyle w:val="2-SectionHeading"/>
        <w:numPr>
          <w:ilvl w:val="0"/>
          <w:numId w:val="1"/>
        </w:numPr>
      </w:pPr>
      <w:bookmarkStart w:id="13" w:name="_Toc113975474"/>
      <w:r w:rsidRPr="005B024E">
        <w:lastRenderedPageBreak/>
        <w:t>Requested listing</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403"/>
        <w:gridCol w:w="1701"/>
        <w:gridCol w:w="1650"/>
      </w:tblGrid>
      <w:tr w:rsidR="00134D5C" w:rsidRPr="005B024E" w14:paraId="3F7E2075" w14:textId="77777777" w:rsidTr="000B2FEE">
        <w:trPr>
          <w:trHeight w:val="20"/>
          <w:tblHeader/>
        </w:trPr>
        <w:tc>
          <w:tcPr>
            <w:tcW w:w="2263" w:type="dxa"/>
            <w:vAlign w:val="center"/>
          </w:tcPr>
          <w:p w14:paraId="2CC6C80E" w14:textId="77777777" w:rsidR="00134D5C" w:rsidRPr="005B024E" w:rsidRDefault="00134D5C" w:rsidP="004428B7">
            <w:pPr>
              <w:keepLines/>
              <w:rPr>
                <w:rFonts w:ascii="Arial Narrow" w:hAnsi="Arial Narrow"/>
                <w:b/>
                <w:bCs/>
                <w:sz w:val="20"/>
                <w:szCs w:val="20"/>
              </w:rPr>
            </w:pPr>
            <w:r w:rsidRPr="005B024E">
              <w:rPr>
                <w:rFonts w:ascii="Arial Narrow" w:hAnsi="Arial Narrow"/>
                <w:b/>
                <w:bCs/>
                <w:sz w:val="20"/>
                <w:szCs w:val="20"/>
              </w:rPr>
              <w:t>MEDICINAL PRODUCT</w:t>
            </w:r>
          </w:p>
          <w:p w14:paraId="60F58E2F" w14:textId="77777777" w:rsidR="00134D5C" w:rsidRPr="005B024E" w:rsidRDefault="00134D5C" w:rsidP="004428B7">
            <w:pPr>
              <w:keepLines/>
              <w:rPr>
                <w:rFonts w:ascii="Arial Narrow" w:hAnsi="Arial Narrow"/>
                <w:b/>
                <w:sz w:val="20"/>
                <w:szCs w:val="20"/>
              </w:rPr>
            </w:pPr>
            <w:r>
              <w:rPr>
                <w:rFonts w:ascii="Arial Narrow" w:hAnsi="Arial Narrow"/>
                <w:b/>
                <w:bCs/>
                <w:sz w:val="20"/>
                <w:szCs w:val="20"/>
              </w:rPr>
              <w:t>form</w:t>
            </w:r>
          </w:p>
        </w:tc>
        <w:tc>
          <w:tcPr>
            <w:tcW w:w="3403" w:type="dxa"/>
            <w:vAlign w:val="center"/>
          </w:tcPr>
          <w:p w14:paraId="475C9DC1" w14:textId="77777777" w:rsidR="00134D5C" w:rsidRPr="005B024E" w:rsidRDefault="00134D5C" w:rsidP="004428B7">
            <w:pPr>
              <w:pStyle w:val="TableText0"/>
              <w:jc w:val="center"/>
              <w:rPr>
                <w:b/>
                <w:bCs w:val="0"/>
                <w:szCs w:val="20"/>
              </w:rPr>
            </w:pPr>
            <w:r w:rsidRPr="005B024E">
              <w:rPr>
                <w:b/>
                <w:bCs w:val="0"/>
                <w:snapToGrid w:val="0"/>
              </w:rPr>
              <w:t>Dispensed price for maximum amount</w:t>
            </w:r>
          </w:p>
        </w:tc>
        <w:tc>
          <w:tcPr>
            <w:tcW w:w="1701" w:type="dxa"/>
            <w:vAlign w:val="center"/>
          </w:tcPr>
          <w:p w14:paraId="471CD88B" w14:textId="77777777" w:rsidR="00134D5C" w:rsidRPr="005B024E" w:rsidRDefault="00134D5C" w:rsidP="004428B7">
            <w:pPr>
              <w:keepLines/>
              <w:jc w:val="center"/>
              <w:rPr>
                <w:rFonts w:ascii="Arial Narrow" w:hAnsi="Arial Narrow"/>
                <w:b/>
                <w:sz w:val="20"/>
                <w:szCs w:val="20"/>
              </w:rPr>
            </w:pPr>
            <w:r w:rsidRPr="005B024E">
              <w:rPr>
                <w:rFonts w:ascii="Arial Narrow" w:hAnsi="Arial Narrow"/>
                <w:b/>
                <w:sz w:val="20"/>
                <w:szCs w:val="20"/>
              </w:rPr>
              <w:t>Maximum amount</w:t>
            </w:r>
          </w:p>
        </w:tc>
        <w:tc>
          <w:tcPr>
            <w:tcW w:w="1650" w:type="dxa"/>
            <w:vAlign w:val="center"/>
          </w:tcPr>
          <w:p w14:paraId="38AC27C2" w14:textId="77777777" w:rsidR="00134D5C" w:rsidRPr="005B024E" w:rsidRDefault="00134D5C" w:rsidP="004428B7">
            <w:pPr>
              <w:keepLines/>
              <w:jc w:val="center"/>
              <w:rPr>
                <w:rFonts w:ascii="Arial Narrow" w:hAnsi="Arial Narrow"/>
                <w:b/>
                <w:sz w:val="20"/>
                <w:szCs w:val="20"/>
              </w:rPr>
            </w:pPr>
            <w:r w:rsidRPr="005B024E">
              <w:rPr>
                <w:rFonts w:ascii="Arial Narrow" w:hAnsi="Arial Narrow"/>
                <w:b/>
                <w:sz w:val="20"/>
                <w:szCs w:val="20"/>
              </w:rPr>
              <w:t>№.of</w:t>
            </w:r>
            <w:r>
              <w:rPr>
                <w:rFonts w:ascii="Arial Narrow" w:hAnsi="Arial Narrow"/>
                <w:b/>
                <w:sz w:val="20"/>
                <w:szCs w:val="20"/>
              </w:rPr>
              <w:t xml:space="preserve"> </w:t>
            </w:r>
            <w:r w:rsidRPr="005B024E">
              <w:rPr>
                <w:rFonts w:ascii="Arial Narrow" w:hAnsi="Arial Narrow"/>
                <w:b/>
                <w:sz w:val="20"/>
                <w:szCs w:val="20"/>
              </w:rPr>
              <w:t>Rpts</w:t>
            </w:r>
          </w:p>
        </w:tc>
      </w:tr>
      <w:tr w:rsidR="00134D5C" w:rsidRPr="005B024E" w14:paraId="64E365C3" w14:textId="77777777" w:rsidTr="000B2FEE">
        <w:trPr>
          <w:trHeight w:val="20"/>
          <w:tblHeader/>
        </w:trPr>
        <w:tc>
          <w:tcPr>
            <w:tcW w:w="2263" w:type="dxa"/>
            <w:vAlign w:val="center"/>
          </w:tcPr>
          <w:p w14:paraId="64B00051" w14:textId="77777777" w:rsidR="00134D5C" w:rsidRDefault="00134D5C" w:rsidP="004428B7">
            <w:pPr>
              <w:pStyle w:val="TableText0"/>
            </w:pPr>
            <w:r w:rsidRPr="005B024E">
              <w:t>Polatuzuma</w:t>
            </w:r>
            <w:r>
              <w:t>b vedotin</w:t>
            </w:r>
          </w:p>
          <w:p w14:paraId="4F091F22" w14:textId="77777777" w:rsidR="00134D5C" w:rsidRPr="005B024E" w:rsidRDefault="00134D5C" w:rsidP="004428B7">
            <w:pPr>
              <w:pStyle w:val="TableText0"/>
            </w:pPr>
            <w:r>
              <w:t>Powder for injection</w:t>
            </w:r>
          </w:p>
        </w:tc>
        <w:tc>
          <w:tcPr>
            <w:tcW w:w="3403" w:type="dxa"/>
          </w:tcPr>
          <w:p w14:paraId="2BFC30EC" w14:textId="77777777" w:rsidR="00134D5C" w:rsidRPr="005B024E" w:rsidRDefault="00134D5C" w:rsidP="004428B7">
            <w:pPr>
              <w:pStyle w:val="TableText0"/>
              <w:keepLines/>
              <w:jc w:val="center"/>
              <w:rPr>
                <w:u w:val="single"/>
              </w:rPr>
            </w:pPr>
            <w:r w:rsidRPr="005B024E">
              <w:rPr>
                <w:u w:val="single"/>
              </w:rPr>
              <w:t>Published</w:t>
            </w:r>
          </w:p>
          <w:p w14:paraId="04ED91D9" w14:textId="77777777" w:rsidR="00134D5C" w:rsidRPr="005B024E" w:rsidRDefault="00134D5C" w:rsidP="004428B7">
            <w:pPr>
              <w:pStyle w:val="TableText0"/>
              <w:keepLines/>
              <w:jc w:val="center"/>
            </w:pPr>
            <w:r w:rsidRPr="005B024E">
              <w:t>Public: $</w:t>
            </w:r>
            <w:r>
              <w:t>18,588.55</w:t>
            </w:r>
          </w:p>
          <w:p w14:paraId="2900E995" w14:textId="77777777" w:rsidR="00134D5C" w:rsidRPr="005B024E" w:rsidRDefault="00134D5C" w:rsidP="004428B7">
            <w:pPr>
              <w:pStyle w:val="TableText0"/>
              <w:keepLines/>
              <w:jc w:val="center"/>
            </w:pPr>
            <w:r w:rsidRPr="005B024E">
              <w:t>Private: $</w:t>
            </w:r>
            <w:r>
              <w:t>18,888.61</w:t>
            </w:r>
          </w:p>
          <w:p w14:paraId="230DB200" w14:textId="77777777" w:rsidR="00134D5C" w:rsidRPr="005B024E" w:rsidRDefault="00134D5C" w:rsidP="004428B7">
            <w:pPr>
              <w:pStyle w:val="TableText0"/>
              <w:keepLines/>
              <w:jc w:val="center"/>
              <w:rPr>
                <w:u w:val="single"/>
              </w:rPr>
            </w:pPr>
            <w:r w:rsidRPr="005B024E">
              <w:rPr>
                <w:u w:val="single"/>
              </w:rPr>
              <w:t>Effective</w:t>
            </w:r>
          </w:p>
          <w:p w14:paraId="5F727EAB" w14:textId="1BDFE5CC" w:rsidR="00134D5C" w:rsidRPr="005B024E" w:rsidRDefault="00134D5C" w:rsidP="004428B7">
            <w:pPr>
              <w:pStyle w:val="TableText0"/>
              <w:keepLines/>
              <w:jc w:val="center"/>
            </w:pPr>
            <w:r w:rsidRPr="005B024E">
              <w:t>Public: $</w:t>
            </w:r>
            <w:r w:rsidR="00206B77" w:rsidRPr="00206B77">
              <w:rPr>
                <w:color w:val="000000"/>
                <w:shd w:val="solid" w:color="000000" w:fill="000000"/>
                <w14:textFill>
                  <w14:solidFill>
                    <w14:srgbClr w14:val="000000">
                      <w14:alpha w14:val="100000"/>
                    </w14:srgbClr>
                  </w14:solidFill>
                </w14:textFill>
              </w:rPr>
              <w:t>|</w:t>
            </w:r>
          </w:p>
          <w:p w14:paraId="467249B3" w14:textId="6B8AA65F" w:rsidR="00134D5C" w:rsidRPr="005B024E" w:rsidRDefault="00134D5C" w:rsidP="004428B7">
            <w:pPr>
              <w:pStyle w:val="TableText0"/>
              <w:jc w:val="center"/>
              <w:rPr>
                <w:szCs w:val="20"/>
              </w:rPr>
            </w:pPr>
            <w:r w:rsidRPr="005B024E">
              <w:t>Private: $</w:t>
            </w:r>
            <w:r w:rsidR="00206B77" w:rsidRPr="00206B77">
              <w:rPr>
                <w:color w:val="000000"/>
                <w:shd w:val="solid" w:color="000000" w:fill="000000"/>
                <w14:textFill>
                  <w14:solidFill>
                    <w14:srgbClr w14:val="000000">
                      <w14:alpha w14:val="100000"/>
                    </w14:srgbClr>
                  </w14:solidFill>
                </w14:textFill>
              </w:rPr>
              <w:t>|</w:t>
            </w:r>
          </w:p>
        </w:tc>
        <w:tc>
          <w:tcPr>
            <w:tcW w:w="1701" w:type="dxa"/>
            <w:vAlign w:val="center"/>
          </w:tcPr>
          <w:p w14:paraId="2982413A" w14:textId="232F127E" w:rsidR="00134D5C" w:rsidRPr="005B024E" w:rsidRDefault="00134D5C" w:rsidP="004428B7">
            <w:pPr>
              <w:keepLines/>
              <w:jc w:val="center"/>
              <w:rPr>
                <w:rFonts w:ascii="Arial Narrow" w:hAnsi="Arial Narrow"/>
                <w:sz w:val="20"/>
                <w:szCs w:val="20"/>
              </w:rPr>
            </w:pPr>
            <w:r>
              <w:rPr>
                <w:rFonts w:ascii="Arial Narrow" w:hAnsi="Arial Narrow"/>
                <w:sz w:val="20"/>
                <w:szCs w:val="20"/>
              </w:rPr>
              <w:t>200</w:t>
            </w:r>
            <w:r w:rsidR="008131EB">
              <w:rPr>
                <w:rFonts w:ascii="Arial Narrow" w:hAnsi="Arial Narrow"/>
                <w:sz w:val="20"/>
                <w:szCs w:val="20"/>
              </w:rPr>
              <w:t> </w:t>
            </w:r>
            <w:r>
              <w:rPr>
                <w:rFonts w:ascii="Arial Narrow" w:hAnsi="Arial Narrow"/>
                <w:sz w:val="20"/>
                <w:szCs w:val="20"/>
              </w:rPr>
              <w:t>mg</w:t>
            </w:r>
          </w:p>
        </w:tc>
        <w:tc>
          <w:tcPr>
            <w:tcW w:w="1650" w:type="dxa"/>
            <w:vAlign w:val="center"/>
          </w:tcPr>
          <w:p w14:paraId="050D28D0" w14:textId="77777777" w:rsidR="00134D5C" w:rsidRPr="005B024E" w:rsidRDefault="00134D5C" w:rsidP="004428B7">
            <w:pPr>
              <w:pStyle w:val="TableText0"/>
              <w:jc w:val="center"/>
            </w:pPr>
            <w:r w:rsidRPr="005B024E">
              <w:rPr>
                <w:szCs w:val="20"/>
              </w:rPr>
              <w:t>5</w:t>
            </w:r>
          </w:p>
        </w:tc>
      </w:tr>
      <w:tr w:rsidR="00134D5C" w:rsidRPr="005B024E" w14:paraId="62023D97" w14:textId="77777777" w:rsidTr="000B2FEE">
        <w:trPr>
          <w:trHeight w:val="55"/>
          <w:tblHeader/>
        </w:trPr>
        <w:tc>
          <w:tcPr>
            <w:tcW w:w="9017" w:type="dxa"/>
            <w:gridSpan w:val="4"/>
            <w:vAlign w:val="center"/>
          </w:tcPr>
          <w:p w14:paraId="02C3DE82" w14:textId="77777777" w:rsidR="00134D5C" w:rsidRDefault="00134D5C" w:rsidP="004428B7">
            <w:pPr>
              <w:pStyle w:val="TableText0"/>
              <w:keepLines/>
            </w:pPr>
            <w:r>
              <w:t>Polivy</w:t>
            </w:r>
          </w:p>
          <w:p w14:paraId="2F3BCD96" w14:textId="77777777" w:rsidR="00134D5C" w:rsidRDefault="00134D5C" w:rsidP="004428B7">
            <w:pPr>
              <w:pStyle w:val="TableText0"/>
            </w:pPr>
            <w:r w:rsidRPr="005B024E">
              <w:t xml:space="preserve">Polatuzumab vedotin 140 mg </w:t>
            </w:r>
            <w:r>
              <w:t>p</w:t>
            </w:r>
            <w:r w:rsidRPr="005B024E">
              <w:t>owder for injection</w:t>
            </w:r>
            <w:r>
              <w:t>, vial</w:t>
            </w:r>
          </w:p>
          <w:p w14:paraId="244ABB5A" w14:textId="77777777" w:rsidR="00134D5C" w:rsidRPr="003B2507" w:rsidRDefault="00134D5C" w:rsidP="004428B7">
            <w:pPr>
              <w:pStyle w:val="TableText0"/>
            </w:pPr>
            <w:r w:rsidRPr="005B024E">
              <w:t xml:space="preserve">Polatuzumab vedotin </w:t>
            </w:r>
            <w:r>
              <w:t>3</w:t>
            </w:r>
            <w:r w:rsidRPr="005B024E">
              <w:t xml:space="preserve">0 mg </w:t>
            </w:r>
            <w:r>
              <w:t>p</w:t>
            </w:r>
            <w:r w:rsidRPr="005B024E">
              <w:t>owder for injection</w:t>
            </w:r>
            <w:r>
              <w:t>, vial</w:t>
            </w:r>
          </w:p>
        </w:tc>
      </w:tr>
      <w:tr w:rsidR="00134D5C" w:rsidRPr="005B024E" w14:paraId="5C027207" w14:textId="77777777" w:rsidTr="000B2FEE">
        <w:tblPrEx>
          <w:tblCellMar>
            <w:top w:w="15" w:type="dxa"/>
            <w:bottom w:w="15" w:type="dxa"/>
          </w:tblCellMar>
          <w:tblLook w:val="04A0" w:firstRow="1" w:lastRow="0" w:firstColumn="1" w:lastColumn="0" w:noHBand="0" w:noVBand="1"/>
        </w:tblPrEx>
        <w:trPr>
          <w:trHeight w:val="20"/>
          <w:tblHeader/>
        </w:trPr>
        <w:tc>
          <w:tcPr>
            <w:tcW w:w="9017" w:type="dxa"/>
            <w:gridSpan w:val="4"/>
          </w:tcPr>
          <w:p w14:paraId="0B01B827" w14:textId="77777777" w:rsidR="00134D5C" w:rsidRPr="005B024E" w:rsidRDefault="00134D5C" w:rsidP="004428B7">
            <w:pPr>
              <w:pStyle w:val="TableText0"/>
              <w:keepLines/>
            </w:pPr>
            <w:r w:rsidRPr="005B024E">
              <w:rPr>
                <w:b/>
              </w:rPr>
              <w:t xml:space="preserve">Category / Program: </w:t>
            </w:r>
            <w:r w:rsidRPr="005B024E">
              <w:t>Section 100 – Efficient Funding of Chemotherapy</w:t>
            </w:r>
          </w:p>
        </w:tc>
      </w:tr>
      <w:tr w:rsidR="00134D5C" w:rsidRPr="005B024E" w14:paraId="1D30056F" w14:textId="77777777" w:rsidTr="000B2FEE">
        <w:tblPrEx>
          <w:tblCellMar>
            <w:top w:w="15" w:type="dxa"/>
            <w:bottom w:w="15" w:type="dxa"/>
          </w:tblCellMar>
          <w:tblLook w:val="04A0" w:firstRow="1" w:lastRow="0" w:firstColumn="1" w:lastColumn="0" w:noHBand="0" w:noVBand="1"/>
        </w:tblPrEx>
        <w:trPr>
          <w:trHeight w:val="20"/>
          <w:tblHeader/>
        </w:trPr>
        <w:tc>
          <w:tcPr>
            <w:tcW w:w="9017" w:type="dxa"/>
            <w:gridSpan w:val="4"/>
          </w:tcPr>
          <w:p w14:paraId="64DD69C8" w14:textId="77777777" w:rsidR="00134D5C" w:rsidRPr="005B024E" w:rsidRDefault="00134D5C" w:rsidP="004428B7">
            <w:pPr>
              <w:pStyle w:val="TableText0"/>
              <w:keepLines/>
              <w:rPr>
                <w:b/>
              </w:rPr>
            </w:pPr>
            <w:r w:rsidRPr="005B024E">
              <w:rPr>
                <w:b/>
              </w:rPr>
              <w:t xml:space="preserve">Prescriber type: </w:t>
            </w:r>
            <w:r w:rsidRPr="005B024E">
              <w:fldChar w:fldCharType="begin">
                <w:ffData>
                  <w:name w:val="Check1"/>
                  <w:enabled/>
                  <w:calcOnExit w:val="0"/>
                  <w:checkBox>
                    <w:sizeAuto/>
                    <w:default w:val="0"/>
                  </w:checkBox>
                </w:ffData>
              </w:fldChar>
            </w:r>
            <w:r w:rsidRPr="005B024E">
              <w:instrText xml:space="preserve"> FORMCHECKBOX </w:instrText>
            </w:r>
            <w:r w:rsidR="007F2580">
              <w:fldChar w:fldCharType="separate"/>
            </w:r>
            <w:r w:rsidRPr="005B024E">
              <w:fldChar w:fldCharType="end"/>
            </w:r>
            <w:r w:rsidRPr="005B024E">
              <w:t xml:space="preserve">Dental </w:t>
            </w:r>
            <w:r w:rsidRPr="005B024E">
              <w:fldChar w:fldCharType="begin">
                <w:ffData>
                  <w:name w:val=""/>
                  <w:enabled/>
                  <w:calcOnExit w:val="0"/>
                  <w:checkBox>
                    <w:sizeAuto/>
                    <w:default w:val="1"/>
                  </w:checkBox>
                </w:ffData>
              </w:fldChar>
            </w:r>
            <w:r w:rsidRPr="005B024E">
              <w:instrText xml:space="preserve"> FORMCHECKBOX </w:instrText>
            </w:r>
            <w:r w:rsidR="007F2580">
              <w:fldChar w:fldCharType="separate"/>
            </w:r>
            <w:r w:rsidRPr="005B024E">
              <w:fldChar w:fldCharType="end"/>
            </w:r>
            <w:r w:rsidRPr="005B024E">
              <w:t xml:space="preserve">Medical Practitioners </w:t>
            </w:r>
            <w:r w:rsidRPr="005B024E">
              <w:fldChar w:fldCharType="begin">
                <w:ffData>
                  <w:name w:val="Check3"/>
                  <w:enabled/>
                  <w:calcOnExit w:val="0"/>
                  <w:checkBox>
                    <w:sizeAuto/>
                    <w:default w:val="0"/>
                  </w:checkBox>
                </w:ffData>
              </w:fldChar>
            </w:r>
            <w:r w:rsidRPr="005B024E">
              <w:instrText xml:space="preserve"> FORMCHECKBOX </w:instrText>
            </w:r>
            <w:r w:rsidR="007F2580">
              <w:fldChar w:fldCharType="separate"/>
            </w:r>
            <w:r w:rsidRPr="005B024E">
              <w:fldChar w:fldCharType="end"/>
            </w:r>
            <w:r w:rsidRPr="005B024E">
              <w:t xml:space="preserve">Nurse practitioners </w:t>
            </w:r>
            <w:r w:rsidRPr="005B024E">
              <w:fldChar w:fldCharType="begin">
                <w:ffData>
                  <w:name w:val=""/>
                  <w:enabled/>
                  <w:calcOnExit w:val="0"/>
                  <w:checkBox>
                    <w:sizeAuto/>
                    <w:default w:val="0"/>
                  </w:checkBox>
                </w:ffData>
              </w:fldChar>
            </w:r>
            <w:r w:rsidRPr="005B024E">
              <w:instrText xml:space="preserve"> FORMCHECKBOX </w:instrText>
            </w:r>
            <w:r w:rsidR="007F2580">
              <w:fldChar w:fldCharType="separate"/>
            </w:r>
            <w:r w:rsidRPr="005B024E">
              <w:fldChar w:fldCharType="end"/>
            </w:r>
            <w:r w:rsidRPr="005B024E">
              <w:t xml:space="preserve">Optometrists </w:t>
            </w:r>
            <w:r w:rsidRPr="005B024E">
              <w:fldChar w:fldCharType="begin">
                <w:ffData>
                  <w:name w:val="Check5"/>
                  <w:enabled/>
                  <w:calcOnExit w:val="0"/>
                  <w:checkBox>
                    <w:sizeAuto/>
                    <w:default w:val="0"/>
                  </w:checkBox>
                </w:ffData>
              </w:fldChar>
            </w:r>
            <w:r w:rsidRPr="005B024E">
              <w:instrText xml:space="preserve"> FORMCHECKBOX </w:instrText>
            </w:r>
            <w:r w:rsidR="007F2580">
              <w:fldChar w:fldCharType="separate"/>
            </w:r>
            <w:r w:rsidRPr="005B024E">
              <w:fldChar w:fldCharType="end"/>
            </w:r>
          </w:p>
        </w:tc>
      </w:tr>
      <w:tr w:rsidR="00134D5C" w:rsidRPr="005B024E" w14:paraId="6C209240" w14:textId="77777777" w:rsidTr="000B2FEE">
        <w:tblPrEx>
          <w:tblCellMar>
            <w:top w:w="15" w:type="dxa"/>
            <w:bottom w:w="15" w:type="dxa"/>
          </w:tblCellMar>
          <w:tblLook w:val="04A0" w:firstRow="1" w:lastRow="0" w:firstColumn="1" w:lastColumn="0" w:noHBand="0" w:noVBand="1"/>
        </w:tblPrEx>
        <w:trPr>
          <w:trHeight w:val="20"/>
          <w:tblHeader/>
        </w:trPr>
        <w:tc>
          <w:tcPr>
            <w:tcW w:w="9017" w:type="dxa"/>
            <w:gridSpan w:val="4"/>
          </w:tcPr>
          <w:p w14:paraId="564D3CC1" w14:textId="77777777" w:rsidR="00134D5C" w:rsidRPr="005B024E" w:rsidRDefault="00134D5C" w:rsidP="004428B7">
            <w:pPr>
              <w:pStyle w:val="TableText0"/>
              <w:keepLines/>
              <w:rPr>
                <w:rFonts w:eastAsia="Times New Roman"/>
              </w:rPr>
            </w:pPr>
            <w:r w:rsidRPr="005B024E">
              <w:rPr>
                <w:b/>
              </w:rPr>
              <w:t xml:space="preserve">Restriction type: </w:t>
            </w:r>
            <w:r w:rsidRPr="005B024E">
              <w:rPr>
                <w:rFonts w:eastAsia="Times New Roman"/>
              </w:rPr>
              <w:fldChar w:fldCharType="begin">
                <w:ffData>
                  <w:name w:val=""/>
                  <w:enabled/>
                  <w:calcOnExit w:val="0"/>
                  <w:checkBox>
                    <w:sizeAuto/>
                    <w:default w:val="1"/>
                  </w:checkBox>
                </w:ffData>
              </w:fldChar>
            </w:r>
            <w:r w:rsidRPr="005B024E">
              <w:rPr>
                <w:rFonts w:eastAsia="Times New Roman"/>
              </w:rPr>
              <w:instrText xml:space="preserve"> FORMCHECKBOX </w:instrText>
            </w:r>
            <w:r w:rsidR="007F2580">
              <w:rPr>
                <w:rFonts w:eastAsia="Times New Roman"/>
              </w:rPr>
            </w:r>
            <w:r w:rsidR="007F2580">
              <w:rPr>
                <w:rFonts w:eastAsia="Times New Roman"/>
              </w:rPr>
              <w:fldChar w:fldCharType="separate"/>
            </w:r>
            <w:r w:rsidRPr="005B024E">
              <w:rPr>
                <w:rFonts w:eastAsia="Times New Roman"/>
              </w:rPr>
              <w:fldChar w:fldCharType="end"/>
            </w:r>
            <w:r w:rsidRPr="005B024E">
              <w:rPr>
                <w:rFonts w:eastAsia="Times New Roman"/>
              </w:rPr>
              <w:t>Authority Required (STREAMLINED)</w:t>
            </w:r>
          </w:p>
        </w:tc>
      </w:tr>
      <w:tr w:rsidR="00134D5C" w:rsidRPr="005B024E" w14:paraId="294DF12B" w14:textId="77777777" w:rsidTr="000B2FEE">
        <w:tblPrEx>
          <w:tblCellMar>
            <w:top w:w="15" w:type="dxa"/>
            <w:bottom w:w="15" w:type="dxa"/>
          </w:tblCellMar>
          <w:tblLook w:val="04A0" w:firstRow="1" w:lastRow="0" w:firstColumn="1" w:lastColumn="0" w:noHBand="0" w:noVBand="1"/>
        </w:tblPrEx>
        <w:trPr>
          <w:trHeight w:val="20"/>
          <w:tblHeader/>
        </w:trPr>
        <w:tc>
          <w:tcPr>
            <w:tcW w:w="9017" w:type="dxa"/>
            <w:gridSpan w:val="4"/>
            <w:vAlign w:val="center"/>
          </w:tcPr>
          <w:p w14:paraId="38978ECC" w14:textId="77777777" w:rsidR="00134D5C" w:rsidRPr="005B024E" w:rsidRDefault="00134D5C" w:rsidP="004428B7">
            <w:pPr>
              <w:pStyle w:val="TableText0"/>
              <w:keepLines/>
            </w:pPr>
            <w:r w:rsidRPr="005B024E">
              <w:rPr>
                <w:b/>
                <w:bCs w:val="0"/>
              </w:rPr>
              <w:t>Condition:</w:t>
            </w:r>
            <w:r w:rsidRPr="005B024E">
              <w:t xml:space="preserve"> </w:t>
            </w:r>
            <w:r w:rsidRPr="005B024E">
              <w:rPr>
                <w:rFonts w:cstheme="minorHAnsi"/>
              </w:rPr>
              <w:t>Diffuse Large B-Cell Lymphoma</w:t>
            </w:r>
          </w:p>
        </w:tc>
      </w:tr>
      <w:tr w:rsidR="00134D5C" w:rsidRPr="005B024E" w14:paraId="1134D429" w14:textId="77777777" w:rsidTr="000B2FEE">
        <w:tblPrEx>
          <w:tblCellMar>
            <w:top w:w="15" w:type="dxa"/>
            <w:bottom w:w="15" w:type="dxa"/>
          </w:tblCellMar>
          <w:tblLook w:val="04A0" w:firstRow="1" w:lastRow="0" w:firstColumn="1" w:lastColumn="0" w:noHBand="0" w:noVBand="1"/>
        </w:tblPrEx>
        <w:trPr>
          <w:trHeight w:val="20"/>
          <w:tblHeader/>
        </w:trPr>
        <w:tc>
          <w:tcPr>
            <w:tcW w:w="9017" w:type="dxa"/>
            <w:gridSpan w:val="4"/>
            <w:vAlign w:val="center"/>
            <w:hideMark/>
          </w:tcPr>
          <w:p w14:paraId="2E29B5EB" w14:textId="77777777" w:rsidR="00134D5C" w:rsidRPr="005B024E" w:rsidRDefault="00134D5C" w:rsidP="004428B7">
            <w:pPr>
              <w:pStyle w:val="TableText0"/>
              <w:keepLines/>
            </w:pPr>
            <w:r w:rsidRPr="005B024E">
              <w:rPr>
                <w:b/>
              </w:rPr>
              <w:t>Indication:</w:t>
            </w:r>
            <w:r w:rsidRPr="005B024E">
              <w:t xml:space="preserve"> Previously untreated Diffuse Large B-Cell Lymphoma</w:t>
            </w:r>
          </w:p>
        </w:tc>
      </w:tr>
      <w:tr w:rsidR="00134D5C" w:rsidRPr="005B024E" w14:paraId="6EF0386D" w14:textId="77777777" w:rsidTr="000B2FEE">
        <w:tblPrEx>
          <w:tblCellMar>
            <w:top w:w="15" w:type="dxa"/>
            <w:bottom w:w="15" w:type="dxa"/>
          </w:tblCellMar>
          <w:tblLook w:val="04A0" w:firstRow="1" w:lastRow="0" w:firstColumn="1" w:lastColumn="0" w:noHBand="0" w:noVBand="1"/>
        </w:tblPrEx>
        <w:trPr>
          <w:trHeight w:val="20"/>
          <w:tblHeader/>
        </w:trPr>
        <w:tc>
          <w:tcPr>
            <w:tcW w:w="9017" w:type="dxa"/>
            <w:gridSpan w:val="4"/>
            <w:vAlign w:val="center"/>
            <w:hideMark/>
          </w:tcPr>
          <w:p w14:paraId="32BBEFED" w14:textId="77777777" w:rsidR="00134D5C" w:rsidRPr="005B024E" w:rsidRDefault="00134D5C" w:rsidP="004428B7">
            <w:pPr>
              <w:pStyle w:val="TableText0"/>
              <w:keepLines/>
            </w:pPr>
            <w:r w:rsidRPr="005B024E">
              <w:rPr>
                <w:b/>
              </w:rPr>
              <w:t>Treatment Phase:</w:t>
            </w:r>
            <w:r w:rsidRPr="005B024E">
              <w:t xml:space="preserve"> </w:t>
            </w:r>
            <w:r w:rsidRPr="005B024E">
              <w:rPr>
                <w:bCs w:val="0"/>
              </w:rPr>
              <w:t>Initial and continuing treatment</w:t>
            </w:r>
          </w:p>
        </w:tc>
      </w:tr>
      <w:tr w:rsidR="00134D5C" w:rsidRPr="005B024E" w14:paraId="77178DDD" w14:textId="77777777" w:rsidTr="000B2FEE">
        <w:tblPrEx>
          <w:tblCellMar>
            <w:top w:w="15" w:type="dxa"/>
            <w:bottom w:w="15" w:type="dxa"/>
          </w:tblCellMar>
          <w:tblLook w:val="04A0" w:firstRow="1" w:lastRow="0" w:firstColumn="1" w:lastColumn="0" w:noHBand="0" w:noVBand="1"/>
        </w:tblPrEx>
        <w:trPr>
          <w:trHeight w:val="20"/>
          <w:tblHeader/>
        </w:trPr>
        <w:tc>
          <w:tcPr>
            <w:tcW w:w="9017" w:type="dxa"/>
            <w:gridSpan w:val="4"/>
            <w:vAlign w:val="center"/>
            <w:hideMark/>
          </w:tcPr>
          <w:p w14:paraId="10B1ABEE" w14:textId="77777777" w:rsidR="00134D5C" w:rsidRPr="005B024E" w:rsidRDefault="00134D5C" w:rsidP="004428B7">
            <w:pPr>
              <w:pStyle w:val="TableText0"/>
              <w:keepLines/>
              <w:rPr>
                <w:b/>
              </w:rPr>
            </w:pPr>
            <w:r w:rsidRPr="005B024E">
              <w:rPr>
                <w:b/>
              </w:rPr>
              <w:t>Clinical criteria:</w:t>
            </w:r>
          </w:p>
          <w:p w14:paraId="0B1D8688" w14:textId="77777777" w:rsidR="00134D5C" w:rsidRPr="005B024E" w:rsidRDefault="00134D5C" w:rsidP="004428B7">
            <w:pPr>
              <w:pStyle w:val="TableText0"/>
            </w:pPr>
            <w:r w:rsidRPr="005B024E">
              <w:t>The patient must have an IPI score of 3–5; AND</w:t>
            </w:r>
          </w:p>
          <w:p w14:paraId="06BEC44F" w14:textId="77777777" w:rsidR="00134D5C" w:rsidRPr="005B024E" w:rsidRDefault="00134D5C" w:rsidP="004428B7">
            <w:pPr>
              <w:pStyle w:val="TableText0"/>
            </w:pPr>
            <w:r w:rsidRPr="005B024E">
              <w:t>The condition must have been previously untreated; AND</w:t>
            </w:r>
          </w:p>
          <w:p w14:paraId="5F7DC751" w14:textId="77777777" w:rsidR="00134D5C" w:rsidRPr="005B024E" w:rsidRDefault="00134D5C" w:rsidP="004428B7">
            <w:pPr>
              <w:pStyle w:val="TableText0"/>
            </w:pPr>
            <w:r w:rsidRPr="005B024E">
              <w:t>The treatment must be in combination with rituximab, cyclophosphamide, doxorubicin and prednisone; AND</w:t>
            </w:r>
          </w:p>
          <w:p w14:paraId="7754463D" w14:textId="77777777" w:rsidR="00134D5C" w:rsidRPr="005B024E" w:rsidRDefault="00134D5C" w:rsidP="004428B7">
            <w:pPr>
              <w:pStyle w:val="TableText0"/>
              <w:keepLines/>
            </w:pPr>
            <w:r w:rsidRPr="005B024E">
              <w:t>Patient must not receive more than 6 cycles of treatment under this restriction</w:t>
            </w:r>
          </w:p>
        </w:tc>
      </w:tr>
      <w:tr w:rsidR="00134D5C" w:rsidRPr="005B024E" w14:paraId="6A4A2F66" w14:textId="77777777" w:rsidTr="000B2FEE">
        <w:tblPrEx>
          <w:tblCellMar>
            <w:top w:w="15" w:type="dxa"/>
            <w:bottom w:w="15" w:type="dxa"/>
          </w:tblCellMar>
          <w:tblLook w:val="04A0" w:firstRow="1" w:lastRow="0" w:firstColumn="1" w:lastColumn="0" w:noHBand="0" w:noVBand="1"/>
        </w:tblPrEx>
        <w:trPr>
          <w:trHeight w:val="20"/>
          <w:tblHeader/>
        </w:trPr>
        <w:tc>
          <w:tcPr>
            <w:tcW w:w="9017" w:type="dxa"/>
            <w:gridSpan w:val="4"/>
            <w:vAlign w:val="center"/>
            <w:hideMark/>
          </w:tcPr>
          <w:p w14:paraId="5DAA534A" w14:textId="77777777" w:rsidR="00134D5C" w:rsidRPr="005B024E" w:rsidRDefault="00134D5C" w:rsidP="004428B7">
            <w:pPr>
              <w:pStyle w:val="TableText0"/>
              <w:keepLines/>
            </w:pPr>
            <w:r w:rsidRPr="005B024E">
              <w:rPr>
                <w:b/>
              </w:rPr>
              <w:t xml:space="preserve">Prescribing Instructions: </w:t>
            </w:r>
            <w:r w:rsidRPr="005B024E">
              <w:rPr>
                <w:bCs w:val="0"/>
              </w:rPr>
              <w:t>Treatment must be discontinued in patients who experience disease progression while on treatment</w:t>
            </w:r>
          </w:p>
        </w:tc>
      </w:tr>
      <w:tr w:rsidR="00134D5C" w:rsidRPr="005B024E" w14:paraId="24585DB6" w14:textId="77777777" w:rsidTr="000B2FEE">
        <w:tblPrEx>
          <w:tblCellMar>
            <w:top w:w="15" w:type="dxa"/>
            <w:bottom w:w="15" w:type="dxa"/>
          </w:tblCellMar>
          <w:tblLook w:val="04A0" w:firstRow="1" w:lastRow="0" w:firstColumn="1" w:lastColumn="0" w:noHBand="0" w:noVBand="1"/>
        </w:tblPrEx>
        <w:trPr>
          <w:trHeight w:val="20"/>
          <w:tblHeader/>
        </w:trPr>
        <w:tc>
          <w:tcPr>
            <w:tcW w:w="9017" w:type="dxa"/>
            <w:gridSpan w:val="4"/>
            <w:vAlign w:val="center"/>
            <w:hideMark/>
          </w:tcPr>
          <w:p w14:paraId="3B093D03" w14:textId="77777777" w:rsidR="00134D5C" w:rsidRPr="005B024E" w:rsidRDefault="00134D5C" w:rsidP="004428B7">
            <w:pPr>
              <w:pStyle w:val="TableText0"/>
              <w:keepLines/>
              <w:rPr>
                <w:b/>
              </w:rPr>
            </w:pPr>
            <w:r w:rsidRPr="005B024E">
              <w:rPr>
                <w:b/>
              </w:rPr>
              <w:t>Administrative Advice:</w:t>
            </w:r>
          </w:p>
          <w:p w14:paraId="6C767793" w14:textId="77777777" w:rsidR="00134D5C" w:rsidRPr="005B024E" w:rsidRDefault="00134D5C" w:rsidP="004428B7">
            <w:pPr>
              <w:pStyle w:val="TableText0"/>
              <w:keepLines/>
              <w:rPr>
                <w:bCs w:val="0"/>
              </w:rPr>
            </w:pPr>
            <w:r w:rsidRPr="005B024E">
              <w:rPr>
                <w:bCs w:val="0"/>
              </w:rPr>
              <w:t>Patients may qualify for PBS-subsidised treatment under this restriction once only.</w:t>
            </w:r>
          </w:p>
          <w:p w14:paraId="17D63A4A" w14:textId="77777777" w:rsidR="00134D5C" w:rsidRPr="005B024E" w:rsidRDefault="00134D5C" w:rsidP="004428B7">
            <w:pPr>
              <w:pStyle w:val="TableText0"/>
              <w:keepLines/>
              <w:rPr>
                <w:bCs w:val="0"/>
              </w:rPr>
            </w:pPr>
            <w:r w:rsidRPr="005B024E">
              <w:rPr>
                <w:bCs w:val="0"/>
              </w:rPr>
              <w:t>No increase in the maximum number of repeats may be authorised.</w:t>
            </w:r>
          </w:p>
          <w:p w14:paraId="1086F457" w14:textId="77777777" w:rsidR="00134D5C" w:rsidRPr="005B024E" w:rsidRDefault="00134D5C" w:rsidP="004428B7">
            <w:pPr>
              <w:pStyle w:val="TableText0"/>
              <w:keepLines/>
            </w:pPr>
            <w:r w:rsidRPr="005B024E">
              <w:rPr>
                <w:bCs w:val="0"/>
              </w:rPr>
              <w:t>Special pricing arrangements apply.</w:t>
            </w:r>
          </w:p>
        </w:tc>
      </w:tr>
    </w:tbl>
    <w:p w14:paraId="3DD8BF2E" w14:textId="101826CB" w:rsidR="00E07640" w:rsidRPr="005B024E" w:rsidRDefault="00E07640" w:rsidP="00134D5C">
      <w:pPr>
        <w:pStyle w:val="FooterTableFigure"/>
      </w:pPr>
      <w:bookmarkStart w:id="14" w:name="_Hlk104809082"/>
      <w:r w:rsidRPr="005B024E">
        <w:t>Source: Table 1.7 to1.9, p 14-16 of the submission</w:t>
      </w:r>
    </w:p>
    <w:bookmarkEnd w:id="14"/>
    <w:p w14:paraId="1999AC84" w14:textId="59F9E1A9" w:rsidR="00F87D4E" w:rsidRPr="00E1521D" w:rsidRDefault="00635154" w:rsidP="00E1521D">
      <w:pPr>
        <w:pStyle w:val="3-BodyText"/>
        <w:ind w:left="720"/>
        <w:rPr>
          <w:iCs/>
        </w:rPr>
      </w:pPr>
      <w:r w:rsidRPr="000B2FEE">
        <w:rPr>
          <w:iCs/>
        </w:rPr>
        <w:t xml:space="preserve">The </w:t>
      </w:r>
      <w:r w:rsidR="00C222AA" w:rsidRPr="000B2FEE">
        <w:rPr>
          <w:iCs/>
        </w:rPr>
        <w:t>submission</w:t>
      </w:r>
      <w:r w:rsidRPr="000B2FEE">
        <w:rPr>
          <w:iCs/>
        </w:rPr>
        <w:t xml:space="preserve"> requested a Section 100 Efficient Funding of Chemotherapy listing </w:t>
      </w:r>
      <w:r w:rsidR="007646F4">
        <w:rPr>
          <w:iCs/>
        </w:rPr>
        <w:t xml:space="preserve">for </w:t>
      </w:r>
      <w:r w:rsidRPr="000B2FEE">
        <w:rPr>
          <w:iCs/>
        </w:rPr>
        <w:t>polatuzumab vedotin 1</w:t>
      </w:r>
      <w:r w:rsidR="0006162B" w:rsidRPr="000B2FEE">
        <w:rPr>
          <w:iCs/>
        </w:rPr>
        <w:t>4</w:t>
      </w:r>
      <w:r w:rsidRPr="000B2FEE">
        <w:rPr>
          <w:iCs/>
        </w:rPr>
        <w:t>0</w:t>
      </w:r>
      <w:r w:rsidR="00626FF0">
        <w:rPr>
          <w:iCs/>
        </w:rPr>
        <w:t> </w:t>
      </w:r>
      <w:r w:rsidRPr="000B2FEE">
        <w:rPr>
          <w:iCs/>
        </w:rPr>
        <w:t>mg vial and 30</w:t>
      </w:r>
      <w:r w:rsidR="00626FF0">
        <w:rPr>
          <w:iCs/>
        </w:rPr>
        <w:t> </w:t>
      </w:r>
      <w:r w:rsidRPr="000B2FEE">
        <w:rPr>
          <w:iCs/>
        </w:rPr>
        <w:t>mg vial, with a maximum amount of 200</w:t>
      </w:r>
      <w:r w:rsidR="00626FF0">
        <w:rPr>
          <w:iCs/>
        </w:rPr>
        <w:t> </w:t>
      </w:r>
      <w:r w:rsidRPr="000B2FEE">
        <w:rPr>
          <w:iCs/>
        </w:rPr>
        <w:t xml:space="preserve">mg and 5 repeats. </w:t>
      </w:r>
      <w:r w:rsidR="00C222AA" w:rsidRPr="000B2FEE">
        <w:rPr>
          <w:iCs/>
        </w:rPr>
        <w:t>T</w:t>
      </w:r>
      <w:r w:rsidRPr="000B2FEE">
        <w:rPr>
          <w:iCs/>
        </w:rPr>
        <w:t xml:space="preserve">he requested maximum amount and number of repeats provide for a complete course of treatment for patients weighing up to </w:t>
      </w:r>
      <w:r w:rsidR="00626FF0" w:rsidRPr="000B2FEE">
        <w:rPr>
          <w:iCs/>
        </w:rPr>
        <w:t>110</w:t>
      </w:r>
      <w:r w:rsidR="00626FF0">
        <w:rPr>
          <w:iCs/>
        </w:rPr>
        <w:t> </w:t>
      </w:r>
      <w:r w:rsidRPr="000B2FEE">
        <w:rPr>
          <w:iCs/>
        </w:rPr>
        <w:t>kg</w:t>
      </w:r>
      <w:r w:rsidR="00C24441" w:rsidRPr="000B2FEE">
        <w:rPr>
          <w:iCs/>
        </w:rPr>
        <w:t xml:space="preserve"> (i.e. 6 cycles at 1.8</w:t>
      </w:r>
      <w:r w:rsidR="00626FF0">
        <w:rPr>
          <w:iCs/>
        </w:rPr>
        <w:t> </w:t>
      </w:r>
      <w:r w:rsidR="00C24441" w:rsidRPr="000B2FEE">
        <w:rPr>
          <w:iCs/>
        </w:rPr>
        <w:t>mg/kg/cycle)</w:t>
      </w:r>
      <w:r w:rsidRPr="000B2FEE">
        <w:rPr>
          <w:iCs/>
        </w:rPr>
        <w:t>.</w:t>
      </w:r>
      <w:r w:rsidR="00F87D4E" w:rsidRPr="000B2FEE">
        <w:rPr>
          <w:iCs/>
        </w:rPr>
        <w:t xml:space="preserve"> </w:t>
      </w:r>
      <w:r w:rsidR="0073457D" w:rsidRPr="000B2FEE">
        <w:rPr>
          <w:iCs/>
        </w:rPr>
        <w:t xml:space="preserve">A higher maximum amount (e.g. </w:t>
      </w:r>
      <w:r w:rsidR="00626FF0" w:rsidRPr="000B2FEE">
        <w:rPr>
          <w:iCs/>
        </w:rPr>
        <w:t>210</w:t>
      </w:r>
      <w:r w:rsidR="00626FF0">
        <w:rPr>
          <w:iCs/>
        </w:rPr>
        <w:t> </w:t>
      </w:r>
      <w:r w:rsidR="0073457D" w:rsidRPr="000B2FEE">
        <w:rPr>
          <w:iCs/>
        </w:rPr>
        <w:t xml:space="preserve">mg) may be reasonable to provide for the small proportion of patients weighing </w:t>
      </w:r>
      <w:r w:rsidR="00C24441" w:rsidRPr="000B2FEE">
        <w:rPr>
          <w:iCs/>
        </w:rPr>
        <w:t>more than</w:t>
      </w:r>
      <w:r w:rsidR="0073457D" w:rsidRPr="000B2FEE">
        <w:rPr>
          <w:iCs/>
        </w:rPr>
        <w:t xml:space="preserve"> 110</w:t>
      </w:r>
      <w:r w:rsidR="00626FF0">
        <w:rPr>
          <w:iCs/>
        </w:rPr>
        <w:t> </w:t>
      </w:r>
      <w:r w:rsidR="00C24441" w:rsidRPr="000B2FEE">
        <w:rPr>
          <w:iCs/>
        </w:rPr>
        <w:t>kg.</w:t>
      </w:r>
    </w:p>
    <w:p w14:paraId="465FE8CA" w14:textId="17B56C1C" w:rsidR="00F87D4E" w:rsidRPr="00E1521D" w:rsidRDefault="00F87D4E" w:rsidP="00E1521D">
      <w:pPr>
        <w:pStyle w:val="3-BodyText"/>
        <w:ind w:left="720"/>
        <w:rPr>
          <w:iCs/>
        </w:rPr>
      </w:pPr>
      <w:r w:rsidRPr="000B2FEE">
        <w:rPr>
          <w:iCs/>
        </w:rPr>
        <w:t xml:space="preserve">The submission proposed </w:t>
      </w:r>
      <w:r w:rsidR="0073457D" w:rsidRPr="000B2FEE">
        <w:rPr>
          <w:iCs/>
        </w:rPr>
        <w:t xml:space="preserve">an Authority Required - </w:t>
      </w:r>
      <w:r w:rsidRPr="000B2FEE">
        <w:rPr>
          <w:iCs/>
        </w:rPr>
        <w:t>Streamlined restriction to align with the current listing</w:t>
      </w:r>
      <w:r w:rsidR="00027A30">
        <w:rPr>
          <w:iCs/>
        </w:rPr>
        <w:t>s</w:t>
      </w:r>
      <w:r w:rsidRPr="000B2FEE">
        <w:rPr>
          <w:iCs/>
        </w:rPr>
        <w:t xml:space="preserve"> of R-CH</w:t>
      </w:r>
      <w:r w:rsidR="00027A30">
        <w:rPr>
          <w:iCs/>
        </w:rPr>
        <w:t>O</w:t>
      </w:r>
      <w:r w:rsidRPr="000B2FEE">
        <w:rPr>
          <w:iCs/>
        </w:rPr>
        <w:t xml:space="preserve">P (rituximab has an Authority Required - Streamlined restriction and the other concomitant chemotherapies have unrestricted listings). </w:t>
      </w:r>
      <w:r w:rsidR="00580B0B">
        <w:rPr>
          <w:iCs/>
        </w:rPr>
        <w:t>The evaluation considered a</w:t>
      </w:r>
      <w:r w:rsidR="0073457D" w:rsidRPr="000B2FEE">
        <w:rPr>
          <w:iCs/>
        </w:rPr>
        <w:t>n Authority Require</w:t>
      </w:r>
      <w:r w:rsidR="00C24441" w:rsidRPr="000B2FEE">
        <w:rPr>
          <w:iCs/>
        </w:rPr>
        <w:t>d</w:t>
      </w:r>
      <w:r w:rsidR="0073457D" w:rsidRPr="000B2FEE">
        <w:rPr>
          <w:iCs/>
        </w:rPr>
        <w:t xml:space="preserve"> – Written restriction may be more appropriate given the considerable potential for leakage outside of the proposed PBS </w:t>
      </w:r>
      <w:r w:rsidR="00C24441" w:rsidRPr="000B2FEE">
        <w:rPr>
          <w:iCs/>
        </w:rPr>
        <w:t>population.</w:t>
      </w:r>
    </w:p>
    <w:p w14:paraId="47B0A0F8" w14:textId="3008ADD8" w:rsidR="004C7220" w:rsidRPr="000B2FEE" w:rsidRDefault="00635154" w:rsidP="00E1521D">
      <w:pPr>
        <w:pStyle w:val="3-BodyText"/>
        <w:ind w:left="720"/>
        <w:rPr>
          <w:iCs/>
        </w:rPr>
      </w:pPr>
      <w:bookmarkStart w:id="15" w:name="_Hlk113874277"/>
      <w:r w:rsidRPr="000B2FEE">
        <w:rPr>
          <w:iCs/>
        </w:rPr>
        <w:t xml:space="preserve">The </w:t>
      </w:r>
      <w:r w:rsidR="00C222AA" w:rsidRPr="000B2FEE">
        <w:rPr>
          <w:iCs/>
        </w:rPr>
        <w:t xml:space="preserve">submission proposed </w:t>
      </w:r>
      <w:r w:rsidRPr="000B2FEE">
        <w:rPr>
          <w:iCs/>
        </w:rPr>
        <w:t>a Special Pricing Arrangement (SPA)</w:t>
      </w:r>
      <w:r w:rsidR="00F05BDC" w:rsidRPr="000B2FEE">
        <w:rPr>
          <w:iCs/>
        </w:rPr>
        <w:t>. For the 140</w:t>
      </w:r>
      <w:r w:rsidR="00626FF0">
        <w:rPr>
          <w:iCs/>
        </w:rPr>
        <w:t> </w:t>
      </w:r>
      <w:r w:rsidR="00F05BDC" w:rsidRPr="000B2FEE">
        <w:rPr>
          <w:iCs/>
        </w:rPr>
        <w:t xml:space="preserve">mg vial, the submission proposed a </w:t>
      </w:r>
      <w:r w:rsidR="0076130A" w:rsidRPr="000B2FEE">
        <w:rPr>
          <w:iCs/>
        </w:rPr>
        <w:t xml:space="preserve">published ex-manufacturer price of </w:t>
      </w:r>
      <w:r w:rsidR="009B26C2" w:rsidRPr="000B2FEE">
        <w:rPr>
          <w:iCs/>
        </w:rPr>
        <w:t xml:space="preserve">$12,951.59 </w:t>
      </w:r>
      <w:r w:rsidR="00F05BDC" w:rsidRPr="000B2FEE">
        <w:rPr>
          <w:iCs/>
        </w:rPr>
        <w:t>and an effective ex-manufacturer price of $</w:t>
      </w:r>
      <w:r w:rsidR="00206B77" w:rsidRPr="007F2580">
        <w:rPr>
          <w:iCs/>
          <w:color w:val="000000"/>
          <w:w w:val="15"/>
          <w:shd w:val="solid" w:color="000000" w:fill="000000"/>
          <w:fitText w:val="-20" w:id="-1301008896"/>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896"/>
          <w14:textFill>
            <w14:solidFill>
              <w14:srgbClr w14:val="000000">
                <w14:alpha w14:val="100000"/>
              </w14:srgbClr>
            </w14:solidFill>
          </w14:textFill>
        </w:rPr>
        <w:t>|</w:t>
      </w:r>
      <w:r w:rsidR="00F05BDC" w:rsidRPr="000B2FEE">
        <w:rPr>
          <w:iCs/>
        </w:rPr>
        <w:t>. For the 30</w:t>
      </w:r>
      <w:r w:rsidR="00626FF0">
        <w:rPr>
          <w:iCs/>
        </w:rPr>
        <w:t> </w:t>
      </w:r>
      <w:r w:rsidR="00F05BDC" w:rsidRPr="000B2FEE">
        <w:rPr>
          <w:iCs/>
        </w:rPr>
        <w:t xml:space="preserve">mg vial, the submission proposed a published ex-manufacturer price of $2,775.34 and an effective ex-manufacturer price </w:t>
      </w:r>
      <w:r w:rsidR="00F05BDC" w:rsidRPr="000B2FEE">
        <w:rPr>
          <w:iCs/>
        </w:rPr>
        <w:lastRenderedPageBreak/>
        <w:t>of $</w:t>
      </w:r>
      <w:r w:rsidR="00206B77" w:rsidRPr="007F2580">
        <w:rPr>
          <w:iCs/>
          <w:color w:val="000000"/>
          <w:w w:val="15"/>
          <w:shd w:val="solid" w:color="000000" w:fill="000000"/>
          <w:fitText w:val="-20" w:id="-1301008895"/>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895"/>
          <w14:textFill>
            <w14:solidFill>
              <w14:srgbClr w14:val="000000">
                <w14:alpha w14:val="100000"/>
              </w14:srgbClr>
            </w14:solidFill>
          </w14:textFill>
        </w:rPr>
        <w:t>|</w:t>
      </w:r>
      <w:r w:rsidR="00F05BDC" w:rsidRPr="000B2FEE">
        <w:rPr>
          <w:iCs/>
        </w:rPr>
        <w:t>. The corresponding public and private maximum dispensed prices presented in the table above reflect dispensing fees and mark-ups at June 2022.</w:t>
      </w:r>
      <w:r w:rsidR="000D7790" w:rsidRPr="000B2FEE">
        <w:rPr>
          <w:iCs/>
        </w:rPr>
        <w:t xml:space="preserve"> </w:t>
      </w:r>
      <w:r w:rsidR="00D91C15">
        <w:rPr>
          <w:iCs/>
        </w:rPr>
        <w:t xml:space="preserve">The pre-PBAC response proposed a </w:t>
      </w:r>
      <w:r w:rsidR="00206B77" w:rsidRPr="007F2580">
        <w:rPr>
          <w:iCs/>
          <w:color w:val="000000"/>
          <w:w w:val="15"/>
          <w:shd w:val="solid" w:color="000000" w:fill="000000"/>
          <w:fitText w:val="-20" w:id="-1301008894"/>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894"/>
          <w14:textFill>
            <w14:solidFill>
              <w14:srgbClr w14:val="000000">
                <w14:alpha w14:val="100000"/>
              </w14:srgbClr>
            </w14:solidFill>
          </w14:textFill>
        </w:rPr>
        <w:t>|</w:t>
      </w:r>
      <w:r w:rsidR="00D91C15" w:rsidRPr="00F11D89">
        <w:rPr>
          <w:iCs/>
        </w:rPr>
        <w:t>%</w:t>
      </w:r>
      <w:r w:rsidR="00D91C15">
        <w:rPr>
          <w:iCs/>
        </w:rPr>
        <w:t xml:space="preserve"> reduction in the effective ex-manufacturer prices of polatuzumab vedotin (</w:t>
      </w:r>
      <w:r w:rsidR="00607447">
        <w:rPr>
          <w:iCs/>
        </w:rPr>
        <w:t>140 </w:t>
      </w:r>
      <w:r w:rsidR="00D91C15">
        <w:rPr>
          <w:iCs/>
        </w:rPr>
        <w:t>mg = $</w:t>
      </w:r>
      <w:r w:rsidR="00206B77" w:rsidRPr="007F2580">
        <w:rPr>
          <w:iCs/>
          <w:color w:val="000000"/>
          <w:w w:val="15"/>
          <w:shd w:val="solid" w:color="000000" w:fill="000000"/>
          <w:fitText w:val="-20" w:id="-1301008893"/>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893"/>
          <w14:textFill>
            <w14:solidFill>
              <w14:srgbClr w14:val="000000">
                <w14:alpha w14:val="100000"/>
              </w14:srgbClr>
            </w14:solidFill>
          </w14:textFill>
        </w:rPr>
        <w:t>|</w:t>
      </w:r>
      <w:r w:rsidR="00D91C15">
        <w:rPr>
          <w:iCs/>
        </w:rPr>
        <w:t>; 30</w:t>
      </w:r>
      <w:r w:rsidR="00607447">
        <w:rPr>
          <w:iCs/>
        </w:rPr>
        <w:t> </w:t>
      </w:r>
      <w:r w:rsidR="00D91C15">
        <w:rPr>
          <w:iCs/>
        </w:rPr>
        <w:t>mg = $</w:t>
      </w:r>
      <w:r w:rsidR="00206B77" w:rsidRPr="007F2580">
        <w:rPr>
          <w:iCs/>
          <w:color w:val="000000"/>
          <w:w w:val="15"/>
          <w:shd w:val="solid" w:color="000000" w:fill="000000"/>
          <w:fitText w:val="-20" w:id="-1301008892"/>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892"/>
          <w14:textFill>
            <w14:solidFill>
              <w14:srgbClr w14:val="000000">
                <w14:alpha w14:val="100000"/>
              </w14:srgbClr>
            </w14:solidFill>
          </w14:textFill>
        </w:rPr>
        <w:t>|</w:t>
      </w:r>
      <w:r w:rsidR="00D91C15">
        <w:rPr>
          <w:iCs/>
        </w:rPr>
        <w:t>)</w:t>
      </w:r>
      <w:r w:rsidR="00954696">
        <w:rPr>
          <w:iCs/>
        </w:rPr>
        <w:t>.</w:t>
      </w:r>
    </w:p>
    <w:bookmarkEnd w:id="15"/>
    <w:p w14:paraId="0889666E" w14:textId="12305E05" w:rsidR="00FF1FD1" w:rsidRPr="000B2FEE" w:rsidRDefault="00FF1FD1" w:rsidP="00E1521D">
      <w:pPr>
        <w:pStyle w:val="3-BodyText"/>
        <w:ind w:left="720"/>
        <w:rPr>
          <w:iCs/>
        </w:rPr>
      </w:pPr>
      <w:r w:rsidRPr="000B2FEE">
        <w:rPr>
          <w:iCs/>
        </w:rPr>
        <w:t xml:space="preserve">The requested restriction </w:t>
      </w:r>
      <w:r w:rsidR="00F87D4E" w:rsidRPr="000B2FEE">
        <w:rPr>
          <w:iCs/>
        </w:rPr>
        <w:t xml:space="preserve">criteria </w:t>
      </w:r>
      <w:r w:rsidRPr="000B2FEE">
        <w:rPr>
          <w:iCs/>
        </w:rPr>
        <w:t xml:space="preserve">would </w:t>
      </w:r>
      <w:r w:rsidR="00C24441" w:rsidRPr="000B2FEE">
        <w:rPr>
          <w:iCs/>
        </w:rPr>
        <w:t>limit</w:t>
      </w:r>
      <w:r w:rsidRPr="000B2FEE">
        <w:rPr>
          <w:iCs/>
        </w:rPr>
        <w:t xml:space="preserve"> use of polatuzumab vedotin </w:t>
      </w:r>
      <w:r w:rsidR="00C24441" w:rsidRPr="000B2FEE">
        <w:rPr>
          <w:iCs/>
        </w:rPr>
        <w:t xml:space="preserve">on the PBS </w:t>
      </w:r>
      <w:r w:rsidRPr="000B2FEE">
        <w:rPr>
          <w:iCs/>
        </w:rPr>
        <w:t xml:space="preserve">(in combination with chemotherapy as part of Pola+R-CHP) </w:t>
      </w:r>
      <w:r w:rsidR="00C24441" w:rsidRPr="000B2FEE">
        <w:rPr>
          <w:iCs/>
        </w:rPr>
        <w:t>to</w:t>
      </w:r>
      <w:r w:rsidRPr="000B2FEE">
        <w:rPr>
          <w:iCs/>
        </w:rPr>
        <w:t xml:space="preserve"> patients with previously untreated DLBCL and an IPI score of 3-5. </w:t>
      </w:r>
      <w:r w:rsidR="00C24441" w:rsidRPr="000B2FEE">
        <w:rPr>
          <w:iCs/>
        </w:rPr>
        <w:t xml:space="preserve">The proposed PBS restriction is narrower than the proposed TGA indication (silent in terms of patient risk factors such as IPI) as well as the </w:t>
      </w:r>
      <w:r w:rsidR="009162D5" w:rsidRPr="000B2FEE">
        <w:rPr>
          <w:iCs/>
        </w:rPr>
        <w:t xml:space="preserve">key </w:t>
      </w:r>
      <w:r w:rsidR="00C24441" w:rsidRPr="000B2FEE">
        <w:rPr>
          <w:iCs/>
        </w:rPr>
        <w:t xml:space="preserve">clinical evidence presented </w:t>
      </w:r>
      <w:r w:rsidR="009162D5" w:rsidRPr="000B2FEE">
        <w:rPr>
          <w:iCs/>
        </w:rPr>
        <w:t>in</w:t>
      </w:r>
      <w:r w:rsidR="00C24441" w:rsidRPr="000B2FEE">
        <w:rPr>
          <w:iCs/>
        </w:rPr>
        <w:t xml:space="preserve"> the submission (the POLARIX trial included patients with an IPI score of 2</w:t>
      </w:r>
      <w:r w:rsidR="009162D5" w:rsidRPr="000B2FEE">
        <w:rPr>
          <w:iCs/>
        </w:rPr>
        <w:t>-5</w:t>
      </w:r>
      <w:r w:rsidR="00C24441" w:rsidRPr="000B2FEE">
        <w:rPr>
          <w:iCs/>
        </w:rPr>
        <w:t>). The submission stated that excluding patients with an IPI 2 would ‘ensure use is restricted to patients who are most likely to benefit from Pola+R-CHP’</w:t>
      </w:r>
      <w:r w:rsidR="00BC0F9C">
        <w:rPr>
          <w:iCs/>
        </w:rPr>
        <w:t xml:space="preserve">, however, it was noted during the evaluation the proposed population (IPI score 3-5) was </w:t>
      </w:r>
      <w:r w:rsidR="00C24441" w:rsidRPr="000B2FEE">
        <w:rPr>
          <w:iCs/>
        </w:rPr>
        <w:t xml:space="preserve">based on results of an exploratory post-hoc subgroup analysis in the POLARIX trial. </w:t>
      </w:r>
    </w:p>
    <w:p w14:paraId="55FB49F8" w14:textId="6A7D8677" w:rsidR="00635154" w:rsidRPr="001A02C9" w:rsidRDefault="0061520F" w:rsidP="00E1521D">
      <w:pPr>
        <w:pStyle w:val="3-BodyText"/>
        <w:ind w:left="720"/>
        <w:rPr>
          <w:iCs/>
        </w:rPr>
      </w:pPr>
      <w:r w:rsidRPr="001A02C9">
        <w:rPr>
          <w:iCs/>
        </w:rPr>
        <w:t>The ESC considered that there was</w:t>
      </w:r>
      <w:r w:rsidR="00E326D2" w:rsidRPr="001A02C9">
        <w:rPr>
          <w:iCs/>
        </w:rPr>
        <w:t xml:space="preserve"> limited evidence and rationale for restricting access to polatuzumab vedotin to patients with an IPI score of 3-5 </w:t>
      </w:r>
      <w:r w:rsidRPr="001A02C9">
        <w:rPr>
          <w:iCs/>
        </w:rPr>
        <w:t>and</w:t>
      </w:r>
      <w:r w:rsidR="00781928" w:rsidRPr="001A02C9">
        <w:rPr>
          <w:iCs/>
        </w:rPr>
        <w:t xml:space="preserve"> </w:t>
      </w:r>
      <w:r w:rsidRPr="001A02C9">
        <w:rPr>
          <w:iCs/>
        </w:rPr>
        <w:t>advised</w:t>
      </w:r>
      <w:r w:rsidR="00781928" w:rsidRPr="001A02C9">
        <w:rPr>
          <w:iCs/>
        </w:rPr>
        <w:t xml:space="preserve"> that </w:t>
      </w:r>
      <w:r w:rsidR="00E326D2" w:rsidRPr="001A02C9">
        <w:rPr>
          <w:iCs/>
        </w:rPr>
        <w:t xml:space="preserve">it </w:t>
      </w:r>
      <w:r w:rsidR="00781928" w:rsidRPr="001A02C9">
        <w:rPr>
          <w:iCs/>
        </w:rPr>
        <w:t xml:space="preserve">would </w:t>
      </w:r>
      <w:r w:rsidR="00E326D2" w:rsidRPr="001A02C9">
        <w:rPr>
          <w:iCs/>
        </w:rPr>
        <w:t xml:space="preserve">be more reasonable to consider PBS listing for the broader </w:t>
      </w:r>
      <w:r w:rsidR="00027A30" w:rsidRPr="001A02C9">
        <w:rPr>
          <w:iCs/>
        </w:rPr>
        <w:t>intention to treat (</w:t>
      </w:r>
      <w:r w:rsidR="00E326D2" w:rsidRPr="001A02C9">
        <w:rPr>
          <w:iCs/>
        </w:rPr>
        <w:t>ITT</w:t>
      </w:r>
      <w:r w:rsidR="00027A30" w:rsidRPr="001A02C9">
        <w:rPr>
          <w:iCs/>
        </w:rPr>
        <w:t>)</w:t>
      </w:r>
      <w:r w:rsidR="00E326D2" w:rsidRPr="001A02C9">
        <w:rPr>
          <w:iCs/>
        </w:rPr>
        <w:t xml:space="preserve"> population (IPI 2-5) of the POLARIX trial. </w:t>
      </w:r>
      <w:r w:rsidR="00276AFA" w:rsidRPr="001A02C9">
        <w:rPr>
          <w:iCs/>
        </w:rPr>
        <w:t xml:space="preserve">The pre-PBAC response disagreed with the ESC highlighting that subgroup analyses from the POLARIX trial demonstrated that DLBCL patients with an IPI score of 3-5 had a clinically meaningful improvement in </w:t>
      </w:r>
      <w:r w:rsidR="00050593" w:rsidRPr="001A02C9">
        <w:rPr>
          <w:iCs/>
        </w:rPr>
        <w:t>PFS</w:t>
      </w:r>
      <w:r w:rsidR="00276AFA" w:rsidRPr="001A02C9">
        <w:rPr>
          <w:iCs/>
        </w:rPr>
        <w:t xml:space="preserve"> (HR = 0.65; 95% CI: 0.47, 0.88), whereas those with an IPI score of 2 did not (HR = 0.99; 95% CI: 0.63, 1.56). In addition, the pre-PBAC response</w:t>
      </w:r>
      <w:r w:rsidR="00933485">
        <w:rPr>
          <w:iCs/>
        </w:rPr>
        <w:t xml:space="preserve"> </w:t>
      </w:r>
      <w:r w:rsidR="00276AFA" w:rsidRPr="001A02C9">
        <w:rPr>
          <w:iCs/>
        </w:rPr>
        <w:t xml:space="preserve">stated that clinician feedback indicated that patients with an IPI score of 2 </w:t>
      </w:r>
      <w:r w:rsidR="00933485">
        <w:rPr>
          <w:iCs/>
        </w:rPr>
        <w:t>were</w:t>
      </w:r>
      <w:r w:rsidR="00276AFA" w:rsidRPr="001A02C9">
        <w:rPr>
          <w:iCs/>
        </w:rPr>
        <w:t xml:space="preserve"> less likely to be treated with Pola</w:t>
      </w:r>
      <w:r w:rsidR="00BE043C">
        <w:rPr>
          <w:iCs/>
        </w:rPr>
        <w:t>+</w:t>
      </w:r>
      <w:r w:rsidR="00276AFA" w:rsidRPr="001A02C9">
        <w:rPr>
          <w:iCs/>
        </w:rPr>
        <w:t xml:space="preserve">R-CHP due to a range of clinical factors such as lower clinical need, age and toxicity. </w:t>
      </w:r>
    </w:p>
    <w:p w14:paraId="4E6A2F6D" w14:textId="677B8F07" w:rsidR="009162D5" w:rsidRDefault="009162D5" w:rsidP="00E1521D">
      <w:pPr>
        <w:pStyle w:val="3-BodyText"/>
        <w:ind w:left="720"/>
        <w:rPr>
          <w:iCs/>
        </w:rPr>
      </w:pPr>
      <w:r w:rsidRPr="000B2FEE">
        <w:rPr>
          <w:iCs/>
        </w:rPr>
        <w:t xml:space="preserve">Aside from the IPI score, the requested </w:t>
      </w:r>
      <w:r w:rsidR="00807A95" w:rsidRPr="000B2FEE">
        <w:rPr>
          <w:iCs/>
        </w:rPr>
        <w:t>restriction criteria</w:t>
      </w:r>
      <w:r w:rsidRPr="000B2FEE">
        <w:rPr>
          <w:iCs/>
        </w:rPr>
        <w:t xml:space="preserve"> </w:t>
      </w:r>
      <w:r w:rsidR="00EF0DD2" w:rsidRPr="000B2FEE">
        <w:rPr>
          <w:iCs/>
        </w:rPr>
        <w:t xml:space="preserve">were </w:t>
      </w:r>
      <w:r w:rsidRPr="000B2FEE">
        <w:rPr>
          <w:iCs/>
        </w:rPr>
        <w:t>relatively broad</w:t>
      </w:r>
      <w:r w:rsidR="00807A95" w:rsidRPr="000B2FEE">
        <w:rPr>
          <w:iCs/>
        </w:rPr>
        <w:t xml:space="preserve">. </w:t>
      </w:r>
      <w:r w:rsidR="00BE6EB5" w:rsidRPr="000B2FEE">
        <w:rPr>
          <w:iCs/>
        </w:rPr>
        <w:t>For example, the restriction criteria d</w:t>
      </w:r>
      <w:r w:rsidR="00EF0DD2" w:rsidRPr="000B2FEE">
        <w:rPr>
          <w:iCs/>
        </w:rPr>
        <w:t>id</w:t>
      </w:r>
      <w:r w:rsidR="00BE6EB5" w:rsidRPr="000B2FEE">
        <w:rPr>
          <w:iCs/>
        </w:rPr>
        <w:t xml:space="preserve"> not limit use to </w:t>
      </w:r>
      <w:r w:rsidR="00807A95" w:rsidRPr="000B2FEE">
        <w:rPr>
          <w:iCs/>
        </w:rPr>
        <w:t>CD79b positive DLBCL (polatuzumab vedotin</w:t>
      </w:r>
      <w:r w:rsidR="00BE6EB5" w:rsidRPr="000B2FEE">
        <w:rPr>
          <w:iCs/>
        </w:rPr>
        <w:t>’s</w:t>
      </w:r>
      <w:r w:rsidR="00807A95" w:rsidRPr="000B2FEE">
        <w:rPr>
          <w:iCs/>
        </w:rPr>
        <w:t xml:space="preserve"> mechanism of action is facilitated by binding to the CD79b surface marker on B-cells) </w:t>
      </w:r>
      <w:r w:rsidR="00BE6EB5" w:rsidRPr="000B2FEE">
        <w:rPr>
          <w:iCs/>
        </w:rPr>
        <w:t xml:space="preserve">and would allow use in patients excluded from the key trial (e.g. </w:t>
      </w:r>
      <w:r w:rsidR="00807A95" w:rsidRPr="000B2FEE">
        <w:rPr>
          <w:iCs/>
        </w:rPr>
        <w:t xml:space="preserve">Eastern Cooperative Oncology Group (ECOG) score </w:t>
      </w:r>
      <w:r w:rsidR="00BE6EB5" w:rsidRPr="000B2FEE">
        <w:rPr>
          <w:iCs/>
        </w:rPr>
        <w:t xml:space="preserve">&gt; </w:t>
      </w:r>
      <w:r w:rsidR="00807A95" w:rsidRPr="000B2FEE">
        <w:rPr>
          <w:iCs/>
        </w:rPr>
        <w:t>2, patient</w:t>
      </w:r>
      <w:r w:rsidR="00BE6EB5" w:rsidRPr="000B2FEE">
        <w:rPr>
          <w:iCs/>
        </w:rPr>
        <w:t>s</w:t>
      </w:r>
      <w:r w:rsidR="00807A95" w:rsidRPr="000B2FEE">
        <w:rPr>
          <w:iCs/>
        </w:rPr>
        <w:t xml:space="preserve"> with central nervous system involvement). </w:t>
      </w:r>
    </w:p>
    <w:p w14:paraId="1F9C35B8" w14:textId="6D2BC911" w:rsidR="00B95218" w:rsidRDefault="00B95218" w:rsidP="00E1521D">
      <w:pPr>
        <w:pStyle w:val="3-BodyText"/>
        <w:ind w:left="720"/>
        <w:rPr>
          <w:iCs/>
        </w:rPr>
      </w:pPr>
      <w:r w:rsidRPr="000B2FEE">
        <w:rPr>
          <w:iCs/>
        </w:rPr>
        <w:t>The submission requested a grandfathering restriction with identical criteria for (approximately 59) patients enrolled in a planned patient access program.</w:t>
      </w:r>
    </w:p>
    <w:p w14:paraId="43CD91E7" w14:textId="6A06EF23" w:rsidR="003C0896" w:rsidRPr="003C0896" w:rsidRDefault="003C0896" w:rsidP="003C0896">
      <w:pPr>
        <w:pStyle w:val="ExecSumBodyText"/>
        <w:ind w:firstLine="0"/>
        <w:rPr>
          <w:i/>
        </w:rPr>
      </w:pPr>
      <w:r w:rsidRPr="003C0896">
        <w:rPr>
          <w:i/>
        </w:rPr>
        <w:t>For more detail on PBAC’s view, see section 7 PBAC outcome.</w:t>
      </w:r>
    </w:p>
    <w:p w14:paraId="0D9DF90F" w14:textId="77777777" w:rsidR="00F811DD" w:rsidRPr="005B024E" w:rsidDel="00195452" w:rsidRDefault="00F811DD" w:rsidP="00F811DD">
      <w:pPr>
        <w:pStyle w:val="2-SectionHeading"/>
        <w:numPr>
          <w:ilvl w:val="0"/>
          <w:numId w:val="1"/>
        </w:numPr>
      </w:pPr>
      <w:bookmarkStart w:id="16" w:name="_Toc113975475"/>
      <w:r w:rsidRPr="005B024E" w:rsidDel="00195452">
        <w:t>Population and disease</w:t>
      </w:r>
      <w:bookmarkEnd w:id="16"/>
    </w:p>
    <w:p w14:paraId="63C2F75E" w14:textId="3F5EBEF8" w:rsidR="00780A44" w:rsidRPr="00E1521D" w:rsidRDefault="002C3C3D" w:rsidP="00E1521D">
      <w:pPr>
        <w:pStyle w:val="3-BodyText"/>
        <w:ind w:left="720"/>
        <w:rPr>
          <w:iCs/>
        </w:rPr>
      </w:pPr>
      <w:r w:rsidRPr="00E1521D">
        <w:rPr>
          <w:iCs/>
        </w:rPr>
        <w:t>DLBCL is an aggressive type of non-Hodgkin lymphoma (NHL) that develops from the B-cells in the lymphatic system</w:t>
      </w:r>
      <w:r w:rsidR="00D55938" w:rsidRPr="00E1521D">
        <w:rPr>
          <w:iCs/>
        </w:rPr>
        <w:t xml:space="preserve"> and </w:t>
      </w:r>
      <w:r w:rsidR="00194308" w:rsidRPr="00E1521D">
        <w:rPr>
          <w:iCs/>
        </w:rPr>
        <w:t>has</w:t>
      </w:r>
      <w:r w:rsidRPr="00E1521D">
        <w:rPr>
          <w:iCs/>
        </w:rPr>
        <w:t xml:space="preserve"> heterogeneous clinicopathology. Morphologically, the disease is characterised by complete or partial effacement of the nodal architecture by sheets of large atypical lymphoid cells. Immunophenotypically, the disease is characterised by the expression of pan B-cell antigens (CD19, CD20, CD22, CD79a, and CD79b) and surface and/or cytoplasmic immunoglobulin </w:t>
      </w:r>
      <w:r w:rsidRPr="00E1521D">
        <w:rPr>
          <w:iCs/>
        </w:rPr>
        <w:lastRenderedPageBreak/>
        <w:t>expression. Distinct genetic features have further sub</w:t>
      </w:r>
      <w:r w:rsidR="00194308" w:rsidRPr="00E1521D">
        <w:rPr>
          <w:iCs/>
        </w:rPr>
        <w:t>-</w:t>
      </w:r>
      <w:r w:rsidRPr="00E1521D">
        <w:rPr>
          <w:iCs/>
        </w:rPr>
        <w:t>classified DLBCL to reveal complex molecular patterns and distinct signalling mechanisms. The most frequently dysregulated genes include BCL6, BCL2 and MYC. Double-hit lymphoma (DHL, dual translocations in BCL2 or BCL6 and MYC) and double expressing lymphoma (DEL, overexpression of BCL2 and MYC) are two DLBCL subgroups with particularly poor outcomes with standard-of-care therapies. Gene expression profiling has also revealed more than two distinct molecular subsets of patients with DLBCL that further subtype the disease into germinal centre B-cell-like (GCB), activated B-cell-like (ABC) and unclassifiable subgroups.</w:t>
      </w:r>
    </w:p>
    <w:p w14:paraId="697D8C68" w14:textId="08590FED" w:rsidR="006C3186" w:rsidRPr="00E1521D" w:rsidRDefault="006C3186" w:rsidP="00E1521D">
      <w:pPr>
        <w:pStyle w:val="3-BodyText"/>
        <w:ind w:left="720"/>
        <w:rPr>
          <w:iCs/>
        </w:rPr>
      </w:pPr>
      <w:r w:rsidRPr="00E1521D">
        <w:rPr>
          <w:iCs/>
        </w:rPr>
        <w:t xml:space="preserve">There are several prognostic indices </w:t>
      </w:r>
      <w:r w:rsidR="000526D7" w:rsidRPr="00E1521D">
        <w:rPr>
          <w:iCs/>
        </w:rPr>
        <w:t xml:space="preserve">commonly </w:t>
      </w:r>
      <w:r w:rsidRPr="00E1521D">
        <w:rPr>
          <w:iCs/>
        </w:rPr>
        <w:t xml:space="preserve">used for non-Hodgkin lymphoma based on clinical characteristics prior to treatment, where higher scores are associated with greater risk of relapse and worse survival. The original IPI and the age-adjusted IPI (aa-IPI) </w:t>
      </w:r>
      <w:r w:rsidR="000526D7" w:rsidRPr="00E1521D">
        <w:rPr>
          <w:iCs/>
        </w:rPr>
        <w:t xml:space="preserve">date back </w:t>
      </w:r>
      <w:r w:rsidRPr="00E1521D">
        <w:rPr>
          <w:iCs/>
        </w:rPr>
        <w:t>prior to the development of rituximab, whereas the revised</w:t>
      </w:r>
      <w:r w:rsidR="003747C0" w:rsidRPr="00E1521D">
        <w:rPr>
          <w:iCs/>
        </w:rPr>
        <w:t>-</w:t>
      </w:r>
      <w:r w:rsidRPr="00E1521D">
        <w:rPr>
          <w:iCs/>
        </w:rPr>
        <w:t>IPI and the NCCN-IPI were crea</w:t>
      </w:r>
      <w:r w:rsidR="000526D7" w:rsidRPr="00E1521D">
        <w:rPr>
          <w:iCs/>
        </w:rPr>
        <w:t>t</w:t>
      </w:r>
      <w:r w:rsidRPr="00E1521D">
        <w:rPr>
          <w:iCs/>
        </w:rPr>
        <w:t xml:space="preserve">ed in the post-rituximab era. </w:t>
      </w:r>
      <w:r w:rsidR="003747C0" w:rsidRPr="00E1521D">
        <w:rPr>
          <w:iCs/>
        </w:rPr>
        <w:t>The IPI, aa-IPI and revised-IPI</w:t>
      </w:r>
      <w:r w:rsidRPr="00E1521D">
        <w:rPr>
          <w:iCs/>
        </w:rPr>
        <w:t xml:space="preserve"> </w:t>
      </w:r>
      <w:r w:rsidR="003747C0" w:rsidRPr="00E1521D">
        <w:rPr>
          <w:iCs/>
        </w:rPr>
        <w:t>are all based on similar risk factors (e.g. age, LDH above normal, ECOG, extranodal dise</w:t>
      </w:r>
      <w:r w:rsidR="00A153D7" w:rsidRPr="00E1521D">
        <w:rPr>
          <w:iCs/>
        </w:rPr>
        <w:t>a</w:t>
      </w:r>
      <w:r w:rsidR="003747C0" w:rsidRPr="00E1521D">
        <w:rPr>
          <w:iCs/>
        </w:rPr>
        <w:t xml:space="preserve">se), whereas the NCCN-IPI incorporates additional risk factors </w:t>
      </w:r>
      <w:r w:rsidR="00A153D7" w:rsidRPr="00E1521D">
        <w:rPr>
          <w:iCs/>
        </w:rPr>
        <w:t>such as evidence of tumour spread to specific extranodal sites like the bone marrow</w:t>
      </w:r>
      <w:r w:rsidR="003747C0" w:rsidRPr="00E1521D">
        <w:rPr>
          <w:iCs/>
        </w:rPr>
        <w:t xml:space="preserve">. The Australasian guidelines considered the NCCN-IPI score provided the best discrimination between the prognostic groups, but also noted other important risk factors independent of </w:t>
      </w:r>
      <w:r w:rsidR="000526D7" w:rsidRPr="00E1521D">
        <w:rPr>
          <w:iCs/>
        </w:rPr>
        <w:t xml:space="preserve">the </w:t>
      </w:r>
      <w:r w:rsidR="003747C0" w:rsidRPr="00E1521D">
        <w:rPr>
          <w:iCs/>
        </w:rPr>
        <w:t>IPI including tumour bulk (&gt;7.5 cm in maximal diameter) and pathobiological factors (such as cell-of-origin, protein expression and chromosomal translocation</w:t>
      </w:r>
      <w:r w:rsidR="0085454C" w:rsidRPr="00E1521D">
        <w:rPr>
          <w:iCs/>
        </w:rPr>
        <w:t xml:space="preserve"> subtypes</w:t>
      </w:r>
      <w:r w:rsidR="003747C0" w:rsidRPr="00E1521D">
        <w:rPr>
          <w:iCs/>
        </w:rPr>
        <w:t>).</w:t>
      </w:r>
      <w:r w:rsidR="00382854" w:rsidRPr="00E1521D">
        <w:rPr>
          <w:iCs/>
        </w:rPr>
        <w:t xml:space="preserve"> The </w:t>
      </w:r>
      <w:r w:rsidR="005C1B4C">
        <w:rPr>
          <w:iCs/>
        </w:rPr>
        <w:t>Pre-Sub</w:t>
      </w:r>
      <w:r w:rsidR="00C55676">
        <w:rPr>
          <w:iCs/>
        </w:rPr>
        <w:t>-</w:t>
      </w:r>
      <w:r w:rsidR="005C1B4C">
        <w:rPr>
          <w:iCs/>
        </w:rPr>
        <w:t>Committee Response (</w:t>
      </w:r>
      <w:r w:rsidR="00382854" w:rsidRPr="00E1521D">
        <w:rPr>
          <w:iCs/>
        </w:rPr>
        <w:t>PSCR</w:t>
      </w:r>
      <w:r w:rsidR="005C1B4C">
        <w:rPr>
          <w:iCs/>
        </w:rPr>
        <w:t>)</w:t>
      </w:r>
      <w:r w:rsidR="00F919C4" w:rsidRPr="00E1521D">
        <w:rPr>
          <w:iCs/>
        </w:rPr>
        <w:t xml:space="preserve"> </w:t>
      </w:r>
      <w:r w:rsidR="00382854" w:rsidRPr="00E1521D">
        <w:rPr>
          <w:iCs/>
        </w:rPr>
        <w:t>noted that although Australasian guidelines considered the NCCN-IPI score provided the best discrimination between the prognostic groups, a recent study (Chorão 2022) found that ‘outside of a clinical trial, differences between the NCCN-IPI and the IPI may not be sufficient to result in better treatment decisions’.</w:t>
      </w:r>
    </w:p>
    <w:p w14:paraId="68A2C6AB" w14:textId="3A57125E" w:rsidR="00B42674" w:rsidRPr="00E1521D" w:rsidRDefault="00B42674" w:rsidP="00E1521D">
      <w:pPr>
        <w:pStyle w:val="3-BodyText"/>
        <w:ind w:left="720"/>
        <w:rPr>
          <w:iCs/>
        </w:rPr>
      </w:pPr>
      <w:r w:rsidRPr="00E1521D">
        <w:rPr>
          <w:iCs/>
        </w:rPr>
        <w:t xml:space="preserve">DLBCL is curable with relatively high response rates following first-line treatment with a rituximab-based regimen, commonly </w:t>
      </w:r>
      <w:r w:rsidR="006F2CCF" w:rsidRPr="00E1521D">
        <w:rPr>
          <w:iCs/>
        </w:rPr>
        <w:t xml:space="preserve">6 cycles of </w:t>
      </w:r>
      <w:r w:rsidRPr="00E1521D">
        <w:rPr>
          <w:iCs/>
        </w:rPr>
        <w:t xml:space="preserve">R-CHOP </w:t>
      </w:r>
      <w:r w:rsidR="00D55938" w:rsidRPr="00E1521D">
        <w:rPr>
          <w:iCs/>
        </w:rPr>
        <w:t xml:space="preserve">administered </w:t>
      </w:r>
      <w:r w:rsidR="006F2CCF" w:rsidRPr="00E1521D">
        <w:rPr>
          <w:iCs/>
        </w:rPr>
        <w:t>over a</w:t>
      </w:r>
      <w:r w:rsidRPr="00E1521D">
        <w:rPr>
          <w:iCs/>
        </w:rPr>
        <w:t xml:space="preserve"> 21-day cycle (</w:t>
      </w:r>
      <w:r w:rsidR="006F2CCF" w:rsidRPr="00E1521D">
        <w:rPr>
          <w:iCs/>
        </w:rPr>
        <w:t>i.e.</w:t>
      </w:r>
      <w:r w:rsidRPr="00E1521D">
        <w:rPr>
          <w:iCs/>
        </w:rPr>
        <w:t xml:space="preserve"> R-CHOP-21). However, approximately 10% of patients are refractory to first-line treatment and approximately 30% of patients will relapse (the majority of relapses occurring within the first 24 months). Despite </w:t>
      </w:r>
      <w:r w:rsidR="009D0808" w:rsidRPr="00E1521D">
        <w:rPr>
          <w:iCs/>
        </w:rPr>
        <w:t>effective</w:t>
      </w:r>
      <w:r w:rsidRPr="00E1521D">
        <w:rPr>
          <w:iCs/>
        </w:rPr>
        <w:t xml:space="preserve"> treatment</w:t>
      </w:r>
      <w:r w:rsidR="009D0808" w:rsidRPr="00E1521D">
        <w:rPr>
          <w:iCs/>
        </w:rPr>
        <w:t>s</w:t>
      </w:r>
      <w:r w:rsidRPr="00E1521D">
        <w:rPr>
          <w:iCs/>
        </w:rPr>
        <w:t xml:space="preserve"> </w:t>
      </w:r>
      <w:r w:rsidR="009D0808" w:rsidRPr="00E1521D">
        <w:rPr>
          <w:iCs/>
        </w:rPr>
        <w:t xml:space="preserve">for </w:t>
      </w:r>
      <w:r w:rsidRPr="00E1521D">
        <w:rPr>
          <w:iCs/>
        </w:rPr>
        <w:t xml:space="preserve">relapsed </w:t>
      </w:r>
      <w:r w:rsidR="00050593" w:rsidRPr="00E1521D">
        <w:rPr>
          <w:iCs/>
        </w:rPr>
        <w:t>and</w:t>
      </w:r>
      <w:r w:rsidRPr="00E1521D">
        <w:rPr>
          <w:iCs/>
        </w:rPr>
        <w:t>/</w:t>
      </w:r>
      <w:r w:rsidR="00050593" w:rsidRPr="00E1521D">
        <w:rPr>
          <w:iCs/>
        </w:rPr>
        <w:t>or</w:t>
      </w:r>
      <w:r w:rsidRPr="00E1521D">
        <w:rPr>
          <w:iCs/>
        </w:rPr>
        <w:t xml:space="preserve"> refractory DLBCL </w:t>
      </w:r>
      <w:r w:rsidR="009D0808" w:rsidRPr="00E1521D">
        <w:rPr>
          <w:iCs/>
        </w:rPr>
        <w:t>including stem cell transplant (SCT) and chimeric antigen receptor T cells (CAR-T)</w:t>
      </w:r>
      <w:r w:rsidRPr="00E1521D">
        <w:rPr>
          <w:iCs/>
        </w:rPr>
        <w:t>, avoiding disease relapse or progression following first-line treatment has the greatest impact on overall survival</w:t>
      </w:r>
      <w:r w:rsidR="008A2550" w:rsidRPr="00E1521D">
        <w:rPr>
          <w:iCs/>
        </w:rPr>
        <w:t xml:space="preserve"> (OS)</w:t>
      </w:r>
      <w:r w:rsidRPr="00E1521D">
        <w:rPr>
          <w:iCs/>
        </w:rPr>
        <w:t xml:space="preserve"> and health-related quality of life.</w:t>
      </w:r>
    </w:p>
    <w:p w14:paraId="4E744F72" w14:textId="33C5AAE3" w:rsidR="00245D75" w:rsidRPr="00E1521D" w:rsidRDefault="00B42674" w:rsidP="00E1521D">
      <w:pPr>
        <w:pStyle w:val="3-BodyText"/>
        <w:ind w:left="720"/>
        <w:rPr>
          <w:iCs/>
        </w:rPr>
      </w:pPr>
      <w:r w:rsidRPr="00E1521D">
        <w:rPr>
          <w:iCs/>
        </w:rPr>
        <w:t xml:space="preserve">Based on the clinical algorithm presented in the submission, patients under 60 years and ‘fit’ patients over 60 years with an IPI score of 3-5 (intermediate-high or high risk) currently receive either </w:t>
      </w:r>
      <w:r w:rsidR="00245D75" w:rsidRPr="00E1521D">
        <w:rPr>
          <w:iCs/>
        </w:rPr>
        <w:t xml:space="preserve">first-line treatment with </w:t>
      </w:r>
      <w:r w:rsidRPr="00E1521D">
        <w:rPr>
          <w:iCs/>
        </w:rPr>
        <w:t>R-CHOP-21 or another rituximab-based regimen (</w:t>
      </w:r>
      <w:r w:rsidR="000526D7" w:rsidRPr="00E1521D">
        <w:rPr>
          <w:iCs/>
        </w:rPr>
        <w:t>including</w:t>
      </w:r>
      <w:r w:rsidRPr="00E1521D">
        <w:rPr>
          <w:iCs/>
        </w:rPr>
        <w:t xml:space="preserve"> the dose reduced regimen R-mini-CHOP for patients over 60 years). Under the requested PBS restriction for polatuzumab vedotin, the Pola+R-CHP regimen would become an alternative </w:t>
      </w:r>
      <w:r w:rsidR="00245D75" w:rsidRPr="00E1521D">
        <w:rPr>
          <w:iCs/>
        </w:rPr>
        <w:t xml:space="preserve">first-line </w:t>
      </w:r>
      <w:r w:rsidRPr="00E1521D">
        <w:rPr>
          <w:iCs/>
        </w:rPr>
        <w:t>treatment option</w:t>
      </w:r>
      <w:r w:rsidR="00D55938" w:rsidRPr="00E1521D">
        <w:rPr>
          <w:iCs/>
        </w:rPr>
        <w:t xml:space="preserve"> for thos</w:t>
      </w:r>
      <w:r w:rsidR="00953D31" w:rsidRPr="00E1521D">
        <w:rPr>
          <w:iCs/>
        </w:rPr>
        <w:t>e patients.</w:t>
      </w:r>
      <w:r w:rsidR="00ED7D5D" w:rsidRPr="00E1521D">
        <w:rPr>
          <w:iCs/>
        </w:rPr>
        <w:t xml:space="preserve"> </w:t>
      </w:r>
      <w:r w:rsidR="00752406" w:rsidRPr="00E1521D">
        <w:rPr>
          <w:iCs/>
        </w:rPr>
        <w:t xml:space="preserve">That is, polatuzumab vedotin in the Pola+R-CHP regimen would replace vincristine in the R-CHOP-21 regimen (both polatuzumab vedotin and vincristine are microtubule </w:t>
      </w:r>
      <w:r w:rsidR="00752406" w:rsidRPr="00E1521D">
        <w:rPr>
          <w:iCs/>
        </w:rPr>
        <w:lastRenderedPageBreak/>
        <w:t>inhibitors with similar toxicities).</w:t>
      </w:r>
      <w:r w:rsidR="00245D75" w:rsidRPr="00E1521D">
        <w:rPr>
          <w:iCs/>
        </w:rPr>
        <w:t xml:space="preserve"> The treatment algorithm presented in the submission and the focus on IPI in determining treatment choice appeared to align more closely with the European Society for Medical Oncology (ESMO) clinical practice guidelines</w:t>
      </w:r>
      <w:r w:rsidR="00245D75" w:rsidRPr="002447D3">
        <w:rPr>
          <w:iCs/>
          <w:vertAlign w:val="superscript"/>
        </w:rPr>
        <w:footnoteReference w:id="2"/>
      </w:r>
      <w:r w:rsidR="00245D75" w:rsidRPr="002447D3">
        <w:rPr>
          <w:iCs/>
          <w:vertAlign w:val="superscript"/>
        </w:rPr>
        <w:t xml:space="preserve"> </w:t>
      </w:r>
      <w:r w:rsidR="00245D75" w:rsidRPr="00E1521D">
        <w:rPr>
          <w:iCs/>
        </w:rPr>
        <w:t xml:space="preserve">than other guidelines, but there was a preference for 6 cycles of R-CHOP-21 in most patients across all guidelines including the Australasian guidelines. </w:t>
      </w:r>
      <w:r w:rsidR="009D0808" w:rsidRPr="00E1521D">
        <w:rPr>
          <w:iCs/>
        </w:rPr>
        <w:t>It was also unclear whether Pola+R-CHP would</w:t>
      </w:r>
      <w:r w:rsidR="00651A7E" w:rsidRPr="00E1521D">
        <w:rPr>
          <w:iCs/>
        </w:rPr>
        <w:t xml:space="preserve"> replace R-mini-CHOP given such patients require a reduced-dose regimen.</w:t>
      </w:r>
    </w:p>
    <w:p w14:paraId="7F2BDC62" w14:textId="013EE23E" w:rsidR="00752406" w:rsidRPr="00E1521D" w:rsidRDefault="00752406" w:rsidP="00E1521D">
      <w:pPr>
        <w:pStyle w:val="3-BodyText"/>
        <w:ind w:left="720"/>
        <w:rPr>
          <w:iCs/>
        </w:rPr>
      </w:pPr>
      <w:r w:rsidRPr="00E1521D">
        <w:rPr>
          <w:iCs/>
        </w:rPr>
        <w:t>Polatuzumab vedotin is a CD79b-targeted antibody-drug conjugate that preferentially delivers a potent anti-mitotic agent (monomethyl auristatin E, MMAE) to B-cells, which results in the killing of malignant B cells. For previously untreated patients, the recommended dose in the draft product information (PI) is polatuzumab vedotin 1.8</w:t>
      </w:r>
      <w:r w:rsidR="008131EB">
        <w:rPr>
          <w:iCs/>
        </w:rPr>
        <w:t> </w:t>
      </w:r>
      <w:r w:rsidRPr="00E1521D">
        <w:rPr>
          <w:iCs/>
        </w:rPr>
        <w:t>mg/kg given as an intravenous infusion (IV) every 21 days for 6 cycles in combination with rituximab, cyclophosphamide, doxorubicin and prednisone</w:t>
      </w:r>
      <w:r w:rsidR="00245D75" w:rsidRPr="00E1521D">
        <w:rPr>
          <w:iCs/>
        </w:rPr>
        <w:t xml:space="preserve"> (i.e. the Pola+R-CHP regimen), </w:t>
      </w:r>
      <w:r w:rsidRPr="00E1521D">
        <w:rPr>
          <w:iCs/>
        </w:rPr>
        <w:t>followed by 2 cycles of rituximab as monotherapy.</w:t>
      </w:r>
    </w:p>
    <w:p w14:paraId="206859B6" w14:textId="57554353" w:rsidR="003C0896" w:rsidRPr="003C0896" w:rsidRDefault="003C0896" w:rsidP="003C0896">
      <w:pPr>
        <w:pStyle w:val="3-BodyText"/>
        <w:numPr>
          <w:ilvl w:val="0"/>
          <w:numId w:val="0"/>
        </w:numPr>
        <w:ind w:left="720"/>
        <w:rPr>
          <w:i/>
          <w:iCs/>
        </w:rPr>
      </w:pPr>
      <w:r w:rsidRPr="003C0896">
        <w:rPr>
          <w:i/>
          <w:iCs/>
        </w:rPr>
        <w:t>For more detail on PBAC’s view, see section 7 PBAC outcome.</w:t>
      </w:r>
    </w:p>
    <w:p w14:paraId="6EEA4D19" w14:textId="77777777" w:rsidR="00F811DD" w:rsidRPr="005B024E" w:rsidRDefault="00F811DD" w:rsidP="00F811DD">
      <w:pPr>
        <w:pStyle w:val="2-SectionHeading"/>
        <w:numPr>
          <w:ilvl w:val="0"/>
          <w:numId w:val="1"/>
        </w:numPr>
      </w:pPr>
      <w:bookmarkStart w:id="17" w:name="_Toc113975476"/>
      <w:r w:rsidRPr="005B024E">
        <w:t>Comparator</w:t>
      </w:r>
      <w:bookmarkEnd w:id="17"/>
    </w:p>
    <w:p w14:paraId="5769468F" w14:textId="1F8A6350" w:rsidR="008F6E2F" w:rsidRPr="00E1521D" w:rsidRDefault="005566BC" w:rsidP="00E1521D">
      <w:pPr>
        <w:pStyle w:val="3-BodyText"/>
        <w:ind w:left="720"/>
        <w:rPr>
          <w:iCs/>
        </w:rPr>
      </w:pPr>
      <w:r w:rsidRPr="00E1521D">
        <w:rPr>
          <w:iCs/>
        </w:rPr>
        <w:t xml:space="preserve">The </w:t>
      </w:r>
      <w:r w:rsidR="00781928" w:rsidRPr="00E1521D">
        <w:rPr>
          <w:iCs/>
        </w:rPr>
        <w:t xml:space="preserve">ESC noted that the </w:t>
      </w:r>
      <w:r w:rsidRPr="00E1521D">
        <w:rPr>
          <w:iCs/>
        </w:rPr>
        <w:t>submission appropriately nominated R-CHOP</w:t>
      </w:r>
      <w:r w:rsidR="00153A52" w:rsidRPr="00E1521D">
        <w:rPr>
          <w:iCs/>
        </w:rPr>
        <w:t>-21</w:t>
      </w:r>
      <w:r w:rsidRPr="00E1521D">
        <w:rPr>
          <w:iCs/>
        </w:rPr>
        <w:t xml:space="preserve"> </w:t>
      </w:r>
      <w:r w:rsidR="00691491" w:rsidRPr="00E1521D">
        <w:rPr>
          <w:iCs/>
        </w:rPr>
        <w:t xml:space="preserve">(hereafter referred to as R-CHOP) </w:t>
      </w:r>
      <w:r w:rsidRPr="00E1521D">
        <w:rPr>
          <w:iCs/>
        </w:rPr>
        <w:t xml:space="preserve">as the main comparator. </w:t>
      </w:r>
      <w:r w:rsidR="00245D75" w:rsidRPr="00E1521D">
        <w:rPr>
          <w:iCs/>
        </w:rPr>
        <w:t>Data in the Australian Lymphoma and Related Diseases Registry found 66.8% (N = 273/410) of newly diagnosed patients with DLBCL received R-CHOP as first-line treatment in 2019, which was consistent with a clinician survey (N=30) finding that 97% of patients with newly diagnosed DLBCL in Australia received active treatment and R-CHOP was the most common (65%) first-line treatment.</w:t>
      </w:r>
      <w:r w:rsidR="008F6E2F" w:rsidRPr="00E1521D">
        <w:rPr>
          <w:iCs/>
        </w:rPr>
        <w:t xml:space="preserve"> The submission also </w:t>
      </w:r>
      <w:r w:rsidR="006176AA" w:rsidRPr="00E1521D">
        <w:rPr>
          <w:iCs/>
        </w:rPr>
        <w:t xml:space="preserve">stated that R-CHOP would be a reasonable clinical proxy for other first-line treatments given </w:t>
      </w:r>
      <w:r w:rsidR="008F6E2F" w:rsidRPr="00E1521D">
        <w:rPr>
          <w:iCs/>
        </w:rPr>
        <w:t>none of the other rituximab-based regimens ha</w:t>
      </w:r>
      <w:r w:rsidR="006176AA" w:rsidRPr="00E1521D">
        <w:rPr>
          <w:iCs/>
        </w:rPr>
        <w:t>d</w:t>
      </w:r>
      <w:r w:rsidR="008F6E2F" w:rsidRPr="00E1521D">
        <w:rPr>
          <w:iCs/>
        </w:rPr>
        <w:t xml:space="preserve"> demonstrated a meaningful benefit over R-CHOP</w:t>
      </w:r>
      <w:r w:rsidR="006176AA" w:rsidRPr="00E1521D">
        <w:rPr>
          <w:iCs/>
        </w:rPr>
        <w:t>.</w:t>
      </w:r>
    </w:p>
    <w:p w14:paraId="13107A57" w14:textId="1B9A0AA9" w:rsidR="00BF1C21" w:rsidRPr="00E1521D" w:rsidRDefault="008F6E2F" w:rsidP="00206B77">
      <w:pPr>
        <w:pStyle w:val="3-BodyText"/>
        <w:spacing w:after="80"/>
        <w:ind w:left="720"/>
        <w:rPr>
          <w:iCs/>
        </w:rPr>
      </w:pPr>
      <w:r w:rsidRPr="00E1521D">
        <w:rPr>
          <w:iCs/>
        </w:rPr>
        <w:t xml:space="preserve">Patients enrolled in the key clinical </w:t>
      </w:r>
      <w:r w:rsidR="00322BAE" w:rsidRPr="00E1521D">
        <w:rPr>
          <w:iCs/>
        </w:rPr>
        <w:t>trial</w:t>
      </w:r>
      <w:r w:rsidRPr="00E1521D">
        <w:rPr>
          <w:iCs/>
        </w:rPr>
        <w:t xml:space="preserve"> in the submission were randomi</w:t>
      </w:r>
      <w:r w:rsidR="00FE309C" w:rsidRPr="00E1521D">
        <w:rPr>
          <w:iCs/>
        </w:rPr>
        <w:t>s</w:t>
      </w:r>
      <w:r w:rsidRPr="00E1521D">
        <w:rPr>
          <w:iCs/>
        </w:rPr>
        <w:t xml:space="preserve">ed to either 6 cycles of Pola+R-CHP followed by 2 cycles of rituximab monotherapy or 6 cycles of R-CHOP followed by 2 cycles of rituximab monotherapy. </w:t>
      </w:r>
      <w:r w:rsidR="003F70EA" w:rsidRPr="00E1521D">
        <w:rPr>
          <w:iCs/>
        </w:rPr>
        <w:t>Based on the current Australasian guidelines, i</w:t>
      </w:r>
      <w:r w:rsidRPr="00E1521D">
        <w:rPr>
          <w:iCs/>
        </w:rPr>
        <w:t xml:space="preserve">t was unclear whether patients in Australia </w:t>
      </w:r>
      <w:r w:rsidR="00D34326" w:rsidRPr="00E1521D">
        <w:rPr>
          <w:iCs/>
        </w:rPr>
        <w:t xml:space="preserve">would </w:t>
      </w:r>
      <w:r w:rsidRPr="00E1521D">
        <w:rPr>
          <w:iCs/>
        </w:rPr>
        <w:t xml:space="preserve">receive 2 cycles of rituximab monotherapy post 6 cycles of R-CHOP. </w:t>
      </w:r>
      <w:r w:rsidR="00322BAE" w:rsidRPr="00E1521D">
        <w:rPr>
          <w:iCs/>
        </w:rPr>
        <w:t>The</w:t>
      </w:r>
      <w:r w:rsidR="00BF1C21" w:rsidRPr="00E1521D">
        <w:rPr>
          <w:iCs/>
        </w:rPr>
        <w:t xml:space="preserve"> 8 cycles of rituximab </w:t>
      </w:r>
      <w:r w:rsidR="00D34326" w:rsidRPr="00E1521D">
        <w:rPr>
          <w:iCs/>
        </w:rPr>
        <w:t>(</w:t>
      </w:r>
      <w:r w:rsidR="003F70EA" w:rsidRPr="00E1521D">
        <w:rPr>
          <w:iCs/>
        </w:rPr>
        <w:t xml:space="preserve">in the </w:t>
      </w:r>
      <w:r w:rsidR="00D34326" w:rsidRPr="00E1521D">
        <w:rPr>
          <w:iCs/>
        </w:rPr>
        <w:t xml:space="preserve">key clinical </w:t>
      </w:r>
      <w:r w:rsidR="003F70EA" w:rsidRPr="00E1521D">
        <w:rPr>
          <w:iCs/>
        </w:rPr>
        <w:t>trial</w:t>
      </w:r>
      <w:r w:rsidR="00D34326" w:rsidRPr="00E1521D">
        <w:rPr>
          <w:iCs/>
        </w:rPr>
        <w:t>)</w:t>
      </w:r>
      <w:r w:rsidR="003F70EA" w:rsidRPr="00E1521D">
        <w:rPr>
          <w:iCs/>
        </w:rPr>
        <w:t xml:space="preserve"> </w:t>
      </w:r>
      <w:r w:rsidR="00BF1C21" w:rsidRPr="00E1521D">
        <w:rPr>
          <w:iCs/>
        </w:rPr>
        <w:t xml:space="preserve">appeared to be based on the ESMO clinical practice guidelines (2015) and would be permitted on PBS, </w:t>
      </w:r>
      <w:r w:rsidR="00322BAE" w:rsidRPr="00E1521D">
        <w:rPr>
          <w:iCs/>
        </w:rPr>
        <w:t xml:space="preserve">but </w:t>
      </w:r>
      <w:r w:rsidR="00BF1C21" w:rsidRPr="00E1521D">
        <w:rPr>
          <w:iCs/>
        </w:rPr>
        <w:t>more recent evidence from PETAL</w:t>
      </w:r>
      <w:r w:rsidR="00651A7E" w:rsidRPr="002447D3">
        <w:rPr>
          <w:iCs/>
          <w:vertAlign w:val="superscript"/>
        </w:rPr>
        <w:footnoteReference w:id="3"/>
      </w:r>
      <w:r w:rsidR="0038284B">
        <w:rPr>
          <w:iCs/>
        </w:rPr>
        <w:t xml:space="preserve"> </w:t>
      </w:r>
      <w:r w:rsidR="00BF1C21" w:rsidRPr="00E1521D">
        <w:rPr>
          <w:iCs/>
        </w:rPr>
        <w:t>suggest no benefit in survival outcomes in CD20 positive lymphoma patients who achieved a negative interim PET scan (by cycle 2).</w:t>
      </w:r>
      <w:r w:rsidR="00B64773" w:rsidRPr="00E1521D">
        <w:rPr>
          <w:iCs/>
        </w:rPr>
        <w:t xml:space="preserve"> </w:t>
      </w:r>
    </w:p>
    <w:p w14:paraId="45D57439" w14:textId="77777777" w:rsidR="003C0896" w:rsidRPr="003C0896" w:rsidRDefault="003C0896" w:rsidP="003C0896">
      <w:pPr>
        <w:pStyle w:val="3-BodyText"/>
        <w:numPr>
          <w:ilvl w:val="0"/>
          <w:numId w:val="0"/>
        </w:numPr>
        <w:ind w:left="720"/>
        <w:rPr>
          <w:i/>
          <w:iCs/>
        </w:rPr>
      </w:pPr>
      <w:r w:rsidRPr="003C0896">
        <w:rPr>
          <w:i/>
          <w:iCs/>
        </w:rPr>
        <w:t>For more detail on PBAC’s view, see section 7 PBAC outcome.</w:t>
      </w:r>
    </w:p>
    <w:p w14:paraId="169ABD48" w14:textId="77777777" w:rsidR="00F811DD" w:rsidRPr="005B024E" w:rsidRDefault="00F811DD" w:rsidP="00F811DD">
      <w:pPr>
        <w:pStyle w:val="2-SectionHeading"/>
        <w:numPr>
          <w:ilvl w:val="0"/>
          <w:numId w:val="1"/>
        </w:numPr>
      </w:pPr>
      <w:bookmarkStart w:id="18" w:name="_Toc113975477"/>
      <w:bookmarkStart w:id="19" w:name="_Toc22897640"/>
      <w:r w:rsidRPr="005B024E">
        <w:lastRenderedPageBreak/>
        <w:t>Consideration of the evidence</w:t>
      </w:r>
      <w:bookmarkEnd w:id="18"/>
    </w:p>
    <w:p w14:paraId="24FB5557" w14:textId="77777777" w:rsidR="00FF7E35" w:rsidRPr="007E1B49" w:rsidRDefault="00FF7E35" w:rsidP="003F4513">
      <w:pPr>
        <w:pStyle w:val="4-SubsectionHeading"/>
      </w:pPr>
      <w:bookmarkStart w:id="20" w:name="_Toc113975478"/>
      <w:r w:rsidRPr="007E1B49">
        <w:t>Sponsor hearing</w:t>
      </w:r>
    </w:p>
    <w:p w14:paraId="5905B6A8" w14:textId="7F97C87D" w:rsidR="00FF7E35" w:rsidRPr="00E1521D" w:rsidRDefault="00FF7E35" w:rsidP="00E1521D">
      <w:pPr>
        <w:pStyle w:val="3-BodyText"/>
        <w:ind w:left="720"/>
        <w:rPr>
          <w:iCs/>
        </w:rPr>
      </w:pPr>
      <w:bookmarkStart w:id="21" w:name="_Hlk76382586"/>
      <w:r w:rsidRPr="00E1521D">
        <w:rPr>
          <w:iCs/>
        </w:rPr>
        <w:t xml:space="preserve">The sponsor requested a hearing for this item. The clinician </w:t>
      </w:r>
      <w:r w:rsidR="003F4513" w:rsidRPr="00E1521D">
        <w:rPr>
          <w:iCs/>
        </w:rPr>
        <w:t xml:space="preserve">described the unmet need for new treatments in patients DLBCL. The clinician also described the IPI score and stated that </w:t>
      </w:r>
      <w:r w:rsidR="009A7EC5" w:rsidRPr="00E1521D">
        <w:rPr>
          <w:iCs/>
        </w:rPr>
        <w:t xml:space="preserve">it was the most reliable method to identify </w:t>
      </w:r>
      <w:r w:rsidR="003F4513" w:rsidRPr="00E1521D">
        <w:rPr>
          <w:iCs/>
        </w:rPr>
        <w:t xml:space="preserve">patients </w:t>
      </w:r>
      <w:r w:rsidR="009A7EC5" w:rsidRPr="00E1521D">
        <w:rPr>
          <w:iCs/>
        </w:rPr>
        <w:t>with</w:t>
      </w:r>
      <w:r w:rsidR="003F4513" w:rsidRPr="00E1521D">
        <w:rPr>
          <w:iCs/>
        </w:rPr>
        <w:t xml:space="preserve"> high-risk disease (i.e. an IPI score of 3-5)</w:t>
      </w:r>
      <w:r w:rsidR="009A7EC5" w:rsidRPr="00E1521D">
        <w:rPr>
          <w:iCs/>
        </w:rPr>
        <w:t xml:space="preserve"> who </w:t>
      </w:r>
      <w:r w:rsidR="003F4513" w:rsidRPr="00E1521D">
        <w:rPr>
          <w:iCs/>
        </w:rPr>
        <w:t>would most likely benefit from treatment with Pola</w:t>
      </w:r>
      <w:r w:rsidR="00BC0F9C">
        <w:rPr>
          <w:iCs/>
        </w:rPr>
        <w:t>+</w:t>
      </w:r>
      <w:r w:rsidR="003F4513" w:rsidRPr="00E1521D">
        <w:rPr>
          <w:iCs/>
        </w:rPr>
        <w:t xml:space="preserve">R-CHP. The clinician also </w:t>
      </w:r>
      <w:r w:rsidR="007E1B49" w:rsidRPr="00E1521D">
        <w:rPr>
          <w:iCs/>
        </w:rPr>
        <w:t>a</w:t>
      </w:r>
      <w:r w:rsidRPr="00E1521D">
        <w:rPr>
          <w:iCs/>
        </w:rPr>
        <w:t>ddressed other matters in response to the Committee’s questions</w:t>
      </w:r>
      <w:r w:rsidR="003F4513" w:rsidRPr="00E1521D">
        <w:rPr>
          <w:iCs/>
        </w:rPr>
        <w:t xml:space="preserve"> relating to the POLARIX trial</w:t>
      </w:r>
      <w:r w:rsidRPr="00E1521D">
        <w:rPr>
          <w:iCs/>
        </w:rPr>
        <w:t>.</w:t>
      </w:r>
      <w:r w:rsidR="007E1B49" w:rsidRPr="00E1521D">
        <w:rPr>
          <w:iCs/>
        </w:rPr>
        <w:t xml:space="preserve"> </w:t>
      </w:r>
      <w:r w:rsidRPr="00E1521D">
        <w:rPr>
          <w:iCs/>
        </w:rPr>
        <w:t>The PBAC considered that the hearing was informative as it provided a clinical perspective on treating this disease.</w:t>
      </w:r>
    </w:p>
    <w:bookmarkEnd w:id="21"/>
    <w:p w14:paraId="77DF7C84" w14:textId="77777777" w:rsidR="00FF7E35" w:rsidRPr="007E1B49" w:rsidRDefault="00FF7E35" w:rsidP="003F4513">
      <w:pPr>
        <w:pStyle w:val="4-SubsectionHeading"/>
      </w:pPr>
      <w:r w:rsidRPr="007E1B49">
        <w:t>Consumer comments</w:t>
      </w:r>
    </w:p>
    <w:p w14:paraId="5374D3E2" w14:textId="7CF34E1B" w:rsidR="00FF7E35" w:rsidRPr="00E1521D" w:rsidRDefault="00FF7E35" w:rsidP="00E1521D">
      <w:pPr>
        <w:pStyle w:val="3-BodyText"/>
        <w:ind w:left="720"/>
        <w:rPr>
          <w:iCs/>
        </w:rPr>
      </w:pPr>
      <w:r w:rsidRPr="00E1521D">
        <w:rPr>
          <w:iCs/>
        </w:rPr>
        <w:t xml:space="preserve">The PBAC noted and welcomed the input from organisations (3) via the Consumer Comments facility on the PBS website. </w:t>
      </w:r>
      <w:r w:rsidR="007E1B49" w:rsidRPr="00E1521D">
        <w:rPr>
          <w:iCs/>
        </w:rPr>
        <w:t xml:space="preserve">The PBAC noted the advice received from Lymphoma Australia, the Leukaemia Foundation and Rare Cancers Australia. The organisations described the high clinical need for new and effective therapies for the treatment of DLBCL to allow clinician and patient choice. </w:t>
      </w:r>
      <w:r w:rsidRPr="00E1521D">
        <w:rPr>
          <w:iCs/>
        </w:rPr>
        <w:t>The PBAC noted that th</w:t>
      </w:r>
      <w:r w:rsidR="007E1B49" w:rsidRPr="00E1521D">
        <w:rPr>
          <w:iCs/>
        </w:rPr>
        <w:t>e</w:t>
      </w:r>
      <w:r w:rsidRPr="00E1521D">
        <w:rPr>
          <w:iCs/>
        </w:rPr>
        <w:t xml:space="preserve"> advice was supportive of the evidence provided in the submission.</w:t>
      </w:r>
    </w:p>
    <w:p w14:paraId="495C3E46" w14:textId="617EAB0C" w:rsidR="00F811DD" w:rsidRPr="005B024E" w:rsidRDefault="00F811DD" w:rsidP="00F811DD">
      <w:pPr>
        <w:pStyle w:val="4-SubsectionHeading"/>
      </w:pPr>
      <w:r w:rsidRPr="007E1B49">
        <w:t xml:space="preserve">Clinical </w:t>
      </w:r>
      <w:bookmarkEnd w:id="19"/>
      <w:r w:rsidR="00F617E2" w:rsidRPr="007E1B49">
        <w:t>trials</w:t>
      </w:r>
      <w:bookmarkEnd w:id="20"/>
    </w:p>
    <w:p w14:paraId="753A6775" w14:textId="3FF6C7D6" w:rsidR="00CF5EA3" w:rsidRPr="00E1521D" w:rsidRDefault="00F617E2" w:rsidP="00E1521D">
      <w:pPr>
        <w:pStyle w:val="3-BodyText"/>
        <w:ind w:left="720"/>
        <w:rPr>
          <w:iCs/>
        </w:rPr>
      </w:pPr>
      <w:r w:rsidRPr="00E1521D">
        <w:rPr>
          <w:iCs/>
        </w:rPr>
        <w:t>The submission</w:t>
      </w:r>
      <w:r w:rsidR="00CF5EA3" w:rsidRPr="00E1521D">
        <w:rPr>
          <w:iCs/>
        </w:rPr>
        <w:t xml:space="preserve"> was based on one head-to-head trial</w:t>
      </w:r>
      <w:r w:rsidR="00027A30" w:rsidRPr="00E1521D">
        <w:rPr>
          <w:iCs/>
        </w:rPr>
        <w:t>, POLARIX,</w:t>
      </w:r>
      <w:r w:rsidR="00CF5EA3" w:rsidRPr="00E1521D">
        <w:rPr>
          <w:iCs/>
        </w:rPr>
        <w:t xml:space="preserve"> comparing Pola+R-CHP versus R-CHOP in previously untreated patients with an IPI score of 2-5. To align with the proposed PBS population, the submission presented clinical evidence for the subgroup of patients with IPI 3-5 as well as the ITT population.</w:t>
      </w:r>
    </w:p>
    <w:p w14:paraId="269A3D85" w14:textId="7AD84880" w:rsidR="00CF5EA3" w:rsidRPr="00E1521D" w:rsidRDefault="00CF5EA3" w:rsidP="00E1521D">
      <w:pPr>
        <w:pStyle w:val="3-BodyText"/>
        <w:ind w:left="720"/>
        <w:rPr>
          <w:iCs/>
        </w:rPr>
      </w:pPr>
      <w:r w:rsidRPr="00E1521D">
        <w:rPr>
          <w:iCs/>
        </w:rPr>
        <w:t>Details of the POLARIX trial presented in the submission are provided in</w:t>
      </w:r>
      <w:r w:rsidR="00B13C08" w:rsidRPr="00E1521D">
        <w:rPr>
          <w:iCs/>
        </w:rPr>
        <w:t xml:space="preserve"> </w:t>
      </w:r>
      <w:r w:rsidR="00B13C08" w:rsidRPr="00E1521D">
        <w:rPr>
          <w:iCs/>
        </w:rPr>
        <w:fldChar w:fldCharType="begin"/>
      </w:r>
      <w:r w:rsidR="00B13C08" w:rsidRPr="00E1521D">
        <w:rPr>
          <w:iCs/>
        </w:rPr>
        <w:instrText xml:space="preserve"> REF _Ref111736083 </w:instrText>
      </w:r>
      <w:r w:rsidR="00E1521D">
        <w:rPr>
          <w:iCs/>
        </w:rPr>
        <w:instrText xml:space="preserve"> \* MERGEFORMAT </w:instrText>
      </w:r>
      <w:r w:rsidR="00B13C08" w:rsidRPr="00E1521D">
        <w:rPr>
          <w:iCs/>
        </w:rPr>
        <w:fldChar w:fldCharType="separate"/>
      </w:r>
      <w:r w:rsidR="007F2580" w:rsidRPr="007F2580">
        <w:rPr>
          <w:iCs/>
        </w:rPr>
        <w:t>Table 2</w:t>
      </w:r>
      <w:r w:rsidR="00B13C08" w:rsidRPr="00E1521D">
        <w:rPr>
          <w:iCs/>
        </w:rPr>
        <w:fldChar w:fldCharType="end"/>
      </w:r>
      <w:r w:rsidR="00710CE0" w:rsidRPr="00E1521D">
        <w:rPr>
          <w:iCs/>
        </w:rPr>
        <w:t>.</w:t>
      </w:r>
    </w:p>
    <w:p w14:paraId="0339F4CE" w14:textId="73FAD186" w:rsidR="00F811DD" w:rsidRPr="005B024E" w:rsidRDefault="00F811DD" w:rsidP="00F811DD">
      <w:pPr>
        <w:pStyle w:val="TableFigureHeading"/>
        <w:rPr>
          <w:rStyle w:val="CommentReference"/>
          <w:b/>
          <w:szCs w:val="24"/>
        </w:rPr>
      </w:pPr>
      <w:bookmarkStart w:id="22" w:name="_Ref104803956"/>
      <w:bookmarkStart w:id="23" w:name="_Ref111736083"/>
      <w:r w:rsidRPr="005B024E">
        <w:t xml:space="preserve">Table </w:t>
      </w:r>
      <w:bookmarkEnd w:id="22"/>
      <w:r w:rsidR="00176F8E" w:rsidRPr="005B024E">
        <w:fldChar w:fldCharType="begin"/>
      </w:r>
      <w:r w:rsidR="00176F8E" w:rsidRPr="005B024E">
        <w:instrText xml:space="preserve"> SEQ Table \* ARABIC </w:instrText>
      </w:r>
      <w:r w:rsidR="00176F8E" w:rsidRPr="005B024E">
        <w:fldChar w:fldCharType="separate"/>
      </w:r>
      <w:r w:rsidR="007F2580">
        <w:rPr>
          <w:noProof/>
        </w:rPr>
        <w:t>2</w:t>
      </w:r>
      <w:r w:rsidR="00176F8E" w:rsidRPr="005B024E">
        <w:rPr>
          <w:noProof/>
        </w:rPr>
        <w:fldChar w:fldCharType="end"/>
      </w:r>
      <w:bookmarkEnd w:id="23"/>
      <w:r w:rsidRPr="005B024E">
        <w:t>:</w:t>
      </w:r>
      <w:r w:rsidRPr="005B024E">
        <w:rPr>
          <w:rStyle w:val="CommentReference"/>
          <w:b/>
          <w:szCs w:val="24"/>
        </w:rPr>
        <w:t xml:space="preserve"> Trials</w:t>
      </w:r>
      <w:r w:rsidR="00F617E2" w:rsidRPr="005B024E">
        <w:rPr>
          <w:rStyle w:val="CommentReference"/>
          <w:b/>
          <w:szCs w:val="24"/>
        </w:rPr>
        <w:t xml:space="preserve"> </w:t>
      </w:r>
      <w:r w:rsidRPr="005B024E">
        <w:rPr>
          <w:rStyle w:val="CommentReference"/>
          <w:b/>
          <w:szCs w:val="24"/>
        </w:rPr>
        <w:t>and associated reports presented in the submission</w:t>
      </w:r>
    </w:p>
    <w:tbl>
      <w:tblPr>
        <w:tblW w:w="5000" w:type="pct"/>
        <w:tblCellMar>
          <w:left w:w="28" w:type="dxa"/>
          <w:right w:w="28" w:type="dxa"/>
        </w:tblCellMar>
        <w:tblLook w:val="01E0" w:firstRow="1" w:lastRow="1" w:firstColumn="1" w:lastColumn="1" w:noHBand="0" w:noVBand="0"/>
      </w:tblPr>
      <w:tblGrid>
        <w:gridCol w:w="1271"/>
        <w:gridCol w:w="5670"/>
        <w:gridCol w:w="2076"/>
      </w:tblGrid>
      <w:tr w:rsidR="00F617E2" w:rsidRPr="005B024E" w14:paraId="3B063E7E" w14:textId="77777777" w:rsidTr="00AF7323">
        <w:trPr>
          <w:tblHeader/>
        </w:trPr>
        <w:tc>
          <w:tcPr>
            <w:tcW w:w="705" w:type="pct"/>
            <w:tcBorders>
              <w:top w:val="single" w:sz="4" w:space="0" w:color="auto"/>
              <w:left w:val="single" w:sz="4" w:space="0" w:color="auto"/>
              <w:bottom w:val="single" w:sz="4" w:space="0" w:color="auto"/>
              <w:right w:val="single" w:sz="4" w:space="0" w:color="auto"/>
            </w:tcBorders>
            <w:vAlign w:val="center"/>
          </w:tcPr>
          <w:p w14:paraId="3149C578" w14:textId="77777777" w:rsidR="00F617E2" w:rsidRPr="005B024E" w:rsidRDefault="00F617E2" w:rsidP="00CA4AE0">
            <w:pPr>
              <w:pStyle w:val="In-tableHeading"/>
              <w:rPr>
                <w:lang w:val="en-AU"/>
              </w:rPr>
            </w:pPr>
            <w:r w:rsidRPr="005B024E">
              <w:rPr>
                <w:lang w:val="en-AU"/>
              </w:rPr>
              <w:t>Trial ID</w:t>
            </w:r>
          </w:p>
        </w:tc>
        <w:tc>
          <w:tcPr>
            <w:tcW w:w="3144" w:type="pct"/>
            <w:tcBorders>
              <w:top w:val="single" w:sz="4" w:space="0" w:color="auto"/>
              <w:left w:val="single" w:sz="4" w:space="0" w:color="auto"/>
              <w:bottom w:val="single" w:sz="4" w:space="0" w:color="auto"/>
              <w:right w:val="single" w:sz="4" w:space="0" w:color="auto"/>
            </w:tcBorders>
            <w:vAlign w:val="center"/>
          </w:tcPr>
          <w:p w14:paraId="762962AF" w14:textId="77777777" w:rsidR="00F617E2" w:rsidRPr="005B024E" w:rsidRDefault="00F617E2" w:rsidP="00CA4AE0">
            <w:pPr>
              <w:pStyle w:val="In-tableHeading"/>
              <w:rPr>
                <w:lang w:val="en-AU"/>
              </w:rPr>
            </w:pPr>
            <w:r w:rsidRPr="005B024E">
              <w:rPr>
                <w:lang w:val="en-AU"/>
              </w:rPr>
              <w:t>Protocol title/ Publication title</w:t>
            </w:r>
          </w:p>
        </w:tc>
        <w:tc>
          <w:tcPr>
            <w:tcW w:w="1151" w:type="pct"/>
            <w:tcBorders>
              <w:top w:val="single" w:sz="4" w:space="0" w:color="auto"/>
              <w:left w:val="single" w:sz="4" w:space="0" w:color="auto"/>
              <w:bottom w:val="single" w:sz="4" w:space="0" w:color="auto"/>
              <w:right w:val="single" w:sz="4" w:space="0" w:color="auto"/>
            </w:tcBorders>
            <w:vAlign w:val="center"/>
          </w:tcPr>
          <w:p w14:paraId="2CBBC877" w14:textId="77777777" w:rsidR="00F617E2" w:rsidRPr="005B024E" w:rsidRDefault="00F617E2" w:rsidP="00CA4AE0">
            <w:pPr>
              <w:pStyle w:val="In-tableHeading"/>
              <w:rPr>
                <w:lang w:val="en-AU"/>
              </w:rPr>
            </w:pPr>
            <w:r w:rsidRPr="005B024E">
              <w:rPr>
                <w:lang w:val="en-AU"/>
              </w:rPr>
              <w:t>Publication citation</w:t>
            </w:r>
          </w:p>
        </w:tc>
      </w:tr>
      <w:tr w:rsidR="00F617E2" w:rsidRPr="005B024E" w14:paraId="15A87940" w14:textId="77777777" w:rsidTr="00AF7323">
        <w:trPr>
          <w:trHeight w:val="737"/>
        </w:trPr>
        <w:tc>
          <w:tcPr>
            <w:tcW w:w="705" w:type="pct"/>
            <w:vMerge w:val="restart"/>
            <w:tcBorders>
              <w:top w:val="single" w:sz="4" w:space="0" w:color="auto"/>
              <w:left w:val="single" w:sz="4" w:space="0" w:color="auto"/>
              <w:right w:val="single" w:sz="4" w:space="0" w:color="auto"/>
            </w:tcBorders>
            <w:vAlign w:val="center"/>
          </w:tcPr>
          <w:p w14:paraId="799849A0" w14:textId="77777777" w:rsidR="00F617E2" w:rsidRPr="005B024E" w:rsidRDefault="00F617E2" w:rsidP="00CA4AE0">
            <w:pPr>
              <w:pStyle w:val="TableText0"/>
            </w:pPr>
            <w:r w:rsidRPr="005B024E">
              <w:t>GO39942 (POLARIX)</w:t>
            </w:r>
          </w:p>
          <w:p w14:paraId="624D87DE" w14:textId="77777777" w:rsidR="00F617E2" w:rsidRPr="005B024E" w:rsidRDefault="00F617E2" w:rsidP="00CA4AE0">
            <w:pPr>
              <w:pStyle w:val="TableText0"/>
            </w:pPr>
            <w:r w:rsidRPr="005B024E">
              <w:t>NCT03274492</w:t>
            </w:r>
          </w:p>
        </w:tc>
        <w:tc>
          <w:tcPr>
            <w:tcW w:w="3144" w:type="pct"/>
            <w:tcBorders>
              <w:top w:val="single" w:sz="4" w:space="0" w:color="auto"/>
              <w:left w:val="single" w:sz="4" w:space="0" w:color="auto"/>
              <w:right w:val="single" w:sz="4" w:space="0" w:color="auto"/>
            </w:tcBorders>
            <w:vAlign w:val="center"/>
          </w:tcPr>
          <w:p w14:paraId="53623C85" w14:textId="1D0854D3" w:rsidR="00F617E2" w:rsidRPr="005B024E" w:rsidRDefault="00F617E2" w:rsidP="00CA4AE0">
            <w:pPr>
              <w:pStyle w:val="TableText0"/>
              <w:rPr>
                <w:szCs w:val="18"/>
              </w:rPr>
            </w:pPr>
            <w:r w:rsidRPr="005B024E">
              <w:rPr>
                <w:szCs w:val="18"/>
              </w:rPr>
              <w:t>Study GO39942 (POLARIX) –A Phase III, Multicenter, Randomized, Double-Blind, Placebo-Controlled Trial Comparing the Efficacy and Safety of Polatuzumab Vedotin in Combination with Rituximab and CHP (R-CHP) versus Rituximab and CHOP (R-CHOP) in Previously Untreated Patients with Diffuse Large B-Cell Lymphoma. Data-cut off 28 June 2021</w:t>
            </w:r>
          </w:p>
        </w:tc>
        <w:tc>
          <w:tcPr>
            <w:tcW w:w="1151" w:type="pct"/>
            <w:tcBorders>
              <w:top w:val="single" w:sz="4" w:space="0" w:color="auto"/>
              <w:left w:val="single" w:sz="4" w:space="0" w:color="auto"/>
              <w:right w:val="single" w:sz="4" w:space="0" w:color="auto"/>
            </w:tcBorders>
            <w:vAlign w:val="center"/>
          </w:tcPr>
          <w:p w14:paraId="7AB8913B" w14:textId="77777777" w:rsidR="00F617E2" w:rsidRPr="005B024E" w:rsidRDefault="00F617E2" w:rsidP="00CA4AE0">
            <w:pPr>
              <w:pStyle w:val="TableText0"/>
            </w:pPr>
            <w:r w:rsidRPr="005B024E">
              <w:t>CSR October 2021</w:t>
            </w:r>
          </w:p>
        </w:tc>
      </w:tr>
      <w:tr w:rsidR="00AF7323" w:rsidRPr="005B024E" w14:paraId="1C094527" w14:textId="77777777" w:rsidTr="00AF7323">
        <w:trPr>
          <w:trHeight w:val="309"/>
        </w:trPr>
        <w:tc>
          <w:tcPr>
            <w:tcW w:w="705" w:type="pct"/>
            <w:vMerge/>
            <w:tcBorders>
              <w:left w:val="single" w:sz="4" w:space="0" w:color="auto"/>
              <w:bottom w:val="single" w:sz="4" w:space="0" w:color="auto"/>
              <w:right w:val="single" w:sz="4" w:space="0" w:color="auto"/>
            </w:tcBorders>
            <w:vAlign w:val="center"/>
          </w:tcPr>
          <w:p w14:paraId="7B40469E" w14:textId="77777777" w:rsidR="00AF7323" w:rsidRPr="005B024E" w:rsidRDefault="00AF7323" w:rsidP="00CA4AE0">
            <w:pPr>
              <w:pStyle w:val="TableText0"/>
            </w:pPr>
          </w:p>
        </w:tc>
        <w:tc>
          <w:tcPr>
            <w:tcW w:w="3144" w:type="pct"/>
            <w:tcBorders>
              <w:left w:val="single" w:sz="4" w:space="0" w:color="auto"/>
              <w:bottom w:val="single" w:sz="4" w:space="0" w:color="auto"/>
              <w:right w:val="single" w:sz="4" w:space="0" w:color="auto"/>
            </w:tcBorders>
            <w:vAlign w:val="center"/>
          </w:tcPr>
          <w:p w14:paraId="6BE20858" w14:textId="77777777" w:rsidR="00AF7323" w:rsidRPr="005B024E" w:rsidRDefault="00AF7323" w:rsidP="00CA4AE0">
            <w:pPr>
              <w:pStyle w:val="TableText0"/>
              <w:rPr>
                <w:szCs w:val="18"/>
              </w:rPr>
            </w:pPr>
            <w:r w:rsidRPr="005B024E">
              <w:rPr>
                <w:szCs w:val="18"/>
              </w:rPr>
              <w:t xml:space="preserve">Tilly, Morschhauser, Sehn </w:t>
            </w:r>
            <w:r w:rsidRPr="005B024E">
              <w:rPr>
                <w:i/>
                <w:szCs w:val="18"/>
              </w:rPr>
              <w:t xml:space="preserve">et al. </w:t>
            </w:r>
            <w:r w:rsidRPr="005B024E">
              <w:rPr>
                <w:szCs w:val="18"/>
              </w:rPr>
              <w:t>Polatuzumab vedotin in previously untreated diffuse large B-cell lymphoma</w:t>
            </w:r>
          </w:p>
        </w:tc>
        <w:tc>
          <w:tcPr>
            <w:tcW w:w="1151" w:type="pct"/>
            <w:tcBorders>
              <w:left w:val="single" w:sz="4" w:space="0" w:color="auto"/>
              <w:bottom w:val="single" w:sz="4" w:space="0" w:color="auto"/>
              <w:right w:val="single" w:sz="4" w:space="0" w:color="auto"/>
            </w:tcBorders>
            <w:vAlign w:val="center"/>
          </w:tcPr>
          <w:p w14:paraId="5DF85CB4" w14:textId="18A3E9B7" w:rsidR="00AF7323" w:rsidRPr="005B024E" w:rsidRDefault="00AF7323" w:rsidP="00AF7323">
            <w:pPr>
              <w:pStyle w:val="TableText0"/>
            </w:pPr>
            <w:r w:rsidRPr="005B024E">
              <w:t>New England Journal of Medicine 2022, 386(4):351-363.</w:t>
            </w:r>
          </w:p>
        </w:tc>
      </w:tr>
    </w:tbl>
    <w:p w14:paraId="1C96BC39" w14:textId="77777777" w:rsidR="00F617E2" w:rsidRPr="005B024E" w:rsidRDefault="00F617E2" w:rsidP="00F617E2">
      <w:pPr>
        <w:pStyle w:val="FooterTableFigure"/>
        <w:rPr>
          <w:sz w:val="20"/>
        </w:rPr>
      </w:pPr>
      <w:r w:rsidRPr="005B024E">
        <w:t xml:space="preserve">Source: Table 2.4, p 27 of the submission </w:t>
      </w:r>
    </w:p>
    <w:p w14:paraId="6BDAFF60" w14:textId="381E9AD4" w:rsidR="00F811DD" w:rsidRPr="00E1521D" w:rsidRDefault="00F811DD" w:rsidP="00E1521D">
      <w:pPr>
        <w:pStyle w:val="3-BodyText"/>
        <w:ind w:left="720"/>
        <w:rPr>
          <w:iCs/>
        </w:rPr>
      </w:pPr>
      <w:r w:rsidRPr="00E1521D">
        <w:rPr>
          <w:iCs/>
        </w:rPr>
        <w:t>The key features of the</w:t>
      </w:r>
      <w:r w:rsidR="00F617E2" w:rsidRPr="00E1521D">
        <w:rPr>
          <w:iCs/>
        </w:rPr>
        <w:t xml:space="preserve"> POLARIX</w:t>
      </w:r>
      <w:r w:rsidRPr="00E1521D">
        <w:rPr>
          <w:iCs/>
        </w:rPr>
        <w:t xml:space="preserve"> are summarised in</w:t>
      </w:r>
      <w:r w:rsidR="000D4D8A" w:rsidRPr="00E1521D">
        <w:rPr>
          <w:iCs/>
        </w:rPr>
        <w:t xml:space="preserve"> </w:t>
      </w:r>
      <w:r w:rsidR="00E621A2" w:rsidRPr="00E1521D">
        <w:rPr>
          <w:iCs/>
        </w:rPr>
        <w:fldChar w:fldCharType="begin"/>
      </w:r>
      <w:r w:rsidR="00E621A2" w:rsidRPr="00E1521D">
        <w:rPr>
          <w:iCs/>
        </w:rPr>
        <w:instrText xml:space="preserve"> REF _Ref111736109  \* MERGEFORMAT </w:instrText>
      </w:r>
      <w:r w:rsidR="00E621A2" w:rsidRPr="00E1521D">
        <w:rPr>
          <w:iCs/>
        </w:rPr>
        <w:fldChar w:fldCharType="separate"/>
      </w:r>
      <w:r w:rsidR="007F2580" w:rsidRPr="007F2580">
        <w:rPr>
          <w:iCs/>
        </w:rPr>
        <w:t>Table 3</w:t>
      </w:r>
      <w:r w:rsidR="00E621A2" w:rsidRPr="00E1521D">
        <w:rPr>
          <w:iCs/>
        </w:rPr>
        <w:fldChar w:fldCharType="end"/>
      </w:r>
      <w:r w:rsidRPr="00E1521D">
        <w:rPr>
          <w:iCs/>
        </w:rPr>
        <w:t>.</w:t>
      </w:r>
      <w:r w:rsidR="00710CE0" w:rsidRPr="00E1521D">
        <w:rPr>
          <w:iCs/>
        </w:rPr>
        <w:t xml:space="preserve"> </w:t>
      </w:r>
      <w:r w:rsidR="00F617E2" w:rsidRPr="00E1521D">
        <w:rPr>
          <w:iCs/>
        </w:rPr>
        <w:t>Patie</w:t>
      </w:r>
      <w:r w:rsidR="00AF7323" w:rsidRPr="00E1521D">
        <w:rPr>
          <w:iCs/>
        </w:rPr>
        <w:t>nts were randomised 1:1 to Pola</w:t>
      </w:r>
      <w:r w:rsidR="00F617E2" w:rsidRPr="00E1521D">
        <w:rPr>
          <w:iCs/>
        </w:rPr>
        <w:t xml:space="preserve">+R-CHP (6 </w:t>
      </w:r>
      <w:r w:rsidR="00AF7323" w:rsidRPr="00E1521D">
        <w:rPr>
          <w:iCs/>
        </w:rPr>
        <w:t>cycles followed by 2 cycles of rituximab monotherapy)</w:t>
      </w:r>
      <w:r w:rsidR="00F617E2" w:rsidRPr="00E1521D">
        <w:rPr>
          <w:iCs/>
        </w:rPr>
        <w:t xml:space="preserve"> or R-CHOP (</w:t>
      </w:r>
      <w:r w:rsidR="00AF7323" w:rsidRPr="00E1521D">
        <w:rPr>
          <w:iCs/>
        </w:rPr>
        <w:t>6 cycles followed by 2 cycles of rituximab monotherapy</w:t>
      </w:r>
      <w:r w:rsidR="00F617E2" w:rsidRPr="00E1521D">
        <w:rPr>
          <w:iCs/>
        </w:rPr>
        <w:t>). To balance potential prognostic factors, patients were stratified during randomisation by IPI score (IPI 2 versus IPI 3-5), bulky disease (present versus absent) and geographical region (Western Europe, United States, Canada &amp; Australia versus Asia versus other countries)</w:t>
      </w:r>
      <w:r w:rsidR="00AF7323" w:rsidRPr="00E1521D">
        <w:rPr>
          <w:iCs/>
        </w:rPr>
        <w:t>.</w:t>
      </w:r>
    </w:p>
    <w:p w14:paraId="1A9E3FA0" w14:textId="0133CC10" w:rsidR="00F617E2" w:rsidRPr="000B2FEE" w:rsidRDefault="00F811DD" w:rsidP="00F617E2">
      <w:pPr>
        <w:pStyle w:val="TableFigureHeading"/>
        <w:rPr>
          <w:rStyle w:val="CommentReference"/>
          <w:b/>
          <w:szCs w:val="24"/>
        </w:rPr>
      </w:pPr>
      <w:bookmarkStart w:id="24" w:name="_Ref104804098"/>
      <w:bookmarkStart w:id="25" w:name="_Ref111736109"/>
      <w:r w:rsidRPr="000B2FEE">
        <w:rPr>
          <w:rStyle w:val="CommentReference"/>
          <w:b/>
          <w:szCs w:val="24"/>
        </w:rPr>
        <w:lastRenderedPageBreak/>
        <w:t xml:space="preserve">Table </w:t>
      </w:r>
      <w:bookmarkEnd w:id="24"/>
      <w:r w:rsidR="00176F8E" w:rsidRPr="000B2FEE">
        <w:fldChar w:fldCharType="begin"/>
      </w:r>
      <w:r w:rsidR="00176F8E" w:rsidRPr="000B2FEE">
        <w:instrText xml:space="preserve"> SEQ Table \* ARABIC </w:instrText>
      </w:r>
      <w:r w:rsidR="00176F8E" w:rsidRPr="000B2FEE">
        <w:fldChar w:fldCharType="separate"/>
      </w:r>
      <w:r w:rsidR="007F2580">
        <w:rPr>
          <w:noProof/>
        </w:rPr>
        <w:t>3</w:t>
      </w:r>
      <w:r w:rsidR="00176F8E" w:rsidRPr="000B2FEE">
        <w:rPr>
          <w:noProof/>
        </w:rPr>
        <w:fldChar w:fldCharType="end"/>
      </w:r>
      <w:bookmarkEnd w:id="25"/>
      <w:r w:rsidRPr="000B2FEE">
        <w:rPr>
          <w:rStyle w:val="CommentReference"/>
          <w:b/>
          <w:szCs w:val="24"/>
        </w:rPr>
        <w:t xml:space="preserve">: </w:t>
      </w:r>
      <w:r w:rsidR="00F617E2" w:rsidRPr="000B2FEE">
        <w:rPr>
          <w:rStyle w:val="CommentReference"/>
          <w:b/>
          <w:szCs w:val="24"/>
        </w:rPr>
        <w:t>Key features of POLARIX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95"/>
        <w:gridCol w:w="566"/>
        <w:gridCol w:w="1225"/>
        <w:gridCol w:w="950"/>
        <w:gridCol w:w="2362"/>
        <w:gridCol w:w="866"/>
        <w:gridCol w:w="1353"/>
      </w:tblGrid>
      <w:tr w:rsidR="00F617E2" w:rsidRPr="000B2FEE" w14:paraId="53816ED0" w14:textId="77777777" w:rsidTr="00CA4AE0">
        <w:trPr>
          <w:cantSplit/>
          <w:tblHeader/>
        </w:trPr>
        <w:tc>
          <w:tcPr>
            <w:tcW w:w="940" w:type="pct"/>
            <w:shd w:val="clear" w:color="auto" w:fill="auto"/>
            <w:vAlign w:val="center"/>
          </w:tcPr>
          <w:p w14:paraId="43FBA355" w14:textId="77777777" w:rsidR="00F617E2" w:rsidRPr="000B2FEE" w:rsidRDefault="00F617E2" w:rsidP="00CA4AE0">
            <w:pPr>
              <w:pStyle w:val="In-tableHeading"/>
              <w:rPr>
                <w:lang w:val="en-AU"/>
              </w:rPr>
            </w:pPr>
            <w:r w:rsidRPr="000B2FEE">
              <w:rPr>
                <w:lang w:val="en-AU"/>
              </w:rPr>
              <w:t>Population</w:t>
            </w:r>
          </w:p>
        </w:tc>
        <w:tc>
          <w:tcPr>
            <w:tcW w:w="314" w:type="pct"/>
            <w:shd w:val="clear" w:color="auto" w:fill="auto"/>
            <w:vAlign w:val="center"/>
          </w:tcPr>
          <w:p w14:paraId="27B5D54A" w14:textId="77777777" w:rsidR="00F617E2" w:rsidRPr="000B2FEE" w:rsidRDefault="00F617E2" w:rsidP="00CA4AE0">
            <w:pPr>
              <w:pStyle w:val="In-tableHeading"/>
              <w:jc w:val="center"/>
              <w:rPr>
                <w:lang w:val="en-AU"/>
              </w:rPr>
            </w:pPr>
            <w:r w:rsidRPr="000B2FEE">
              <w:rPr>
                <w:lang w:val="en-AU"/>
              </w:rPr>
              <w:t>N</w:t>
            </w:r>
          </w:p>
        </w:tc>
        <w:tc>
          <w:tcPr>
            <w:tcW w:w="679" w:type="pct"/>
            <w:shd w:val="clear" w:color="auto" w:fill="auto"/>
            <w:vAlign w:val="center"/>
          </w:tcPr>
          <w:p w14:paraId="05C43075" w14:textId="77777777" w:rsidR="00F617E2" w:rsidRPr="000B2FEE" w:rsidRDefault="00F617E2" w:rsidP="00CA4AE0">
            <w:pPr>
              <w:pStyle w:val="In-tableHeading"/>
              <w:jc w:val="center"/>
              <w:rPr>
                <w:lang w:val="en-AU"/>
              </w:rPr>
            </w:pPr>
            <w:r w:rsidRPr="000B2FEE">
              <w:rPr>
                <w:lang w:val="en-AU"/>
              </w:rPr>
              <w:t>Design/ duration</w:t>
            </w:r>
          </w:p>
        </w:tc>
        <w:tc>
          <w:tcPr>
            <w:tcW w:w="527" w:type="pct"/>
            <w:shd w:val="clear" w:color="auto" w:fill="auto"/>
            <w:vAlign w:val="center"/>
          </w:tcPr>
          <w:p w14:paraId="5283B14C" w14:textId="77777777" w:rsidR="00F617E2" w:rsidRPr="000B2FEE" w:rsidRDefault="00F617E2" w:rsidP="00CA4AE0">
            <w:pPr>
              <w:pStyle w:val="In-tableHeading"/>
              <w:jc w:val="center"/>
              <w:rPr>
                <w:lang w:val="en-AU"/>
              </w:rPr>
            </w:pPr>
            <w:r w:rsidRPr="000B2FEE">
              <w:rPr>
                <w:lang w:val="en-AU"/>
              </w:rPr>
              <w:t>Risk of bias</w:t>
            </w:r>
          </w:p>
        </w:tc>
        <w:tc>
          <w:tcPr>
            <w:tcW w:w="1310" w:type="pct"/>
            <w:shd w:val="clear" w:color="auto" w:fill="auto"/>
            <w:vAlign w:val="center"/>
          </w:tcPr>
          <w:p w14:paraId="2135A4AD" w14:textId="77777777" w:rsidR="00F617E2" w:rsidRPr="000B2FEE" w:rsidRDefault="00F617E2" w:rsidP="00CA4AE0">
            <w:pPr>
              <w:pStyle w:val="In-tableHeading"/>
              <w:jc w:val="center"/>
              <w:rPr>
                <w:lang w:val="en-AU"/>
              </w:rPr>
            </w:pPr>
            <w:r w:rsidRPr="000B2FEE">
              <w:rPr>
                <w:lang w:val="en-AU"/>
              </w:rPr>
              <w:t>Patient population</w:t>
            </w:r>
          </w:p>
        </w:tc>
        <w:tc>
          <w:tcPr>
            <w:tcW w:w="480" w:type="pct"/>
            <w:shd w:val="clear" w:color="auto" w:fill="auto"/>
            <w:vAlign w:val="center"/>
          </w:tcPr>
          <w:p w14:paraId="21FB4230" w14:textId="77777777" w:rsidR="00F617E2" w:rsidRPr="000B2FEE" w:rsidRDefault="00F617E2" w:rsidP="00CA4AE0">
            <w:pPr>
              <w:pStyle w:val="In-tableHeading"/>
              <w:jc w:val="center"/>
              <w:rPr>
                <w:lang w:val="en-AU"/>
              </w:rPr>
            </w:pPr>
            <w:r w:rsidRPr="000B2FEE">
              <w:rPr>
                <w:lang w:val="en-AU"/>
              </w:rPr>
              <w:t>Outcomes</w:t>
            </w:r>
          </w:p>
        </w:tc>
        <w:tc>
          <w:tcPr>
            <w:tcW w:w="750" w:type="pct"/>
            <w:shd w:val="clear" w:color="auto" w:fill="auto"/>
            <w:vAlign w:val="center"/>
          </w:tcPr>
          <w:p w14:paraId="3F26EDE6" w14:textId="77777777" w:rsidR="00F617E2" w:rsidRPr="000B2FEE" w:rsidRDefault="00F617E2" w:rsidP="00CA4AE0">
            <w:pPr>
              <w:pStyle w:val="In-tableHeading"/>
              <w:jc w:val="center"/>
              <w:rPr>
                <w:lang w:val="en-AU"/>
              </w:rPr>
            </w:pPr>
            <w:r w:rsidRPr="000B2FEE">
              <w:rPr>
                <w:lang w:val="en-AU"/>
              </w:rPr>
              <w:t>Use in modelled evaluation</w:t>
            </w:r>
          </w:p>
        </w:tc>
      </w:tr>
      <w:tr w:rsidR="00F617E2" w:rsidRPr="000B2FEE" w14:paraId="36930EBA" w14:textId="77777777" w:rsidTr="00CA4AE0">
        <w:trPr>
          <w:cantSplit/>
        </w:trPr>
        <w:tc>
          <w:tcPr>
            <w:tcW w:w="5000" w:type="pct"/>
            <w:gridSpan w:val="7"/>
            <w:shd w:val="clear" w:color="auto" w:fill="auto"/>
            <w:vAlign w:val="center"/>
          </w:tcPr>
          <w:p w14:paraId="27850EBC" w14:textId="0B7C4400" w:rsidR="00F617E2" w:rsidRPr="000B2FEE" w:rsidRDefault="00F617E2" w:rsidP="00CA4AE0">
            <w:pPr>
              <w:pStyle w:val="In-tableHeading"/>
              <w:rPr>
                <w:lang w:val="en-AU"/>
              </w:rPr>
            </w:pPr>
            <w:r w:rsidRPr="000B2FEE">
              <w:rPr>
                <w:lang w:val="en-AU"/>
              </w:rPr>
              <w:t>Pola</w:t>
            </w:r>
            <w:r w:rsidR="00D34326" w:rsidRPr="000B2FEE">
              <w:rPr>
                <w:lang w:val="en-AU"/>
              </w:rPr>
              <w:t>+</w:t>
            </w:r>
            <w:r w:rsidRPr="000B2FEE">
              <w:rPr>
                <w:lang w:val="en-AU"/>
              </w:rPr>
              <w:t>R-CHP vs. R-CHOP</w:t>
            </w:r>
          </w:p>
        </w:tc>
      </w:tr>
      <w:tr w:rsidR="00F617E2" w:rsidRPr="000B2FEE" w14:paraId="34BBC08A" w14:textId="77777777" w:rsidTr="00CA4AE0">
        <w:trPr>
          <w:cantSplit/>
        </w:trPr>
        <w:tc>
          <w:tcPr>
            <w:tcW w:w="940" w:type="pct"/>
            <w:shd w:val="clear" w:color="auto" w:fill="auto"/>
            <w:vAlign w:val="center"/>
          </w:tcPr>
          <w:p w14:paraId="42A8B389" w14:textId="77777777" w:rsidR="00F617E2" w:rsidRPr="000B2FEE" w:rsidRDefault="00F617E2" w:rsidP="00CA4AE0">
            <w:pPr>
              <w:pStyle w:val="TableText0"/>
            </w:pPr>
            <w:r w:rsidRPr="000B2FEE">
              <w:t>ITT</w:t>
            </w:r>
          </w:p>
        </w:tc>
        <w:tc>
          <w:tcPr>
            <w:tcW w:w="314" w:type="pct"/>
            <w:shd w:val="clear" w:color="auto" w:fill="auto"/>
            <w:vAlign w:val="center"/>
          </w:tcPr>
          <w:p w14:paraId="5CFC70ED" w14:textId="77777777" w:rsidR="00F617E2" w:rsidRPr="000B2FEE" w:rsidRDefault="00F617E2" w:rsidP="00CA4AE0">
            <w:pPr>
              <w:pStyle w:val="TableText0"/>
              <w:jc w:val="center"/>
            </w:pPr>
            <w:r w:rsidRPr="000B2FEE">
              <w:t>875</w:t>
            </w:r>
          </w:p>
        </w:tc>
        <w:tc>
          <w:tcPr>
            <w:tcW w:w="679" w:type="pct"/>
            <w:shd w:val="clear" w:color="auto" w:fill="auto"/>
            <w:vAlign w:val="center"/>
          </w:tcPr>
          <w:p w14:paraId="5B850BFD" w14:textId="77777777" w:rsidR="00F617E2" w:rsidRPr="000B2FEE" w:rsidRDefault="00F617E2" w:rsidP="00CA4AE0">
            <w:pPr>
              <w:pStyle w:val="TableText0"/>
              <w:jc w:val="center"/>
            </w:pPr>
            <w:r w:rsidRPr="000B2FEE">
              <w:t>R, DB</w:t>
            </w:r>
          </w:p>
          <w:p w14:paraId="1A29C539" w14:textId="0A846F9C" w:rsidR="00F617E2" w:rsidRPr="000B2FEE" w:rsidRDefault="00F617E2" w:rsidP="00CA4AE0">
            <w:pPr>
              <w:pStyle w:val="TableText0"/>
              <w:jc w:val="center"/>
            </w:pPr>
            <w:r w:rsidRPr="000B2FEE">
              <w:t>28.0 m</w:t>
            </w:r>
            <w:r w:rsidR="009A7EC5">
              <w:t>on</w:t>
            </w:r>
            <w:r w:rsidRPr="000B2FEE">
              <w:t>ths</w:t>
            </w:r>
          </w:p>
        </w:tc>
        <w:tc>
          <w:tcPr>
            <w:tcW w:w="527" w:type="pct"/>
            <w:shd w:val="clear" w:color="auto" w:fill="auto"/>
            <w:vAlign w:val="center"/>
          </w:tcPr>
          <w:p w14:paraId="4F7FED27" w14:textId="77777777" w:rsidR="00F617E2" w:rsidRPr="000B2FEE" w:rsidRDefault="00F617E2" w:rsidP="00CA4AE0">
            <w:pPr>
              <w:pStyle w:val="TableText0"/>
              <w:jc w:val="center"/>
            </w:pPr>
            <w:r w:rsidRPr="000B2FEE">
              <w:t>Low</w:t>
            </w:r>
          </w:p>
        </w:tc>
        <w:tc>
          <w:tcPr>
            <w:tcW w:w="1310" w:type="pct"/>
            <w:shd w:val="clear" w:color="auto" w:fill="auto"/>
            <w:vAlign w:val="center"/>
          </w:tcPr>
          <w:p w14:paraId="79B9DC03" w14:textId="77777777" w:rsidR="00F617E2" w:rsidRPr="000B2FEE" w:rsidRDefault="00F617E2" w:rsidP="00CA4AE0">
            <w:pPr>
              <w:pStyle w:val="TableText0"/>
              <w:jc w:val="center"/>
            </w:pPr>
            <w:r w:rsidRPr="000B2FEE">
              <w:t>Previously untreated DLBCL, IPI of 2-5 and ECOG PS≤2</w:t>
            </w:r>
          </w:p>
        </w:tc>
        <w:tc>
          <w:tcPr>
            <w:tcW w:w="480" w:type="pct"/>
            <w:shd w:val="clear" w:color="auto" w:fill="auto"/>
            <w:vAlign w:val="center"/>
          </w:tcPr>
          <w:p w14:paraId="6A3A600A" w14:textId="15486BDE" w:rsidR="00F617E2" w:rsidRPr="000B2FEE" w:rsidRDefault="00FC7956" w:rsidP="00FC7956">
            <w:pPr>
              <w:pStyle w:val="TableText0"/>
              <w:jc w:val="center"/>
            </w:pPr>
            <w:r w:rsidRPr="000B2FEE">
              <w:t xml:space="preserve">PFS, </w:t>
            </w:r>
            <w:r w:rsidR="00F617E2" w:rsidRPr="000B2FEE">
              <w:t>OS, EFS, AEs</w:t>
            </w:r>
          </w:p>
        </w:tc>
        <w:tc>
          <w:tcPr>
            <w:tcW w:w="750" w:type="pct"/>
            <w:shd w:val="clear" w:color="auto" w:fill="auto"/>
            <w:vAlign w:val="center"/>
          </w:tcPr>
          <w:p w14:paraId="5C8350B3" w14:textId="77777777" w:rsidR="00F617E2" w:rsidRPr="000B2FEE" w:rsidRDefault="00F617E2" w:rsidP="00CA4AE0">
            <w:pPr>
              <w:pStyle w:val="TableText0"/>
              <w:jc w:val="center"/>
            </w:pPr>
            <w:r w:rsidRPr="000B2FEE">
              <w:t>Not used</w:t>
            </w:r>
          </w:p>
        </w:tc>
      </w:tr>
      <w:tr w:rsidR="00F617E2" w:rsidRPr="000B2FEE" w14:paraId="32C801D2" w14:textId="77777777" w:rsidTr="00CA4AE0">
        <w:trPr>
          <w:cantSplit/>
        </w:trPr>
        <w:tc>
          <w:tcPr>
            <w:tcW w:w="5000" w:type="pct"/>
            <w:gridSpan w:val="7"/>
            <w:shd w:val="clear" w:color="auto" w:fill="auto"/>
            <w:vAlign w:val="center"/>
          </w:tcPr>
          <w:p w14:paraId="21D63BFC" w14:textId="77777777" w:rsidR="00F617E2" w:rsidRPr="000B2FEE" w:rsidRDefault="00F617E2" w:rsidP="00CA4AE0">
            <w:pPr>
              <w:pStyle w:val="TableText0"/>
              <w:rPr>
                <w:b/>
              </w:rPr>
            </w:pPr>
            <w:r w:rsidRPr="000B2FEE">
              <w:rPr>
                <w:b/>
              </w:rPr>
              <w:t xml:space="preserve">Subgroup analysis </w:t>
            </w:r>
          </w:p>
        </w:tc>
      </w:tr>
      <w:tr w:rsidR="00F617E2" w:rsidRPr="000B2FEE" w14:paraId="502B4413" w14:textId="77777777" w:rsidTr="00CA4AE0">
        <w:trPr>
          <w:cantSplit/>
        </w:trPr>
        <w:tc>
          <w:tcPr>
            <w:tcW w:w="940" w:type="pct"/>
            <w:shd w:val="clear" w:color="auto" w:fill="auto"/>
            <w:vAlign w:val="center"/>
          </w:tcPr>
          <w:p w14:paraId="3DFAB5DF" w14:textId="77777777" w:rsidR="00F617E2" w:rsidRPr="000B2FEE" w:rsidRDefault="00F617E2" w:rsidP="00CA4AE0">
            <w:pPr>
              <w:pStyle w:val="TableText0"/>
            </w:pPr>
            <w:r w:rsidRPr="000B2FEE">
              <w:t xml:space="preserve">IPI 3-5 (Subgroup) </w:t>
            </w:r>
          </w:p>
        </w:tc>
        <w:tc>
          <w:tcPr>
            <w:tcW w:w="314" w:type="pct"/>
            <w:shd w:val="clear" w:color="auto" w:fill="auto"/>
            <w:vAlign w:val="center"/>
          </w:tcPr>
          <w:p w14:paraId="56200B05" w14:textId="77777777" w:rsidR="00F617E2" w:rsidRPr="000B2FEE" w:rsidRDefault="00F617E2" w:rsidP="00CA4AE0">
            <w:pPr>
              <w:pStyle w:val="TableText0"/>
              <w:jc w:val="center"/>
            </w:pPr>
            <w:r w:rsidRPr="000B2FEE">
              <w:t>545</w:t>
            </w:r>
          </w:p>
        </w:tc>
        <w:tc>
          <w:tcPr>
            <w:tcW w:w="679" w:type="pct"/>
            <w:shd w:val="clear" w:color="auto" w:fill="auto"/>
            <w:vAlign w:val="center"/>
          </w:tcPr>
          <w:p w14:paraId="2653A4F2" w14:textId="77777777" w:rsidR="00F617E2" w:rsidRPr="000B2FEE" w:rsidRDefault="00F617E2" w:rsidP="00CA4AE0">
            <w:pPr>
              <w:pStyle w:val="TableText0"/>
              <w:jc w:val="center"/>
            </w:pPr>
            <w:r w:rsidRPr="000B2FEE">
              <w:t>R, DB</w:t>
            </w:r>
          </w:p>
          <w:p w14:paraId="71EBA17E" w14:textId="2ADA7111" w:rsidR="00F617E2" w:rsidRPr="000B2FEE" w:rsidRDefault="00F617E2" w:rsidP="00CA4AE0">
            <w:pPr>
              <w:pStyle w:val="TableText0"/>
              <w:jc w:val="center"/>
            </w:pPr>
            <w:r w:rsidRPr="000B2FEE">
              <w:t>28.0 m</w:t>
            </w:r>
            <w:r w:rsidR="009A7EC5">
              <w:t>on</w:t>
            </w:r>
            <w:r w:rsidRPr="000B2FEE">
              <w:t>ths</w:t>
            </w:r>
          </w:p>
        </w:tc>
        <w:tc>
          <w:tcPr>
            <w:tcW w:w="527" w:type="pct"/>
            <w:shd w:val="clear" w:color="auto" w:fill="auto"/>
            <w:vAlign w:val="center"/>
          </w:tcPr>
          <w:p w14:paraId="779F46D9" w14:textId="77777777" w:rsidR="00F617E2" w:rsidRPr="000B2FEE" w:rsidRDefault="00F617E2" w:rsidP="00CA4AE0">
            <w:pPr>
              <w:pStyle w:val="TableText0"/>
              <w:jc w:val="center"/>
            </w:pPr>
            <w:r w:rsidRPr="000B2FEE">
              <w:t>High</w:t>
            </w:r>
          </w:p>
        </w:tc>
        <w:tc>
          <w:tcPr>
            <w:tcW w:w="1310" w:type="pct"/>
            <w:shd w:val="clear" w:color="auto" w:fill="auto"/>
            <w:vAlign w:val="center"/>
          </w:tcPr>
          <w:p w14:paraId="346DD836" w14:textId="77777777" w:rsidR="00F617E2" w:rsidRPr="000B2FEE" w:rsidRDefault="00F617E2" w:rsidP="00CA4AE0">
            <w:pPr>
              <w:pStyle w:val="TableText0"/>
              <w:jc w:val="center"/>
            </w:pPr>
            <w:r w:rsidRPr="000B2FEE">
              <w:t>Previously untreated DLBCL, IPI of 3-5 and ECOG PS ≤2</w:t>
            </w:r>
          </w:p>
        </w:tc>
        <w:tc>
          <w:tcPr>
            <w:tcW w:w="480" w:type="pct"/>
            <w:shd w:val="clear" w:color="auto" w:fill="auto"/>
            <w:vAlign w:val="center"/>
          </w:tcPr>
          <w:p w14:paraId="750C6050" w14:textId="2D598A54" w:rsidR="00F617E2" w:rsidRPr="000B2FEE" w:rsidRDefault="00FC7956" w:rsidP="00FC7956">
            <w:pPr>
              <w:pStyle w:val="TableText0"/>
              <w:jc w:val="center"/>
            </w:pPr>
            <w:r w:rsidRPr="000B2FEE">
              <w:t xml:space="preserve">PFS, </w:t>
            </w:r>
            <w:r w:rsidR="00F617E2" w:rsidRPr="000B2FEE">
              <w:t>OS, EFS, AEs</w:t>
            </w:r>
          </w:p>
        </w:tc>
        <w:tc>
          <w:tcPr>
            <w:tcW w:w="750" w:type="pct"/>
            <w:shd w:val="clear" w:color="auto" w:fill="auto"/>
            <w:vAlign w:val="center"/>
          </w:tcPr>
          <w:p w14:paraId="76D7CEF3" w14:textId="77777777" w:rsidR="00F617E2" w:rsidRPr="000B2FEE" w:rsidRDefault="00F617E2" w:rsidP="00CA4AE0">
            <w:pPr>
              <w:pStyle w:val="TableText0"/>
              <w:jc w:val="center"/>
            </w:pPr>
            <w:r w:rsidRPr="000B2FEE">
              <w:t>Used</w:t>
            </w:r>
          </w:p>
        </w:tc>
      </w:tr>
      <w:tr w:rsidR="00F617E2" w:rsidRPr="000B2FEE" w14:paraId="595B2388" w14:textId="77777777" w:rsidTr="00CA4AE0">
        <w:trPr>
          <w:cantSplit/>
        </w:trPr>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14:paraId="26DF7A39" w14:textId="1A2D6D7C" w:rsidR="00F617E2" w:rsidRPr="000B2FEE" w:rsidRDefault="00F617E2" w:rsidP="00CA4AE0">
            <w:pPr>
              <w:pStyle w:val="TableText0"/>
            </w:pPr>
            <w:r w:rsidRPr="000B2FEE">
              <w:t>IPI</w:t>
            </w:r>
            <w:r w:rsidR="00FE0408">
              <w:t xml:space="preserve"> </w:t>
            </w:r>
            <w:r w:rsidRPr="000B2FEE">
              <w:t xml:space="preserve">= 2 (Complement)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660B712" w14:textId="77777777" w:rsidR="00F617E2" w:rsidRPr="000B2FEE" w:rsidRDefault="00F617E2" w:rsidP="00CA4AE0">
            <w:pPr>
              <w:pStyle w:val="TableText0"/>
              <w:jc w:val="center"/>
            </w:pPr>
            <w:r w:rsidRPr="000B2FEE">
              <w:t>330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75C09A1" w14:textId="77777777" w:rsidR="00F617E2" w:rsidRPr="000B2FEE" w:rsidRDefault="00F617E2" w:rsidP="00CA4AE0">
            <w:pPr>
              <w:pStyle w:val="TableText0"/>
              <w:jc w:val="center"/>
            </w:pPr>
            <w:r w:rsidRPr="000B2FEE">
              <w:t>R, DB</w:t>
            </w:r>
          </w:p>
          <w:p w14:paraId="10EA2209" w14:textId="6DC2AB49" w:rsidR="00F617E2" w:rsidRPr="000B2FEE" w:rsidRDefault="00F617E2" w:rsidP="00CA4AE0">
            <w:pPr>
              <w:pStyle w:val="TableText0"/>
              <w:jc w:val="center"/>
            </w:pPr>
            <w:r w:rsidRPr="000B2FEE">
              <w:t>28.0 m</w:t>
            </w:r>
            <w:r w:rsidR="009A7EC5">
              <w:t>on</w:t>
            </w:r>
            <w:r w:rsidRPr="000B2FEE">
              <w:t>ths</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01285DC2" w14:textId="77777777" w:rsidR="00F617E2" w:rsidRPr="000B2FEE" w:rsidRDefault="00F617E2" w:rsidP="00CA4AE0">
            <w:pPr>
              <w:pStyle w:val="TableText0"/>
              <w:jc w:val="center"/>
            </w:pPr>
            <w:r w:rsidRPr="000B2FEE">
              <w:t>High</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4A18E95" w14:textId="77777777" w:rsidR="00F617E2" w:rsidRPr="000B2FEE" w:rsidRDefault="00F617E2" w:rsidP="00CA4AE0">
            <w:pPr>
              <w:pStyle w:val="TableText0"/>
              <w:jc w:val="center"/>
            </w:pPr>
            <w:r w:rsidRPr="000B2FEE">
              <w:t>Previously untreated DLBCL, IPI of 2 and ECOG PS ≤2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4E798F6" w14:textId="77777777" w:rsidR="00F617E2" w:rsidRPr="000B2FEE" w:rsidRDefault="00F617E2" w:rsidP="00CA4AE0">
            <w:pPr>
              <w:pStyle w:val="TableText0"/>
              <w:jc w:val="center"/>
            </w:pPr>
            <w:r w:rsidRPr="000B2FEE">
              <w:t>PFS</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3E3E880" w14:textId="77777777" w:rsidR="00F617E2" w:rsidRPr="000B2FEE" w:rsidRDefault="00F617E2" w:rsidP="00CA4AE0">
            <w:pPr>
              <w:pStyle w:val="TableText0"/>
              <w:jc w:val="center"/>
            </w:pPr>
            <w:r w:rsidRPr="000B2FEE">
              <w:t>Not used</w:t>
            </w:r>
          </w:p>
        </w:tc>
      </w:tr>
    </w:tbl>
    <w:p w14:paraId="186EF89E" w14:textId="77777777" w:rsidR="00F617E2" w:rsidRPr="000B2FEE" w:rsidRDefault="00F617E2" w:rsidP="00F617E2">
      <w:pPr>
        <w:pStyle w:val="TableFigureFooter"/>
      </w:pPr>
      <w:r w:rsidRPr="000B2FEE">
        <w:t>Source: Constructed during the evaluation</w:t>
      </w:r>
    </w:p>
    <w:p w14:paraId="74448190" w14:textId="3E3FA0D1" w:rsidR="00F617E2" w:rsidRPr="000B2FEE" w:rsidRDefault="00F617E2" w:rsidP="00F617E2">
      <w:pPr>
        <w:pStyle w:val="TableFigureFooter"/>
      </w:pPr>
      <w:r w:rsidRPr="000B2FEE">
        <w:t>AE = adverse event; DB = double blind; MC = multi-centre; DLBCL=diffuse large B-cell lymphoma; ECOG PS Eastern Cooperative Oncology Group Performance Score; EFS = event free survival; IPI = International Prognostic Index; OS = overall survival; PFS = progression-free survival; R = randomised., Pola = polatuzumab vedotin; R-CHP = rituximab, cyclophosphamide, hydroxydaunorubicin hydrochloride (doxorubicin hydrochloride), and prednisone; R-CHOP = rituximab, cyclophosphamide, hydroxydaunorubicin hydrochloride (doxorubicin hydrochloride), vincristine (Oncovin) and prednisone</w:t>
      </w:r>
    </w:p>
    <w:p w14:paraId="4D68B259" w14:textId="76984332" w:rsidR="005566BC" w:rsidRPr="000B2FEE" w:rsidRDefault="005566BC" w:rsidP="00E1521D">
      <w:pPr>
        <w:pStyle w:val="3-BodyText"/>
        <w:ind w:left="720"/>
        <w:rPr>
          <w:iCs/>
        </w:rPr>
      </w:pPr>
      <w:r w:rsidRPr="000B2FEE">
        <w:rPr>
          <w:iCs/>
        </w:rPr>
        <w:t xml:space="preserve">Overall, the risk of bias for the ITT analysis was </w:t>
      </w:r>
      <w:r w:rsidR="0052749E" w:rsidRPr="000B2FEE">
        <w:rPr>
          <w:iCs/>
        </w:rPr>
        <w:t xml:space="preserve">generally </w:t>
      </w:r>
      <w:r w:rsidRPr="000B2FEE">
        <w:rPr>
          <w:iCs/>
        </w:rPr>
        <w:t>low</w:t>
      </w:r>
      <w:r w:rsidR="00445FDF" w:rsidRPr="000B2FEE">
        <w:rPr>
          <w:iCs/>
        </w:rPr>
        <w:t xml:space="preserve"> but the risk of </w:t>
      </w:r>
      <w:r w:rsidRPr="000B2FEE">
        <w:rPr>
          <w:iCs/>
        </w:rPr>
        <w:t xml:space="preserve">bias </w:t>
      </w:r>
      <w:r w:rsidR="00445FDF" w:rsidRPr="000B2FEE">
        <w:rPr>
          <w:iCs/>
        </w:rPr>
        <w:t>was high for the subgroup analyses</w:t>
      </w:r>
      <w:r w:rsidRPr="000B2FEE">
        <w:rPr>
          <w:iCs/>
        </w:rPr>
        <w:t xml:space="preserve">. </w:t>
      </w:r>
      <w:r w:rsidR="00445FDF" w:rsidRPr="000B2FEE">
        <w:rPr>
          <w:iCs/>
        </w:rPr>
        <w:t>T</w:t>
      </w:r>
      <w:r w:rsidRPr="000B2FEE">
        <w:rPr>
          <w:iCs/>
        </w:rPr>
        <w:t xml:space="preserve">hough IPI was a stratification factor (IPI 2 vs IPI 3-5), the trial was not designed or powered to show statistically significant differences between subgroups, </w:t>
      </w:r>
      <w:r w:rsidR="00445FDF" w:rsidRPr="000B2FEE">
        <w:rPr>
          <w:iCs/>
        </w:rPr>
        <w:t>the</w:t>
      </w:r>
      <w:r w:rsidRPr="000B2FEE">
        <w:rPr>
          <w:iCs/>
        </w:rPr>
        <w:t xml:space="preserve"> subgroups were not part of the testing hierarchy </w:t>
      </w:r>
      <w:r w:rsidR="00445FDF" w:rsidRPr="000B2FEE">
        <w:rPr>
          <w:iCs/>
        </w:rPr>
        <w:t xml:space="preserve">and there were no </w:t>
      </w:r>
      <w:r w:rsidRPr="000B2FEE">
        <w:rPr>
          <w:iCs/>
        </w:rPr>
        <w:t>method</w:t>
      </w:r>
      <w:r w:rsidR="00445FDF" w:rsidRPr="000B2FEE">
        <w:rPr>
          <w:iCs/>
        </w:rPr>
        <w:t>s</w:t>
      </w:r>
      <w:r w:rsidRPr="000B2FEE">
        <w:rPr>
          <w:iCs/>
        </w:rPr>
        <w:t xml:space="preserve"> of statistical adjustment to account for multiple subgroup analyses.</w:t>
      </w:r>
    </w:p>
    <w:p w14:paraId="188F9454" w14:textId="5FD836E4" w:rsidR="008C3C3D" w:rsidRPr="000B2FEE" w:rsidRDefault="001E0434" w:rsidP="00E1521D">
      <w:pPr>
        <w:pStyle w:val="3-BodyText"/>
        <w:ind w:left="720"/>
        <w:rPr>
          <w:iCs/>
        </w:rPr>
      </w:pPr>
      <w:r w:rsidRPr="000B2FEE">
        <w:rPr>
          <w:iCs/>
        </w:rPr>
        <w:t>R</w:t>
      </w:r>
      <w:r w:rsidR="0052749E" w:rsidRPr="000B2FEE">
        <w:rPr>
          <w:iCs/>
        </w:rPr>
        <w:t xml:space="preserve">andomisation appeared successful, </w:t>
      </w:r>
      <w:r w:rsidRPr="000B2FEE">
        <w:rPr>
          <w:iCs/>
        </w:rPr>
        <w:t xml:space="preserve">but </w:t>
      </w:r>
      <w:r w:rsidR="0052749E" w:rsidRPr="000B2FEE">
        <w:rPr>
          <w:iCs/>
        </w:rPr>
        <w:t xml:space="preserve">there </w:t>
      </w:r>
      <w:r w:rsidR="008C3C3D" w:rsidRPr="000B2FEE">
        <w:rPr>
          <w:iCs/>
        </w:rPr>
        <w:t xml:space="preserve">were </w:t>
      </w:r>
      <w:r w:rsidRPr="000B2FEE">
        <w:rPr>
          <w:iCs/>
        </w:rPr>
        <w:t xml:space="preserve">small </w:t>
      </w:r>
      <w:r w:rsidR="008C3C3D" w:rsidRPr="000B2FEE">
        <w:rPr>
          <w:iCs/>
        </w:rPr>
        <w:t xml:space="preserve">numerical differences across </w:t>
      </w:r>
      <w:r w:rsidR="0052749E" w:rsidRPr="000B2FEE">
        <w:rPr>
          <w:iCs/>
        </w:rPr>
        <w:t>some</w:t>
      </w:r>
      <w:r w:rsidR="008C3C3D" w:rsidRPr="000B2FEE">
        <w:rPr>
          <w:iCs/>
        </w:rPr>
        <w:t xml:space="preserve"> prognostic factors</w:t>
      </w:r>
      <w:r w:rsidR="0052749E" w:rsidRPr="000B2FEE">
        <w:rPr>
          <w:iCs/>
        </w:rPr>
        <w:t xml:space="preserve">. Specifically, a slightly smaller proportion of patients in the </w:t>
      </w:r>
      <w:r w:rsidR="008C3C3D" w:rsidRPr="000B2FEE">
        <w:rPr>
          <w:iCs/>
        </w:rPr>
        <w:t>Pola+R-CHP arm</w:t>
      </w:r>
      <w:r w:rsidR="0052749E" w:rsidRPr="000B2FEE">
        <w:rPr>
          <w:iCs/>
        </w:rPr>
        <w:t xml:space="preserve"> had the higher IPI scores;</w:t>
      </w:r>
      <w:r w:rsidR="008C3C3D" w:rsidRPr="000B2FEE">
        <w:rPr>
          <w:iCs/>
        </w:rPr>
        <w:t xml:space="preserve"> ABC cell-of-origin</w:t>
      </w:r>
      <w:r w:rsidR="0052749E" w:rsidRPr="000B2FEE">
        <w:rPr>
          <w:iCs/>
        </w:rPr>
        <w:t xml:space="preserve">; </w:t>
      </w:r>
      <w:r w:rsidR="008C3C3D" w:rsidRPr="000B2FEE">
        <w:rPr>
          <w:iCs/>
        </w:rPr>
        <w:t>high-grade B-cell lymphoma; and</w:t>
      </w:r>
      <w:r w:rsidR="0052749E" w:rsidRPr="000B2FEE">
        <w:rPr>
          <w:iCs/>
        </w:rPr>
        <w:t xml:space="preserve"> DEL</w:t>
      </w:r>
      <w:r w:rsidR="008C3C3D" w:rsidRPr="000B2FEE">
        <w:rPr>
          <w:iCs/>
        </w:rPr>
        <w:t>.</w:t>
      </w:r>
      <w:r w:rsidR="0052749E" w:rsidRPr="000B2FEE">
        <w:rPr>
          <w:iCs/>
        </w:rPr>
        <w:t xml:space="preserve"> </w:t>
      </w:r>
      <w:r w:rsidR="00A87AC2" w:rsidRPr="000B2FEE">
        <w:rPr>
          <w:iCs/>
        </w:rPr>
        <w:t xml:space="preserve">Given </w:t>
      </w:r>
      <w:r w:rsidRPr="000B2FEE">
        <w:rPr>
          <w:iCs/>
        </w:rPr>
        <w:t xml:space="preserve">these factors are each associated </w:t>
      </w:r>
      <w:r w:rsidR="008C3C3D" w:rsidRPr="000B2FEE">
        <w:rPr>
          <w:iCs/>
        </w:rPr>
        <w:t>with worse prognosis following standard-of-care treatment</w:t>
      </w:r>
      <w:r w:rsidRPr="002447D3">
        <w:rPr>
          <w:vertAlign w:val="superscript"/>
        </w:rPr>
        <w:footnoteReference w:id="4"/>
      </w:r>
      <w:r w:rsidRPr="002447D3">
        <w:rPr>
          <w:iCs/>
          <w:vertAlign w:val="superscript"/>
        </w:rPr>
        <w:t>,</w:t>
      </w:r>
      <w:r w:rsidRPr="002447D3">
        <w:rPr>
          <w:vertAlign w:val="superscript"/>
        </w:rPr>
        <w:footnoteReference w:id="5"/>
      </w:r>
      <w:r w:rsidR="008C3C3D" w:rsidRPr="000B2FEE">
        <w:rPr>
          <w:iCs/>
        </w:rPr>
        <w:t xml:space="preserve">, patients randomised to the Pola+R-CHP may have </w:t>
      </w:r>
      <w:r w:rsidR="0052749E" w:rsidRPr="000B2FEE">
        <w:rPr>
          <w:iCs/>
        </w:rPr>
        <w:t xml:space="preserve">potentially </w:t>
      </w:r>
      <w:r w:rsidR="008C3C3D" w:rsidRPr="000B2FEE">
        <w:rPr>
          <w:iCs/>
        </w:rPr>
        <w:t xml:space="preserve">been more likely to respond to treatment compared to patients randomised to R-CHOP. </w:t>
      </w:r>
      <w:r w:rsidR="0052749E" w:rsidRPr="000B2FEE">
        <w:rPr>
          <w:iCs/>
        </w:rPr>
        <w:t>Whether these small differences</w:t>
      </w:r>
      <w:r w:rsidR="006D3562">
        <w:rPr>
          <w:iCs/>
        </w:rPr>
        <w:t xml:space="preserve"> </w:t>
      </w:r>
      <w:r w:rsidR="0052749E" w:rsidRPr="000B2FEE">
        <w:rPr>
          <w:iCs/>
        </w:rPr>
        <w:t>actually</w:t>
      </w:r>
      <w:r w:rsidR="008C3C3D" w:rsidRPr="000B2FEE">
        <w:rPr>
          <w:iCs/>
        </w:rPr>
        <w:t xml:space="preserve"> affected the </w:t>
      </w:r>
      <w:r w:rsidR="0052749E" w:rsidRPr="000B2FEE">
        <w:rPr>
          <w:iCs/>
        </w:rPr>
        <w:t xml:space="preserve">trial </w:t>
      </w:r>
      <w:r w:rsidR="008C3C3D" w:rsidRPr="000B2FEE">
        <w:rPr>
          <w:iCs/>
        </w:rPr>
        <w:t>results was unknown.</w:t>
      </w:r>
    </w:p>
    <w:p w14:paraId="1E632869" w14:textId="7BD13026" w:rsidR="00FC7956" w:rsidRPr="000B2FEE" w:rsidRDefault="00FC7956" w:rsidP="00E1521D">
      <w:pPr>
        <w:pStyle w:val="3-BodyText"/>
        <w:ind w:left="720"/>
        <w:rPr>
          <w:iCs/>
        </w:rPr>
      </w:pPr>
      <w:r w:rsidRPr="000B2FEE">
        <w:rPr>
          <w:iCs/>
        </w:rPr>
        <w:t xml:space="preserve">The primary outcome in POLARIX was PFS and key secondary endpoints included in the </w:t>
      </w:r>
      <w:r w:rsidR="00047AC0" w:rsidRPr="000B2FEE">
        <w:rPr>
          <w:iCs/>
        </w:rPr>
        <w:t>hierarchical</w:t>
      </w:r>
      <w:r w:rsidRPr="000B2FEE">
        <w:rPr>
          <w:iCs/>
        </w:rPr>
        <w:t xml:space="preserve"> testing procedure were investigator-assessed event free survival, complete response at the end of treatment and OS. Other secondary endpoints were objective response at the end of treatment, best overall response, disease free survival, duration of response and PFS at 24 months.</w:t>
      </w:r>
    </w:p>
    <w:p w14:paraId="30826324" w14:textId="781E6EBA" w:rsidR="004D6747" w:rsidRPr="000B2FEE" w:rsidRDefault="00FC7956" w:rsidP="00E1521D">
      <w:pPr>
        <w:pStyle w:val="3-BodyText"/>
        <w:ind w:left="720"/>
        <w:rPr>
          <w:iCs/>
        </w:rPr>
      </w:pPr>
      <w:r w:rsidRPr="000B2FEE">
        <w:rPr>
          <w:iCs/>
        </w:rPr>
        <w:t xml:space="preserve">The submission stated that PFS is the preferred outcome in lymphoma because it is interpretable earlier than OS and not confounded by the administration of subsequent therapy. Prolonging the period without disease progression and </w:t>
      </w:r>
      <w:r w:rsidR="00A529D1" w:rsidRPr="000B2FEE">
        <w:rPr>
          <w:iCs/>
        </w:rPr>
        <w:t xml:space="preserve">poorly tolerated </w:t>
      </w:r>
      <w:r w:rsidRPr="000B2FEE">
        <w:rPr>
          <w:iCs/>
        </w:rPr>
        <w:t xml:space="preserve">chemotherapy represents a clinical benefit for patients with an aggressive </w:t>
      </w:r>
      <w:r w:rsidR="00047AC0" w:rsidRPr="000B2FEE">
        <w:rPr>
          <w:iCs/>
        </w:rPr>
        <w:t xml:space="preserve">disease. The submission </w:t>
      </w:r>
      <w:r w:rsidR="009E18F6" w:rsidRPr="000B2FEE">
        <w:rPr>
          <w:iCs/>
        </w:rPr>
        <w:t>also stated</w:t>
      </w:r>
      <w:r w:rsidR="00047AC0" w:rsidRPr="000B2FEE">
        <w:rPr>
          <w:iCs/>
        </w:rPr>
        <w:t xml:space="preserve"> that </w:t>
      </w:r>
      <w:r w:rsidR="004D6747" w:rsidRPr="000B2FEE">
        <w:rPr>
          <w:iCs/>
        </w:rPr>
        <w:t xml:space="preserve">PFS at 24 months is both a clinically meaningful and an established surrogate endpoint for OS in DLBCL because the majority of relapse </w:t>
      </w:r>
      <w:r w:rsidR="004D6747" w:rsidRPr="000B2FEE">
        <w:rPr>
          <w:iCs/>
        </w:rPr>
        <w:lastRenderedPageBreak/>
        <w:t>occ</w:t>
      </w:r>
      <w:r w:rsidR="003864EF" w:rsidRPr="000B2FEE">
        <w:rPr>
          <w:iCs/>
        </w:rPr>
        <w:t>urs within the first two years. The surrogate relationship is important because the modelled economic evaluation presented in the submission assumed that patients without disease progression at approximately 2 years were ‘cured’ (see Economic analysis).</w:t>
      </w:r>
    </w:p>
    <w:p w14:paraId="12109E84" w14:textId="4172F276" w:rsidR="004D6747" w:rsidRPr="00476211" w:rsidRDefault="00F21453" w:rsidP="00E1521D">
      <w:pPr>
        <w:pStyle w:val="3-BodyText"/>
        <w:ind w:left="720"/>
        <w:rPr>
          <w:iCs/>
        </w:rPr>
      </w:pPr>
      <w:r w:rsidRPr="000B2FEE">
        <w:rPr>
          <w:iCs/>
        </w:rPr>
        <w:t xml:space="preserve">Though </w:t>
      </w:r>
      <w:r w:rsidR="004D6747" w:rsidRPr="000B2FEE">
        <w:rPr>
          <w:iCs/>
        </w:rPr>
        <w:t>PFS at 24 months is a widely used surrogate endpoint in this setting</w:t>
      </w:r>
      <w:r w:rsidR="0069020A" w:rsidRPr="002447D3">
        <w:rPr>
          <w:vertAlign w:val="superscript"/>
        </w:rPr>
        <w:footnoteReference w:id="6"/>
      </w:r>
      <w:r w:rsidR="004D6747" w:rsidRPr="000B2FEE">
        <w:rPr>
          <w:iCs/>
        </w:rPr>
        <w:t xml:space="preserve">, </w:t>
      </w:r>
      <w:r w:rsidR="004D5FD7" w:rsidRPr="000B2FEE">
        <w:rPr>
          <w:iCs/>
        </w:rPr>
        <w:t>data from Maurer et al 2014</w:t>
      </w:r>
      <w:r w:rsidR="009E18F6" w:rsidRPr="002447D3">
        <w:rPr>
          <w:vertAlign w:val="superscript"/>
        </w:rPr>
        <w:footnoteReference w:id="7"/>
      </w:r>
      <w:r w:rsidR="003864EF" w:rsidRPr="000B2FEE">
        <w:rPr>
          <w:iCs/>
        </w:rPr>
        <w:t>,</w:t>
      </w:r>
      <w:r w:rsidR="004D5FD7" w:rsidRPr="000B2FEE">
        <w:rPr>
          <w:iCs/>
        </w:rPr>
        <w:t xml:space="preserve"> Maurer et al 2018</w:t>
      </w:r>
      <w:r w:rsidR="009E18F6" w:rsidRPr="002447D3">
        <w:rPr>
          <w:vertAlign w:val="superscript"/>
        </w:rPr>
        <w:footnoteReference w:id="8"/>
      </w:r>
      <w:r w:rsidR="004D5FD7" w:rsidRPr="000B2FEE">
        <w:rPr>
          <w:iCs/>
        </w:rPr>
        <w:t xml:space="preserve">, </w:t>
      </w:r>
      <w:r w:rsidR="003864EF" w:rsidRPr="000B2FEE">
        <w:rPr>
          <w:iCs/>
        </w:rPr>
        <w:t xml:space="preserve">and </w:t>
      </w:r>
      <w:r w:rsidR="004D5FD7" w:rsidRPr="000B2FEE">
        <w:rPr>
          <w:iCs/>
        </w:rPr>
        <w:t>other similar studies</w:t>
      </w:r>
      <w:r w:rsidR="003864EF" w:rsidRPr="002447D3">
        <w:rPr>
          <w:vertAlign w:val="superscript"/>
        </w:rPr>
        <w:footnoteReference w:id="9"/>
      </w:r>
      <w:r w:rsidR="004D5FD7" w:rsidRPr="000B2FEE">
        <w:rPr>
          <w:iCs/>
        </w:rPr>
        <w:t xml:space="preserve"> </w:t>
      </w:r>
      <w:r w:rsidR="003864EF" w:rsidRPr="000B2FEE">
        <w:rPr>
          <w:iCs/>
        </w:rPr>
        <w:t>generally</w:t>
      </w:r>
      <w:r w:rsidR="00FA4128" w:rsidRPr="000B2FEE">
        <w:rPr>
          <w:iCs/>
        </w:rPr>
        <w:t xml:space="preserve"> do not support </w:t>
      </w:r>
      <w:r w:rsidR="00085925" w:rsidRPr="000B2FEE">
        <w:rPr>
          <w:iCs/>
        </w:rPr>
        <w:t>a</w:t>
      </w:r>
      <w:r w:rsidR="004D6747" w:rsidRPr="000B2FEE">
        <w:rPr>
          <w:iCs/>
        </w:rPr>
        <w:t xml:space="preserve"> </w:t>
      </w:r>
      <w:r w:rsidR="003864EF" w:rsidRPr="000B2FEE">
        <w:rPr>
          <w:iCs/>
        </w:rPr>
        <w:t xml:space="preserve">perfect </w:t>
      </w:r>
      <w:r w:rsidR="004D6747" w:rsidRPr="000B2FEE">
        <w:rPr>
          <w:iCs/>
        </w:rPr>
        <w:t xml:space="preserve">relationship between PFS at 24 months and ‘cure’. </w:t>
      </w:r>
      <w:r w:rsidR="003864EF" w:rsidRPr="000B2FEE">
        <w:rPr>
          <w:iCs/>
        </w:rPr>
        <w:t>Across the literature, t</w:t>
      </w:r>
      <w:r w:rsidR="004D6747" w:rsidRPr="000B2FEE">
        <w:rPr>
          <w:iCs/>
        </w:rPr>
        <w:t>he five-year relapse rate</w:t>
      </w:r>
      <w:r w:rsidR="003864EF" w:rsidRPr="000B2FEE">
        <w:rPr>
          <w:iCs/>
        </w:rPr>
        <w:t>s</w:t>
      </w:r>
      <w:r w:rsidR="004D6747" w:rsidRPr="000B2FEE">
        <w:rPr>
          <w:iCs/>
        </w:rPr>
        <w:t xml:space="preserve"> given PFS at 24 months ranged from 5% to 13% (i.e. not 0%)</w:t>
      </w:r>
      <w:r w:rsidR="003864EF" w:rsidRPr="000B2FEE">
        <w:rPr>
          <w:iCs/>
        </w:rPr>
        <w:t xml:space="preserve"> and the </w:t>
      </w:r>
      <w:r w:rsidR="004D6747" w:rsidRPr="000B2FEE">
        <w:rPr>
          <w:iCs/>
        </w:rPr>
        <w:t xml:space="preserve">estimated standardised mortality rates (SMR) </w:t>
      </w:r>
      <w:r w:rsidR="003864EF" w:rsidRPr="000B2FEE">
        <w:rPr>
          <w:iCs/>
        </w:rPr>
        <w:t>given PFS</w:t>
      </w:r>
      <w:r w:rsidR="004D6747" w:rsidRPr="000B2FEE">
        <w:rPr>
          <w:iCs/>
        </w:rPr>
        <w:t xml:space="preserve"> at 24 months </w:t>
      </w:r>
      <w:r w:rsidR="00CE1B68" w:rsidRPr="000B2FEE">
        <w:rPr>
          <w:iCs/>
        </w:rPr>
        <w:t>were higher than populations norms.</w:t>
      </w:r>
      <w:r w:rsidR="00382854">
        <w:rPr>
          <w:iCs/>
        </w:rPr>
        <w:t xml:space="preserve"> </w:t>
      </w:r>
      <w:r w:rsidR="00382854" w:rsidRPr="00476211">
        <w:rPr>
          <w:iCs/>
        </w:rPr>
        <w:t>The PSCR</w:t>
      </w:r>
      <w:r w:rsidR="00F919C4" w:rsidRPr="00476211">
        <w:rPr>
          <w:iCs/>
        </w:rPr>
        <w:t xml:space="preserve"> </w:t>
      </w:r>
      <w:r w:rsidR="00382854" w:rsidRPr="00476211">
        <w:rPr>
          <w:iCs/>
        </w:rPr>
        <w:t>cited the ESMO guidelines which state ‘Patients with DLBCL who are event free at 2-years have an identical OS to that of the general population, emphasising the need to only specifically monitor for the disease in this early period (Tilly, 2015)’, and stated that therefore, the use of PFS at 24 months is appropriate and a reliable estimate to inform the mixture-cure model.</w:t>
      </w:r>
      <w:r w:rsidR="000071FC" w:rsidRPr="00476211">
        <w:rPr>
          <w:iCs/>
        </w:rPr>
        <w:t xml:space="preserve"> The ESC considered that </w:t>
      </w:r>
      <w:r w:rsidR="007512F2" w:rsidRPr="00476211">
        <w:rPr>
          <w:iCs/>
        </w:rPr>
        <w:t>the use of PFS at 24 months is generally accepted in DLBCL</w:t>
      </w:r>
      <w:r w:rsidR="00814D9F">
        <w:rPr>
          <w:iCs/>
        </w:rPr>
        <w:t xml:space="preserve"> as an indication of a likely cure</w:t>
      </w:r>
      <w:r w:rsidR="000071FC" w:rsidRPr="00476211">
        <w:rPr>
          <w:iCs/>
        </w:rPr>
        <w:t>.</w:t>
      </w:r>
      <w:r w:rsidR="007512F2" w:rsidRPr="00476211">
        <w:rPr>
          <w:iCs/>
        </w:rPr>
        <w:t xml:space="preserve"> </w:t>
      </w:r>
    </w:p>
    <w:p w14:paraId="6D786900" w14:textId="77777777" w:rsidR="00F811DD" w:rsidRPr="005B024E" w:rsidRDefault="00F811DD" w:rsidP="00F811DD">
      <w:pPr>
        <w:pStyle w:val="4-SubsectionHeading"/>
      </w:pPr>
      <w:bookmarkStart w:id="26" w:name="_Toc22897641"/>
      <w:bookmarkStart w:id="27" w:name="_Toc113975479"/>
      <w:r w:rsidRPr="005B024E">
        <w:t>Comparative effectiveness</w:t>
      </w:r>
      <w:bookmarkEnd w:id="26"/>
      <w:bookmarkEnd w:id="27"/>
    </w:p>
    <w:p w14:paraId="07E1FE3D" w14:textId="33CDAF48" w:rsidR="00257FC1" w:rsidRPr="00E1521D" w:rsidRDefault="00E621A2" w:rsidP="00E1521D">
      <w:pPr>
        <w:pStyle w:val="3-BodyText"/>
        <w:ind w:left="720"/>
        <w:rPr>
          <w:iCs/>
        </w:rPr>
      </w:pPr>
      <w:r w:rsidRPr="00E1521D">
        <w:rPr>
          <w:iCs/>
        </w:rPr>
        <w:fldChar w:fldCharType="begin"/>
      </w:r>
      <w:r w:rsidRPr="00E1521D">
        <w:rPr>
          <w:iCs/>
        </w:rPr>
        <w:instrText xml:space="preserve"> REF _Ref111736186  \* MERGEFORMAT </w:instrText>
      </w:r>
      <w:r w:rsidRPr="00E1521D">
        <w:rPr>
          <w:iCs/>
        </w:rPr>
        <w:fldChar w:fldCharType="separate"/>
      </w:r>
      <w:r w:rsidR="007F2580" w:rsidRPr="007F2580">
        <w:rPr>
          <w:iCs/>
        </w:rPr>
        <w:t>Table 4</w:t>
      </w:r>
      <w:r w:rsidRPr="00E1521D">
        <w:rPr>
          <w:iCs/>
        </w:rPr>
        <w:fldChar w:fldCharType="end"/>
      </w:r>
      <w:r w:rsidR="00B13C08" w:rsidRPr="00E1521D">
        <w:rPr>
          <w:iCs/>
        </w:rPr>
        <w:t xml:space="preserve"> and </w:t>
      </w:r>
      <w:r w:rsidR="00B13C08" w:rsidRPr="00E1521D">
        <w:rPr>
          <w:iCs/>
        </w:rPr>
        <w:fldChar w:fldCharType="begin"/>
      </w:r>
      <w:r w:rsidR="00B13C08" w:rsidRPr="00E1521D">
        <w:rPr>
          <w:iCs/>
        </w:rPr>
        <w:instrText xml:space="preserve"> REF _Ref111736192 </w:instrText>
      </w:r>
      <w:r w:rsidR="000B2FEE" w:rsidRPr="00E1521D">
        <w:rPr>
          <w:iCs/>
        </w:rPr>
        <w:instrText xml:space="preserve"> \* MERGEFORMAT </w:instrText>
      </w:r>
      <w:r w:rsidR="00B13C08" w:rsidRPr="00E1521D">
        <w:rPr>
          <w:iCs/>
        </w:rPr>
        <w:fldChar w:fldCharType="separate"/>
      </w:r>
      <w:r w:rsidR="007F2580" w:rsidRPr="007F2580">
        <w:rPr>
          <w:iCs/>
        </w:rPr>
        <w:t>Figure 1</w:t>
      </w:r>
      <w:r w:rsidR="00B13C08" w:rsidRPr="00E1521D">
        <w:rPr>
          <w:iCs/>
        </w:rPr>
        <w:fldChar w:fldCharType="end"/>
      </w:r>
      <w:r w:rsidR="00257FC1" w:rsidRPr="00E1521D">
        <w:rPr>
          <w:iCs/>
        </w:rPr>
        <w:t xml:space="preserve"> </w:t>
      </w:r>
      <w:r w:rsidR="00C96E05" w:rsidRPr="00E1521D">
        <w:rPr>
          <w:iCs/>
        </w:rPr>
        <w:t>presents</w:t>
      </w:r>
      <w:r w:rsidR="00257FC1" w:rsidRPr="00E1521D">
        <w:rPr>
          <w:iCs/>
        </w:rPr>
        <w:t xml:space="preserve"> PFS and OS in POLARIX at the June 2021 data cut (median follow-up was 28.2 months). The submission did not present the results for the complement</w:t>
      </w:r>
      <w:r w:rsidR="00C96E05" w:rsidRPr="00E1521D">
        <w:rPr>
          <w:iCs/>
        </w:rPr>
        <w:t xml:space="preserve"> IPI 2 subgroup (only </w:t>
      </w:r>
      <w:r w:rsidR="00257FC1" w:rsidRPr="00E1521D">
        <w:rPr>
          <w:iCs/>
        </w:rPr>
        <w:t>limited result</w:t>
      </w:r>
      <w:r w:rsidR="00C96E05" w:rsidRPr="00E1521D">
        <w:rPr>
          <w:iCs/>
        </w:rPr>
        <w:t>s</w:t>
      </w:r>
      <w:r w:rsidR="00257FC1" w:rsidRPr="00E1521D">
        <w:rPr>
          <w:iCs/>
        </w:rPr>
        <w:t xml:space="preserve"> </w:t>
      </w:r>
      <w:r w:rsidR="00C96E05" w:rsidRPr="00E1521D">
        <w:rPr>
          <w:iCs/>
        </w:rPr>
        <w:t xml:space="preserve">were available </w:t>
      </w:r>
      <w:r w:rsidR="00257FC1" w:rsidRPr="00E1521D">
        <w:rPr>
          <w:iCs/>
        </w:rPr>
        <w:t>for PFS</w:t>
      </w:r>
      <w:r w:rsidR="00C96E05" w:rsidRPr="00E1521D">
        <w:rPr>
          <w:iCs/>
        </w:rPr>
        <w:t>)</w:t>
      </w:r>
      <w:r w:rsidR="00257FC1" w:rsidRPr="00E1521D">
        <w:rPr>
          <w:iCs/>
        </w:rPr>
        <w:t>.</w:t>
      </w:r>
    </w:p>
    <w:p w14:paraId="52F9810D" w14:textId="73CBB80D" w:rsidR="00DE36CC" w:rsidRPr="00E1521D" w:rsidRDefault="004428B7" w:rsidP="00E1521D">
      <w:pPr>
        <w:pStyle w:val="3-BodyText"/>
        <w:ind w:left="720"/>
        <w:rPr>
          <w:iCs/>
        </w:rPr>
      </w:pPr>
      <w:r w:rsidRPr="00E1521D">
        <w:rPr>
          <w:iCs/>
        </w:rPr>
        <w:t xml:space="preserve">The </w:t>
      </w:r>
      <w:r w:rsidR="009B445C" w:rsidRPr="00E1521D">
        <w:rPr>
          <w:iCs/>
        </w:rPr>
        <w:t xml:space="preserve">ESC noted that the </w:t>
      </w:r>
      <w:r w:rsidRPr="00E1521D">
        <w:rPr>
          <w:iCs/>
        </w:rPr>
        <w:t xml:space="preserve">sponsor </w:t>
      </w:r>
      <w:r w:rsidR="009B445C" w:rsidRPr="00E1521D">
        <w:rPr>
          <w:iCs/>
        </w:rPr>
        <w:t xml:space="preserve">also </w:t>
      </w:r>
      <w:r w:rsidRPr="00E1521D">
        <w:rPr>
          <w:iCs/>
        </w:rPr>
        <w:t xml:space="preserve">provided results of the final OS analysis at the June 2022 data cut (median follow-up was 39.7 months), but the findings were </w:t>
      </w:r>
      <w:r w:rsidR="001221D0">
        <w:rPr>
          <w:iCs/>
        </w:rPr>
        <w:t xml:space="preserve">essentially </w:t>
      </w:r>
      <w:r w:rsidRPr="00E1521D">
        <w:rPr>
          <w:iCs/>
        </w:rPr>
        <w:t xml:space="preserve">unchanged from the interim OS analysis. </w:t>
      </w:r>
      <w:r w:rsidR="00BD4232" w:rsidRPr="00E1521D">
        <w:rPr>
          <w:iCs/>
        </w:rPr>
        <w:t>A</w:t>
      </w:r>
      <w:r w:rsidR="005E2DB4" w:rsidRPr="00E1521D">
        <w:rPr>
          <w:iCs/>
        </w:rPr>
        <w:t>n</w:t>
      </w:r>
      <w:r w:rsidR="00BD4232" w:rsidRPr="00E1521D">
        <w:rPr>
          <w:iCs/>
        </w:rPr>
        <w:t xml:space="preserve"> </w:t>
      </w:r>
      <w:r w:rsidR="005E2DB4" w:rsidRPr="00E1521D">
        <w:rPr>
          <w:iCs/>
        </w:rPr>
        <w:t xml:space="preserve">additional </w:t>
      </w:r>
      <w:r w:rsidR="00BD4232" w:rsidRPr="00E1521D">
        <w:rPr>
          <w:iCs/>
        </w:rPr>
        <w:t xml:space="preserve">21 events </w:t>
      </w:r>
      <w:r w:rsidR="005E2DB4" w:rsidRPr="00E1521D">
        <w:rPr>
          <w:iCs/>
        </w:rPr>
        <w:t>were observed in the approx</w:t>
      </w:r>
      <w:r w:rsidR="00F577CC" w:rsidRPr="00E1521D">
        <w:rPr>
          <w:iCs/>
        </w:rPr>
        <w:t>imately</w:t>
      </w:r>
      <w:r w:rsidR="005E2DB4" w:rsidRPr="00E1521D">
        <w:rPr>
          <w:iCs/>
        </w:rPr>
        <w:t xml:space="preserve"> 12</w:t>
      </w:r>
      <w:r w:rsidR="00DE36CC" w:rsidRPr="00E1521D">
        <w:rPr>
          <w:iCs/>
        </w:rPr>
        <w:t>-</w:t>
      </w:r>
      <w:r w:rsidR="005E2DB4" w:rsidRPr="00E1521D">
        <w:rPr>
          <w:iCs/>
        </w:rPr>
        <w:t xml:space="preserve">month period after the interim analysis (11 in the </w:t>
      </w:r>
      <w:r w:rsidR="00BD4232" w:rsidRPr="00E1521D">
        <w:rPr>
          <w:iCs/>
        </w:rPr>
        <w:lastRenderedPageBreak/>
        <w:t xml:space="preserve">Pola+R-CHP </w:t>
      </w:r>
      <w:r w:rsidR="005E2DB4" w:rsidRPr="00E1521D">
        <w:rPr>
          <w:iCs/>
        </w:rPr>
        <w:t>arm, 10</w:t>
      </w:r>
      <w:r w:rsidR="00BD4232" w:rsidRPr="00E1521D">
        <w:rPr>
          <w:iCs/>
        </w:rPr>
        <w:t xml:space="preserve"> </w:t>
      </w:r>
      <w:r w:rsidR="005E2DB4" w:rsidRPr="00E1521D">
        <w:rPr>
          <w:iCs/>
        </w:rPr>
        <w:t xml:space="preserve">in the </w:t>
      </w:r>
      <w:r w:rsidR="00BD4232" w:rsidRPr="00E1521D">
        <w:rPr>
          <w:iCs/>
        </w:rPr>
        <w:t xml:space="preserve">R-CHOP arm) and </w:t>
      </w:r>
      <w:r w:rsidR="001867AE" w:rsidRPr="00E1521D">
        <w:rPr>
          <w:iCs/>
        </w:rPr>
        <w:t>results continued to show no difference in OS between the treatment arms (</w:t>
      </w:r>
      <w:r w:rsidRPr="00E1521D">
        <w:rPr>
          <w:iCs/>
        </w:rPr>
        <w:t>HR</w:t>
      </w:r>
      <w:r w:rsidR="00D91C15" w:rsidRPr="00E1521D">
        <w:rPr>
          <w:iCs/>
        </w:rPr>
        <w:t xml:space="preserve"> </w:t>
      </w:r>
      <w:r w:rsidR="001867AE" w:rsidRPr="00E1521D">
        <w:rPr>
          <w:iCs/>
        </w:rPr>
        <w:t>=</w:t>
      </w:r>
      <w:r w:rsidR="00D91C15" w:rsidRPr="00E1521D">
        <w:rPr>
          <w:iCs/>
        </w:rPr>
        <w:t xml:space="preserve"> </w:t>
      </w:r>
      <w:r w:rsidRPr="00E1521D">
        <w:rPr>
          <w:iCs/>
        </w:rPr>
        <w:t>0.94</w:t>
      </w:r>
      <w:r w:rsidR="00D91C15" w:rsidRPr="00E1521D">
        <w:rPr>
          <w:iCs/>
        </w:rPr>
        <w:t>;</w:t>
      </w:r>
      <w:r w:rsidRPr="00E1521D">
        <w:rPr>
          <w:iCs/>
        </w:rPr>
        <w:t xml:space="preserve"> 95% CI: 0.67, 1.33</w:t>
      </w:r>
      <w:r w:rsidR="001867AE" w:rsidRPr="00E1521D">
        <w:rPr>
          <w:iCs/>
        </w:rPr>
        <w:t>).</w:t>
      </w:r>
    </w:p>
    <w:p w14:paraId="41A626AB" w14:textId="2D6C8165" w:rsidR="00257FC1" w:rsidRPr="005B024E" w:rsidRDefault="00257FC1" w:rsidP="001E6866">
      <w:pPr>
        <w:pStyle w:val="TableFigureHeading"/>
        <w:rPr>
          <w:rStyle w:val="CommentReference"/>
          <w:b/>
          <w:szCs w:val="24"/>
        </w:rPr>
      </w:pPr>
      <w:bookmarkStart w:id="28" w:name="_Ref111736186"/>
      <w:bookmarkStart w:id="29" w:name="_Hlk116482365"/>
      <w:r w:rsidRPr="005B024E">
        <w:rPr>
          <w:rStyle w:val="CommentReference"/>
          <w:b/>
          <w:szCs w:val="24"/>
        </w:rPr>
        <w:t xml:space="preserve">Table </w:t>
      </w:r>
      <w:r w:rsidR="007F2580">
        <w:fldChar w:fldCharType="begin"/>
      </w:r>
      <w:r w:rsidR="007F2580">
        <w:instrText xml:space="preserve"> SEQ Table \* ARABIC </w:instrText>
      </w:r>
      <w:r w:rsidR="007F2580">
        <w:fldChar w:fldCharType="separate"/>
      </w:r>
      <w:r w:rsidR="007F2580">
        <w:rPr>
          <w:noProof/>
        </w:rPr>
        <w:t>4</w:t>
      </w:r>
      <w:r w:rsidR="007F2580">
        <w:rPr>
          <w:noProof/>
        </w:rPr>
        <w:fldChar w:fldCharType="end"/>
      </w:r>
      <w:bookmarkEnd w:id="28"/>
      <w:r w:rsidRPr="005B024E">
        <w:rPr>
          <w:rStyle w:val="CommentReference"/>
          <w:b/>
          <w:szCs w:val="24"/>
        </w:rPr>
        <w:t xml:space="preserve">: </w:t>
      </w:r>
      <w:r w:rsidR="00C96E05" w:rsidRPr="005B024E">
        <w:rPr>
          <w:rStyle w:val="CommentReference"/>
          <w:b/>
          <w:szCs w:val="24"/>
        </w:rPr>
        <w:t>PFS</w:t>
      </w:r>
      <w:r w:rsidRPr="005B024E">
        <w:rPr>
          <w:rStyle w:val="CommentReference"/>
          <w:b/>
          <w:szCs w:val="24"/>
        </w:rPr>
        <w:t xml:space="preserve"> (INV assessed) and </w:t>
      </w:r>
      <w:r w:rsidR="00C96E05" w:rsidRPr="005B024E">
        <w:rPr>
          <w:rStyle w:val="CommentReference"/>
          <w:b/>
          <w:szCs w:val="24"/>
        </w:rPr>
        <w:t>OS</w:t>
      </w:r>
      <w:r w:rsidRPr="005B024E">
        <w:rPr>
          <w:rStyle w:val="CommentReference"/>
          <w:b/>
          <w:szCs w:val="24"/>
        </w:rPr>
        <w:t xml:space="preserve"> in POLARIX</w:t>
      </w:r>
      <w:r w:rsidR="00F577CC">
        <w:rPr>
          <w:rStyle w:val="CommentReference"/>
          <w:b/>
          <w:szCs w:val="24"/>
        </w:rPr>
        <w:t xml:space="preserve"> (June 2021 data cut)</w:t>
      </w:r>
    </w:p>
    <w:tbl>
      <w:tblPr>
        <w:tblStyle w:val="TableGrid"/>
        <w:tblW w:w="5000" w:type="pct"/>
        <w:tblCellMar>
          <w:left w:w="28" w:type="dxa"/>
          <w:right w:w="28" w:type="dxa"/>
        </w:tblCellMar>
        <w:tblLook w:val="04A0" w:firstRow="1" w:lastRow="0" w:firstColumn="1" w:lastColumn="0" w:noHBand="0" w:noVBand="1"/>
      </w:tblPr>
      <w:tblGrid>
        <w:gridCol w:w="1839"/>
        <w:gridCol w:w="1196"/>
        <w:gridCol w:w="1196"/>
        <w:gridCol w:w="1197"/>
        <w:gridCol w:w="1196"/>
        <w:gridCol w:w="1196"/>
        <w:gridCol w:w="1197"/>
      </w:tblGrid>
      <w:tr w:rsidR="00257FC1" w:rsidRPr="000B2FEE" w14:paraId="1564E3A6" w14:textId="77777777" w:rsidTr="00CA4AE0">
        <w:trPr>
          <w:trHeight w:val="47"/>
        </w:trPr>
        <w:tc>
          <w:tcPr>
            <w:tcW w:w="1020" w:type="pct"/>
            <w:vMerge w:val="restart"/>
            <w:vAlign w:val="center"/>
          </w:tcPr>
          <w:p w14:paraId="1E2641E5" w14:textId="77777777" w:rsidR="00257FC1" w:rsidRPr="000160B2" w:rsidRDefault="00257FC1" w:rsidP="00CA4AE0">
            <w:pPr>
              <w:pStyle w:val="TableText0"/>
              <w:rPr>
                <w:b/>
                <w:szCs w:val="20"/>
              </w:rPr>
            </w:pPr>
            <w:r w:rsidRPr="000160B2">
              <w:rPr>
                <w:b/>
                <w:szCs w:val="20"/>
              </w:rPr>
              <w:t>Outcome</w:t>
            </w:r>
          </w:p>
        </w:tc>
        <w:tc>
          <w:tcPr>
            <w:tcW w:w="1326" w:type="pct"/>
            <w:gridSpan w:val="2"/>
            <w:vAlign w:val="center"/>
          </w:tcPr>
          <w:p w14:paraId="3CBAA484" w14:textId="77777777" w:rsidR="00257FC1" w:rsidRPr="000160B2" w:rsidRDefault="00257FC1" w:rsidP="00CA4AE0">
            <w:pPr>
              <w:pStyle w:val="TableText0"/>
              <w:jc w:val="center"/>
              <w:rPr>
                <w:b/>
                <w:szCs w:val="20"/>
              </w:rPr>
            </w:pPr>
            <w:r w:rsidRPr="000160B2">
              <w:rPr>
                <w:b/>
                <w:szCs w:val="20"/>
              </w:rPr>
              <w:t>ITT Population</w:t>
            </w:r>
          </w:p>
        </w:tc>
        <w:tc>
          <w:tcPr>
            <w:tcW w:w="1327" w:type="pct"/>
            <w:gridSpan w:val="2"/>
            <w:vAlign w:val="center"/>
          </w:tcPr>
          <w:p w14:paraId="5F4629E1" w14:textId="77777777" w:rsidR="00257FC1" w:rsidRPr="000160B2" w:rsidRDefault="00257FC1" w:rsidP="00CA4AE0">
            <w:pPr>
              <w:pStyle w:val="TableText0"/>
              <w:jc w:val="center"/>
              <w:rPr>
                <w:b/>
                <w:szCs w:val="20"/>
              </w:rPr>
            </w:pPr>
            <w:r w:rsidRPr="000160B2">
              <w:rPr>
                <w:b/>
                <w:szCs w:val="20"/>
              </w:rPr>
              <w:t>Subgroup: IPI 3-5</w:t>
            </w:r>
          </w:p>
        </w:tc>
        <w:tc>
          <w:tcPr>
            <w:tcW w:w="1327" w:type="pct"/>
            <w:gridSpan w:val="2"/>
            <w:vAlign w:val="center"/>
          </w:tcPr>
          <w:p w14:paraId="21C172FC" w14:textId="77777777" w:rsidR="00257FC1" w:rsidRPr="000160B2" w:rsidRDefault="00257FC1" w:rsidP="00CA4AE0">
            <w:pPr>
              <w:pStyle w:val="TableText0"/>
              <w:jc w:val="center"/>
              <w:rPr>
                <w:b/>
                <w:szCs w:val="20"/>
              </w:rPr>
            </w:pPr>
            <w:r w:rsidRPr="000160B2">
              <w:rPr>
                <w:b/>
                <w:szCs w:val="20"/>
              </w:rPr>
              <w:t>Compliment: IPI 2</w:t>
            </w:r>
          </w:p>
        </w:tc>
      </w:tr>
      <w:tr w:rsidR="00257FC1" w:rsidRPr="000B2FEE" w14:paraId="4A22C41F" w14:textId="77777777" w:rsidTr="00CA4AE0">
        <w:trPr>
          <w:trHeight w:val="47"/>
        </w:trPr>
        <w:tc>
          <w:tcPr>
            <w:tcW w:w="1020" w:type="pct"/>
            <w:vMerge/>
            <w:vAlign w:val="center"/>
          </w:tcPr>
          <w:p w14:paraId="5A7E1053" w14:textId="77777777" w:rsidR="00257FC1" w:rsidRPr="000160B2" w:rsidRDefault="00257FC1" w:rsidP="00CA4AE0">
            <w:pPr>
              <w:pStyle w:val="TableText0"/>
              <w:rPr>
                <w:b/>
                <w:szCs w:val="20"/>
              </w:rPr>
            </w:pPr>
          </w:p>
        </w:tc>
        <w:tc>
          <w:tcPr>
            <w:tcW w:w="663" w:type="pct"/>
            <w:vAlign w:val="center"/>
          </w:tcPr>
          <w:p w14:paraId="314522C2" w14:textId="77777777" w:rsidR="00257FC1" w:rsidRPr="000160B2" w:rsidRDefault="00257FC1" w:rsidP="00CA4AE0">
            <w:pPr>
              <w:pStyle w:val="TableText0"/>
              <w:jc w:val="center"/>
              <w:rPr>
                <w:b/>
                <w:szCs w:val="20"/>
              </w:rPr>
            </w:pPr>
            <w:r w:rsidRPr="000160B2">
              <w:rPr>
                <w:b/>
                <w:szCs w:val="20"/>
              </w:rPr>
              <w:t>Pola+R-CHP</w:t>
            </w:r>
          </w:p>
        </w:tc>
        <w:tc>
          <w:tcPr>
            <w:tcW w:w="663" w:type="pct"/>
            <w:vAlign w:val="center"/>
          </w:tcPr>
          <w:p w14:paraId="445347D0" w14:textId="77777777" w:rsidR="00257FC1" w:rsidRPr="000160B2" w:rsidRDefault="00257FC1" w:rsidP="00CA4AE0">
            <w:pPr>
              <w:pStyle w:val="TableText0"/>
              <w:jc w:val="center"/>
              <w:rPr>
                <w:b/>
                <w:szCs w:val="20"/>
              </w:rPr>
            </w:pPr>
            <w:r w:rsidRPr="000160B2">
              <w:rPr>
                <w:b/>
                <w:szCs w:val="20"/>
              </w:rPr>
              <w:t>R-CHOP</w:t>
            </w:r>
          </w:p>
        </w:tc>
        <w:tc>
          <w:tcPr>
            <w:tcW w:w="664" w:type="pct"/>
            <w:vAlign w:val="center"/>
          </w:tcPr>
          <w:p w14:paraId="49F6E083" w14:textId="77777777" w:rsidR="00257FC1" w:rsidRPr="000160B2" w:rsidRDefault="00257FC1" w:rsidP="00CA4AE0">
            <w:pPr>
              <w:pStyle w:val="TableText0"/>
              <w:jc w:val="center"/>
              <w:rPr>
                <w:b/>
                <w:szCs w:val="20"/>
              </w:rPr>
            </w:pPr>
            <w:r w:rsidRPr="000160B2">
              <w:rPr>
                <w:b/>
                <w:szCs w:val="20"/>
              </w:rPr>
              <w:t>Pola+R-CHP</w:t>
            </w:r>
          </w:p>
        </w:tc>
        <w:tc>
          <w:tcPr>
            <w:tcW w:w="663" w:type="pct"/>
            <w:vAlign w:val="center"/>
          </w:tcPr>
          <w:p w14:paraId="1F0FD549" w14:textId="77777777" w:rsidR="00257FC1" w:rsidRPr="000160B2" w:rsidRDefault="00257FC1" w:rsidP="00CA4AE0">
            <w:pPr>
              <w:pStyle w:val="TableText0"/>
              <w:jc w:val="center"/>
              <w:rPr>
                <w:b/>
                <w:szCs w:val="20"/>
              </w:rPr>
            </w:pPr>
            <w:r w:rsidRPr="000160B2">
              <w:rPr>
                <w:b/>
                <w:szCs w:val="20"/>
              </w:rPr>
              <w:t>R-CHOP</w:t>
            </w:r>
          </w:p>
        </w:tc>
        <w:tc>
          <w:tcPr>
            <w:tcW w:w="663" w:type="pct"/>
            <w:vAlign w:val="center"/>
          </w:tcPr>
          <w:p w14:paraId="3D76273D" w14:textId="77777777" w:rsidR="00257FC1" w:rsidRPr="000160B2" w:rsidRDefault="00257FC1" w:rsidP="00CA4AE0">
            <w:pPr>
              <w:pStyle w:val="TableText0"/>
              <w:jc w:val="center"/>
              <w:rPr>
                <w:b/>
                <w:szCs w:val="20"/>
              </w:rPr>
            </w:pPr>
            <w:r w:rsidRPr="000160B2">
              <w:rPr>
                <w:b/>
                <w:szCs w:val="20"/>
              </w:rPr>
              <w:t>Pola+R-CHP</w:t>
            </w:r>
          </w:p>
        </w:tc>
        <w:tc>
          <w:tcPr>
            <w:tcW w:w="664" w:type="pct"/>
            <w:vAlign w:val="center"/>
          </w:tcPr>
          <w:p w14:paraId="78CC2134" w14:textId="77777777" w:rsidR="00257FC1" w:rsidRPr="000160B2" w:rsidRDefault="00257FC1" w:rsidP="00CA4AE0">
            <w:pPr>
              <w:pStyle w:val="TableText0"/>
              <w:jc w:val="center"/>
              <w:rPr>
                <w:b/>
                <w:szCs w:val="20"/>
              </w:rPr>
            </w:pPr>
            <w:r w:rsidRPr="000160B2">
              <w:rPr>
                <w:b/>
                <w:szCs w:val="20"/>
              </w:rPr>
              <w:t>R-CHOP</w:t>
            </w:r>
          </w:p>
        </w:tc>
      </w:tr>
      <w:tr w:rsidR="00257FC1" w:rsidRPr="000B2FEE" w14:paraId="26373341" w14:textId="77777777" w:rsidTr="00CA4AE0">
        <w:trPr>
          <w:trHeight w:val="47"/>
        </w:trPr>
        <w:tc>
          <w:tcPr>
            <w:tcW w:w="5000" w:type="pct"/>
            <w:gridSpan w:val="7"/>
            <w:vAlign w:val="center"/>
          </w:tcPr>
          <w:p w14:paraId="32CAB965" w14:textId="77777777" w:rsidR="00257FC1" w:rsidRPr="000160B2" w:rsidRDefault="00257FC1" w:rsidP="00CA4AE0">
            <w:pPr>
              <w:pStyle w:val="TableText0"/>
              <w:rPr>
                <w:b/>
                <w:bCs w:val="0"/>
                <w:szCs w:val="20"/>
              </w:rPr>
            </w:pPr>
            <w:r w:rsidRPr="000160B2">
              <w:rPr>
                <w:b/>
                <w:bCs w:val="0"/>
                <w:szCs w:val="20"/>
              </w:rPr>
              <w:t>Progression-free survival (PFS)</w:t>
            </w:r>
          </w:p>
        </w:tc>
      </w:tr>
      <w:tr w:rsidR="00257FC1" w:rsidRPr="000B2FEE" w14:paraId="692C504E" w14:textId="77777777" w:rsidTr="009B445C">
        <w:trPr>
          <w:trHeight w:val="47"/>
        </w:trPr>
        <w:tc>
          <w:tcPr>
            <w:tcW w:w="1020" w:type="pct"/>
            <w:tcBorders>
              <w:bottom w:val="single" w:sz="4" w:space="0" w:color="auto"/>
            </w:tcBorders>
            <w:vAlign w:val="center"/>
          </w:tcPr>
          <w:p w14:paraId="2EB61D1B" w14:textId="2905202C" w:rsidR="00257FC1" w:rsidRPr="000160B2" w:rsidRDefault="00257FC1" w:rsidP="00CA4AE0">
            <w:pPr>
              <w:pStyle w:val="TableText0"/>
              <w:rPr>
                <w:szCs w:val="20"/>
              </w:rPr>
            </w:pPr>
            <w:r w:rsidRPr="000160B2">
              <w:rPr>
                <w:szCs w:val="20"/>
              </w:rPr>
              <w:t>Events</w:t>
            </w:r>
            <w:r w:rsidR="00691491">
              <w:rPr>
                <w:szCs w:val="20"/>
              </w:rPr>
              <w:t>,</w:t>
            </w:r>
            <w:r w:rsidRPr="000160B2">
              <w:rPr>
                <w:szCs w:val="20"/>
              </w:rPr>
              <w:t xml:space="preserve"> n/N (%)</w:t>
            </w:r>
          </w:p>
        </w:tc>
        <w:tc>
          <w:tcPr>
            <w:tcW w:w="663" w:type="pct"/>
            <w:tcBorders>
              <w:bottom w:val="nil"/>
            </w:tcBorders>
            <w:vAlign w:val="center"/>
          </w:tcPr>
          <w:p w14:paraId="1B875C25" w14:textId="77777777" w:rsidR="00257FC1" w:rsidRPr="000160B2" w:rsidRDefault="00257FC1" w:rsidP="00CA4AE0">
            <w:pPr>
              <w:pStyle w:val="TableText0"/>
              <w:jc w:val="center"/>
              <w:rPr>
                <w:szCs w:val="20"/>
              </w:rPr>
            </w:pPr>
            <w:r w:rsidRPr="000160B2">
              <w:rPr>
                <w:szCs w:val="20"/>
              </w:rPr>
              <w:t>107/440 (24.3)</w:t>
            </w:r>
          </w:p>
        </w:tc>
        <w:tc>
          <w:tcPr>
            <w:tcW w:w="663" w:type="pct"/>
            <w:tcBorders>
              <w:bottom w:val="nil"/>
            </w:tcBorders>
            <w:vAlign w:val="center"/>
          </w:tcPr>
          <w:p w14:paraId="32E6A7EC" w14:textId="77777777" w:rsidR="00257FC1" w:rsidRPr="000160B2" w:rsidRDefault="00257FC1" w:rsidP="00CA4AE0">
            <w:pPr>
              <w:pStyle w:val="TableText0"/>
              <w:jc w:val="center"/>
              <w:rPr>
                <w:szCs w:val="20"/>
              </w:rPr>
            </w:pPr>
            <w:r w:rsidRPr="000160B2">
              <w:rPr>
                <w:rFonts w:cstheme="minorHAnsi"/>
                <w:szCs w:val="20"/>
              </w:rPr>
              <w:t>134/439 (30.5)</w:t>
            </w:r>
          </w:p>
        </w:tc>
        <w:tc>
          <w:tcPr>
            <w:tcW w:w="664" w:type="pct"/>
            <w:tcBorders>
              <w:bottom w:val="nil"/>
            </w:tcBorders>
            <w:vAlign w:val="center"/>
          </w:tcPr>
          <w:p w14:paraId="55C4D037" w14:textId="77777777" w:rsidR="00257FC1" w:rsidRPr="000160B2" w:rsidRDefault="00257FC1" w:rsidP="00CA4AE0">
            <w:pPr>
              <w:pStyle w:val="TableText0"/>
              <w:jc w:val="center"/>
              <w:rPr>
                <w:szCs w:val="20"/>
              </w:rPr>
            </w:pPr>
            <w:r w:rsidRPr="000160B2">
              <w:rPr>
                <w:szCs w:val="20"/>
              </w:rPr>
              <w:t>70/273 (25.6)</w:t>
            </w:r>
          </w:p>
        </w:tc>
        <w:tc>
          <w:tcPr>
            <w:tcW w:w="663" w:type="pct"/>
            <w:tcBorders>
              <w:bottom w:val="nil"/>
            </w:tcBorders>
            <w:vAlign w:val="center"/>
          </w:tcPr>
          <w:p w14:paraId="7A74B2C1" w14:textId="77777777" w:rsidR="00257FC1" w:rsidRPr="000160B2" w:rsidRDefault="00257FC1" w:rsidP="00CA4AE0">
            <w:pPr>
              <w:pStyle w:val="TableText0"/>
              <w:jc w:val="center"/>
              <w:rPr>
                <w:szCs w:val="20"/>
              </w:rPr>
            </w:pPr>
            <w:r w:rsidRPr="000160B2">
              <w:rPr>
                <w:szCs w:val="20"/>
              </w:rPr>
              <w:t>97/272 (35.7)</w:t>
            </w:r>
          </w:p>
        </w:tc>
        <w:tc>
          <w:tcPr>
            <w:tcW w:w="663" w:type="pct"/>
            <w:tcBorders>
              <w:bottom w:val="nil"/>
            </w:tcBorders>
            <w:vAlign w:val="center"/>
          </w:tcPr>
          <w:p w14:paraId="69FAA214" w14:textId="77777777" w:rsidR="00257FC1" w:rsidRPr="000160B2" w:rsidRDefault="00257FC1" w:rsidP="00CA4AE0">
            <w:pPr>
              <w:pStyle w:val="TableText0"/>
              <w:jc w:val="center"/>
              <w:rPr>
                <w:szCs w:val="20"/>
                <w:vertAlign w:val="superscript"/>
              </w:rPr>
            </w:pPr>
            <w:r w:rsidRPr="000160B2">
              <w:rPr>
                <w:szCs w:val="20"/>
              </w:rPr>
              <w:t>NR</w:t>
            </w:r>
          </w:p>
        </w:tc>
        <w:tc>
          <w:tcPr>
            <w:tcW w:w="664" w:type="pct"/>
            <w:tcBorders>
              <w:bottom w:val="nil"/>
            </w:tcBorders>
            <w:vAlign w:val="center"/>
          </w:tcPr>
          <w:p w14:paraId="4F28BECB" w14:textId="77777777" w:rsidR="00257FC1" w:rsidRPr="000160B2" w:rsidRDefault="00257FC1" w:rsidP="00CA4AE0">
            <w:pPr>
              <w:pStyle w:val="TableText0"/>
              <w:jc w:val="center"/>
              <w:rPr>
                <w:szCs w:val="20"/>
                <w:vertAlign w:val="superscript"/>
              </w:rPr>
            </w:pPr>
            <w:r w:rsidRPr="000160B2">
              <w:rPr>
                <w:szCs w:val="20"/>
              </w:rPr>
              <w:t>NR</w:t>
            </w:r>
          </w:p>
        </w:tc>
      </w:tr>
      <w:tr w:rsidR="00257FC1" w:rsidRPr="000B2FEE" w14:paraId="62AF6B06" w14:textId="77777777" w:rsidTr="009B445C">
        <w:trPr>
          <w:trHeight w:val="47"/>
        </w:trPr>
        <w:tc>
          <w:tcPr>
            <w:tcW w:w="1020" w:type="pct"/>
            <w:tcBorders>
              <w:top w:val="single" w:sz="4" w:space="0" w:color="auto"/>
              <w:bottom w:val="single" w:sz="4" w:space="0" w:color="auto"/>
            </w:tcBorders>
            <w:vAlign w:val="center"/>
          </w:tcPr>
          <w:p w14:paraId="6411A304" w14:textId="27AFA32C" w:rsidR="00257FC1" w:rsidRPr="000160B2" w:rsidRDefault="00257FC1" w:rsidP="00CA4AE0">
            <w:pPr>
              <w:pStyle w:val="TableText0"/>
              <w:rPr>
                <w:szCs w:val="20"/>
              </w:rPr>
            </w:pPr>
            <w:r w:rsidRPr="000160B2">
              <w:rPr>
                <w:szCs w:val="20"/>
              </w:rPr>
              <w:t>Median TTE</w:t>
            </w:r>
            <w:r w:rsidR="00691491">
              <w:rPr>
                <w:szCs w:val="20"/>
              </w:rPr>
              <w:t>, months</w:t>
            </w:r>
            <w:r w:rsidRPr="000160B2">
              <w:rPr>
                <w:szCs w:val="20"/>
              </w:rPr>
              <w:t xml:space="preserve"> (95% CI)</w:t>
            </w:r>
          </w:p>
        </w:tc>
        <w:tc>
          <w:tcPr>
            <w:tcW w:w="663" w:type="pct"/>
            <w:vAlign w:val="center"/>
          </w:tcPr>
          <w:p w14:paraId="13A7B2C3" w14:textId="6C963847" w:rsidR="00257FC1" w:rsidRPr="002416B1" w:rsidRDefault="00257FC1" w:rsidP="009B445C">
            <w:pPr>
              <w:jc w:val="center"/>
              <w:rPr>
                <w:sz w:val="20"/>
                <w:szCs w:val="20"/>
                <w:vertAlign w:val="superscript"/>
              </w:rPr>
            </w:pPr>
            <w:r w:rsidRPr="000160B2">
              <w:rPr>
                <w:rFonts w:ascii="Arial Narrow" w:eastAsiaTheme="majorEastAsia" w:hAnsi="Arial Narrow" w:cstheme="majorBidi"/>
                <w:bCs/>
                <w:sz w:val="20"/>
                <w:szCs w:val="20"/>
              </w:rPr>
              <w:t>33 (33.3, NE)</w:t>
            </w:r>
            <w:r w:rsidR="002416B1">
              <w:rPr>
                <w:rFonts w:ascii="Arial Narrow" w:eastAsiaTheme="majorEastAsia" w:hAnsi="Arial Narrow" w:cstheme="majorBidi"/>
                <w:bCs/>
                <w:sz w:val="20"/>
                <w:szCs w:val="20"/>
                <w:vertAlign w:val="superscript"/>
              </w:rPr>
              <w:t xml:space="preserve"> a</w:t>
            </w:r>
          </w:p>
        </w:tc>
        <w:tc>
          <w:tcPr>
            <w:tcW w:w="663" w:type="pct"/>
            <w:vAlign w:val="center"/>
          </w:tcPr>
          <w:p w14:paraId="2381A24E" w14:textId="77777777" w:rsidR="00257FC1" w:rsidRPr="000160B2" w:rsidRDefault="00257FC1" w:rsidP="00CA4AE0">
            <w:pPr>
              <w:pStyle w:val="TableText0"/>
              <w:jc w:val="center"/>
              <w:rPr>
                <w:szCs w:val="20"/>
              </w:rPr>
            </w:pPr>
            <w:r w:rsidRPr="000160B2">
              <w:rPr>
                <w:szCs w:val="20"/>
              </w:rPr>
              <w:t>NE</w:t>
            </w:r>
          </w:p>
        </w:tc>
        <w:tc>
          <w:tcPr>
            <w:tcW w:w="664" w:type="pct"/>
            <w:vAlign w:val="center"/>
          </w:tcPr>
          <w:p w14:paraId="3F3C5E68" w14:textId="77777777" w:rsidR="00257FC1" w:rsidRPr="000160B2" w:rsidRDefault="00257FC1" w:rsidP="00CA4AE0">
            <w:pPr>
              <w:pStyle w:val="TableText0"/>
              <w:jc w:val="center"/>
              <w:rPr>
                <w:szCs w:val="20"/>
              </w:rPr>
            </w:pPr>
            <w:r w:rsidRPr="000160B2">
              <w:rPr>
                <w:szCs w:val="20"/>
              </w:rPr>
              <w:t>NR</w:t>
            </w:r>
          </w:p>
        </w:tc>
        <w:tc>
          <w:tcPr>
            <w:tcW w:w="663" w:type="pct"/>
            <w:vAlign w:val="center"/>
          </w:tcPr>
          <w:p w14:paraId="09FE8DFB" w14:textId="77777777" w:rsidR="00257FC1" w:rsidRPr="000160B2" w:rsidRDefault="00257FC1" w:rsidP="00CA4AE0">
            <w:pPr>
              <w:pStyle w:val="TableText0"/>
              <w:jc w:val="center"/>
              <w:rPr>
                <w:szCs w:val="20"/>
              </w:rPr>
            </w:pPr>
            <w:r w:rsidRPr="000160B2">
              <w:rPr>
                <w:szCs w:val="20"/>
              </w:rPr>
              <w:t>NR</w:t>
            </w:r>
          </w:p>
        </w:tc>
        <w:tc>
          <w:tcPr>
            <w:tcW w:w="663" w:type="pct"/>
            <w:vAlign w:val="center"/>
          </w:tcPr>
          <w:p w14:paraId="059993A1" w14:textId="77777777" w:rsidR="00257FC1" w:rsidRPr="000160B2" w:rsidRDefault="00257FC1" w:rsidP="00CA4AE0">
            <w:pPr>
              <w:pStyle w:val="TableText0"/>
              <w:jc w:val="center"/>
              <w:rPr>
                <w:szCs w:val="20"/>
              </w:rPr>
            </w:pPr>
            <w:r w:rsidRPr="000160B2">
              <w:rPr>
                <w:szCs w:val="20"/>
              </w:rPr>
              <w:t>NR</w:t>
            </w:r>
          </w:p>
        </w:tc>
        <w:tc>
          <w:tcPr>
            <w:tcW w:w="664" w:type="pct"/>
            <w:vAlign w:val="center"/>
          </w:tcPr>
          <w:p w14:paraId="6FC138DD" w14:textId="77777777" w:rsidR="00257FC1" w:rsidRPr="000160B2" w:rsidRDefault="00257FC1" w:rsidP="00CA4AE0">
            <w:pPr>
              <w:pStyle w:val="TableText0"/>
              <w:jc w:val="center"/>
              <w:rPr>
                <w:szCs w:val="20"/>
              </w:rPr>
            </w:pPr>
            <w:r w:rsidRPr="000160B2">
              <w:rPr>
                <w:szCs w:val="20"/>
              </w:rPr>
              <w:t>NR</w:t>
            </w:r>
          </w:p>
        </w:tc>
      </w:tr>
      <w:tr w:rsidR="00257FC1" w:rsidRPr="000B2FEE" w14:paraId="7F76F88F" w14:textId="77777777" w:rsidTr="009B445C">
        <w:trPr>
          <w:trHeight w:val="47"/>
        </w:trPr>
        <w:tc>
          <w:tcPr>
            <w:tcW w:w="1020" w:type="pct"/>
            <w:tcBorders>
              <w:top w:val="single" w:sz="4" w:space="0" w:color="auto"/>
            </w:tcBorders>
            <w:vAlign w:val="center"/>
          </w:tcPr>
          <w:p w14:paraId="7EA99F04" w14:textId="77777777" w:rsidR="00257FC1" w:rsidRPr="000160B2" w:rsidRDefault="00257FC1" w:rsidP="00CA4AE0">
            <w:pPr>
              <w:pStyle w:val="TableText0"/>
              <w:rPr>
                <w:szCs w:val="20"/>
              </w:rPr>
            </w:pPr>
            <w:r w:rsidRPr="000160B2">
              <w:rPr>
                <w:szCs w:val="20"/>
              </w:rPr>
              <w:t>HR (95%)</w:t>
            </w:r>
          </w:p>
        </w:tc>
        <w:tc>
          <w:tcPr>
            <w:tcW w:w="1326" w:type="pct"/>
            <w:gridSpan w:val="2"/>
            <w:vAlign w:val="center"/>
          </w:tcPr>
          <w:p w14:paraId="4C46547D" w14:textId="77777777" w:rsidR="00257FC1" w:rsidRPr="000160B2" w:rsidRDefault="00257FC1" w:rsidP="00CA4AE0">
            <w:pPr>
              <w:pStyle w:val="TableText0"/>
              <w:jc w:val="center"/>
              <w:rPr>
                <w:szCs w:val="20"/>
              </w:rPr>
            </w:pPr>
            <w:r w:rsidRPr="000160B2">
              <w:rPr>
                <w:b/>
                <w:szCs w:val="20"/>
              </w:rPr>
              <w:t>0.73 (0.57, 0.95)</w:t>
            </w:r>
          </w:p>
        </w:tc>
        <w:tc>
          <w:tcPr>
            <w:tcW w:w="1327" w:type="pct"/>
            <w:gridSpan w:val="2"/>
            <w:vAlign w:val="center"/>
          </w:tcPr>
          <w:p w14:paraId="412418F3" w14:textId="543E9C12" w:rsidR="00257FC1" w:rsidRPr="000160B2" w:rsidRDefault="00257FC1" w:rsidP="00CA4AE0">
            <w:pPr>
              <w:pStyle w:val="TableText0"/>
              <w:jc w:val="center"/>
              <w:rPr>
                <w:b/>
                <w:szCs w:val="20"/>
              </w:rPr>
            </w:pPr>
            <w:r w:rsidRPr="000160B2">
              <w:rPr>
                <w:b/>
                <w:szCs w:val="20"/>
              </w:rPr>
              <w:t xml:space="preserve">0.65 (0.47, 0.88) </w:t>
            </w:r>
          </w:p>
        </w:tc>
        <w:tc>
          <w:tcPr>
            <w:tcW w:w="1327" w:type="pct"/>
            <w:gridSpan w:val="2"/>
            <w:vAlign w:val="center"/>
          </w:tcPr>
          <w:p w14:paraId="20DDFE71" w14:textId="63C71418" w:rsidR="00257FC1" w:rsidRPr="00F577CC" w:rsidRDefault="00257FC1" w:rsidP="00CA4AE0">
            <w:pPr>
              <w:pStyle w:val="TableText0"/>
              <w:jc w:val="center"/>
              <w:rPr>
                <w:szCs w:val="20"/>
                <w:vertAlign w:val="superscript"/>
              </w:rPr>
            </w:pPr>
            <w:r w:rsidRPr="000160B2">
              <w:rPr>
                <w:szCs w:val="20"/>
              </w:rPr>
              <w:t>0.99 (0.63, 1.56)</w:t>
            </w:r>
            <w:r w:rsidR="00F577CC">
              <w:rPr>
                <w:szCs w:val="20"/>
                <w:vertAlign w:val="superscript"/>
              </w:rPr>
              <w:t xml:space="preserve"> </w:t>
            </w:r>
            <w:r w:rsidR="002416B1">
              <w:rPr>
                <w:szCs w:val="20"/>
                <w:vertAlign w:val="superscript"/>
              </w:rPr>
              <w:t>b</w:t>
            </w:r>
          </w:p>
        </w:tc>
      </w:tr>
      <w:tr w:rsidR="00257FC1" w:rsidRPr="000B2FEE" w14:paraId="02724E7A" w14:textId="77777777" w:rsidTr="00CA4AE0">
        <w:trPr>
          <w:trHeight w:val="47"/>
        </w:trPr>
        <w:tc>
          <w:tcPr>
            <w:tcW w:w="5000" w:type="pct"/>
            <w:gridSpan w:val="7"/>
            <w:vAlign w:val="center"/>
          </w:tcPr>
          <w:p w14:paraId="122A790B" w14:textId="77777777" w:rsidR="00257FC1" w:rsidRPr="000160B2" w:rsidRDefault="00257FC1" w:rsidP="00CA4AE0">
            <w:pPr>
              <w:pStyle w:val="TableText0"/>
              <w:rPr>
                <w:b/>
                <w:bCs w:val="0"/>
                <w:szCs w:val="20"/>
              </w:rPr>
            </w:pPr>
            <w:r w:rsidRPr="000160B2">
              <w:rPr>
                <w:b/>
                <w:bCs w:val="0"/>
                <w:szCs w:val="20"/>
              </w:rPr>
              <w:t>Overall survival (OS)</w:t>
            </w:r>
          </w:p>
        </w:tc>
      </w:tr>
      <w:tr w:rsidR="00257FC1" w:rsidRPr="000B2FEE" w14:paraId="2BD772E0" w14:textId="77777777" w:rsidTr="009B445C">
        <w:trPr>
          <w:trHeight w:val="47"/>
        </w:trPr>
        <w:tc>
          <w:tcPr>
            <w:tcW w:w="1020" w:type="pct"/>
            <w:tcBorders>
              <w:bottom w:val="single" w:sz="4" w:space="0" w:color="auto"/>
            </w:tcBorders>
            <w:vAlign w:val="center"/>
          </w:tcPr>
          <w:p w14:paraId="763949A0" w14:textId="181392A6" w:rsidR="00257FC1" w:rsidRPr="000160B2" w:rsidRDefault="00257FC1" w:rsidP="00CA4AE0">
            <w:pPr>
              <w:pStyle w:val="TableText0"/>
              <w:rPr>
                <w:szCs w:val="20"/>
              </w:rPr>
            </w:pPr>
            <w:r w:rsidRPr="000160B2">
              <w:rPr>
                <w:szCs w:val="20"/>
              </w:rPr>
              <w:t>Events</w:t>
            </w:r>
            <w:r w:rsidR="00691491">
              <w:rPr>
                <w:szCs w:val="20"/>
              </w:rPr>
              <w:t>,</w:t>
            </w:r>
            <w:r w:rsidRPr="000160B2">
              <w:rPr>
                <w:szCs w:val="20"/>
              </w:rPr>
              <w:t xml:space="preserve"> n/N (%)</w:t>
            </w:r>
          </w:p>
        </w:tc>
        <w:tc>
          <w:tcPr>
            <w:tcW w:w="663" w:type="pct"/>
            <w:vAlign w:val="center"/>
          </w:tcPr>
          <w:p w14:paraId="0ECA7EE2" w14:textId="77777777" w:rsidR="00257FC1" w:rsidRPr="000160B2" w:rsidRDefault="00257FC1" w:rsidP="00CA4AE0">
            <w:pPr>
              <w:pStyle w:val="TableText0"/>
              <w:jc w:val="center"/>
              <w:rPr>
                <w:szCs w:val="20"/>
              </w:rPr>
            </w:pPr>
            <w:r w:rsidRPr="000160B2">
              <w:rPr>
                <w:szCs w:val="20"/>
              </w:rPr>
              <w:t>53/440 (12.1)</w:t>
            </w:r>
          </w:p>
        </w:tc>
        <w:tc>
          <w:tcPr>
            <w:tcW w:w="663" w:type="pct"/>
            <w:vAlign w:val="center"/>
          </w:tcPr>
          <w:p w14:paraId="097262F8" w14:textId="77777777" w:rsidR="00257FC1" w:rsidRPr="000160B2" w:rsidRDefault="00257FC1" w:rsidP="00CA4AE0">
            <w:pPr>
              <w:pStyle w:val="TableText0"/>
              <w:jc w:val="center"/>
              <w:rPr>
                <w:szCs w:val="20"/>
              </w:rPr>
            </w:pPr>
            <w:r w:rsidRPr="000160B2">
              <w:rPr>
                <w:szCs w:val="20"/>
              </w:rPr>
              <w:t>57/439 (13.0)</w:t>
            </w:r>
          </w:p>
        </w:tc>
        <w:tc>
          <w:tcPr>
            <w:tcW w:w="664" w:type="pct"/>
          </w:tcPr>
          <w:p w14:paraId="044B86C9" w14:textId="77777777" w:rsidR="00257FC1" w:rsidRPr="000160B2" w:rsidRDefault="00257FC1" w:rsidP="00CA4AE0">
            <w:pPr>
              <w:pStyle w:val="TableText0"/>
              <w:jc w:val="center"/>
              <w:rPr>
                <w:szCs w:val="20"/>
              </w:rPr>
            </w:pPr>
            <w:r w:rsidRPr="000160B2">
              <w:rPr>
                <w:szCs w:val="20"/>
              </w:rPr>
              <w:t>40/273 (14.7)</w:t>
            </w:r>
          </w:p>
        </w:tc>
        <w:tc>
          <w:tcPr>
            <w:tcW w:w="663" w:type="pct"/>
            <w:vAlign w:val="center"/>
          </w:tcPr>
          <w:p w14:paraId="607E7375" w14:textId="77777777" w:rsidR="00257FC1" w:rsidRPr="000160B2" w:rsidRDefault="00257FC1" w:rsidP="00CA4AE0">
            <w:pPr>
              <w:pStyle w:val="TableText0"/>
              <w:jc w:val="center"/>
              <w:rPr>
                <w:szCs w:val="20"/>
              </w:rPr>
            </w:pPr>
            <w:r w:rsidRPr="000160B2">
              <w:rPr>
                <w:szCs w:val="20"/>
              </w:rPr>
              <w:t>43/272 (15.8)</w:t>
            </w:r>
          </w:p>
        </w:tc>
        <w:tc>
          <w:tcPr>
            <w:tcW w:w="663" w:type="pct"/>
            <w:vAlign w:val="center"/>
          </w:tcPr>
          <w:p w14:paraId="6E20304F" w14:textId="77777777" w:rsidR="00257FC1" w:rsidRPr="000160B2" w:rsidRDefault="00257FC1" w:rsidP="00CA4AE0">
            <w:pPr>
              <w:pStyle w:val="TableText0"/>
              <w:jc w:val="center"/>
              <w:rPr>
                <w:szCs w:val="20"/>
              </w:rPr>
            </w:pPr>
            <w:r w:rsidRPr="000160B2">
              <w:rPr>
                <w:szCs w:val="20"/>
              </w:rPr>
              <w:t>NR</w:t>
            </w:r>
          </w:p>
        </w:tc>
        <w:tc>
          <w:tcPr>
            <w:tcW w:w="664" w:type="pct"/>
            <w:vAlign w:val="center"/>
          </w:tcPr>
          <w:p w14:paraId="63EA3A9D" w14:textId="77777777" w:rsidR="00257FC1" w:rsidRPr="000160B2" w:rsidRDefault="00257FC1" w:rsidP="00CA4AE0">
            <w:pPr>
              <w:pStyle w:val="TableText0"/>
              <w:jc w:val="center"/>
              <w:rPr>
                <w:szCs w:val="20"/>
              </w:rPr>
            </w:pPr>
            <w:r w:rsidRPr="000160B2">
              <w:rPr>
                <w:szCs w:val="20"/>
              </w:rPr>
              <w:t>NR</w:t>
            </w:r>
          </w:p>
        </w:tc>
      </w:tr>
      <w:tr w:rsidR="00257FC1" w:rsidRPr="000B2FEE" w14:paraId="5957034C" w14:textId="77777777" w:rsidTr="009B445C">
        <w:trPr>
          <w:trHeight w:val="47"/>
        </w:trPr>
        <w:tc>
          <w:tcPr>
            <w:tcW w:w="1020" w:type="pct"/>
            <w:tcBorders>
              <w:top w:val="single" w:sz="4" w:space="0" w:color="auto"/>
              <w:bottom w:val="single" w:sz="4" w:space="0" w:color="auto"/>
            </w:tcBorders>
            <w:vAlign w:val="center"/>
          </w:tcPr>
          <w:p w14:paraId="035ECD0D" w14:textId="3BCB44F8" w:rsidR="00257FC1" w:rsidRPr="000160B2" w:rsidRDefault="00257FC1" w:rsidP="00CA4AE0">
            <w:pPr>
              <w:pStyle w:val="TableText0"/>
              <w:rPr>
                <w:szCs w:val="20"/>
              </w:rPr>
            </w:pPr>
            <w:r w:rsidRPr="000160B2">
              <w:rPr>
                <w:szCs w:val="20"/>
              </w:rPr>
              <w:t>Median TTE</w:t>
            </w:r>
            <w:r w:rsidR="00691491">
              <w:rPr>
                <w:szCs w:val="20"/>
              </w:rPr>
              <w:t>, months</w:t>
            </w:r>
            <w:r w:rsidRPr="000160B2">
              <w:rPr>
                <w:szCs w:val="20"/>
              </w:rPr>
              <w:t xml:space="preserve"> (95% CI)</w:t>
            </w:r>
          </w:p>
        </w:tc>
        <w:tc>
          <w:tcPr>
            <w:tcW w:w="663" w:type="pct"/>
            <w:vAlign w:val="center"/>
          </w:tcPr>
          <w:p w14:paraId="66ED1EBF" w14:textId="77777777" w:rsidR="00257FC1" w:rsidRPr="000160B2" w:rsidRDefault="00257FC1" w:rsidP="00CA4AE0">
            <w:pPr>
              <w:pStyle w:val="TableText0"/>
              <w:jc w:val="center"/>
              <w:rPr>
                <w:szCs w:val="20"/>
              </w:rPr>
            </w:pPr>
            <w:r w:rsidRPr="000160B2">
              <w:rPr>
                <w:szCs w:val="20"/>
              </w:rPr>
              <w:t>NE</w:t>
            </w:r>
          </w:p>
        </w:tc>
        <w:tc>
          <w:tcPr>
            <w:tcW w:w="663" w:type="pct"/>
            <w:vAlign w:val="center"/>
          </w:tcPr>
          <w:p w14:paraId="31C179FA" w14:textId="77777777" w:rsidR="00257FC1" w:rsidRPr="000160B2" w:rsidRDefault="00257FC1" w:rsidP="00CA4AE0">
            <w:pPr>
              <w:pStyle w:val="TableText0"/>
              <w:jc w:val="center"/>
              <w:rPr>
                <w:szCs w:val="20"/>
              </w:rPr>
            </w:pPr>
            <w:r w:rsidRPr="000160B2">
              <w:rPr>
                <w:szCs w:val="20"/>
              </w:rPr>
              <w:t>NE</w:t>
            </w:r>
          </w:p>
        </w:tc>
        <w:tc>
          <w:tcPr>
            <w:tcW w:w="664" w:type="pct"/>
            <w:vAlign w:val="center"/>
          </w:tcPr>
          <w:p w14:paraId="66713792" w14:textId="77777777" w:rsidR="00257FC1" w:rsidRPr="000160B2" w:rsidRDefault="00257FC1" w:rsidP="00CA4AE0">
            <w:pPr>
              <w:pStyle w:val="TableText0"/>
              <w:jc w:val="center"/>
              <w:rPr>
                <w:szCs w:val="20"/>
              </w:rPr>
            </w:pPr>
            <w:r w:rsidRPr="000160B2">
              <w:rPr>
                <w:szCs w:val="20"/>
              </w:rPr>
              <w:t>NE</w:t>
            </w:r>
          </w:p>
        </w:tc>
        <w:tc>
          <w:tcPr>
            <w:tcW w:w="663" w:type="pct"/>
            <w:vAlign w:val="center"/>
          </w:tcPr>
          <w:p w14:paraId="206DCE62" w14:textId="77777777" w:rsidR="00257FC1" w:rsidRPr="000160B2" w:rsidRDefault="00257FC1" w:rsidP="00CA4AE0">
            <w:pPr>
              <w:pStyle w:val="TableText0"/>
              <w:jc w:val="center"/>
              <w:rPr>
                <w:szCs w:val="20"/>
              </w:rPr>
            </w:pPr>
            <w:r w:rsidRPr="000160B2">
              <w:rPr>
                <w:szCs w:val="20"/>
              </w:rPr>
              <w:t>NE</w:t>
            </w:r>
          </w:p>
        </w:tc>
        <w:tc>
          <w:tcPr>
            <w:tcW w:w="663" w:type="pct"/>
            <w:vAlign w:val="center"/>
          </w:tcPr>
          <w:p w14:paraId="2F93401F" w14:textId="77777777" w:rsidR="00257FC1" w:rsidRPr="000160B2" w:rsidRDefault="00257FC1" w:rsidP="00CA4AE0">
            <w:pPr>
              <w:pStyle w:val="TableText0"/>
              <w:jc w:val="center"/>
              <w:rPr>
                <w:szCs w:val="20"/>
              </w:rPr>
            </w:pPr>
            <w:r w:rsidRPr="000160B2">
              <w:rPr>
                <w:szCs w:val="20"/>
              </w:rPr>
              <w:t>NR</w:t>
            </w:r>
          </w:p>
        </w:tc>
        <w:tc>
          <w:tcPr>
            <w:tcW w:w="664" w:type="pct"/>
            <w:vAlign w:val="center"/>
          </w:tcPr>
          <w:p w14:paraId="3F0FB9C8" w14:textId="77777777" w:rsidR="00257FC1" w:rsidRPr="000160B2" w:rsidRDefault="00257FC1" w:rsidP="00CA4AE0">
            <w:pPr>
              <w:pStyle w:val="TableText0"/>
              <w:jc w:val="center"/>
              <w:rPr>
                <w:szCs w:val="20"/>
              </w:rPr>
            </w:pPr>
            <w:r w:rsidRPr="000160B2">
              <w:rPr>
                <w:szCs w:val="20"/>
              </w:rPr>
              <w:t>NR</w:t>
            </w:r>
          </w:p>
        </w:tc>
      </w:tr>
      <w:tr w:rsidR="00257FC1" w:rsidRPr="000B2FEE" w14:paraId="6BA8F0B5" w14:textId="77777777" w:rsidTr="009B445C">
        <w:trPr>
          <w:trHeight w:val="47"/>
        </w:trPr>
        <w:tc>
          <w:tcPr>
            <w:tcW w:w="1020" w:type="pct"/>
            <w:tcBorders>
              <w:top w:val="single" w:sz="4" w:space="0" w:color="auto"/>
            </w:tcBorders>
            <w:vAlign w:val="center"/>
          </w:tcPr>
          <w:p w14:paraId="7A266C0C" w14:textId="77777777" w:rsidR="00257FC1" w:rsidRPr="000160B2" w:rsidRDefault="00257FC1" w:rsidP="00CA4AE0">
            <w:pPr>
              <w:pStyle w:val="TableText0"/>
              <w:rPr>
                <w:szCs w:val="20"/>
              </w:rPr>
            </w:pPr>
            <w:r w:rsidRPr="000160B2">
              <w:rPr>
                <w:szCs w:val="20"/>
              </w:rPr>
              <w:t>HR (95%)</w:t>
            </w:r>
          </w:p>
        </w:tc>
        <w:tc>
          <w:tcPr>
            <w:tcW w:w="1326" w:type="pct"/>
            <w:gridSpan w:val="2"/>
            <w:vAlign w:val="center"/>
          </w:tcPr>
          <w:p w14:paraId="2F0C08B7" w14:textId="77777777" w:rsidR="00257FC1" w:rsidRPr="000160B2" w:rsidRDefault="00257FC1" w:rsidP="00CA4AE0">
            <w:pPr>
              <w:pStyle w:val="TableText0"/>
              <w:jc w:val="center"/>
              <w:rPr>
                <w:b/>
                <w:szCs w:val="20"/>
              </w:rPr>
            </w:pPr>
            <w:r w:rsidRPr="000160B2">
              <w:rPr>
                <w:szCs w:val="20"/>
              </w:rPr>
              <w:t>0.94 (0.65, 1.37)</w:t>
            </w:r>
          </w:p>
        </w:tc>
        <w:tc>
          <w:tcPr>
            <w:tcW w:w="1327" w:type="pct"/>
            <w:gridSpan w:val="2"/>
            <w:vAlign w:val="center"/>
          </w:tcPr>
          <w:p w14:paraId="7BB70DCC" w14:textId="77777777" w:rsidR="00257FC1" w:rsidRPr="000160B2" w:rsidRDefault="00257FC1" w:rsidP="00CA4AE0">
            <w:pPr>
              <w:pStyle w:val="TableText0"/>
              <w:jc w:val="center"/>
              <w:rPr>
                <w:szCs w:val="20"/>
              </w:rPr>
            </w:pPr>
            <w:r w:rsidRPr="000160B2">
              <w:rPr>
                <w:szCs w:val="20"/>
              </w:rPr>
              <w:t>0.93 (0.60, 1.43)</w:t>
            </w:r>
          </w:p>
        </w:tc>
        <w:tc>
          <w:tcPr>
            <w:tcW w:w="1327" w:type="pct"/>
            <w:gridSpan w:val="2"/>
            <w:vAlign w:val="center"/>
          </w:tcPr>
          <w:p w14:paraId="38994997" w14:textId="77777777" w:rsidR="00257FC1" w:rsidRPr="000160B2" w:rsidRDefault="00257FC1" w:rsidP="00CA4AE0">
            <w:pPr>
              <w:pStyle w:val="TableText0"/>
              <w:jc w:val="center"/>
              <w:rPr>
                <w:szCs w:val="20"/>
              </w:rPr>
            </w:pPr>
            <w:r w:rsidRPr="000160B2">
              <w:rPr>
                <w:szCs w:val="20"/>
              </w:rPr>
              <w:t>NR</w:t>
            </w:r>
          </w:p>
        </w:tc>
      </w:tr>
    </w:tbl>
    <w:p w14:paraId="4B273B33" w14:textId="77777777" w:rsidR="00257FC1" w:rsidRPr="005B024E" w:rsidRDefault="00257FC1" w:rsidP="00257FC1">
      <w:pPr>
        <w:pStyle w:val="TableFigureFooter"/>
      </w:pPr>
      <w:r w:rsidRPr="005B024E">
        <w:t>Source: Table 2.14, p 41, Table 2.26, p 59 and Figure 2.8, p 56 of the submission; Table 2.27, p 61 of the submission</w:t>
      </w:r>
    </w:p>
    <w:p w14:paraId="3A57FDE8" w14:textId="77777777" w:rsidR="00F577CC" w:rsidRDefault="00257FC1" w:rsidP="00257FC1">
      <w:pPr>
        <w:pStyle w:val="TableFigureFooter"/>
      </w:pPr>
      <w:r w:rsidRPr="005B024E">
        <w:t>CI = confidence interval; INV = investigator; ITT = intention-to-treat; PFS = progression-free survival; Pola = polatuzumab vedotin; R-CHOP = rituximab plus cyclophosphamide, doxorubicin, vincristine and prednisone; R-CHP = rituximab plus cyclophosphamide, doxorubicin and prednisone; TTE = time to event;</w:t>
      </w:r>
      <w:r w:rsidRPr="005B024E">
        <w:rPr>
          <w:b/>
        </w:rPr>
        <w:t xml:space="preserve"> Bold</w:t>
      </w:r>
      <w:r w:rsidRPr="005B024E">
        <w:t xml:space="preserve"> = statistically significant</w:t>
      </w:r>
    </w:p>
    <w:p w14:paraId="1E343C76" w14:textId="35D96B7F" w:rsidR="002416B1" w:rsidRPr="00476211" w:rsidRDefault="00F577CC" w:rsidP="00257FC1">
      <w:pPr>
        <w:pStyle w:val="TableFigureFooter"/>
      </w:pPr>
      <w:r w:rsidRPr="00476211">
        <w:rPr>
          <w:vertAlign w:val="superscript"/>
        </w:rPr>
        <w:t xml:space="preserve">a </w:t>
      </w:r>
      <w:r w:rsidR="002416B1" w:rsidRPr="00476211">
        <w:t>The ESC noted that the</w:t>
      </w:r>
      <w:r w:rsidR="00FC5220" w:rsidRPr="00476211">
        <w:t xml:space="preserve"> median PFS for Pola was not reliable as it was estimated due to an artefact of the censoring where the PFS curve is vertical at the end and crosses the 50% probability threshold at that point.</w:t>
      </w:r>
    </w:p>
    <w:bookmarkEnd w:id="29"/>
    <w:p w14:paraId="3B16FFA6" w14:textId="04B9A078" w:rsidR="00257FC1" w:rsidRPr="005B024E" w:rsidRDefault="002416B1" w:rsidP="00257FC1">
      <w:pPr>
        <w:pStyle w:val="TableFigureFooter"/>
      </w:pPr>
      <w:r>
        <w:rPr>
          <w:vertAlign w:val="superscript"/>
        </w:rPr>
        <w:t>b</w:t>
      </w:r>
      <w:r w:rsidR="00731230">
        <w:rPr>
          <w:vertAlign w:val="superscript"/>
        </w:rPr>
        <w:t xml:space="preserve"> </w:t>
      </w:r>
      <w:r w:rsidR="00F577CC">
        <w:t>C</w:t>
      </w:r>
      <w:r w:rsidR="00257FC1" w:rsidRPr="005B024E">
        <w:t xml:space="preserve">onstructed during evaluation </w:t>
      </w:r>
    </w:p>
    <w:p w14:paraId="32523F00" w14:textId="76F4FC73" w:rsidR="00257FC1" w:rsidRPr="005B024E" w:rsidRDefault="00257FC1" w:rsidP="00C96E05">
      <w:pPr>
        <w:pStyle w:val="TableFigureHeading"/>
      </w:pPr>
      <w:bookmarkStart w:id="30" w:name="_Ref111736192"/>
      <w:r w:rsidRPr="00626FF0">
        <w:lastRenderedPageBreak/>
        <w:t xml:space="preserve">Figure </w:t>
      </w:r>
      <w:fldSimple w:instr=" SEQ Figure \* ARABIC ">
        <w:r w:rsidR="007F2580">
          <w:rPr>
            <w:noProof/>
          </w:rPr>
          <w:t>1</w:t>
        </w:r>
      </w:fldSimple>
      <w:bookmarkEnd w:id="30"/>
      <w:r w:rsidRPr="00626FF0">
        <w:t xml:space="preserve">: Kaplan-Meier curves for PFS (INV- assessed) and OS in POLARIX (red </w:t>
      </w:r>
      <w:r w:rsidR="00C96E05" w:rsidRPr="00626FF0">
        <w:t>=</w:t>
      </w:r>
      <w:r w:rsidRPr="00626FF0">
        <w:t xml:space="preserve"> Pola+R-CHP; blue </w:t>
      </w:r>
      <w:r w:rsidR="00C96E05" w:rsidRPr="00626FF0">
        <w:t>=</w:t>
      </w:r>
      <w:r w:rsidRPr="00626FF0">
        <w:t xml:space="preserve"> R-CHOP)</w:t>
      </w:r>
      <w:r w:rsidR="00F577CC" w:rsidRPr="00626FF0">
        <w:t xml:space="preserve"> (June 2021 data cut)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562"/>
        <w:gridCol w:w="4088"/>
        <w:gridCol w:w="4376"/>
      </w:tblGrid>
      <w:tr w:rsidR="00257FC1" w:rsidRPr="005B024E" w14:paraId="1ED60C51" w14:textId="77777777" w:rsidTr="00CA4AE0">
        <w:tc>
          <w:tcPr>
            <w:tcW w:w="562" w:type="dxa"/>
            <w:vAlign w:val="center"/>
          </w:tcPr>
          <w:p w14:paraId="1847BFFD" w14:textId="77777777" w:rsidR="00257FC1" w:rsidRPr="005B024E" w:rsidRDefault="00257FC1" w:rsidP="00CA4AE0">
            <w:pPr>
              <w:pStyle w:val="TableFigureHeading"/>
              <w:rPr>
                <w:b w:val="0"/>
                <w:bCs w:val="0"/>
              </w:rPr>
            </w:pPr>
          </w:p>
        </w:tc>
        <w:tc>
          <w:tcPr>
            <w:tcW w:w="4079" w:type="dxa"/>
            <w:vAlign w:val="center"/>
          </w:tcPr>
          <w:p w14:paraId="139D1059" w14:textId="77777777" w:rsidR="00257FC1" w:rsidRPr="005B024E" w:rsidRDefault="00257FC1" w:rsidP="00CA4AE0">
            <w:pPr>
              <w:pStyle w:val="TableFigureHeading"/>
              <w:jc w:val="center"/>
            </w:pPr>
            <w:r w:rsidRPr="005B024E">
              <w:t>PFS</w:t>
            </w:r>
          </w:p>
        </w:tc>
        <w:tc>
          <w:tcPr>
            <w:tcW w:w="4376" w:type="dxa"/>
            <w:vAlign w:val="center"/>
          </w:tcPr>
          <w:p w14:paraId="0B88EC18" w14:textId="77777777" w:rsidR="00257FC1" w:rsidRPr="005B024E" w:rsidRDefault="00257FC1" w:rsidP="00CA4AE0">
            <w:pPr>
              <w:pStyle w:val="TableFigureHeading"/>
              <w:jc w:val="center"/>
            </w:pPr>
            <w:r w:rsidRPr="005B024E">
              <w:t>OS</w:t>
            </w:r>
          </w:p>
        </w:tc>
      </w:tr>
      <w:tr w:rsidR="00257FC1" w:rsidRPr="005B024E" w14:paraId="262B62D1" w14:textId="77777777" w:rsidTr="00CA4AE0">
        <w:tc>
          <w:tcPr>
            <w:tcW w:w="562" w:type="dxa"/>
            <w:vAlign w:val="center"/>
          </w:tcPr>
          <w:p w14:paraId="14A350BA" w14:textId="77777777" w:rsidR="00257FC1" w:rsidRPr="005B024E" w:rsidRDefault="00257FC1" w:rsidP="00CA4AE0">
            <w:pPr>
              <w:pStyle w:val="TableFigureHeading"/>
            </w:pPr>
            <w:r w:rsidRPr="005B024E">
              <w:t>ITT</w:t>
            </w:r>
          </w:p>
        </w:tc>
        <w:tc>
          <w:tcPr>
            <w:tcW w:w="4079" w:type="dxa"/>
            <w:vAlign w:val="center"/>
          </w:tcPr>
          <w:p w14:paraId="585CA61E" w14:textId="77777777" w:rsidR="00257FC1" w:rsidRPr="005B024E" w:rsidRDefault="00257FC1" w:rsidP="00CA4AE0">
            <w:pPr>
              <w:pStyle w:val="TableFigureHeading"/>
              <w:jc w:val="center"/>
              <w:rPr>
                <w:b w:val="0"/>
                <w:bCs w:val="0"/>
              </w:rPr>
            </w:pPr>
            <w:r w:rsidRPr="005B024E">
              <w:rPr>
                <w:noProof/>
                <w:lang w:val="en-US" w:eastAsia="en-US"/>
              </w:rPr>
              <w:drawing>
                <wp:inline distT="0" distB="0" distL="0" distR="0" wp14:anchorId="41D38567" wp14:editId="59037F6B">
                  <wp:extent cx="2541319" cy="1421784"/>
                  <wp:effectExtent l="0" t="0" r="0" b="6985"/>
                  <wp:docPr id="8" name="Picture 8" descr="Figure 1: Kaplan-Meier curves for PFS (INV- assessed) and OS in POLARIX (red = Pola+R-CHP; blue = R-CHOP) (June 2021 data cut) - PFS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1: Kaplan-Meier curves for PFS (INV- assessed) and OS in POLARIX (red = Pola+R-CHP; blue = R-CHOP) (June 2021 data cut) - PFS ITT"/>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2574911" cy="1440577"/>
                          </a:xfrm>
                          <a:prstGeom prst="rect">
                            <a:avLst/>
                          </a:prstGeom>
                          <a:ln>
                            <a:noFill/>
                          </a:ln>
                          <a:extLst>
                            <a:ext uri="{53640926-AAD7-44D8-BBD7-CCE9431645EC}">
                              <a14:shadowObscured xmlns:a14="http://schemas.microsoft.com/office/drawing/2010/main"/>
                            </a:ext>
                          </a:extLst>
                        </pic:spPr>
                      </pic:pic>
                    </a:graphicData>
                  </a:graphic>
                </wp:inline>
              </w:drawing>
            </w:r>
          </w:p>
        </w:tc>
        <w:tc>
          <w:tcPr>
            <w:tcW w:w="4376" w:type="dxa"/>
            <w:vAlign w:val="center"/>
          </w:tcPr>
          <w:p w14:paraId="755DAFBA" w14:textId="77777777" w:rsidR="00257FC1" w:rsidRPr="005B024E" w:rsidRDefault="00257FC1" w:rsidP="00CA4AE0">
            <w:pPr>
              <w:pStyle w:val="TableFigureHeading"/>
              <w:jc w:val="center"/>
              <w:rPr>
                <w:b w:val="0"/>
                <w:bCs w:val="0"/>
              </w:rPr>
            </w:pPr>
            <w:r w:rsidRPr="005B024E">
              <w:rPr>
                <w:noProof/>
                <w:lang w:val="en-US" w:eastAsia="en-US"/>
              </w:rPr>
              <w:drawing>
                <wp:inline distT="0" distB="0" distL="0" distR="0" wp14:anchorId="39F08DBA" wp14:editId="0675DF53">
                  <wp:extent cx="2583709" cy="1454727"/>
                  <wp:effectExtent l="0" t="0" r="7620" b="0"/>
                  <wp:docPr id="10" name="Picture 10" descr="Figure 1: Kaplan-Meier curves for PFS (INV- assessed) and OS in POLARIX (red = Pola+R-CHP; blue = R-CHOP) (June 2021 data cut) OS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1: Kaplan-Meier curves for PFS (INV- assessed) and OS in POLARIX (red = Pola+R-CHP; blue = R-CHOP) (June 2021 data cut) OS ITT"/>
                          <pic:cNvPicPr/>
                        </pic:nvPicPr>
                        <pic:blipFill>
                          <a:blip r:embed="rId9" cstate="print">
                            <a:extLst>
                              <a:ext uri="{28A0092B-C50C-407E-A947-70E740481C1C}">
                                <a14:useLocalDpi xmlns:a14="http://schemas.microsoft.com/office/drawing/2010/main"/>
                              </a:ext>
                            </a:extLst>
                          </a:blip>
                          <a:stretch>
                            <a:fillRect/>
                          </a:stretch>
                        </pic:blipFill>
                        <pic:spPr>
                          <a:xfrm>
                            <a:off x="0" y="0"/>
                            <a:ext cx="2606036" cy="1467298"/>
                          </a:xfrm>
                          <a:prstGeom prst="rect">
                            <a:avLst/>
                          </a:prstGeom>
                        </pic:spPr>
                      </pic:pic>
                    </a:graphicData>
                  </a:graphic>
                </wp:inline>
              </w:drawing>
            </w:r>
          </w:p>
        </w:tc>
      </w:tr>
      <w:tr w:rsidR="00257FC1" w:rsidRPr="005B024E" w14:paraId="13801B29" w14:textId="77777777" w:rsidTr="00CA4AE0">
        <w:tc>
          <w:tcPr>
            <w:tcW w:w="562" w:type="dxa"/>
            <w:vAlign w:val="center"/>
          </w:tcPr>
          <w:p w14:paraId="697AA34C" w14:textId="77777777" w:rsidR="00257FC1" w:rsidRPr="005B024E" w:rsidRDefault="00257FC1" w:rsidP="00CA4AE0">
            <w:pPr>
              <w:pStyle w:val="TableFigureHeading"/>
            </w:pPr>
            <w:r w:rsidRPr="005B024E">
              <w:t>IPI 3-5</w:t>
            </w:r>
          </w:p>
        </w:tc>
        <w:tc>
          <w:tcPr>
            <w:tcW w:w="4079" w:type="dxa"/>
            <w:vAlign w:val="center"/>
          </w:tcPr>
          <w:p w14:paraId="20D77D5E" w14:textId="7309BE4A" w:rsidR="00257FC1" w:rsidRPr="005B024E" w:rsidRDefault="008E5CC4" w:rsidP="00CA4AE0">
            <w:pPr>
              <w:pStyle w:val="TableFigureHeading"/>
              <w:jc w:val="center"/>
              <w:rPr>
                <w:b w:val="0"/>
                <w:bCs w:val="0"/>
              </w:rPr>
            </w:pPr>
            <w:r w:rsidRPr="005B024E">
              <w:rPr>
                <w:b w:val="0"/>
                <w:bCs w:val="0"/>
                <w:noProof/>
                <w:lang w:val="en-US" w:eastAsia="en-US"/>
              </w:rPr>
              <w:drawing>
                <wp:inline distT="0" distB="0" distL="0" distR="0" wp14:anchorId="675E60F1" wp14:editId="763C1E49">
                  <wp:extent cx="2560320" cy="1286510"/>
                  <wp:effectExtent l="0" t="0" r="0" b="8890"/>
                  <wp:docPr id="271" name="Picture 271" descr="Figure 1: Kaplan-Meier curves for PFS (INV- assessed) and OS in POLARIX (red = Pola+R-CHP; blue = R-CHOP) (June 2021 data cut) - PFS IPI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Picture 271" descr="Figure 1: Kaplan-Meier curves for PFS (INV- assessed) and OS in POLARIX (red = Pola+R-CHP; blue = R-CHOP) (June 2021 data cut) - PFS IPI 3-5"/>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2560320" cy="1286510"/>
                          </a:xfrm>
                          <a:prstGeom prst="rect">
                            <a:avLst/>
                          </a:prstGeom>
                          <a:noFill/>
                        </pic:spPr>
                      </pic:pic>
                    </a:graphicData>
                  </a:graphic>
                </wp:inline>
              </w:drawing>
            </w:r>
          </w:p>
        </w:tc>
        <w:tc>
          <w:tcPr>
            <w:tcW w:w="4376" w:type="dxa"/>
            <w:vAlign w:val="center"/>
          </w:tcPr>
          <w:p w14:paraId="05F14210" w14:textId="77777777" w:rsidR="00257FC1" w:rsidRPr="005B024E" w:rsidRDefault="00257FC1" w:rsidP="00CA4AE0">
            <w:pPr>
              <w:pStyle w:val="TableFigureHeading"/>
              <w:jc w:val="center"/>
              <w:rPr>
                <w:b w:val="0"/>
                <w:bCs w:val="0"/>
              </w:rPr>
            </w:pPr>
            <w:r w:rsidRPr="005B024E">
              <w:rPr>
                <w:rFonts w:eastAsia="Calibri" w:cs="Calibri"/>
                <w:noProof/>
                <w:lang w:val="en-US" w:eastAsia="en-US"/>
              </w:rPr>
              <w:drawing>
                <wp:inline distT="0" distB="0" distL="114300" distR="114300" wp14:anchorId="4D8C155C" wp14:editId="7B62BE5E">
                  <wp:extent cx="2743200" cy="1312224"/>
                  <wp:effectExtent l="0" t="0" r="0" b="2540"/>
                  <wp:docPr id="11" name="image5.png" descr="Figure 1: Kaplan-Meier curves for PFS (INV- assessed) and OS in POLARIX (red = Pola+R-CHP; blue = R-CHOP) (June 2021 data cut) OS IPI 3-5"/>
                  <wp:cNvGraphicFramePr/>
                  <a:graphic xmlns:a="http://schemas.openxmlformats.org/drawingml/2006/main">
                    <a:graphicData uri="http://schemas.openxmlformats.org/drawingml/2006/picture">
                      <pic:pic xmlns:pic="http://schemas.openxmlformats.org/drawingml/2006/picture">
                        <pic:nvPicPr>
                          <pic:cNvPr id="11" name="image5.png" descr="Figure 1: Kaplan-Meier curves for PFS (INV- assessed) and OS in POLARIX (red = Pola+R-CHP; blue = R-CHOP) (June 2021 data cut) OS IPI 3-5"/>
                          <pic:cNvPicPr preferRelativeResize="0"/>
                        </pic:nvPicPr>
                        <pic:blipFill>
                          <a:blip r:embed="rId11" cstate="hqprint">
                            <a:extLst>
                              <a:ext uri="{28A0092B-C50C-407E-A947-70E740481C1C}">
                                <a14:useLocalDpi xmlns:a14="http://schemas.microsoft.com/office/drawing/2010/main"/>
                              </a:ext>
                            </a:extLst>
                          </a:blip>
                          <a:srcRect/>
                          <a:stretch>
                            <a:fillRect/>
                          </a:stretch>
                        </pic:blipFill>
                        <pic:spPr>
                          <a:xfrm>
                            <a:off x="0" y="0"/>
                            <a:ext cx="2766682" cy="1323457"/>
                          </a:xfrm>
                          <a:prstGeom prst="rect">
                            <a:avLst/>
                          </a:prstGeom>
                          <a:ln/>
                        </pic:spPr>
                      </pic:pic>
                    </a:graphicData>
                  </a:graphic>
                </wp:inline>
              </w:drawing>
            </w:r>
          </w:p>
        </w:tc>
      </w:tr>
      <w:tr w:rsidR="00257FC1" w:rsidRPr="005B024E" w14:paraId="49DF29DB" w14:textId="77777777" w:rsidTr="00CA4AE0">
        <w:tc>
          <w:tcPr>
            <w:tcW w:w="562" w:type="dxa"/>
            <w:vAlign w:val="center"/>
          </w:tcPr>
          <w:p w14:paraId="349EA1FA" w14:textId="77777777" w:rsidR="00257FC1" w:rsidRPr="005B024E" w:rsidRDefault="00257FC1" w:rsidP="00CA4AE0">
            <w:pPr>
              <w:pStyle w:val="TableFigureHeading"/>
            </w:pPr>
            <w:r w:rsidRPr="005B024E">
              <w:t>IPI 2</w:t>
            </w:r>
          </w:p>
        </w:tc>
        <w:tc>
          <w:tcPr>
            <w:tcW w:w="4079" w:type="dxa"/>
            <w:vAlign w:val="center"/>
          </w:tcPr>
          <w:p w14:paraId="44B8C27F" w14:textId="77777777" w:rsidR="00257FC1" w:rsidRPr="005B024E" w:rsidRDefault="00257FC1" w:rsidP="00CA4AE0">
            <w:pPr>
              <w:pStyle w:val="TableFigureHeading"/>
              <w:jc w:val="center"/>
              <w:rPr>
                <w:b w:val="0"/>
                <w:bCs w:val="0"/>
              </w:rPr>
            </w:pPr>
            <w:r w:rsidRPr="005B024E">
              <w:rPr>
                <w:noProof/>
                <w:lang w:val="en-US" w:eastAsia="en-US"/>
              </w:rPr>
              <w:drawing>
                <wp:inline distT="0" distB="0" distL="0" distR="0" wp14:anchorId="6125F380" wp14:editId="1425B511">
                  <wp:extent cx="2535382" cy="1382529"/>
                  <wp:effectExtent l="0" t="0" r="0" b="8255"/>
                  <wp:docPr id="12" name="Picture 5" descr="Figure 1: Kaplan-Meier curves for PFS (INV- assessed) and OS in POLARIX (red = Pola+R-CHP; blue = R-CHOP) (June 2021 data cut) PFS  I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Figure 1: Kaplan-Meier curves for PFS (INV- assessed) and OS in POLARIX (red = Pola+R-CHP; blue = R-CHOP) (June 2021 data cut) PFS  IPI-2"/>
                          <pic:cNvPicPr>
                            <a:picLocks noChangeAspect="1"/>
                          </pic:cNvPicPr>
                        </pic:nvPicPr>
                        <pic:blipFill>
                          <a:blip r:embed="rId12" cstate="print">
                            <a:extLst>
                              <a:ext uri="{28A0092B-C50C-407E-A947-70E740481C1C}">
                                <a14:useLocalDpi xmlns:a14="http://schemas.microsoft.com/office/drawing/2010/main"/>
                              </a:ext>
                            </a:extLst>
                          </a:blip>
                          <a:stretch>
                            <a:fillRect/>
                          </a:stretch>
                        </pic:blipFill>
                        <pic:spPr>
                          <a:xfrm>
                            <a:off x="0" y="0"/>
                            <a:ext cx="2580444" cy="1407101"/>
                          </a:xfrm>
                          <a:prstGeom prst="rect">
                            <a:avLst/>
                          </a:prstGeom>
                        </pic:spPr>
                      </pic:pic>
                    </a:graphicData>
                  </a:graphic>
                </wp:inline>
              </w:drawing>
            </w:r>
          </w:p>
        </w:tc>
        <w:tc>
          <w:tcPr>
            <w:tcW w:w="4376" w:type="dxa"/>
            <w:vAlign w:val="center"/>
          </w:tcPr>
          <w:p w14:paraId="7F0A5155" w14:textId="77777777" w:rsidR="00257FC1" w:rsidRPr="005B024E" w:rsidRDefault="00257FC1" w:rsidP="00CA4AE0">
            <w:pPr>
              <w:pStyle w:val="TableFigureHeading"/>
              <w:jc w:val="center"/>
              <w:rPr>
                <w:b w:val="0"/>
                <w:bCs w:val="0"/>
              </w:rPr>
            </w:pPr>
            <w:r w:rsidRPr="005B024E">
              <w:rPr>
                <w:b w:val="0"/>
                <w:bCs w:val="0"/>
              </w:rPr>
              <w:t>NR</w:t>
            </w:r>
          </w:p>
        </w:tc>
      </w:tr>
    </w:tbl>
    <w:p w14:paraId="115599B1" w14:textId="77777777" w:rsidR="00257FC1" w:rsidRPr="005B024E" w:rsidRDefault="00257FC1" w:rsidP="00257FC1">
      <w:pPr>
        <w:pStyle w:val="TableFigureFooter"/>
      </w:pPr>
      <w:r w:rsidRPr="005B024E">
        <w:t>Source:</w:t>
      </w:r>
      <w:r w:rsidRPr="005B024E">
        <w:tab/>
        <w:t xml:space="preserve"> Figure 2.4, p 42 and Figure 2.9, p 59 of the submission; </w:t>
      </w:r>
      <w:r w:rsidRPr="005B024E">
        <w:rPr>
          <w:rStyle w:val="CommentReference"/>
          <w:b w:val="0"/>
          <w:sz w:val="18"/>
          <w:szCs w:val="22"/>
        </w:rPr>
        <w:t>Figure 2.6 p 45 and Figure 2.12, p 62 of the submission</w:t>
      </w:r>
    </w:p>
    <w:p w14:paraId="1BF5DAB1" w14:textId="1FA0964A" w:rsidR="00257FC1" w:rsidRDefault="00257FC1" w:rsidP="00257FC1">
      <w:pPr>
        <w:pStyle w:val="TableFigureFooter"/>
        <w:contextualSpacing w:val="0"/>
      </w:pPr>
      <w:r w:rsidRPr="005B024E">
        <w:t>IPI = International Prognostic Indicator; ITT = intention-to-treat; INV = investigator; NE = not evaluable; Pola = polatuzumab vedotin; R-CHOP = rituximab plus cyclophosphamide, doxorubicin, vincristine and prednisone; R-CHP = rituximab plus cyclophosphamide, doxorubicin and prednisone</w:t>
      </w:r>
    </w:p>
    <w:p w14:paraId="6EB24CC7" w14:textId="3DD832D0" w:rsidR="00F5640C" w:rsidRPr="00F5640C" w:rsidRDefault="00F5640C" w:rsidP="00257FC1">
      <w:pPr>
        <w:pStyle w:val="TableFigureFooter"/>
      </w:pPr>
      <w:r w:rsidRPr="00F5640C">
        <w:rPr>
          <w:rFonts w:cstheme="minorHAnsi"/>
          <w:i/>
          <w:iCs/>
        </w:rPr>
        <w:t>Note</w:t>
      </w:r>
      <w:r>
        <w:rPr>
          <w:rFonts w:cstheme="minorHAnsi"/>
          <w:i/>
          <w:iCs/>
        </w:rPr>
        <w:t>:</w:t>
      </w:r>
      <w:r w:rsidRPr="00F5640C">
        <w:rPr>
          <w:rFonts w:cstheme="minorHAnsi"/>
          <w:i/>
          <w:iCs/>
        </w:rPr>
        <w:t xml:space="preserve"> </w:t>
      </w:r>
      <w:r>
        <w:rPr>
          <w:rFonts w:cstheme="minorHAnsi"/>
          <w:i/>
          <w:iCs/>
        </w:rPr>
        <w:t>T</w:t>
      </w:r>
      <w:r w:rsidRPr="00F5640C">
        <w:rPr>
          <w:rFonts w:cstheme="minorHAnsi"/>
          <w:i/>
          <w:iCs/>
        </w:rPr>
        <w:t>he results presented in Figure 1 are derived from analyses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p>
    <w:p w14:paraId="2A0FDE36" w14:textId="2A4FF086" w:rsidR="002416B1" w:rsidRPr="00E1521D" w:rsidRDefault="00257FC1" w:rsidP="00E1521D">
      <w:pPr>
        <w:pStyle w:val="3-BodyText"/>
        <w:ind w:left="720"/>
        <w:rPr>
          <w:iCs/>
        </w:rPr>
      </w:pPr>
      <w:r w:rsidRPr="00E1521D">
        <w:rPr>
          <w:iCs/>
        </w:rPr>
        <w:t>In the ITT population, the results showed that PFS was significantly longer for patients randomised to Pola+R-CHP compared to R-CHOP with a statistically significant reduction in the risk of progression (HR</w:t>
      </w:r>
      <w:r w:rsidR="00691491" w:rsidRPr="00E1521D">
        <w:rPr>
          <w:iCs/>
        </w:rPr>
        <w:t xml:space="preserve"> </w:t>
      </w:r>
      <w:r w:rsidRPr="00E1521D">
        <w:rPr>
          <w:iCs/>
        </w:rPr>
        <w:t>=</w:t>
      </w:r>
      <w:r w:rsidR="00691491" w:rsidRPr="00E1521D">
        <w:rPr>
          <w:iCs/>
        </w:rPr>
        <w:t xml:space="preserve"> </w:t>
      </w:r>
      <w:r w:rsidRPr="00E1521D">
        <w:rPr>
          <w:iCs/>
        </w:rPr>
        <w:t>0.73</w:t>
      </w:r>
      <w:r w:rsidR="00691491" w:rsidRPr="00E1521D">
        <w:rPr>
          <w:iCs/>
        </w:rPr>
        <w:t>;</w:t>
      </w:r>
      <w:r w:rsidRPr="00E1521D">
        <w:rPr>
          <w:iCs/>
        </w:rPr>
        <w:t xml:space="preserve"> 95%</w:t>
      </w:r>
      <w:r w:rsidR="009B445C" w:rsidRPr="00E1521D">
        <w:rPr>
          <w:iCs/>
        </w:rPr>
        <w:t xml:space="preserve"> </w:t>
      </w:r>
      <w:r w:rsidRPr="00E1521D">
        <w:rPr>
          <w:iCs/>
        </w:rPr>
        <w:t>CI: 0.57, 0.95), but there was no statistically significant difference in OS (HR</w:t>
      </w:r>
      <w:r w:rsidR="00691491" w:rsidRPr="00E1521D">
        <w:rPr>
          <w:iCs/>
        </w:rPr>
        <w:t xml:space="preserve"> </w:t>
      </w:r>
      <w:r w:rsidRPr="00E1521D">
        <w:rPr>
          <w:iCs/>
        </w:rPr>
        <w:t>=</w:t>
      </w:r>
      <w:r w:rsidR="00691491" w:rsidRPr="00E1521D">
        <w:rPr>
          <w:iCs/>
        </w:rPr>
        <w:t xml:space="preserve"> </w:t>
      </w:r>
      <w:r w:rsidRPr="00E1521D">
        <w:rPr>
          <w:iCs/>
        </w:rPr>
        <w:t>0.94</w:t>
      </w:r>
      <w:r w:rsidR="00691491" w:rsidRPr="00E1521D">
        <w:rPr>
          <w:iCs/>
        </w:rPr>
        <w:t>;</w:t>
      </w:r>
      <w:r w:rsidRPr="00E1521D">
        <w:rPr>
          <w:iCs/>
        </w:rPr>
        <w:t xml:space="preserve"> 95%</w:t>
      </w:r>
      <w:r w:rsidR="009B445C" w:rsidRPr="00E1521D">
        <w:rPr>
          <w:iCs/>
        </w:rPr>
        <w:t xml:space="preserve"> </w:t>
      </w:r>
      <w:r w:rsidRPr="00E1521D">
        <w:rPr>
          <w:iCs/>
        </w:rPr>
        <w:t xml:space="preserve">CI: 0.65, 1.37). </w:t>
      </w:r>
      <w:r w:rsidR="00FC5220" w:rsidRPr="00E1521D">
        <w:rPr>
          <w:iCs/>
        </w:rPr>
        <w:t>The ESC considered that the improvement in PFS of Pola</w:t>
      </w:r>
      <w:r w:rsidR="00BC0F9C">
        <w:rPr>
          <w:iCs/>
        </w:rPr>
        <w:t>+</w:t>
      </w:r>
      <w:r w:rsidR="00FC5220" w:rsidRPr="00E1521D">
        <w:rPr>
          <w:iCs/>
        </w:rPr>
        <w:t xml:space="preserve">R-CHP over R-CHOP was modest. </w:t>
      </w:r>
    </w:p>
    <w:p w14:paraId="157E50A0" w14:textId="2FA8DC36" w:rsidR="00D92862" w:rsidRPr="00E1521D" w:rsidRDefault="00257FC1" w:rsidP="00E1521D">
      <w:pPr>
        <w:pStyle w:val="3-BodyText"/>
        <w:ind w:left="720"/>
        <w:rPr>
          <w:iCs/>
        </w:rPr>
      </w:pPr>
      <w:r w:rsidRPr="00E1521D">
        <w:rPr>
          <w:iCs/>
        </w:rPr>
        <w:t>Based on the results of the exploratory subgroup analysis, the submission stated that the treatment effect for PFS in the ITT population was driven by results in the IPI 3-5 subgroup (HR</w:t>
      </w:r>
      <w:r w:rsidR="00691491" w:rsidRPr="00E1521D">
        <w:rPr>
          <w:iCs/>
        </w:rPr>
        <w:t xml:space="preserve"> </w:t>
      </w:r>
      <w:r w:rsidRPr="00E1521D">
        <w:rPr>
          <w:iCs/>
        </w:rPr>
        <w:t>=</w:t>
      </w:r>
      <w:r w:rsidR="00691491" w:rsidRPr="00E1521D">
        <w:rPr>
          <w:iCs/>
        </w:rPr>
        <w:t xml:space="preserve"> </w:t>
      </w:r>
      <w:r w:rsidRPr="00E1521D">
        <w:rPr>
          <w:iCs/>
        </w:rPr>
        <w:t>0.65</w:t>
      </w:r>
      <w:r w:rsidR="00691491" w:rsidRPr="00E1521D">
        <w:rPr>
          <w:iCs/>
        </w:rPr>
        <w:t>;</w:t>
      </w:r>
      <w:r w:rsidRPr="00E1521D">
        <w:rPr>
          <w:iCs/>
        </w:rPr>
        <w:t xml:space="preserve"> 95%</w:t>
      </w:r>
      <w:r w:rsidR="009B445C" w:rsidRPr="00E1521D">
        <w:rPr>
          <w:iCs/>
        </w:rPr>
        <w:t xml:space="preserve"> </w:t>
      </w:r>
      <w:r w:rsidRPr="00E1521D">
        <w:rPr>
          <w:iCs/>
        </w:rPr>
        <w:t>CI: 0.47, 0.88). The submission did not present any evidence that the treatment effect for PFS statistically differed across the IPI subgroups.</w:t>
      </w:r>
      <w:r w:rsidR="00781679" w:rsidRPr="00E1521D">
        <w:rPr>
          <w:iCs/>
        </w:rPr>
        <w:t xml:space="preserve"> </w:t>
      </w:r>
      <w:r w:rsidR="00D92862" w:rsidRPr="00E1521D">
        <w:rPr>
          <w:iCs/>
        </w:rPr>
        <w:t xml:space="preserve">The POLARIX trial was not designed nor powered to show statistically significant differences between the subgroups and the trial report cautioned that the ‘results </w:t>
      </w:r>
      <w:r w:rsidR="00D92862" w:rsidRPr="00E1521D">
        <w:rPr>
          <w:iCs/>
        </w:rPr>
        <w:lastRenderedPageBreak/>
        <w:t>should not be over-interpreted and there is no statistical evidence for heterogeneity of treatment e</w:t>
      </w:r>
      <w:r w:rsidR="00781679" w:rsidRPr="00E1521D">
        <w:rPr>
          <w:iCs/>
        </w:rPr>
        <w:t>ffect in any of the subgroups’.</w:t>
      </w:r>
    </w:p>
    <w:p w14:paraId="279986EC" w14:textId="18FB342A" w:rsidR="00D92862" w:rsidRPr="00E1521D" w:rsidRDefault="00B13C08" w:rsidP="00E1521D">
      <w:pPr>
        <w:pStyle w:val="3-BodyText"/>
        <w:ind w:left="720"/>
        <w:rPr>
          <w:iCs/>
        </w:rPr>
      </w:pPr>
      <w:r w:rsidRPr="00E1521D">
        <w:rPr>
          <w:iCs/>
        </w:rPr>
        <w:fldChar w:fldCharType="begin"/>
      </w:r>
      <w:r w:rsidRPr="00E1521D">
        <w:rPr>
          <w:iCs/>
        </w:rPr>
        <w:instrText xml:space="preserve"> REF _Ref111736244 </w:instrText>
      </w:r>
      <w:r w:rsidR="000B2FEE" w:rsidRPr="00E1521D">
        <w:rPr>
          <w:iCs/>
        </w:rPr>
        <w:instrText xml:space="preserve"> \* MERGEFORMAT </w:instrText>
      </w:r>
      <w:r w:rsidRPr="00E1521D">
        <w:rPr>
          <w:iCs/>
        </w:rPr>
        <w:fldChar w:fldCharType="separate"/>
      </w:r>
      <w:r w:rsidR="007F2580" w:rsidRPr="007F2580">
        <w:rPr>
          <w:iCs/>
        </w:rPr>
        <w:t>Figure 2</w:t>
      </w:r>
      <w:r w:rsidRPr="00E1521D">
        <w:rPr>
          <w:iCs/>
        </w:rPr>
        <w:fldChar w:fldCharType="end"/>
      </w:r>
      <w:r w:rsidRPr="00E1521D">
        <w:rPr>
          <w:iCs/>
        </w:rPr>
        <w:t xml:space="preserve"> </w:t>
      </w:r>
      <w:r w:rsidR="00781679" w:rsidRPr="00E1521D">
        <w:rPr>
          <w:iCs/>
        </w:rPr>
        <w:t>presents</w:t>
      </w:r>
      <w:r w:rsidR="00D92862" w:rsidRPr="00E1521D">
        <w:rPr>
          <w:iCs/>
        </w:rPr>
        <w:t xml:space="preserve"> </w:t>
      </w:r>
      <w:r w:rsidR="00781679" w:rsidRPr="00E1521D">
        <w:rPr>
          <w:iCs/>
        </w:rPr>
        <w:t>PFS</w:t>
      </w:r>
      <w:r w:rsidR="00D92862" w:rsidRPr="00E1521D">
        <w:rPr>
          <w:iCs/>
        </w:rPr>
        <w:t xml:space="preserve"> </w:t>
      </w:r>
      <w:r w:rsidR="00781679" w:rsidRPr="00E1521D">
        <w:rPr>
          <w:iCs/>
        </w:rPr>
        <w:t xml:space="preserve">results for </w:t>
      </w:r>
      <w:r w:rsidR="00D92862" w:rsidRPr="00E1521D">
        <w:rPr>
          <w:iCs/>
        </w:rPr>
        <w:t xml:space="preserve">the unstratified exploratory subgroup analysis </w:t>
      </w:r>
      <w:r w:rsidR="00781679" w:rsidRPr="00E1521D">
        <w:rPr>
          <w:iCs/>
        </w:rPr>
        <w:t xml:space="preserve">in POLARIX </w:t>
      </w:r>
      <w:r w:rsidR="00D92862" w:rsidRPr="00E1521D">
        <w:rPr>
          <w:iCs/>
        </w:rPr>
        <w:t>(without adjusting for multiplicity). The forest plot illustrate</w:t>
      </w:r>
      <w:r w:rsidR="00781679" w:rsidRPr="00E1521D">
        <w:rPr>
          <w:iCs/>
        </w:rPr>
        <w:t>s</w:t>
      </w:r>
      <w:r w:rsidR="00D92862" w:rsidRPr="00E1521D">
        <w:rPr>
          <w:iCs/>
        </w:rPr>
        <w:t xml:space="preserve"> that there was a relatively consistent treatment effect across the numerous subgroups and nearly all of the 95%</w:t>
      </w:r>
      <w:r w:rsidR="009B445C" w:rsidRPr="00E1521D">
        <w:rPr>
          <w:iCs/>
        </w:rPr>
        <w:t xml:space="preserve"> </w:t>
      </w:r>
      <w:r w:rsidR="00D92862" w:rsidRPr="00E1521D">
        <w:rPr>
          <w:iCs/>
        </w:rPr>
        <w:t xml:space="preserve">CIs included the estimated HR in the ITT population. </w:t>
      </w:r>
      <w:r w:rsidR="00781679" w:rsidRPr="00E1521D">
        <w:rPr>
          <w:iCs/>
        </w:rPr>
        <w:t>T</w:t>
      </w:r>
      <w:r w:rsidR="00D92862" w:rsidRPr="00E1521D">
        <w:rPr>
          <w:iCs/>
        </w:rPr>
        <w:t xml:space="preserve">he subgroup analysis by IPI on the electronic case report form (rather than by randomisation strata) found </w:t>
      </w:r>
      <w:r w:rsidR="00781679" w:rsidRPr="00E1521D">
        <w:rPr>
          <w:iCs/>
        </w:rPr>
        <w:t>a statistically significant reduction in the risk of progression with Pola+R-CHP for patients with IPI 3 but no significant difference for patients with IPI 4-5.</w:t>
      </w:r>
      <w:r w:rsidR="00EC3FA5" w:rsidRPr="00E1521D">
        <w:rPr>
          <w:iCs/>
        </w:rPr>
        <w:t xml:space="preserve"> Overall, the ESC considered that PFS </w:t>
      </w:r>
      <w:r w:rsidR="000160B2" w:rsidRPr="00E1521D">
        <w:rPr>
          <w:iCs/>
        </w:rPr>
        <w:t xml:space="preserve">results </w:t>
      </w:r>
      <w:r w:rsidR="00EC3FA5" w:rsidRPr="00E1521D">
        <w:rPr>
          <w:iCs/>
        </w:rPr>
        <w:t>varied depending on demographic and disease characteristics.</w:t>
      </w:r>
    </w:p>
    <w:p w14:paraId="0D54898F" w14:textId="791EA801" w:rsidR="00D92862" w:rsidRPr="005B024E" w:rsidRDefault="00D92862" w:rsidP="0043059E">
      <w:pPr>
        <w:pStyle w:val="TableFigureHeading"/>
      </w:pPr>
      <w:bookmarkStart w:id="31" w:name="_Ref111736244"/>
      <w:r w:rsidRPr="005B024E">
        <w:rPr>
          <w:noProof/>
        </w:rPr>
        <w:lastRenderedPageBreak/>
        <w:t xml:space="preserve">Figure </w:t>
      </w:r>
      <w:r w:rsidR="007F2580">
        <w:fldChar w:fldCharType="begin"/>
      </w:r>
      <w:r w:rsidR="007F2580">
        <w:instrText xml:space="preserve"> SEQ Figure \* ARABIC </w:instrText>
      </w:r>
      <w:r w:rsidR="007F2580">
        <w:fldChar w:fldCharType="separate"/>
      </w:r>
      <w:r w:rsidR="007F2580">
        <w:rPr>
          <w:noProof/>
        </w:rPr>
        <w:t>2</w:t>
      </w:r>
      <w:r w:rsidR="007F2580">
        <w:rPr>
          <w:noProof/>
        </w:rPr>
        <w:fldChar w:fldCharType="end"/>
      </w:r>
      <w:bookmarkEnd w:id="31"/>
      <w:r w:rsidRPr="005B024E">
        <w:rPr>
          <w:noProof/>
        </w:rPr>
        <w:t xml:space="preserve">: </w:t>
      </w:r>
      <w:r w:rsidR="00781679" w:rsidRPr="005B024E">
        <w:rPr>
          <w:noProof/>
        </w:rPr>
        <w:t xml:space="preserve">PFS by </w:t>
      </w:r>
      <w:r w:rsidR="0043059E" w:rsidRPr="005B024E">
        <w:rPr>
          <w:noProof/>
        </w:rPr>
        <w:t>baseline risk factors (t</w:t>
      </w:r>
      <w:r w:rsidR="00781679" w:rsidRPr="005B024E">
        <w:rPr>
          <w:noProof/>
        </w:rPr>
        <w:t xml:space="preserve">he dotted green line </w:t>
      </w:r>
      <w:r w:rsidR="00781679" w:rsidRPr="005B024E">
        <w:t xml:space="preserve">is </w:t>
      </w:r>
      <w:r w:rsidRPr="005B024E">
        <w:t>the pre</w:t>
      </w:r>
      <w:r w:rsidR="0043059E" w:rsidRPr="005B024E">
        <w:t>-</w:t>
      </w:r>
      <w:r w:rsidRPr="005B024E">
        <w:t>specified stratified HR of 0.73</w:t>
      </w:r>
      <w:r w:rsidR="0043059E" w:rsidRPr="005B024E">
        <w:t>)</w:t>
      </w:r>
      <w:r w:rsidRPr="005B024E">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D92862" w:rsidRPr="005B024E" w14:paraId="2223D049" w14:textId="77777777" w:rsidTr="00CA4AE0">
        <w:tc>
          <w:tcPr>
            <w:tcW w:w="9017" w:type="dxa"/>
            <w:vAlign w:val="center"/>
          </w:tcPr>
          <w:p w14:paraId="7F2DFBDA" w14:textId="14143097" w:rsidR="00D92862" w:rsidRPr="005B024E" w:rsidRDefault="008E5CC4" w:rsidP="00CA4AE0">
            <w:pPr>
              <w:pStyle w:val="In-tableHeading"/>
              <w:jc w:val="center"/>
              <w:rPr>
                <w:lang w:val="en-AU"/>
              </w:rPr>
            </w:pPr>
            <w:r w:rsidRPr="005B024E">
              <w:rPr>
                <w:noProof/>
                <w:lang w:eastAsia="en-US"/>
              </w:rPr>
              <w:drawing>
                <wp:inline distT="0" distB="0" distL="0" distR="0" wp14:anchorId="4E7E073C" wp14:editId="142719C2">
                  <wp:extent cx="4381500" cy="2179320"/>
                  <wp:effectExtent l="0" t="0" r="0" b="0"/>
                  <wp:docPr id="268" name="Picture 268" descr="Figure 2: PFS by baseline risk factors (the dotted green line is the pre-specified stratified HR of 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268" descr="Figure 2: PFS by baseline risk factors (the dotted green line is the pre-specified stratified HR of 0.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0" cy="2179320"/>
                          </a:xfrm>
                          <a:prstGeom prst="rect">
                            <a:avLst/>
                          </a:prstGeom>
                          <a:noFill/>
                        </pic:spPr>
                      </pic:pic>
                    </a:graphicData>
                  </a:graphic>
                </wp:inline>
              </w:drawing>
            </w:r>
          </w:p>
        </w:tc>
      </w:tr>
      <w:tr w:rsidR="00D92862" w:rsidRPr="005B024E" w14:paraId="65307DB8" w14:textId="77777777" w:rsidTr="00CA4AE0">
        <w:tc>
          <w:tcPr>
            <w:tcW w:w="9017" w:type="dxa"/>
            <w:vAlign w:val="center"/>
          </w:tcPr>
          <w:p w14:paraId="52FA3E2F" w14:textId="19BF6F8A" w:rsidR="00D92862" w:rsidRPr="005B024E" w:rsidRDefault="007C3CE1" w:rsidP="00CA4AE0">
            <w:pPr>
              <w:pStyle w:val="In-tableHeading"/>
              <w:jc w:val="center"/>
              <w:rPr>
                <w:lang w:val="en-AU"/>
              </w:rPr>
            </w:pPr>
            <w:r w:rsidRPr="005B024E">
              <w:rPr>
                <w:noProof/>
                <w:lang w:eastAsia="en-US"/>
              </w:rPr>
              <w:drawing>
                <wp:inline distT="0" distB="0" distL="0" distR="0" wp14:anchorId="3AE63126" wp14:editId="52620BA1">
                  <wp:extent cx="4389755" cy="2261870"/>
                  <wp:effectExtent l="0" t="0" r="0" b="5080"/>
                  <wp:docPr id="273" name="Picture 273" descr="Figure 2: PFS by baseline risk factors (the dotted green line is the pre-specified stratified HR of 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3" descr="Figure 2: PFS by baseline risk factors (the dotted green line is the pre-specified stratified HR of 0.73)."/>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4389755" cy="2261870"/>
                          </a:xfrm>
                          <a:prstGeom prst="rect">
                            <a:avLst/>
                          </a:prstGeom>
                          <a:noFill/>
                        </pic:spPr>
                      </pic:pic>
                    </a:graphicData>
                  </a:graphic>
                </wp:inline>
              </w:drawing>
            </w:r>
          </w:p>
        </w:tc>
      </w:tr>
      <w:tr w:rsidR="00D92862" w:rsidRPr="005B024E" w14:paraId="7D671327" w14:textId="77777777" w:rsidTr="00CA4AE0">
        <w:tc>
          <w:tcPr>
            <w:tcW w:w="9017" w:type="dxa"/>
            <w:vAlign w:val="center"/>
          </w:tcPr>
          <w:p w14:paraId="1053E439" w14:textId="1096D771" w:rsidR="00D92862" w:rsidRPr="005B024E" w:rsidRDefault="007C3CE1" w:rsidP="00CA4AE0">
            <w:pPr>
              <w:pStyle w:val="In-tableHeading"/>
              <w:jc w:val="center"/>
              <w:rPr>
                <w:lang w:val="en-AU"/>
              </w:rPr>
            </w:pPr>
            <w:r w:rsidRPr="005B024E">
              <w:rPr>
                <w:noProof/>
                <w:lang w:eastAsia="en-US"/>
              </w:rPr>
              <w:drawing>
                <wp:inline distT="0" distB="0" distL="0" distR="0" wp14:anchorId="3CD7F878" wp14:editId="1664FF53">
                  <wp:extent cx="4389755" cy="2188845"/>
                  <wp:effectExtent l="0" t="0" r="0" b="1905"/>
                  <wp:docPr id="272" name="Picture 272" descr="Figure 2: PFS by baseline risk factors (the dotted green line is the pre-specified stratified HR of 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descr="Figure 2: PFS by baseline risk factors (the dotted green line is the pre-specified stratified HR of 0.73)."/>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4389755" cy="2188845"/>
                          </a:xfrm>
                          <a:prstGeom prst="rect">
                            <a:avLst/>
                          </a:prstGeom>
                          <a:noFill/>
                        </pic:spPr>
                      </pic:pic>
                    </a:graphicData>
                  </a:graphic>
                </wp:inline>
              </w:drawing>
            </w:r>
          </w:p>
        </w:tc>
      </w:tr>
    </w:tbl>
    <w:p w14:paraId="7656C510" w14:textId="77777777" w:rsidR="00D92862" w:rsidRPr="005B024E" w:rsidRDefault="00D92862" w:rsidP="00D92862">
      <w:pPr>
        <w:pStyle w:val="TableFigureFooter"/>
      </w:pPr>
      <w:r w:rsidRPr="005B024E">
        <w:t>Source: Figure 5, p 90 of the CSR, Figure 5, p 91 of the CSR, Figure 11, p 121 of the CSR</w:t>
      </w:r>
    </w:p>
    <w:p w14:paraId="3DC4DAC3" w14:textId="41F70488" w:rsidR="00E22C1B" w:rsidRPr="005B024E" w:rsidRDefault="00D92862" w:rsidP="005C79B1">
      <w:pPr>
        <w:pStyle w:val="TableFigureFooter"/>
      </w:pPr>
      <w:r w:rsidRPr="005B024E">
        <w:t>ABC = activated B-cell type; DHL = Double-hit lymphoma; CI =confidence interval; ECOG = Eastern Cooperative Oncology Group; eCRF = electronic case report form; GCB = germinal center B-cell type; IHC =immunohistochemistry; IPI = International Prognostic Index; ITT = intention to treat; IxRS = interactive voice or Web-based response system; HGBL= High-grade B-cell lymphoma; NOS = not otherwise specified; Pola = polatuzumab vedotin; R-CHOP = rituximab plus cyclophosphamide, doxorubicin, vincristine and prednisone; R-CHP = rituximab plus cyclophosphamide, doxorubicin and prednisone; SD = standard deviation; ULN =upper limit of normal; THL = Triple-hit lymphoma</w:t>
      </w:r>
    </w:p>
    <w:p w14:paraId="7F82C986" w14:textId="73C80A24" w:rsidR="00D92862" w:rsidRPr="00E1521D" w:rsidRDefault="005C79B1" w:rsidP="00E1521D">
      <w:pPr>
        <w:pStyle w:val="3-BodyText"/>
        <w:ind w:left="720"/>
        <w:rPr>
          <w:iCs/>
        </w:rPr>
      </w:pPr>
      <w:r w:rsidRPr="00E1521D">
        <w:rPr>
          <w:iCs/>
        </w:rPr>
        <w:lastRenderedPageBreak/>
        <w:t>Results across other secondary endpoints showed a</w:t>
      </w:r>
      <w:r w:rsidR="00E22C1B" w:rsidRPr="00E1521D">
        <w:rPr>
          <w:iCs/>
        </w:rPr>
        <w:t xml:space="preserve"> statistically significant improvement in event-free survival, duration of response and disease-free survival for patients randomised t</w:t>
      </w:r>
      <w:r w:rsidRPr="00E1521D">
        <w:rPr>
          <w:iCs/>
        </w:rPr>
        <w:t>o Pola</w:t>
      </w:r>
      <w:r w:rsidR="00D34326" w:rsidRPr="00E1521D">
        <w:rPr>
          <w:iCs/>
        </w:rPr>
        <w:t>+</w:t>
      </w:r>
      <w:r w:rsidRPr="00E1521D">
        <w:rPr>
          <w:iCs/>
        </w:rPr>
        <w:t xml:space="preserve">R-CHP compared to R-CHOP, but no difference in </w:t>
      </w:r>
      <w:r w:rsidR="00E22C1B" w:rsidRPr="00E1521D">
        <w:rPr>
          <w:iCs/>
        </w:rPr>
        <w:t>the proportion of patients with a complete and/or partial response at the end of treatment or best overall response</w:t>
      </w:r>
      <w:r w:rsidRPr="00E1521D">
        <w:rPr>
          <w:iCs/>
        </w:rPr>
        <w:t xml:space="preserve">. The results in the IPI 3-5 subgroup were consistent with the ITT populations. Overall, the </w:t>
      </w:r>
      <w:r w:rsidR="00E22C1B" w:rsidRPr="00E1521D">
        <w:rPr>
          <w:iCs/>
        </w:rPr>
        <w:t>results suggest that response was more durable for patients randomised to Pola</w:t>
      </w:r>
      <w:r w:rsidRPr="00E1521D">
        <w:rPr>
          <w:iCs/>
        </w:rPr>
        <w:t>+</w:t>
      </w:r>
      <w:r w:rsidR="00E22C1B" w:rsidRPr="00E1521D">
        <w:rPr>
          <w:iCs/>
        </w:rPr>
        <w:t>R-CHP. At 24 months, fewe</w:t>
      </w:r>
      <w:r w:rsidRPr="00E1521D">
        <w:rPr>
          <w:iCs/>
        </w:rPr>
        <w:t>r patients randomised to Pola+</w:t>
      </w:r>
      <w:r w:rsidR="00E22C1B" w:rsidRPr="00E1521D">
        <w:rPr>
          <w:iCs/>
        </w:rPr>
        <w:t>R-CHP had experienced a progression event (absolute differe</w:t>
      </w:r>
      <w:r w:rsidR="00E3084B" w:rsidRPr="00E1521D">
        <w:rPr>
          <w:iCs/>
        </w:rPr>
        <w:t xml:space="preserve">nce </w:t>
      </w:r>
      <w:r w:rsidR="00691491" w:rsidRPr="00E1521D">
        <w:rPr>
          <w:iCs/>
        </w:rPr>
        <w:t xml:space="preserve">= </w:t>
      </w:r>
      <w:r w:rsidR="00E3084B" w:rsidRPr="00E1521D">
        <w:rPr>
          <w:iCs/>
        </w:rPr>
        <w:t>6.50%</w:t>
      </w:r>
      <w:r w:rsidR="00691491" w:rsidRPr="00E1521D">
        <w:rPr>
          <w:iCs/>
        </w:rPr>
        <w:t>;</w:t>
      </w:r>
      <w:r w:rsidR="00E3084B" w:rsidRPr="00E1521D">
        <w:rPr>
          <w:iCs/>
        </w:rPr>
        <w:t xml:space="preserve"> 95%</w:t>
      </w:r>
      <w:r w:rsidR="009B445C" w:rsidRPr="00E1521D">
        <w:rPr>
          <w:iCs/>
        </w:rPr>
        <w:t xml:space="preserve"> </w:t>
      </w:r>
      <w:r w:rsidR="00E3084B" w:rsidRPr="00E1521D">
        <w:rPr>
          <w:iCs/>
        </w:rPr>
        <w:t>CI: 0.52, 12.49 in the ITT population, 10.05%</w:t>
      </w:r>
      <w:r w:rsidR="00691491" w:rsidRPr="00E1521D">
        <w:rPr>
          <w:iCs/>
        </w:rPr>
        <w:t>;</w:t>
      </w:r>
      <w:r w:rsidR="00E3084B" w:rsidRPr="00E1521D">
        <w:rPr>
          <w:iCs/>
        </w:rPr>
        <w:t xml:space="preserve"> 95%</w:t>
      </w:r>
      <w:r w:rsidR="009B445C" w:rsidRPr="00E1521D">
        <w:rPr>
          <w:iCs/>
        </w:rPr>
        <w:t xml:space="preserve"> </w:t>
      </w:r>
      <w:r w:rsidR="00E3084B" w:rsidRPr="00E1521D">
        <w:rPr>
          <w:iCs/>
        </w:rPr>
        <w:t>CI: 2.20, 17.89 in the IPI 3-5 subgroup)</w:t>
      </w:r>
      <w:r w:rsidR="00E22C1B" w:rsidRPr="00E1521D">
        <w:rPr>
          <w:iCs/>
        </w:rPr>
        <w:t>.</w:t>
      </w:r>
    </w:p>
    <w:p w14:paraId="6B9F03AB" w14:textId="7C6A717D" w:rsidR="00F811DD" w:rsidRPr="005B024E" w:rsidRDefault="00F811DD" w:rsidP="00F811DD">
      <w:pPr>
        <w:pStyle w:val="4-SubsectionHeading"/>
      </w:pPr>
      <w:bookmarkStart w:id="32" w:name="_Toc22897642"/>
      <w:bookmarkStart w:id="33" w:name="_Toc113975480"/>
      <w:r w:rsidRPr="005B024E">
        <w:t>Comparative harms</w:t>
      </w:r>
      <w:bookmarkEnd w:id="32"/>
      <w:bookmarkEnd w:id="33"/>
    </w:p>
    <w:p w14:paraId="75EDE2B1" w14:textId="18778843" w:rsidR="00E22C1B" w:rsidRPr="00E1521D" w:rsidRDefault="00E621A2" w:rsidP="00E1521D">
      <w:pPr>
        <w:pStyle w:val="3-BodyText"/>
        <w:ind w:left="720"/>
        <w:rPr>
          <w:iCs/>
        </w:rPr>
      </w:pPr>
      <w:r w:rsidRPr="00E1521D">
        <w:rPr>
          <w:iCs/>
        </w:rPr>
        <w:fldChar w:fldCharType="begin"/>
      </w:r>
      <w:r w:rsidRPr="00E1521D">
        <w:rPr>
          <w:iCs/>
        </w:rPr>
        <w:instrText xml:space="preserve"> REF _Ref111736268 </w:instrText>
      </w:r>
      <w:r w:rsidR="00E1521D">
        <w:rPr>
          <w:iCs/>
        </w:rPr>
        <w:instrText xml:space="preserve"> \* MERGEFORMAT </w:instrText>
      </w:r>
      <w:r w:rsidRPr="00E1521D">
        <w:rPr>
          <w:iCs/>
        </w:rPr>
        <w:fldChar w:fldCharType="separate"/>
      </w:r>
      <w:r w:rsidR="007F2580" w:rsidRPr="007F2580">
        <w:rPr>
          <w:iCs/>
        </w:rPr>
        <w:t>Table 5</w:t>
      </w:r>
      <w:r w:rsidRPr="00E1521D">
        <w:rPr>
          <w:iCs/>
        </w:rPr>
        <w:fldChar w:fldCharType="end"/>
      </w:r>
      <w:r w:rsidR="00D6598C" w:rsidRPr="00E1521D">
        <w:rPr>
          <w:iCs/>
        </w:rPr>
        <w:t xml:space="preserve"> </w:t>
      </w:r>
      <w:r w:rsidR="00E22C1B" w:rsidRPr="00E1521D">
        <w:rPr>
          <w:iCs/>
        </w:rPr>
        <w:t xml:space="preserve">summarises the adverse events </w:t>
      </w:r>
      <w:r w:rsidR="00C93D4F" w:rsidRPr="00E1521D">
        <w:rPr>
          <w:iCs/>
        </w:rPr>
        <w:t xml:space="preserve">(AEs) </w:t>
      </w:r>
      <w:r w:rsidR="00E22C1B" w:rsidRPr="00E1521D">
        <w:rPr>
          <w:iCs/>
        </w:rPr>
        <w:t>in POLARIX</w:t>
      </w:r>
      <w:r w:rsidR="0049715A" w:rsidRPr="00E1521D">
        <w:rPr>
          <w:iCs/>
        </w:rPr>
        <w:t xml:space="preserve"> for the safety population, including </w:t>
      </w:r>
      <w:r w:rsidR="00C93D4F" w:rsidRPr="00E1521D">
        <w:rPr>
          <w:iCs/>
        </w:rPr>
        <w:t>AEs</w:t>
      </w:r>
      <w:r w:rsidR="0049715A" w:rsidRPr="00E1521D">
        <w:rPr>
          <w:iCs/>
        </w:rPr>
        <w:t xml:space="preserve"> of special interest for polatuzumab vedotin.</w:t>
      </w:r>
    </w:p>
    <w:p w14:paraId="290968C1" w14:textId="12BAA263" w:rsidR="00E22C1B" w:rsidRPr="005B024E" w:rsidRDefault="00E22C1B" w:rsidP="000E36F6">
      <w:pPr>
        <w:pStyle w:val="TableFigureHeading"/>
        <w:keepLines/>
      </w:pPr>
      <w:bookmarkStart w:id="34" w:name="_Ref111736268"/>
      <w:r w:rsidRPr="005B024E">
        <w:lastRenderedPageBreak/>
        <w:t xml:space="preserve">Table </w:t>
      </w:r>
      <w:r w:rsidR="007F2580">
        <w:fldChar w:fldCharType="begin"/>
      </w:r>
      <w:r w:rsidR="007F2580">
        <w:instrText xml:space="preserve"> SEQ Table \* ARABIC </w:instrText>
      </w:r>
      <w:r w:rsidR="007F2580">
        <w:fldChar w:fldCharType="separate"/>
      </w:r>
      <w:r w:rsidR="007F2580">
        <w:rPr>
          <w:noProof/>
        </w:rPr>
        <w:t>5</w:t>
      </w:r>
      <w:r w:rsidR="007F2580">
        <w:rPr>
          <w:noProof/>
        </w:rPr>
        <w:fldChar w:fldCharType="end"/>
      </w:r>
      <w:bookmarkEnd w:id="34"/>
      <w:r w:rsidRPr="005B024E">
        <w:t>: Adverse events reported in POLARIX</w:t>
      </w:r>
      <w:r w:rsidR="0096391E" w:rsidRPr="005B024E">
        <w:t xml:space="preserve"> (safety population)</w:t>
      </w:r>
    </w:p>
    <w:tbl>
      <w:tblPr>
        <w:tblStyle w:val="TableGrid"/>
        <w:tblW w:w="5000" w:type="pct"/>
        <w:tblCellMar>
          <w:left w:w="28" w:type="dxa"/>
          <w:right w:w="28" w:type="dxa"/>
        </w:tblCellMar>
        <w:tblLook w:val="04A0" w:firstRow="1" w:lastRow="0" w:firstColumn="1" w:lastColumn="0" w:noHBand="0" w:noVBand="1"/>
      </w:tblPr>
      <w:tblGrid>
        <w:gridCol w:w="3112"/>
        <w:gridCol w:w="1968"/>
        <w:gridCol w:w="1968"/>
        <w:gridCol w:w="1969"/>
      </w:tblGrid>
      <w:tr w:rsidR="0096391E" w:rsidRPr="005B024E" w14:paraId="13A8CFE6" w14:textId="77777777" w:rsidTr="0096391E">
        <w:trPr>
          <w:trHeight w:val="43"/>
        </w:trPr>
        <w:tc>
          <w:tcPr>
            <w:tcW w:w="1726" w:type="pct"/>
            <w:tcBorders>
              <w:top w:val="single" w:sz="4" w:space="0" w:color="auto"/>
              <w:left w:val="single" w:sz="4" w:space="0" w:color="auto"/>
              <w:bottom w:val="single" w:sz="4" w:space="0" w:color="auto"/>
              <w:right w:val="single" w:sz="4" w:space="0" w:color="auto"/>
            </w:tcBorders>
          </w:tcPr>
          <w:p w14:paraId="53286801" w14:textId="242502D8" w:rsidR="0096391E" w:rsidRPr="000160B2" w:rsidRDefault="0096391E" w:rsidP="000E36F6">
            <w:pPr>
              <w:keepNext/>
              <w:keepLines/>
              <w:jc w:val="left"/>
              <w:rPr>
                <w:rFonts w:ascii="Arial Narrow" w:eastAsiaTheme="majorEastAsia" w:hAnsi="Arial Narrow" w:cstheme="majorBidi"/>
                <w:b/>
                <w:bCs/>
                <w:sz w:val="20"/>
                <w:szCs w:val="20"/>
              </w:rPr>
            </w:pPr>
          </w:p>
        </w:tc>
        <w:tc>
          <w:tcPr>
            <w:tcW w:w="1091" w:type="pct"/>
            <w:tcBorders>
              <w:top w:val="single" w:sz="4" w:space="0" w:color="auto"/>
              <w:left w:val="single" w:sz="4" w:space="0" w:color="auto"/>
              <w:bottom w:val="single" w:sz="4" w:space="0" w:color="auto"/>
              <w:right w:val="single" w:sz="4" w:space="0" w:color="auto"/>
            </w:tcBorders>
            <w:vAlign w:val="center"/>
            <w:hideMark/>
          </w:tcPr>
          <w:p w14:paraId="1779E018" w14:textId="67417E74" w:rsidR="0096391E" w:rsidRPr="000160B2" w:rsidRDefault="0096391E" w:rsidP="000E36F6">
            <w:pPr>
              <w:pStyle w:val="TableText0"/>
              <w:keepLines/>
              <w:jc w:val="center"/>
              <w:rPr>
                <w:b/>
                <w:szCs w:val="20"/>
              </w:rPr>
            </w:pPr>
            <w:r w:rsidRPr="000160B2">
              <w:rPr>
                <w:b/>
                <w:szCs w:val="20"/>
              </w:rPr>
              <w:t>Pola+R-CHP, N =435</w:t>
            </w:r>
          </w:p>
        </w:tc>
        <w:tc>
          <w:tcPr>
            <w:tcW w:w="1091" w:type="pct"/>
            <w:tcBorders>
              <w:top w:val="single" w:sz="4" w:space="0" w:color="auto"/>
              <w:left w:val="single" w:sz="4" w:space="0" w:color="auto"/>
              <w:bottom w:val="single" w:sz="4" w:space="0" w:color="auto"/>
              <w:right w:val="single" w:sz="4" w:space="0" w:color="auto"/>
            </w:tcBorders>
            <w:vAlign w:val="center"/>
            <w:hideMark/>
          </w:tcPr>
          <w:p w14:paraId="68581DCB" w14:textId="067A2210" w:rsidR="0096391E" w:rsidRPr="000160B2" w:rsidRDefault="0096391E" w:rsidP="000E36F6">
            <w:pPr>
              <w:pStyle w:val="TableText0"/>
              <w:keepLines/>
              <w:jc w:val="center"/>
              <w:rPr>
                <w:b/>
                <w:szCs w:val="20"/>
              </w:rPr>
            </w:pPr>
            <w:r w:rsidRPr="000160B2">
              <w:rPr>
                <w:b/>
                <w:szCs w:val="20"/>
              </w:rPr>
              <w:t>R-CHOP, N = 438</w:t>
            </w:r>
          </w:p>
        </w:tc>
        <w:tc>
          <w:tcPr>
            <w:tcW w:w="1092" w:type="pct"/>
            <w:tcBorders>
              <w:top w:val="single" w:sz="4" w:space="0" w:color="auto"/>
              <w:left w:val="single" w:sz="4" w:space="0" w:color="auto"/>
              <w:bottom w:val="single" w:sz="4" w:space="0" w:color="auto"/>
              <w:right w:val="single" w:sz="4" w:space="0" w:color="auto"/>
            </w:tcBorders>
            <w:vAlign w:val="center"/>
            <w:hideMark/>
          </w:tcPr>
          <w:p w14:paraId="177BEB36" w14:textId="77777777" w:rsidR="0096391E" w:rsidRPr="000160B2" w:rsidRDefault="0096391E" w:rsidP="000E36F6">
            <w:pPr>
              <w:pStyle w:val="TableText0"/>
              <w:keepLines/>
              <w:jc w:val="center"/>
              <w:rPr>
                <w:b/>
                <w:szCs w:val="20"/>
              </w:rPr>
            </w:pPr>
            <w:r w:rsidRPr="000160B2">
              <w:rPr>
                <w:b/>
                <w:szCs w:val="20"/>
              </w:rPr>
              <w:t>RR (95% CI)</w:t>
            </w:r>
          </w:p>
        </w:tc>
      </w:tr>
      <w:tr w:rsidR="0096391E" w:rsidRPr="005B024E" w14:paraId="7277C5CA" w14:textId="77777777" w:rsidTr="0096391E">
        <w:trPr>
          <w:trHeight w:val="43"/>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CCA2844" w14:textId="143ABBCB" w:rsidR="0096391E" w:rsidRPr="000160B2" w:rsidRDefault="0096391E" w:rsidP="000E36F6">
            <w:pPr>
              <w:pStyle w:val="TableText0"/>
              <w:keepLines/>
              <w:rPr>
                <w:b/>
                <w:szCs w:val="20"/>
              </w:rPr>
            </w:pPr>
            <w:r w:rsidRPr="000160B2">
              <w:rPr>
                <w:b/>
                <w:szCs w:val="20"/>
              </w:rPr>
              <w:t>Summary outcomes</w:t>
            </w:r>
          </w:p>
        </w:tc>
      </w:tr>
      <w:tr w:rsidR="0096391E" w:rsidRPr="005B024E" w14:paraId="27806A3A" w14:textId="77777777" w:rsidTr="0096391E">
        <w:trPr>
          <w:trHeight w:val="19"/>
        </w:trPr>
        <w:tc>
          <w:tcPr>
            <w:tcW w:w="1726" w:type="pct"/>
            <w:tcBorders>
              <w:top w:val="single" w:sz="4" w:space="0" w:color="auto"/>
              <w:left w:val="single" w:sz="4" w:space="0" w:color="auto"/>
              <w:bottom w:val="single" w:sz="4" w:space="0" w:color="auto"/>
              <w:right w:val="single" w:sz="4" w:space="0" w:color="auto"/>
            </w:tcBorders>
            <w:hideMark/>
          </w:tcPr>
          <w:p w14:paraId="4E3C7256" w14:textId="77777777" w:rsidR="0096391E" w:rsidRPr="000160B2" w:rsidRDefault="0096391E" w:rsidP="000E36F6">
            <w:pPr>
              <w:pStyle w:val="TableText0"/>
              <w:keepLines/>
              <w:rPr>
                <w:szCs w:val="20"/>
              </w:rPr>
            </w:pPr>
            <w:r w:rsidRPr="000160B2">
              <w:rPr>
                <w:szCs w:val="20"/>
              </w:rPr>
              <w:t>Any AE</w:t>
            </w:r>
          </w:p>
        </w:tc>
        <w:tc>
          <w:tcPr>
            <w:tcW w:w="1091" w:type="pct"/>
            <w:tcBorders>
              <w:top w:val="single" w:sz="4" w:space="0" w:color="auto"/>
              <w:left w:val="single" w:sz="4" w:space="0" w:color="auto"/>
              <w:bottom w:val="single" w:sz="4" w:space="0" w:color="auto"/>
              <w:right w:val="single" w:sz="4" w:space="0" w:color="auto"/>
            </w:tcBorders>
            <w:vAlign w:val="center"/>
            <w:hideMark/>
          </w:tcPr>
          <w:p w14:paraId="7FFB2787" w14:textId="77777777" w:rsidR="0096391E" w:rsidRPr="000160B2" w:rsidRDefault="0096391E" w:rsidP="000E36F6">
            <w:pPr>
              <w:pStyle w:val="TableText0"/>
              <w:keepLines/>
              <w:jc w:val="center"/>
              <w:rPr>
                <w:szCs w:val="20"/>
              </w:rPr>
            </w:pPr>
            <w:r w:rsidRPr="000160B2">
              <w:rPr>
                <w:szCs w:val="20"/>
              </w:rPr>
              <w:t>426 (97.9)</w:t>
            </w:r>
          </w:p>
        </w:tc>
        <w:tc>
          <w:tcPr>
            <w:tcW w:w="1091" w:type="pct"/>
            <w:tcBorders>
              <w:top w:val="single" w:sz="4" w:space="0" w:color="auto"/>
              <w:left w:val="single" w:sz="4" w:space="0" w:color="auto"/>
              <w:bottom w:val="single" w:sz="4" w:space="0" w:color="auto"/>
              <w:right w:val="single" w:sz="4" w:space="0" w:color="auto"/>
            </w:tcBorders>
            <w:vAlign w:val="center"/>
            <w:hideMark/>
          </w:tcPr>
          <w:p w14:paraId="61286186" w14:textId="77777777" w:rsidR="0096391E" w:rsidRPr="000160B2" w:rsidRDefault="0096391E" w:rsidP="000E36F6">
            <w:pPr>
              <w:pStyle w:val="TableText0"/>
              <w:keepLines/>
              <w:jc w:val="center"/>
              <w:rPr>
                <w:szCs w:val="20"/>
              </w:rPr>
            </w:pPr>
            <w:r w:rsidRPr="000160B2">
              <w:rPr>
                <w:szCs w:val="20"/>
              </w:rPr>
              <w:t>431 (98.4)</w:t>
            </w:r>
          </w:p>
        </w:tc>
        <w:tc>
          <w:tcPr>
            <w:tcW w:w="1092" w:type="pct"/>
            <w:tcBorders>
              <w:top w:val="single" w:sz="4" w:space="0" w:color="auto"/>
              <w:left w:val="single" w:sz="4" w:space="0" w:color="auto"/>
              <w:bottom w:val="single" w:sz="4" w:space="0" w:color="auto"/>
              <w:right w:val="single" w:sz="4" w:space="0" w:color="auto"/>
            </w:tcBorders>
            <w:vAlign w:val="center"/>
            <w:hideMark/>
          </w:tcPr>
          <w:p w14:paraId="653238B4" w14:textId="77777777" w:rsidR="0096391E" w:rsidRPr="000160B2" w:rsidRDefault="0096391E" w:rsidP="000E36F6">
            <w:pPr>
              <w:pStyle w:val="TableText0"/>
              <w:keepLines/>
              <w:jc w:val="center"/>
              <w:rPr>
                <w:szCs w:val="20"/>
              </w:rPr>
            </w:pPr>
            <w:r w:rsidRPr="000160B2">
              <w:rPr>
                <w:szCs w:val="20"/>
              </w:rPr>
              <w:t>1.00 (0.98,1.01)</w:t>
            </w:r>
          </w:p>
        </w:tc>
      </w:tr>
      <w:tr w:rsidR="0096391E" w:rsidRPr="005B024E" w14:paraId="0A4971AA" w14:textId="77777777" w:rsidTr="0096391E">
        <w:trPr>
          <w:trHeight w:val="19"/>
        </w:trPr>
        <w:tc>
          <w:tcPr>
            <w:tcW w:w="1726" w:type="pct"/>
            <w:tcBorders>
              <w:top w:val="single" w:sz="4" w:space="0" w:color="auto"/>
              <w:left w:val="single" w:sz="4" w:space="0" w:color="auto"/>
              <w:bottom w:val="single" w:sz="4" w:space="0" w:color="auto"/>
              <w:right w:val="single" w:sz="4" w:space="0" w:color="auto"/>
            </w:tcBorders>
            <w:hideMark/>
          </w:tcPr>
          <w:p w14:paraId="0477EAAC" w14:textId="77777777" w:rsidR="0096391E" w:rsidRPr="000160B2" w:rsidRDefault="0096391E" w:rsidP="000E36F6">
            <w:pPr>
              <w:pStyle w:val="TableText0"/>
              <w:keepLines/>
              <w:rPr>
                <w:szCs w:val="20"/>
              </w:rPr>
            </w:pPr>
            <w:r w:rsidRPr="000160B2">
              <w:rPr>
                <w:szCs w:val="20"/>
              </w:rPr>
              <w:t>Any Grade 3-5 AE</w:t>
            </w:r>
          </w:p>
        </w:tc>
        <w:tc>
          <w:tcPr>
            <w:tcW w:w="1091" w:type="pct"/>
            <w:tcBorders>
              <w:top w:val="single" w:sz="4" w:space="0" w:color="auto"/>
              <w:left w:val="single" w:sz="4" w:space="0" w:color="auto"/>
              <w:bottom w:val="single" w:sz="4" w:space="0" w:color="auto"/>
              <w:right w:val="single" w:sz="4" w:space="0" w:color="auto"/>
            </w:tcBorders>
            <w:vAlign w:val="center"/>
            <w:hideMark/>
          </w:tcPr>
          <w:p w14:paraId="0772736C" w14:textId="77777777" w:rsidR="0096391E" w:rsidRPr="000160B2" w:rsidRDefault="0096391E" w:rsidP="000E36F6">
            <w:pPr>
              <w:pStyle w:val="TableText0"/>
              <w:keepLines/>
              <w:jc w:val="center"/>
              <w:rPr>
                <w:szCs w:val="20"/>
              </w:rPr>
            </w:pPr>
            <w:r w:rsidRPr="000160B2">
              <w:rPr>
                <w:szCs w:val="20"/>
              </w:rPr>
              <w:t>264 (60.7)</w:t>
            </w:r>
          </w:p>
        </w:tc>
        <w:tc>
          <w:tcPr>
            <w:tcW w:w="1091" w:type="pct"/>
            <w:tcBorders>
              <w:top w:val="single" w:sz="4" w:space="0" w:color="auto"/>
              <w:left w:val="single" w:sz="4" w:space="0" w:color="auto"/>
              <w:bottom w:val="single" w:sz="4" w:space="0" w:color="auto"/>
              <w:right w:val="single" w:sz="4" w:space="0" w:color="auto"/>
            </w:tcBorders>
            <w:vAlign w:val="center"/>
            <w:hideMark/>
          </w:tcPr>
          <w:p w14:paraId="4CC2ACC8" w14:textId="77777777" w:rsidR="0096391E" w:rsidRPr="000160B2" w:rsidRDefault="0096391E" w:rsidP="000E36F6">
            <w:pPr>
              <w:pStyle w:val="TableText0"/>
              <w:keepLines/>
              <w:jc w:val="center"/>
              <w:rPr>
                <w:szCs w:val="20"/>
              </w:rPr>
            </w:pPr>
            <w:r w:rsidRPr="000160B2">
              <w:rPr>
                <w:szCs w:val="20"/>
              </w:rPr>
              <w:t>262 (59.8)</w:t>
            </w:r>
          </w:p>
        </w:tc>
        <w:tc>
          <w:tcPr>
            <w:tcW w:w="1092" w:type="pct"/>
            <w:tcBorders>
              <w:top w:val="single" w:sz="4" w:space="0" w:color="auto"/>
              <w:left w:val="single" w:sz="4" w:space="0" w:color="auto"/>
              <w:bottom w:val="single" w:sz="4" w:space="0" w:color="auto"/>
              <w:right w:val="single" w:sz="4" w:space="0" w:color="auto"/>
            </w:tcBorders>
            <w:vAlign w:val="center"/>
            <w:hideMark/>
          </w:tcPr>
          <w:p w14:paraId="636B577C" w14:textId="77777777" w:rsidR="0096391E" w:rsidRPr="000160B2" w:rsidRDefault="0096391E" w:rsidP="000E36F6">
            <w:pPr>
              <w:pStyle w:val="TableText0"/>
              <w:keepLines/>
              <w:jc w:val="center"/>
              <w:rPr>
                <w:szCs w:val="20"/>
              </w:rPr>
            </w:pPr>
            <w:r w:rsidRPr="000160B2">
              <w:rPr>
                <w:szCs w:val="20"/>
              </w:rPr>
              <w:t>1.01 (0.91,1.13)</w:t>
            </w:r>
          </w:p>
        </w:tc>
      </w:tr>
      <w:tr w:rsidR="0096391E" w:rsidRPr="005B024E" w14:paraId="01F72408" w14:textId="77777777" w:rsidTr="0096391E">
        <w:trPr>
          <w:trHeight w:val="103"/>
        </w:trPr>
        <w:tc>
          <w:tcPr>
            <w:tcW w:w="1726" w:type="pct"/>
            <w:tcBorders>
              <w:top w:val="single" w:sz="4" w:space="0" w:color="auto"/>
              <w:left w:val="single" w:sz="4" w:space="0" w:color="auto"/>
              <w:bottom w:val="single" w:sz="4" w:space="0" w:color="auto"/>
              <w:right w:val="single" w:sz="4" w:space="0" w:color="auto"/>
            </w:tcBorders>
            <w:hideMark/>
          </w:tcPr>
          <w:p w14:paraId="7B814AF3" w14:textId="77777777" w:rsidR="0096391E" w:rsidRPr="000160B2" w:rsidRDefault="0096391E" w:rsidP="000E36F6">
            <w:pPr>
              <w:pStyle w:val="TableText0"/>
              <w:keepLines/>
              <w:rPr>
                <w:szCs w:val="20"/>
              </w:rPr>
            </w:pPr>
            <w:r w:rsidRPr="000160B2">
              <w:rPr>
                <w:szCs w:val="20"/>
              </w:rPr>
              <w:t>Any Grade 5 AE</w:t>
            </w:r>
          </w:p>
        </w:tc>
        <w:tc>
          <w:tcPr>
            <w:tcW w:w="1091" w:type="pct"/>
            <w:tcBorders>
              <w:top w:val="single" w:sz="4" w:space="0" w:color="auto"/>
              <w:left w:val="single" w:sz="4" w:space="0" w:color="auto"/>
              <w:bottom w:val="single" w:sz="4" w:space="0" w:color="auto"/>
              <w:right w:val="single" w:sz="4" w:space="0" w:color="auto"/>
            </w:tcBorders>
            <w:vAlign w:val="center"/>
            <w:hideMark/>
          </w:tcPr>
          <w:p w14:paraId="2A254523" w14:textId="77777777" w:rsidR="0096391E" w:rsidRPr="000160B2" w:rsidRDefault="0096391E" w:rsidP="000E36F6">
            <w:pPr>
              <w:pStyle w:val="TableText0"/>
              <w:keepLines/>
              <w:jc w:val="center"/>
              <w:rPr>
                <w:szCs w:val="20"/>
              </w:rPr>
            </w:pPr>
            <w:r w:rsidRPr="000160B2">
              <w:rPr>
                <w:szCs w:val="20"/>
              </w:rPr>
              <w:t>13 (3.0)</w:t>
            </w:r>
          </w:p>
        </w:tc>
        <w:tc>
          <w:tcPr>
            <w:tcW w:w="1091" w:type="pct"/>
            <w:tcBorders>
              <w:top w:val="single" w:sz="4" w:space="0" w:color="auto"/>
              <w:left w:val="single" w:sz="4" w:space="0" w:color="auto"/>
              <w:bottom w:val="single" w:sz="4" w:space="0" w:color="auto"/>
              <w:right w:val="single" w:sz="4" w:space="0" w:color="auto"/>
            </w:tcBorders>
            <w:vAlign w:val="center"/>
            <w:hideMark/>
          </w:tcPr>
          <w:p w14:paraId="72DA291A" w14:textId="77777777" w:rsidR="0096391E" w:rsidRPr="000160B2" w:rsidRDefault="0096391E" w:rsidP="000E36F6">
            <w:pPr>
              <w:pStyle w:val="TableText0"/>
              <w:keepLines/>
              <w:jc w:val="center"/>
              <w:rPr>
                <w:szCs w:val="20"/>
              </w:rPr>
            </w:pPr>
            <w:r w:rsidRPr="000160B2">
              <w:rPr>
                <w:szCs w:val="20"/>
              </w:rPr>
              <w:t>10 (2.3)</w:t>
            </w:r>
          </w:p>
        </w:tc>
        <w:tc>
          <w:tcPr>
            <w:tcW w:w="1092" w:type="pct"/>
            <w:tcBorders>
              <w:top w:val="single" w:sz="4" w:space="0" w:color="auto"/>
              <w:left w:val="single" w:sz="4" w:space="0" w:color="auto"/>
              <w:bottom w:val="single" w:sz="4" w:space="0" w:color="auto"/>
              <w:right w:val="single" w:sz="4" w:space="0" w:color="auto"/>
            </w:tcBorders>
            <w:vAlign w:val="center"/>
            <w:hideMark/>
          </w:tcPr>
          <w:p w14:paraId="3667BF09" w14:textId="77777777" w:rsidR="0096391E" w:rsidRPr="000160B2" w:rsidRDefault="0096391E" w:rsidP="000E36F6">
            <w:pPr>
              <w:pStyle w:val="TableText0"/>
              <w:keepLines/>
              <w:jc w:val="center"/>
              <w:rPr>
                <w:szCs w:val="20"/>
              </w:rPr>
            </w:pPr>
            <w:r w:rsidRPr="000160B2">
              <w:rPr>
                <w:szCs w:val="20"/>
              </w:rPr>
              <w:t>1.31 (0.58, 2.95)</w:t>
            </w:r>
          </w:p>
        </w:tc>
      </w:tr>
      <w:tr w:rsidR="0096391E" w:rsidRPr="005B024E" w14:paraId="11491A04" w14:textId="77777777" w:rsidTr="0096391E">
        <w:trPr>
          <w:trHeight w:val="103"/>
        </w:trPr>
        <w:tc>
          <w:tcPr>
            <w:tcW w:w="1726" w:type="pct"/>
            <w:tcBorders>
              <w:top w:val="single" w:sz="4" w:space="0" w:color="auto"/>
              <w:left w:val="single" w:sz="4" w:space="0" w:color="auto"/>
              <w:bottom w:val="single" w:sz="4" w:space="0" w:color="auto"/>
              <w:right w:val="single" w:sz="4" w:space="0" w:color="auto"/>
            </w:tcBorders>
            <w:hideMark/>
          </w:tcPr>
          <w:p w14:paraId="012DF631" w14:textId="77777777" w:rsidR="0096391E" w:rsidRPr="000160B2" w:rsidRDefault="0096391E" w:rsidP="000E36F6">
            <w:pPr>
              <w:pStyle w:val="TableText0"/>
              <w:keepLines/>
              <w:rPr>
                <w:szCs w:val="20"/>
              </w:rPr>
            </w:pPr>
            <w:r w:rsidRPr="000160B2">
              <w:rPr>
                <w:szCs w:val="20"/>
              </w:rPr>
              <w:t>Any SAE</w:t>
            </w:r>
          </w:p>
        </w:tc>
        <w:tc>
          <w:tcPr>
            <w:tcW w:w="1091" w:type="pct"/>
            <w:tcBorders>
              <w:top w:val="single" w:sz="4" w:space="0" w:color="auto"/>
              <w:left w:val="single" w:sz="4" w:space="0" w:color="auto"/>
              <w:bottom w:val="single" w:sz="4" w:space="0" w:color="auto"/>
              <w:right w:val="single" w:sz="4" w:space="0" w:color="auto"/>
            </w:tcBorders>
            <w:vAlign w:val="center"/>
            <w:hideMark/>
          </w:tcPr>
          <w:p w14:paraId="5B4A5A84" w14:textId="77777777" w:rsidR="0096391E" w:rsidRPr="000160B2" w:rsidRDefault="0096391E" w:rsidP="000E36F6">
            <w:pPr>
              <w:pStyle w:val="TableText0"/>
              <w:keepLines/>
              <w:jc w:val="center"/>
              <w:rPr>
                <w:szCs w:val="20"/>
              </w:rPr>
            </w:pPr>
            <w:r w:rsidRPr="000160B2">
              <w:rPr>
                <w:szCs w:val="20"/>
              </w:rPr>
              <w:t>148 (34.0)</w:t>
            </w:r>
          </w:p>
        </w:tc>
        <w:tc>
          <w:tcPr>
            <w:tcW w:w="1091" w:type="pct"/>
            <w:tcBorders>
              <w:top w:val="single" w:sz="4" w:space="0" w:color="auto"/>
              <w:left w:val="single" w:sz="4" w:space="0" w:color="auto"/>
              <w:bottom w:val="single" w:sz="4" w:space="0" w:color="auto"/>
              <w:right w:val="single" w:sz="4" w:space="0" w:color="auto"/>
            </w:tcBorders>
            <w:vAlign w:val="center"/>
            <w:hideMark/>
          </w:tcPr>
          <w:p w14:paraId="4E7F6AF0" w14:textId="77777777" w:rsidR="0096391E" w:rsidRPr="000160B2" w:rsidRDefault="0096391E" w:rsidP="000E36F6">
            <w:pPr>
              <w:pStyle w:val="TableText0"/>
              <w:keepLines/>
              <w:jc w:val="center"/>
              <w:rPr>
                <w:szCs w:val="20"/>
              </w:rPr>
            </w:pPr>
            <w:r w:rsidRPr="000160B2">
              <w:rPr>
                <w:szCs w:val="20"/>
              </w:rPr>
              <w:t>134 (30.6)</w:t>
            </w:r>
          </w:p>
        </w:tc>
        <w:tc>
          <w:tcPr>
            <w:tcW w:w="1092" w:type="pct"/>
            <w:tcBorders>
              <w:top w:val="single" w:sz="4" w:space="0" w:color="auto"/>
              <w:left w:val="single" w:sz="4" w:space="0" w:color="auto"/>
              <w:bottom w:val="single" w:sz="4" w:space="0" w:color="auto"/>
              <w:right w:val="single" w:sz="4" w:space="0" w:color="auto"/>
            </w:tcBorders>
            <w:vAlign w:val="center"/>
            <w:hideMark/>
          </w:tcPr>
          <w:p w14:paraId="093662FD" w14:textId="77777777" w:rsidR="0096391E" w:rsidRPr="000160B2" w:rsidRDefault="0096391E" w:rsidP="000E36F6">
            <w:pPr>
              <w:pStyle w:val="TableText0"/>
              <w:keepLines/>
              <w:jc w:val="center"/>
              <w:rPr>
                <w:szCs w:val="20"/>
              </w:rPr>
            </w:pPr>
            <w:r w:rsidRPr="000160B2">
              <w:rPr>
                <w:szCs w:val="20"/>
              </w:rPr>
              <w:t>1.11 (0.92,1.35)</w:t>
            </w:r>
          </w:p>
        </w:tc>
      </w:tr>
      <w:tr w:rsidR="0096391E" w:rsidRPr="005B024E" w14:paraId="3AFC03B0" w14:textId="77777777" w:rsidTr="0096391E">
        <w:trPr>
          <w:trHeight w:val="19"/>
        </w:trPr>
        <w:tc>
          <w:tcPr>
            <w:tcW w:w="1726" w:type="pct"/>
            <w:tcBorders>
              <w:top w:val="single" w:sz="4" w:space="0" w:color="auto"/>
              <w:left w:val="single" w:sz="4" w:space="0" w:color="auto"/>
              <w:bottom w:val="single" w:sz="4" w:space="0" w:color="auto"/>
              <w:right w:val="single" w:sz="4" w:space="0" w:color="auto"/>
            </w:tcBorders>
            <w:hideMark/>
          </w:tcPr>
          <w:p w14:paraId="3C77B8A3" w14:textId="77777777" w:rsidR="0096391E" w:rsidRPr="000160B2" w:rsidRDefault="0096391E" w:rsidP="000E36F6">
            <w:pPr>
              <w:pStyle w:val="TableText0"/>
              <w:keepLines/>
              <w:rPr>
                <w:szCs w:val="20"/>
              </w:rPr>
            </w:pPr>
            <w:r w:rsidRPr="000160B2">
              <w:rPr>
                <w:szCs w:val="20"/>
              </w:rPr>
              <w:t>Any AE resulting in death</w:t>
            </w:r>
          </w:p>
        </w:tc>
        <w:tc>
          <w:tcPr>
            <w:tcW w:w="1091" w:type="pct"/>
            <w:tcBorders>
              <w:top w:val="single" w:sz="4" w:space="0" w:color="auto"/>
              <w:left w:val="single" w:sz="4" w:space="0" w:color="auto"/>
              <w:bottom w:val="single" w:sz="4" w:space="0" w:color="auto"/>
              <w:right w:val="single" w:sz="4" w:space="0" w:color="auto"/>
            </w:tcBorders>
            <w:vAlign w:val="center"/>
            <w:hideMark/>
          </w:tcPr>
          <w:p w14:paraId="57F30CFF" w14:textId="77777777" w:rsidR="0096391E" w:rsidRPr="000160B2" w:rsidRDefault="0096391E" w:rsidP="000E36F6">
            <w:pPr>
              <w:pStyle w:val="TableText0"/>
              <w:keepLines/>
              <w:jc w:val="center"/>
              <w:rPr>
                <w:szCs w:val="20"/>
              </w:rPr>
            </w:pPr>
            <w:r w:rsidRPr="000160B2">
              <w:rPr>
                <w:szCs w:val="20"/>
              </w:rPr>
              <w:t>13 (3.0)</w:t>
            </w:r>
          </w:p>
        </w:tc>
        <w:tc>
          <w:tcPr>
            <w:tcW w:w="1091" w:type="pct"/>
            <w:tcBorders>
              <w:top w:val="single" w:sz="4" w:space="0" w:color="auto"/>
              <w:left w:val="single" w:sz="4" w:space="0" w:color="auto"/>
              <w:bottom w:val="single" w:sz="4" w:space="0" w:color="auto"/>
              <w:right w:val="single" w:sz="4" w:space="0" w:color="auto"/>
            </w:tcBorders>
            <w:vAlign w:val="center"/>
            <w:hideMark/>
          </w:tcPr>
          <w:p w14:paraId="22466CED" w14:textId="77777777" w:rsidR="0096391E" w:rsidRPr="000160B2" w:rsidRDefault="0096391E" w:rsidP="000E36F6">
            <w:pPr>
              <w:pStyle w:val="TableText0"/>
              <w:keepLines/>
              <w:jc w:val="center"/>
              <w:rPr>
                <w:szCs w:val="20"/>
              </w:rPr>
            </w:pPr>
            <w:r w:rsidRPr="000160B2">
              <w:rPr>
                <w:szCs w:val="20"/>
              </w:rPr>
              <w:t>11 (2.5)</w:t>
            </w:r>
          </w:p>
        </w:tc>
        <w:tc>
          <w:tcPr>
            <w:tcW w:w="1092" w:type="pct"/>
            <w:tcBorders>
              <w:top w:val="single" w:sz="4" w:space="0" w:color="auto"/>
              <w:left w:val="single" w:sz="4" w:space="0" w:color="auto"/>
              <w:bottom w:val="single" w:sz="4" w:space="0" w:color="auto"/>
              <w:right w:val="single" w:sz="4" w:space="0" w:color="auto"/>
            </w:tcBorders>
            <w:vAlign w:val="center"/>
            <w:hideMark/>
          </w:tcPr>
          <w:p w14:paraId="02CD9538" w14:textId="77777777" w:rsidR="0096391E" w:rsidRPr="000160B2" w:rsidRDefault="0096391E" w:rsidP="000E36F6">
            <w:pPr>
              <w:pStyle w:val="TableText0"/>
              <w:keepLines/>
              <w:jc w:val="center"/>
              <w:rPr>
                <w:szCs w:val="20"/>
              </w:rPr>
            </w:pPr>
            <w:r w:rsidRPr="000160B2">
              <w:rPr>
                <w:szCs w:val="20"/>
              </w:rPr>
              <w:t>1.19 (0.54, 2.63)</w:t>
            </w:r>
          </w:p>
        </w:tc>
      </w:tr>
      <w:tr w:rsidR="0096391E" w:rsidRPr="005B024E" w14:paraId="252BE067" w14:textId="77777777" w:rsidTr="0096391E">
        <w:trPr>
          <w:trHeight w:val="19"/>
        </w:trPr>
        <w:tc>
          <w:tcPr>
            <w:tcW w:w="1726" w:type="pct"/>
            <w:tcBorders>
              <w:top w:val="single" w:sz="4" w:space="0" w:color="auto"/>
              <w:left w:val="single" w:sz="4" w:space="0" w:color="auto"/>
              <w:bottom w:val="single" w:sz="4" w:space="0" w:color="auto"/>
              <w:right w:val="single" w:sz="4" w:space="0" w:color="auto"/>
            </w:tcBorders>
            <w:hideMark/>
          </w:tcPr>
          <w:p w14:paraId="71263D84" w14:textId="77777777" w:rsidR="0096391E" w:rsidRPr="000160B2" w:rsidRDefault="0096391E" w:rsidP="000E36F6">
            <w:pPr>
              <w:pStyle w:val="TableText0"/>
              <w:keepLines/>
              <w:rPr>
                <w:szCs w:val="20"/>
              </w:rPr>
            </w:pPr>
            <w:r w:rsidRPr="000160B2">
              <w:rPr>
                <w:szCs w:val="20"/>
              </w:rPr>
              <w:t>AE leading to trial discontinuation</w:t>
            </w:r>
          </w:p>
        </w:tc>
        <w:tc>
          <w:tcPr>
            <w:tcW w:w="1091" w:type="pct"/>
            <w:tcBorders>
              <w:top w:val="single" w:sz="4" w:space="0" w:color="auto"/>
              <w:left w:val="single" w:sz="4" w:space="0" w:color="auto"/>
              <w:bottom w:val="single" w:sz="4" w:space="0" w:color="auto"/>
              <w:right w:val="single" w:sz="4" w:space="0" w:color="auto"/>
            </w:tcBorders>
            <w:vAlign w:val="center"/>
            <w:hideMark/>
          </w:tcPr>
          <w:p w14:paraId="6312F533" w14:textId="77777777" w:rsidR="0096391E" w:rsidRPr="000160B2" w:rsidRDefault="0096391E" w:rsidP="000E36F6">
            <w:pPr>
              <w:pStyle w:val="TableText0"/>
              <w:keepLines/>
              <w:jc w:val="center"/>
              <w:rPr>
                <w:szCs w:val="20"/>
              </w:rPr>
            </w:pPr>
            <w:r w:rsidRPr="000160B2">
              <w:rPr>
                <w:szCs w:val="20"/>
              </w:rPr>
              <w:t>27 (6.2)</w:t>
            </w:r>
          </w:p>
        </w:tc>
        <w:tc>
          <w:tcPr>
            <w:tcW w:w="1091" w:type="pct"/>
            <w:tcBorders>
              <w:top w:val="single" w:sz="4" w:space="0" w:color="auto"/>
              <w:left w:val="single" w:sz="4" w:space="0" w:color="auto"/>
              <w:bottom w:val="single" w:sz="4" w:space="0" w:color="auto"/>
              <w:right w:val="single" w:sz="4" w:space="0" w:color="auto"/>
            </w:tcBorders>
            <w:vAlign w:val="center"/>
            <w:hideMark/>
          </w:tcPr>
          <w:p w14:paraId="6955964B" w14:textId="77777777" w:rsidR="0096391E" w:rsidRPr="000160B2" w:rsidRDefault="0096391E" w:rsidP="000E36F6">
            <w:pPr>
              <w:pStyle w:val="TableText0"/>
              <w:keepLines/>
              <w:jc w:val="center"/>
              <w:rPr>
                <w:szCs w:val="20"/>
              </w:rPr>
            </w:pPr>
            <w:r w:rsidRPr="000160B2">
              <w:rPr>
                <w:szCs w:val="20"/>
              </w:rPr>
              <w:t>29 (6.6)</w:t>
            </w:r>
          </w:p>
        </w:tc>
        <w:tc>
          <w:tcPr>
            <w:tcW w:w="1092" w:type="pct"/>
            <w:tcBorders>
              <w:top w:val="single" w:sz="4" w:space="0" w:color="auto"/>
              <w:left w:val="single" w:sz="4" w:space="0" w:color="auto"/>
              <w:bottom w:val="single" w:sz="4" w:space="0" w:color="auto"/>
              <w:right w:val="single" w:sz="4" w:space="0" w:color="auto"/>
            </w:tcBorders>
            <w:vAlign w:val="center"/>
            <w:hideMark/>
          </w:tcPr>
          <w:p w14:paraId="1373A340" w14:textId="77777777" w:rsidR="0096391E" w:rsidRPr="000160B2" w:rsidRDefault="0096391E" w:rsidP="000E36F6">
            <w:pPr>
              <w:pStyle w:val="TableText0"/>
              <w:keepLines/>
              <w:jc w:val="center"/>
              <w:rPr>
                <w:szCs w:val="20"/>
              </w:rPr>
            </w:pPr>
            <w:r w:rsidRPr="000160B2">
              <w:rPr>
                <w:szCs w:val="20"/>
              </w:rPr>
              <w:t>0.94 (0.56, 1.56)</w:t>
            </w:r>
          </w:p>
        </w:tc>
      </w:tr>
      <w:tr w:rsidR="0096391E" w:rsidRPr="005B024E" w14:paraId="6B06D044" w14:textId="77777777" w:rsidTr="0096391E">
        <w:trPr>
          <w:trHeight w:val="19"/>
        </w:trPr>
        <w:tc>
          <w:tcPr>
            <w:tcW w:w="1726" w:type="pct"/>
            <w:tcBorders>
              <w:top w:val="single" w:sz="4" w:space="0" w:color="auto"/>
              <w:left w:val="single" w:sz="4" w:space="0" w:color="auto"/>
              <w:bottom w:val="nil"/>
              <w:right w:val="single" w:sz="4" w:space="0" w:color="auto"/>
            </w:tcBorders>
            <w:hideMark/>
          </w:tcPr>
          <w:p w14:paraId="1F4C87B1" w14:textId="77777777" w:rsidR="0096391E" w:rsidRPr="000160B2" w:rsidRDefault="0096391E" w:rsidP="000E36F6">
            <w:pPr>
              <w:pStyle w:val="TableText0"/>
              <w:keepLines/>
              <w:rPr>
                <w:szCs w:val="20"/>
              </w:rPr>
            </w:pPr>
            <w:r w:rsidRPr="000160B2">
              <w:rPr>
                <w:szCs w:val="20"/>
              </w:rPr>
              <w:t>AE leading to dose interruption</w:t>
            </w:r>
          </w:p>
        </w:tc>
        <w:tc>
          <w:tcPr>
            <w:tcW w:w="1091" w:type="pct"/>
            <w:tcBorders>
              <w:top w:val="single" w:sz="4" w:space="0" w:color="auto"/>
              <w:left w:val="single" w:sz="4" w:space="0" w:color="auto"/>
              <w:bottom w:val="nil"/>
              <w:right w:val="single" w:sz="4" w:space="0" w:color="auto"/>
            </w:tcBorders>
            <w:vAlign w:val="center"/>
          </w:tcPr>
          <w:p w14:paraId="55FE5496" w14:textId="77777777" w:rsidR="0096391E" w:rsidRPr="000160B2" w:rsidRDefault="0096391E" w:rsidP="000E36F6">
            <w:pPr>
              <w:pStyle w:val="TableText0"/>
              <w:keepLines/>
              <w:jc w:val="center"/>
              <w:rPr>
                <w:szCs w:val="20"/>
              </w:rPr>
            </w:pPr>
          </w:p>
        </w:tc>
        <w:tc>
          <w:tcPr>
            <w:tcW w:w="1091" w:type="pct"/>
            <w:tcBorders>
              <w:top w:val="single" w:sz="4" w:space="0" w:color="auto"/>
              <w:left w:val="single" w:sz="4" w:space="0" w:color="auto"/>
              <w:bottom w:val="nil"/>
              <w:right w:val="single" w:sz="4" w:space="0" w:color="auto"/>
            </w:tcBorders>
            <w:vAlign w:val="center"/>
          </w:tcPr>
          <w:p w14:paraId="18FFDCAE" w14:textId="77777777" w:rsidR="0096391E" w:rsidRPr="000160B2" w:rsidRDefault="0096391E" w:rsidP="000E36F6">
            <w:pPr>
              <w:pStyle w:val="TableText0"/>
              <w:keepLines/>
              <w:jc w:val="center"/>
              <w:rPr>
                <w:szCs w:val="20"/>
              </w:rPr>
            </w:pPr>
          </w:p>
        </w:tc>
        <w:tc>
          <w:tcPr>
            <w:tcW w:w="1092" w:type="pct"/>
            <w:tcBorders>
              <w:top w:val="single" w:sz="4" w:space="0" w:color="auto"/>
              <w:left w:val="single" w:sz="4" w:space="0" w:color="auto"/>
              <w:bottom w:val="nil"/>
              <w:right w:val="single" w:sz="4" w:space="0" w:color="auto"/>
            </w:tcBorders>
            <w:vAlign w:val="center"/>
          </w:tcPr>
          <w:p w14:paraId="2AC1BF0D" w14:textId="77777777" w:rsidR="0096391E" w:rsidRPr="000160B2" w:rsidRDefault="0096391E" w:rsidP="000E36F6">
            <w:pPr>
              <w:pStyle w:val="TableText0"/>
              <w:keepLines/>
              <w:jc w:val="center"/>
              <w:rPr>
                <w:szCs w:val="20"/>
              </w:rPr>
            </w:pPr>
          </w:p>
        </w:tc>
      </w:tr>
      <w:tr w:rsidR="0096391E" w:rsidRPr="005B024E" w14:paraId="51B00E7F" w14:textId="77777777" w:rsidTr="0096391E">
        <w:trPr>
          <w:trHeight w:val="19"/>
        </w:trPr>
        <w:tc>
          <w:tcPr>
            <w:tcW w:w="1726" w:type="pct"/>
            <w:tcBorders>
              <w:top w:val="nil"/>
              <w:left w:val="single" w:sz="4" w:space="0" w:color="auto"/>
              <w:bottom w:val="nil"/>
              <w:right w:val="single" w:sz="4" w:space="0" w:color="auto"/>
            </w:tcBorders>
            <w:hideMark/>
          </w:tcPr>
          <w:p w14:paraId="7F70C180" w14:textId="77777777" w:rsidR="0096391E" w:rsidRPr="000160B2" w:rsidRDefault="0096391E" w:rsidP="000E36F6">
            <w:pPr>
              <w:pStyle w:val="TableText0"/>
              <w:keepLines/>
              <w:ind w:left="109"/>
              <w:rPr>
                <w:szCs w:val="20"/>
              </w:rPr>
            </w:pPr>
            <w:r w:rsidRPr="000160B2">
              <w:rPr>
                <w:szCs w:val="20"/>
              </w:rPr>
              <w:t>Any drug</w:t>
            </w:r>
          </w:p>
        </w:tc>
        <w:tc>
          <w:tcPr>
            <w:tcW w:w="1091" w:type="pct"/>
            <w:tcBorders>
              <w:top w:val="nil"/>
              <w:left w:val="single" w:sz="4" w:space="0" w:color="auto"/>
              <w:bottom w:val="nil"/>
              <w:right w:val="single" w:sz="4" w:space="0" w:color="auto"/>
            </w:tcBorders>
            <w:vAlign w:val="center"/>
            <w:hideMark/>
          </w:tcPr>
          <w:p w14:paraId="23BC54FF" w14:textId="77777777" w:rsidR="0096391E" w:rsidRPr="000160B2" w:rsidRDefault="0096391E" w:rsidP="000E36F6">
            <w:pPr>
              <w:pStyle w:val="TableText0"/>
              <w:keepLines/>
              <w:jc w:val="center"/>
              <w:rPr>
                <w:szCs w:val="20"/>
              </w:rPr>
            </w:pPr>
            <w:r w:rsidRPr="000160B2">
              <w:rPr>
                <w:szCs w:val="20"/>
              </w:rPr>
              <w:t>103 (23.7)</w:t>
            </w:r>
          </w:p>
        </w:tc>
        <w:tc>
          <w:tcPr>
            <w:tcW w:w="1091" w:type="pct"/>
            <w:tcBorders>
              <w:top w:val="nil"/>
              <w:left w:val="single" w:sz="4" w:space="0" w:color="auto"/>
              <w:bottom w:val="nil"/>
              <w:right w:val="single" w:sz="4" w:space="0" w:color="auto"/>
            </w:tcBorders>
            <w:vAlign w:val="center"/>
            <w:hideMark/>
          </w:tcPr>
          <w:p w14:paraId="0B157A1B" w14:textId="77777777" w:rsidR="0096391E" w:rsidRPr="000160B2" w:rsidRDefault="0096391E" w:rsidP="000E36F6">
            <w:pPr>
              <w:pStyle w:val="TableText0"/>
              <w:keepLines/>
              <w:jc w:val="center"/>
              <w:rPr>
                <w:szCs w:val="20"/>
              </w:rPr>
            </w:pPr>
            <w:r w:rsidRPr="000160B2">
              <w:rPr>
                <w:szCs w:val="20"/>
              </w:rPr>
              <w:t>111 (25.3)</w:t>
            </w:r>
          </w:p>
        </w:tc>
        <w:tc>
          <w:tcPr>
            <w:tcW w:w="1092" w:type="pct"/>
            <w:tcBorders>
              <w:top w:val="nil"/>
              <w:left w:val="single" w:sz="4" w:space="0" w:color="auto"/>
              <w:bottom w:val="nil"/>
              <w:right w:val="single" w:sz="4" w:space="0" w:color="auto"/>
            </w:tcBorders>
            <w:vAlign w:val="center"/>
            <w:hideMark/>
          </w:tcPr>
          <w:p w14:paraId="51FA0B84" w14:textId="77777777" w:rsidR="0096391E" w:rsidRPr="000160B2" w:rsidRDefault="0096391E" w:rsidP="000E36F6">
            <w:pPr>
              <w:pStyle w:val="TableText0"/>
              <w:keepLines/>
              <w:jc w:val="center"/>
              <w:rPr>
                <w:szCs w:val="20"/>
              </w:rPr>
            </w:pPr>
            <w:r w:rsidRPr="000160B2">
              <w:rPr>
                <w:szCs w:val="20"/>
              </w:rPr>
              <w:t>0.93 (0.74, 1.18)</w:t>
            </w:r>
          </w:p>
        </w:tc>
      </w:tr>
      <w:tr w:rsidR="0096391E" w:rsidRPr="005B024E" w14:paraId="2031FB53" w14:textId="77777777" w:rsidTr="0096391E">
        <w:trPr>
          <w:trHeight w:val="19"/>
        </w:trPr>
        <w:tc>
          <w:tcPr>
            <w:tcW w:w="1726" w:type="pct"/>
            <w:tcBorders>
              <w:top w:val="nil"/>
              <w:left w:val="single" w:sz="4" w:space="0" w:color="auto"/>
              <w:bottom w:val="single" w:sz="4" w:space="0" w:color="auto"/>
              <w:right w:val="single" w:sz="4" w:space="0" w:color="auto"/>
            </w:tcBorders>
            <w:hideMark/>
          </w:tcPr>
          <w:p w14:paraId="6A28FDD1" w14:textId="3EB42D3E" w:rsidR="0096391E" w:rsidRPr="000160B2" w:rsidRDefault="0096391E" w:rsidP="000E36F6">
            <w:pPr>
              <w:pStyle w:val="TableText0"/>
              <w:keepLines/>
              <w:ind w:left="109"/>
              <w:rPr>
                <w:szCs w:val="20"/>
              </w:rPr>
            </w:pPr>
            <w:r w:rsidRPr="000160B2">
              <w:rPr>
                <w:szCs w:val="20"/>
              </w:rPr>
              <w:t>Polatuzumab vedotin/vincristine</w:t>
            </w:r>
          </w:p>
        </w:tc>
        <w:tc>
          <w:tcPr>
            <w:tcW w:w="1091" w:type="pct"/>
            <w:tcBorders>
              <w:top w:val="nil"/>
              <w:left w:val="single" w:sz="4" w:space="0" w:color="auto"/>
              <w:bottom w:val="single" w:sz="4" w:space="0" w:color="auto"/>
              <w:right w:val="single" w:sz="4" w:space="0" w:color="auto"/>
            </w:tcBorders>
            <w:vAlign w:val="center"/>
            <w:hideMark/>
          </w:tcPr>
          <w:p w14:paraId="419E3968" w14:textId="77777777" w:rsidR="0096391E" w:rsidRPr="000160B2" w:rsidRDefault="0096391E" w:rsidP="000E36F6">
            <w:pPr>
              <w:pStyle w:val="TableText0"/>
              <w:keepLines/>
              <w:jc w:val="center"/>
              <w:rPr>
                <w:szCs w:val="20"/>
              </w:rPr>
            </w:pPr>
            <w:r w:rsidRPr="000160B2">
              <w:rPr>
                <w:szCs w:val="20"/>
              </w:rPr>
              <w:t>61 (14.0)</w:t>
            </w:r>
          </w:p>
        </w:tc>
        <w:tc>
          <w:tcPr>
            <w:tcW w:w="1091" w:type="pct"/>
            <w:tcBorders>
              <w:top w:val="nil"/>
              <w:left w:val="single" w:sz="4" w:space="0" w:color="auto"/>
              <w:bottom w:val="single" w:sz="4" w:space="0" w:color="auto"/>
              <w:right w:val="single" w:sz="4" w:space="0" w:color="auto"/>
            </w:tcBorders>
            <w:vAlign w:val="center"/>
            <w:hideMark/>
          </w:tcPr>
          <w:p w14:paraId="6E0D15A2" w14:textId="77777777" w:rsidR="0096391E" w:rsidRPr="000160B2" w:rsidRDefault="0096391E" w:rsidP="000E36F6">
            <w:pPr>
              <w:pStyle w:val="TableText0"/>
              <w:keepLines/>
              <w:jc w:val="center"/>
              <w:rPr>
                <w:szCs w:val="20"/>
              </w:rPr>
            </w:pPr>
            <w:r w:rsidRPr="000160B2">
              <w:rPr>
                <w:szCs w:val="20"/>
              </w:rPr>
              <w:t>62 (14.2)</w:t>
            </w:r>
          </w:p>
        </w:tc>
        <w:tc>
          <w:tcPr>
            <w:tcW w:w="1092" w:type="pct"/>
            <w:tcBorders>
              <w:top w:val="nil"/>
              <w:left w:val="single" w:sz="4" w:space="0" w:color="auto"/>
              <w:bottom w:val="single" w:sz="4" w:space="0" w:color="auto"/>
              <w:right w:val="single" w:sz="4" w:space="0" w:color="auto"/>
            </w:tcBorders>
            <w:vAlign w:val="center"/>
            <w:hideMark/>
          </w:tcPr>
          <w:p w14:paraId="0703D34D" w14:textId="77777777" w:rsidR="0096391E" w:rsidRPr="000160B2" w:rsidRDefault="0096391E" w:rsidP="000E36F6">
            <w:pPr>
              <w:pStyle w:val="TableText0"/>
              <w:keepLines/>
              <w:jc w:val="center"/>
              <w:rPr>
                <w:szCs w:val="20"/>
              </w:rPr>
            </w:pPr>
            <w:r w:rsidRPr="000160B2">
              <w:rPr>
                <w:szCs w:val="20"/>
              </w:rPr>
              <w:t>0.99 (0.71, 1.37)</w:t>
            </w:r>
          </w:p>
        </w:tc>
      </w:tr>
      <w:tr w:rsidR="0096391E" w:rsidRPr="005B024E" w14:paraId="4C147220" w14:textId="77777777" w:rsidTr="0096391E">
        <w:trPr>
          <w:trHeight w:val="19"/>
        </w:trPr>
        <w:tc>
          <w:tcPr>
            <w:tcW w:w="1726" w:type="pct"/>
            <w:tcBorders>
              <w:top w:val="single" w:sz="4" w:space="0" w:color="auto"/>
              <w:left w:val="single" w:sz="4" w:space="0" w:color="auto"/>
              <w:bottom w:val="nil"/>
              <w:right w:val="single" w:sz="4" w:space="0" w:color="auto"/>
            </w:tcBorders>
            <w:hideMark/>
          </w:tcPr>
          <w:p w14:paraId="38835B9F" w14:textId="77777777" w:rsidR="0096391E" w:rsidRPr="000160B2" w:rsidRDefault="0096391E" w:rsidP="000E36F6">
            <w:pPr>
              <w:pStyle w:val="TableText0"/>
              <w:keepLines/>
              <w:rPr>
                <w:szCs w:val="20"/>
              </w:rPr>
            </w:pPr>
            <w:r w:rsidRPr="000160B2">
              <w:rPr>
                <w:szCs w:val="20"/>
              </w:rPr>
              <w:t xml:space="preserve">AE leading to dose reduction </w:t>
            </w:r>
          </w:p>
        </w:tc>
        <w:tc>
          <w:tcPr>
            <w:tcW w:w="1091" w:type="pct"/>
            <w:tcBorders>
              <w:top w:val="single" w:sz="4" w:space="0" w:color="auto"/>
              <w:left w:val="single" w:sz="4" w:space="0" w:color="auto"/>
              <w:bottom w:val="nil"/>
              <w:right w:val="single" w:sz="4" w:space="0" w:color="auto"/>
            </w:tcBorders>
            <w:vAlign w:val="center"/>
          </w:tcPr>
          <w:p w14:paraId="225EACA5" w14:textId="77777777" w:rsidR="0096391E" w:rsidRPr="000160B2" w:rsidRDefault="0096391E" w:rsidP="000E36F6">
            <w:pPr>
              <w:pStyle w:val="TableText0"/>
              <w:keepLines/>
              <w:jc w:val="center"/>
              <w:rPr>
                <w:szCs w:val="20"/>
              </w:rPr>
            </w:pPr>
          </w:p>
        </w:tc>
        <w:tc>
          <w:tcPr>
            <w:tcW w:w="1091" w:type="pct"/>
            <w:tcBorders>
              <w:top w:val="single" w:sz="4" w:space="0" w:color="auto"/>
              <w:left w:val="single" w:sz="4" w:space="0" w:color="auto"/>
              <w:bottom w:val="nil"/>
              <w:right w:val="single" w:sz="4" w:space="0" w:color="auto"/>
            </w:tcBorders>
            <w:vAlign w:val="center"/>
          </w:tcPr>
          <w:p w14:paraId="2511ED2A" w14:textId="77777777" w:rsidR="0096391E" w:rsidRPr="000160B2" w:rsidRDefault="0096391E" w:rsidP="000E36F6">
            <w:pPr>
              <w:pStyle w:val="TableText0"/>
              <w:keepLines/>
              <w:jc w:val="center"/>
              <w:rPr>
                <w:szCs w:val="20"/>
              </w:rPr>
            </w:pPr>
          </w:p>
        </w:tc>
        <w:tc>
          <w:tcPr>
            <w:tcW w:w="1092" w:type="pct"/>
            <w:tcBorders>
              <w:top w:val="single" w:sz="4" w:space="0" w:color="auto"/>
              <w:left w:val="single" w:sz="4" w:space="0" w:color="auto"/>
              <w:bottom w:val="nil"/>
              <w:right w:val="single" w:sz="4" w:space="0" w:color="auto"/>
            </w:tcBorders>
            <w:vAlign w:val="center"/>
          </w:tcPr>
          <w:p w14:paraId="3BC43914" w14:textId="77777777" w:rsidR="0096391E" w:rsidRPr="000160B2" w:rsidRDefault="0096391E" w:rsidP="000E36F6">
            <w:pPr>
              <w:pStyle w:val="TableText0"/>
              <w:keepLines/>
              <w:jc w:val="center"/>
              <w:rPr>
                <w:szCs w:val="20"/>
              </w:rPr>
            </w:pPr>
          </w:p>
        </w:tc>
      </w:tr>
      <w:tr w:rsidR="0096391E" w:rsidRPr="005B024E" w14:paraId="237ADC64" w14:textId="77777777" w:rsidTr="0096391E">
        <w:trPr>
          <w:trHeight w:val="19"/>
        </w:trPr>
        <w:tc>
          <w:tcPr>
            <w:tcW w:w="1726" w:type="pct"/>
            <w:tcBorders>
              <w:top w:val="nil"/>
              <w:left w:val="single" w:sz="4" w:space="0" w:color="auto"/>
              <w:bottom w:val="nil"/>
              <w:right w:val="single" w:sz="4" w:space="0" w:color="auto"/>
            </w:tcBorders>
            <w:hideMark/>
          </w:tcPr>
          <w:p w14:paraId="476B1F33" w14:textId="77777777" w:rsidR="0096391E" w:rsidRPr="000160B2" w:rsidRDefault="0096391E" w:rsidP="000E36F6">
            <w:pPr>
              <w:pStyle w:val="TableText0"/>
              <w:keepLines/>
              <w:ind w:left="109"/>
              <w:rPr>
                <w:szCs w:val="20"/>
              </w:rPr>
            </w:pPr>
            <w:r w:rsidRPr="000160B2">
              <w:rPr>
                <w:szCs w:val="20"/>
              </w:rPr>
              <w:t>Any drug</w:t>
            </w:r>
          </w:p>
        </w:tc>
        <w:tc>
          <w:tcPr>
            <w:tcW w:w="1091" w:type="pct"/>
            <w:tcBorders>
              <w:top w:val="nil"/>
              <w:left w:val="single" w:sz="4" w:space="0" w:color="auto"/>
              <w:bottom w:val="nil"/>
              <w:right w:val="single" w:sz="4" w:space="0" w:color="auto"/>
            </w:tcBorders>
            <w:vAlign w:val="center"/>
            <w:hideMark/>
          </w:tcPr>
          <w:p w14:paraId="7398BEBE" w14:textId="77777777" w:rsidR="0096391E" w:rsidRPr="000160B2" w:rsidRDefault="0096391E" w:rsidP="000E36F6">
            <w:pPr>
              <w:pStyle w:val="TableText0"/>
              <w:keepLines/>
              <w:jc w:val="center"/>
              <w:rPr>
                <w:szCs w:val="20"/>
              </w:rPr>
            </w:pPr>
            <w:r w:rsidRPr="000160B2">
              <w:rPr>
                <w:szCs w:val="20"/>
              </w:rPr>
              <w:t>40 (9.2)</w:t>
            </w:r>
          </w:p>
        </w:tc>
        <w:tc>
          <w:tcPr>
            <w:tcW w:w="1091" w:type="pct"/>
            <w:tcBorders>
              <w:top w:val="nil"/>
              <w:left w:val="single" w:sz="4" w:space="0" w:color="auto"/>
              <w:bottom w:val="nil"/>
              <w:right w:val="single" w:sz="4" w:space="0" w:color="auto"/>
            </w:tcBorders>
            <w:vAlign w:val="center"/>
            <w:hideMark/>
          </w:tcPr>
          <w:p w14:paraId="45DA6959" w14:textId="77777777" w:rsidR="0096391E" w:rsidRPr="000160B2" w:rsidRDefault="0096391E" w:rsidP="000E36F6">
            <w:pPr>
              <w:pStyle w:val="TableText0"/>
              <w:keepLines/>
              <w:jc w:val="center"/>
              <w:rPr>
                <w:szCs w:val="20"/>
              </w:rPr>
            </w:pPr>
            <w:r w:rsidRPr="000160B2">
              <w:rPr>
                <w:szCs w:val="20"/>
              </w:rPr>
              <w:t>57 (13.0)</w:t>
            </w:r>
          </w:p>
        </w:tc>
        <w:tc>
          <w:tcPr>
            <w:tcW w:w="1092" w:type="pct"/>
            <w:tcBorders>
              <w:top w:val="nil"/>
              <w:left w:val="single" w:sz="4" w:space="0" w:color="auto"/>
              <w:bottom w:val="nil"/>
              <w:right w:val="single" w:sz="4" w:space="0" w:color="auto"/>
            </w:tcBorders>
            <w:vAlign w:val="center"/>
            <w:hideMark/>
          </w:tcPr>
          <w:p w14:paraId="67084B94" w14:textId="77777777" w:rsidR="0096391E" w:rsidRPr="000160B2" w:rsidRDefault="0096391E" w:rsidP="000E36F6">
            <w:pPr>
              <w:pStyle w:val="TableText0"/>
              <w:keepLines/>
              <w:jc w:val="center"/>
              <w:rPr>
                <w:szCs w:val="20"/>
              </w:rPr>
            </w:pPr>
            <w:r w:rsidRPr="000160B2">
              <w:rPr>
                <w:szCs w:val="20"/>
              </w:rPr>
              <w:t>0.71 (0.48, 1.04)</w:t>
            </w:r>
          </w:p>
        </w:tc>
      </w:tr>
      <w:tr w:rsidR="0096391E" w:rsidRPr="005B024E" w14:paraId="1D999FED" w14:textId="77777777" w:rsidTr="0096391E">
        <w:trPr>
          <w:trHeight w:val="19"/>
        </w:trPr>
        <w:tc>
          <w:tcPr>
            <w:tcW w:w="1726" w:type="pct"/>
            <w:tcBorders>
              <w:top w:val="nil"/>
              <w:left w:val="single" w:sz="4" w:space="0" w:color="auto"/>
              <w:bottom w:val="single" w:sz="4" w:space="0" w:color="auto"/>
              <w:right w:val="single" w:sz="4" w:space="0" w:color="auto"/>
            </w:tcBorders>
            <w:hideMark/>
          </w:tcPr>
          <w:p w14:paraId="3B65AACA" w14:textId="21388AA1" w:rsidR="0096391E" w:rsidRPr="000160B2" w:rsidRDefault="0096391E" w:rsidP="000E36F6">
            <w:pPr>
              <w:pStyle w:val="TableText0"/>
              <w:keepLines/>
              <w:ind w:left="109"/>
              <w:rPr>
                <w:szCs w:val="20"/>
              </w:rPr>
            </w:pPr>
            <w:r w:rsidRPr="000160B2">
              <w:rPr>
                <w:szCs w:val="20"/>
              </w:rPr>
              <w:t>Polatuzumab vedotin/vincristine</w:t>
            </w:r>
          </w:p>
        </w:tc>
        <w:tc>
          <w:tcPr>
            <w:tcW w:w="1091" w:type="pct"/>
            <w:tcBorders>
              <w:top w:val="nil"/>
              <w:left w:val="single" w:sz="4" w:space="0" w:color="auto"/>
              <w:bottom w:val="single" w:sz="4" w:space="0" w:color="auto"/>
              <w:right w:val="single" w:sz="4" w:space="0" w:color="auto"/>
            </w:tcBorders>
            <w:vAlign w:val="center"/>
            <w:hideMark/>
          </w:tcPr>
          <w:p w14:paraId="4655E5A4" w14:textId="77777777" w:rsidR="0096391E" w:rsidRPr="000160B2" w:rsidRDefault="0096391E" w:rsidP="000E36F6">
            <w:pPr>
              <w:pStyle w:val="TableText0"/>
              <w:keepLines/>
              <w:jc w:val="center"/>
              <w:rPr>
                <w:szCs w:val="20"/>
              </w:rPr>
            </w:pPr>
            <w:r w:rsidRPr="000160B2">
              <w:rPr>
                <w:szCs w:val="20"/>
              </w:rPr>
              <w:t>24 (5.5)</w:t>
            </w:r>
          </w:p>
        </w:tc>
        <w:tc>
          <w:tcPr>
            <w:tcW w:w="1091" w:type="pct"/>
            <w:tcBorders>
              <w:top w:val="nil"/>
              <w:left w:val="single" w:sz="4" w:space="0" w:color="auto"/>
              <w:bottom w:val="single" w:sz="4" w:space="0" w:color="auto"/>
              <w:right w:val="single" w:sz="4" w:space="0" w:color="auto"/>
            </w:tcBorders>
            <w:vAlign w:val="center"/>
            <w:hideMark/>
          </w:tcPr>
          <w:p w14:paraId="6857B1BF" w14:textId="77777777" w:rsidR="0096391E" w:rsidRPr="000160B2" w:rsidRDefault="0096391E" w:rsidP="000E36F6">
            <w:pPr>
              <w:pStyle w:val="TableText0"/>
              <w:keepLines/>
              <w:jc w:val="center"/>
              <w:rPr>
                <w:szCs w:val="20"/>
              </w:rPr>
            </w:pPr>
            <w:r w:rsidRPr="000160B2">
              <w:rPr>
                <w:szCs w:val="20"/>
              </w:rPr>
              <w:t>45 (10.3)</w:t>
            </w:r>
          </w:p>
        </w:tc>
        <w:tc>
          <w:tcPr>
            <w:tcW w:w="1092" w:type="pct"/>
            <w:tcBorders>
              <w:top w:val="nil"/>
              <w:left w:val="single" w:sz="4" w:space="0" w:color="auto"/>
              <w:bottom w:val="single" w:sz="4" w:space="0" w:color="auto"/>
              <w:right w:val="single" w:sz="4" w:space="0" w:color="auto"/>
            </w:tcBorders>
            <w:vAlign w:val="center"/>
            <w:hideMark/>
          </w:tcPr>
          <w:p w14:paraId="074ADF2E" w14:textId="77777777" w:rsidR="0096391E" w:rsidRPr="000160B2" w:rsidRDefault="0096391E" w:rsidP="000E36F6">
            <w:pPr>
              <w:pStyle w:val="TableText0"/>
              <w:keepLines/>
              <w:jc w:val="center"/>
              <w:rPr>
                <w:b/>
                <w:szCs w:val="20"/>
              </w:rPr>
            </w:pPr>
            <w:r w:rsidRPr="000160B2">
              <w:rPr>
                <w:b/>
                <w:szCs w:val="20"/>
              </w:rPr>
              <w:t>0.54 (0.33, 0.87)</w:t>
            </w:r>
          </w:p>
        </w:tc>
      </w:tr>
      <w:tr w:rsidR="0096391E" w:rsidRPr="005B024E" w14:paraId="3A89AF4A" w14:textId="77777777" w:rsidTr="0096391E">
        <w:trPr>
          <w:trHeight w:val="19"/>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D24712A" w14:textId="77777777" w:rsidR="0096391E" w:rsidRPr="000160B2" w:rsidRDefault="0096391E" w:rsidP="000E36F6">
            <w:pPr>
              <w:pStyle w:val="TableText0"/>
              <w:keepLines/>
              <w:rPr>
                <w:b/>
                <w:bCs w:val="0"/>
                <w:szCs w:val="20"/>
              </w:rPr>
            </w:pPr>
            <w:r w:rsidRPr="000160B2">
              <w:rPr>
                <w:b/>
                <w:bCs w:val="0"/>
                <w:szCs w:val="20"/>
              </w:rPr>
              <w:t>Adverse events of special interest</w:t>
            </w:r>
          </w:p>
        </w:tc>
      </w:tr>
      <w:tr w:rsidR="0096391E" w:rsidRPr="005B024E" w14:paraId="6315F029" w14:textId="77777777" w:rsidTr="0096391E">
        <w:trPr>
          <w:trHeight w:val="19"/>
        </w:trPr>
        <w:tc>
          <w:tcPr>
            <w:tcW w:w="1726" w:type="pct"/>
            <w:tcBorders>
              <w:top w:val="single" w:sz="4" w:space="0" w:color="auto"/>
              <w:left w:val="single" w:sz="4" w:space="0" w:color="auto"/>
              <w:bottom w:val="nil"/>
              <w:right w:val="single" w:sz="4" w:space="0" w:color="auto"/>
            </w:tcBorders>
            <w:hideMark/>
          </w:tcPr>
          <w:p w14:paraId="4F167C3A" w14:textId="77777777" w:rsidR="0096391E" w:rsidRPr="000160B2" w:rsidRDefault="0096391E" w:rsidP="000E36F6">
            <w:pPr>
              <w:pStyle w:val="TableText0"/>
              <w:keepLines/>
              <w:rPr>
                <w:rFonts w:cstheme="minorHAnsi"/>
                <w:szCs w:val="20"/>
              </w:rPr>
            </w:pPr>
            <w:r w:rsidRPr="000160B2">
              <w:rPr>
                <w:rFonts w:cstheme="minorHAnsi"/>
                <w:szCs w:val="20"/>
              </w:rPr>
              <w:t>Peripheral neuropathy event</w:t>
            </w:r>
          </w:p>
        </w:tc>
        <w:tc>
          <w:tcPr>
            <w:tcW w:w="1091" w:type="pct"/>
            <w:tcBorders>
              <w:top w:val="single" w:sz="4" w:space="0" w:color="auto"/>
              <w:left w:val="single" w:sz="4" w:space="0" w:color="auto"/>
              <w:bottom w:val="nil"/>
              <w:right w:val="single" w:sz="4" w:space="0" w:color="auto"/>
            </w:tcBorders>
            <w:vAlign w:val="center"/>
            <w:hideMark/>
          </w:tcPr>
          <w:p w14:paraId="2CA8AED0" w14:textId="77777777" w:rsidR="0096391E" w:rsidRPr="000160B2" w:rsidRDefault="0096391E" w:rsidP="000E36F6">
            <w:pPr>
              <w:pStyle w:val="TableText0"/>
              <w:keepLines/>
              <w:jc w:val="center"/>
              <w:rPr>
                <w:rFonts w:cstheme="minorHAnsi"/>
                <w:szCs w:val="20"/>
              </w:rPr>
            </w:pPr>
            <w:r w:rsidRPr="000160B2">
              <w:rPr>
                <w:rFonts w:cstheme="minorHAnsi"/>
                <w:szCs w:val="20"/>
              </w:rPr>
              <w:t>230 (52.9)</w:t>
            </w:r>
          </w:p>
        </w:tc>
        <w:tc>
          <w:tcPr>
            <w:tcW w:w="1091" w:type="pct"/>
            <w:tcBorders>
              <w:top w:val="single" w:sz="4" w:space="0" w:color="auto"/>
              <w:left w:val="single" w:sz="4" w:space="0" w:color="auto"/>
              <w:bottom w:val="nil"/>
              <w:right w:val="single" w:sz="4" w:space="0" w:color="auto"/>
            </w:tcBorders>
            <w:vAlign w:val="center"/>
            <w:hideMark/>
          </w:tcPr>
          <w:p w14:paraId="5E47310F" w14:textId="77777777" w:rsidR="0096391E" w:rsidRPr="000160B2" w:rsidRDefault="0096391E" w:rsidP="000E36F6">
            <w:pPr>
              <w:pStyle w:val="TableText0"/>
              <w:keepLines/>
              <w:jc w:val="center"/>
              <w:rPr>
                <w:rFonts w:cstheme="minorHAnsi"/>
                <w:szCs w:val="20"/>
              </w:rPr>
            </w:pPr>
            <w:r w:rsidRPr="000160B2">
              <w:rPr>
                <w:rFonts w:cstheme="minorHAnsi"/>
                <w:szCs w:val="20"/>
              </w:rPr>
              <w:t>236 (53.9)</w:t>
            </w:r>
          </w:p>
        </w:tc>
        <w:tc>
          <w:tcPr>
            <w:tcW w:w="1092" w:type="pct"/>
            <w:tcBorders>
              <w:top w:val="single" w:sz="4" w:space="0" w:color="auto"/>
              <w:left w:val="single" w:sz="4" w:space="0" w:color="auto"/>
              <w:bottom w:val="nil"/>
              <w:right w:val="single" w:sz="4" w:space="0" w:color="auto"/>
            </w:tcBorders>
            <w:vAlign w:val="center"/>
            <w:hideMark/>
          </w:tcPr>
          <w:p w14:paraId="6C3201EF" w14:textId="77777777" w:rsidR="0096391E" w:rsidRPr="000160B2" w:rsidRDefault="0096391E" w:rsidP="000E36F6">
            <w:pPr>
              <w:pStyle w:val="TableText0"/>
              <w:keepLines/>
              <w:jc w:val="center"/>
              <w:rPr>
                <w:szCs w:val="20"/>
              </w:rPr>
            </w:pPr>
            <w:r w:rsidRPr="000160B2">
              <w:rPr>
                <w:szCs w:val="20"/>
              </w:rPr>
              <w:t>0.98 (0.87, 1.11)</w:t>
            </w:r>
          </w:p>
        </w:tc>
      </w:tr>
      <w:tr w:rsidR="0096391E" w:rsidRPr="005B024E" w14:paraId="48BB16D5" w14:textId="77777777" w:rsidTr="0096391E">
        <w:trPr>
          <w:trHeight w:val="19"/>
        </w:trPr>
        <w:tc>
          <w:tcPr>
            <w:tcW w:w="1726" w:type="pct"/>
            <w:tcBorders>
              <w:top w:val="nil"/>
              <w:left w:val="single" w:sz="4" w:space="0" w:color="auto"/>
              <w:bottom w:val="nil"/>
              <w:right w:val="single" w:sz="4" w:space="0" w:color="auto"/>
            </w:tcBorders>
            <w:hideMark/>
          </w:tcPr>
          <w:p w14:paraId="5BAB4044" w14:textId="77777777" w:rsidR="0096391E" w:rsidRPr="000160B2" w:rsidRDefault="0096391E" w:rsidP="000E36F6">
            <w:pPr>
              <w:pStyle w:val="TableText0"/>
              <w:keepLines/>
              <w:ind w:left="109"/>
              <w:rPr>
                <w:rFonts w:cstheme="minorHAnsi"/>
                <w:szCs w:val="20"/>
              </w:rPr>
            </w:pPr>
            <w:r w:rsidRPr="000160B2">
              <w:rPr>
                <w:rFonts w:cstheme="minorHAnsi"/>
                <w:szCs w:val="20"/>
              </w:rPr>
              <w:t>Neuropathy peripheral</w:t>
            </w:r>
          </w:p>
        </w:tc>
        <w:tc>
          <w:tcPr>
            <w:tcW w:w="1091" w:type="pct"/>
            <w:tcBorders>
              <w:top w:val="nil"/>
              <w:left w:val="single" w:sz="4" w:space="0" w:color="auto"/>
              <w:bottom w:val="nil"/>
              <w:right w:val="single" w:sz="4" w:space="0" w:color="auto"/>
            </w:tcBorders>
            <w:vAlign w:val="center"/>
            <w:hideMark/>
          </w:tcPr>
          <w:p w14:paraId="53CD55B5" w14:textId="77777777" w:rsidR="0096391E" w:rsidRPr="000160B2" w:rsidRDefault="0096391E" w:rsidP="000E36F6">
            <w:pPr>
              <w:pStyle w:val="TableText0"/>
              <w:keepLines/>
              <w:jc w:val="center"/>
              <w:rPr>
                <w:rFonts w:cstheme="minorHAnsi"/>
                <w:szCs w:val="20"/>
              </w:rPr>
            </w:pPr>
            <w:r w:rsidRPr="000160B2">
              <w:rPr>
                <w:rFonts w:cstheme="minorHAnsi"/>
                <w:szCs w:val="20"/>
              </w:rPr>
              <w:t>105 (24.1)</w:t>
            </w:r>
          </w:p>
        </w:tc>
        <w:tc>
          <w:tcPr>
            <w:tcW w:w="1091" w:type="pct"/>
            <w:tcBorders>
              <w:top w:val="nil"/>
              <w:left w:val="single" w:sz="4" w:space="0" w:color="auto"/>
              <w:bottom w:val="nil"/>
              <w:right w:val="single" w:sz="4" w:space="0" w:color="auto"/>
            </w:tcBorders>
            <w:vAlign w:val="center"/>
            <w:hideMark/>
          </w:tcPr>
          <w:p w14:paraId="075DD4E7" w14:textId="77777777" w:rsidR="0096391E" w:rsidRPr="000160B2" w:rsidRDefault="0096391E" w:rsidP="000E36F6">
            <w:pPr>
              <w:pStyle w:val="TableText0"/>
              <w:keepLines/>
              <w:jc w:val="center"/>
              <w:rPr>
                <w:rFonts w:cstheme="minorHAnsi"/>
                <w:szCs w:val="20"/>
              </w:rPr>
            </w:pPr>
            <w:r w:rsidRPr="000160B2">
              <w:rPr>
                <w:rFonts w:cstheme="minorHAnsi"/>
                <w:szCs w:val="20"/>
              </w:rPr>
              <w:t>99 (22.6)</w:t>
            </w:r>
          </w:p>
        </w:tc>
        <w:tc>
          <w:tcPr>
            <w:tcW w:w="1092" w:type="pct"/>
            <w:tcBorders>
              <w:top w:val="nil"/>
              <w:left w:val="single" w:sz="4" w:space="0" w:color="auto"/>
              <w:bottom w:val="nil"/>
              <w:right w:val="single" w:sz="4" w:space="0" w:color="auto"/>
            </w:tcBorders>
            <w:vAlign w:val="center"/>
            <w:hideMark/>
          </w:tcPr>
          <w:p w14:paraId="35BD54B8" w14:textId="77777777" w:rsidR="0096391E" w:rsidRPr="000160B2" w:rsidRDefault="0096391E" w:rsidP="000E36F6">
            <w:pPr>
              <w:pStyle w:val="TableText0"/>
              <w:keepLines/>
              <w:jc w:val="center"/>
              <w:rPr>
                <w:szCs w:val="20"/>
              </w:rPr>
            </w:pPr>
            <w:r w:rsidRPr="000160B2">
              <w:rPr>
                <w:szCs w:val="20"/>
              </w:rPr>
              <w:t>1.07 (0.84, 1.36)</w:t>
            </w:r>
          </w:p>
        </w:tc>
      </w:tr>
      <w:tr w:rsidR="0096391E" w:rsidRPr="005B024E" w14:paraId="331B90CC" w14:textId="77777777" w:rsidTr="0096391E">
        <w:trPr>
          <w:trHeight w:val="19"/>
        </w:trPr>
        <w:tc>
          <w:tcPr>
            <w:tcW w:w="1726" w:type="pct"/>
            <w:tcBorders>
              <w:top w:val="nil"/>
              <w:left w:val="single" w:sz="4" w:space="0" w:color="auto"/>
              <w:bottom w:val="nil"/>
              <w:right w:val="single" w:sz="4" w:space="0" w:color="auto"/>
            </w:tcBorders>
            <w:hideMark/>
          </w:tcPr>
          <w:p w14:paraId="4C67D55A" w14:textId="77777777" w:rsidR="0096391E" w:rsidRPr="000160B2" w:rsidRDefault="0096391E" w:rsidP="000E36F6">
            <w:pPr>
              <w:pStyle w:val="TableText0"/>
              <w:keepLines/>
              <w:ind w:left="109"/>
              <w:rPr>
                <w:rFonts w:cstheme="minorHAnsi"/>
                <w:szCs w:val="20"/>
              </w:rPr>
            </w:pPr>
            <w:r w:rsidRPr="000160B2">
              <w:rPr>
                <w:rFonts w:cstheme="minorHAnsi"/>
                <w:szCs w:val="20"/>
              </w:rPr>
              <w:t>Peripheral sensory neuropathy</w:t>
            </w:r>
          </w:p>
        </w:tc>
        <w:tc>
          <w:tcPr>
            <w:tcW w:w="1091" w:type="pct"/>
            <w:tcBorders>
              <w:top w:val="nil"/>
              <w:left w:val="single" w:sz="4" w:space="0" w:color="auto"/>
              <w:bottom w:val="nil"/>
              <w:right w:val="single" w:sz="4" w:space="0" w:color="auto"/>
            </w:tcBorders>
            <w:vAlign w:val="center"/>
            <w:hideMark/>
          </w:tcPr>
          <w:p w14:paraId="4670ADB8" w14:textId="77777777" w:rsidR="0096391E" w:rsidRPr="000160B2" w:rsidRDefault="0096391E" w:rsidP="000E36F6">
            <w:pPr>
              <w:pStyle w:val="TableText0"/>
              <w:keepLines/>
              <w:jc w:val="center"/>
              <w:rPr>
                <w:rFonts w:cstheme="minorHAnsi"/>
                <w:szCs w:val="20"/>
              </w:rPr>
            </w:pPr>
            <w:r w:rsidRPr="000160B2">
              <w:rPr>
                <w:rFonts w:cstheme="minorHAnsi"/>
                <w:szCs w:val="20"/>
              </w:rPr>
              <w:t>85 (19.5)</w:t>
            </w:r>
          </w:p>
        </w:tc>
        <w:tc>
          <w:tcPr>
            <w:tcW w:w="1091" w:type="pct"/>
            <w:tcBorders>
              <w:top w:val="nil"/>
              <w:left w:val="single" w:sz="4" w:space="0" w:color="auto"/>
              <w:bottom w:val="nil"/>
              <w:right w:val="single" w:sz="4" w:space="0" w:color="auto"/>
            </w:tcBorders>
            <w:vAlign w:val="center"/>
            <w:hideMark/>
          </w:tcPr>
          <w:p w14:paraId="6BC54561" w14:textId="77777777" w:rsidR="0096391E" w:rsidRPr="000160B2" w:rsidRDefault="0096391E" w:rsidP="000E36F6">
            <w:pPr>
              <w:pStyle w:val="TableText0"/>
              <w:keepLines/>
              <w:jc w:val="center"/>
              <w:rPr>
                <w:rFonts w:cstheme="minorHAnsi"/>
                <w:szCs w:val="20"/>
              </w:rPr>
            </w:pPr>
            <w:r w:rsidRPr="000160B2">
              <w:rPr>
                <w:rFonts w:cstheme="minorHAnsi"/>
                <w:szCs w:val="20"/>
              </w:rPr>
              <w:t>94 (21.5)</w:t>
            </w:r>
          </w:p>
        </w:tc>
        <w:tc>
          <w:tcPr>
            <w:tcW w:w="1092" w:type="pct"/>
            <w:tcBorders>
              <w:top w:val="nil"/>
              <w:left w:val="single" w:sz="4" w:space="0" w:color="auto"/>
              <w:bottom w:val="nil"/>
              <w:right w:val="single" w:sz="4" w:space="0" w:color="auto"/>
            </w:tcBorders>
            <w:vAlign w:val="center"/>
            <w:hideMark/>
          </w:tcPr>
          <w:p w14:paraId="0A039CC4" w14:textId="77777777" w:rsidR="0096391E" w:rsidRPr="000160B2" w:rsidRDefault="0096391E" w:rsidP="000E36F6">
            <w:pPr>
              <w:pStyle w:val="TableText0"/>
              <w:keepLines/>
              <w:jc w:val="center"/>
              <w:rPr>
                <w:szCs w:val="20"/>
              </w:rPr>
            </w:pPr>
            <w:r w:rsidRPr="000160B2">
              <w:rPr>
                <w:szCs w:val="20"/>
              </w:rPr>
              <w:t>0.91 (0.70, 1.18)</w:t>
            </w:r>
          </w:p>
        </w:tc>
      </w:tr>
      <w:tr w:rsidR="0096391E" w:rsidRPr="005B024E" w14:paraId="03060908" w14:textId="77777777" w:rsidTr="0096391E">
        <w:trPr>
          <w:trHeight w:val="19"/>
        </w:trPr>
        <w:tc>
          <w:tcPr>
            <w:tcW w:w="1726" w:type="pct"/>
            <w:tcBorders>
              <w:top w:val="nil"/>
              <w:left w:val="single" w:sz="4" w:space="0" w:color="auto"/>
              <w:bottom w:val="single" w:sz="4" w:space="0" w:color="auto"/>
              <w:right w:val="single" w:sz="4" w:space="0" w:color="auto"/>
            </w:tcBorders>
            <w:hideMark/>
          </w:tcPr>
          <w:p w14:paraId="438EB475" w14:textId="77777777" w:rsidR="0096391E" w:rsidRPr="000160B2" w:rsidRDefault="0096391E" w:rsidP="000E36F6">
            <w:pPr>
              <w:pStyle w:val="TableText0"/>
              <w:keepLines/>
              <w:ind w:left="109"/>
              <w:rPr>
                <w:rFonts w:cstheme="minorHAnsi"/>
                <w:szCs w:val="20"/>
              </w:rPr>
            </w:pPr>
            <w:r w:rsidRPr="000160B2">
              <w:rPr>
                <w:rFonts w:cstheme="minorHAnsi"/>
                <w:szCs w:val="20"/>
              </w:rPr>
              <w:t>Paraesthesia</w:t>
            </w:r>
          </w:p>
        </w:tc>
        <w:tc>
          <w:tcPr>
            <w:tcW w:w="1091" w:type="pct"/>
            <w:tcBorders>
              <w:top w:val="nil"/>
              <w:left w:val="single" w:sz="4" w:space="0" w:color="auto"/>
              <w:bottom w:val="single" w:sz="4" w:space="0" w:color="auto"/>
              <w:right w:val="single" w:sz="4" w:space="0" w:color="auto"/>
            </w:tcBorders>
            <w:vAlign w:val="center"/>
            <w:hideMark/>
          </w:tcPr>
          <w:p w14:paraId="54ADB7E1" w14:textId="77777777" w:rsidR="0096391E" w:rsidRPr="000160B2" w:rsidRDefault="0096391E" w:rsidP="000E36F6">
            <w:pPr>
              <w:pStyle w:val="TableText0"/>
              <w:keepLines/>
              <w:jc w:val="center"/>
              <w:rPr>
                <w:rFonts w:cstheme="minorHAnsi"/>
                <w:szCs w:val="20"/>
              </w:rPr>
            </w:pPr>
            <w:r w:rsidRPr="000160B2">
              <w:rPr>
                <w:rFonts w:cstheme="minorHAnsi"/>
                <w:szCs w:val="20"/>
              </w:rPr>
              <w:t>29 (6.7)</w:t>
            </w:r>
          </w:p>
        </w:tc>
        <w:tc>
          <w:tcPr>
            <w:tcW w:w="1091" w:type="pct"/>
            <w:tcBorders>
              <w:top w:val="nil"/>
              <w:left w:val="single" w:sz="4" w:space="0" w:color="auto"/>
              <w:bottom w:val="single" w:sz="4" w:space="0" w:color="auto"/>
              <w:right w:val="single" w:sz="4" w:space="0" w:color="auto"/>
            </w:tcBorders>
            <w:vAlign w:val="center"/>
            <w:hideMark/>
          </w:tcPr>
          <w:p w14:paraId="2774289A" w14:textId="77777777" w:rsidR="0096391E" w:rsidRPr="000160B2" w:rsidRDefault="0096391E" w:rsidP="000E36F6">
            <w:pPr>
              <w:pStyle w:val="TableText0"/>
              <w:keepLines/>
              <w:jc w:val="center"/>
              <w:rPr>
                <w:rFonts w:cstheme="minorHAnsi"/>
                <w:szCs w:val="20"/>
              </w:rPr>
            </w:pPr>
            <w:r w:rsidRPr="000160B2">
              <w:rPr>
                <w:rFonts w:cstheme="minorHAnsi"/>
                <w:szCs w:val="20"/>
              </w:rPr>
              <w:t>20 (4.6)</w:t>
            </w:r>
          </w:p>
        </w:tc>
        <w:tc>
          <w:tcPr>
            <w:tcW w:w="1092" w:type="pct"/>
            <w:tcBorders>
              <w:top w:val="nil"/>
              <w:left w:val="single" w:sz="4" w:space="0" w:color="auto"/>
              <w:bottom w:val="single" w:sz="4" w:space="0" w:color="auto"/>
              <w:right w:val="single" w:sz="4" w:space="0" w:color="auto"/>
            </w:tcBorders>
            <w:vAlign w:val="center"/>
            <w:hideMark/>
          </w:tcPr>
          <w:p w14:paraId="2E466B12" w14:textId="77777777" w:rsidR="0096391E" w:rsidRPr="000160B2" w:rsidRDefault="0096391E" w:rsidP="000E36F6">
            <w:pPr>
              <w:pStyle w:val="TableText0"/>
              <w:keepLines/>
              <w:jc w:val="center"/>
              <w:rPr>
                <w:szCs w:val="20"/>
              </w:rPr>
            </w:pPr>
            <w:r w:rsidRPr="000160B2">
              <w:rPr>
                <w:szCs w:val="20"/>
              </w:rPr>
              <w:t>1.46 (0.84, 2.54)</w:t>
            </w:r>
          </w:p>
        </w:tc>
      </w:tr>
      <w:tr w:rsidR="0096391E" w:rsidRPr="005B024E" w14:paraId="0B2B1910" w14:textId="77777777" w:rsidTr="0096391E">
        <w:trPr>
          <w:trHeight w:val="19"/>
        </w:trPr>
        <w:tc>
          <w:tcPr>
            <w:tcW w:w="1726" w:type="pct"/>
            <w:tcBorders>
              <w:top w:val="single" w:sz="4" w:space="0" w:color="auto"/>
              <w:left w:val="single" w:sz="4" w:space="0" w:color="auto"/>
              <w:bottom w:val="nil"/>
              <w:right w:val="single" w:sz="4" w:space="0" w:color="auto"/>
            </w:tcBorders>
            <w:hideMark/>
          </w:tcPr>
          <w:p w14:paraId="19953C78" w14:textId="77777777" w:rsidR="0096391E" w:rsidRPr="000160B2" w:rsidRDefault="0096391E" w:rsidP="000E36F6">
            <w:pPr>
              <w:pStyle w:val="TableText0"/>
              <w:keepLines/>
              <w:rPr>
                <w:rFonts w:cstheme="minorHAnsi"/>
                <w:szCs w:val="20"/>
              </w:rPr>
            </w:pPr>
            <w:r w:rsidRPr="000160B2">
              <w:rPr>
                <w:rFonts w:cstheme="minorHAnsi"/>
                <w:szCs w:val="20"/>
              </w:rPr>
              <w:t>Neutropenia event</w:t>
            </w:r>
          </w:p>
        </w:tc>
        <w:tc>
          <w:tcPr>
            <w:tcW w:w="1091" w:type="pct"/>
            <w:tcBorders>
              <w:top w:val="single" w:sz="4" w:space="0" w:color="auto"/>
              <w:left w:val="single" w:sz="4" w:space="0" w:color="auto"/>
              <w:bottom w:val="nil"/>
              <w:right w:val="single" w:sz="4" w:space="0" w:color="auto"/>
            </w:tcBorders>
            <w:vAlign w:val="center"/>
            <w:hideMark/>
          </w:tcPr>
          <w:p w14:paraId="0D3D82CB" w14:textId="77777777" w:rsidR="0096391E" w:rsidRPr="000160B2" w:rsidRDefault="0096391E" w:rsidP="000E36F6">
            <w:pPr>
              <w:pStyle w:val="TableText0"/>
              <w:keepLines/>
              <w:jc w:val="center"/>
              <w:rPr>
                <w:rFonts w:cstheme="minorHAnsi"/>
                <w:szCs w:val="20"/>
              </w:rPr>
            </w:pPr>
            <w:r w:rsidRPr="000160B2">
              <w:rPr>
                <w:rFonts w:cstheme="minorHAnsi"/>
                <w:szCs w:val="20"/>
              </w:rPr>
              <w:t>200 (46.0)</w:t>
            </w:r>
          </w:p>
        </w:tc>
        <w:tc>
          <w:tcPr>
            <w:tcW w:w="1091" w:type="pct"/>
            <w:tcBorders>
              <w:top w:val="single" w:sz="4" w:space="0" w:color="auto"/>
              <w:left w:val="single" w:sz="4" w:space="0" w:color="auto"/>
              <w:bottom w:val="nil"/>
              <w:right w:val="single" w:sz="4" w:space="0" w:color="auto"/>
            </w:tcBorders>
            <w:vAlign w:val="center"/>
            <w:hideMark/>
          </w:tcPr>
          <w:p w14:paraId="0BCF5CE6" w14:textId="77777777" w:rsidR="0096391E" w:rsidRPr="000160B2" w:rsidRDefault="0096391E" w:rsidP="000E36F6">
            <w:pPr>
              <w:pStyle w:val="TableText0"/>
              <w:keepLines/>
              <w:jc w:val="center"/>
              <w:rPr>
                <w:rFonts w:cstheme="minorHAnsi"/>
                <w:szCs w:val="20"/>
              </w:rPr>
            </w:pPr>
            <w:r w:rsidRPr="000160B2">
              <w:rPr>
                <w:rFonts w:cstheme="minorHAnsi"/>
                <w:szCs w:val="20"/>
              </w:rPr>
              <w:t>187 (42.7)</w:t>
            </w:r>
          </w:p>
        </w:tc>
        <w:tc>
          <w:tcPr>
            <w:tcW w:w="1092" w:type="pct"/>
            <w:tcBorders>
              <w:top w:val="single" w:sz="4" w:space="0" w:color="auto"/>
              <w:left w:val="single" w:sz="4" w:space="0" w:color="auto"/>
              <w:bottom w:val="nil"/>
              <w:right w:val="single" w:sz="4" w:space="0" w:color="auto"/>
            </w:tcBorders>
            <w:vAlign w:val="center"/>
            <w:hideMark/>
          </w:tcPr>
          <w:p w14:paraId="2D2B8B0B" w14:textId="77777777" w:rsidR="0096391E" w:rsidRPr="000160B2" w:rsidRDefault="0096391E" w:rsidP="000E36F6">
            <w:pPr>
              <w:pStyle w:val="TableText0"/>
              <w:keepLines/>
              <w:jc w:val="center"/>
              <w:rPr>
                <w:szCs w:val="20"/>
              </w:rPr>
            </w:pPr>
            <w:r w:rsidRPr="000160B2">
              <w:rPr>
                <w:szCs w:val="20"/>
              </w:rPr>
              <w:t>1.08 (0.93, 1.25)</w:t>
            </w:r>
          </w:p>
        </w:tc>
      </w:tr>
      <w:tr w:rsidR="0096391E" w:rsidRPr="005B024E" w14:paraId="36CD1498" w14:textId="77777777" w:rsidTr="0096391E">
        <w:trPr>
          <w:trHeight w:val="19"/>
        </w:trPr>
        <w:tc>
          <w:tcPr>
            <w:tcW w:w="1726" w:type="pct"/>
            <w:tcBorders>
              <w:top w:val="nil"/>
              <w:left w:val="single" w:sz="4" w:space="0" w:color="auto"/>
              <w:bottom w:val="nil"/>
              <w:right w:val="single" w:sz="4" w:space="0" w:color="auto"/>
            </w:tcBorders>
            <w:hideMark/>
          </w:tcPr>
          <w:p w14:paraId="0F6D4046" w14:textId="77777777" w:rsidR="0096391E" w:rsidRPr="000160B2" w:rsidRDefault="0096391E" w:rsidP="000E36F6">
            <w:pPr>
              <w:pStyle w:val="TableText0"/>
              <w:keepLines/>
              <w:ind w:left="109"/>
              <w:rPr>
                <w:rFonts w:cstheme="minorHAnsi"/>
                <w:szCs w:val="20"/>
              </w:rPr>
            </w:pPr>
            <w:r w:rsidRPr="000160B2">
              <w:rPr>
                <w:rFonts w:cstheme="minorHAnsi"/>
                <w:szCs w:val="20"/>
              </w:rPr>
              <w:t>Neutropenia</w:t>
            </w:r>
          </w:p>
        </w:tc>
        <w:tc>
          <w:tcPr>
            <w:tcW w:w="1091" w:type="pct"/>
            <w:tcBorders>
              <w:top w:val="nil"/>
              <w:left w:val="single" w:sz="4" w:space="0" w:color="auto"/>
              <w:bottom w:val="nil"/>
              <w:right w:val="single" w:sz="4" w:space="0" w:color="auto"/>
            </w:tcBorders>
            <w:vAlign w:val="center"/>
            <w:hideMark/>
          </w:tcPr>
          <w:p w14:paraId="6D477F84" w14:textId="77777777" w:rsidR="0096391E" w:rsidRPr="000160B2" w:rsidRDefault="0096391E" w:rsidP="000E36F6">
            <w:pPr>
              <w:pStyle w:val="TableText0"/>
              <w:keepLines/>
              <w:jc w:val="center"/>
              <w:rPr>
                <w:rFonts w:cstheme="minorHAnsi"/>
                <w:szCs w:val="20"/>
              </w:rPr>
            </w:pPr>
            <w:r w:rsidRPr="000160B2">
              <w:rPr>
                <w:rFonts w:cstheme="minorHAnsi"/>
                <w:szCs w:val="20"/>
              </w:rPr>
              <w:t>134 (30.8)</w:t>
            </w:r>
          </w:p>
        </w:tc>
        <w:tc>
          <w:tcPr>
            <w:tcW w:w="1091" w:type="pct"/>
            <w:tcBorders>
              <w:top w:val="nil"/>
              <w:left w:val="single" w:sz="4" w:space="0" w:color="auto"/>
              <w:bottom w:val="nil"/>
              <w:right w:val="single" w:sz="4" w:space="0" w:color="auto"/>
            </w:tcBorders>
            <w:vAlign w:val="center"/>
            <w:hideMark/>
          </w:tcPr>
          <w:p w14:paraId="6AF3CCBB" w14:textId="77777777" w:rsidR="0096391E" w:rsidRPr="000160B2" w:rsidRDefault="0096391E" w:rsidP="000E36F6">
            <w:pPr>
              <w:pStyle w:val="TableText0"/>
              <w:keepLines/>
              <w:jc w:val="center"/>
              <w:rPr>
                <w:rFonts w:cstheme="minorHAnsi"/>
                <w:szCs w:val="20"/>
              </w:rPr>
            </w:pPr>
            <w:r w:rsidRPr="000160B2">
              <w:rPr>
                <w:rFonts w:cstheme="minorHAnsi"/>
                <w:szCs w:val="20"/>
              </w:rPr>
              <w:t>143 (32.6)</w:t>
            </w:r>
          </w:p>
        </w:tc>
        <w:tc>
          <w:tcPr>
            <w:tcW w:w="1092" w:type="pct"/>
            <w:tcBorders>
              <w:top w:val="nil"/>
              <w:left w:val="single" w:sz="4" w:space="0" w:color="auto"/>
              <w:bottom w:val="nil"/>
              <w:right w:val="single" w:sz="4" w:space="0" w:color="auto"/>
            </w:tcBorders>
            <w:vAlign w:val="center"/>
            <w:hideMark/>
          </w:tcPr>
          <w:p w14:paraId="260223C9" w14:textId="77777777" w:rsidR="0096391E" w:rsidRPr="000160B2" w:rsidRDefault="0096391E" w:rsidP="000E36F6">
            <w:pPr>
              <w:pStyle w:val="TableText0"/>
              <w:keepLines/>
              <w:jc w:val="center"/>
              <w:rPr>
                <w:szCs w:val="20"/>
              </w:rPr>
            </w:pPr>
            <w:r w:rsidRPr="000160B2">
              <w:rPr>
                <w:szCs w:val="20"/>
              </w:rPr>
              <w:t>0.84 (0.78, 1.15)</w:t>
            </w:r>
          </w:p>
        </w:tc>
      </w:tr>
      <w:tr w:rsidR="0096391E" w:rsidRPr="005B024E" w14:paraId="7E76613F" w14:textId="77777777" w:rsidTr="0096391E">
        <w:trPr>
          <w:trHeight w:val="19"/>
        </w:trPr>
        <w:tc>
          <w:tcPr>
            <w:tcW w:w="1726" w:type="pct"/>
            <w:tcBorders>
              <w:top w:val="nil"/>
              <w:left w:val="single" w:sz="4" w:space="0" w:color="auto"/>
              <w:bottom w:val="nil"/>
              <w:right w:val="single" w:sz="4" w:space="0" w:color="auto"/>
            </w:tcBorders>
            <w:hideMark/>
          </w:tcPr>
          <w:p w14:paraId="749BDAB7" w14:textId="77777777" w:rsidR="0096391E" w:rsidRPr="000160B2" w:rsidRDefault="0096391E" w:rsidP="000E36F6">
            <w:pPr>
              <w:pStyle w:val="TableText0"/>
              <w:keepLines/>
              <w:ind w:left="109"/>
              <w:rPr>
                <w:rFonts w:cstheme="minorHAnsi"/>
                <w:szCs w:val="20"/>
              </w:rPr>
            </w:pPr>
            <w:r w:rsidRPr="000160B2">
              <w:rPr>
                <w:rFonts w:cstheme="minorHAnsi"/>
                <w:szCs w:val="20"/>
              </w:rPr>
              <w:t>Febrile neutropenia</w:t>
            </w:r>
          </w:p>
        </w:tc>
        <w:tc>
          <w:tcPr>
            <w:tcW w:w="1091" w:type="pct"/>
            <w:tcBorders>
              <w:top w:val="nil"/>
              <w:left w:val="single" w:sz="4" w:space="0" w:color="auto"/>
              <w:bottom w:val="nil"/>
              <w:right w:val="single" w:sz="4" w:space="0" w:color="auto"/>
            </w:tcBorders>
            <w:vAlign w:val="center"/>
            <w:hideMark/>
          </w:tcPr>
          <w:p w14:paraId="1A2293F8" w14:textId="77777777" w:rsidR="0096391E" w:rsidRPr="000160B2" w:rsidRDefault="0096391E" w:rsidP="000E36F6">
            <w:pPr>
              <w:pStyle w:val="TableText0"/>
              <w:keepLines/>
              <w:jc w:val="center"/>
              <w:rPr>
                <w:rFonts w:cstheme="minorHAnsi"/>
                <w:szCs w:val="20"/>
              </w:rPr>
            </w:pPr>
            <w:r w:rsidRPr="000160B2">
              <w:rPr>
                <w:rFonts w:cstheme="minorHAnsi"/>
                <w:szCs w:val="20"/>
              </w:rPr>
              <w:t>62 (14.3)</w:t>
            </w:r>
          </w:p>
        </w:tc>
        <w:tc>
          <w:tcPr>
            <w:tcW w:w="1091" w:type="pct"/>
            <w:tcBorders>
              <w:top w:val="nil"/>
              <w:left w:val="single" w:sz="4" w:space="0" w:color="auto"/>
              <w:bottom w:val="nil"/>
              <w:right w:val="single" w:sz="4" w:space="0" w:color="auto"/>
            </w:tcBorders>
            <w:vAlign w:val="center"/>
            <w:hideMark/>
          </w:tcPr>
          <w:p w14:paraId="3B9363BE" w14:textId="77777777" w:rsidR="0096391E" w:rsidRPr="000160B2" w:rsidRDefault="0096391E" w:rsidP="000E36F6">
            <w:pPr>
              <w:pStyle w:val="TableText0"/>
              <w:keepLines/>
              <w:jc w:val="center"/>
              <w:rPr>
                <w:rFonts w:cstheme="minorHAnsi"/>
                <w:szCs w:val="20"/>
              </w:rPr>
            </w:pPr>
            <w:r w:rsidRPr="000160B2">
              <w:rPr>
                <w:rFonts w:cstheme="minorHAnsi"/>
                <w:szCs w:val="20"/>
              </w:rPr>
              <w:t>35 (8.0)</w:t>
            </w:r>
          </w:p>
        </w:tc>
        <w:tc>
          <w:tcPr>
            <w:tcW w:w="1092" w:type="pct"/>
            <w:tcBorders>
              <w:top w:val="nil"/>
              <w:left w:val="single" w:sz="4" w:space="0" w:color="auto"/>
              <w:bottom w:val="nil"/>
              <w:right w:val="single" w:sz="4" w:space="0" w:color="auto"/>
            </w:tcBorders>
            <w:vAlign w:val="center"/>
            <w:hideMark/>
          </w:tcPr>
          <w:p w14:paraId="206630EA" w14:textId="77777777" w:rsidR="0096391E" w:rsidRPr="000160B2" w:rsidRDefault="0096391E" w:rsidP="000E36F6">
            <w:pPr>
              <w:pStyle w:val="TableText0"/>
              <w:keepLines/>
              <w:jc w:val="center"/>
              <w:rPr>
                <w:szCs w:val="20"/>
              </w:rPr>
            </w:pPr>
            <w:r w:rsidRPr="000160B2">
              <w:rPr>
                <w:b/>
                <w:szCs w:val="20"/>
              </w:rPr>
              <w:t>1.78 (1.20, 2.64</w:t>
            </w:r>
            <w:r w:rsidRPr="000160B2">
              <w:rPr>
                <w:szCs w:val="20"/>
              </w:rPr>
              <w:t>)</w:t>
            </w:r>
          </w:p>
        </w:tc>
      </w:tr>
      <w:tr w:rsidR="0096391E" w:rsidRPr="005B024E" w14:paraId="32C1084A" w14:textId="77777777" w:rsidTr="0096391E">
        <w:trPr>
          <w:trHeight w:val="19"/>
        </w:trPr>
        <w:tc>
          <w:tcPr>
            <w:tcW w:w="1726" w:type="pct"/>
            <w:tcBorders>
              <w:top w:val="nil"/>
              <w:left w:val="single" w:sz="4" w:space="0" w:color="auto"/>
              <w:bottom w:val="single" w:sz="4" w:space="0" w:color="auto"/>
              <w:right w:val="single" w:sz="4" w:space="0" w:color="auto"/>
            </w:tcBorders>
            <w:hideMark/>
          </w:tcPr>
          <w:p w14:paraId="1E7D9AC3" w14:textId="77777777" w:rsidR="0096391E" w:rsidRPr="000160B2" w:rsidRDefault="0096391E" w:rsidP="000E36F6">
            <w:pPr>
              <w:pStyle w:val="TableText0"/>
              <w:keepLines/>
              <w:ind w:left="109"/>
              <w:rPr>
                <w:rFonts w:cstheme="minorHAnsi"/>
                <w:szCs w:val="20"/>
              </w:rPr>
            </w:pPr>
            <w:r w:rsidRPr="000160B2">
              <w:rPr>
                <w:rFonts w:cstheme="minorHAnsi"/>
                <w:szCs w:val="20"/>
              </w:rPr>
              <w:t xml:space="preserve">Neutrophil count decreased </w:t>
            </w:r>
          </w:p>
        </w:tc>
        <w:tc>
          <w:tcPr>
            <w:tcW w:w="1091" w:type="pct"/>
            <w:tcBorders>
              <w:top w:val="nil"/>
              <w:left w:val="single" w:sz="4" w:space="0" w:color="auto"/>
              <w:bottom w:val="single" w:sz="4" w:space="0" w:color="auto"/>
              <w:right w:val="single" w:sz="4" w:space="0" w:color="auto"/>
            </w:tcBorders>
            <w:vAlign w:val="center"/>
            <w:hideMark/>
          </w:tcPr>
          <w:p w14:paraId="53A6DB78" w14:textId="77777777" w:rsidR="0096391E" w:rsidRPr="000160B2" w:rsidRDefault="0096391E" w:rsidP="000E36F6">
            <w:pPr>
              <w:pStyle w:val="TableText0"/>
              <w:keepLines/>
              <w:jc w:val="center"/>
              <w:rPr>
                <w:rFonts w:cstheme="minorHAnsi"/>
                <w:szCs w:val="20"/>
              </w:rPr>
            </w:pPr>
            <w:r w:rsidRPr="000160B2">
              <w:rPr>
                <w:rFonts w:cstheme="minorHAnsi"/>
                <w:szCs w:val="20"/>
              </w:rPr>
              <w:t>36 (8.3)</w:t>
            </w:r>
          </w:p>
        </w:tc>
        <w:tc>
          <w:tcPr>
            <w:tcW w:w="1091" w:type="pct"/>
            <w:tcBorders>
              <w:top w:val="nil"/>
              <w:left w:val="single" w:sz="4" w:space="0" w:color="auto"/>
              <w:bottom w:val="single" w:sz="4" w:space="0" w:color="auto"/>
              <w:right w:val="single" w:sz="4" w:space="0" w:color="auto"/>
            </w:tcBorders>
            <w:vAlign w:val="center"/>
            <w:hideMark/>
          </w:tcPr>
          <w:p w14:paraId="433E6003" w14:textId="77777777" w:rsidR="0096391E" w:rsidRPr="000160B2" w:rsidRDefault="0096391E" w:rsidP="000E36F6">
            <w:pPr>
              <w:pStyle w:val="TableText0"/>
              <w:keepLines/>
              <w:jc w:val="center"/>
              <w:rPr>
                <w:rFonts w:cstheme="minorHAnsi"/>
                <w:szCs w:val="20"/>
              </w:rPr>
            </w:pPr>
            <w:r w:rsidRPr="000160B2">
              <w:rPr>
                <w:rFonts w:cstheme="minorHAnsi"/>
                <w:szCs w:val="20"/>
              </w:rPr>
              <w:t>33 (7.5)</w:t>
            </w:r>
          </w:p>
        </w:tc>
        <w:tc>
          <w:tcPr>
            <w:tcW w:w="1092" w:type="pct"/>
            <w:tcBorders>
              <w:top w:val="nil"/>
              <w:left w:val="single" w:sz="4" w:space="0" w:color="auto"/>
              <w:bottom w:val="single" w:sz="4" w:space="0" w:color="auto"/>
              <w:right w:val="single" w:sz="4" w:space="0" w:color="auto"/>
            </w:tcBorders>
            <w:vAlign w:val="center"/>
            <w:hideMark/>
          </w:tcPr>
          <w:p w14:paraId="4AF62FA0" w14:textId="77777777" w:rsidR="0096391E" w:rsidRPr="000160B2" w:rsidRDefault="0096391E" w:rsidP="000E36F6">
            <w:pPr>
              <w:pStyle w:val="TableText0"/>
              <w:keepLines/>
              <w:jc w:val="center"/>
              <w:rPr>
                <w:szCs w:val="20"/>
              </w:rPr>
            </w:pPr>
            <w:r w:rsidRPr="000160B2">
              <w:rPr>
                <w:szCs w:val="20"/>
              </w:rPr>
              <w:t>1.10 (0.70, 1.73)</w:t>
            </w:r>
          </w:p>
        </w:tc>
      </w:tr>
      <w:tr w:rsidR="0096391E" w:rsidRPr="005B024E" w14:paraId="58F9E608" w14:textId="77777777" w:rsidTr="0096391E">
        <w:trPr>
          <w:trHeight w:val="19"/>
        </w:trPr>
        <w:tc>
          <w:tcPr>
            <w:tcW w:w="1726" w:type="pct"/>
            <w:tcBorders>
              <w:top w:val="single" w:sz="4" w:space="0" w:color="auto"/>
              <w:left w:val="single" w:sz="4" w:space="0" w:color="auto"/>
              <w:bottom w:val="single" w:sz="4" w:space="0" w:color="auto"/>
              <w:right w:val="single" w:sz="4" w:space="0" w:color="auto"/>
            </w:tcBorders>
            <w:hideMark/>
          </w:tcPr>
          <w:p w14:paraId="3267BDF9" w14:textId="77777777" w:rsidR="0096391E" w:rsidRPr="000160B2" w:rsidRDefault="0096391E" w:rsidP="000E36F6">
            <w:pPr>
              <w:pStyle w:val="TableText0"/>
              <w:keepLines/>
              <w:rPr>
                <w:rFonts w:cstheme="minorHAnsi"/>
                <w:szCs w:val="20"/>
              </w:rPr>
            </w:pPr>
            <w:r w:rsidRPr="000160B2">
              <w:rPr>
                <w:rFonts w:cstheme="minorHAnsi"/>
                <w:szCs w:val="20"/>
              </w:rPr>
              <w:t>Anaemia</w:t>
            </w:r>
          </w:p>
        </w:tc>
        <w:tc>
          <w:tcPr>
            <w:tcW w:w="1091" w:type="pct"/>
            <w:tcBorders>
              <w:top w:val="single" w:sz="4" w:space="0" w:color="auto"/>
              <w:left w:val="single" w:sz="4" w:space="0" w:color="auto"/>
              <w:bottom w:val="single" w:sz="4" w:space="0" w:color="auto"/>
              <w:right w:val="single" w:sz="4" w:space="0" w:color="auto"/>
            </w:tcBorders>
            <w:vAlign w:val="center"/>
            <w:hideMark/>
          </w:tcPr>
          <w:p w14:paraId="50EFD10C" w14:textId="77777777" w:rsidR="0096391E" w:rsidRPr="000160B2" w:rsidRDefault="0096391E" w:rsidP="000E36F6">
            <w:pPr>
              <w:pStyle w:val="TableText0"/>
              <w:keepLines/>
              <w:jc w:val="center"/>
              <w:rPr>
                <w:rFonts w:cstheme="minorHAnsi"/>
                <w:szCs w:val="20"/>
              </w:rPr>
            </w:pPr>
            <w:r w:rsidRPr="000160B2">
              <w:rPr>
                <w:rFonts w:cstheme="minorHAnsi"/>
                <w:szCs w:val="20"/>
              </w:rPr>
              <w:t>125 (28.7)</w:t>
            </w:r>
          </w:p>
        </w:tc>
        <w:tc>
          <w:tcPr>
            <w:tcW w:w="1091" w:type="pct"/>
            <w:tcBorders>
              <w:top w:val="single" w:sz="4" w:space="0" w:color="auto"/>
              <w:left w:val="single" w:sz="4" w:space="0" w:color="auto"/>
              <w:bottom w:val="single" w:sz="4" w:space="0" w:color="auto"/>
              <w:right w:val="single" w:sz="4" w:space="0" w:color="auto"/>
            </w:tcBorders>
            <w:vAlign w:val="center"/>
            <w:hideMark/>
          </w:tcPr>
          <w:p w14:paraId="1B33A02A" w14:textId="77777777" w:rsidR="0096391E" w:rsidRPr="000160B2" w:rsidRDefault="0096391E" w:rsidP="000E36F6">
            <w:pPr>
              <w:pStyle w:val="TableText0"/>
              <w:keepLines/>
              <w:jc w:val="center"/>
              <w:rPr>
                <w:rFonts w:cstheme="minorHAnsi"/>
                <w:szCs w:val="20"/>
              </w:rPr>
            </w:pPr>
            <w:r w:rsidRPr="000160B2">
              <w:rPr>
                <w:rFonts w:cstheme="minorHAnsi"/>
                <w:szCs w:val="20"/>
              </w:rPr>
              <w:t>118 (26.9)</w:t>
            </w:r>
          </w:p>
        </w:tc>
        <w:tc>
          <w:tcPr>
            <w:tcW w:w="1092" w:type="pct"/>
            <w:tcBorders>
              <w:top w:val="single" w:sz="4" w:space="0" w:color="auto"/>
              <w:left w:val="single" w:sz="4" w:space="0" w:color="auto"/>
              <w:bottom w:val="single" w:sz="4" w:space="0" w:color="auto"/>
              <w:right w:val="single" w:sz="4" w:space="0" w:color="auto"/>
            </w:tcBorders>
            <w:vAlign w:val="center"/>
            <w:hideMark/>
          </w:tcPr>
          <w:p w14:paraId="269426D4" w14:textId="77777777" w:rsidR="0096391E" w:rsidRPr="000160B2" w:rsidRDefault="0096391E" w:rsidP="000E36F6">
            <w:pPr>
              <w:pStyle w:val="TableText0"/>
              <w:keepLines/>
              <w:jc w:val="center"/>
              <w:rPr>
                <w:szCs w:val="20"/>
              </w:rPr>
            </w:pPr>
            <w:r w:rsidRPr="000160B2">
              <w:rPr>
                <w:szCs w:val="20"/>
              </w:rPr>
              <w:t>1.06 (0.86, 1.31)</w:t>
            </w:r>
          </w:p>
        </w:tc>
      </w:tr>
      <w:tr w:rsidR="0096391E" w:rsidRPr="005B024E" w14:paraId="5886FE3C" w14:textId="77777777" w:rsidTr="0096391E">
        <w:trPr>
          <w:trHeight w:val="19"/>
        </w:trPr>
        <w:tc>
          <w:tcPr>
            <w:tcW w:w="1726" w:type="pct"/>
            <w:tcBorders>
              <w:top w:val="single" w:sz="4" w:space="0" w:color="auto"/>
              <w:left w:val="single" w:sz="4" w:space="0" w:color="auto"/>
              <w:bottom w:val="single" w:sz="4" w:space="0" w:color="auto"/>
              <w:right w:val="single" w:sz="4" w:space="0" w:color="auto"/>
            </w:tcBorders>
            <w:hideMark/>
          </w:tcPr>
          <w:p w14:paraId="05FAB2F3" w14:textId="77777777" w:rsidR="0096391E" w:rsidRPr="000160B2" w:rsidRDefault="0096391E" w:rsidP="000E36F6">
            <w:pPr>
              <w:pStyle w:val="TableText0"/>
              <w:keepLines/>
              <w:rPr>
                <w:rFonts w:cstheme="minorHAnsi"/>
                <w:szCs w:val="20"/>
              </w:rPr>
            </w:pPr>
            <w:r w:rsidRPr="000160B2">
              <w:rPr>
                <w:rFonts w:cstheme="minorHAnsi"/>
                <w:szCs w:val="20"/>
              </w:rPr>
              <w:t>Thrombocytopenia</w:t>
            </w:r>
          </w:p>
        </w:tc>
        <w:tc>
          <w:tcPr>
            <w:tcW w:w="1091" w:type="pct"/>
            <w:tcBorders>
              <w:top w:val="single" w:sz="4" w:space="0" w:color="auto"/>
              <w:left w:val="single" w:sz="4" w:space="0" w:color="auto"/>
              <w:bottom w:val="single" w:sz="4" w:space="0" w:color="auto"/>
              <w:right w:val="single" w:sz="4" w:space="0" w:color="auto"/>
            </w:tcBorders>
            <w:vAlign w:val="center"/>
            <w:hideMark/>
          </w:tcPr>
          <w:p w14:paraId="7DAFD948" w14:textId="77777777" w:rsidR="0096391E" w:rsidRPr="000160B2" w:rsidRDefault="0096391E" w:rsidP="000E36F6">
            <w:pPr>
              <w:pStyle w:val="TableText0"/>
              <w:keepLines/>
              <w:jc w:val="center"/>
              <w:rPr>
                <w:rFonts w:cstheme="minorHAnsi"/>
                <w:szCs w:val="20"/>
              </w:rPr>
            </w:pPr>
            <w:r w:rsidRPr="000160B2">
              <w:rPr>
                <w:rFonts w:cstheme="minorHAnsi"/>
                <w:szCs w:val="20"/>
              </w:rPr>
              <w:t>58 (13.3)</w:t>
            </w:r>
          </w:p>
        </w:tc>
        <w:tc>
          <w:tcPr>
            <w:tcW w:w="1091" w:type="pct"/>
            <w:tcBorders>
              <w:top w:val="single" w:sz="4" w:space="0" w:color="auto"/>
              <w:left w:val="single" w:sz="4" w:space="0" w:color="auto"/>
              <w:bottom w:val="single" w:sz="4" w:space="0" w:color="auto"/>
              <w:right w:val="single" w:sz="4" w:space="0" w:color="auto"/>
            </w:tcBorders>
            <w:vAlign w:val="center"/>
            <w:hideMark/>
          </w:tcPr>
          <w:p w14:paraId="5E2FAA85" w14:textId="77777777" w:rsidR="0096391E" w:rsidRPr="000160B2" w:rsidRDefault="0096391E" w:rsidP="000E36F6">
            <w:pPr>
              <w:pStyle w:val="TableText0"/>
              <w:keepLines/>
              <w:jc w:val="center"/>
              <w:rPr>
                <w:rFonts w:cstheme="minorHAnsi"/>
                <w:szCs w:val="20"/>
              </w:rPr>
            </w:pPr>
            <w:r w:rsidRPr="000160B2">
              <w:rPr>
                <w:rFonts w:cstheme="minorHAnsi"/>
                <w:szCs w:val="20"/>
              </w:rPr>
              <w:t>58 (13.2)</w:t>
            </w:r>
          </w:p>
        </w:tc>
        <w:tc>
          <w:tcPr>
            <w:tcW w:w="1092" w:type="pct"/>
            <w:tcBorders>
              <w:top w:val="single" w:sz="4" w:space="0" w:color="auto"/>
              <w:left w:val="single" w:sz="4" w:space="0" w:color="auto"/>
              <w:bottom w:val="single" w:sz="4" w:space="0" w:color="auto"/>
              <w:right w:val="single" w:sz="4" w:space="0" w:color="auto"/>
            </w:tcBorders>
            <w:vAlign w:val="center"/>
            <w:hideMark/>
          </w:tcPr>
          <w:p w14:paraId="65ADAAD2" w14:textId="77777777" w:rsidR="0096391E" w:rsidRPr="000160B2" w:rsidRDefault="0096391E" w:rsidP="000E36F6">
            <w:pPr>
              <w:pStyle w:val="TableText0"/>
              <w:keepLines/>
              <w:jc w:val="center"/>
              <w:rPr>
                <w:szCs w:val="20"/>
              </w:rPr>
            </w:pPr>
            <w:r w:rsidRPr="000160B2">
              <w:rPr>
                <w:szCs w:val="20"/>
              </w:rPr>
              <w:t>1.01 (0.72, 1.41)</w:t>
            </w:r>
          </w:p>
        </w:tc>
      </w:tr>
      <w:tr w:rsidR="0096391E" w:rsidRPr="005B024E" w14:paraId="055FA5B6" w14:textId="77777777" w:rsidTr="0096391E">
        <w:trPr>
          <w:trHeight w:val="19"/>
        </w:trPr>
        <w:tc>
          <w:tcPr>
            <w:tcW w:w="1726" w:type="pct"/>
            <w:tcBorders>
              <w:top w:val="single" w:sz="4" w:space="0" w:color="auto"/>
              <w:left w:val="single" w:sz="4" w:space="0" w:color="auto"/>
              <w:bottom w:val="nil"/>
              <w:right w:val="single" w:sz="4" w:space="0" w:color="auto"/>
            </w:tcBorders>
            <w:hideMark/>
          </w:tcPr>
          <w:p w14:paraId="4DD42F3E" w14:textId="2ABCFC9A" w:rsidR="0096391E" w:rsidRPr="000160B2" w:rsidRDefault="0096391E" w:rsidP="000E36F6">
            <w:pPr>
              <w:pStyle w:val="TableText0"/>
              <w:keepLines/>
              <w:rPr>
                <w:rFonts w:cstheme="minorHAnsi"/>
                <w:szCs w:val="20"/>
              </w:rPr>
            </w:pPr>
            <w:r w:rsidRPr="000160B2">
              <w:rPr>
                <w:rFonts w:cstheme="minorHAnsi"/>
                <w:szCs w:val="20"/>
              </w:rPr>
              <w:t xml:space="preserve">Infections </w:t>
            </w:r>
          </w:p>
        </w:tc>
        <w:tc>
          <w:tcPr>
            <w:tcW w:w="1091" w:type="pct"/>
            <w:tcBorders>
              <w:top w:val="single" w:sz="4" w:space="0" w:color="auto"/>
              <w:left w:val="single" w:sz="4" w:space="0" w:color="auto"/>
              <w:bottom w:val="nil"/>
              <w:right w:val="single" w:sz="4" w:space="0" w:color="auto"/>
            </w:tcBorders>
            <w:vAlign w:val="center"/>
            <w:hideMark/>
          </w:tcPr>
          <w:p w14:paraId="6025497E" w14:textId="77777777" w:rsidR="0096391E" w:rsidRPr="000160B2" w:rsidRDefault="0096391E" w:rsidP="000E36F6">
            <w:pPr>
              <w:pStyle w:val="TableText0"/>
              <w:keepLines/>
              <w:jc w:val="center"/>
              <w:rPr>
                <w:rFonts w:cstheme="minorHAnsi"/>
                <w:szCs w:val="20"/>
              </w:rPr>
            </w:pPr>
            <w:r w:rsidRPr="000160B2">
              <w:rPr>
                <w:rFonts w:cstheme="minorHAnsi"/>
                <w:szCs w:val="20"/>
              </w:rPr>
              <w:t>216 (49.7)</w:t>
            </w:r>
          </w:p>
        </w:tc>
        <w:tc>
          <w:tcPr>
            <w:tcW w:w="1091" w:type="pct"/>
            <w:tcBorders>
              <w:top w:val="single" w:sz="4" w:space="0" w:color="auto"/>
              <w:left w:val="single" w:sz="4" w:space="0" w:color="auto"/>
              <w:bottom w:val="nil"/>
              <w:right w:val="single" w:sz="4" w:space="0" w:color="auto"/>
            </w:tcBorders>
            <w:vAlign w:val="center"/>
            <w:hideMark/>
          </w:tcPr>
          <w:p w14:paraId="11815D2A" w14:textId="77777777" w:rsidR="0096391E" w:rsidRPr="000160B2" w:rsidRDefault="0096391E" w:rsidP="000E36F6">
            <w:pPr>
              <w:pStyle w:val="TableText0"/>
              <w:keepLines/>
              <w:jc w:val="center"/>
              <w:rPr>
                <w:rFonts w:cstheme="minorHAnsi"/>
                <w:szCs w:val="20"/>
              </w:rPr>
            </w:pPr>
            <w:r w:rsidRPr="000160B2">
              <w:rPr>
                <w:rFonts w:cstheme="minorHAnsi"/>
                <w:szCs w:val="20"/>
              </w:rPr>
              <w:t>187 (42.7)</w:t>
            </w:r>
          </w:p>
        </w:tc>
        <w:tc>
          <w:tcPr>
            <w:tcW w:w="1092" w:type="pct"/>
            <w:tcBorders>
              <w:top w:val="single" w:sz="4" w:space="0" w:color="auto"/>
              <w:left w:val="single" w:sz="4" w:space="0" w:color="auto"/>
              <w:bottom w:val="nil"/>
              <w:right w:val="single" w:sz="4" w:space="0" w:color="auto"/>
            </w:tcBorders>
            <w:vAlign w:val="center"/>
            <w:hideMark/>
          </w:tcPr>
          <w:p w14:paraId="2ADFC76F" w14:textId="77777777" w:rsidR="0096391E" w:rsidRPr="000160B2" w:rsidRDefault="0096391E" w:rsidP="000E36F6">
            <w:pPr>
              <w:pStyle w:val="TableText0"/>
              <w:keepLines/>
              <w:jc w:val="center"/>
              <w:rPr>
                <w:b/>
                <w:bCs w:val="0"/>
                <w:szCs w:val="20"/>
              </w:rPr>
            </w:pPr>
            <w:r w:rsidRPr="000160B2">
              <w:rPr>
                <w:b/>
                <w:bCs w:val="0"/>
                <w:szCs w:val="20"/>
              </w:rPr>
              <w:t>1.16 (1.01, 1.34)</w:t>
            </w:r>
          </w:p>
        </w:tc>
      </w:tr>
      <w:tr w:rsidR="0096391E" w:rsidRPr="005B024E" w14:paraId="09EFB343" w14:textId="77777777" w:rsidTr="0096391E">
        <w:trPr>
          <w:trHeight w:val="19"/>
        </w:trPr>
        <w:tc>
          <w:tcPr>
            <w:tcW w:w="1726" w:type="pct"/>
            <w:tcBorders>
              <w:top w:val="nil"/>
              <w:left w:val="single" w:sz="4" w:space="0" w:color="auto"/>
              <w:bottom w:val="nil"/>
              <w:right w:val="single" w:sz="4" w:space="0" w:color="auto"/>
            </w:tcBorders>
            <w:hideMark/>
          </w:tcPr>
          <w:p w14:paraId="4164E26D" w14:textId="77777777" w:rsidR="0096391E" w:rsidRPr="000160B2" w:rsidRDefault="0096391E" w:rsidP="000E36F6">
            <w:pPr>
              <w:pStyle w:val="TableText0"/>
              <w:keepLines/>
              <w:ind w:left="109"/>
              <w:rPr>
                <w:rFonts w:cstheme="minorHAnsi"/>
                <w:szCs w:val="20"/>
              </w:rPr>
            </w:pPr>
            <w:r w:rsidRPr="000160B2">
              <w:rPr>
                <w:rFonts w:cstheme="minorHAnsi"/>
                <w:szCs w:val="20"/>
              </w:rPr>
              <w:t xml:space="preserve">Upper respiratory tract </w:t>
            </w:r>
          </w:p>
        </w:tc>
        <w:tc>
          <w:tcPr>
            <w:tcW w:w="1091" w:type="pct"/>
            <w:tcBorders>
              <w:top w:val="nil"/>
              <w:left w:val="single" w:sz="4" w:space="0" w:color="auto"/>
              <w:bottom w:val="nil"/>
              <w:right w:val="single" w:sz="4" w:space="0" w:color="auto"/>
            </w:tcBorders>
            <w:vAlign w:val="center"/>
            <w:hideMark/>
          </w:tcPr>
          <w:p w14:paraId="564F48FC" w14:textId="77777777" w:rsidR="0096391E" w:rsidRPr="000160B2" w:rsidRDefault="0096391E" w:rsidP="000E36F6">
            <w:pPr>
              <w:pStyle w:val="TableText0"/>
              <w:keepLines/>
              <w:jc w:val="center"/>
              <w:rPr>
                <w:rFonts w:cstheme="minorHAnsi"/>
                <w:szCs w:val="20"/>
              </w:rPr>
            </w:pPr>
            <w:r w:rsidRPr="000160B2">
              <w:rPr>
                <w:rFonts w:cstheme="minorHAnsi"/>
                <w:szCs w:val="20"/>
              </w:rPr>
              <w:t>31 (7.1)</w:t>
            </w:r>
          </w:p>
        </w:tc>
        <w:tc>
          <w:tcPr>
            <w:tcW w:w="1091" w:type="pct"/>
            <w:tcBorders>
              <w:top w:val="nil"/>
              <w:left w:val="single" w:sz="4" w:space="0" w:color="auto"/>
              <w:bottom w:val="nil"/>
              <w:right w:val="single" w:sz="4" w:space="0" w:color="auto"/>
            </w:tcBorders>
            <w:vAlign w:val="center"/>
            <w:hideMark/>
          </w:tcPr>
          <w:p w14:paraId="3AAFE023" w14:textId="77777777" w:rsidR="0096391E" w:rsidRPr="000160B2" w:rsidRDefault="0096391E" w:rsidP="000E36F6">
            <w:pPr>
              <w:pStyle w:val="TableText0"/>
              <w:keepLines/>
              <w:jc w:val="center"/>
              <w:rPr>
                <w:rFonts w:cstheme="minorHAnsi"/>
                <w:szCs w:val="20"/>
              </w:rPr>
            </w:pPr>
            <w:r w:rsidRPr="000160B2">
              <w:rPr>
                <w:rFonts w:cstheme="minorHAnsi"/>
                <w:szCs w:val="20"/>
              </w:rPr>
              <w:t>39 (8.9)</w:t>
            </w:r>
          </w:p>
        </w:tc>
        <w:tc>
          <w:tcPr>
            <w:tcW w:w="1092" w:type="pct"/>
            <w:tcBorders>
              <w:top w:val="nil"/>
              <w:left w:val="single" w:sz="4" w:space="0" w:color="auto"/>
              <w:bottom w:val="nil"/>
              <w:right w:val="single" w:sz="4" w:space="0" w:color="auto"/>
            </w:tcBorders>
            <w:vAlign w:val="center"/>
            <w:hideMark/>
          </w:tcPr>
          <w:p w14:paraId="08366A79" w14:textId="77777777" w:rsidR="0096391E" w:rsidRPr="000160B2" w:rsidRDefault="0096391E" w:rsidP="000E36F6">
            <w:pPr>
              <w:pStyle w:val="TableText0"/>
              <w:keepLines/>
              <w:jc w:val="center"/>
              <w:rPr>
                <w:szCs w:val="20"/>
              </w:rPr>
            </w:pPr>
            <w:r w:rsidRPr="000160B2">
              <w:rPr>
                <w:szCs w:val="20"/>
              </w:rPr>
              <w:t>0.80 (0.51, 1.26)</w:t>
            </w:r>
          </w:p>
        </w:tc>
      </w:tr>
      <w:tr w:rsidR="0096391E" w:rsidRPr="005B024E" w14:paraId="6F98BFB2" w14:textId="77777777" w:rsidTr="0096391E">
        <w:trPr>
          <w:trHeight w:val="19"/>
        </w:trPr>
        <w:tc>
          <w:tcPr>
            <w:tcW w:w="1726" w:type="pct"/>
            <w:tcBorders>
              <w:top w:val="nil"/>
              <w:left w:val="single" w:sz="4" w:space="0" w:color="auto"/>
              <w:bottom w:val="nil"/>
              <w:right w:val="single" w:sz="4" w:space="0" w:color="auto"/>
            </w:tcBorders>
            <w:hideMark/>
          </w:tcPr>
          <w:p w14:paraId="4BBCB60E" w14:textId="77777777" w:rsidR="0096391E" w:rsidRPr="000160B2" w:rsidRDefault="0096391E" w:rsidP="000E36F6">
            <w:pPr>
              <w:pStyle w:val="TableText0"/>
              <w:keepLines/>
              <w:ind w:left="109"/>
              <w:rPr>
                <w:rFonts w:cstheme="minorHAnsi"/>
                <w:szCs w:val="20"/>
              </w:rPr>
            </w:pPr>
            <w:r w:rsidRPr="000160B2">
              <w:rPr>
                <w:rFonts w:cstheme="minorHAnsi"/>
                <w:szCs w:val="20"/>
              </w:rPr>
              <w:t>Pneumonia</w:t>
            </w:r>
          </w:p>
        </w:tc>
        <w:tc>
          <w:tcPr>
            <w:tcW w:w="1091" w:type="pct"/>
            <w:tcBorders>
              <w:top w:val="nil"/>
              <w:left w:val="single" w:sz="4" w:space="0" w:color="auto"/>
              <w:bottom w:val="nil"/>
              <w:right w:val="single" w:sz="4" w:space="0" w:color="auto"/>
            </w:tcBorders>
            <w:vAlign w:val="center"/>
            <w:hideMark/>
          </w:tcPr>
          <w:p w14:paraId="21A11114" w14:textId="77777777" w:rsidR="0096391E" w:rsidRPr="000160B2" w:rsidRDefault="0096391E" w:rsidP="000E36F6">
            <w:pPr>
              <w:pStyle w:val="TableText0"/>
              <w:keepLines/>
              <w:jc w:val="center"/>
              <w:rPr>
                <w:rFonts w:cstheme="minorHAnsi"/>
                <w:szCs w:val="20"/>
              </w:rPr>
            </w:pPr>
            <w:r w:rsidRPr="000160B2">
              <w:rPr>
                <w:rFonts w:cstheme="minorHAnsi"/>
                <w:szCs w:val="20"/>
              </w:rPr>
              <w:t>32 (7.4)</w:t>
            </w:r>
          </w:p>
        </w:tc>
        <w:tc>
          <w:tcPr>
            <w:tcW w:w="1091" w:type="pct"/>
            <w:tcBorders>
              <w:top w:val="nil"/>
              <w:left w:val="single" w:sz="4" w:space="0" w:color="auto"/>
              <w:bottom w:val="nil"/>
              <w:right w:val="single" w:sz="4" w:space="0" w:color="auto"/>
            </w:tcBorders>
            <w:vAlign w:val="center"/>
            <w:hideMark/>
          </w:tcPr>
          <w:p w14:paraId="3B18E583" w14:textId="77777777" w:rsidR="0096391E" w:rsidRPr="000160B2" w:rsidRDefault="0096391E" w:rsidP="000E36F6">
            <w:pPr>
              <w:pStyle w:val="TableText0"/>
              <w:keepLines/>
              <w:jc w:val="center"/>
              <w:rPr>
                <w:rFonts w:cstheme="minorHAnsi"/>
                <w:szCs w:val="20"/>
              </w:rPr>
            </w:pPr>
            <w:r w:rsidRPr="000160B2">
              <w:rPr>
                <w:rFonts w:cstheme="minorHAnsi"/>
                <w:szCs w:val="20"/>
              </w:rPr>
              <w:t>28 (6.4)</w:t>
            </w:r>
          </w:p>
        </w:tc>
        <w:tc>
          <w:tcPr>
            <w:tcW w:w="1092" w:type="pct"/>
            <w:tcBorders>
              <w:top w:val="nil"/>
              <w:left w:val="single" w:sz="4" w:space="0" w:color="auto"/>
              <w:bottom w:val="nil"/>
              <w:right w:val="single" w:sz="4" w:space="0" w:color="auto"/>
            </w:tcBorders>
            <w:vAlign w:val="center"/>
            <w:hideMark/>
          </w:tcPr>
          <w:p w14:paraId="4529A3BD" w14:textId="77777777" w:rsidR="0096391E" w:rsidRPr="000160B2" w:rsidRDefault="0096391E" w:rsidP="000E36F6">
            <w:pPr>
              <w:pStyle w:val="TableText0"/>
              <w:keepLines/>
              <w:jc w:val="center"/>
              <w:rPr>
                <w:szCs w:val="20"/>
              </w:rPr>
            </w:pPr>
            <w:r w:rsidRPr="000160B2">
              <w:rPr>
                <w:szCs w:val="20"/>
              </w:rPr>
              <w:t>1.15 (0.71, 1.88)</w:t>
            </w:r>
          </w:p>
        </w:tc>
      </w:tr>
      <w:tr w:rsidR="0096391E" w:rsidRPr="005B024E" w14:paraId="3C24E628" w14:textId="77777777" w:rsidTr="0096391E">
        <w:trPr>
          <w:trHeight w:val="19"/>
        </w:trPr>
        <w:tc>
          <w:tcPr>
            <w:tcW w:w="1726" w:type="pct"/>
            <w:tcBorders>
              <w:top w:val="nil"/>
              <w:left w:val="single" w:sz="4" w:space="0" w:color="auto"/>
              <w:bottom w:val="single" w:sz="4" w:space="0" w:color="auto"/>
              <w:right w:val="single" w:sz="4" w:space="0" w:color="auto"/>
            </w:tcBorders>
            <w:hideMark/>
          </w:tcPr>
          <w:p w14:paraId="51FF0DB1" w14:textId="77777777" w:rsidR="0096391E" w:rsidRPr="000160B2" w:rsidRDefault="0096391E" w:rsidP="000E36F6">
            <w:pPr>
              <w:pStyle w:val="TableText0"/>
              <w:keepLines/>
              <w:ind w:left="109"/>
              <w:rPr>
                <w:rFonts w:cstheme="minorHAnsi"/>
                <w:szCs w:val="20"/>
              </w:rPr>
            </w:pPr>
            <w:r w:rsidRPr="000160B2">
              <w:rPr>
                <w:rFonts w:cstheme="minorHAnsi"/>
                <w:szCs w:val="20"/>
              </w:rPr>
              <w:t>Urinary tract infection</w:t>
            </w:r>
          </w:p>
        </w:tc>
        <w:tc>
          <w:tcPr>
            <w:tcW w:w="1091" w:type="pct"/>
            <w:tcBorders>
              <w:top w:val="nil"/>
              <w:left w:val="single" w:sz="4" w:space="0" w:color="auto"/>
              <w:bottom w:val="single" w:sz="4" w:space="0" w:color="auto"/>
              <w:right w:val="single" w:sz="4" w:space="0" w:color="auto"/>
            </w:tcBorders>
            <w:vAlign w:val="center"/>
            <w:hideMark/>
          </w:tcPr>
          <w:p w14:paraId="40BD2D39" w14:textId="77777777" w:rsidR="0096391E" w:rsidRPr="000160B2" w:rsidRDefault="0096391E" w:rsidP="000E36F6">
            <w:pPr>
              <w:pStyle w:val="TableText0"/>
              <w:keepLines/>
              <w:jc w:val="center"/>
              <w:rPr>
                <w:rFonts w:cstheme="minorHAnsi"/>
                <w:szCs w:val="20"/>
              </w:rPr>
            </w:pPr>
            <w:r w:rsidRPr="000160B2">
              <w:rPr>
                <w:rFonts w:cstheme="minorHAnsi"/>
                <w:szCs w:val="20"/>
              </w:rPr>
              <w:t>35 (8.0)</w:t>
            </w:r>
          </w:p>
        </w:tc>
        <w:tc>
          <w:tcPr>
            <w:tcW w:w="1091" w:type="pct"/>
            <w:tcBorders>
              <w:top w:val="nil"/>
              <w:left w:val="single" w:sz="4" w:space="0" w:color="auto"/>
              <w:bottom w:val="single" w:sz="4" w:space="0" w:color="auto"/>
              <w:right w:val="single" w:sz="4" w:space="0" w:color="auto"/>
            </w:tcBorders>
            <w:vAlign w:val="center"/>
            <w:hideMark/>
          </w:tcPr>
          <w:p w14:paraId="347CA917" w14:textId="77777777" w:rsidR="0096391E" w:rsidRPr="000160B2" w:rsidRDefault="0096391E" w:rsidP="000E36F6">
            <w:pPr>
              <w:pStyle w:val="TableText0"/>
              <w:keepLines/>
              <w:jc w:val="center"/>
              <w:rPr>
                <w:rFonts w:cstheme="minorHAnsi"/>
                <w:szCs w:val="20"/>
              </w:rPr>
            </w:pPr>
            <w:r w:rsidRPr="000160B2">
              <w:rPr>
                <w:rFonts w:cstheme="minorHAnsi"/>
                <w:szCs w:val="20"/>
              </w:rPr>
              <w:t>24 (5.5)</w:t>
            </w:r>
          </w:p>
        </w:tc>
        <w:tc>
          <w:tcPr>
            <w:tcW w:w="1092" w:type="pct"/>
            <w:tcBorders>
              <w:top w:val="nil"/>
              <w:left w:val="single" w:sz="4" w:space="0" w:color="auto"/>
              <w:bottom w:val="single" w:sz="4" w:space="0" w:color="auto"/>
              <w:right w:val="single" w:sz="4" w:space="0" w:color="auto"/>
            </w:tcBorders>
            <w:vAlign w:val="center"/>
            <w:hideMark/>
          </w:tcPr>
          <w:p w14:paraId="2D6FB8D7" w14:textId="77777777" w:rsidR="0096391E" w:rsidRPr="000160B2" w:rsidRDefault="0096391E" w:rsidP="000E36F6">
            <w:pPr>
              <w:pStyle w:val="TableText0"/>
              <w:keepLines/>
              <w:jc w:val="center"/>
              <w:rPr>
                <w:szCs w:val="20"/>
              </w:rPr>
            </w:pPr>
            <w:r w:rsidRPr="000160B2">
              <w:rPr>
                <w:szCs w:val="20"/>
              </w:rPr>
              <w:t>1.47 (0.89, 2.43)</w:t>
            </w:r>
          </w:p>
        </w:tc>
      </w:tr>
      <w:tr w:rsidR="0096391E" w:rsidRPr="005B024E" w14:paraId="7FD47DDE" w14:textId="77777777" w:rsidTr="0096391E">
        <w:trPr>
          <w:trHeight w:val="19"/>
        </w:trPr>
        <w:tc>
          <w:tcPr>
            <w:tcW w:w="1726" w:type="pct"/>
            <w:tcBorders>
              <w:top w:val="single" w:sz="4" w:space="0" w:color="auto"/>
              <w:left w:val="single" w:sz="4" w:space="0" w:color="auto"/>
              <w:bottom w:val="single" w:sz="4" w:space="0" w:color="auto"/>
              <w:right w:val="single" w:sz="4" w:space="0" w:color="auto"/>
            </w:tcBorders>
            <w:hideMark/>
          </w:tcPr>
          <w:p w14:paraId="6E9E60C0" w14:textId="77777777" w:rsidR="0096391E" w:rsidRPr="000160B2" w:rsidRDefault="0096391E" w:rsidP="000E36F6">
            <w:pPr>
              <w:pStyle w:val="TableText0"/>
              <w:keepLines/>
              <w:rPr>
                <w:rFonts w:cstheme="minorHAnsi"/>
                <w:szCs w:val="20"/>
              </w:rPr>
            </w:pPr>
            <w:r w:rsidRPr="000160B2">
              <w:rPr>
                <w:rFonts w:cstheme="minorHAnsi"/>
                <w:szCs w:val="20"/>
              </w:rPr>
              <w:t>Hepatic toxicity events</w:t>
            </w:r>
          </w:p>
        </w:tc>
        <w:tc>
          <w:tcPr>
            <w:tcW w:w="1091" w:type="pct"/>
            <w:tcBorders>
              <w:top w:val="single" w:sz="4" w:space="0" w:color="auto"/>
              <w:left w:val="single" w:sz="4" w:space="0" w:color="auto"/>
              <w:bottom w:val="single" w:sz="4" w:space="0" w:color="auto"/>
              <w:right w:val="single" w:sz="4" w:space="0" w:color="auto"/>
            </w:tcBorders>
            <w:vAlign w:val="center"/>
            <w:hideMark/>
          </w:tcPr>
          <w:p w14:paraId="4CF285E2" w14:textId="77777777" w:rsidR="0096391E" w:rsidRPr="000160B2" w:rsidRDefault="0096391E" w:rsidP="000E36F6">
            <w:pPr>
              <w:pStyle w:val="TableText0"/>
              <w:keepLines/>
              <w:jc w:val="center"/>
              <w:rPr>
                <w:rFonts w:cstheme="minorHAnsi"/>
                <w:szCs w:val="20"/>
              </w:rPr>
            </w:pPr>
            <w:r w:rsidRPr="000160B2">
              <w:rPr>
                <w:rFonts w:cstheme="minorHAnsi"/>
                <w:szCs w:val="20"/>
              </w:rPr>
              <w:t>46 (10.6)</w:t>
            </w:r>
          </w:p>
        </w:tc>
        <w:tc>
          <w:tcPr>
            <w:tcW w:w="1091" w:type="pct"/>
            <w:tcBorders>
              <w:top w:val="single" w:sz="4" w:space="0" w:color="auto"/>
              <w:left w:val="single" w:sz="4" w:space="0" w:color="auto"/>
              <w:bottom w:val="single" w:sz="4" w:space="0" w:color="auto"/>
              <w:right w:val="single" w:sz="4" w:space="0" w:color="auto"/>
            </w:tcBorders>
            <w:vAlign w:val="center"/>
            <w:hideMark/>
          </w:tcPr>
          <w:p w14:paraId="0F070ABE" w14:textId="77777777" w:rsidR="0096391E" w:rsidRPr="000160B2" w:rsidRDefault="0096391E" w:rsidP="000E36F6">
            <w:pPr>
              <w:pStyle w:val="TableText0"/>
              <w:keepLines/>
              <w:jc w:val="center"/>
              <w:rPr>
                <w:rFonts w:cstheme="minorHAnsi"/>
                <w:szCs w:val="20"/>
              </w:rPr>
            </w:pPr>
            <w:r w:rsidRPr="000160B2">
              <w:rPr>
                <w:rFonts w:cstheme="minorHAnsi"/>
                <w:szCs w:val="20"/>
              </w:rPr>
              <w:t>32 (7.3)</w:t>
            </w:r>
          </w:p>
        </w:tc>
        <w:tc>
          <w:tcPr>
            <w:tcW w:w="1092" w:type="pct"/>
            <w:tcBorders>
              <w:top w:val="single" w:sz="4" w:space="0" w:color="auto"/>
              <w:left w:val="single" w:sz="4" w:space="0" w:color="auto"/>
              <w:bottom w:val="single" w:sz="4" w:space="0" w:color="auto"/>
              <w:right w:val="single" w:sz="4" w:space="0" w:color="auto"/>
            </w:tcBorders>
            <w:vAlign w:val="center"/>
            <w:hideMark/>
          </w:tcPr>
          <w:p w14:paraId="1C33D41F" w14:textId="77777777" w:rsidR="0096391E" w:rsidRPr="000160B2" w:rsidRDefault="0096391E" w:rsidP="000E36F6">
            <w:pPr>
              <w:pStyle w:val="TableText0"/>
              <w:keepLines/>
              <w:jc w:val="center"/>
              <w:rPr>
                <w:szCs w:val="20"/>
              </w:rPr>
            </w:pPr>
            <w:r w:rsidRPr="000160B2">
              <w:rPr>
                <w:szCs w:val="20"/>
              </w:rPr>
              <w:t>1.45 (0.94, 2.23)</w:t>
            </w:r>
          </w:p>
        </w:tc>
      </w:tr>
      <w:tr w:rsidR="0096391E" w:rsidRPr="005B024E" w14:paraId="2E524652" w14:textId="77777777" w:rsidTr="0096391E">
        <w:trPr>
          <w:trHeight w:val="19"/>
        </w:trPr>
        <w:tc>
          <w:tcPr>
            <w:tcW w:w="1726" w:type="pct"/>
            <w:tcBorders>
              <w:top w:val="single" w:sz="4" w:space="0" w:color="auto"/>
              <w:left w:val="single" w:sz="4" w:space="0" w:color="auto"/>
              <w:bottom w:val="single" w:sz="4" w:space="0" w:color="auto"/>
              <w:right w:val="single" w:sz="4" w:space="0" w:color="auto"/>
            </w:tcBorders>
            <w:hideMark/>
          </w:tcPr>
          <w:p w14:paraId="15EDBB7E" w14:textId="77777777" w:rsidR="0096391E" w:rsidRPr="000160B2" w:rsidRDefault="0096391E" w:rsidP="000E36F6">
            <w:pPr>
              <w:pStyle w:val="TableText0"/>
              <w:keepLines/>
              <w:rPr>
                <w:rFonts w:cstheme="minorHAnsi"/>
                <w:szCs w:val="20"/>
              </w:rPr>
            </w:pPr>
            <w:r w:rsidRPr="000160B2">
              <w:rPr>
                <w:rFonts w:cstheme="minorHAnsi"/>
                <w:szCs w:val="20"/>
              </w:rPr>
              <w:t>Carcinogenicity</w:t>
            </w:r>
          </w:p>
        </w:tc>
        <w:tc>
          <w:tcPr>
            <w:tcW w:w="1091" w:type="pct"/>
            <w:tcBorders>
              <w:top w:val="single" w:sz="4" w:space="0" w:color="auto"/>
              <w:left w:val="single" w:sz="4" w:space="0" w:color="auto"/>
              <w:bottom w:val="single" w:sz="4" w:space="0" w:color="auto"/>
              <w:right w:val="single" w:sz="4" w:space="0" w:color="auto"/>
            </w:tcBorders>
            <w:vAlign w:val="center"/>
            <w:hideMark/>
          </w:tcPr>
          <w:p w14:paraId="5C3E7E67" w14:textId="77777777" w:rsidR="0096391E" w:rsidRPr="000160B2" w:rsidRDefault="0096391E" w:rsidP="000E36F6">
            <w:pPr>
              <w:pStyle w:val="TableText0"/>
              <w:keepLines/>
              <w:jc w:val="center"/>
              <w:rPr>
                <w:rFonts w:cstheme="minorHAnsi"/>
                <w:szCs w:val="20"/>
              </w:rPr>
            </w:pPr>
            <w:r w:rsidRPr="000160B2">
              <w:rPr>
                <w:rFonts w:cstheme="minorHAnsi"/>
                <w:szCs w:val="20"/>
              </w:rPr>
              <w:t>4 (0.9)</w:t>
            </w:r>
          </w:p>
        </w:tc>
        <w:tc>
          <w:tcPr>
            <w:tcW w:w="1091" w:type="pct"/>
            <w:tcBorders>
              <w:top w:val="single" w:sz="4" w:space="0" w:color="auto"/>
              <w:left w:val="single" w:sz="4" w:space="0" w:color="auto"/>
              <w:bottom w:val="single" w:sz="4" w:space="0" w:color="auto"/>
              <w:right w:val="single" w:sz="4" w:space="0" w:color="auto"/>
            </w:tcBorders>
            <w:vAlign w:val="center"/>
            <w:hideMark/>
          </w:tcPr>
          <w:p w14:paraId="64842702" w14:textId="77777777" w:rsidR="0096391E" w:rsidRPr="000160B2" w:rsidRDefault="0096391E" w:rsidP="000E36F6">
            <w:pPr>
              <w:pStyle w:val="TableText0"/>
              <w:keepLines/>
              <w:jc w:val="center"/>
              <w:rPr>
                <w:rFonts w:cstheme="minorHAnsi"/>
                <w:szCs w:val="20"/>
              </w:rPr>
            </w:pPr>
            <w:r w:rsidRPr="000160B2">
              <w:rPr>
                <w:rFonts w:cstheme="minorHAnsi"/>
                <w:szCs w:val="20"/>
              </w:rPr>
              <w:t>5 (1.1)</w:t>
            </w:r>
          </w:p>
        </w:tc>
        <w:tc>
          <w:tcPr>
            <w:tcW w:w="1092" w:type="pct"/>
            <w:tcBorders>
              <w:top w:val="single" w:sz="4" w:space="0" w:color="auto"/>
              <w:left w:val="single" w:sz="4" w:space="0" w:color="auto"/>
              <w:bottom w:val="single" w:sz="4" w:space="0" w:color="auto"/>
              <w:right w:val="single" w:sz="4" w:space="0" w:color="auto"/>
            </w:tcBorders>
            <w:vAlign w:val="center"/>
            <w:hideMark/>
          </w:tcPr>
          <w:p w14:paraId="3CD95FA7" w14:textId="77777777" w:rsidR="0096391E" w:rsidRPr="000160B2" w:rsidRDefault="0096391E" w:rsidP="000E36F6">
            <w:pPr>
              <w:pStyle w:val="TableText0"/>
              <w:keepLines/>
              <w:jc w:val="center"/>
              <w:rPr>
                <w:szCs w:val="20"/>
              </w:rPr>
            </w:pPr>
            <w:r w:rsidRPr="000160B2">
              <w:rPr>
                <w:szCs w:val="20"/>
              </w:rPr>
              <w:t>0.88 (0.22, 2.98)</w:t>
            </w:r>
          </w:p>
        </w:tc>
      </w:tr>
      <w:tr w:rsidR="0096391E" w:rsidRPr="005B024E" w14:paraId="6BDAFA64" w14:textId="77777777" w:rsidTr="0096391E">
        <w:trPr>
          <w:trHeight w:val="19"/>
        </w:trPr>
        <w:tc>
          <w:tcPr>
            <w:tcW w:w="1726" w:type="pct"/>
            <w:tcBorders>
              <w:top w:val="single" w:sz="4" w:space="0" w:color="auto"/>
              <w:left w:val="single" w:sz="4" w:space="0" w:color="auto"/>
              <w:bottom w:val="single" w:sz="4" w:space="0" w:color="auto"/>
              <w:right w:val="single" w:sz="4" w:space="0" w:color="auto"/>
            </w:tcBorders>
            <w:hideMark/>
          </w:tcPr>
          <w:p w14:paraId="2560808C" w14:textId="77777777" w:rsidR="0096391E" w:rsidRPr="000160B2" w:rsidRDefault="0096391E" w:rsidP="000E36F6">
            <w:pPr>
              <w:pStyle w:val="TableText0"/>
              <w:keepLines/>
              <w:rPr>
                <w:rFonts w:cstheme="minorHAnsi"/>
                <w:szCs w:val="20"/>
              </w:rPr>
            </w:pPr>
            <w:r w:rsidRPr="000160B2">
              <w:rPr>
                <w:rFonts w:cstheme="minorHAnsi"/>
                <w:szCs w:val="20"/>
              </w:rPr>
              <w:t>Pulmonary toxicity</w:t>
            </w:r>
          </w:p>
        </w:tc>
        <w:tc>
          <w:tcPr>
            <w:tcW w:w="1091" w:type="pct"/>
            <w:tcBorders>
              <w:top w:val="single" w:sz="4" w:space="0" w:color="auto"/>
              <w:left w:val="single" w:sz="4" w:space="0" w:color="auto"/>
              <w:bottom w:val="single" w:sz="4" w:space="0" w:color="auto"/>
              <w:right w:val="single" w:sz="4" w:space="0" w:color="auto"/>
            </w:tcBorders>
            <w:vAlign w:val="center"/>
            <w:hideMark/>
          </w:tcPr>
          <w:p w14:paraId="02303CA7" w14:textId="77777777" w:rsidR="0096391E" w:rsidRPr="000160B2" w:rsidRDefault="0096391E" w:rsidP="000E36F6">
            <w:pPr>
              <w:pStyle w:val="TableText0"/>
              <w:keepLines/>
              <w:jc w:val="center"/>
              <w:rPr>
                <w:rFonts w:cstheme="minorHAnsi"/>
                <w:szCs w:val="20"/>
              </w:rPr>
            </w:pPr>
            <w:r w:rsidRPr="000160B2">
              <w:rPr>
                <w:rFonts w:cstheme="minorHAnsi"/>
                <w:szCs w:val="20"/>
              </w:rPr>
              <w:t>7 (1.6)</w:t>
            </w:r>
          </w:p>
        </w:tc>
        <w:tc>
          <w:tcPr>
            <w:tcW w:w="1091" w:type="pct"/>
            <w:tcBorders>
              <w:top w:val="single" w:sz="4" w:space="0" w:color="auto"/>
              <w:left w:val="single" w:sz="4" w:space="0" w:color="auto"/>
              <w:bottom w:val="single" w:sz="4" w:space="0" w:color="auto"/>
              <w:right w:val="single" w:sz="4" w:space="0" w:color="auto"/>
            </w:tcBorders>
            <w:vAlign w:val="center"/>
            <w:hideMark/>
          </w:tcPr>
          <w:p w14:paraId="0F937237" w14:textId="77777777" w:rsidR="0096391E" w:rsidRPr="000160B2" w:rsidRDefault="0096391E" w:rsidP="000E36F6">
            <w:pPr>
              <w:pStyle w:val="TableText0"/>
              <w:keepLines/>
              <w:jc w:val="center"/>
              <w:rPr>
                <w:rFonts w:cstheme="minorHAnsi"/>
                <w:szCs w:val="20"/>
              </w:rPr>
            </w:pPr>
            <w:r w:rsidRPr="000160B2">
              <w:rPr>
                <w:rFonts w:cstheme="minorHAnsi"/>
                <w:szCs w:val="20"/>
              </w:rPr>
              <w:t>7 (1.6)</w:t>
            </w:r>
          </w:p>
        </w:tc>
        <w:tc>
          <w:tcPr>
            <w:tcW w:w="1092" w:type="pct"/>
            <w:tcBorders>
              <w:top w:val="single" w:sz="4" w:space="0" w:color="auto"/>
              <w:left w:val="single" w:sz="4" w:space="0" w:color="auto"/>
              <w:bottom w:val="single" w:sz="4" w:space="0" w:color="auto"/>
              <w:right w:val="single" w:sz="4" w:space="0" w:color="auto"/>
            </w:tcBorders>
            <w:vAlign w:val="center"/>
            <w:hideMark/>
          </w:tcPr>
          <w:p w14:paraId="26916D85" w14:textId="77777777" w:rsidR="0096391E" w:rsidRPr="000160B2" w:rsidRDefault="0096391E" w:rsidP="000E36F6">
            <w:pPr>
              <w:pStyle w:val="TableText0"/>
              <w:keepLines/>
              <w:jc w:val="center"/>
              <w:rPr>
                <w:szCs w:val="20"/>
              </w:rPr>
            </w:pPr>
            <w:r w:rsidRPr="000160B2">
              <w:rPr>
                <w:szCs w:val="20"/>
              </w:rPr>
              <w:t>1.01 (0.36, 2.85)</w:t>
            </w:r>
          </w:p>
        </w:tc>
      </w:tr>
      <w:tr w:rsidR="0096391E" w:rsidRPr="005B024E" w14:paraId="54AA0012" w14:textId="77777777" w:rsidTr="0096391E">
        <w:trPr>
          <w:trHeight w:val="19"/>
        </w:trPr>
        <w:tc>
          <w:tcPr>
            <w:tcW w:w="1726" w:type="pct"/>
            <w:tcBorders>
              <w:top w:val="single" w:sz="4" w:space="0" w:color="auto"/>
              <w:left w:val="single" w:sz="4" w:space="0" w:color="auto"/>
              <w:bottom w:val="single" w:sz="4" w:space="0" w:color="auto"/>
              <w:right w:val="single" w:sz="4" w:space="0" w:color="auto"/>
            </w:tcBorders>
            <w:hideMark/>
          </w:tcPr>
          <w:p w14:paraId="4AC4CF0E" w14:textId="77777777" w:rsidR="0096391E" w:rsidRPr="000160B2" w:rsidRDefault="0096391E" w:rsidP="000E36F6">
            <w:pPr>
              <w:pStyle w:val="TableText0"/>
              <w:keepLines/>
              <w:rPr>
                <w:rFonts w:cstheme="minorHAnsi"/>
                <w:szCs w:val="20"/>
              </w:rPr>
            </w:pPr>
            <w:r w:rsidRPr="000160B2">
              <w:rPr>
                <w:rFonts w:cstheme="minorHAnsi"/>
                <w:szCs w:val="20"/>
              </w:rPr>
              <w:t>Infusion-related reactions</w:t>
            </w:r>
          </w:p>
        </w:tc>
        <w:tc>
          <w:tcPr>
            <w:tcW w:w="1091" w:type="pct"/>
            <w:tcBorders>
              <w:top w:val="single" w:sz="4" w:space="0" w:color="auto"/>
              <w:left w:val="single" w:sz="4" w:space="0" w:color="auto"/>
              <w:bottom w:val="single" w:sz="4" w:space="0" w:color="auto"/>
              <w:right w:val="single" w:sz="4" w:space="0" w:color="auto"/>
            </w:tcBorders>
            <w:vAlign w:val="center"/>
            <w:hideMark/>
          </w:tcPr>
          <w:p w14:paraId="7B482852" w14:textId="77777777" w:rsidR="0096391E" w:rsidRPr="000160B2" w:rsidRDefault="0096391E" w:rsidP="000E36F6">
            <w:pPr>
              <w:pStyle w:val="TableText0"/>
              <w:keepLines/>
              <w:jc w:val="center"/>
              <w:rPr>
                <w:rFonts w:cstheme="minorHAnsi"/>
                <w:szCs w:val="20"/>
              </w:rPr>
            </w:pPr>
            <w:r w:rsidRPr="000160B2">
              <w:rPr>
                <w:rFonts w:cstheme="minorHAnsi"/>
                <w:szCs w:val="20"/>
              </w:rPr>
              <w:t>58 (13.3)</w:t>
            </w:r>
          </w:p>
        </w:tc>
        <w:tc>
          <w:tcPr>
            <w:tcW w:w="1091" w:type="pct"/>
            <w:tcBorders>
              <w:top w:val="single" w:sz="4" w:space="0" w:color="auto"/>
              <w:left w:val="single" w:sz="4" w:space="0" w:color="auto"/>
              <w:bottom w:val="single" w:sz="4" w:space="0" w:color="auto"/>
              <w:right w:val="single" w:sz="4" w:space="0" w:color="auto"/>
            </w:tcBorders>
            <w:vAlign w:val="center"/>
            <w:hideMark/>
          </w:tcPr>
          <w:p w14:paraId="1A3FC2A2" w14:textId="77777777" w:rsidR="0096391E" w:rsidRPr="000160B2" w:rsidRDefault="0096391E" w:rsidP="000E36F6">
            <w:pPr>
              <w:pStyle w:val="TableText0"/>
              <w:keepLines/>
              <w:jc w:val="center"/>
              <w:rPr>
                <w:rFonts w:cstheme="minorHAnsi"/>
                <w:szCs w:val="20"/>
              </w:rPr>
            </w:pPr>
            <w:r w:rsidRPr="000160B2">
              <w:rPr>
                <w:rFonts w:cstheme="minorHAnsi"/>
                <w:szCs w:val="20"/>
              </w:rPr>
              <w:t>70 (16.0)</w:t>
            </w:r>
          </w:p>
        </w:tc>
        <w:tc>
          <w:tcPr>
            <w:tcW w:w="1092" w:type="pct"/>
            <w:tcBorders>
              <w:top w:val="single" w:sz="4" w:space="0" w:color="auto"/>
              <w:left w:val="single" w:sz="4" w:space="0" w:color="auto"/>
              <w:bottom w:val="single" w:sz="4" w:space="0" w:color="auto"/>
              <w:right w:val="single" w:sz="4" w:space="0" w:color="auto"/>
            </w:tcBorders>
            <w:vAlign w:val="center"/>
            <w:hideMark/>
          </w:tcPr>
          <w:p w14:paraId="1B1A899C" w14:textId="77777777" w:rsidR="0096391E" w:rsidRPr="000160B2" w:rsidRDefault="0096391E" w:rsidP="000E36F6">
            <w:pPr>
              <w:pStyle w:val="TableText0"/>
              <w:keepLines/>
              <w:jc w:val="center"/>
              <w:rPr>
                <w:szCs w:val="20"/>
              </w:rPr>
            </w:pPr>
            <w:r w:rsidRPr="000160B2">
              <w:rPr>
                <w:szCs w:val="20"/>
              </w:rPr>
              <w:t>0.83 (0.60, 1.15)</w:t>
            </w:r>
          </w:p>
        </w:tc>
      </w:tr>
      <w:tr w:rsidR="0096391E" w:rsidRPr="005B024E" w14:paraId="54F482DC" w14:textId="77777777" w:rsidTr="0096391E">
        <w:trPr>
          <w:trHeight w:val="19"/>
        </w:trPr>
        <w:tc>
          <w:tcPr>
            <w:tcW w:w="1726" w:type="pct"/>
            <w:tcBorders>
              <w:top w:val="single" w:sz="4" w:space="0" w:color="auto"/>
              <w:left w:val="single" w:sz="4" w:space="0" w:color="auto"/>
              <w:bottom w:val="single" w:sz="4" w:space="0" w:color="auto"/>
              <w:right w:val="single" w:sz="4" w:space="0" w:color="auto"/>
            </w:tcBorders>
            <w:hideMark/>
          </w:tcPr>
          <w:p w14:paraId="18D19034" w14:textId="77777777" w:rsidR="0096391E" w:rsidRPr="000160B2" w:rsidRDefault="0096391E" w:rsidP="000E36F6">
            <w:pPr>
              <w:pStyle w:val="TableText0"/>
              <w:keepLines/>
              <w:rPr>
                <w:rFonts w:cstheme="minorHAnsi"/>
                <w:szCs w:val="20"/>
              </w:rPr>
            </w:pPr>
            <w:r w:rsidRPr="000160B2">
              <w:rPr>
                <w:rFonts w:cstheme="minorHAnsi"/>
                <w:szCs w:val="20"/>
              </w:rPr>
              <w:t>Tumour Lysis Syndrome</w:t>
            </w:r>
          </w:p>
        </w:tc>
        <w:tc>
          <w:tcPr>
            <w:tcW w:w="1091" w:type="pct"/>
            <w:tcBorders>
              <w:top w:val="single" w:sz="4" w:space="0" w:color="auto"/>
              <w:left w:val="single" w:sz="4" w:space="0" w:color="auto"/>
              <w:bottom w:val="single" w:sz="4" w:space="0" w:color="auto"/>
              <w:right w:val="single" w:sz="4" w:space="0" w:color="auto"/>
            </w:tcBorders>
            <w:vAlign w:val="center"/>
            <w:hideMark/>
          </w:tcPr>
          <w:p w14:paraId="3A95E751" w14:textId="77777777" w:rsidR="0096391E" w:rsidRPr="000160B2" w:rsidRDefault="0096391E" w:rsidP="000E36F6">
            <w:pPr>
              <w:pStyle w:val="TableText0"/>
              <w:keepLines/>
              <w:jc w:val="center"/>
              <w:rPr>
                <w:rFonts w:cstheme="minorHAnsi"/>
                <w:szCs w:val="20"/>
              </w:rPr>
            </w:pPr>
            <w:r w:rsidRPr="000160B2">
              <w:rPr>
                <w:rFonts w:cstheme="minorHAnsi"/>
                <w:szCs w:val="20"/>
              </w:rPr>
              <w:t>2 (0.5)</w:t>
            </w:r>
          </w:p>
        </w:tc>
        <w:tc>
          <w:tcPr>
            <w:tcW w:w="1091" w:type="pct"/>
            <w:tcBorders>
              <w:top w:val="single" w:sz="4" w:space="0" w:color="auto"/>
              <w:left w:val="single" w:sz="4" w:space="0" w:color="auto"/>
              <w:bottom w:val="single" w:sz="4" w:space="0" w:color="auto"/>
              <w:right w:val="single" w:sz="4" w:space="0" w:color="auto"/>
            </w:tcBorders>
            <w:vAlign w:val="center"/>
            <w:hideMark/>
          </w:tcPr>
          <w:p w14:paraId="23D7F2C2" w14:textId="77777777" w:rsidR="0096391E" w:rsidRPr="000160B2" w:rsidRDefault="0096391E" w:rsidP="000E36F6">
            <w:pPr>
              <w:pStyle w:val="TableText0"/>
              <w:keepLines/>
              <w:jc w:val="center"/>
              <w:rPr>
                <w:rFonts w:cstheme="minorHAnsi"/>
                <w:szCs w:val="20"/>
              </w:rPr>
            </w:pPr>
            <w:r w:rsidRPr="000160B2">
              <w:rPr>
                <w:rFonts w:cstheme="minorHAnsi"/>
                <w:szCs w:val="20"/>
              </w:rPr>
              <w:t>4 (0.9)</w:t>
            </w:r>
          </w:p>
        </w:tc>
        <w:tc>
          <w:tcPr>
            <w:tcW w:w="1092" w:type="pct"/>
            <w:tcBorders>
              <w:top w:val="single" w:sz="4" w:space="0" w:color="auto"/>
              <w:left w:val="single" w:sz="4" w:space="0" w:color="auto"/>
              <w:bottom w:val="single" w:sz="4" w:space="0" w:color="auto"/>
              <w:right w:val="single" w:sz="4" w:space="0" w:color="auto"/>
            </w:tcBorders>
            <w:vAlign w:val="center"/>
            <w:hideMark/>
          </w:tcPr>
          <w:p w14:paraId="2E88B845" w14:textId="77777777" w:rsidR="0096391E" w:rsidRPr="000160B2" w:rsidRDefault="0096391E" w:rsidP="000E36F6">
            <w:pPr>
              <w:pStyle w:val="TableText0"/>
              <w:keepLines/>
              <w:jc w:val="center"/>
              <w:rPr>
                <w:szCs w:val="20"/>
              </w:rPr>
            </w:pPr>
            <w:r w:rsidRPr="000160B2">
              <w:rPr>
                <w:szCs w:val="20"/>
              </w:rPr>
              <w:t>0.50 (0.09, 2.73)</w:t>
            </w:r>
          </w:p>
        </w:tc>
      </w:tr>
      <w:tr w:rsidR="0096391E" w:rsidRPr="005B024E" w14:paraId="4DC043D9" w14:textId="77777777" w:rsidTr="0096391E">
        <w:trPr>
          <w:trHeight w:val="19"/>
        </w:trPr>
        <w:tc>
          <w:tcPr>
            <w:tcW w:w="1726" w:type="pct"/>
            <w:tcBorders>
              <w:top w:val="single" w:sz="4" w:space="0" w:color="auto"/>
              <w:left w:val="single" w:sz="4" w:space="0" w:color="auto"/>
              <w:bottom w:val="single" w:sz="4" w:space="0" w:color="auto"/>
              <w:right w:val="single" w:sz="4" w:space="0" w:color="auto"/>
            </w:tcBorders>
            <w:hideMark/>
          </w:tcPr>
          <w:p w14:paraId="434D0CA9" w14:textId="77777777" w:rsidR="0096391E" w:rsidRPr="000160B2" w:rsidRDefault="0096391E" w:rsidP="000E36F6">
            <w:pPr>
              <w:pStyle w:val="TableText0"/>
              <w:keepLines/>
              <w:rPr>
                <w:rFonts w:cstheme="minorHAnsi"/>
                <w:szCs w:val="20"/>
              </w:rPr>
            </w:pPr>
            <w:r w:rsidRPr="000160B2">
              <w:rPr>
                <w:rFonts w:cstheme="minorHAnsi"/>
                <w:szCs w:val="20"/>
              </w:rPr>
              <w:t>Cardiac arrhythmia</w:t>
            </w:r>
          </w:p>
        </w:tc>
        <w:tc>
          <w:tcPr>
            <w:tcW w:w="1091" w:type="pct"/>
            <w:tcBorders>
              <w:top w:val="single" w:sz="4" w:space="0" w:color="auto"/>
              <w:left w:val="single" w:sz="4" w:space="0" w:color="auto"/>
              <w:bottom w:val="single" w:sz="4" w:space="0" w:color="auto"/>
              <w:right w:val="single" w:sz="4" w:space="0" w:color="auto"/>
            </w:tcBorders>
            <w:vAlign w:val="center"/>
            <w:hideMark/>
          </w:tcPr>
          <w:p w14:paraId="7DEB87F5" w14:textId="77777777" w:rsidR="0096391E" w:rsidRPr="000160B2" w:rsidRDefault="0096391E" w:rsidP="000E36F6">
            <w:pPr>
              <w:pStyle w:val="TableText0"/>
              <w:keepLines/>
              <w:jc w:val="center"/>
              <w:rPr>
                <w:rFonts w:cstheme="minorHAnsi"/>
                <w:szCs w:val="20"/>
              </w:rPr>
            </w:pPr>
            <w:r w:rsidRPr="000160B2">
              <w:rPr>
                <w:rFonts w:cstheme="minorHAnsi"/>
                <w:szCs w:val="20"/>
              </w:rPr>
              <w:t>13 (3.0)</w:t>
            </w:r>
          </w:p>
        </w:tc>
        <w:tc>
          <w:tcPr>
            <w:tcW w:w="1091" w:type="pct"/>
            <w:tcBorders>
              <w:top w:val="single" w:sz="4" w:space="0" w:color="auto"/>
              <w:left w:val="single" w:sz="4" w:space="0" w:color="auto"/>
              <w:bottom w:val="single" w:sz="4" w:space="0" w:color="auto"/>
              <w:right w:val="single" w:sz="4" w:space="0" w:color="auto"/>
            </w:tcBorders>
            <w:vAlign w:val="center"/>
            <w:hideMark/>
          </w:tcPr>
          <w:p w14:paraId="4FCBB6AB" w14:textId="77777777" w:rsidR="0096391E" w:rsidRPr="000160B2" w:rsidRDefault="0096391E" w:rsidP="000E36F6">
            <w:pPr>
              <w:pStyle w:val="TableText0"/>
              <w:keepLines/>
              <w:jc w:val="center"/>
              <w:rPr>
                <w:rFonts w:cstheme="minorHAnsi"/>
                <w:szCs w:val="20"/>
              </w:rPr>
            </w:pPr>
            <w:r w:rsidRPr="000160B2">
              <w:rPr>
                <w:rFonts w:cstheme="minorHAnsi"/>
                <w:szCs w:val="20"/>
              </w:rPr>
              <w:t>20 (3.7)</w:t>
            </w:r>
          </w:p>
        </w:tc>
        <w:tc>
          <w:tcPr>
            <w:tcW w:w="1092" w:type="pct"/>
            <w:tcBorders>
              <w:top w:val="single" w:sz="4" w:space="0" w:color="auto"/>
              <w:left w:val="single" w:sz="4" w:space="0" w:color="auto"/>
              <w:bottom w:val="single" w:sz="4" w:space="0" w:color="auto"/>
              <w:right w:val="single" w:sz="4" w:space="0" w:color="auto"/>
            </w:tcBorders>
            <w:vAlign w:val="center"/>
            <w:hideMark/>
          </w:tcPr>
          <w:p w14:paraId="552B90EA" w14:textId="77777777" w:rsidR="0096391E" w:rsidRPr="000160B2" w:rsidRDefault="0096391E" w:rsidP="000E36F6">
            <w:pPr>
              <w:pStyle w:val="TableText0"/>
              <w:keepLines/>
              <w:jc w:val="center"/>
              <w:rPr>
                <w:szCs w:val="20"/>
              </w:rPr>
            </w:pPr>
            <w:r w:rsidRPr="000160B2">
              <w:rPr>
                <w:szCs w:val="20"/>
              </w:rPr>
              <w:t>0.65 (0.33, 1.30)</w:t>
            </w:r>
          </w:p>
        </w:tc>
      </w:tr>
      <w:tr w:rsidR="0096391E" w:rsidRPr="005B024E" w14:paraId="6F4D1084" w14:textId="77777777" w:rsidTr="0096391E">
        <w:trPr>
          <w:trHeight w:val="19"/>
        </w:trPr>
        <w:tc>
          <w:tcPr>
            <w:tcW w:w="1726" w:type="pct"/>
            <w:tcBorders>
              <w:top w:val="single" w:sz="4" w:space="0" w:color="auto"/>
              <w:left w:val="single" w:sz="4" w:space="0" w:color="auto"/>
              <w:bottom w:val="single" w:sz="4" w:space="0" w:color="auto"/>
              <w:right w:val="single" w:sz="4" w:space="0" w:color="auto"/>
            </w:tcBorders>
            <w:hideMark/>
          </w:tcPr>
          <w:p w14:paraId="63F7BA8A" w14:textId="77777777" w:rsidR="0096391E" w:rsidRPr="000160B2" w:rsidRDefault="0096391E" w:rsidP="000E36F6">
            <w:pPr>
              <w:pStyle w:val="TableText0"/>
              <w:keepLines/>
              <w:rPr>
                <w:rFonts w:cstheme="minorHAnsi"/>
                <w:szCs w:val="20"/>
              </w:rPr>
            </w:pPr>
            <w:r w:rsidRPr="000160B2">
              <w:rPr>
                <w:rFonts w:cstheme="minorHAnsi"/>
                <w:szCs w:val="20"/>
              </w:rPr>
              <w:t>Hyperglycaemia</w:t>
            </w:r>
          </w:p>
        </w:tc>
        <w:tc>
          <w:tcPr>
            <w:tcW w:w="1091" w:type="pct"/>
            <w:tcBorders>
              <w:top w:val="single" w:sz="4" w:space="0" w:color="auto"/>
              <w:left w:val="single" w:sz="4" w:space="0" w:color="auto"/>
              <w:bottom w:val="single" w:sz="4" w:space="0" w:color="auto"/>
              <w:right w:val="single" w:sz="4" w:space="0" w:color="auto"/>
            </w:tcBorders>
            <w:vAlign w:val="center"/>
            <w:hideMark/>
          </w:tcPr>
          <w:p w14:paraId="31BC30C0" w14:textId="77777777" w:rsidR="0096391E" w:rsidRPr="000160B2" w:rsidRDefault="0096391E" w:rsidP="000E36F6">
            <w:pPr>
              <w:pStyle w:val="TableText0"/>
              <w:keepLines/>
              <w:jc w:val="center"/>
              <w:rPr>
                <w:rFonts w:cstheme="minorHAnsi"/>
                <w:szCs w:val="20"/>
              </w:rPr>
            </w:pPr>
            <w:r w:rsidRPr="000160B2">
              <w:rPr>
                <w:rFonts w:cstheme="minorHAnsi"/>
                <w:szCs w:val="20"/>
              </w:rPr>
              <w:t>26 (6.0)</w:t>
            </w:r>
          </w:p>
        </w:tc>
        <w:tc>
          <w:tcPr>
            <w:tcW w:w="1091" w:type="pct"/>
            <w:tcBorders>
              <w:top w:val="single" w:sz="4" w:space="0" w:color="auto"/>
              <w:left w:val="single" w:sz="4" w:space="0" w:color="auto"/>
              <w:bottom w:val="single" w:sz="4" w:space="0" w:color="auto"/>
              <w:right w:val="single" w:sz="4" w:space="0" w:color="auto"/>
            </w:tcBorders>
            <w:vAlign w:val="center"/>
            <w:hideMark/>
          </w:tcPr>
          <w:p w14:paraId="1BA70FD1" w14:textId="77777777" w:rsidR="0096391E" w:rsidRPr="000160B2" w:rsidRDefault="0096391E" w:rsidP="000E36F6">
            <w:pPr>
              <w:pStyle w:val="TableText0"/>
              <w:keepLines/>
              <w:jc w:val="center"/>
              <w:rPr>
                <w:rFonts w:cstheme="minorHAnsi"/>
                <w:szCs w:val="20"/>
              </w:rPr>
            </w:pPr>
            <w:r w:rsidRPr="000160B2">
              <w:rPr>
                <w:rFonts w:cstheme="minorHAnsi"/>
                <w:szCs w:val="20"/>
              </w:rPr>
              <w:t>27 (6.2)</w:t>
            </w:r>
          </w:p>
        </w:tc>
        <w:tc>
          <w:tcPr>
            <w:tcW w:w="1092" w:type="pct"/>
            <w:tcBorders>
              <w:top w:val="single" w:sz="4" w:space="0" w:color="auto"/>
              <w:left w:val="single" w:sz="4" w:space="0" w:color="auto"/>
              <w:bottom w:val="single" w:sz="4" w:space="0" w:color="auto"/>
              <w:right w:val="single" w:sz="4" w:space="0" w:color="auto"/>
            </w:tcBorders>
            <w:vAlign w:val="center"/>
            <w:hideMark/>
          </w:tcPr>
          <w:p w14:paraId="73168523" w14:textId="77777777" w:rsidR="0096391E" w:rsidRPr="000160B2" w:rsidRDefault="0096391E" w:rsidP="000E36F6">
            <w:pPr>
              <w:pStyle w:val="TableText0"/>
              <w:keepLines/>
              <w:jc w:val="center"/>
              <w:rPr>
                <w:szCs w:val="20"/>
              </w:rPr>
            </w:pPr>
            <w:r w:rsidRPr="000160B2">
              <w:rPr>
                <w:szCs w:val="20"/>
              </w:rPr>
              <w:t>0.97 (0.58, 1.63)</w:t>
            </w:r>
          </w:p>
        </w:tc>
      </w:tr>
    </w:tbl>
    <w:p w14:paraId="7A7F7E74" w14:textId="77777777" w:rsidR="0096391E" w:rsidRPr="005B024E" w:rsidRDefault="0096391E" w:rsidP="000E36F6">
      <w:pPr>
        <w:pStyle w:val="TableFigureFooter"/>
        <w:keepNext/>
        <w:keepLines/>
      </w:pPr>
      <w:r w:rsidRPr="005B024E">
        <w:t>Source: Table 2.22, p49 and Table 2.28, p64 of the submission</w:t>
      </w:r>
    </w:p>
    <w:p w14:paraId="08231491" w14:textId="77777777" w:rsidR="0096391E" w:rsidRPr="005B024E" w:rsidRDefault="0096391E" w:rsidP="000E36F6">
      <w:pPr>
        <w:pStyle w:val="TableFigureFooter"/>
        <w:keepNext/>
        <w:keepLines/>
      </w:pPr>
      <w:r w:rsidRPr="005B024E">
        <w:t xml:space="preserve">AE = adverse events, CI = confidence interval; ITT = intention-to-treat; IPI = international prognostic index; NR = not reported; Pola = polatuzumab vedotin; R-CHOP = rituximab plus cyclophosphamide, doxorubicin, vincristine and prednisone; R-CHP = rituximab plus cyclophosphamide, doxorubicin and prednisone; SAE = serious adverse events; RR = relative risk; bold = statistically significant at p &lt;0.05. </w:t>
      </w:r>
    </w:p>
    <w:p w14:paraId="36D91851" w14:textId="4B40A84E" w:rsidR="007420DF" w:rsidRPr="00E1521D" w:rsidRDefault="007420DF" w:rsidP="00E1521D">
      <w:pPr>
        <w:pStyle w:val="3-BodyText"/>
        <w:ind w:left="720"/>
        <w:rPr>
          <w:iCs/>
        </w:rPr>
      </w:pPr>
      <w:r w:rsidRPr="00E1521D">
        <w:rPr>
          <w:iCs/>
        </w:rPr>
        <w:t xml:space="preserve">The safety profile of Pola+R-CHP was comparable to R-CHOP, with a similar incidence of any AEs, Grade 3-5 AEs, serious AEs, AEs leading to discontinuation and AEs leading to any study dose interruption. The submission stated that the </w:t>
      </w:r>
      <w:r w:rsidR="008A7D44" w:rsidRPr="00E1521D">
        <w:rPr>
          <w:iCs/>
        </w:rPr>
        <w:t xml:space="preserve">higher incidence of serious neutropenia events (i.e. febrile neutropenia) likely explained the </w:t>
      </w:r>
      <w:r w:rsidRPr="00E1521D">
        <w:rPr>
          <w:iCs/>
        </w:rPr>
        <w:t>higher rates of infections observed in the Pola+R-CHP arm. Overall, the safety outcomes reported in POLARIX were consistent with the known safety profiles of individual agents for Pola+R-CHP and R-CHOP.</w:t>
      </w:r>
    </w:p>
    <w:p w14:paraId="601302C8" w14:textId="77777777" w:rsidR="00F811DD" w:rsidRPr="005B024E" w:rsidRDefault="00F811DD" w:rsidP="00F811DD">
      <w:pPr>
        <w:pStyle w:val="4-SubsectionHeading"/>
      </w:pPr>
      <w:bookmarkStart w:id="35" w:name="_Toc22897643"/>
      <w:bookmarkStart w:id="36" w:name="_Toc113975481"/>
      <w:r w:rsidRPr="005B024E">
        <w:lastRenderedPageBreak/>
        <w:t>Benefits/harms</w:t>
      </w:r>
      <w:bookmarkEnd w:id="35"/>
      <w:bookmarkEnd w:id="36"/>
    </w:p>
    <w:p w14:paraId="79D13C64" w14:textId="02957C34" w:rsidR="00F811DD" w:rsidRPr="00E1521D" w:rsidRDefault="00F811DD" w:rsidP="00E1521D">
      <w:pPr>
        <w:pStyle w:val="3-BodyText"/>
        <w:ind w:left="720"/>
        <w:rPr>
          <w:b/>
          <w:iCs/>
        </w:rPr>
      </w:pPr>
      <w:bookmarkStart w:id="37" w:name="_Hlk116560998"/>
      <w:r w:rsidRPr="00E1521D">
        <w:rPr>
          <w:iCs/>
        </w:rPr>
        <w:t xml:space="preserve">A summary of the comparative benefits and harms for </w:t>
      </w:r>
      <w:r w:rsidR="00FD5C2D" w:rsidRPr="00E1521D">
        <w:rPr>
          <w:iCs/>
        </w:rPr>
        <w:t>Pola+R-CHP</w:t>
      </w:r>
      <w:r w:rsidRPr="00E1521D">
        <w:rPr>
          <w:iCs/>
        </w:rPr>
        <w:t xml:space="preserve"> versus </w:t>
      </w:r>
      <w:r w:rsidR="00FD5C2D" w:rsidRPr="00E1521D">
        <w:rPr>
          <w:iCs/>
        </w:rPr>
        <w:t>R-CHOP</w:t>
      </w:r>
      <w:r w:rsidRPr="00E1521D">
        <w:rPr>
          <w:iCs/>
        </w:rPr>
        <w:t xml:space="preserve"> </w:t>
      </w:r>
      <w:r w:rsidR="00BB4E51" w:rsidRPr="00E1521D">
        <w:rPr>
          <w:iCs/>
        </w:rPr>
        <w:t>in</w:t>
      </w:r>
      <w:r w:rsidR="007E1F4E" w:rsidRPr="00E1521D">
        <w:rPr>
          <w:iCs/>
        </w:rPr>
        <w:t xml:space="preserve"> the ITT population (IPI 2-5) </w:t>
      </w:r>
      <w:r w:rsidRPr="00E1521D">
        <w:rPr>
          <w:iCs/>
        </w:rPr>
        <w:t xml:space="preserve">is presented in </w:t>
      </w:r>
      <w:r w:rsidRPr="00E1521D">
        <w:rPr>
          <w:iCs/>
        </w:rPr>
        <w:fldChar w:fldCharType="begin"/>
      </w:r>
      <w:r w:rsidRPr="00E1521D">
        <w:rPr>
          <w:iCs/>
        </w:rPr>
        <w:instrText xml:space="preserve"> REF _Ref104805037 \h </w:instrText>
      </w:r>
      <w:r w:rsidR="00E1521D">
        <w:rPr>
          <w:iCs/>
        </w:rPr>
        <w:instrText xml:space="preserve"> \* MERGEFORMAT </w:instrText>
      </w:r>
      <w:r w:rsidRPr="00E1521D">
        <w:rPr>
          <w:iCs/>
        </w:rPr>
      </w:r>
      <w:r w:rsidRPr="00E1521D">
        <w:rPr>
          <w:iCs/>
        </w:rPr>
        <w:fldChar w:fldCharType="separate"/>
      </w:r>
      <w:r w:rsidR="007F2580" w:rsidRPr="007F2580">
        <w:rPr>
          <w:iCs/>
        </w:rPr>
        <w:t>Table 6</w:t>
      </w:r>
      <w:r w:rsidRPr="00E1521D">
        <w:rPr>
          <w:iCs/>
        </w:rPr>
        <w:fldChar w:fldCharType="end"/>
      </w:r>
      <w:r w:rsidRPr="00E1521D">
        <w:rPr>
          <w:iCs/>
        </w:rPr>
        <w:t>.</w:t>
      </w:r>
    </w:p>
    <w:p w14:paraId="6B06D040" w14:textId="2E4E559A" w:rsidR="00F811DD" w:rsidRPr="005B024E" w:rsidRDefault="00F811DD" w:rsidP="00F811DD">
      <w:pPr>
        <w:pStyle w:val="Caption"/>
        <w:rPr>
          <w:rStyle w:val="CommentReference"/>
          <w:b/>
          <w:szCs w:val="24"/>
        </w:rPr>
      </w:pPr>
      <w:bookmarkStart w:id="38" w:name="_Ref104805037"/>
      <w:bookmarkEnd w:id="37"/>
      <w:r w:rsidRPr="005B024E">
        <w:t xml:space="preserve">Table </w:t>
      </w:r>
      <w:r w:rsidR="007F2580">
        <w:fldChar w:fldCharType="begin"/>
      </w:r>
      <w:r w:rsidR="007F2580">
        <w:instrText xml:space="preserve"> SEQ Table \* ARABIC </w:instrText>
      </w:r>
      <w:r w:rsidR="007F2580">
        <w:fldChar w:fldCharType="separate"/>
      </w:r>
      <w:r w:rsidR="007F2580">
        <w:rPr>
          <w:noProof/>
        </w:rPr>
        <w:t>6</w:t>
      </w:r>
      <w:r w:rsidR="007F2580">
        <w:rPr>
          <w:noProof/>
        </w:rPr>
        <w:fldChar w:fldCharType="end"/>
      </w:r>
      <w:bookmarkEnd w:id="38"/>
      <w:r w:rsidRPr="005B024E">
        <w:t xml:space="preserve">: </w:t>
      </w:r>
      <w:r w:rsidRPr="005B024E">
        <w:rPr>
          <w:rStyle w:val="CommentReference"/>
          <w:b/>
          <w:szCs w:val="24"/>
        </w:rPr>
        <w:t xml:space="preserve">Summary of comparative benefits and harms </w:t>
      </w:r>
      <w:r w:rsidR="00AA2FCA" w:rsidRPr="005B024E">
        <w:rPr>
          <w:rStyle w:val="CommentReference"/>
          <w:b/>
          <w:szCs w:val="24"/>
        </w:rPr>
        <w:t>for Pola + R-CHP and R-CHOP</w:t>
      </w:r>
      <w:r w:rsidR="00B20F7B" w:rsidRPr="005B024E">
        <w:rPr>
          <w:rStyle w:val="CommentReference"/>
          <w:b/>
          <w:szCs w:val="24"/>
        </w:rPr>
        <w:t xml:space="preserve"> – ITT</w:t>
      </w:r>
      <w:r w:rsidR="00BB4E51" w:rsidRPr="005B024E">
        <w:rPr>
          <w:rStyle w:val="CommentReference"/>
          <w:b/>
          <w:szCs w:val="24"/>
        </w:rPr>
        <w:t>/safety</w:t>
      </w:r>
      <w:r w:rsidR="00B20F7B" w:rsidRPr="005B024E">
        <w:rPr>
          <w:rStyle w:val="CommentReference"/>
          <w:b/>
          <w:szCs w:val="24"/>
        </w:rPr>
        <w:t xml:space="preserve"> population </w:t>
      </w:r>
    </w:p>
    <w:tbl>
      <w:tblPr>
        <w:tblStyle w:val="TableGrid"/>
        <w:tblW w:w="5000" w:type="pct"/>
        <w:tblLayout w:type="fixed"/>
        <w:tblCellMar>
          <w:left w:w="28" w:type="dxa"/>
          <w:right w:w="28" w:type="dxa"/>
        </w:tblCellMar>
        <w:tblLook w:val="04A0" w:firstRow="1" w:lastRow="0" w:firstColumn="1" w:lastColumn="0" w:noHBand="0" w:noVBand="1"/>
      </w:tblPr>
      <w:tblGrid>
        <w:gridCol w:w="2407"/>
        <w:gridCol w:w="1698"/>
        <w:gridCol w:w="1701"/>
        <w:gridCol w:w="1986"/>
        <w:gridCol w:w="1225"/>
      </w:tblGrid>
      <w:tr w:rsidR="00BB4E51" w:rsidRPr="000160B2" w14:paraId="2714C7FB" w14:textId="77777777" w:rsidTr="00BB4E51">
        <w:trPr>
          <w:trHeight w:val="20"/>
        </w:trPr>
        <w:tc>
          <w:tcPr>
            <w:tcW w:w="1335" w:type="pct"/>
            <w:tcBorders>
              <w:bottom w:val="single" w:sz="4" w:space="0" w:color="auto"/>
            </w:tcBorders>
            <w:shd w:val="clear" w:color="auto" w:fill="auto"/>
          </w:tcPr>
          <w:p w14:paraId="43AD9386" w14:textId="77777777" w:rsidR="00AA2FCA" w:rsidRPr="000160B2" w:rsidRDefault="00AA2FCA" w:rsidP="007E1F4E">
            <w:pPr>
              <w:pStyle w:val="In-tableHeading"/>
              <w:keepNext w:val="0"/>
              <w:rPr>
                <w:szCs w:val="20"/>
                <w:lang w:val="en-AU"/>
              </w:rPr>
            </w:pPr>
            <w:r w:rsidRPr="000160B2">
              <w:rPr>
                <w:szCs w:val="20"/>
                <w:lang w:val="en-AU"/>
              </w:rPr>
              <w:t>Event</w:t>
            </w:r>
          </w:p>
        </w:tc>
        <w:tc>
          <w:tcPr>
            <w:tcW w:w="942" w:type="pct"/>
            <w:tcBorders>
              <w:bottom w:val="single" w:sz="4" w:space="0" w:color="auto"/>
            </w:tcBorders>
            <w:shd w:val="clear" w:color="auto" w:fill="auto"/>
            <w:vAlign w:val="center"/>
          </w:tcPr>
          <w:p w14:paraId="75014BED" w14:textId="6D98E54D" w:rsidR="00AA2FCA" w:rsidRPr="000160B2" w:rsidRDefault="00AA2FCA" w:rsidP="007E1F4E">
            <w:pPr>
              <w:pStyle w:val="In-tableHeading"/>
              <w:keepNext w:val="0"/>
              <w:jc w:val="center"/>
              <w:rPr>
                <w:szCs w:val="20"/>
                <w:lang w:val="en-AU"/>
              </w:rPr>
            </w:pPr>
            <w:r w:rsidRPr="000160B2">
              <w:rPr>
                <w:szCs w:val="20"/>
                <w:lang w:val="en-AU"/>
              </w:rPr>
              <w:t>Pola + R-CHP</w:t>
            </w:r>
          </w:p>
        </w:tc>
        <w:tc>
          <w:tcPr>
            <w:tcW w:w="943" w:type="pct"/>
            <w:tcBorders>
              <w:bottom w:val="single" w:sz="4" w:space="0" w:color="auto"/>
            </w:tcBorders>
            <w:shd w:val="clear" w:color="auto" w:fill="auto"/>
            <w:vAlign w:val="center"/>
          </w:tcPr>
          <w:p w14:paraId="4DCAB18B" w14:textId="5E071C94" w:rsidR="00AA2FCA" w:rsidRPr="000160B2" w:rsidRDefault="00AA2FCA" w:rsidP="007E1F4E">
            <w:pPr>
              <w:pStyle w:val="In-tableHeading"/>
              <w:keepNext w:val="0"/>
              <w:jc w:val="center"/>
              <w:rPr>
                <w:szCs w:val="20"/>
                <w:lang w:val="en-AU"/>
              </w:rPr>
            </w:pPr>
            <w:r w:rsidRPr="000160B2">
              <w:rPr>
                <w:szCs w:val="20"/>
                <w:lang w:val="en-AU"/>
              </w:rPr>
              <w:t>R-CHOP</w:t>
            </w:r>
          </w:p>
        </w:tc>
        <w:tc>
          <w:tcPr>
            <w:tcW w:w="1101" w:type="pct"/>
            <w:tcBorders>
              <w:bottom w:val="single" w:sz="4" w:space="0" w:color="auto"/>
            </w:tcBorders>
            <w:shd w:val="clear" w:color="auto" w:fill="auto"/>
          </w:tcPr>
          <w:p w14:paraId="7409F171" w14:textId="77777777" w:rsidR="00AA2FCA" w:rsidRPr="000160B2" w:rsidRDefault="00AA2FCA" w:rsidP="007E1F4E">
            <w:pPr>
              <w:pStyle w:val="In-tableHeading"/>
              <w:keepNext w:val="0"/>
              <w:jc w:val="center"/>
              <w:rPr>
                <w:rFonts w:asciiTheme="minorHAnsi" w:hAnsiTheme="minorHAnsi"/>
                <w:szCs w:val="20"/>
                <w:lang w:val="en-AU"/>
              </w:rPr>
            </w:pPr>
            <w:r w:rsidRPr="000160B2">
              <w:rPr>
                <w:szCs w:val="20"/>
                <w:lang w:val="en-AU"/>
              </w:rPr>
              <w:t>Absolute Difference</w:t>
            </w:r>
          </w:p>
        </w:tc>
        <w:tc>
          <w:tcPr>
            <w:tcW w:w="679" w:type="pct"/>
            <w:tcBorders>
              <w:bottom w:val="single" w:sz="4" w:space="0" w:color="auto"/>
            </w:tcBorders>
            <w:shd w:val="clear" w:color="auto" w:fill="auto"/>
          </w:tcPr>
          <w:p w14:paraId="3C8074FC" w14:textId="77777777" w:rsidR="00AA2FCA" w:rsidRPr="000160B2" w:rsidRDefault="00AA2FCA" w:rsidP="007E1F4E">
            <w:pPr>
              <w:pStyle w:val="In-tableHeading"/>
              <w:keepNext w:val="0"/>
              <w:jc w:val="center"/>
              <w:rPr>
                <w:szCs w:val="20"/>
                <w:lang w:val="en-AU"/>
              </w:rPr>
            </w:pPr>
            <w:r w:rsidRPr="000160B2">
              <w:rPr>
                <w:szCs w:val="20"/>
                <w:lang w:val="en-AU"/>
              </w:rPr>
              <w:t>HR (95% CI)</w:t>
            </w:r>
          </w:p>
        </w:tc>
      </w:tr>
      <w:tr w:rsidR="00047295" w:rsidRPr="000160B2" w14:paraId="02A349BA" w14:textId="77777777" w:rsidTr="00BB4E51">
        <w:trPr>
          <w:trHeight w:val="20"/>
        </w:trPr>
        <w:tc>
          <w:tcPr>
            <w:tcW w:w="5000" w:type="pct"/>
            <w:gridSpan w:val="5"/>
            <w:tcBorders>
              <w:bottom w:val="double" w:sz="4" w:space="0" w:color="auto"/>
            </w:tcBorders>
            <w:shd w:val="clear" w:color="auto" w:fill="auto"/>
            <w:vAlign w:val="center"/>
          </w:tcPr>
          <w:p w14:paraId="34F6FF0C" w14:textId="206205F2" w:rsidR="00047295" w:rsidRPr="000160B2" w:rsidRDefault="00BB4E51" w:rsidP="007E1F4E">
            <w:pPr>
              <w:pStyle w:val="In-tableHeading"/>
              <w:keepNext w:val="0"/>
              <w:rPr>
                <w:szCs w:val="20"/>
                <w:lang w:val="en-AU"/>
              </w:rPr>
            </w:pPr>
            <w:r w:rsidRPr="000160B2">
              <w:rPr>
                <w:szCs w:val="20"/>
                <w:lang w:val="en-AU"/>
              </w:rPr>
              <w:t>Benefits</w:t>
            </w:r>
          </w:p>
        </w:tc>
      </w:tr>
      <w:tr w:rsidR="0075327C" w:rsidRPr="000160B2" w14:paraId="0FF3C14B" w14:textId="77777777" w:rsidTr="00BB4E51">
        <w:trPr>
          <w:trHeight w:val="20"/>
        </w:trPr>
        <w:tc>
          <w:tcPr>
            <w:tcW w:w="5000" w:type="pct"/>
            <w:gridSpan w:val="5"/>
            <w:tcBorders>
              <w:top w:val="double" w:sz="4" w:space="0" w:color="auto"/>
              <w:bottom w:val="single" w:sz="4" w:space="0" w:color="auto"/>
            </w:tcBorders>
            <w:shd w:val="clear" w:color="auto" w:fill="auto"/>
            <w:vAlign w:val="center"/>
          </w:tcPr>
          <w:p w14:paraId="5F064E39" w14:textId="6881FE9D" w:rsidR="0075327C" w:rsidRPr="000160B2" w:rsidRDefault="0075327C" w:rsidP="007E1F4E">
            <w:pPr>
              <w:pStyle w:val="In-tableHeading"/>
              <w:keepNext w:val="0"/>
              <w:rPr>
                <w:szCs w:val="20"/>
                <w:lang w:val="en-AU"/>
              </w:rPr>
            </w:pPr>
            <w:r w:rsidRPr="000160B2">
              <w:rPr>
                <w:szCs w:val="20"/>
                <w:lang w:val="en-AU"/>
              </w:rPr>
              <w:t xml:space="preserve">Progression free survival (median duration of follow up </w:t>
            </w:r>
            <w:r w:rsidR="007E5A7F" w:rsidRPr="000160B2">
              <w:rPr>
                <w:szCs w:val="20"/>
                <w:lang w:val="en-AU"/>
              </w:rPr>
              <w:t>28.2 months</w:t>
            </w:r>
            <w:r w:rsidRPr="000160B2">
              <w:rPr>
                <w:szCs w:val="20"/>
                <w:lang w:val="en-AU"/>
              </w:rPr>
              <w:t xml:space="preserve"> months)</w:t>
            </w:r>
          </w:p>
        </w:tc>
      </w:tr>
      <w:tr w:rsidR="00BB4E51" w:rsidRPr="000160B2" w14:paraId="3E7B72A7" w14:textId="77777777" w:rsidTr="00BB4E51">
        <w:trPr>
          <w:trHeight w:val="20"/>
        </w:trPr>
        <w:tc>
          <w:tcPr>
            <w:tcW w:w="1335" w:type="pct"/>
            <w:tcBorders>
              <w:bottom w:val="single" w:sz="4" w:space="0" w:color="auto"/>
              <w:right w:val="single" w:sz="4" w:space="0" w:color="auto"/>
            </w:tcBorders>
            <w:shd w:val="clear" w:color="auto" w:fill="auto"/>
          </w:tcPr>
          <w:p w14:paraId="6348B941" w14:textId="0175A508" w:rsidR="0075327C" w:rsidRPr="000160B2" w:rsidRDefault="0075327C" w:rsidP="007E1F4E">
            <w:pPr>
              <w:pStyle w:val="TableText0"/>
              <w:keepNext w:val="0"/>
              <w:keepLines/>
              <w:widowControl w:val="0"/>
              <w:rPr>
                <w:szCs w:val="20"/>
              </w:rPr>
            </w:pPr>
            <w:r w:rsidRPr="000160B2">
              <w:rPr>
                <w:szCs w:val="20"/>
              </w:rPr>
              <w:t>Progressed, n/N (%)</w:t>
            </w:r>
          </w:p>
        </w:tc>
        <w:tc>
          <w:tcPr>
            <w:tcW w:w="942" w:type="pct"/>
            <w:tcBorders>
              <w:left w:val="single" w:sz="4" w:space="0" w:color="auto"/>
              <w:bottom w:val="single" w:sz="4" w:space="0" w:color="auto"/>
              <w:right w:val="single" w:sz="4" w:space="0" w:color="auto"/>
            </w:tcBorders>
            <w:shd w:val="clear" w:color="auto" w:fill="auto"/>
            <w:vAlign w:val="center"/>
          </w:tcPr>
          <w:p w14:paraId="77F7E0FB" w14:textId="47190B0B" w:rsidR="0075327C" w:rsidRPr="000160B2" w:rsidRDefault="0075327C" w:rsidP="007E1F4E">
            <w:pPr>
              <w:pStyle w:val="TableText0"/>
              <w:keepNext w:val="0"/>
              <w:keepLines/>
              <w:widowControl w:val="0"/>
              <w:jc w:val="center"/>
              <w:rPr>
                <w:szCs w:val="20"/>
              </w:rPr>
            </w:pPr>
            <w:r w:rsidRPr="000160B2">
              <w:rPr>
                <w:szCs w:val="20"/>
              </w:rPr>
              <w:t>107/440 (24.3)</w:t>
            </w:r>
          </w:p>
        </w:tc>
        <w:tc>
          <w:tcPr>
            <w:tcW w:w="943" w:type="pct"/>
            <w:tcBorders>
              <w:left w:val="single" w:sz="4" w:space="0" w:color="auto"/>
              <w:bottom w:val="single" w:sz="4" w:space="0" w:color="auto"/>
              <w:right w:val="single" w:sz="4" w:space="0" w:color="auto"/>
            </w:tcBorders>
            <w:shd w:val="clear" w:color="auto" w:fill="auto"/>
            <w:vAlign w:val="center"/>
          </w:tcPr>
          <w:p w14:paraId="7B7EEC60" w14:textId="1DBCEAC4" w:rsidR="0075327C" w:rsidRPr="000160B2" w:rsidRDefault="0075327C" w:rsidP="007E1F4E">
            <w:pPr>
              <w:pStyle w:val="TableText0"/>
              <w:keepNext w:val="0"/>
              <w:keepLines/>
              <w:widowControl w:val="0"/>
              <w:jc w:val="center"/>
              <w:rPr>
                <w:szCs w:val="20"/>
              </w:rPr>
            </w:pPr>
            <w:r w:rsidRPr="000160B2">
              <w:rPr>
                <w:szCs w:val="20"/>
              </w:rPr>
              <w:t>134/439 (30.5)</w:t>
            </w:r>
          </w:p>
        </w:tc>
        <w:tc>
          <w:tcPr>
            <w:tcW w:w="1101" w:type="pct"/>
            <w:tcBorders>
              <w:left w:val="single" w:sz="4" w:space="0" w:color="auto"/>
              <w:bottom w:val="single" w:sz="4" w:space="0" w:color="auto"/>
              <w:right w:val="single" w:sz="4" w:space="0" w:color="auto"/>
            </w:tcBorders>
            <w:shd w:val="clear" w:color="auto" w:fill="auto"/>
            <w:vAlign w:val="center"/>
          </w:tcPr>
          <w:p w14:paraId="4F3F0DFE" w14:textId="1B8AAAC6" w:rsidR="0075327C" w:rsidRPr="000160B2" w:rsidRDefault="0075327C" w:rsidP="007E1F4E">
            <w:pPr>
              <w:pStyle w:val="TableText0"/>
              <w:keepNext w:val="0"/>
              <w:keepLines/>
              <w:widowControl w:val="0"/>
              <w:jc w:val="center"/>
              <w:rPr>
                <w:szCs w:val="20"/>
              </w:rPr>
            </w:pPr>
          </w:p>
        </w:tc>
        <w:tc>
          <w:tcPr>
            <w:tcW w:w="679" w:type="pct"/>
            <w:vMerge w:val="restart"/>
            <w:tcBorders>
              <w:left w:val="single" w:sz="4" w:space="0" w:color="auto"/>
            </w:tcBorders>
            <w:shd w:val="clear" w:color="auto" w:fill="auto"/>
            <w:vAlign w:val="center"/>
          </w:tcPr>
          <w:p w14:paraId="058E4861" w14:textId="375F6AD8" w:rsidR="0075327C" w:rsidRPr="000160B2" w:rsidRDefault="0075327C" w:rsidP="007E1F4E">
            <w:pPr>
              <w:pStyle w:val="TableText0"/>
              <w:keepNext w:val="0"/>
              <w:keepLines/>
              <w:widowControl w:val="0"/>
              <w:jc w:val="center"/>
              <w:rPr>
                <w:b/>
                <w:szCs w:val="20"/>
              </w:rPr>
            </w:pPr>
            <w:r w:rsidRPr="000160B2">
              <w:rPr>
                <w:b/>
                <w:szCs w:val="20"/>
              </w:rPr>
              <w:t>0.73 (0.57,0.95)</w:t>
            </w:r>
          </w:p>
        </w:tc>
      </w:tr>
      <w:tr w:rsidR="00BB4E51" w:rsidRPr="000160B2" w14:paraId="1BDE0AB8" w14:textId="77777777" w:rsidTr="00BB4E51">
        <w:trPr>
          <w:trHeight w:val="20"/>
        </w:trPr>
        <w:tc>
          <w:tcPr>
            <w:tcW w:w="1335" w:type="pct"/>
            <w:tcBorders>
              <w:bottom w:val="single" w:sz="4" w:space="0" w:color="auto"/>
              <w:right w:val="single" w:sz="4" w:space="0" w:color="auto"/>
            </w:tcBorders>
            <w:shd w:val="clear" w:color="auto" w:fill="auto"/>
          </w:tcPr>
          <w:p w14:paraId="20EA3A1A" w14:textId="77777777" w:rsidR="0075327C" w:rsidRPr="000160B2" w:rsidRDefault="0075327C" w:rsidP="007E1F4E">
            <w:pPr>
              <w:pStyle w:val="TableText0"/>
              <w:keepNext w:val="0"/>
              <w:keepLines/>
              <w:widowControl w:val="0"/>
              <w:rPr>
                <w:szCs w:val="20"/>
              </w:rPr>
            </w:pPr>
            <w:r w:rsidRPr="000160B2">
              <w:rPr>
                <w:szCs w:val="20"/>
              </w:rPr>
              <w:t>Median PFS, months (95% CI)</w:t>
            </w:r>
          </w:p>
        </w:tc>
        <w:tc>
          <w:tcPr>
            <w:tcW w:w="942" w:type="pct"/>
            <w:tcBorders>
              <w:left w:val="single" w:sz="4" w:space="0" w:color="auto"/>
              <w:bottom w:val="single" w:sz="4" w:space="0" w:color="auto"/>
              <w:right w:val="single" w:sz="4" w:space="0" w:color="auto"/>
            </w:tcBorders>
            <w:shd w:val="clear" w:color="auto" w:fill="auto"/>
          </w:tcPr>
          <w:p w14:paraId="54C3AB38" w14:textId="23AB588C" w:rsidR="0075327C" w:rsidRPr="000160B2" w:rsidRDefault="00BB4E51" w:rsidP="007E1F4E">
            <w:pPr>
              <w:pStyle w:val="TableText0"/>
              <w:keepNext w:val="0"/>
              <w:keepLines/>
              <w:widowControl w:val="0"/>
              <w:jc w:val="center"/>
              <w:rPr>
                <w:rFonts w:cs="Times New Roman"/>
                <w:szCs w:val="20"/>
              </w:rPr>
            </w:pPr>
            <w:r w:rsidRPr="000160B2">
              <w:rPr>
                <w:szCs w:val="20"/>
              </w:rPr>
              <w:t>33 (33.3,</w:t>
            </w:r>
            <w:r w:rsidR="00731230">
              <w:rPr>
                <w:szCs w:val="20"/>
              </w:rPr>
              <w:t xml:space="preserve"> </w:t>
            </w:r>
            <w:r w:rsidR="0075327C" w:rsidRPr="000160B2">
              <w:rPr>
                <w:szCs w:val="20"/>
              </w:rPr>
              <w:t>NE)</w:t>
            </w:r>
          </w:p>
        </w:tc>
        <w:tc>
          <w:tcPr>
            <w:tcW w:w="943" w:type="pct"/>
            <w:tcBorders>
              <w:left w:val="single" w:sz="4" w:space="0" w:color="auto"/>
              <w:bottom w:val="single" w:sz="4" w:space="0" w:color="auto"/>
              <w:right w:val="single" w:sz="4" w:space="0" w:color="auto"/>
            </w:tcBorders>
            <w:shd w:val="clear" w:color="auto" w:fill="auto"/>
          </w:tcPr>
          <w:p w14:paraId="718C70E3" w14:textId="5078AE12" w:rsidR="0075327C" w:rsidRPr="000160B2" w:rsidRDefault="0075327C" w:rsidP="007E1F4E">
            <w:pPr>
              <w:pStyle w:val="TableText0"/>
              <w:keepNext w:val="0"/>
              <w:keepLines/>
              <w:widowControl w:val="0"/>
              <w:jc w:val="center"/>
              <w:rPr>
                <w:rFonts w:cs="Times New Roman"/>
                <w:szCs w:val="20"/>
              </w:rPr>
            </w:pPr>
            <w:r w:rsidRPr="000160B2">
              <w:rPr>
                <w:szCs w:val="20"/>
              </w:rPr>
              <w:t>NE</w:t>
            </w:r>
          </w:p>
        </w:tc>
        <w:tc>
          <w:tcPr>
            <w:tcW w:w="1101" w:type="pct"/>
            <w:tcBorders>
              <w:left w:val="single" w:sz="4" w:space="0" w:color="auto"/>
              <w:bottom w:val="single" w:sz="4" w:space="0" w:color="auto"/>
              <w:right w:val="single" w:sz="4" w:space="0" w:color="auto"/>
            </w:tcBorders>
            <w:shd w:val="clear" w:color="auto" w:fill="auto"/>
            <w:vAlign w:val="center"/>
          </w:tcPr>
          <w:p w14:paraId="33D3A3BC" w14:textId="1E763C1B" w:rsidR="0075327C" w:rsidRPr="000160B2" w:rsidRDefault="0075327C" w:rsidP="007E1F4E">
            <w:pPr>
              <w:pStyle w:val="TableText0"/>
              <w:keepNext w:val="0"/>
              <w:keepLines/>
              <w:widowControl w:val="0"/>
              <w:jc w:val="center"/>
              <w:rPr>
                <w:szCs w:val="20"/>
              </w:rPr>
            </w:pPr>
            <w:r w:rsidRPr="000160B2">
              <w:rPr>
                <w:szCs w:val="20"/>
              </w:rPr>
              <w:t>NE</w:t>
            </w:r>
          </w:p>
        </w:tc>
        <w:tc>
          <w:tcPr>
            <w:tcW w:w="679" w:type="pct"/>
            <w:vMerge/>
            <w:tcBorders>
              <w:left w:val="single" w:sz="4" w:space="0" w:color="auto"/>
            </w:tcBorders>
            <w:shd w:val="clear" w:color="auto" w:fill="auto"/>
          </w:tcPr>
          <w:p w14:paraId="593D3318" w14:textId="77777777" w:rsidR="0075327C" w:rsidRPr="000160B2" w:rsidRDefault="0075327C" w:rsidP="007E1F4E">
            <w:pPr>
              <w:pStyle w:val="TableText0"/>
              <w:keepNext w:val="0"/>
              <w:keepLines/>
              <w:widowControl w:val="0"/>
              <w:jc w:val="center"/>
              <w:rPr>
                <w:szCs w:val="20"/>
              </w:rPr>
            </w:pPr>
          </w:p>
        </w:tc>
      </w:tr>
      <w:tr w:rsidR="00BB4E51" w:rsidRPr="000160B2" w14:paraId="741F7AA7" w14:textId="77777777" w:rsidTr="00BB4E51">
        <w:trPr>
          <w:trHeight w:val="55"/>
        </w:trPr>
        <w:tc>
          <w:tcPr>
            <w:tcW w:w="1335" w:type="pct"/>
            <w:tcBorders>
              <w:top w:val="single" w:sz="4" w:space="0" w:color="auto"/>
              <w:bottom w:val="single" w:sz="4" w:space="0" w:color="auto"/>
              <w:right w:val="single" w:sz="4" w:space="0" w:color="auto"/>
            </w:tcBorders>
            <w:shd w:val="clear" w:color="auto" w:fill="auto"/>
          </w:tcPr>
          <w:p w14:paraId="304DF702" w14:textId="46424469" w:rsidR="0075327C" w:rsidRPr="000160B2" w:rsidRDefault="007E1F4E" w:rsidP="007E1F4E">
            <w:pPr>
              <w:pStyle w:val="TableText0"/>
              <w:keepNext w:val="0"/>
              <w:keepLines/>
              <w:widowControl w:val="0"/>
              <w:rPr>
                <w:szCs w:val="20"/>
              </w:rPr>
            </w:pPr>
            <w:r w:rsidRPr="000160B2">
              <w:rPr>
                <w:szCs w:val="20"/>
              </w:rPr>
              <w:t>PFS</w:t>
            </w:r>
            <w:r w:rsidR="0075327C" w:rsidRPr="000160B2">
              <w:rPr>
                <w:szCs w:val="20"/>
              </w:rPr>
              <w:t xml:space="preserve"> at 24 months</w:t>
            </w:r>
            <w:r w:rsidRPr="000160B2">
              <w:rPr>
                <w:szCs w:val="20"/>
              </w:rPr>
              <w:t>, %</w:t>
            </w:r>
            <w:r w:rsidR="0075327C" w:rsidRPr="000160B2">
              <w:rPr>
                <w:szCs w:val="20"/>
              </w:rPr>
              <w:t xml:space="preserve"> (95% CI)</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A09CA1D" w14:textId="3B358639" w:rsidR="0075327C" w:rsidRPr="000160B2" w:rsidRDefault="0075327C" w:rsidP="007E1F4E">
            <w:pPr>
              <w:pStyle w:val="TableText0"/>
              <w:keepNext w:val="0"/>
              <w:keepLines/>
              <w:widowControl w:val="0"/>
              <w:jc w:val="center"/>
              <w:rPr>
                <w:szCs w:val="20"/>
              </w:rPr>
            </w:pPr>
            <w:r w:rsidRPr="000160B2">
              <w:rPr>
                <w:szCs w:val="20"/>
              </w:rPr>
              <w:t xml:space="preserve">76.71% </w:t>
            </w:r>
            <w:r w:rsidR="00BB4E51" w:rsidRPr="000160B2">
              <w:rPr>
                <w:szCs w:val="20"/>
              </w:rPr>
              <w:t>(72.65,</w:t>
            </w:r>
            <w:r w:rsidRPr="000160B2">
              <w:rPr>
                <w:szCs w:val="20"/>
              </w:rPr>
              <w:t>80.76)</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249B91D4" w14:textId="38522FDB" w:rsidR="0075327C" w:rsidRPr="000160B2" w:rsidRDefault="0075327C" w:rsidP="007E1F4E">
            <w:pPr>
              <w:pStyle w:val="TableText0"/>
              <w:keepNext w:val="0"/>
              <w:keepLines/>
              <w:widowControl w:val="0"/>
              <w:jc w:val="center"/>
              <w:rPr>
                <w:szCs w:val="20"/>
              </w:rPr>
            </w:pPr>
            <w:r w:rsidRPr="000160B2">
              <w:rPr>
                <w:szCs w:val="20"/>
              </w:rPr>
              <w:t>70.20%</w:t>
            </w:r>
            <w:r w:rsidR="007E1F4E" w:rsidRPr="000160B2">
              <w:rPr>
                <w:szCs w:val="20"/>
              </w:rPr>
              <w:t xml:space="preserve"> </w:t>
            </w:r>
            <w:r w:rsidR="00BB4E51" w:rsidRPr="000160B2">
              <w:rPr>
                <w:szCs w:val="20"/>
              </w:rPr>
              <w:t>(65.80,</w:t>
            </w:r>
            <w:r w:rsidRPr="000160B2">
              <w:rPr>
                <w:szCs w:val="20"/>
              </w:rPr>
              <w:t>74.61)</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7F363CF1" w14:textId="540A362A" w:rsidR="0075327C" w:rsidRPr="000160B2" w:rsidRDefault="0075327C" w:rsidP="007E1F4E">
            <w:pPr>
              <w:pStyle w:val="TableText0"/>
              <w:keepNext w:val="0"/>
              <w:keepLines/>
              <w:widowControl w:val="0"/>
              <w:jc w:val="center"/>
              <w:rPr>
                <w:b/>
                <w:szCs w:val="20"/>
              </w:rPr>
            </w:pPr>
            <w:r w:rsidRPr="000160B2">
              <w:rPr>
                <w:b/>
                <w:szCs w:val="20"/>
              </w:rPr>
              <w:t>6.50</w:t>
            </w:r>
            <w:r w:rsidR="007E1F4E" w:rsidRPr="000160B2">
              <w:rPr>
                <w:b/>
                <w:szCs w:val="20"/>
              </w:rPr>
              <w:t>%</w:t>
            </w:r>
            <w:r w:rsidRPr="000160B2">
              <w:rPr>
                <w:b/>
                <w:szCs w:val="20"/>
              </w:rPr>
              <w:t xml:space="preserve"> (0.52,12.49)</w:t>
            </w:r>
          </w:p>
        </w:tc>
        <w:tc>
          <w:tcPr>
            <w:tcW w:w="679" w:type="pct"/>
            <w:vMerge/>
            <w:tcBorders>
              <w:left w:val="single" w:sz="4" w:space="0" w:color="auto"/>
              <w:bottom w:val="nil"/>
            </w:tcBorders>
            <w:shd w:val="clear" w:color="auto" w:fill="auto"/>
          </w:tcPr>
          <w:p w14:paraId="5ECCDBF7" w14:textId="77777777" w:rsidR="0075327C" w:rsidRPr="000160B2" w:rsidRDefault="0075327C" w:rsidP="007E1F4E">
            <w:pPr>
              <w:pStyle w:val="TableText0"/>
              <w:keepNext w:val="0"/>
              <w:keepLines/>
              <w:widowControl w:val="0"/>
              <w:jc w:val="center"/>
              <w:rPr>
                <w:szCs w:val="20"/>
              </w:rPr>
            </w:pPr>
          </w:p>
        </w:tc>
      </w:tr>
    </w:tbl>
    <w:tbl>
      <w:tblPr>
        <w:tblW w:w="5000" w:type="pct"/>
        <w:tblLayout w:type="fixed"/>
        <w:tblCellMar>
          <w:left w:w="28" w:type="dxa"/>
          <w:right w:w="28" w:type="dxa"/>
        </w:tblCellMar>
        <w:tblLook w:val="04A0" w:firstRow="1" w:lastRow="0" w:firstColumn="1" w:lastColumn="0" w:noHBand="0" w:noVBand="1"/>
      </w:tblPr>
      <w:tblGrid>
        <w:gridCol w:w="2406"/>
        <w:gridCol w:w="1133"/>
        <w:gridCol w:w="1134"/>
        <w:gridCol w:w="1134"/>
        <w:gridCol w:w="1134"/>
        <w:gridCol w:w="992"/>
        <w:gridCol w:w="1084"/>
      </w:tblGrid>
      <w:tr w:rsidR="00F811DD" w:rsidRPr="000160B2" w14:paraId="6C70841B" w14:textId="77777777" w:rsidTr="00F811DD">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3EDE2CFC" w14:textId="77777777" w:rsidR="00F811DD" w:rsidRPr="000160B2" w:rsidRDefault="00F811DD" w:rsidP="00F811DD">
            <w:pPr>
              <w:pStyle w:val="In-tableHeading"/>
              <w:rPr>
                <w:szCs w:val="20"/>
                <w:lang w:val="en-AU"/>
              </w:rPr>
            </w:pPr>
            <w:r w:rsidRPr="000160B2">
              <w:rPr>
                <w:szCs w:val="20"/>
                <w:lang w:val="en-AU"/>
              </w:rPr>
              <w:t xml:space="preserve">Harms </w:t>
            </w:r>
          </w:p>
        </w:tc>
      </w:tr>
      <w:tr w:rsidR="00BB4E51" w:rsidRPr="000160B2" w14:paraId="31CA43E8" w14:textId="77777777" w:rsidTr="000160B2">
        <w:trPr>
          <w:trHeight w:val="70"/>
        </w:trPr>
        <w:tc>
          <w:tcPr>
            <w:tcW w:w="13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88E15E" w14:textId="77371B81" w:rsidR="00AA6922" w:rsidRPr="000160B2" w:rsidRDefault="00AA6922" w:rsidP="00AA6922">
            <w:pPr>
              <w:pStyle w:val="In-tableHeading"/>
              <w:rPr>
                <w:szCs w:val="20"/>
                <w:lang w:val="en-AU"/>
              </w:rPr>
            </w:pPr>
          </w:p>
        </w:tc>
        <w:tc>
          <w:tcPr>
            <w:tcW w:w="628" w:type="pct"/>
            <w:vMerge w:val="restart"/>
            <w:tcBorders>
              <w:top w:val="single" w:sz="4" w:space="0" w:color="auto"/>
              <w:left w:val="single" w:sz="4" w:space="0" w:color="auto"/>
              <w:bottom w:val="single" w:sz="4" w:space="0" w:color="auto"/>
              <w:right w:val="single" w:sz="4" w:space="0" w:color="auto"/>
            </w:tcBorders>
            <w:vAlign w:val="center"/>
          </w:tcPr>
          <w:p w14:paraId="542B58B0" w14:textId="1BAE9CC9" w:rsidR="00AA6922" w:rsidRPr="000160B2" w:rsidRDefault="00AA6922" w:rsidP="00BB4E51">
            <w:pPr>
              <w:pStyle w:val="In-tableHeading"/>
              <w:jc w:val="center"/>
              <w:rPr>
                <w:strike/>
                <w:szCs w:val="20"/>
                <w:lang w:val="en-AU"/>
              </w:rPr>
            </w:pPr>
            <w:r w:rsidRPr="000160B2">
              <w:rPr>
                <w:szCs w:val="20"/>
                <w:lang w:val="en-AU"/>
              </w:rPr>
              <w:t>Pola+R-CHP</w:t>
            </w:r>
          </w:p>
        </w:tc>
        <w:tc>
          <w:tcPr>
            <w:tcW w:w="629" w:type="pct"/>
            <w:vMerge w:val="restart"/>
            <w:tcBorders>
              <w:top w:val="single" w:sz="4" w:space="0" w:color="auto"/>
              <w:left w:val="single" w:sz="4" w:space="0" w:color="auto"/>
              <w:bottom w:val="single" w:sz="4" w:space="0" w:color="auto"/>
              <w:right w:val="single" w:sz="4" w:space="0" w:color="auto"/>
            </w:tcBorders>
            <w:vAlign w:val="center"/>
          </w:tcPr>
          <w:p w14:paraId="561DF5C9" w14:textId="1EFF5B59" w:rsidR="00AA6922" w:rsidRPr="000160B2" w:rsidRDefault="00AA6922" w:rsidP="00AA6922">
            <w:pPr>
              <w:pStyle w:val="In-tableHeading"/>
              <w:jc w:val="center"/>
              <w:rPr>
                <w:strike/>
                <w:szCs w:val="20"/>
                <w:lang w:val="en-AU"/>
              </w:rPr>
            </w:pPr>
            <w:r w:rsidRPr="000160B2">
              <w:rPr>
                <w:szCs w:val="20"/>
                <w:lang w:val="en-AU"/>
              </w:rPr>
              <w:t>R-CHOP</w:t>
            </w:r>
          </w:p>
        </w:tc>
        <w:tc>
          <w:tcPr>
            <w:tcW w:w="629" w:type="pct"/>
            <w:vMerge w:val="restart"/>
            <w:tcBorders>
              <w:top w:val="single" w:sz="4" w:space="0" w:color="auto"/>
              <w:left w:val="single" w:sz="4" w:space="0" w:color="auto"/>
              <w:bottom w:val="single" w:sz="4" w:space="0" w:color="auto"/>
              <w:right w:val="single" w:sz="4" w:space="0" w:color="auto"/>
            </w:tcBorders>
            <w:vAlign w:val="center"/>
          </w:tcPr>
          <w:p w14:paraId="61CC5569" w14:textId="18BE43C2" w:rsidR="00AA6922" w:rsidRPr="000160B2" w:rsidRDefault="00AA6922" w:rsidP="00BB4E51">
            <w:pPr>
              <w:pStyle w:val="In-tableHeading"/>
              <w:jc w:val="center"/>
              <w:rPr>
                <w:szCs w:val="20"/>
                <w:lang w:val="en-AU"/>
              </w:rPr>
            </w:pPr>
            <w:r w:rsidRPr="000160B2">
              <w:rPr>
                <w:szCs w:val="20"/>
                <w:lang w:val="en-AU"/>
              </w:rPr>
              <w:t>RR</w:t>
            </w:r>
            <w:r w:rsidR="00BB4E51" w:rsidRPr="000160B2">
              <w:rPr>
                <w:szCs w:val="20"/>
                <w:lang w:val="en-AU"/>
              </w:rPr>
              <w:t xml:space="preserve"> </w:t>
            </w:r>
            <w:r w:rsidRPr="000160B2">
              <w:rPr>
                <w:szCs w:val="20"/>
                <w:lang w:val="en-AU"/>
              </w:rPr>
              <w:t>(95% CI)</w:t>
            </w:r>
          </w:p>
        </w:tc>
        <w:tc>
          <w:tcPr>
            <w:tcW w:w="1179" w:type="pct"/>
            <w:gridSpan w:val="2"/>
            <w:tcBorders>
              <w:top w:val="single" w:sz="4" w:space="0" w:color="auto"/>
              <w:left w:val="single" w:sz="4" w:space="0" w:color="auto"/>
              <w:bottom w:val="single" w:sz="4" w:space="0" w:color="auto"/>
              <w:right w:val="single" w:sz="4" w:space="0" w:color="auto"/>
            </w:tcBorders>
            <w:vAlign w:val="center"/>
          </w:tcPr>
          <w:p w14:paraId="76F584D8" w14:textId="77777777" w:rsidR="00AA6922" w:rsidRPr="000160B2" w:rsidRDefault="00AA6922" w:rsidP="00AA6922">
            <w:pPr>
              <w:pStyle w:val="In-tableHeading"/>
              <w:jc w:val="center"/>
              <w:rPr>
                <w:szCs w:val="20"/>
                <w:lang w:val="en-AU"/>
              </w:rPr>
            </w:pPr>
            <w:r w:rsidRPr="000160B2">
              <w:rPr>
                <w:szCs w:val="20"/>
                <w:lang w:val="en-AU"/>
              </w:rPr>
              <w:t>Event rate/100 patients*</w:t>
            </w:r>
          </w:p>
        </w:tc>
        <w:tc>
          <w:tcPr>
            <w:tcW w:w="601" w:type="pct"/>
            <w:vMerge w:val="restart"/>
            <w:tcBorders>
              <w:top w:val="single" w:sz="4" w:space="0" w:color="auto"/>
              <w:left w:val="single" w:sz="4" w:space="0" w:color="auto"/>
              <w:bottom w:val="single" w:sz="4" w:space="0" w:color="auto"/>
              <w:right w:val="single" w:sz="4" w:space="0" w:color="auto"/>
            </w:tcBorders>
            <w:vAlign w:val="center"/>
          </w:tcPr>
          <w:p w14:paraId="584D8A94" w14:textId="24BE9384" w:rsidR="00AA6922" w:rsidRPr="000160B2" w:rsidRDefault="00AA6922" w:rsidP="00BB4E51">
            <w:pPr>
              <w:pStyle w:val="In-tableHeading"/>
              <w:jc w:val="center"/>
              <w:rPr>
                <w:szCs w:val="20"/>
                <w:lang w:val="en-AU"/>
              </w:rPr>
            </w:pPr>
            <w:r w:rsidRPr="000160B2">
              <w:rPr>
                <w:szCs w:val="20"/>
                <w:lang w:val="en-AU"/>
              </w:rPr>
              <w:t>RD</w:t>
            </w:r>
            <w:r w:rsidR="00BB4E51" w:rsidRPr="000160B2">
              <w:rPr>
                <w:szCs w:val="20"/>
                <w:lang w:val="en-AU"/>
              </w:rPr>
              <w:t xml:space="preserve"> </w:t>
            </w:r>
            <w:r w:rsidRPr="000160B2">
              <w:rPr>
                <w:szCs w:val="20"/>
                <w:lang w:val="en-AU"/>
              </w:rPr>
              <w:t>(95% CI)</w:t>
            </w:r>
          </w:p>
        </w:tc>
      </w:tr>
      <w:tr w:rsidR="00BB4E51" w:rsidRPr="000160B2" w14:paraId="7A354B22" w14:textId="77777777" w:rsidTr="000160B2">
        <w:trPr>
          <w:trHeight w:val="43"/>
        </w:trPr>
        <w:tc>
          <w:tcPr>
            <w:tcW w:w="133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79BE397" w14:textId="77777777" w:rsidR="00AA6922" w:rsidRPr="000160B2" w:rsidRDefault="00AA6922" w:rsidP="00AA6922">
            <w:pPr>
              <w:pStyle w:val="In-tableHeading"/>
              <w:rPr>
                <w:strike/>
                <w:szCs w:val="20"/>
                <w:lang w:val="en-AU"/>
              </w:rPr>
            </w:pPr>
          </w:p>
        </w:tc>
        <w:tc>
          <w:tcPr>
            <w:tcW w:w="628" w:type="pct"/>
            <w:vMerge/>
            <w:tcBorders>
              <w:top w:val="single" w:sz="4" w:space="0" w:color="auto"/>
              <w:left w:val="single" w:sz="4" w:space="0" w:color="auto"/>
              <w:bottom w:val="single" w:sz="4" w:space="0" w:color="auto"/>
              <w:right w:val="single" w:sz="4" w:space="0" w:color="auto"/>
            </w:tcBorders>
            <w:vAlign w:val="center"/>
          </w:tcPr>
          <w:p w14:paraId="7276D631" w14:textId="77777777" w:rsidR="00AA6922" w:rsidRPr="000160B2" w:rsidRDefault="00AA6922" w:rsidP="00AA6922">
            <w:pPr>
              <w:pStyle w:val="In-tableHeading"/>
              <w:rPr>
                <w:strike/>
                <w:szCs w:val="20"/>
                <w:lang w:val="en-AU"/>
              </w:rPr>
            </w:pPr>
          </w:p>
        </w:tc>
        <w:tc>
          <w:tcPr>
            <w:tcW w:w="629" w:type="pct"/>
            <w:vMerge/>
            <w:tcBorders>
              <w:top w:val="single" w:sz="4" w:space="0" w:color="auto"/>
              <w:left w:val="single" w:sz="4" w:space="0" w:color="auto"/>
              <w:bottom w:val="single" w:sz="4" w:space="0" w:color="auto"/>
              <w:right w:val="single" w:sz="4" w:space="0" w:color="auto"/>
            </w:tcBorders>
            <w:vAlign w:val="center"/>
          </w:tcPr>
          <w:p w14:paraId="54041ACC" w14:textId="77777777" w:rsidR="00AA6922" w:rsidRPr="000160B2" w:rsidRDefault="00AA6922" w:rsidP="00AA6922">
            <w:pPr>
              <w:pStyle w:val="In-tableHeading"/>
              <w:rPr>
                <w:strike/>
                <w:szCs w:val="20"/>
                <w:lang w:val="en-AU"/>
              </w:rPr>
            </w:pPr>
          </w:p>
        </w:tc>
        <w:tc>
          <w:tcPr>
            <w:tcW w:w="629" w:type="pct"/>
            <w:vMerge/>
            <w:tcBorders>
              <w:top w:val="single" w:sz="4" w:space="0" w:color="auto"/>
              <w:left w:val="single" w:sz="4" w:space="0" w:color="auto"/>
              <w:bottom w:val="single" w:sz="4" w:space="0" w:color="auto"/>
              <w:right w:val="single" w:sz="4" w:space="0" w:color="auto"/>
            </w:tcBorders>
            <w:vAlign w:val="center"/>
          </w:tcPr>
          <w:p w14:paraId="3C84EDD5" w14:textId="77777777" w:rsidR="00AA6922" w:rsidRPr="000160B2" w:rsidRDefault="00AA6922" w:rsidP="00AA6922">
            <w:pPr>
              <w:pStyle w:val="In-tableHeading"/>
              <w:rPr>
                <w:szCs w:val="20"/>
                <w:lang w:val="en-AU"/>
              </w:rPr>
            </w:pPr>
          </w:p>
        </w:tc>
        <w:tc>
          <w:tcPr>
            <w:tcW w:w="629" w:type="pct"/>
            <w:tcBorders>
              <w:top w:val="single" w:sz="4" w:space="0" w:color="auto"/>
              <w:left w:val="single" w:sz="4" w:space="0" w:color="auto"/>
              <w:bottom w:val="single" w:sz="4" w:space="0" w:color="auto"/>
              <w:right w:val="single" w:sz="4" w:space="0" w:color="auto"/>
            </w:tcBorders>
            <w:vAlign w:val="center"/>
          </w:tcPr>
          <w:p w14:paraId="52A4E988" w14:textId="7B8AC8AC" w:rsidR="00AA6922" w:rsidRPr="000160B2" w:rsidRDefault="00AA6922" w:rsidP="00BB4E51">
            <w:pPr>
              <w:pStyle w:val="In-tableHeading"/>
              <w:jc w:val="center"/>
              <w:rPr>
                <w:szCs w:val="20"/>
                <w:lang w:val="en-AU"/>
              </w:rPr>
            </w:pPr>
            <w:r w:rsidRPr="000160B2">
              <w:rPr>
                <w:szCs w:val="20"/>
                <w:lang w:val="en-AU"/>
              </w:rPr>
              <w:t>Pola+R-CHP</w:t>
            </w:r>
          </w:p>
        </w:tc>
        <w:tc>
          <w:tcPr>
            <w:tcW w:w="550" w:type="pct"/>
            <w:tcBorders>
              <w:top w:val="single" w:sz="4" w:space="0" w:color="auto"/>
              <w:left w:val="single" w:sz="4" w:space="0" w:color="auto"/>
              <w:bottom w:val="single" w:sz="4" w:space="0" w:color="auto"/>
              <w:right w:val="single" w:sz="4" w:space="0" w:color="auto"/>
            </w:tcBorders>
            <w:vAlign w:val="center"/>
          </w:tcPr>
          <w:p w14:paraId="60A6D455" w14:textId="6477DE08" w:rsidR="00AA6922" w:rsidRPr="000160B2" w:rsidRDefault="00AA6922" w:rsidP="00AA6922">
            <w:pPr>
              <w:pStyle w:val="In-tableHeading"/>
              <w:jc w:val="center"/>
              <w:rPr>
                <w:szCs w:val="20"/>
                <w:lang w:val="en-AU"/>
              </w:rPr>
            </w:pPr>
            <w:r w:rsidRPr="000160B2">
              <w:rPr>
                <w:szCs w:val="20"/>
                <w:lang w:val="en-AU"/>
              </w:rPr>
              <w:t>R-CHOP</w:t>
            </w:r>
          </w:p>
        </w:tc>
        <w:tc>
          <w:tcPr>
            <w:tcW w:w="601" w:type="pct"/>
            <w:vMerge/>
            <w:tcBorders>
              <w:top w:val="single" w:sz="4" w:space="0" w:color="auto"/>
              <w:left w:val="single" w:sz="4" w:space="0" w:color="auto"/>
              <w:bottom w:val="single" w:sz="4" w:space="0" w:color="auto"/>
              <w:right w:val="single" w:sz="4" w:space="0" w:color="auto"/>
            </w:tcBorders>
            <w:vAlign w:val="center"/>
          </w:tcPr>
          <w:p w14:paraId="7B2CA14F" w14:textId="77777777" w:rsidR="00AA6922" w:rsidRPr="000160B2" w:rsidRDefault="00AA6922" w:rsidP="00AA6922">
            <w:pPr>
              <w:pStyle w:val="In-tableHeading"/>
              <w:rPr>
                <w:szCs w:val="20"/>
                <w:lang w:val="en-AU"/>
              </w:rPr>
            </w:pPr>
          </w:p>
        </w:tc>
      </w:tr>
      <w:tr w:rsidR="006528E7" w:rsidRPr="000160B2" w14:paraId="74BD263B" w14:textId="77777777" w:rsidTr="000160B2">
        <w:tc>
          <w:tcPr>
            <w:tcW w:w="1334" w:type="pct"/>
            <w:tcBorders>
              <w:top w:val="single" w:sz="4" w:space="0" w:color="auto"/>
              <w:left w:val="single" w:sz="4" w:space="0" w:color="auto"/>
              <w:bottom w:val="single" w:sz="4" w:space="0" w:color="auto"/>
              <w:right w:val="single" w:sz="4" w:space="0" w:color="auto"/>
            </w:tcBorders>
            <w:shd w:val="clear" w:color="auto" w:fill="auto"/>
            <w:vAlign w:val="center"/>
          </w:tcPr>
          <w:p w14:paraId="6388FB32" w14:textId="40AFB596" w:rsidR="006528E7" w:rsidRPr="000160B2" w:rsidRDefault="006528E7" w:rsidP="006528E7">
            <w:pPr>
              <w:pStyle w:val="TableText0"/>
              <w:rPr>
                <w:szCs w:val="20"/>
              </w:rPr>
            </w:pPr>
            <w:r w:rsidRPr="000160B2">
              <w:rPr>
                <w:szCs w:val="20"/>
              </w:rPr>
              <w:t>AE leading to dose reduction (polatuzumab/vincristine), n/N (%)</w:t>
            </w:r>
          </w:p>
        </w:tc>
        <w:tc>
          <w:tcPr>
            <w:tcW w:w="628" w:type="pct"/>
            <w:tcBorders>
              <w:top w:val="single" w:sz="4" w:space="0" w:color="auto"/>
              <w:left w:val="single" w:sz="4" w:space="0" w:color="auto"/>
              <w:bottom w:val="single" w:sz="4" w:space="0" w:color="auto"/>
              <w:right w:val="single" w:sz="4" w:space="0" w:color="auto"/>
            </w:tcBorders>
            <w:vAlign w:val="center"/>
          </w:tcPr>
          <w:p w14:paraId="191995FE" w14:textId="68876BA1" w:rsidR="006528E7" w:rsidRPr="000160B2" w:rsidRDefault="006528E7" w:rsidP="006528E7">
            <w:pPr>
              <w:pStyle w:val="TableText0"/>
              <w:jc w:val="center"/>
              <w:rPr>
                <w:rFonts w:cstheme="minorHAnsi"/>
                <w:szCs w:val="20"/>
              </w:rPr>
            </w:pPr>
            <w:r w:rsidRPr="000160B2">
              <w:rPr>
                <w:szCs w:val="20"/>
              </w:rPr>
              <w:t>24 (5.5)</w:t>
            </w:r>
          </w:p>
        </w:tc>
        <w:tc>
          <w:tcPr>
            <w:tcW w:w="629" w:type="pct"/>
            <w:tcBorders>
              <w:top w:val="single" w:sz="4" w:space="0" w:color="auto"/>
              <w:left w:val="single" w:sz="4" w:space="0" w:color="auto"/>
              <w:bottom w:val="single" w:sz="4" w:space="0" w:color="auto"/>
              <w:right w:val="single" w:sz="4" w:space="0" w:color="auto"/>
            </w:tcBorders>
            <w:vAlign w:val="center"/>
          </w:tcPr>
          <w:p w14:paraId="059BE92D" w14:textId="2E390037" w:rsidR="006528E7" w:rsidRPr="000160B2" w:rsidRDefault="006528E7" w:rsidP="006528E7">
            <w:pPr>
              <w:pStyle w:val="TableText0"/>
              <w:jc w:val="center"/>
              <w:rPr>
                <w:rFonts w:cstheme="minorHAnsi"/>
                <w:szCs w:val="20"/>
              </w:rPr>
            </w:pPr>
            <w:r w:rsidRPr="000160B2">
              <w:rPr>
                <w:szCs w:val="20"/>
              </w:rPr>
              <w:t>45 (10.3)</w:t>
            </w:r>
          </w:p>
        </w:tc>
        <w:tc>
          <w:tcPr>
            <w:tcW w:w="629" w:type="pct"/>
            <w:tcBorders>
              <w:top w:val="single" w:sz="4" w:space="0" w:color="auto"/>
              <w:left w:val="single" w:sz="4" w:space="0" w:color="auto"/>
              <w:bottom w:val="single" w:sz="4" w:space="0" w:color="auto"/>
              <w:right w:val="single" w:sz="4" w:space="0" w:color="auto"/>
            </w:tcBorders>
            <w:vAlign w:val="center"/>
          </w:tcPr>
          <w:p w14:paraId="494D03CB" w14:textId="4C5BA374" w:rsidR="006528E7" w:rsidRPr="000160B2" w:rsidRDefault="006528E7" w:rsidP="006528E7">
            <w:pPr>
              <w:pStyle w:val="TableText0"/>
              <w:jc w:val="center"/>
              <w:rPr>
                <w:b/>
                <w:bCs w:val="0"/>
                <w:szCs w:val="20"/>
              </w:rPr>
            </w:pPr>
            <w:r w:rsidRPr="000160B2">
              <w:rPr>
                <w:b/>
                <w:szCs w:val="20"/>
              </w:rPr>
              <w:t>0.54 (0.33,0.87)</w:t>
            </w:r>
          </w:p>
        </w:tc>
        <w:tc>
          <w:tcPr>
            <w:tcW w:w="629" w:type="pct"/>
            <w:tcBorders>
              <w:top w:val="single" w:sz="4" w:space="0" w:color="auto"/>
              <w:left w:val="single" w:sz="4" w:space="0" w:color="auto"/>
              <w:bottom w:val="single" w:sz="4" w:space="0" w:color="auto"/>
              <w:right w:val="single" w:sz="4" w:space="0" w:color="auto"/>
            </w:tcBorders>
            <w:vAlign w:val="center"/>
          </w:tcPr>
          <w:p w14:paraId="2A974F2D" w14:textId="66A66819" w:rsidR="006528E7" w:rsidRPr="000160B2" w:rsidRDefault="006528E7" w:rsidP="006528E7">
            <w:pPr>
              <w:pStyle w:val="TableText0"/>
              <w:jc w:val="center"/>
              <w:rPr>
                <w:iCs/>
                <w:szCs w:val="20"/>
              </w:rPr>
            </w:pPr>
            <w:r w:rsidRPr="000160B2">
              <w:rPr>
                <w:iCs/>
                <w:szCs w:val="20"/>
              </w:rPr>
              <w:t>5.5</w:t>
            </w:r>
          </w:p>
        </w:tc>
        <w:tc>
          <w:tcPr>
            <w:tcW w:w="550" w:type="pct"/>
            <w:tcBorders>
              <w:top w:val="single" w:sz="4" w:space="0" w:color="auto"/>
              <w:left w:val="single" w:sz="4" w:space="0" w:color="auto"/>
              <w:bottom w:val="single" w:sz="4" w:space="0" w:color="auto"/>
              <w:right w:val="single" w:sz="4" w:space="0" w:color="auto"/>
            </w:tcBorders>
            <w:vAlign w:val="center"/>
          </w:tcPr>
          <w:p w14:paraId="09C52F51" w14:textId="3A440856" w:rsidR="006528E7" w:rsidRPr="000160B2" w:rsidRDefault="006528E7" w:rsidP="006528E7">
            <w:pPr>
              <w:pStyle w:val="TableText0"/>
              <w:jc w:val="center"/>
              <w:rPr>
                <w:iCs/>
                <w:szCs w:val="20"/>
              </w:rPr>
            </w:pPr>
            <w:r w:rsidRPr="000160B2">
              <w:rPr>
                <w:iCs/>
                <w:szCs w:val="20"/>
              </w:rPr>
              <w:t>10.3</w:t>
            </w:r>
          </w:p>
        </w:tc>
        <w:tc>
          <w:tcPr>
            <w:tcW w:w="601" w:type="pct"/>
            <w:tcBorders>
              <w:top w:val="single" w:sz="4" w:space="0" w:color="auto"/>
              <w:left w:val="single" w:sz="4" w:space="0" w:color="auto"/>
              <w:bottom w:val="single" w:sz="4" w:space="0" w:color="auto"/>
              <w:right w:val="single" w:sz="4" w:space="0" w:color="auto"/>
            </w:tcBorders>
            <w:vAlign w:val="center"/>
          </w:tcPr>
          <w:p w14:paraId="6CB4F237" w14:textId="4F4BEA0C" w:rsidR="006528E7" w:rsidRPr="000160B2" w:rsidRDefault="006528E7" w:rsidP="006528E7">
            <w:pPr>
              <w:pStyle w:val="TableText0"/>
              <w:jc w:val="center"/>
              <w:rPr>
                <w:b/>
                <w:iCs/>
                <w:szCs w:val="20"/>
              </w:rPr>
            </w:pPr>
            <w:r w:rsidRPr="000160B2">
              <w:rPr>
                <w:b/>
                <w:iCs/>
                <w:szCs w:val="20"/>
              </w:rPr>
              <w:t>-5% (</w:t>
            </w:r>
            <w:r w:rsidR="00E1472C" w:rsidRPr="000160B2">
              <w:rPr>
                <w:b/>
                <w:iCs/>
                <w:szCs w:val="20"/>
              </w:rPr>
              <w:t>-8</w:t>
            </w:r>
            <w:r w:rsidRPr="000160B2">
              <w:rPr>
                <w:b/>
                <w:iCs/>
                <w:szCs w:val="20"/>
              </w:rPr>
              <w:t xml:space="preserve">, </w:t>
            </w:r>
            <w:r w:rsidR="00E1472C" w:rsidRPr="000160B2">
              <w:rPr>
                <w:b/>
                <w:iCs/>
                <w:szCs w:val="20"/>
              </w:rPr>
              <w:t>-1</w:t>
            </w:r>
            <w:r w:rsidRPr="000160B2">
              <w:rPr>
                <w:b/>
                <w:iCs/>
                <w:szCs w:val="20"/>
              </w:rPr>
              <w:t>)</w:t>
            </w:r>
          </w:p>
        </w:tc>
      </w:tr>
      <w:tr w:rsidR="00BB4E51" w:rsidRPr="000160B2" w14:paraId="7B85D505" w14:textId="77777777" w:rsidTr="000160B2">
        <w:tc>
          <w:tcPr>
            <w:tcW w:w="1334" w:type="pct"/>
            <w:tcBorders>
              <w:top w:val="single" w:sz="4" w:space="0" w:color="auto"/>
              <w:left w:val="single" w:sz="4" w:space="0" w:color="auto"/>
              <w:bottom w:val="single" w:sz="4" w:space="0" w:color="auto"/>
              <w:right w:val="single" w:sz="4" w:space="0" w:color="auto"/>
            </w:tcBorders>
            <w:shd w:val="clear" w:color="auto" w:fill="auto"/>
            <w:vAlign w:val="center"/>
          </w:tcPr>
          <w:p w14:paraId="333A9994" w14:textId="569C9F51" w:rsidR="00BB4E51" w:rsidRPr="000160B2" w:rsidRDefault="00BB4E51" w:rsidP="00BB4E51">
            <w:pPr>
              <w:pStyle w:val="TableText0"/>
              <w:rPr>
                <w:szCs w:val="20"/>
              </w:rPr>
            </w:pPr>
            <w:r w:rsidRPr="000160B2">
              <w:rPr>
                <w:szCs w:val="20"/>
              </w:rPr>
              <w:t>Infections, n/N (%)</w:t>
            </w:r>
          </w:p>
        </w:tc>
        <w:tc>
          <w:tcPr>
            <w:tcW w:w="628" w:type="pct"/>
            <w:tcBorders>
              <w:top w:val="single" w:sz="4" w:space="0" w:color="auto"/>
              <w:left w:val="single" w:sz="4" w:space="0" w:color="auto"/>
              <w:bottom w:val="single" w:sz="4" w:space="0" w:color="auto"/>
              <w:right w:val="single" w:sz="4" w:space="0" w:color="auto"/>
            </w:tcBorders>
            <w:vAlign w:val="center"/>
          </w:tcPr>
          <w:p w14:paraId="6A2290D7" w14:textId="3C106EDB" w:rsidR="00BB4E51" w:rsidRPr="000160B2" w:rsidRDefault="00BB4E51" w:rsidP="00BB4E51">
            <w:pPr>
              <w:pStyle w:val="TableText0"/>
              <w:jc w:val="center"/>
              <w:rPr>
                <w:rFonts w:cstheme="minorHAnsi"/>
                <w:szCs w:val="20"/>
              </w:rPr>
            </w:pPr>
            <w:r w:rsidRPr="000160B2">
              <w:rPr>
                <w:rFonts w:cstheme="minorHAnsi"/>
                <w:szCs w:val="20"/>
              </w:rPr>
              <w:t>216 (49.7)</w:t>
            </w:r>
          </w:p>
        </w:tc>
        <w:tc>
          <w:tcPr>
            <w:tcW w:w="629" w:type="pct"/>
            <w:tcBorders>
              <w:top w:val="single" w:sz="4" w:space="0" w:color="auto"/>
              <w:left w:val="single" w:sz="4" w:space="0" w:color="auto"/>
              <w:bottom w:val="single" w:sz="4" w:space="0" w:color="auto"/>
              <w:right w:val="single" w:sz="4" w:space="0" w:color="auto"/>
            </w:tcBorders>
            <w:vAlign w:val="center"/>
          </w:tcPr>
          <w:p w14:paraId="4B1B6C49" w14:textId="5D799050" w:rsidR="00BB4E51" w:rsidRPr="000160B2" w:rsidRDefault="00BB4E51" w:rsidP="00BB4E51">
            <w:pPr>
              <w:pStyle w:val="TableText0"/>
              <w:jc w:val="center"/>
              <w:rPr>
                <w:rFonts w:cstheme="minorHAnsi"/>
                <w:szCs w:val="20"/>
              </w:rPr>
            </w:pPr>
            <w:r w:rsidRPr="000160B2">
              <w:rPr>
                <w:rFonts w:cstheme="minorHAnsi"/>
                <w:szCs w:val="20"/>
              </w:rPr>
              <w:t>187 (42.7)</w:t>
            </w:r>
          </w:p>
        </w:tc>
        <w:tc>
          <w:tcPr>
            <w:tcW w:w="629" w:type="pct"/>
            <w:tcBorders>
              <w:top w:val="single" w:sz="4" w:space="0" w:color="auto"/>
              <w:left w:val="single" w:sz="4" w:space="0" w:color="auto"/>
              <w:bottom w:val="single" w:sz="4" w:space="0" w:color="auto"/>
              <w:right w:val="single" w:sz="4" w:space="0" w:color="auto"/>
            </w:tcBorders>
            <w:vAlign w:val="center"/>
          </w:tcPr>
          <w:p w14:paraId="761600BC" w14:textId="5D5E37AE" w:rsidR="00BB4E51" w:rsidRPr="000160B2" w:rsidRDefault="00BB4E51" w:rsidP="00BB4E51">
            <w:pPr>
              <w:pStyle w:val="TableText0"/>
              <w:jc w:val="center"/>
              <w:rPr>
                <w:b/>
                <w:iCs/>
                <w:szCs w:val="20"/>
              </w:rPr>
            </w:pPr>
            <w:r w:rsidRPr="000160B2">
              <w:rPr>
                <w:b/>
                <w:bCs w:val="0"/>
                <w:szCs w:val="20"/>
              </w:rPr>
              <w:t>1.16 (1.01,1.34)</w:t>
            </w:r>
          </w:p>
        </w:tc>
        <w:tc>
          <w:tcPr>
            <w:tcW w:w="629" w:type="pct"/>
            <w:tcBorders>
              <w:top w:val="single" w:sz="4" w:space="0" w:color="auto"/>
              <w:left w:val="single" w:sz="4" w:space="0" w:color="auto"/>
              <w:bottom w:val="single" w:sz="4" w:space="0" w:color="auto"/>
              <w:right w:val="single" w:sz="4" w:space="0" w:color="auto"/>
            </w:tcBorders>
            <w:vAlign w:val="center"/>
          </w:tcPr>
          <w:p w14:paraId="452732CB" w14:textId="76CDE890" w:rsidR="00BB4E51" w:rsidRPr="000160B2" w:rsidRDefault="00BB4E51" w:rsidP="00BB4E51">
            <w:pPr>
              <w:pStyle w:val="TableText0"/>
              <w:jc w:val="center"/>
              <w:rPr>
                <w:iCs/>
                <w:szCs w:val="20"/>
              </w:rPr>
            </w:pPr>
            <w:r w:rsidRPr="000160B2">
              <w:rPr>
                <w:iCs/>
                <w:szCs w:val="20"/>
              </w:rPr>
              <w:t>49.7</w:t>
            </w:r>
          </w:p>
        </w:tc>
        <w:tc>
          <w:tcPr>
            <w:tcW w:w="550" w:type="pct"/>
            <w:tcBorders>
              <w:top w:val="single" w:sz="4" w:space="0" w:color="auto"/>
              <w:left w:val="single" w:sz="4" w:space="0" w:color="auto"/>
              <w:bottom w:val="single" w:sz="4" w:space="0" w:color="auto"/>
              <w:right w:val="single" w:sz="4" w:space="0" w:color="auto"/>
            </w:tcBorders>
            <w:vAlign w:val="center"/>
          </w:tcPr>
          <w:p w14:paraId="0BD47163" w14:textId="31A80AE0" w:rsidR="00BB4E51" w:rsidRPr="000160B2" w:rsidRDefault="00BB4E51" w:rsidP="00BB4E51">
            <w:pPr>
              <w:pStyle w:val="TableText0"/>
              <w:jc w:val="center"/>
              <w:rPr>
                <w:iCs/>
                <w:szCs w:val="20"/>
              </w:rPr>
            </w:pPr>
            <w:r w:rsidRPr="000160B2">
              <w:rPr>
                <w:iCs/>
                <w:szCs w:val="20"/>
              </w:rPr>
              <w:t>42.7</w:t>
            </w:r>
          </w:p>
        </w:tc>
        <w:tc>
          <w:tcPr>
            <w:tcW w:w="601" w:type="pct"/>
            <w:tcBorders>
              <w:top w:val="single" w:sz="4" w:space="0" w:color="auto"/>
              <w:left w:val="single" w:sz="4" w:space="0" w:color="auto"/>
              <w:bottom w:val="single" w:sz="4" w:space="0" w:color="auto"/>
              <w:right w:val="single" w:sz="4" w:space="0" w:color="auto"/>
            </w:tcBorders>
            <w:vAlign w:val="center"/>
          </w:tcPr>
          <w:p w14:paraId="700E9C0F" w14:textId="2FB847F8" w:rsidR="00BB4E51" w:rsidRPr="000160B2" w:rsidRDefault="00BB4E51" w:rsidP="00BB4E51">
            <w:pPr>
              <w:pStyle w:val="TableText0"/>
              <w:jc w:val="center"/>
              <w:rPr>
                <w:b/>
                <w:iCs/>
                <w:szCs w:val="20"/>
              </w:rPr>
            </w:pPr>
            <w:r w:rsidRPr="000160B2">
              <w:rPr>
                <w:b/>
                <w:iCs/>
                <w:szCs w:val="20"/>
              </w:rPr>
              <w:t>7% (0, 14)</w:t>
            </w:r>
          </w:p>
        </w:tc>
      </w:tr>
      <w:tr w:rsidR="00BB4E51" w:rsidRPr="000160B2" w14:paraId="7F4D35BD" w14:textId="77777777" w:rsidTr="000160B2">
        <w:tc>
          <w:tcPr>
            <w:tcW w:w="1334" w:type="pct"/>
            <w:tcBorders>
              <w:top w:val="single" w:sz="4" w:space="0" w:color="auto"/>
              <w:left w:val="single" w:sz="4" w:space="0" w:color="auto"/>
              <w:bottom w:val="single" w:sz="4" w:space="0" w:color="auto"/>
              <w:right w:val="single" w:sz="4" w:space="0" w:color="auto"/>
            </w:tcBorders>
            <w:shd w:val="clear" w:color="auto" w:fill="auto"/>
            <w:vAlign w:val="center"/>
          </w:tcPr>
          <w:p w14:paraId="38D8630A" w14:textId="21D81FFB" w:rsidR="00BB4E51" w:rsidRPr="000160B2" w:rsidRDefault="00BB4E51" w:rsidP="00BB4E51">
            <w:pPr>
              <w:pStyle w:val="TableText0"/>
              <w:rPr>
                <w:szCs w:val="20"/>
              </w:rPr>
            </w:pPr>
            <w:r w:rsidRPr="000160B2">
              <w:rPr>
                <w:szCs w:val="20"/>
              </w:rPr>
              <w:t>Febrile neutropenia, n/N (%)</w:t>
            </w:r>
          </w:p>
        </w:tc>
        <w:tc>
          <w:tcPr>
            <w:tcW w:w="628" w:type="pct"/>
            <w:tcBorders>
              <w:top w:val="single" w:sz="4" w:space="0" w:color="auto"/>
              <w:left w:val="single" w:sz="4" w:space="0" w:color="auto"/>
              <w:bottom w:val="single" w:sz="4" w:space="0" w:color="auto"/>
              <w:right w:val="single" w:sz="4" w:space="0" w:color="auto"/>
            </w:tcBorders>
            <w:vAlign w:val="center"/>
          </w:tcPr>
          <w:p w14:paraId="605C5B69" w14:textId="7F530923" w:rsidR="00BB4E51" w:rsidRPr="000160B2" w:rsidRDefault="00BB4E51" w:rsidP="00BB4E51">
            <w:pPr>
              <w:pStyle w:val="TableText0"/>
              <w:jc w:val="center"/>
              <w:rPr>
                <w:szCs w:val="20"/>
              </w:rPr>
            </w:pPr>
            <w:r w:rsidRPr="000160B2">
              <w:rPr>
                <w:rFonts w:cstheme="minorHAnsi"/>
                <w:szCs w:val="20"/>
              </w:rPr>
              <w:t>62/435 (14.3)</w:t>
            </w:r>
          </w:p>
        </w:tc>
        <w:tc>
          <w:tcPr>
            <w:tcW w:w="629" w:type="pct"/>
            <w:tcBorders>
              <w:top w:val="single" w:sz="4" w:space="0" w:color="auto"/>
              <w:left w:val="single" w:sz="4" w:space="0" w:color="auto"/>
              <w:bottom w:val="single" w:sz="4" w:space="0" w:color="auto"/>
              <w:right w:val="single" w:sz="4" w:space="0" w:color="auto"/>
            </w:tcBorders>
            <w:vAlign w:val="center"/>
          </w:tcPr>
          <w:p w14:paraId="522BB0BF" w14:textId="4F26EEDD" w:rsidR="00BB4E51" w:rsidRPr="000160B2" w:rsidRDefault="00BB4E51" w:rsidP="00BB4E51">
            <w:pPr>
              <w:pStyle w:val="TableText0"/>
              <w:jc w:val="center"/>
              <w:rPr>
                <w:szCs w:val="20"/>
              </w:rPr>
            </w:pPr>
            <w:r w:rsidRPr="000160B2">
              <w:rPr>
                <w:rFonts w:cstheme="minorHAnsi"/>
                <w:szCs w:val="20"/>
              </w:rPr>
              <w:t>35/438 (8.0)</w:t>
            </w:r>
          </w:p>
        </w:tc>
        <w:tc>
          <w:tcPr>
            <w:tcW w:w="629" w:type="pct"/>
            <w:tcBorders>
              <w:top w:val="single" w:sz="4" w:space="0" w:color="auto"/>
              <w:left w:val="single" w:sz="4" w:space="0" w:color="auto"/>
              <w:bottom w:val="single" w:sz="4" w:space="0" w:color="auto"/>
              <w:right w:val="single" w:sz="4" w:space="0" w:color="auto"/>
            </w:tcBorders>
            <w:vAlign w:val="center"/>
          </w:tcPr>
          <w:p w14:paraId="381A1391" w14:textId="35A35A56" w:rsidR="00BB4E51" w:rsidRPr="000160B2" w:rsidRDefault="00BB4E51" w:rsidP="00BB4E51">
            <w:pPr>
              <w:pStyle w:val="TableText0"/>
              <w:jc w:val="center"/>
              <w:rPr>
                <w:iCs/>
                <w:szCs w:val="20"/>
              </w:rPr>
            </w:pPr>
            <w:r w:rsidRPr="000160B2">
              <w:rPr>
                <w:b/>
                <w:szCs w:val="20"/>
              </w:rPr>
              <w:t>1.78 (1.20,2.64</w:t>
            </w:r>
            <w:r w:rsidRPr="000160B2">
              <w:rPr>
                <w:szCs w:val="20"/>
              </w:rPr>
              <w:t>)</w:t>
            </w:r>
          </w:p>
        </w:tc>
        <w:tc>
          <w:tcPr>
            <w:tcW w:w="629" w:type="pct"/>
            <w:tcBorders>
              <w:top w:val="single" w:sz="4" w:space="0" w:color="auto"/>
              <w:left w:val="single" w:sz="4" w:space="0" w:color="auto"/>
              <w:bottom w:val="single" w:sz="4" w:space="0" w:color="auto"/>
              <w:right w:val="single" w:sz="4" w:space="0" w:color="auto"/>
            </w:tcBorders>
            <w:vAlign w:val="center"/>
          </w:tcPr>
          <w:p w14:paraId="5B6D8481" w14:textId="1B17D332" w:rsidR="00BB4E51" w:rsidRPr="000160B2" w:rsidRDefault="00BB4E51" w:rsidP="00BB4E51">
            <w:pPr>
              <w:pStyle w:val="TableText0"/>
              <w:jc w:val="center"/>
              <w:rPr>
                <w:iCs/>
                <w:szCs w:val="20"/>
              </w:rPr>
            </w:pPr>
            <w:r w:rsidRPr="000160B2">
              <w:rPr>
                <w:iCs/>
                <w:szCs w:val="20"/>
              </w:rPr>
              <w:t>14.3</w:t>
            </w:r>
          </w:p>
        </w:tc>
        <w:tc>
          <w:tcPr>
            <w:tcW w:w="550" w:type="pct"/>
            <w:tcBorders>
              <w:top w:val="single" w:sz="4" w:space="0" w:color="auto"/>
              <w:left w:val="single" w:sz="4" w:space="0" w:color="auto"/>
              <w:bottom w:val="single" w:sz="4" w:space="0" w:color="auto"/>
              <w:right w:val="single" w:sz="4" w:space="0" w:color="auto"/>
            </w:tcBorders>
            <w:vAlign w:val="center"/>
          </w:tcPr>
          <w:p w14:paraId="1381391C" w14:textId="0354B1B5" w:rsidR="00BB4E51" w:rsidRPr="000160B2" w:rsidRDefault="00BB4E51" w:rsidP="00BB4E51">
            <w:pPr>
              <w:pStyle w:val="TableText0"/>
              <w:jc w:val="center"/>
              <w:rPr>
                <w:iCs/>
                <w:szCs w:val="20"/>
              </w:rPr>
            </w:pPr>
            <w:r w:rsidRPr="000160B2">
              <w:rPr>
                <w:iCs/>
                <w:szCs w:val="20"/>
              </w:rPr>
              <w:t>8.0</w:t>
            </w:r>
          </w:p>
        </w:tc>
        <w:tc>
          <w:tcPr>
            <w:tcW w:w="601" w:type="pct"/>
            <w:tcBorders>
              <w:top w:val="single" w:sz="4" w:space="0" w:color="auto"/>
              <w:left w:val="single" w:sz="4" w:space="0" w:color="auto"/>
              <w:bottom w:val="single" w:sz="4" w:space="0" w:color="auto"/>
              <w:right w:val="single" w:sz="4" w:space="0" w:color="auto"/>
            </w:tcBorders>
            <w:vAlign w:val="center"/>
          </w:tcPr>
          <w:p w14:paraId="31615D83" w14:textId="3541F662" w:rsidR="00BB4E51" w:rsidRPr="000160B2" w:rsidRDefault="00BB4E51" w:rsidP="00BB4E51">
            <w:pPr>
              <w:pStyle w:val="TableText0"/>
              <w:jc w:val="center"/>
              <w:rPr>
                <w:b/>
                <w:iCs/>
                <w:szCs w:val="20"/>
              </w:rPr>
            </w:pPr>
            <w:r w:rsidRPr="000160B2">
              <w:rPr>
                <w:b/>
                <w:iCs/>
                <w:szCs w:val="20"/>
              </w:rPr>
              <w:t>6% (2, 10)</w:t>
            </w:r>
          </w:p>
        </w:tc>
      </w:tr>
    </w:tbl>
    <w:p w14:paraId="2B4DE86A" w14:textId="5198DAF0" w:rsidR="00566DDB" w:rsidRPr="005B024E" w:rsidRDefault="00566DDB" w:rsidP="00AA6922">
      <w:pPr>
        <w:pStyle w:val="TableFigureFooter"/>
        <w:rPr>
          <w:rStyle w:val="CommentReference"/>
          <w:b w:val="0"/>
          <w:sz w:val="18"/>
          <w:szCs w:val="22"/>
        </w:rPr>
      </w:pPr>
      <w:r w:rsidRPr="005B024E">
        <w:rPr>
          <w:rStyle w:val="CommentReference"/>
          <w:b w:val="0"/>
          <w:sz w:val="18"/>
          <w:szCs w:val="22"/>
        </w:rPr>
        <w:t>Source: Table 2.14-2.16, pp 41-43,</w:t>
      </w:r>
      <w:r w:rsidR="000160B2">
        <w:rPr>
          <w:rStyle w:val="CommentReference"/>
          <w:b w:val="0"/>
          <w:sz w:val="18"/>
          <w:szCs w:val="22"/>
        </w:rPr>
        <w:t xml:space="preserve"> </w:t>
      </w:r>
      <w:r w:rsidRPr="005B024E">
        <w:t>Table 2.22, p49, Table 2.26-2.27, pp 58-61 of the submission</w:t>
      </w:r>
    </w:p>
    <w:p w14:paraId="16809D15" w14:textId="75930172" w:rsidR="00731230" w:rsidRDefault="00AA6922" w:rsidP="000160B2">
      <w:pPr>
        <w:pStyle w:val="TableFigureFooter"/>
      </w:pPr>
      <w:r w:rsidRPr="005B024E">
        <w:rPr>
          <w:rStyle w:val="CommentReference"/>
          <w:b w:val="0"/>
          <w:sz w:val="18"/>
          <w:szCs w:val="22"/>
        </w:rPr>
        <w:t xml:space="preserve">CI = confidence interval; IPI = International Prognostic Indicator; ITT = intention-to-treat; HR =hazard ratio; PFS = progression-free survival; Pola = polatuzumab vedotin; R-CHOP = rituximab plus cyclophosphamide, doxorubicin, vincristine and prednisone; R-CHP = rituximab plus cyclophosphamide, doxorubicin and prednisone; RD = risk difference; RR = risk ratio; </w:t>
      </w:r>
      <w:r w:rsidRPr="005B024E">
        <w:rPr>
          <w:rStyle w:val="CommentReference"/>
          <w:sz w:val="18"/>
          <w:szCs w:val="22"/>
        </w:rPr>
        <w:t xml:space="preserve">Bold </w:t>
      </w:r>
      <w:r w:rsidRPr="005B024E">
        <w:rPr>
          <w:rStyle w:val="CommentReference"/>
          <w:b w:val="0"/>
          <w:sz w:val="18"/>
          <w:szCs w:val="22"/>
        </w:rPr>
        <w:t>= statistically significant</w:t>
      </w:r>
      <w:r w:rsidR="000160B2">
        <w:rPr>
          <w:rStyle w:val="CommentReference"/>
          <w:b w:val="0"/>
          <w:sz w:val="18"/>
          <w:szCs w:val="22"/>
        </w:rPr>
        <w:t xml:space="preserve"> </w:t>
      </w:r>
    </w:p>
    <w:p w14:paraId="5DBFD33F" w14:textId="785100E7" w:rsidR="00F811DD" w:rsidRPr="00E1521D" w:rsidRDefault="00F811DD" w:rsidP="00E1521D">
      <w:pPr>
        <w:pStyle w:val="3-BodyText"/>
        <w:ind w:left="720"/>
        <w:rPr>
          <w:iCs/>
        </w:rPr>
      </w:pPr>
      <w:r w:rsidRPr="00E1521D">
        <w:rPr>
          <w:iCs/>
        </w:rPr>
        <w:t>On the basis of direct</w:t>
      </w:r>
      <w:r w:rsidR="00C62960" w:rsidRPr="00E1521D">
        <w:rPr>
          <w:iCs/>
        </w:rPr>
        <w:t xml:space="preserve"> </w:t>
      </w:r>
      <w:r w:rsidRPr="00E1521D">
        <w:rPr>
          <w:iCs/>
        </w:rPr>
        <w:t>evidence presented by the submission, for every 100 patients</w:t>
      </w:r>
      <w:r w:rsidR="00E859E5" w:rsidRPr="00E1521D">
        <w:rPr>
          <w:iCs/>
        </w:rPr>
        <w:t xml:space="preserve"> </w:t>
      </w:r>
      <w:r w:rsidR="00C1790C" w:rsidRPr="00E1521D">
        <w:rPr>
          <w:iCs/>
        </w:rPr>
        <w:t xml:space="preserve">(IPI 2-5) </w:t>
      </w:r>
      <w:r w:rsidRPr="00E1521D">
        <w:rPr>
          <w:iCs/>
        </w:rPr>
        <w:t xml:space="preserve">treated with </w:t>
      </w:r>
      <w:r w:rsidR="00C62960" w:rsidRPr="00E1521D">
        <w:rPr>
          <w:iCs/>
        </w:rPr>
        <w:t>Pola+R-CHP</w:t>
      </w:r>
      <w:r w:rsidRPr="00E1521D">
        <w:rPr>
          <w:iCs/>
        </w:rPr>
        <w:t xml:space="preserve"> in comparison</w:t>
      </w:r>
      <w:r w:rsidR="00E859E5" w:rsidRPr="00E1521D">
        <w:rPr>
          <w:iCs/>
        </w:rPr>
        <w:t xml:space="preserve"> to R-CHOP</w:t>
      </w:r>
      <w:r w:rsidRPr="00E1521D">
        <w:rPr>
          <w:iCs/>
        </w:rPr>
        <w:t>:</w:t>
      </w:r>
    </w:p>
    <w:p w14:paraId="0B16ECEE" w14:textId="4098EB19" w:rsidR="00C62960" w:rsidRPr="005B024E" w:rsidRDefault="00F811DD" w:rsidP="00C1790C">
      <w:pPr>
        <w:pStyle w:val="ListParagraph"/>
        <w:ind w:left="1134"/>
      </w:pPr>
      <w:r w:rsidRPr="005B024E">
        <w:t xml:space="preserve">Approximately </w:t>
      </w:r>
      <w:r w:rsidR="00C1790C" w:rsidRPr="005B024E">
        <w:t>7</w:t>
      </w:r>
      <w:r w:rsidR="00E859E5" w:rsidRPr="005B024E">
        <w:t xml:space="preserve"> </w:t>
      </w:r>
      <w:r w:rsidRPr="005B024E">
        <w:t xml:space="preserve">additional patients will remain </w:t>
      </w:r>
      <w:r w:rsidR="00310C14">
        <w:t>progression free</w:t>
      </w:r>
      <w:r w:rsidR="00E859E5" w:rsidRPr="005B024E">
        <w:t xml:space="preserve"> at 24-months</w:t>
      </w:r>
      <w:r w:rsidR="00B567DF" w:rsidRPr="005B024E">
        <w:t xml:space="preserve"> follow-up</w:t>
      </w:r>
      <w:r w:rsidR="00C62960" w:rsidRPr="005B024E">
        <w:t>;</w:t>
      </w:r>
    </w:p>
    <w:p w14:paraId="011E6BCB" w14:textId="20ACB747" w:rsidR="00C1790C" w:rsidRPr="005B024E" w:rsidRDefault="00C1790C" w:rsidP="00C1790C">
      <w:pPr>
        <w:pStyle w:val="ListParagraph"/>
        <w:ind w:left="1134"/>
      </w:pPr>
      <w:r w:rsidRPr="005B024E">
        <w:t>Approximately 7 additional patients will experience infection;</w:t>
      </w:r>
    </w:p>
    <w:p w14:paraId="16DA5B16" w14:textId="37CEDA8B" w:rsidR="00C62960" w:rsidRPr="005B024E" w:rsidRDefault="00C1790C" w:rsidP="00C1790C">
      <w:pPr>
        <w:pStyle w:val="ListParagraph"/>
        <w:ind w:left="1134"/>
      </w:pPr>
      <w:r w:rsidRPr="005B024E">
        <w:t>Approximately 6</w:t>
      </w:r>
      <w:r w:rsidR="00B567DF" w:rsidRPr="005B024E">
        <w:t xml:space="preserve"> additional patients will</w:t>
      </w:r>
      <w:r w:rsidRPr="005B024E">
        <w:t xml:space="preserve"> experience febrile neutropenia</w:t>
      </w:r>
      <w:r w:rsidR="00691491">
        <w:t>.</w:t>
      </w:r>
    </w:p>
    <w:p w14:paraId="46F9A437" w14:textId="77777777" w:rsidR="00F811DD" w:rsidRPr="005B024E" w:rsidRDefault="00F811DD" w:rsidP="00F811DD">
      <w:pPr>
        <w:pStyle w:val="4-SubsectionHeading"/>
      </w:pPr>
      <w:bookmarkStart w:id="39" w:name="_Toc22897644"/>
      <w:bookmarkStart w:id="40" w:name="_Toc113975482"/>
      <w:r w:rsidRPr="005B024E">
        <w:t>Clinical claim</w:t>
      </w:r>
      <w:bookmarkEnd w:id="39"/>
      <w:bookmarkEnd w:id="40"/>
    </w:p>
    <w:p w14:paraId="2DA6E483" w14:textId="6667DC8C" w:rsidR="00460F11" w:rsidRPr="00E1521D" w:rsidRDefault="00460F11" w:rsidP="00E1521D">
      <w:pPr>
        <w:pStyle w:val="3-BodyText"/>
        <w:ind w:left="720"/>
        <w:rPr>
          <w:iCs/>
        </w:rPr>
      </w:pPr>
      <w:bookmarkStart w:id="41" w:name="_Toc22897645"/>
      <w:r w:rsidRPr="00E1521D">
        <w:rPr>
          <w:iCs/>
        </w:rPr>
        <w:t>The submission described Pola+R-CHP as superior in terms of effectiveness and non-inferior in terms of safety compared to R-CHOP in previously untreated DLBCL patients with an IPI score of 3-5.</w:t>
      </w:r>
    </w:p>
    <w:p w14:paraId="21125D12" w14:textId="778D7E59" w:rsidR="00E9791F" w:rsidRPr="00E1521D" w:rsidRDefault="00460F11" w:rsidP="00E1521D">
      <w:pPr>
        <w:pStyle w:val="3-BodyText"/>
        <w:ind w:left="720"/>
        <w:rPr>
          <w:iCs/>
        </w:rPr>
      </w:pPr>
      <w:r w:rsidRPr="00E1521D">
        <w:rPr>
          <w:iCs/>
        </w:rPr>
        <w:t xml:space="preserve">The clinical evidence presented in the submission </w:t>
      </w:r>
      <w:r w:rsidR="001221D0">
        <w:rPr>
          <w:iCs/>
        </w:rPr>
        <w:t>potentially</w:t>
      </w:r>
      <w:r w:rsidR="001221D0" w:rsidRPr="00E1521D">
        <w:rPr>
          <w:iCs/>
        </w:rPr>
        <w:t xml:space="preserve"> </w:t>
      </w:r>
      <w:r w:rsidRPr="00E1521D">
        <w:rPr>
          <w:iCs/>
        </w:rPr>
        <w:t xml:space="preserve">supported the claim of superior effectiveness for patients with an IPI </w:t>
      </w:r>
      <w:r w:rsidR="001221D0">
        <w:rPr>
          <w:iCs/>
        </w:rPr>
        <w:t>2</w:t>
      </w:r>
      <w:r w:rsidRPr="00E1521D">
        <w:rPr>
          <w:iCs/>
        </w:rPr>
        <w:t xml:space="preserve">-5, but </w:t>
      </w:r>
      <w:r w:rsidR="001221D0">
        <w:rPr>
          <w:iCs/>
        </w:rPr>
        <w:t xml:space="preserve">the claim was no more certain </w:t>
      </w:r>
      <w:r w:rsidR="00606D75">
        <w:rPr>
          <w:iCs/>
        </w:rPr>
        <w:t>in the subgroup of patients with an</w:t>
      </w:r>
      <w:r w:rsidRPr="00E1521D">
        <w:rPr>
          <w:iCs/>
        </w:rPr>
        <w:t xml:space="preserve"> IPI </w:t>
      </w:r>
      <w:r w:rsidR="00606D75">
        <w:rPr>
          <w:iCs/>
        </w:rPr>
        <w:t>score of 3</w:t>
      </w:r>
      <w:r w:rsidRPr="00E1521D">
        <w:rPr>
          <w:iCs/>
        </w:rPr>
        <w:t>-5. As discussed above, the POLARIX trial met its primary endpoint demonstrating a statistically significant improvement in PFS with Pola+R-CHP compared to R-CHOP in the ITT population (IPI 2-5). There was no statistical evidence for heterogeneity of treatment effect in any of the exploratory subgroups including IPI</w:t>
      </w:r>
      <w:r w:rsidR="00731230" w:rsidRPr="00E1521D">
        <w:rPr>
          <w:iCs/>
        </w:rPr>
        <w:t xml:space="preserve"> </w:t>
      </w:r>
      <w:r w:rsidR="000071FC" w:rsidRPr="00E1521D">
        <w:rPr>
          <w:iCs/>
        </w:rPr>
        <w:t>and a</w:t>
      </w:r>
      <w:r w:rsidRPr="00E1521D">
        <w:rPr>
          <w:iCs/>
        </w:rPr>
        <w:t>ny numerical differences between the estimated treatment effects for patients with an IPI 3-5 compared to an IPI 2 should not be over interpreted given the known limitations of exploratory subgroup analyses.</w:t>
      </w:r>
      <w:r w:rsidR="00EC3FA5" w:rsidRPr="00E1521D">
        <w:rPr>
          <w:iCs/>
        </w:rPr>
        <w:t xml:space="preserve"> Overall, the </w:t>
      </w:r>
      <w:r w:rsidR="00EC3FA5" w:rsidRPr="00E1521D">
        <w:rPr>
          <w:iCs/>
        </w:rPr>
        <w:lastRenderedPageBreak/>
        <w:t>ESC considered that the improvement in</w:t>
      </w:r>
      <w:r w:rsidR="00781928" w:rsidRPr="00E1521D">
        <w:rPr>
          <w:iCs/>
        </w:rPr>
        <w:t xml:space="preserve"> PFS</w:t>
      </w:r>
      <w:r w:rsidR="00EC3FA5" w:rsidRPr="00E1521D">
        <w:rPr>
          <w:iCs/>
        </w:rPr>
        <w:t xml:space="preserve"> </w:t>
      </w:r>
      <w:r w:rsidR="00781928" w:rsidRPr="00E1521D">
        <w:rPr>
          <w:iCs/>
        </w:rPr>
        <w:t>of Pola</w:t>
      </w:r>
      <w:r w:rsidR="00BC0F9C">
        <w:rPr>
          <w:iCs/>
        </w:rPr>
        <w:t>+</w:t>
      </w:r>
      <w:r w:rsidR="00781928" w:rsidRPr="00E1521D">
        <w:rPr>
          <w:iCs/>
        </w:rPr>
        <w:t xml:space="preserve">R-CHP over R-CHOP </w:t>
      </w:r>
      <w:r w:rsidR="00EC3FA5" w:rsidRPr="00E1521D">
        <w:rPr>
          <w:iCs/>
        </w:rPr>
        <w:t>was modest</w:t>
      </w:r>
      <w:r w:rsidR="00781928" w:rsidRPr="00E1521D">
        <w:rPr>
          <w:iCs/>
        </w:rPr>
        <w:t xml:space="preserve"> in all patients (i.e. the ITT population of the POLARIX trial with an IPI score of 2-5). </w:t>
      </w:r>
      <w:r w:rsidR="000071FC" w:rsidRPr="00E1521D">
        <w:rPr>
          <w:iCs/>
        </w:rPr>
        <w:t>The ESC noted that Pola</w:t>
      </w:r>
      <w:r w:rsidR="00BC0F9C">
        <w:rPr>
          <w:iCs/>
        </w:rPr>
        <w:t>+</w:t>
      </w:r>
      <w:r w:rsidR="000071FC" w:rsidRPr="00E1521D">
        <w:rPr>
          <w:iCs/>
        </w:rPr>
        <w:t>R-CHP did not demonstrate an advantage over R-CHOP in terms of OS or the proportion of patients experiencing a complete or partial response.</w:t>
      </w:r>
      <w:r w:rsidR="00781928" w:rsidRPr="00E1521D">
        <w:rPr>
          <w:iCs/>
        </w:rPr>
        <w:t xml:space="preserve"> </w:t>
      </w:r>
    </w:p>
    <w:p w14:paraId="435BEFDF" w14:textId="4B359498" w:rsidR="00AD0D91" w:rsidRPr="00E1521D" w:rsidRDefault="00AD0D91" w:rsidP="00E1521D">
      <w:pPr>
        <w:pStyle w:val="3-BodyText"/>
        <w:ind w:left="720"/>
        <w:rPr>
          <w:iCs/>
        </w:rPr>
      </w:pPr>
      <w:bookmarkStart w:id="42" w:name="_Hlk120787328"/>
      <w:r w:rsidRPr="00310C14">
        <w:rPr>
          <w:iCs/>
        </w:rPr>
        <w:t>The</w:t>
      </w:r>
      <w:r w:rsidRPr="00E1521D">
        <w:rPr>
          <w:iCs/>
        </w:rPr>
        <w:t xml:space="preserve"> PBAC considered that the claim of superior comparative effectiveness in patients with an IPI score of 3-5 was </w:t>
      </w:r>
      <w:r w:rsidR="00606D75">
        <w:rPr>
          <w:iCs/>
        </w:rPr>
        <w:t xml:space="preserve">potentially </w:t>
      </w:r>
      <w:r w:rsidRPr="00E1521D">
        <w:rPr>
          <w:iCs/>
        </w:rPr>
        <w:t xml:space="preserve">reasonable in terms of </w:t>
      </w:r>
      <w:r w:rsidR="00050593" w:rsidRPr="00E1521D">
        <w:rPr>
          <w:iCs/>
        </w:rPr>
        <w:t>PFS</w:t>
      </w:r>
      <w:r w:rsidRPr="00E1521D">
        <w:rPr>
          <w:iCs/>
        </w:rPr>
        <w:t xml:space="preserve"> only. The PBAC considered that Pola</w:t>
      </w:r>
      <w:r w:rsidR="00BC0F9C">
        <w:rPr>
          <w:iCs/>
        </w:rPr>
        <w:t>+</w:t>
      </w:r>
      <w:r w:rsidRPr="00E1521D">
        <w:rPr>
          <w:iCs/>
        </w:rPr>
        <w:t xml:space="preserve">R-CHP did not provide a benefit compared to R-CHOP in terms of </w:t>
      </w:r>
      <w:r w:rsidR="00050593" w:rsidRPr="00E1521D">
        <w:rPr>
          <w:iCs/>
        </w:rPr>
        <w:t>OS</w:t>
      </w:r>
      <w:r w:rsidRPr="00E1521D">
        <w:rPr>
          <w:iCs/>
        </w:rPr>
        <w:t>.</w:t>
      </w:r>
    </w:p>
    <w:bookmarkEnd w:id="42"/>
    <w:p w14:paraId="70290884" w14:textId="4DC70478" w:rsidR="00AA2FCA" w:rsidRPr="00E1521D" w:rsidRDefault="00460F11" w:rsidP="00E1521D">
      <w:pPr>
        <w:pStyle w:val="3-BodyText"/>
        <w:ind w:left="720"/>
        <w:rPr>
          <w:iCs/>
        </w:rPr>
      </w:pPr>
      <w:r w:rsidRPr="00E1521D">
        <w:rPr>
          <w:iCs/>
        </w:rPr>
        <w:t xml:space="preserve">The </w:t>
      </w:r>
      <w:r w:rsidR="000071FC" w:rsidRPr="00E1521D">
        <w:rPr>
          <w:iCs/>
        </w:rPr>
        <w:t xml:space="preserve">ESC considered that the </w:t>
      </w:r>
      <w:r w:rsidRPr="00E1521D">
        <w:rPr>
          <w:iCs/>
        </w:rPr>
        <w:t xml:space="preserve">clinical evidence </w:t>
      </w:r>
      <w:r w:rsidR="000071FC" w:rsidRPr="00E1521D">
        <w:rPr>
          <w:iCs/>
        </w:rPr>
        <w:t xml:space="preserve">presented </w:t>
      </w:r>
      <w:r w:rsidRPr="00E1521D">
        <w:rPr>
          <w:iCs/>
        </w:rPr>
        <w:t xml:space="preserve">generally supported the claim of non-inferior safety given a similar incidence of </w:t>
      </w:r>
      <w:r w:rsidR="00C93D4F" w:rsidRPr="00E1521D">
        <w:rPr>
          <w:iCs/>
        </w:rPr>
        <w:t>AEs</w:t>
      </w:r>
      <w:r w:rsidRPr="00E1521D">
        <w:rPr>
          <w:iCs/>
        </w:rPr>
        <w:t xml:space="preserve">, including serious and grade 3-5 </w:t>
      </w:r>
      <w:r w:rsidR="00C93D4F" w:rsidRPr="00E1521D">
        <w:rPr>
          <w:iCs/>
        </w:rPr>
        <w:t>AEs</w:t>
      </w:r>
      <w:r w:rsidRPr="00E1521D">
        <w:rPr>
          <w:iCs/>
        </w:rPr>
        <w:t xml:space="preserve">. </w:t>
      </w:r>
      <w:r w:rsidR="004F2A26" w:rsidRPr="00E1521D">
        <w:rPr>
          <w:iCs/>
        </w:rPr>
        <w:t xml:space="preserve">However, the ESC considered it likely that the modest improvements in PFS may be offset by </w:t>
      </w:r>
      <w:r w:rsidRPr="00E1521D">
        <w:rPr>
          <w:iCs/>
        </w:rPr>
        <w:t xml:space="preserve">a slightly higher incidence of infections and febrile neutropenia observed with Pola+R-CHP compared to R-CHOP. </w:t>
      </w:r>
      <w:r w:rsidR="004F2A26" w:rsidRPr="00E1521D">
        <w:rPr>
          <w:iCs/>
        </w:rPr>
        <w:t>Overall, the ESC considered t</w:t>
      </w:r>
      <w:r w:rsidRPr="00E1521D">
        <w:rPr>
          <w:iCs/>
        </w:rPr>
        <w:t xml:space="preserve">he relatively high proportion of patients completing all cycles of treatment and low number of </w:t>
      </w:r>
      <w:r w:rsidR="00C93D4F" w:rsidRPr="00E1521D">
        <w:rPr>
          <w:iCs/>
        </w:rPr>
        <w:t>AEs</w:t>
      </w:r>
      <w:r w:rsidRPr="00E1521D">
        <w:rPr>
          <w:iCs/>
        </w:rPr>
        <w:t xml:space="preserve"> leading to dose interruptions/reductions suggested that </w:t>
      </w:r>
      <w:r w:rsidR="00C93D4F" w:rsidRPr="00E1521D">
        <w:rPr>
          <w:iCs/>
        </w:rPr>
        <w:t>AEs</w:t>
      </w:r>
      <w:r w:rsidRPr="00E1521D">
        <w:rPr>
          <w:iCs/>
        </w:rPr>
        <w:t xml:space="preserve"> were manageable.</w:t>
      </w:r>
    </w:p>
    <w:p w14:paraId="604BC33D" w14:textId="112896A8" w:rsidR="00FF7E35" w:rsidRPr="00E1521D" w:rsidRDefault="002C092C" w:rsidP="00E1521D">
      <w:pPr>
        <w:pStyle w:val="3-BodyText"/>
        <w:ind w:left="720"/>
        <w:rPr>
          <w:iCs/>
        </w:rPr>
      </w:pPr>
      <w:bookmarkStart w:id="43" w:name="_Hlk76376200"/>
      <w:bookmarkStart w:id="44" w:name="_Hlk120787356"/>
      <w:r w:rsidRPr="00E1521D">
        <w:rPr>
          <w:iCs/>
        </w:rPr>
        <w:t>Overall, the PBAC considered that the claim that Pola</w:t>
      </w:r>
      <w:r>
        <w:rPr>
          <w:iCs/>
        </w:rPr>
        <w:t>+</w:t>
      </w:r>
      <w:r w:rsidRPr="00E1521D">
        <w:rPr>
          <w:iCs/>
        </w:rPr>
        <w:t xml:space="preserve">R-CHP was non-inferior compared to R-CHOP in terms of safety </w:t>
      </w:r>
      <w:r>
        <w:rPr>
          <w:iCs/>
        </w:rPr>
        <w:t>may not be</w:t>
      </w:r>
      <w:r w:rsidRPr="00E1521D">
        <w:rPr>
          <w:iCs/>
        </w:rPr>
        <w:t xml:space="preserve"> reasonable</w:t>
      </w:r>
      <w:r>
        <w:rPr>
          <w:iCs/>
        </w:rPr>
        <w:t xml:space="preserve"> given the increased incidence of febrile neutropenia with Pola+R-CHP, although noted</w:t>
      </w:r>
      <w:r w:rsidRPr="00E1521D">
        <w:rPr>
          <w:iCs/>
        </w:rPr>
        <w:t xml:space="preserve"> that the AEs </w:t>
      </w:r>
      <w:r>
        <w:rPr>
          <w:iCs/>
        </w:rPr>
        <w:t>appeared</w:t>
      </w:r>
      <w:r w:rsidRPr="00E1521D">
        <w:rPr>
          <w:iCs/>
        </w:rPr>
        <w:t xml:space="preserve"> manageable</w:t>
      </w:r>
      <w:r>
        <w:rPr>
          <w:iCs/>
        </w:rPr>
        <w:t xml:space="preserve"> in the context of a clinical trial</w:t>
      </w:r>
      <w:r w:rsidRPr="00E1521D">
        <w:rPr>
          <w:iCs/>
        </w:rPr>
        <w:t>.</w:t>
      </w:r>
      <w:bookmarkEnd w:id="43"/>
    </w:p>
    <w:p w14:paraId="538DE92C" w14:textId="7E7D88E8" w:rsidR="00F811DD" w:rsidRPr="005B024E" w:rsidRDefault="00F811DD" w:rsidP="00AC7583">
      <w:pPr>
        <w:pStyle w:val="4-SubsectionHeading"/>
      </w:pPr>
      <w:bookmarkStart w:id="45" w:name="_Toc113975483"/>
      <w:bookmarkEnd w:id="44"/>
      <w:r w:rsidRPr="005B024E">
        <w:t>Economic analysis</w:t>
      </w:r>
      <w:bookmarkEnd w:id="41"/>
      <w:bookmarkEnd w:id="45"/>
    </w:p>
    <w:p w14:paraId="1756DC1C" w14:textId="5DAE36C7" w:rsidR="00EF0584" w:rsidRPr="00206B77" w:rsidRDefault="00FB40DA" w:rsidP="00206B77">
      <w:pPr>
        <w:pStyle w:val="3-BodyText"/>
        <w:ind w:left="720"/>
        <w:rPr>
          <w:iCs/>
        </w:rPr>
      </w:pPr>
      <w:bookmarkStart w:id="46" w:name="_Hlk107307804"/>
      <w:r w:rsidRPr="00E1521D">
        <w:rPr>
          <w:iCs/>
        </w:rPr>
        <w:t xml:space="preserve">The submission presented a cost-utility analysis </w:t>
      </w:r>
      <w:r w:rsidR="00F24A2E" w:rsidRPr="00E1521D">
        <w:rPr>
          <w:iCs/>
        </w:rPr>
        <w:t>comparing</w:t>
      </w:r>
      <w:r w:rsidRPr="00E1521D">
        <w:rPr>
          <w:iCs/>
        </w:rPr>
        <w:t xml:space="preserve"> Pola+R-CHP versus R-CHOP in patients with previously untreated DLBCL, based on extrapolated data from POLARIX. The submission specified the base case for the subgroup of patients with an IPI 3-5, but </w:t>
      </w:r>
      <w:r w:rsidR="00A42E76" w:rsidRPr="00E1521D">
        <w:rPr>
          <w:iCs/>
        </w:rPr>
        <w:t xml:space="preserve">also </w:t>
      </w:r>
      <w:r w:rsidR="00EE278C" w:rsidRPr="00E1521D">
        <w:rPr>
          <w:iCs/>
        </w:rPr>
        <w:t xml:space="preserve">provided results </w:t>
      </w:r>
      <w:r w:rsidRPr="00E1521D">
        <w:rPr>
          <w:iCs/>
        </w:rPr>
        <w:t xml:space="preserve">for the ITT population (IPI 2-5). </w:t>
      </w:r>
      <w:r w:rsidR="00324E4C" w:rsidRPr="00E1521D">
        <w:rPr>
          <w:iCs/>
        </w:rPr>
        <w:t>R</w:t>
      </w:r>
      <w:r w:rsidRPr="00E1521D">
        <w:rPr>
          <w:iCs/>
        </w:rPr>
        <w:t>esults of the economic evaluation for both the ITT and IPI 3-5 subgroup</w:t>
      </w:r>
      <w:r w:rsidR="00324E4C" w:rsidRPr="00E1521D">
        <w:rPr>
          <w:iCs/>
        </w:rPr>
        <w:t xml:space="preserve"> are presented below</w:t>
      </w:r>
      <w:r w:rsidRPr="00E1521D">
        <w:rPr>
          <w:iCs/>
        </w:rPr>
        <w:t>.</w:t>
      </w:r>
    </w:p>
    <w:p w14:paraId="2A11F10B" w14:textId="142E05BF" w:rsidR="00FB40DA" w:rsidRPr="005B024E" w:rsidRDefault="00FB40DA" w:rsidP="00FB40DA">
      <w:pPr>
        <w:pStyle w:val="TableFigureHeading"/>
        <w:rPr>
          <w:rStyle w:val="CommentReference"/>
          <w:b/>
          <w:szCs w:val="24"/>
        </w:rPr>
      </w:pPr>
      <w:r w:rsidRPr="005B024E">
        <w:rPr>
          <w:rStyle w:val="CommentReference"/>
          <w:b/>
          <w:szCs w:val="24"/>
        </w:rPr>
        <w:t xml:space="preserve">Table </w:t>
      </w:r>
      <w:bookmarkStart w:id="47" w:name="_Hlk111292359"/>
      <w:r w:rsidRPr="005B024E">
        <w:fldChar w:fldCharType="begin"/>
      </w:r>
      <w:r w:rsidRPr="005B024E">
        <w:instrText xml:space="preserve"> SEQ Table \* ARABIC </w:instrText>
      </w:r>
      <w:r w:rsidRPr="005B024E">
        <w:fldChar w:fldCharType="separate"/>
      </w:r>
      <w:r w:rsidR="007F2580">
        <w:rPr>
          <w:noProof/>
        </w:rPr>
        <w:t>7</w:t>
      </w:r>
      <w:r w:rsidRPr="005B024E">
        <w:rPr>
          <w:noProof/>
        </w:rPr>
        <w:fldChar w:fldCharType="end"/>
      </w:r>
      <w:bookmarkEnd w:id="47"/>
      <w:r w:rsidRPr="005B024E">
        <w:rPr>
          <w:rStyle w:val="CommentReference"/>
          <w:b/>
          <w:szCs w:val="24"/>
        </w:rPr>
        <w:t>: Key components of the economic evaluation</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32"/>
        <w:gridCol w:w="1540"/>
        <w:gridCol w:w="1560"/>
        <w:gridCol w:w="4535"/>
      </w:tblGrid>
      <w:tr w:rsidR="00FB40DA" w:rsidRPr="000B2FEE" w14:paraId="3578BE46" w14:textId="77777777" w:rsidTr="000E6451">
        <w:trPr>
          <w:tblHeader/>
        </w:trPr>
        <w:tc>
          <w:tcPr>
            <w:tcW w:w="790" w:type="pct"/>
            <w:vAlign w:val="center"/>
          </w:tcPr>
          <w:p w14:paraId="0D59020D" w14:textId="77777777" w:rsidR="00FB40DA" w:rsidRPr="000B2FEE" w:rsidRDefault="00FB40DA" w:rsidP="00027A30">
            <w:pPr>
              <w:pStyle w:val="In-tableHeading"/>
              <w:keepNext w:val="0"/>
              <w:rPr>
                <w:lang w:val="en-AU"/>
              </w:rPr>
            </w:pPr>
            <w:bookmarkStart w:id="48" w:name="_Hlk109055192"/>
            <w:r w:rsidRPr="000B2FEE">
              <w:rPr>
                <w:lang w:val="en-AU"/>
              </w:rPr>
              <w:t>Component</w:t>
            </w:r>
          </w:p>
        </w:tc>
        <w:tc>
          <w:tcPr>
            <w:tcW w:w="849" w:type="pct"/>
          </w:tcPr>
          <w:p w14:paraId="2AB0520A" w14:textId="77777777" w:rsidR="00FB40DA" w:rsidRPr="000B2FEE" w:rsidRDefault="00FB40DA" w:rsidP="00027A30">
            <w:pPr>
              <w:pStyle w:val="In-tableHeading"/>
              <w:keepNext w:val="0"/>
              <w:jc w:val="center"/>
              <w:rPr>
                <w:lang w:val="en-AU"/>
              </w:rPr>
            </w:pPr>
            <w:r w:rsidRPr="000B2FEE">
              <w:rPr>
                <w:lang w:val="en-AU"/>
              </w:rPr>
              <w:t>ITT model</w:t>
            </w:r>
          </w:p>
        </w:tc>
        <w:tc>
          <w:tcPr>
            <w:tcW w:w="860" w:type="pct"/>
          </w:tcPr>
          <w:p w14:paraId="49480EA4" w14:textId="77777777" w:rsidR="00FB40DA" w:rsidRPr="000B2FEE" w:rsidRDefault="00FB40DA" w:rsidP="00FA0D96">
            <w:pPr>
              <w:pStyle w:val="In-tableHeading"/>
              <w:keepNext w:val="0"/>
              <w:jc w:val="center"/>
              <w:rPr>
                <w:lang w:val="en-AU"/>
              </w:rPr>
            </w:pPr>
            <w:r w:rsidRPr="000B2FEE">
              <w:rPr>
                <w:lang w:val="en-AU"/>
              </w:rPr>
              <w:t>IPI 3-5 subgroup</w:t>
            </w:r>
          </w:p>
        </w:tc>
        <w:tc>
          <w:tcPr>
            <w:tcW w:w="2501" w:type="pct"/>
            <w:vAlign w:val="center"/>
          </w:tcPr>
          <w:p w14:paraId="6C668E94" w14:textId="77777777" w:rsidR="00FB40DA" w:rsidRPr="000B2FEE" w:rsidRDefault="00FB40DA" w:rsidP="00763322">
            <w:pPr>
              <w:pStyle w:val="In-tableHeading"/>
              <w:keepNext w:val="0"/>
              <w:jc w:val="both"/>
              <w:rPr>
                <w:lang w:val="en-AU"/>
              </w:rPr>
            </w:pPr>
            <w:r w:rsidRPr="000B2FEE">
              <w:rPr>
                <w:lang w:val="en-AU"/>
              </w:rPr>
              <w:t>Justification/comments</w:t>
            </w:r>
          </w:p>
        </w:tc>
      </w:tr>
      <w:tr w:rsidR="00FB40DA" w:rsidRPr="000B2FEE" w14:paraId="1D754FDD" w14:textId="77777777" w:rsidTr="000E6451">
        <w:tc>
          <w:tcPr>
            <w:tcW w:w="790" w:type="pct"/>
            <w:vAlign w:val="center"/>
          </w:tcPr>
          <w:p w14:paraId="74285CAB" w14:textId="77777777" w:rsidR="00FB40DA" w:rsidRPr="000B2FEE" w:rsidRDefault="00FB40DA" w:rsidP="00027A30">
            <w:pPr>
              <w:pStyle w:val="TableText0"/>
              <w:keepNext w:val="0"/>
            </w:pPr>
            <w:r w:rsidRPr="000B2FEE">
              <w:t>Population</w:t>
            </w:r>
          </w:p>
        </w:tc>
        <w:tc>
          <w:tcPr>
            <w:tcW w:w="849" w:type="pct"/>
            <w:vAlign w:val="center"/>
          </w:tcPr>
          <w:p w14:paraId="4B77F2C6" w14:textId="77777777" w:rsidR="00FB40DA" w:rsidRPr="000B2FEE" w:rsidRDefault="00FB40DA" w:rsidP="00027A30">
            <w:pPr>
              <w:pStyle w:val="TableText0"/>
              <w:keepNext w:val="0"/>
            </w:pPr>
            <w:r w:rsidRPr="000B2FEE">
              <w:t>Patients with IPI 2-5</w:t>
            </w:r>
          </w:p>
        </w:tc>
        <w:tc>
          <w:tcPr>
            <w:tcW w:w="860" w:type="pct"/>
            <w:vAlign w:val="center"/>
          </w:tcPr>
          <w:p w14:paraId="53A96A13" w14:textId="77777777" w:rsidR="00FB40DA" w:rsidRPr="000B2FEE" w:rsidRDefault="00FB40DA" w:rsidP="00053D05">
            <w:pPr>
              <w:pStyle w:val="TableText0"/>
              <w:keepNext w:val="0"/>
            </w:pPr>
            <w:r w:rsidRPr="000B2FEE">
              <w:t>Patients with IPI 3-5</w:t>
            </w:r>
          </w:p>
        </w:tc>
        <w:tc>
          <w:tcPr>
            <w:tcW w:w="2501" w:type="pct"/>
            <w:vAlign w:val="center"/>
          </w:tcPr>
          <w:p w14:paraId="25573412" w14:textId="3BA4C726" w:rsidR="00FB40DA" w:rsidRPr="000B2FEE" w:rsidRDefault="00FB40DA" w:rsidP="00691491">
            <w:pPr>
              <w:pStyle w:val="TableText0"/>
              <w:keepNext w:val="0"/>
            </w:pPr>
            <w:r w:rsidRPr="000B2FEE">
              <w:t>The submission presented the IPI 3-5 subgroup model as the main analysis. IPI 3-5 was a subgroup of the trial, chosen as patients appeared to show greater response to polatuzumab vedotin. As such</w:t>
            </w:r>
            <w:r w:rsidR="00F24A2E" w:rsidRPr="000B2FEE">
              <w:t>,</w:t>
            </w:r>
            <w:r w:rsidRPr="000B2FEE">
              <w:t xml:space="preserve"> both the ITT and IPI 3-5 subgroup model methods and results are presented throughout.</w:t>
            </w:r>
          </w:p>
        </w:tc>
      </w:tr>
      <w:tr w:rsidR="00FB40DA" w:rsidRPr="000B2FEE" w14:paraId="055EF6E6" w14:textId="77777777" w:rsidTr="000E6451">
        <w:tc>
          <w:tcPr>
            <w:tcW w:w="790" w:type="pct"/>
            <w:vAlign w:val="center"/>
          </w:tcPr>
          <w:p w14:paraId="3885830A" w14:textId="77777777" w:rsidR="00FB40DA" w:rsidRPr="000B2FEE" w:rsidRDefault="00FB40DA" w:rsidP="00027A30">
            <w:pPr>
              <w:pStyle w:val="TableText0"/>
              <w:keepNext w:val="0"/>
            </w:pPr>
            <w:r w:rsidRPr="000B2FEE">
              <w:t>Type of analysis</w:t>
            </w:r>
          </w:p>
        </w:tc>
        <w:tc>
          <w:tcPr>
            <w:tcW w:w="1709" w:type="pct"/>
            <w:gridSpan w:val="2"/>
          </w:tcPr>
          <w:p w14:paraId="7500E17C" w14:textId="77777777" w:rsidR="00FB40DA" w:rsidRPr="000B2FEE" w:rsidRDefault="00FB40DA" w:rsidP="00027A30">
            <w:pPr>
              <w:pStyle w:val="TableText0"/>
              <w:keepNext w:val="0"/>
            </w:pPr>
            <w:r w:rsidRPr="000B2FEE">
              <w:t>Cost-utility</w:t>
            </w:r>
          </w:p>
        </w:tc>
        <w:tc>
          <w:tcPr>
            <w:tcW w:w="2501" w:type="pct"/>
            <w:vAlign w:val="center"/>
          </w:tcPr>
          <w:p w14:paraId="3DD73D7F" w14:textId="3FC03E3C" w:rsidR="00FB40DA" w:rsidRPr="000B2FEE" w:rsidRDefault="00FB40DA" w:rsidP="00763322">
            <w:pPr>
              <w:pStyle w:val="TableText0"/>
              <w:keepNext w:val="0"/>
              <w:jc w:val="both"/>
            </w:pPr>
            <w:r w:rsidRPr="000B2FEE">
              <w:t>Appropriate</w:t>
            </w:r>
            <w:r w:rsidR="00053D05" w:rsidRPr="000B2FEE">
              <w:t>.</w:t>
            </w:r>
          </w:p>
        </w:tc>
      </w:tr>
      <w:tr w:rsidR="00FB40DA" w:rsidRPr="000B2FEE" w14:paraId="1C3563E9" w14:textId="77777777" w:rsidTr="000E6451">
        <w:tc>
          <w:tcPr>
            <w:tcW w:w="790" w:type="pct"/>
            <w:vAlign w:val="center"/>
          </w:tcPr>
          <w:p w14:paraId="27328D27" w14:textId="77777777" w:rsidR="00FB40DA" w:rsidRPr="000B2FEE" w:rsidRDefault="00FB40DA" w:rsidP="00027A30">
            <w:pPr>
              <w:pStyle w:val="TableText0"/>
              <w:keepNext w:val="0"/>
            </w:pPr>
            <w:r w:rsidRPr="000B2FEE">
              <w:t>Outcomes</w:t>
            </w:r>
          </w:p>
        </w:tc>
        <w:tc>
          <w:tcPr>
            <w:tcW w:w="1709" w:type="pct"/>
            <w:gridSpan w:val="2"/>
          </w:tcPr>
          <w:p w14:paraId="595DE277" w14:textId="0A351605" w:rsidR="00FB40DA" w:rsidRPr="000B2FEE" w:rsidRDefault="008717E4" w:rsidP="00027A30">
            <w:pPr>
              <w:pStyle w:val="TableText0"/>
              <w:keepNext w:val="0"/>
            </w:pPr>
            <w:r>
              <w:t>L</w:t>
            </w:r>
            <w:r w:rsidR="00FB40DA" w:rsidRPr="000B2FEE">
              <w:t>ife years gained</w:t>
            </w:r>
            <w:r w:rsidR="00053D05" w:rsidRPr="000B2FEE">
              <w:t xml:space="preserve"> (LYG)</w:t>
            </w:r>
            <w:r w:rsidR="00FB40DA" w:rsidRPr="000B2FEE">
              <w:t>, quality-adjusted life years</w:t>
            </w:r>
            <w:r w:rsidR="00053D05" w:rsidRPr="000B2FEE">
              <w:t xml:space="preserve"> (QALYs)</w:t>
            </w:r>
          </w:p>
        </w:tc>
        <w:tc>
          <w:tcPr>
            <w:tcW w:w="2501" w:type="pct"/>
            <w:vAlign w:val="center"/>
          </w:tcPr>
          <w:p w14:paraId="01C5CC25" w14:textId="4D205E9C" w:rsidR="00FB40DA" w:rsidRPr="000B2FEE" w:rsidRDefault="00FB40DA" w:rsidP="00763322">
            <w:pPr>
              <w:pStyle w:val="TableText0"/>
              <w:keepNext w:val="0"/>
              <w:jc w:val="both"/>
            </w:pPr>
            <w:r w:rsidRPr="000B2FEE">
              <w:t>Appropriate</w:t>
            </w:r>
            <w:r w:rsidR="00053D05" w:rsidRPr="000B2FEE">
              <w:t>.</w:t>
            </w:r>
          </w:p>
        </w:tc>
      </w:tr>
      <w:tr w:rsidR="00FB40DA" w:rsidRPr="000B2FEE" w14:paraId="542E0657" w14:textId="77777777" w:rsidTr="000E6451">
        <w:tc>
          <w:tcPr>
            <w:tcW w:w="790" w:type="pct"/>
            <w:vAlign w:val="center"/>
          </w:tcPr>
          <w:p w14:paraId="4746AB87" w14:textId="77777777" w:rsidR="00FB40DA" w:rsidRPr="000B2FEE" w:rsidRDefault="00FB40DA" w:rsidP="00027A30">
            <w:pPr>
              <w:pStyle w:val="TableText0"/>
              <w:keepNext w:val="0"/>
            </w:pPr>
            <w:r w:rsidRPr="000B2FEE">
              <w:t>Time horizon</w:t>
            </w:r>
          </w:p>
        </w:tc>
        <w:tc>
          <w:tcPr>
            <w:tcW w:w="1709" w:type="pct"/>
            <w:gridSpan w:val="2"/>
            <w:vAlign w:val="center"/>
          </w:tcPr>
          <w:p w14:paraId="7D2F2844" w14:textId="3B1C178D" w:rsidR="00FB40DA" w:rsidRPr="000B2FEE" w:rsidRDefault="00FB40DA" w:rsidP="00027A30">
            <w:pPr>
              <w:pStyle w:val="TableText0"/>
              <w:keepNext w:val="0"/>
            </w:pPr>
            <w:r w:rsidRPr="000B2FEE">
              <w:t>25 years in the model base case vs. 28.2 months in POLARIX</w:t>
            </w:r>
            <w:r w:rsidR="00053D05" w:rsidRPr="000B2FEE">
              <w:t>.</w:t>
            </w:r>
          </w:p>
        </w:tc>
        <w:tc>
          <w:tcPr>
            <w:tcW w:w="2501" w:type="pct"/>
            <w:vAlign w:val="center"/>
          </w:tcPr>
          <w:p w14:paraId="1528AAD2" w14:textId="15511668" w:rsidR="00FB40DA" w:rsidRPr="000B2FEE" w:rsidRDefault="00F24A2E" w:rsidP="00691491">
            <w:pPr>
              <w:pStyle w:val="TableText0"/>
              <w:keepNext w:val="0"/>
            </w:pPr>
            <w:r w:rsidRPr="000B2FEE">
              <w:t>A 25-</w:t>
            </w:r>
            <w:r w:rsidR="00FB40DA" w:rsidRPr="000B2FEE">
              <w:t xml:space="preserve">year time horizon may be reasonable for patients who achieve ‘cured’ status, but </w:t>
            </w:r>
            <w:r w:rsidR="00324E4C">
              <w:t xml:space="preserve">it </w:t>
            </w:r>
            <w:r w:rsidRPr="000B2FEE">
              <w:t>was extrapolated from short-</w:t>
            </w:r>
            <w:r w:rsidR="00FB40DA" w:rsidRPr="000B2FEE">
              <w:t>term trial data.</w:t>
            </w:r>
            <w:r w:rsidR="00874BD2">
              <w:t xml:space="preserve"> The time horizon was reduced to 20 years in the revised base case presented in the pre-PBAC response (p2).</w:t>
            </w:r>
          </w:p>
        </w:tc>
      </w:tr>
      <w:tr w:rsidR="00FB40DA" w:rsidRPr="000B2FEE" w14:paraId="4D1138BE" w14:textId="77777777" w:rsidTr="000E6451">
        <w:tc>
          <w:tcPr>
            <w:tcW w:w="790" w:type="pct"/>
            <w:vAlign w:val="center"/>
          </w:tcPr>
          <w:p w14:paraId="04B61F76" w14:textId="77777777" w:rsidR="00FB40DA" w:rsidRPr="000B2FEE" w:rsidRDefault="00FB40DA" w:rsidP="00027A30">
            <w:pPr>
              <w:pStyle w:val="TableText0"/>
              <w:keepNext w:val="0"/>
            </w:pPr>
            <w:r w:rsidRPr="000B2FEE">
              <w:t>Methods used to generate results</w:t>
            </w:r>
          </w:p>
        </w:tc>
        <w:tc>
          <w:tcPr>
            <w:tcW w:w="1709" w:type="pct"/>
            <w:gridSpan w:val="2"/>
            <w:vAlign w:val="center"/>
          </w:tcPr>
          <w:p w14:paraId="59E19BE7" w14:textId="68300685" w:rsidR="00FB40DA" w:rsidRPr="000B2FEE" w:rsidRDefault="00FE728C" w:rsidP="00027A30">
            <w:pPr>
              <w:pStyle w:val="TableText0"/>
              <w:keepNext w:val="0"/>
            </w:pPr>
            <w:r w:rsidRPr="000B2FEE">
              <w:t>Mixture-cure</w:t>
            </w:r>
            <w:r w:rsidR="00FB40DA" w:rsidRPr="000B2FEE">
              <w:t xml:space="preserve"> model. The submission stated that patients assumed cured if progression free at 2 years. This statement appeared to be a justification for the general approach rather than an </w:t>
            </w:r>
            <w:r w:rsidR="00FB40DA" w:rsidRPr="000B2FEE">
              <w:lastRenderedPageBreak/>
              <w:t xml:space="preserve">assumption of the </w:t>
            </w:r>
            <w:r w:rsidRPr="000B2FEE">
              <w:t>mixture-cure</w:t>
            </w:r>
            <w:r w:rsidR="00FB40DA" w:rsidRPr="000B2FEE">
              <w:t xml:space="preserve"> model itself.</w:t>
            </w:r>
          </w:p>
        </w:tc>
        <w:tc>
          <w:tcPr>
            <w:tcW w:w="2501" w:type="pct"/>
            <w:vAlign w:val="center"/>
          </w:tcPr>
          <w:p w14:paraId="3F26C2F0" w14:textId="6031FB57" w:rsidR="00FB40DA" w:rsidRPr="00476211" w:rsidRDefault="00591277" w:rsidP="00691491">
            <w:pPr>
              <w:pStyle w:val="TableText0"/>
              <w:keepNext w:val="0"/>
            </w:pPr>
            <w:r w:rsidRPr="00476211">
              <w:lastRenderedPageBreak/>
              <w:t>Uncertain. Although t</w:t>
            </w:r>
            <w:r w:rsidR="00FB40DA" w:rsidRPr="00476211">
              <w:t xml:space="preserve">he estimated models cure fractions </w:t>
            </w:r>
            <w:r w:rsidRPr="00476211">
              <w:t>we</w:t>
            </w:r>
            <w:r w:rsidR="00FB40DA" w:rsidRPr="00476211">
              <w:t xml:space="preserve">re uncertain due to limited evidence of cure (i.e. </w:t>
            </w:r>
            <w:r w:rsidR="00053D05" w:rsidRPr="00476211">
              <w:t>there was no</w:t>
            </w:r>
            <w:r w:rsidR="00FB40DA" w:rsidRPr="00476211">
              <w:t xml:space="preserve"> plateau of survival curves) used to fit the models</w:t>
            </w:r>
            <w:r w:rsidR="00014CD9" w:rsidRPr="00476211">
              <w:t>, the ESC considered that i</w:t>
            </w:r>
            <w:r w:rsidR="00CA1123" w:rsidRPr="00476211">
              <w:t>t</w:t>
            </w:r>
            <w:r w:rsidR="00014CD9" w:rsidRPr="00476211">
              <w:t xml:space="preserve"> was reasonable, from a clinical perspective, to define a patient as cured if they remained progression free after 2 years</w:t>
            </w:r>
            <w:r w:rsidR="00FB40DA" w:rsidRPr="00476211">
              <w:t xml:space="preserve">. </w:t>
            </w:r>
            <w:r w:rsidR="00014CD9" w:rsidRPr="00476211">
              <w:t>However</w:t>
            </w:r>
            <w:r w:rsidR="00FB40DA" w:rsidRPr="00476211">
              <w:t xml:space="preserve">, the </w:t>
            </w:r>
            <w:r w:rsidR="005F3B41" w:rsidRPr="00476211">
              <w:t>mixture-cure</w:t>
            </w:r>
            <w:r w:rsidR="00FB40DA" w:rsidRPr="00476211">
              <w:t xml:space="preserve"> model does not </w:t>
            </w:r>
            <w:r w:rsidR="00FB40DA" w:rsidRPr="00476211">
              <w:lastRenderedPageBreak/>
              <w:t xml:space="preserve">adjust mortality for benefits of potentially curative subsequent treatments such as stem cell transplant and CAR-T in ‘uncured’ patients, </w:t>
            </w:r>
            <w:r w:rsidR="00053D05" w:rsidRPr="00476211">
              <w:t xml:space="preserve">despite attributing costs </w:t>
            </w:r>
            <w:r w:rsidR="00FB40DA" w:rsidRPr="00476211">
              <w:t>for</w:t>
            </w:r>
            <w:r w:rsidR="00053D05" w:rsidRPr="00476211">
              <w:t xml:space="preserve"> these treatments</w:t>
            </w:r>
            <w:r w:rsidR="00FB40DA" w:rsidRPr="00476211">
              <w:t>.</w:t>
            </w:r>
          </w:p>
        </w:tc>
      </w:tr>
      <w:tr w:rsidR="00FB40DA" w:rsidRPr="000B2FEE" w14:paraId="3BB51A61" w14:textId="77777777" w:rsidTr="000E6451">
        <w:tc>
          <w:tcPr>
            <w:tcW w:w="790" w:type="pct"/>
            <w:vAlign w:val="center"/>
          </w:tcPr>
          <w:p w14:paraId="28BABCC6" w14:textId="77777777" w:rsidR="00FB40DA" w:rsidRPr="000B2FEE" w:rsidRDefault="00FB40DA" w:rsidP="00027A30">
            <w:pPr>
              <w:pStyle w:val="TableText0"/>
              <w:keepNext w:val="0"/>
            </w:pPr>
            <w:r w:rsidRPr="000B2FEE">
              <w:lastRenderedPageBreak/>
              <w:t>Health states</w:t>
            </w:r>
          </w:p>
        </w:tc>
        <w:tc>
          <w:tcPr>
            <w:tcW w:w="1709" w:type="pct"/>
            <w:gridSpan w:val="2"/>
            <w:vAlign w:val="center"/>
          </w:tcPr>
          <w:p w14:paraId="1EE8B30D" w14:textId="0797BB9C" w:rsidR="00FB40DA" w:rsidRPr="000B2FEE" w:rsidRDefault="00FB40DA" w:rsidP="00027A30">
            <w:pPr>
              <w:pStyle w:val="TableText0"/>
              <w:keepNext w:val="0"/>
            </w:pPr>
            <w:r w:rsidRPr="000B2FEE">
              <w:t xml:space="preserve">PFS, </w:t>
            </w:r>
            <w:r w:rsidR="007A24D2" w:rsidRPr="000B2FEE">
              <w:t xml:space="preserve">Progressed Disease (PD), </w:t>
            </w:r>
            <w:r w:rsidRPr="000B2FEE">
              <w:t>Dead</w:t>
            </w:r>
          </w:p>
        </w:tc>
        <w:tc>
          <w:tcPr>
            <w:tcW w:w="2501" w:type="pct"/>
            <w:vAlign w:val="center"/>
          </w:tcPr>
          <w:p w14:paraId="6029B943" w14:textId="7044A236" w:rsidR="00FB40DA" w:rsidRPr="00476211" w:rsidRDefault="00FB40DA" w:rsidP="00763322">
            <w:pPr>
              <w:pStyle w:val="TableText0"/>
              <w:keepNext w:val="0"/>
              <w:jc w:val="both"/>
            </w:pPr>
            <w:r w:rsidRPr="00476211">
              <w:t>Reasonable</w:t>
            </w:r>
            <w:r w:rsidR="00053D05" w:rsidRPr="00476211">
              <w:t>.</w:t>
            </w:r>
          </w:p>
        </w:tc>
      </w:tr>
      <w:tr w:rsidR="00FB40DA" w:rsidRPr="000B2FEE" w14:paraId="742A3B17" w14:textId="77777777" w:rsidTr="000E6451">
        <w:tc>
          <w:tcPr>
            <w:tcW w:w="790" w:type="pct"/>
            <w:vAlign w:val="center"/>
          </w:tcPr>
          <w:p w14:paraId="2DC1C951" w14:textId="77777777" w:rsidR="00FB40DA" w:rsidRPr="000B2FEE" w:rsidRDefault="00FB40DA" w:rsidP="00027A30">
            <w:pPr>
              <w:pStyle w:val="TableText0"/>
              <w:keepNext w:val="0"/>
            </w:pPr>
            <w:r w:rsidRPr="000B2FEE">
              <w:t>Cycle length</w:t>
            </w:r>
          </w:p>
        </w:tc>
        <w:tc>
          <w:tcPr>
            <w:tcW w:w="1709" w:type="pct"/>
            <w:gridSpan w:val="2"/>
            <w:vAlign w:val="center"/>
          </w:tcPr>
          <w:p w14:paraId="7E54E63D" w14:textId="48B92C3F" w:rsidR="00FB40DA" w:rsidRPr="000B2FEE" w:rsidRDefault="00FB40DA" w:rsidP="00027A30">
            <w:pPr>
              <w:pStyle w:val="TableText0"/>
              <w:keepNext w:val="0"/>
            </w:pPr>
            <w:r w:rsidRPr="000B2FEE">
              <w:t>1 week, with half cycle correction</w:t>
            </w:r>
            <w:r w:rsidR="00053D05" w:rsidRPr="000B2FEE">
              <w:t>.</w:t>
            </w:r>
          </w:p>
        </w:tc>
        <w:tc>
          <w:tcPr>
            <w:tcW w:w="2501" w:type="pct"/>
            <w:vAlign w:val="center"/>
          </w:tcPr>
          <w:p w14:paraId="331CD528" w14:textId="4223393E" w:rsidR="00FB40DA" w:rsidRPr="00476211" w:rsidRDefault="00514FE9" w:rsidP="00691491">
            <w:pPr>
              <w:pStyle w:val="TableText0"/>
              <w:keepNext w:val="0"/>
            </w:pPr>
            <w:r w:rsidRPr="00476211">
              <w:t>The short cycle length m</w:t>
            </w:r>
            <w:r w:rsidR="00FB40DA" w:rsidRPr="00476211">
              <w:t xml:space="preserve">ay be too granular </w:t>
            </w:r>
            <w:r w:rsidRPr="00476211">
              <w:t xml:space="preserve">compared to </w:t>
            </w:r>
            <w:r w:rsidR="00BB1474" w:rsidRPr="00476211">
              <w:t xml:space="preserve">the </w:t>
            </w:r>
            <w:r w:rsidR="00FB40DA" w:rsidRPr="00476211">
              <w:t xml:space="preserve">uncertain </w:t>
            </w:r>
            <w:r w:rsidRPr="00476211">
              <w:t>future events</w:t>
            </w:r>
            <w:r w:rsidR="00BB1474" w:rsidRPr="00476211">
              <w:t xml:space="preserve"> which were</w:t>
            </w:r>
            <w:r w:rsidRPr="00476211">
              <w:t xml:space="preserve"> modelled </w:t>
            </w:r>
            <w:r w:rsidR="00FB40DA" w:rsidRPr="00476211">
              <w:t xml:space="preserve">on </w:t>
            </w:r>
            <w:r w:rsidRPr="00476211">
              <w:t xml:space="preserve">long range </w:t>
            </w:r>
            <w:r w:rsidR="00FB40DA" w:rsidRPr="00476211">
              <w:t>extrapolations.</w:t>
            </w:r>
            <w:r w:rsidR="001B2843" w:rsidRPr="00476211">
              <w:t xml:space="preserve"> </w:t>
            </w:r>
            <w:r w:rsidR="00FB40DA" w:rsidRPr="00476211">
              <w:t>The half cycle correction also likely contributed to underestimating the mean number of treatment cycles (1% patients were not costed for any treatment and 50% patients were not costed for a 6</w:t>
            </w:r>
            <w:r w:rsidR="00FB40DA" w:rsidRPr="00476211">
              <w:rPr>
                <w:vertAlign w:val="superscript"/>
              </w:rPr>
              <w:t>th</w:t>
            </w:r>
            <w:r w:rsidR="00FB40DA" w:rsidRPr="00476211">
              <w:t xml:space="preserve"> cycle of polatuzumab vedotin compared to 15% without the half cycle correction).</w:t>
            </w:r>
            <w:r w:rsidR="009A05AB" w:rsidRPr="00476211">
              <w:t xml:space="preserve"> The PSCR provided a revised base case in which the half cycle correction for first-line drug costs only were removed. A further revision is presented in </w:t>
            </w:r>
            <w:r w:rsidR="00C44145" w:rsidRPr="00476211">
              <w:fldChar w:fldCharType="begin"/>
            </w:r>
            <w:r w:rsidR="00C44145" w:rsidRPr="00476211">
              <w:instrText xml:space="preserve"> REF _Ref111485416 \h  \* MERGEFORMAT </w:instrText>
            </w:r>
            <w:r w:rsidR="00C44145" w:rsidRPr="00476211">
              <w:fldChar w:fldCharType="separate"/>
            </w:r>
            <w:r w:rsidR="007F2580" w:rsidRPr="007F2580">
              <w:rPr>
                <w:bCs w:val="0"/>
              </w:rPr>
              <w:t>Table</w:t>
            </w:r>
            <w:r w:rsidR="007F2580" w:rsidRPr="007F2580">
              <w:t xml:space="preserve"> </w:t>
            </w:r>
            <w:r w:rsidR="007F2580">
              <w:t>11</w:t>
            </w:r>
            <w:r w:rsidR="00C44145" w:rsidRPr="00476211">
              <w:fldChar w:fldCharType="end"/>
            </w:r>
            <w:r w:rsidR="00731230" w:rsidRPr="00476211">
              <w:t xml:space="preserve"> </w:t>
            </w:r>
            <w:r w:rsidR="009A05AB" w:rsidRPr="00476211">
              <w:t>in which the half cycle correction for all costs and benefits is removed.</w:t>
            </w:r>
          </w:p>
        </w:tc>
      </w:tr>
      <w:tr w:rsidR="00FB40DA" w:rsidRPr="000B2FEE" w14:paraId="372AC5AF" w14:textId="77777777" w:rsidTr="000E6451">
        <w:trPr>
          <w:trHeight w:val="448"/>
        </w:trPr>
        <w:tc>
          <w:tcPr>
            <w:tcW w:w="790" w:type="pct"/>
            <w:vAlign w:val="center"/>
          </w:tcPr>
          <w:p w14:paraId="1329E036" w14:textId="77777777" w:rsidR="00FB40DA" w:rsidRPr="000B2FEE" w:rsidRDefault="00FB40DA" w:rsidP="00027A30">
            <w:pPr>
              <w:pStyle w:val="TableText0"/>
              <w:keepNext w:val="0"/>
            </w:pPr>
            <w:r w:rsidRPr="000B2FEE">
              <w:t>Transition probabilities</w:t>
            </w:r>
          </w:p>
        </w:tc>
        <w:tc>
          <w:tcPr>
            <w:tcW w:w="849" w:type="pct"/>
          </w:tcPr>
          <w:p w14:paraId="2C4787EF" w14:textId="1B6F1132" w:rsidR="0065312C" w:rsidRPr="000B2FEE" w:rsidRDefault="0065312C" w:rsidP="00027A30">
            <w:pPr>
              <w:pStyle w:val="TableText0"/>
              <w:keepNext w:val="0"/>
            </w:pPr>
            <w:r w:rsidRPr="000B2FEE">
              <w:t>Based on the submitted Excel model:</w:t>
            </w:r>
          </w:p>
          <w:p w14:paraId="488B3F06" w14:textId="760EAE74" w:rsidR="00FB40DA" w:rsidRPr="000B2FEE" w:rsidRDefault="00FB40DA" w:rsidP="00027A30">
            <w:pPr>
              <w:pStyle w:val="TableText0"/>
              <w:keepNext w:val="0"/>
            </w:pPr>
            <w:r w:rsidRPr="000B2FEE">
              <w:t xml:space="preserve">PFS and OS </w:t>
            </w:r>
            <w:r w:rsidRPr="000B2FEE">
              <w:rPr>
                <w:b/>
              </w:rPr>
              <w:t>ITT</w:t>
            </w:r>
            <w:r w:rsidRPr="000B2FEE">
              <w:t xml:space="preserve"> KM data from POLARIX to 28.2 months followed by</w:t>
            </w:r>
            <w:r w:rsidR="001124C8" w:rsidRPr="000B2FEE">
              <w:t xml:space="preserve"> </w:t>
            </w:r>
            <w:r w:rsidR="001124C8" w:rsidRPr="000B2FEE">
              <w:rPr>
                <w:u w:val="single"/>
              </w:rPr>
              <w:t>independent</w:t>
            </w:r>
            <w:r w:rsidRPr="000B2FEE">
              <w:t xml:space="preserve"> </w:t>
            </w:r>
            <w:r w:rsidRPr="000B2FEE">
              <w:rPr>
                <w:b/>
              </w:rPr>
              <w:t>gamma</w:t>
            </w:r>
            <w:r w:rsidRPr="000B2FEE">
              <w:t xml:space="preserve"> extrapolations averaged f</w:t>
            </w:r>
            <w:r w:rsidR="004556F2" w:rsidRPr="000B2FEE">
              <w:t>or cured and non-cured patients.</w:t>
            </w:r>
          </w:p>
          <w:p w14:paraId="20FDA6FE" w14:textId="77777777" w:rsidR="00FB40DA" w:rsidRPr="000B2FEE" w:rsidRDefault="00FB40DA" w:rsidP="00027A30">
            <w:pPr>
              <w:pStyle w:val="TableText0"/>
              <w:keepNext w:val="0"/>
            </w:pPr>
          </w:p>
          <w:p w14:paraId="3DFC21A2" w14:textId="61FDC6B4" w:rsidR="00FB40DA" w:rsidRPr="000B2FEE" w:rsidRDefault="00FB40DA" w:rsidP="00027A30">
            <w:pPr>
              <w:pStyle w:val="TableText0"/>
              <w:keepNext w:val="0"/>
            </w:pPr>
            <w:r w:rsidRPr="000B2FEE">
              <w:t>PFS mortality (i.e.</w:t>
            </w:r>
            <w:r w:rsidR="003F4436" w:rsidRPr="000B2FEE">
              <w:t xml:space="preserve"> in</w:t>
            </w:r>
            <w:r w:rsidRPr="000B2FEE">
              <w:t xml:space="preserve"> cured patients only from 28.2 months) each cycle had to be at least equal to OS mortality (i.e. combination of cured and uncured patients) each cycle. OS was restricted to not exc</w:t>
            </w:r>
            <w:r w:rsidR="004556F2" w:rsidRPr="000B2FEE">
              <w:t>eed general population survival.</w:t>
            </w:r>
          </w:p>
          <w:p w14:paraId="0CA32902" w14:textId="77777777" w:rsidR="00FB40DA" w:rsidRPr="000B2FEE" w:rsidRDefault="00FB40DA" w:rsidP="00027A30">
            <w:pPr>
              <w:pStyle w:val="TableText0"/>
              <w:keepNext w:val="0"/>
            </w:pPr>
          </w:p>
          <w:p w14:paraId="6A68ED71" w14:textId="662459BD" w:rsidR="00FB40DA" w:rsidRPr="000B2FEE" w:rsidRDefault="00FB40DA" w:rsidP="00027A30">
            <w:pPr>
              <w:pStyle w:val="TableText0"/>
              <w:keepNext w:val="0"/>
            </w:pPr>
            <w:r w:rsidRPr="000B2FEE">
              <w:t>Time on treatment modelled separately with KM data from POLARIX</w:t>
            </w:r>
            <w:r w:rsidR="004556F2" w:rsidRPr="000B2FEE">
              <w:t>.</w:t>
            </w:r>
          </w:p>
        </w:tc>
        <w:tc>
          <w:tcPr>
            <w:tcW w:w="860" w:type="pct"/>
          </w:tcPr>
          <w:p w14:paraId="5669FF56" w14:textId="40D7C292" w:rsidR="00FB40DA" w:rsidRPr="000B2FEE" w:rsidRDefault="00FB40DA" w:rsidP="00FA0D96">
            <w:pPr>
              <w:pStyle w:val="TableText0"/>
              <w:keepNext w:val="0"/>
            </w:pPr>
            <w:r w:rsidRPr="000B2FEE">
              <w:t xml:space="preserve">PFS and OS </w:t>
            </w:r>
            <w:r w:rsidRPr="000B2FEE">
              <w:rPr>
                <w:b/>
              </w:rPr>
              <w:t>IPI 3-5 subgroup</w:t>
            </w:r>
            <w:r w:rsidRPr="000B2FEE">
              <w:t xml:space="preserve"> KM data from POLARIX to 28.2 months followed by</w:t>
            </w:r>
            <w:r w:rsidR="001124C8" w:rsidRPr="000B2FEE">
              <w:t xml:space="preserve"> </w:t>
            </w:r>
            <w:r w:rsidR="001124C8" w:rsidRPr="000B2FEE">
              <w:rPr>
                <w:u w:val="single"/>
              </w:rPr>
              <w:t>independent</w:t>
            </w:r>
            <w:r w:rsidRPr="000B2FEE">
              <w:t xml:space="preserve"> </w:t>
            </w:r>
            <w:r w:rsidRPr="000B2FEE">
              <w:rPr>
                <w:b/>
              </w:rPr>
              <w:t>log-normal</w:t>
            </w:r>
            <w:r w:rsidRPr="000B2FEE">
              <w:t xml:space="preserve"> extrapolations averaged f</w:t>
            </w:r>
            <w:r w:rsidR="004556F2" w:rsidRPr="000B2FEE">
              <w:t>or cured and non-cured patients.</w:t>
            </w:r>
          </w:p>
          <w:p w14:paraId="3B7566AD" w14:textId="77777777" w:rsidR="00FB40DA" w:rsidRPr="000B2FEE" w:rsidRDefault="00FB40DA" w:rsidP="00FA0D96">
            <w:pPr>
              <w:pStyle w:val="TableText0"/>
              <w:keepNext w:val="0"/>
            </w:pPr>
          </w:p>
          <w:p w14:paraId="21F0CBEC" w14:textId="5AD25EBE" w:rsidR="00FB40DA" w:rsidRPr="000B2FEE" w:rsidRDefault="00FB40DA" w:rsidP="00FA0D96">
            <w:pPr>
              <w:pStyle w:val="TableText0"/>
              <w:keepNext w:val="0"/>
            </w:pPr>
            <w:r w:rsidRPr="000B2FEE">
              <w:t>PFS mortality each cycle had to be at least equal to OS mortality each cycle. OS was restricted to not exc</w:t>
            </w:r>
            <w:r w:rsidR="004556F2" w:rsidRPr="000B2FEE">
              <w:t>eed general population survival.</w:t>
            </w:r>
          </w:p>
          <w:p w14:paraId="2DCBE4BE" w14:textId="77777777" w:rsidR="00FB40DA" w:rsidRPr="000B2FEE" w:rsidRDefault="00FB40DA" w:rsidP="00FA0D96">
            <w:pPr>
              <w:pStyle w:val="TableText0"/>
              <w:keepNext w:val="0"/>
            </w:pPr>
          </w:p>
          <w:p w14:paraId="021315DC" w14:textId="7AD5E365" w:rsidR="00FB40DA" w:rsidRPr="000B2FEE" w:rsidRDefault="00FB40DA" w:rsidP="00FA0D96">
            <w:pPr>
              <w:pStyle w:val="TableText0"/>
              <w:keepNext w:val="0"/>
            </w:pPr>
            <w:r w:rsidRPr="000B2FEE">
              <w:t>Time on treatment modelled separately with KM data from POLARIX</w:t>
            </w:r>
            <w:r w:rsidR="004556F2" w:rsidRPr="000B2FEE">
              <w:t>.</w:t>
            </w:r>
          </w:p>
        </w:tc>
        <w:tc>
          <w:tcPr>
            <w:tcW w:w="2501" w:type="pct"/>
            <w:vAlign w:val="center"/>
          </w:tcPr>
          <w:p w14:paraId="313A3B51" w14:textId="79E68C50" w:rsidR="00FB40DA" w:rsidRPr="000B2FEE" w:rsidRDefault="00FB40DA" w:rsidP="00731230">
            <w:pPr>
              <w:pStyle w:val="TableText0"/>
              <w:keepNext w:val="0"/>
            </w:pPr>
            <w:r w:rsidRPr="000B2FEE">
              <w:t xml:space="preserve">No difference in OS was observed in </w:t>
            </w:r>
            <w:r w:rsidR="009B39E6" w:rsidRPr="000B2FEE">
              <w:t>POLARIX. In the model</w:t>
            </w:r>
            <w:r w:rsidR="0037624A" w:rsidRPr="000B2FEE">
              <w:t>s</w:t>
            </w:r>
            <w:r w:rsidR="009B39E6" w:rsidRPr="000B2FEE">
              <w:t xml:space="preserve">, differences in </w:t>
            </w:r>
            <w:r w:rsidRPr="000B2FEE">
              <w:t xml:space="preserve">OS were driven by the </w:t>
            </w:r>
            <w:r w:rsidR="004F5377" w:rsidRPr="000B2FEE">
              <w:t>proportion</w:t>
            </w:r>
            <w:r w:rsidR="009B39E6" w:rsidRPr="000B2FEE">
              <w:t>s</w:t>
            </w:r>
            <w:r w:rsidR="004F5377" w:rsidRPr="000B2FEE">
              <w:t xml:space="preserve"> assumed </w:t>
            </w:r>
            <w:r w:rsidR="004556F2" w:rsidRPr="000B2FEE">
              <w:t>‘</w:t>
            </w:r>
            <w:r w:rsidRPr="000B2FEE">
              <w:t xml:space="preserve">cured’ </w:t>
            </w:r>
            <w:r w:rsidR="009B39E6" w:rsidRPr="000B2FEE">
              <w:t xml:space="preserve">(cure fraction) </w:t>
            </w:r>
            <w:r w:rsidRPr="000B2FEE">
              <w:t>in each arm</w:t>
            </w:r>
            <w:r w:rsidR="004F5377" w:rsidRPr="000B2FEE">
              <w:t xml:space="preserve">. </w:t>
            </w:r>
            <w:r w:rsidR="00E1771F" w:rsidRPr="000B2FEE">
              <w:t xml:space="preserve">Cure fractions </w:t>
            </w:r>
            <w:r w:rsidR="004F5377" w:rsidRPr="000B2FEE">
              <w:t>w</w:t>
            </w:r>
            <w:r w:rsidR="009B39E6" w:rsidRPr="000B2FEE">
              <w:t xml:space="preserve">ere </w:t>
            </w:r>
            <w:r w:rsidR="004F5377" w:rsidRPr="000B2FEE">
              <w:t>estimated from</w:t>
            </w:r>
            <w:r w:rsidR="009B39E6" w:rsidRPr="000B2FEE">
              <w:t xml:space="preserve"> </w:t>
            </w:r>
            <w:r w:rsidR="0003079F" w:rsidRPr="000B2FEE">
              <w:t>POLARIX</w:t>
            </w:r>
            <w:r w:rsidR="009B39E6" w:rsidRPr="000B2FEE">
              <w:t>,</w:t>
            </w:r>
            <w:r w:rsidR="00E1771F" w:rsidRPr="000B2FEE">
              <w:t xml:space="preserve"> but</w:t>
            </w:r>
            <w:r w:rsidRPr="000B2FEE">
              <w:t xml:space="preserve"> </w:t>
            </w:r>
            <w:r w:rsidR="004F5377" w:rsidRPr="000B2FEE">
              <w:t xml:space="preserve">results </w:t>
            </w:r>
            <w:r w:rsidRPr="000B2FEE">
              <w:t xml:space="preserve">varied </w:t>
            </w:r>
            <w:r w:rsidR="00E1771F" w:rsidRPr="000B2FEE">
              <w:t xml:space="preserve">widely </w:t>
            </w:r>
            <w:r w:rsidRPr="000B2FEE">
              <w:t xml:space="preserve">depending </w:t>
            </w:r>
            <w:r w:rsidR="004F5377" w:rsidRPr="000B2FEE">
              <w:t xml:space="preserve">on the </w:t>
            </w:r>
            <w:r w:rsidRPr="000B2FEE">
              <w:t xml:space="preserve">parametric distribution </w:t>
            </w:r>
            <w:r w:rsidR="00E1771F" w:rsidRPr="000B2FEE">
              <w:t xml:space="preserve">used </w:t>
            </w:r>
            <w:r w:rsidRPr="000B2FEE">
              <w:t>(72-77% Pola+R-CHP, 55-63% R-CHOP for IPI 3-5 subgroup extrapolations,</w:t>
            </w:r>
            <w:r w:rsidR="004556F2" w:rsidRPr="000B2FEE">
              <w:t xml:space="preserve"> </w:t>
            </w:r>
            <w:r w:rsidRPr="000B2FEE">
              <w:t xml:space="preserve">excluding Gompertz which </w:t>
            </w:r>
            <w:r w:rsidR="004556F2" w:rsidRPr="000B2FEE">
              <w:t>estimated</w:t>
            </w:r>
            <w:r w:rsidRPr="000B2FEE">
              <w:t xml:space="preserve"> </w:t>
            </w:r>
            <w:r w:rsidR="004556F2" w:rsidRPr="000B2FEE">
              <w:t xml:space="preserve">0% </w:t>
            </w:r>
            <w:r w:rsidR="000C1578" w:rsidRPr="000B2FEE">
              <w:t>cure fraction</w:t>
            </w:r>
            <w:r w:rsidRPr="000B2FEE">
              <w:t>).</w:t>
            </w:r>
            <w:r w:rsidR="00E1771F" w:rsidRPr="000B2FEE">
              <w:t xml:space="preserve"> Also, the Weibull, Gamma and log-logistic distributions could not be fitted to the mixture-cure model (i.e., did not converge in at least one arm</w:t>
            </w:r>
            <w:r w:rsidR="00CD7E7B" w:rsidRPr="000B2FEE">
              <w:t xml:space="preserve"> according to the submitted R code</w:t>
            </w:r>
            <w:r w:rsidR="00E1771F" w:rsidRPr="000B2FEE">
              <w:t>)</w:t>
            </w:r>
            <w:r w:rsidR="00CD7E7B" w:rsidRPr="000B2FEE">
              <w:t>, which the submission did not explain</w:t>
            </w:r>
            <w:r w:rsidR="00E1771F" w:rsidRPr="000B2FEE">
              <w:t xml:space="preserve">. Furthermore, only aggregate </w:t>
            </w:r>
            <w:r w:rsidR="00BB1474" w:rsidRPr="000B2FEE">
              <w:t>OS</w:t>
            </w:r>
            <w:r w:rsidR="00E1771F" w:rsidRPr="000B2FEE">
              <w:t xml:space="preserve"> curves for each treatment arm rather than separate cured and non-cured </w:t>
            </w:r>
            <w:r w:rsidR="00BB1474" w:rsidRPr="000B2FEE">
              <w:t xml:space="preserve">OS </w:t>
            </w:r>
            <w:r w:rsidR="00E1771F" w:rsidRPr="000B2FEE">
              <w:t>curves were presented.</w:t>
            </w:r>
          </w:p>
          <w:p w14:paraId="5F560F3C" w14:textId="77777777" w:rsidR="00014CD9" w:rsidRDefault="00014CD9" w:rsidP="00731230">
            <w:pPr>
              <w:pStyle w:val="TableText0"/>
              <w:keepNext w:val="0"/>
            </w:pPr>
          </w:p>
          <w:p w14:paraId="4E659EE4" w14:textId="3B78CB68" w:rsidR="00FB40DA" w:rsidRPr="000B2FEE" w:rsidRDefault="009A7EC5" w:rsidP="00731230">
            <w:pPr>
              <w:pStyle w:val="TableText0"/>
              <w:keepNext w:val="0"/>
            </w:pPr>
            <w:r>
              <w:t>D</w:t>
            </w:r>
            <w:r w:rsidR="006D3196" w:rsidRPr="000B2FEE">
              <w:t>ue to the model</w:t>
            </w:r>
            <w:r w:rsidR="0037624A" w:rsidRPr="000B2FEE">
              <w:t>s</w:t>
            </w:r>
            <w:r w:rsidR="00E1771F" w:rsidRPr="000B2FEE">
              <w:t>’</w:t>
            </w:r>
            <w:r w:rsidR="006D3196" w:rsidRPr="000B2FEE">
              <w:t xml:space="preserve"> construction, e</w:t>
            </w:r>
            <w:r w:rsidR="00FB40DA" w:rsidRPr="000B2FEE">
              <w:t>xtrapolation</w:t>
            </w:r>
            <w:r w:rsidR="00E1771F" w:rsidRPr="000B2FEE">
              <w:t>s</w:t>
            </w:r>
            <w:r w:rsidR="00FB40DA" w:rsidRPr="000B2FEE">
              <w:t xml:space="preserve"> for the mixture-cure model </w:t>
            </w:r>
            <w:r w:rsidR="00E1771F" w:rsidRPr="000B2FEE">
              <w:t>were</w:t>
            </w:r>
            <w:r w:rsidR="006D3196" w:rsidRPr="000B2FEE">
              <w:t xml:space="preserve"> not able to be </w:t>
            </w:r>
            <w:r w:rsidR="00FB40DA" w:rsidRPr="000B2FEE">
              <w:t>reproduced or explored</w:t>
            </w:r>
            <w:r w:rsidR="006D3196" w:rsidRPr="000B2FEE">
              <w:t xml:space="preserve"> during the evaluation (</w:t>
            </w:r>
            <w:r w:rsidR="00FB40DA" w:rsidRPr="000B2FEE">
              <w:t xml:space="preserve">including </w:t>
            </w:r>
            <w:r w:rsidR="006D3196" w:rsidRPr="000B2FEE">
              <w:t xml:space="preserve">altering either </w:t>
            </w:r>
            <w:r w:rsidR="00FB40DA" w:rsidRPr="000B2FEE">
              <w:t>cure time point</w:t>
            </w:r>
            <w:r w:rsidR="006D3196" w:rsidRPr="000B2FEE">
              <w:t xml:space="preserve"> </w:t>
            </w:r>
            <w:r w:rsidR="00FB40DA" w:rsidRPr="000B2FEE">
              <w:t xml:space="preserve">or setting a fixed </w:t>
            </w:r>
            <w:r w:rsidR="000C1578" w:rsidRPr="000B2FEE">
              <w:t>cure fraction</w:t>
            </w:r>
            <w:r w:rsidR="006D3196" w:rsidRPr="000B2FEE">
              <w:t>)</w:t>
            </w:r>
            <w:r w:rsidR="00FB40DA" w:rsidRPr="000B2FEE">
              <w:t xml:space="preserve">. </w:t>
            </w:r>
          </w:p>
          <w:p w14:paraId="50EEC1C2" w14:textId="77777777" w:rsidR="00E1771F" w:rsidRPr="000B2FEE" w:rsidRDefault="00E1771F" w:rsidP="00731230">
            <w:pPr>
              <w:pStyle w:val="TableText0"/>
              <w:keepNext w:val="0"/>
            </w:pPr>
          </w:p>
          <w:p w14:paraId="6C9AE445" w14:textId="24BC03B2" w:rsidR="00FB40DA" w:rsidRPr="000B2FEE" w:rsidRDefault="00E1771F" w:rsidP="00731230">
            <w:pPr>
              <w:pStyle w:val="TableText0"/>
              <w:keepNext w:val="0"/>
            </w:pPr>
            <w:r w:rsidRPr="000B2FEE">
              <w:t xml:space="preserve">Patients deemed ‘cured’ </w:t>
            </w:r>
            <w:r w:rsidR="008F5049" w:rsidRPr="000B2FEE">
              <w:t xml:space="preserve">were </w:t>
            </w:r>
            <w:r w:rsidRPr="000B2FEE">
              <w:t xml:space="preserve">assumed </w:t>
            </w:r>
            <w:r w:rsidR="008F5049" w:rsidRPr="000B2FEE">
              <w:t xml:space="preserve">to follow </w:t>
            </w:r>
            <w:r w:rsidRPr="000B2FEE">
              <w:t>g</w:t>
            </w:r>
            <w:r w:rsidR="00FB40DA" w:rsidRPr="000B2FEE">
              <w:t>eneral population mortality based on the Human Mortality Database</w:t>
            </w:r>
            <w:r w:rsidR="00300FFC" w:rsidRPr="000B2FEE">
              <w:t xml:space="preserve"> </w:t>
            </w:r>
            <w:r w:rsidR="008F5049" w:rsidRPr="000B2FEE">
              <w:t xml:space="preserve">adjusted for </w:t>
            </w:r>
            <w:r w:rsidR="00FB40DA" w:rsidRPr="000B2FEE">
              <w:t>patients</w:t>
            </w:r>
            <w:r w:rsidR="00300FFC" w:rsidRPr="000B2FEE">
              <w:t>’ geographic location</w:t>
            </w:r>
            <w:r w:rsidR="00FB40DA" w:rsidRPr="000B2FEE">
              <w:t xml:space="preserve"> in</w:t>
            </w:r>
            <w:r w:rsidR="008F5049" w:rsidRPr="000B2FEE">
              <w:t xml:space="preserve"> POLARIX</w:t>
            </w:r>
            <w:r w:rsidR="00FB40DA" w:rsidRPr="000B2FEE">
              <w:t>.</w:t>
            </w:r>
          </w:p>
          <w:p w14:paraId="19FFFA75" w14:textId="77777777" w:rsidR="008F5049" w:rsidRPr="000B2FEE" w:rsidRDefault="008F5049" w:rsidP="00731230">
            <w:pPr>
              <w:pStyle w:val="TableText0"/>
              <w:keepNext w:val="0"/>
            </w:pPr>
          </w:p>
          <w:p w14:paraId="25FC8159" w14:textId="5E817C52" w:rsidR="00FB40DA" w:rsidRPr="00476211" w:rsidRDefault="00051425" w:rsidP="00731230">
            <w:pPr>
              <w:pStyle w:val="TableText0"/>
              <w:keepNext w:val="0"/>
            </w:pPr>
            <w:r w:rsidRPr="000B2FEE">
              <w:t xml:space="preserve">From 28.2 months, PFS should be equivalent to OS for ‘cured’ patients (i.e general population mortality) according to the mixture-cure approach, however the model restricted PFS to be equivalent to overall OS </w:t>
            </w:r>
            <w:r w:rsidR="008F5049" w:rsidRPr="000B2FEE">
              <w:t>(</w:t>
            </w:r>
            <w:r w:rsidR="008826BB" w:rsidRPr="000B2FEE">
              <w:t xml:space="preserve">which was </w:t>
            </w:r>
            <w:r w:rsidR="008F5049" w:rsidRPr="000B2FEE">
              <w:t>an average of ‘cured’ and ‘non-cured’ patients</w:t>
            </w:r>
            <w:r w:rsidR="008826BB" w:rsidRPr="000B2FEE">
              <w:t xml:space="preserve"> in the model</w:t>
            </w:r>
            <w:r w:rsidR="0003079F" w:rsidRPr="000B2FEE">
              <w:t>)</w:t>
            </w:r>
            <w:r w:rsidR="00763322" w:rsidRPr="000B2FEE">
              <w:t>. This</w:t>
            </w:r>
            <w:r w:rsidR="008826BB" w:rsidRPr="000B2FEE">
              <w:t xml:space="preserve"> defeat</w:t>
            </w:r>
            <w:r w:rsidRPr="000B2FEE">
              <w:t>ed</w:t>
            </w:r>
            <w:r w:rsidR="008826BB" w:rsidRPr="000B2FEE">
              <w:t xml:space="preserve"> the purpose of adopting the mixture cure approach.</w:t>
            </w:r>
            <w:r w:rsidR="00A77597">
              <w:t xml:space="preserve"> </w:t>
            </w:r>
            <w:r w:rsidR="00A77597" w:rsidRPr="00476211">
              <w:t>The PSCR presented a revised base case which adjusted the PFS extrapolation so that PFS was only equal to OS in the event that the PFS extrapolation estimate was higher than the OS extrapolation estimate.</w:t>
            </w:r>
          </w:p>
          <w:p w14:paraId="2FCF467D" w14:textId="77777777" w:rsidR="009A05AB" w:rsidRDefault="009A05AB" w:rsidP="00731230">
            <w:pPr>
              <w:pStyle w:val="TableText0"/>
              <w:keepNext w:val="0"/>
            </w:pPr>
          </w:p>
          <w:p w14:paraId="530D0FFA" w14:textId="7DA14B36" w:rsidR="00FB40DA" w:rsidRPr="000B2FEE" w:rsidRDefault="00FB40DA" w:rsidP="00731230">
            <w:pPr>
              <w:pStyle w:val="TableText0"/>
              <w:keepNext w:val="0"/>
            </w:pPr>
            <w:r w:rsidRPr="000B2FEE">
              <w:t xml:space="preserve">Transition probabilities </w:t>
            </w:r>
            <w:r w:rsidR="0003079F" w:rsidRPr="000B2FEE">
              <w:t xml:space="preserve">also </w:t>
            </w:r>
            <w:r w:rsidRPr="000B2FEE">
              <w:t xml:space="preserve">did not include the possibility of </w:t>
            </w:r>
            <w:r w:rsidR="0003079F" w:rsidRPr="000B2FEE">
              <w:t xml:space="preserve">future </w:t>
            </w:r>
            <w:r w:rsidRPr="000B2FEE">
              <w:t xml:space="preserve">curative therapies for patients who </w:t>
            </w:r>
            <w:r w:rsidR="00A648DC" w:rsidRPr="000B2FEE">
              <w:t>progress, therefore did not accurately reflect the therapeutic options available.</w:t>
            </w:r>
          </w:p>
        </w:tc>
      </w:tr>
      <w:tr w:rsidR="00FB40DA" w:rsidRPr="000B2FEE" w14:paraId="125DC709" w14:textId="77777777" w:rsidTr="000E6451">
        <w:tc>
          <w:tcPr>
            <w:tcW w:w="790" w:type="pct"/>
            <w:vAlign w:val="center"/>
          </w:tcPr>
          <w:p w14:paraId="7EEE9892" w14:textId="77777777" w:rsidR="00FB40DA" w:rsidRPr="000B2FEE" w:rsidRDefault="00FB40DA" w:rsidP="00027A30">
            <w:pPr>
              <w:pStyle w:val="TableText0"/>
              <w:keepNext w:val="0"/>
            </w:pPr>
            <w:r w:rsidRPr="000B2FEE">
              <w:lastRenderedPageBreak/>
              <w:t>Utilities</w:t>
            </w:r>
          </w:p>
        </w:tc>
        <w:tc>
          <w:tcPr>
            <w:tcW w:w="1709" w:type="pct"/>
            <w:gridSpan w:val="2"/>
            <w:vAlign w:val="center"/>
          </w:tcPr>
          <w:p w14:paraId="22601C9E" w14:textId="77777777" w:rsidR="00FB40DA" w:rsidRPr="000B2FEE" w:rsidRDefault="00FB40DA" w:rsidP="00027A30">
            <w:pPr>
              <w:pStyle w:val="TableText0"/>
              <w:keepNext w:val="0"/>
            </w:pPr>
            <w:r w:rsidRPr="000B2FEE">
              <w:t>PFS 0-2 years 0.795 (POLARIX ITT data)</w:t>
            </w:r>
          </w:p>
          <w:p w14:paraId="5C368B60" w14:textId="77777777" w:rsidR="00FB40DA" w:rsidRPr="000B2FEE" w:rsidRDefault="00FB40DA" w:rsidP="00027A30">
            <w:pPr>
              <w:pStyle w:val="TableText0"/>
              <w:keepNext w:val="0"/>
            </w:pPr>
            <w:r w:rsidRPr="000B2FEE">
              <w:t>PFS &gt;2 years: age dependent population utility, 0.80 (age 75-90) to 0.85 (age 55).</w:t>
            </w:r>
          </w:p>
          <w:p w14:paraId="338DC1A2" w14:textId="77777777" w:rsidR="00FB40DA" w:rsidRPr="000B2FEE" w:rsidRDefault="00FB40DA" w:rsidP="00027A30">
            <w:pPr>
              <w:pStyle w:val="TableText0"/>
              <w:keepNext w:val="0"/>
            </w:pPr>
            <w:r w:rsidRPr="000B2FEE">
              <w:t>PD 0.749 (POLARIX ITT data)</w:t>
            </w:r>
          </w:p>
        </w:tc>
        <w:tc>
          <w:tcPr>
            <w:tcW w:w="2501" w:type="pct"/>
            <w:vAlign w:val="center"/>
          </w:tcPr>
          <w:p w14:paraId="604A42EF" w14:textId="77777777" w:rsidR="00FB40DA" w:rsidRPr="000B2FEE" w:rsidRDefault="00FB40DA" w:rsidP="00731230">
            <w:pPr>
              <w:pStyle w:val="TableText0"/>
              <w:keepNext w:val="0"/>
            </w:pPr>
            <w:r w:rsidRPr="000B2FEE">
              <w:t>PFS 0-2 years and PD utilities were based on ITT data for both models. Patients with IPI 3-5 may have worse utility than those with IPI 2 as IPI score increases with worse health/prognosis factors.</w:t>
            </w:r>
          </w:p>
          <w:p w14:paraId="4393A640" w14:textId="6703411D" w:rsidR="00FB40DA" w:rsidRPr="000B2FEE" w:rsidRDefault="00FB40DA" w:rsidP="00731230">
            <w:pPr>
              <w:pStyle w:val="TableText0"/>
              <w:keepNext w:val="0"/>
            </w:pPr>
            <w:r w:rsidRPr="000B2FEE">
              <w:t>The submission did not justify the PFS &gt;2 years utilities. Lin 2018</w:t>
            </w:r>
            <w:r w:rsidR="00A17806" w:rsidRPr="000B2FEE">
              <w:rPr>
                <w:vertAlign w:val="superscript"/>
              </w:rPr>
              <w:t>a</w:t>
            </w:r>
            <w:r w:rsidRPr="000B2FEE">
              <w:t xml:space="preserve"> systematic review suggested a return to general population utility was seen after a minimum of 3 years.</w:t>
            </w:r>
            <w:r w:rsidR="004556F2" w:rsidRPr="000B2FEE">
              <w:t xml:space="preserve"> </w:t>
            </w:r>
            <w:r w:rsidRPr="000B2FEE">
              <w:t xml:space="preserve">The models also did not include a disutility for </w:t>
            </w:r>
            <w:r w:rsidR="00C93D4F">
              <w:t>AEs</w:t>
            </w:r>
            <w:r w:rsidRPr="000B2FEE">
              <w:t>.</w:t>
            </w:r>
          </w:p>
        </w:tc>
      </w:tr>
      <w:tr w:rsidR="00FB40DA" w:rsidRPr="000B2FEE" w14:paraId="62B18075" w14:textId="77777777" w:rsidTr="000E6451">
        <w:tc>
          <w:tcPr>
            <w:tcW w:w="790" w:type="pct"/>
            <w:vAlign w:val="center"/>
          </w:tcPr>
          <w:p w14:paraId="32A95952" w14:textId="77777777" w:rsidR="00FB40DA" w:rsidRPr="000B2FEE" w:rsidRDefault="00FB40DA" w:rsidP="00027A30">
            <w:pPr>
              <w:pStyle w:val="TableText0"/>
              <w:keepNext w:val="0"/>
            </w:pPr>
            <w:r w:rsidRPr="000B2FEE">
              <w:t>Costs</w:t>
            </w:r>
          </w:p>
        </w:tc>
        <w:tc>
          <w:tcPr>
            <w:tcW w:w="1709" w:type="pct"/>
            <w:gridSpan w:val="2"/>
            <w:vAlign w:val="center"/>
          </w:tcPr>
          <w:p w14:paraId="25D46958" w14:textId="02E20A64" w:rsidR="00FB40DA" w:rsidRPr="000B2FEE" w:rsidRDefault="00FB40DA" w:rsidP="00027A30">
            <w:pPr>
              <w:pStyle w:val="TableText0"/>
              <w:keepNext w:val="0"/>
            </w:pPr>
            <w:bookmarkStart w:id="49" w:name="_Hlk113283770"/>
            <w:r w:rsidRPr="000B2FEE">
              <w:t>The models included costs for Pola+R-CHP, R-CHOP, management of AEs (one-off cost</w:t>
            </w:r>
            <w:r w:rsidR="0037624A" w:rsidRPr="000B2FEE">
              <w:t>s</w:t>
            </w:r>
            <w:r w:rsidRPr="000B2FEE">
              <w:t xml:space="preserve"> for anaemia, neutropenia, diarrhoea, and febrile neutropenia), medical service use (specialists, blood tests, imaging), subsequent treatment post progression (one-off cost applied at progression based on proportion of RT, R-GemOX, SCT, CAR-T in each treatment arm of POLARIX) and end of life costs. The models assumed that the likelihood of each subsequent treatment was dependent upon the initial treatment received.</w:t>
            </w:r>
            <w:bookmarkEnd w:id="49"/>
          </w:p>
        </w:tc>
        <w:tc>
          <w:tcPr>
            <w:tcW w:w="2501" w:type="pct"/>
            <w:vAlign w:val="center"/>
          </w:tcPr>
          <w:p w14:paraId="60DA248A" w14:textId="7FE9166C" w:rsidR="00FB40DA" w:rsidRPr="000B2FEE" w:rsidRDefault="00FB40DA" w:rsidP="00731230">
            <w:pPr>
              <w:pStyle w:val="TableText0"/>
              <w:keepNext w:val="0"/>
            </w:pPr>
            <w:r w:rsidRPr="000B2FEE">
              <w:t>The included costs were generally reasonable,</w:t>
            </w:r>
            <w:r w:rsidR="007A24D2" w:rsidRPr="000B2FEE">
              <w:t xml:space="preserve"> except</w:t>
            </w:r>
            <w:r w:rsidRPr="000B2FEE">
              <w:t>:</w:t>
            </w:r>
          </w:p>
          <w:p w14:paraId="2BB8BE97" w14:textId="1EAF977D" w:rsidR="00FB40DA" w:rsidRPr="00476211" w:rsidRDefault="00FB40DA" w:rsidP="00FF7E35">
            <w:pPr>
              <w:pStyle w:val="TableText0"/>
              <w:keepNext w:val="0"/>
              <w:numPr>
                <w:ilvl w:val="0"/>
                <w:numId w:val="8"/>
              </w:numPr>
              <w:ind w:left="106" w:hanging="106"/>
            </w:pPr>
            <w:r w:rsidRPr="000B2FEE">
              <w:t>The number of cycles of treatment appeared to be underestimated compared to the mean values in POLARIX (e.g. 5.3 cycles of polatuzumab vedotin vs 5.8), resulting in lower incremental costs.</w:t>
            </w:r>
            <w:r w:rsidR="00DA6BEE">
              <w:t xml:space="preserve"> </w:t>
            </w:r>
            <w:r w:rsidR="00DA6BEE" w:rsidRPr="00476211">
              <w:t>As noted above</w:t>
            </w:r>
            <w:r w:rsidR="00731230" w:rsidRPr="00476211">
              <w:t>,</w:t>
            </w:r>
            <w:r w:rsidR="00DA6BEE" w:rsidRPr="00476211">
              <w:t xml:space="preserve"> the PSCR provided a revised base case which removed the half cycle correction which underestimated the cost of first line treatment. </w:t>
            </w:r>
          </w:p>
          <w:p w14:paraId="69747561" w14:textId="0669FAC7" w:rsidR="00FB40DA" w:rsidRPr="000B2FEE" w:rsidRDefault="00FB40DA" w:rsidP="00FF7E35">
            <w:pPr>
              <w:pStyle w:val="TableText0"/>
              <w:keepNext w:val="0"/>
              <w:numPr>
                <w:ilvl w:val="0"/>
                <w:numId w:val="8"/>
              </w:numPr>
              <w:ind w:left="106" w:hanging="106"/>
            </w:pPr>
            <w:r w:rsidRPr="000B2FEE">
              <w:t>The proportional use of subsequent treatment post progression in the model was based on treatments received during the (relatively short) POLARIX follow-up period. It was unclear whether the trial data would capture all subsequent therapies post progression or whether the trial data would reflect current use of treatments in Australia. In addition, the submission’s approach implied that patients with disease progression in the Pola+R-CHP arm of the model were less likely to use SCT (15% vs 19%) or CAR-T (8% vs 10%) compared to the R-CHOP arm, which may not be reasonable.</w:t>
            </w:r>
            <w:r w:rsidR="00874BD2">
              <w:t xml:space="preserve"> The pre-PBAC response (p2) presented a revised base case in which the same proportions of subsequent therapies were applied across both treatment arms.</w:t>
            </w:r>
          </w:p>
          <w:p w14:paraId="33C7F1DD" w14:textId="77777777" w:rsidR="00FB40DA" w:rsidRPr="000B2FEE" w:rsidRDefault="00FB40DA" w:rsidP="00FF7E35">
            <w:pPr>
              <w:pStyle w:val="TableText0"/>
              <w:keepNext w:val="0"/>
              <w:numPr>
                <w:ilvl w:val="0"/>
                <w:numId w:val="8"/>
              </w:numPr>
              <w:ind w:left="106" w:hanging="106"/>
            </w:pPr>
            <w:r w:rsidRPr="000B2FEE">
              <w:t>Cost of CAR-T did not have a verifiable source (Lymphoma website gave an estimate of &gt;$500,000 but no calculation for this value).</w:t>
            </w:r>
          </w:p>
          <w:p w14:paraId="18968D25" w14:textId="00E979CC" w:rsidR="00FB40DA" w:rsidRPr="000B2FEE" w:rsidRDefault="00FB40DA" w:rsidP="00FF7E35">
            <w:pPr>
              <w:pStyle w:val="TableText0"/>
              <w:keepNext w:val="0"/>
              <w:numPr>
                <w:ilvl w:val="0"/>
                <w:numId w:val="8"/>
              </w:numPr>
              <w:ind w:left="106" w:hanging="106"/>
            </w:pPr>
            <w:r w:rsidRPr="000B2FEE">
              <w:t xml:space="preserve">Subsequent therapy costs were also applied in the cycle that </w:t>
            </w:r>
            <w:r w:rsidR="002C5232" w:rsidRPr="000B2FEE">
              <w:t xml:space="preserve">the </w:t>
            </w:r>
            <w:r w:rsidRPr="000B2FEE">
              <w:t xml:space="preserve">patients progressed, meaning the cost of these therapies was not subject to discounting over time. Also, while costs of subsequent therapies were included, benefits were not. </w:t>
            </w:r>
            <w:r w:rsidR="002C5232" w:rsidRPr="000B2FEE">
              <w:t xml:space="preserve">The clinical evidence suggests a </w:t>
            </w:r>
            <w:r w:rsidRPr="000B2FEE">
              <w:t xml:space="preserve">proportion of patients receiving 2+ lines of treatment can also achieve ‘cure’ status. The economic evaluation </w:t>
            </w:r>
            <w:r w:rsidR="002C5232" w:rsidRPr="000B2FEE">
              <w:t xml:space="preserve">however </w:t>
            </w:r>
            <w:r w:rsidRPr="000B2FEE">
              <w:t>effectively assumed all patients with disease progression following first-line treatment would remain ‘uncured’.</w:t>
            </w:r>
          </w:p>
        </w:tc>
      </w:tr>
      <w:tr w:rsidR="00FB40DA" w:rsidRPr="000B2FEE" w14:paraId="08F6AA9F" w14:textId="77777777" w:rsidTr="000E6451">
        <w:tc>
          <w:tcPr>
            <w:tcW w:w="790" w:type="pct"/>
            <w:vAlign w:val="center"/>
          </w:tcPr>
          <w:p w14:paraId="4E99F54D" w14:textId="77777777" w:rsidR="00FB40DA" w:rsidRPr="000B2FEE" w:rsidRDefault="00FB40DA" w:rsidP="00027A30">
            <w:pPr>
              <w:pStyle w:val="TableText0"/>
              <w:keepNext w:val="0"/>
            </w:pPr>
            <w:r w:rsidRPr="000B2FEE">
              <w:t>Software package</w:t>
            </w:r>
          </w:p>
        </w:tc>
        <w:tc>
          <w:tcPr>
            <w:tcW w:w="1709" w:type="pct"/>
            <w:gridSpan w:val="2"/>
            <w:vAlign w:val="center"/>
          </w:tcPr>
          <w:p w14:paraId="03645AED" w14:textId="77777777" w:rsidR="00FB40DA" w:rsidRPr="000B2FEE" w:rsidRDefault="00FB40DA" w:rsidP="00027A30">
            <w:pPr>
              <w:pStyle w:val="TableText0"/>
              <w:keepNext w:val="0"/>
            </w:pPr>
            <w:r w:rsidRPr="000B2FEE">
              <w:t>R, Excel 2016</w:t>
            </w:r>
          </w:p>
        </w:tc>
        <w:tc>
          <w:tcPr>
            <w:tcW w:w="2501" w:type="pct"/>
            <w:vAlign w:val="center"/>
          </w:tcPr>
          <w:p w14:paraId="3C00E24E" w14:textId="3DA5BBF5" w:rsidR="00FB40DA" w:rsidRPr="000B2FEE" w:rsidRDefault="00FB40DA" w:rsidP="005B024E">
            <w:pPr>
              <w:pStyle w:val="TableText0"/>
              <w:keepNext w:val="0"/>
            </w:pPr>
            <w:r w:rsidRPr="000B2FEE">
              <w:t xml:space="preserve">Appropriate, however R analyses used to estimate </w:t>
            </w:r>
            <w:r w:rsidR="005F3B41" w:rsidRPr="000B2FEE">
              <w:t>mixture-cure</w:t>
            </w:r>
            <w:r w:rsidRPr="000B2FEE">
              <w:t xml:space="preserve"> model could not be reproduced as IPD data</w:t>
            </w:r>
            <w:r w:rsidR="002C5232" w:rsidRPr="000B2FEE">
              <w:t xml:space="preserve"> was</w:t>
            </w:r>
            <w:r w:rsidRPr="000B2FEE">
              <w:t xml:space="preserve"> required</w:t>
            </w:r>
            <w:r w:rsidR="002C5232" w:rsidRPr="000B2FEE">
              <w:t xml:space="preserve"> (which were not provided by the sponsor).</w:t>
            </w:r>
          </w:p>
        </w:tc>
      </w:tr>
    </w:tbl>
    <w:bookmarkEnd w:id="48"/>
    <w:p w14:paraId="79FC58E5" w14:textId="77777777" w:rsidR="00FB40DA" w:rsidRPr="005B024E" w:rsidRDefault="00FB40DA" w:rsidP="00FB40DA">
      <w:pPr>
        <w:pStyle w:val="FooterTableFigure"/>
      </w:pPr>
      <w:r w:rsidRPr="005B024E">
        <w:t>Source: complied during the evaluation</w:t>
      </w:r>
    </w:p>
    <w:p w14:paraId="60EB3FCD" w14:textId="77777777" w:rsidR="00FB40DA" w:rsidRPr="005B024E" w:rsidRDefault="00FB40DA" w:rsidP="00FB40DA">
      <w:pPr>
        <w:pStyle w:val="FooterTableFigure"/>
      </w:pPr>
      <w:r w:rsidRPr="005B024E">
        <w:t>AE = adverse event, CAR-T = chimeric antigen receptor T cell therapy , IPI = international prognostic index, IPD = individual patient data, ITT = intention to treat, KM = Kaplan-Meier, OS = overall survival, PD = progressed disease, PFS = progression free survival, Pola+R-CHP = polatuzumab vedotin in combination with cyclophosphamide, doxorubicin and prednisone, R-CHOP = rituximab in combination with cyclophosphamide, doxorubicin, vincristine and prednisone, R-GemOX = rituximab in combination with gemcitabine and oxaliplatin, RT = radiotherapy, SCT = stem cell therapy</w:t>
      </w:r>
    </w:p>
    <w:p w14:paraId="3BE9AC0A" w14:textId="60E3EF87" w:rsidR="00FB40DA" w:rsidRPr="005B024E" w:rsidRDefault="00A17806" w:rsidP="00A17806">
      <w:pPr>
        <w:pStyle w:val="FooterTableFigure"/>
        <w:ind w:left="165" w:hanging="165"/>
      </w:pPr>
      <w:r w:rsidRPr="005B024E">
        <w:rPr>
          <w:vertAlign w:val="superscript"/>
        </w:rPr>
        <w:t>a</w:t>
      </w:r>
      <w:r w:rsidR="00FB40DA" w:rsidRPr="005B024E">
        <w:tab/>
        <w:t>Lin V, Blaylock B, Epstein J, Purdum A (2018) Systematic literature review of health-related quality of life among aggressive non-Hodgkin lymphoma survivors, Current Medical Research and Opinion, 34:8, 1529-1535, DOI: 10.1080/03007995.2018.1474091</w:t>
      </w:r>
    </w:p>
    <w:p w14:paraId="51F8CE68" w14:textId="570FE8A6" w:rsidR="00FB40DA" w:rsidRPr="00E1521D" w:rsidRDefault="00FB40DA" w:rsidP="00E1521D">
      <w:pPr>
        <w:pStyle w:val="3-BodyText"/>
        <w:ind w:left="720"/>
        <w:rPr>
          <w:iCs/>
        </w:rPr>
      </w:pPr>
      <w:r w:rsidRPr="00E1521D">
        <w:rPr>
          <w:iCs/>
        </w:rPr>
        <w:lastRenderedPageBreak/>
        <w:t>The submission presented a partition survival model with three health states</w:t>
      </w:r>
      <w:r w:rsidR="00FA0D96" w:rsidRPr="00E1521D">
        <w:rPr>
          <w:iCs/>
        </w:rPr>
        <w:t>:</w:t>
      </w:r>
      <w:r w:rsidRPr="00E1521D">
        <w:rPr>
          <w:iCs/>
        </w:rPr>
        <w:t xml:space="preserve"> PFS,</w:t>
      </w:r>
      <w:r w:rsidR="00FA0D96" w:rsidRPr="00E1521D">
        <w:rPr>
          <w:iCs/>
        </w:rPr>
        <w:t xml:space="preserve"> progressed disease</w:t>
      </w:r>
      <w:r w:rsidRPr="00E1521D">
        <w:rPr>
          <w:iCs/>
        </w:rPr>
        <w:t xml:space="preserve"> </w:t>
      </w:r>
      <w:r w:rsidR="00FA0D96" w:rsidRPr="00E1521D">
        <w:rPr>
          <w:iCs/>
        </w:rPr>
        <w:t>(</w:t>
      </w:r>
      <w:r w:rsidRPr="00E1521D">
        <w:rPr>
          <w:iCs/>
        </w:rPr>
        <w:t>PD</w:t>
      </w:r>
      <w:r w:rsidR="00FA0D96" w:rsidRPr="00E1521D">
        <w:rPr>
          <w:iCs/>
        </w:rPr>
        <w:t xml:space="preserve">) and </w:t>
      </w:r>
      <w:r w:rsidRPr="00E1521D">
        <w:rPr>
          <w:iCs/>
        </w:rPr>
        <w:t xml:space="preserve">death. Patients entered the model in the PFS health state and could </w:t>
      </w:r>
      <w:r w:rsidR="00FA0D96" w:rsidRPr="00E1521D">
        <w:rPr>
          <w:iCs/>
        </w:rPr>
        <w:t>remain in PFS or transition to PD or dead each cycle; patients in PD either remained in PD or transition to dead each cycle.</w:t>
      </w:r>
      <w:r w:rsidRPr="00E1521D">
        <w:rPr>
          <w:iCs/>
        </w:rPr>
        <w:t xml:space="preserve"> Allocation to the health states was based on 28.2 months of POLARIX PFS and OS </w:t>
      </w:r>
      <w:r w:rsidR="00027A30" w:rsidRPr="00E1521D">
        <w:rPr>
          <w:iCs/>
        </w:rPr>
        <w:t>Kaplan Meier (</w:t>
      </w:r>
      <w:r w:rsidRPr="00E1521D">
        <w:rPr>
          <w:iCs/>
        </w:rPr>
        <w:t>KM</w:t>
      </w:r>
      <w:r w:rsidR="00027A30" w:rsidRPr="00E1521D">
        <w:rPr>
          <w:iCs/>
        </w:rPr>
        <w:t>)</w:t>
      </w:r>
      <w:r w:rsidRPr="00E1521D">
        <w:rPr>
          <w:iCs/>
        </w:rPr>
        <w:t xml:space="preserve"> data, then extrapolated survival functions to 25 years.</w:t>
      </w:r>
      <w:r w:rsidR="00B85F01" w:rsidRPr="00E1521D">
        <w:rPr>
          <w:iCs/>
        </w:rPr>
        <w:t xml:space="preserve"> </w:t>
      </w:r>
      <w:r w:rsidRPr="00E1521D">
        <w:rPr>
          <w:iCs/>
        </w:rPr>
        <w:t xml:space="preserve">To extrapolate PFS and OS beyond 28.2 months, the submission </w:t>
      </w:r>
      <w:r w:rsidR="00AC7583" w:rsidRPr="00E1521D">
        <w:rPr>
          <w:iCs/>
        </w:rPr>
        <w:t xml:space="preserve">estimated </w:t>
      </w:r>
      <w:r w:rsidRPr="00E1521D">
        <w:rPr>
          <w:iCs/>
        </w:rPr>
        <w:t xml:space="preserve">a </w:t>
      </w:r>
      <w:r w:rsidR="005F3B41" w:rsidRPr="00E1521D">
        <w:rPr>
          <w:iCs/>
        </w:rPr>
        <w:t>mixture-cure</w:t>
      </w:r>
      <w:r w:rsidRPr="00E1521D">
        <w:rPr>
          <w:iCs/>
        </w:rPr>
        <w:t xml:space="preserve"> model for the base case analysis. </w:t>
      </w:r>
      <w:r w:rsidR="00BD1569" w:rsidRPr="00E1521D">
        <w:rPr>
          <w:iCs/>
        </w:rPr>
        <w:t>M</w:t>
      </w:r>
      <w:r w:rsidRPr="00E1521D">
        <w:rPr>
          <w:iCs/>
        </w:rPr>
        <w:t>ixture</w:t>
      </w:r>
      <w:r w:rsidR="00BD1569" w:rsidRPr="00E1521D">
        <w:rPr>
          <w:iCs/>
        </w:rPr>
        <w:t>-</w:t>
      </w:r>
      <w:r w:rsidRPr="00E1521D">
        <w:rPr>
          <w:iCs/>
        </w:rPr>
        <w:t>cure model</w:t>
      </w:r>
      <w:r w:rsidR="00BD1569" w:rsidRPr="00E1521D">
        <w:rPr>
          <w:iCs/>
        </w:rPr>
        <w:t>s</w:t>
      </w:r>
      <w:r w:rsidRPr="00E1521D">
        <w:rPr>
          <w:iCs/>
        </w:rPr>
        <w:t xml:space="preserve"> assume that the trial KM data reflect</w:t>
      </w:r>
      <w:r w:rsidR="0031525E" w:rsidRPr="00E1521D">
        <w:rPr>
          <w:iCs/>
        </w:rPr>
        <w:t>s</w:t>
      </w:r>
      <w:r w:rsidRPr="00E1521D">
        <w:rPr>
          <w:iCs/>
        </w:rPr>
        <w:t xml:space="preserve"> the weighted average for two sub-populations: i) cured patients with the same risk of mortality as the matched general public (age, gender, country); and ii) </w:t>
      </w:r>
      <w:r w:rsidR="00A8225F" w:rsidRPr="00E1521D">
        <w:rPr>
          <w:iCs/>
        </w:rPr>
        <w:t>un</w:t>
      </w:r>
      <w:r w:rsidRPr="00E1521D">
        <w:rPr>
          <w:iCs/>
        </w:rPr>
        <w:t>cured patients with higher risk of mortality due to DLBCL. The cure fraction (% cured) can either be pre-specified or estimated jointly with parameters of the chosen parametric function that best explains the observed time to event data.</w:t>
      </w:r>
      <w:r w:rsidR="0031525E" w:rsidRPr="00E1521D">
        <w:rPr>
          <w:iCs/>
        </w:rPr>
        <w:t xml:space="preserve"> </w:t>
      </w:r>
      <w:r w:rsidRPr="00E1521D">
        <w:rPr>
          <w:iCs/>
        </w:rPr>
        <w:t xml:space="preserve">For the POLARIX data, the submission estimated the cure </w:t>
      </w:r>
      <w:r w:rsidR="00BD1569" w:rsidRPr="00E1521D">
        <w:rPr>
          <w:iCs/>
        </w:rPr>
        <w:t xml:space="preserve">fraction from </w:t>
      </w:r>
      <w:r w:rsidRPr="00E1521D">
        <w:rPr>
          <w:iCs/>
        </w:rPr>
        <w:t xml:space="preserve">the PFS trial data based on the assumption that </w:t>
      </w:r>
      <w:r w:rsidR="00BD1569" w:rsidRPr="00E1521D">
        <w:rPr>
          <w:iCs/>
        </w:rPr>
        <w:t xml:space="preserve">PFS in the </w:t>
      </w:r>
      <w:r w:rsidRPr="00E1521D">
        <w:rPr>
          <w:iCs/>
        </w:rPr>
        <w:t>cured population would reflect the OS of the matched general population because long-term survivors would not experience disease progression. The submission then specified the estimated cure fraction to extrapolate the OS trial data; hence, the estimated improvement in the cure fraction</w:t>
      </w:r>
      <w:r w:rsidR="0065312C" w:rsidRPr="00E1521D">
        <w:rPr>
          <w:iCs/>
        </w:rPr>
        <w:t>,</w:t>
      </w:r>
      <w:r w:rsidRPr="00E1521D">
        <w:rPr>
          <w:iCs/>
        </w:rPr>
        <w:t xml:space="preserve"> based on differences in PFS</w:t>
      </w:r>
      <w:r w:rsidR="0065312C" w:rsidRPr="00E1521D">
        <w:rPr>
          <w:iCs/>
        </w:rPr>
        <w:t>,</w:t>
      </w:r>
      <w:r w:rsidRPr="00E1521D">
        <w:rPr>
          <w:iCs/>
        </w:rPr>
        <w:t xml:space="preserve"> resulted in long-term survival gains.</w:t>
      </w:r>
    </w:p>
    <w:p w14:paraId="55BCC5DC" w14:textId="6A2D51FF" w:rsidR="001124C8" w:rsidRPr="00E1521D" w:rsidRDefault="00E621A2" w:rsidP="00E1521D">
      <w:pPr>
        <w:pStyle w:val="3-BodyText"/>
        <w:ind w:left="720"/>
        <w:rPr>
          <w:iCs/>
        </w:rPr>
      </w:pPr>
      <w:r w:rsidRPr="00E1521D">
        <w:rPr>
          <w:iCs/>
        </w:rPr>
        <w:fldChar w:fldCharType="begin"/>
      </w:r>
      <w:r w:rsidRPr="00E1521D">
        <w:rPr>
          <w:iCs/>
        </w:rPr>
        <w:instrText xml:space="preserve"> REF _Ref111294880 </w:instrText>
      </w:r>
      <w:r w:rsidR="00E1521D">
        <w:rPr>
          <w:iCs/>
        </w:rPr>
        <w:instrText xml:space="preserve"> \* MERGEFORMAT </w:instrText>
      </w:r>
      <w:r w:rsidRPr="00E1521D">
        <w:rPr>
          <w:iCs/>
        </w:rPr>
        <w:fldChar w:fldCharType="separate"/>
      </w:r>
      <w:r w:rsidR="007F2580" w:rsidRPr="007F2580">
        <w:rPr>
          <w:iCs/>
        </w:rPr>
        <w:t>Figure 3</w:t>
      </w:r>
      <w:r w:rsidRPr="00E1521D">
        <w:rPr>
          <w:iCs/>
        </w:rPr>
        <w:fldChar w:fldCharType="end"/>
      </w:r>
      <w:r w:rsidR="001124C8" w:rsidRPr="00E1521D">
        <w:rPr>
          <w:iCs/>
        </w:rPr>
        <w:t xml:space="preserve"> and </w:t>
      </w:r>
      <w:r w:rsidRPr="00E1521D">
        <w:rPr>
          <w:iCs/>
        </w:rPr>
        <w:fldChar w:fldCharType="begin"/>
      </w:r>
      <w:r w:rsidRPr="00E1521D">
        <w:rPr>
          <w:iCs/>
        </w:rPr>
        <w:instrText xml:space="preserve"> REF _Ref111294944 </w:instrText>
      </w:r>
      <w:r w:rsidR="00E1521D">
        <w:rPr>
          <w:iCs/>
        </w:rPr>
        <w:instrText xml:space="preserve"> \* MERGEFORMAT </w:instrText>
      </w:r>
      <w:r w:rsidRPr="00E1521D">
        <w:rPr>
          <w:iCs/>
        </w:rPr>
        <w:fldChar w:fldCharType="separate"/>
      </w:r>
      <w:r w:rsidR="007F2580" w:rsidRPr="007F2580">
        <w:rPr>
          <w:iCs/>
        </w:rPr>
        <w:t>Table 8</w:t>
      </w:r>
      <w:r w:rsidRPr="00E1521D">
        <w:rPr>
          <w:iCs/>
        </w:rPr>
        <w:fldChar w:fldCharType="end"/>
      </w:r>
      <w:r w:rsidR="001124C8" w:rsidRPr="00E1521D">
        <w:rPr>
          <w:iCs/>
        </w:rPr>
        <w:t xml:space="preserve"> present the estimated mixture-cure model extrapolations and corresponding cure fractions, respectively. For the base case analysis, the submission chose independent gamma functions to extrapolate PFS and OS in the ITT model and independent log-normal functions to extrapolate PFS and OS in the IPI 3-5 model.</w:t>
      </w:r>
    </w:p>
    <w:p w14:paraId="71EF9F56" w14:textId="1677C6E6" w:rsidR="001124C8" w:rsidRPr="005B024E" w:rsidRDefault="001124C8" w:rsidP="001124C8">
      <w:pPr>
        <w:pStyle w:val="TableFigureHeading"/>
      </w:pPr>
      <w:bookmarkStart w:id="50" w:name="_Ref111294880"/>
      <w:r w:rsidRPr="005B024E">
        <w:lastRenderedPageBreak/>
        <w:t xml:space="preserve">Figure </w:t>
      </w:r>
      <w:r w:rsidR="007F2580">
        <w:fldChar w:fldCharType="begin"/>
      </w:r>
      <w:r w:rsidR="007F2580">
        <w:instrText xml:space="preserve"> SEQ Figure \* ARABIC </w:instrText>
      </w:r>
      <w:r w:rsidR="007F2580">
        <w:fldChar w:fldCharType="separate"/>
      </w:r>
      <w:r w:rsidR="007F2580">
        <w:rPr>
          <w:noProof/>
        </w:rPr>
        <w:t>3</w:t>
      </w:r>
      <w:r w:rsidR="007F2580">
        <w:rPr>
          <w:noProof/>
        </w:rPr>
        <w:fldChar w:fldCharType="end"/>
      </w:r>
      <w:bookmarkEnd w:id="50"/>
      <w:r w:rsidRPr="005B024E">
        <w:t xml:space="preserve">: </w:t>
      </w:r>
      <w:r w:rsidR="005F3B41" w:rsidRPr="005B024E">
        <w:t>Mixture-cure</w:t>
      </w:r>
      <w:r w:rsidRPr="005B024E">
        <w:t xml:space="preserve"> extrapolations</w:t>
      </w:r>
    </w:p>
    <w:tbl>
      <w:tblPr>
        <w:tblStyle w:val="TableGrid"/>
        <w:tblW w:w="0" w:type="auto"/>
        <w:tblLook w:val="04A0" w:firstRow="1" w:lastRow="0" w:firstColumn="1" w:lastColumn="0" w:noHBand="0" w:noVBand="1"/>
      </w:tblPr>
      <w:tblGrid>
        <w:gridCol w:w="4508"/>
        <w:gridCol w:w="4509"/>
      </w:tblGrid>
      <w:tr w:rsidR="001124C8" w:rsidRPr="005B024E" w14:paraId="47F80998" w14:textId="77777777" w:rsidTr="00550BB3">
        <w:tc>
          <w:tcPr>
            <w:tcW w:w="9017" w:type="dxa"/>
            <w:gridSpan w:val="2"/>
            <w:tcBorders>
              <w:bottom w:val="nil"/>
            </w:tcBorders>
          </w:tcPr>
          <w:p w14:paraId="10C09A9C" w14:textId="77777777" w:rsidR="001124C8" w:rsidRPr="005B024E" w:rsidRDefault="001124C8" w:rsidP="00550BB3">
            <w:pPr>
              <w:pStyle w:val="In-tableHeading"/>
              <w:jc w:val="center"/>
              <w:rPr>
                <w:lang w:val="en-AU"/>
              </w:rPr>
            </w:pPr>
            <w:r w:rsidRPr="005B024E">
              <w:rPr>
                <w:lang w:val="en-AU"/>
              </w:rPr>
              <w:t>PFS</w:t>
            </w:r>
          </w:p>
        </w:tc>
      </w:tr>
      <w:tr w:rsidR="001124C8" w:rsidRPr="005B024E" w14:paraId="73DB73AB" w14:textId="77777777" w:rsidTr="001124C8">
        <w:tc>
          <w:tcPr>
            <w:tcW w:w="4508" w:type="dxa"/>
            <w:tcBorders>
              <w:top w:val="nil"/>
              <w:bottom w:val="nil"/>
              <w:right w:val="nil"/>
            </w:tcBorders>
          </w:tcPr>
          <w:p w14:paraId="1194EB88" w14:textId="77777777" w:rsidR="001124C8" w:rsidRPr="005B024E" w:rsidRDefault="001124C8" w:rsidP="00550BB3">
            <w:pPr>
              <w:pStyle w:val="In-tableHeading"/>
              <w:jc w:val="center"/>
              <w:rPr>
                <w:lang w:val="en-AU"/>
              </w:rPr>
            </w:pPr>
            <w:r w:rsidRPr="005B024E">
              <w:rPr>
                <w:lang w:val="en-AU"/>
              </w:rPr>
              <w:t>ITT</w:t>
            </w:r>
          </w:p>
        </w:tc>
        <w:tc>
          <w:tcPr>
            <w:tcW w:w="4509" w:type="dxa"/>
            <w:tcBorders>
              <w:top w:val="nil"/>
              <w:left w:val="nil"/>
              <w:bottom w:val="nil"/>
            </w:tcBorders>
          </w:tcPr>
          <w:p w14:paraId="191C75AF" w14:textId="77777777" w:rsidR="001124C8" w:rsidRPr="005B024E" w:rsidRDefault="001124C8" w:rsidP="00550BB3">
            <w:pPr>
              <w:pStyle w:val="In-tableHeading"/>
              <w:jc w:val="center"/>
              <w:rPr>
                <w:lang w:val="en-AU"/>
              </w:rPr>
            </w:pPr>
            <w:r w:rsidRPr="005B024E">
              <w:rPr>
                <w:lang w:val="en-AU"/>
              </w:rPr>
              <w:t>IPI 3-5</w:t>
            </w:r>
          </w:p>
        </w:tc>
      </w:tr>
      <w:tr w:rsidR="001124C8" w:rsidRPr="005B024E" w14:paraId="4F85E8EE" w14:textId="77777777" w:rsidTr="001124C8">
        <w:tc>
          <w:tcPr>
            <w:tcW w:w="4508" w:type="dxa"/>
            <w:tcBorders>
              <w:top w:val="nil"/>
              <w:bottom w:val="single" w:sz="4" w:space="0" w:color="auto"/>
              <w:right w:val="nil"/>
            </w:tcBorders>
          </w:tcPr>
          <w:p w14:paraId="44F150B2" w14:textId="521E4ABB" w:rsidR="001124C8" w:rsidRPr="005B024E" w:rsidRDefault="00737901" w:rsidP="00550BB3">
            <w:pPr>
              <w:pStyle w:val="In-tableHeading"/>
              <w:rPr>
                <w:lang w:val="en-AU"/>
              </w:rPr>
            </w:pPr>
            <w:r w:rsidRPr="005B024E">
              <w:rPr>
                <w:noProof/>
                <w:lang w:eastAsia="en-US"/>
              </w:rPr>
              <w:drawing>
                <wp:inline distT="0" distB="0" distL="0" distR="0" wp14:anchorId="2DB0B4BD" wp14:editId="1EFF14C4">
                  <wp:extent cx="2758440" cy="1798320"/>
                  <wp:effectExtent l="0" t="0" r="3810" b="0"/>
                  <wp:docPr id="251" name="Picture 251" descr="Figure 3: Mixture-cure extrapolations - PFS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Picture 251" descr="Figure 3: Mixture-cure extrapolations - PFS ITT"/>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758440" cy="1798320"/>
                          </a:xfrm>
                          <a:prstGeom prst="rect">
                            <a:avLst/>
                          </a:prstGeom>
                          <a:noFill/>
                        </pic:spPr>
                      </pic:pic>
                    </a:graphicData>
                  </a:graphic>
                </wp:inline>
              </w:drawing>
            </w:r>
          </w:p>
        </w:tc>
        <w:tc>
          <w:tcPr>
            <w:tcW w:w="4509" w:type="dxa"/>
            <w:tcBorders>
              <w:top w:val="nil"/>
              <w:left w:val="nil"/>
              <w:bottom w:val="single" w:sz="4" w:space="0" w:color="auto"/>
            </w:tcBorders>
          </w:tcPr>
          <w:p w14:paraId="78B193F4" w14:textId="1A63D933" w:rsidR="001124C8" w:rsidRPr="005B024E" w:rsidRDefault="00737901" w:rsidP="00550BB3">
            <w:pPr>
              <w:pStyle w:val="In-tableHeading"/>
              <w:rPr>
                <w:lang w:val="en-AU"/>
              </w:rPr>
            </w:pPr>
            <w:r w:rsidRPr="005B024E">
              <w:rPr>
                <w:noProof/>
                <w:lang w:eastAsia="en-US"/>
              </w:rPr>
              <w:drawing>
                <wp:inline distT="0" distB="0" distL="0" distR="0" wp14:anchorId="485272A3" wp14:editId="3ACC7207">
                  <wp:extent cx="2758440" cy="1798320"/>
                  <wp:effectExtent l="0" t="0" r="3810" b="0"/>
                  <wp:docPr id="252" name="Picture 252" descr="Figure 3: Mixture-cure extrapolations PFS IPI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252" descr="Figure 3: Mixture-cure extrapolations PFS IPI 3-5"/>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758440" cy="1798320"/>
                          </a:xfrm>
                          <a:prstGeom prst="rect">
                            <a:avLst/>
                          </a:prstGeom>
                          <a:noFill/>
                        </pic:spPr>
                      </pic:pic>
                    </a:graphicData>
                  </a:graphic>
                </wp:inline>
              </w:drawing>
            </w:r>
          </w:p>
        </w:tc>
      </w:tr>
      <w:tr w:rsidR="001124C8" w:rsidRPr="005B024E" w14:paraId="176A4D3A" w14:textId="77777777" w:rsidTr="001124C8">
        <w:tc>
          <w:tcPr>
            <w:tcW w:w="9017" w:type="dxa"/>
            <w:gridSpan w:val="2"/>
            <w:tcBorders>
              <w:bottom w:val="nil"/>
              <w:right w:val="single" w:sz="4" w:space="0" w:color="auto"/>
            </w:tcBorders>
          </w:tcPr>
          <w:p w14:paraId="5F45E4E0" w14:textId="77777777" w:rsidR="001124C8" w:rsidRPr="005B024E" w:rsidRDefault="001124C8" w:rsidP="00550BB3">
            <w:pPr>
              <w:pStyle w:val="In-tableHeading"/>
              <w:jc w:val="center"/>
              <w:rPr>
                <w:lang w:val="en-AU"/>
              </w:rPr>
            </w:pPr>
            <w:r w:rsidRPr="005B024E">
              <w:rPr>
                <w:lang w:val="en-AU"/>
              </w:rPr>
              <w:t>OS</w:t>
            </w:r>
          </w:p>
        </w:tc>
      </w:tr>
      <w:tr w:rsidR="001124C8" w:rsidRPr="005B024E" w14:paraId="63B70597" w14:textId="77777777" w:rsidTr="001124C8">
        <w:tc>
          <w:tcPr>
            <w:tcW w:w="4508" w:type="dxa"/>
            <w:tcBorders>
              <w:top w:val="nil"/>
              <w:bottom w:val="nil"/>
              <w:right w:val="nil"/>
            </w:tcBorders>
          </w:tcPr>
          <w:p w14:paraId="64217A77" w14:textId="77777777" w:rsidR="001124C8" w:rsidRPr="005B024E" w:rsidRDefault="001124C8" w:rsidP="00550BB3">
            <w:pPr>
              <w:pStyle w:val="In-tableHeading"/>
              <w:jc w:val="center"/>
              <w:rPr>
                <w:lang w:val="en-AU"/>
              </w:rPr>
            </w:pPr>
            <w:r w:rsidRPr="005B024E">
              <w:rPr>
                <w:lang w:val="en-AU"/>
              </w:rPr>
              <w:t>ITT</w:t>
            </w:r>
          </w:p>
        </w:tc>
        <w:tc>
          <w:tcPr>
            <w:tcW w:w="4509" w:type="dxa"/>
            <w:tcBorders>
              <w:top w:val="nil"/>
              <w:left w:val="nil"/>
              <w:bottom w:val="nil"/>
            </w:tcBorders>
          </w:tcPr>
          <w:p w14:paraId="7364239C" w14:textId="77777777" w:rsidR="001124C8" w:rsidRPr="005B024E" w:rsidRDefault="001124C8" w:rsidP="00550BB3">
            <w:pPr>
              <w:pStyle w:val="In-tableHeading"/>
              <w:jc w:val="center"/>
              <w:rPr>
                <w:lang w:val="en-AU"/>
              </w:rPr>
            </w:pPr>
            <w:r w:rsidRPr="005B024E">
              <w:rPr>
                <w:lang w:val="en-AU"/>
              </w:rPr>
              <w:t>IPI 3-5</w:t>
            </w:r>
          </w:p>
        </w:tc>
      </w:tr>
      <w:tr w:rsidR="001124C8" w:rsidRPr="005B024E" w14:paraId="4A91AB8A" w14:textId="77777777" w:rsidTr="001124C8">
        <w:tc>
          <w:tcPr>
            <w:tcW w:w="4508" w:type="dxa"/>
            <w:tcBorders>
              <w:top w:val="nil"/>
              <w:bottom w:val="single" w:sz="4" w:space="0" w:color="auto"/>
              <w:right w:val="nil"/>
            </w:tcBorders>
          </w:tcPr>
          <w:p w14:paraId="7F5E5DAC" w14:textId="2E47AA60" w:rsidR="001124C8" w:rsidRPr="005B024E" w:rsidRDefault="00737901" w:rsidP="00550BB3">
            <w:pPr>
              <w:pStyle w:val="In-tableHeading"/>
              <w:rPr>
                <w:lang w:val="en-AU"/>
              </w:rPr>
            </w:pPr>
            <w:r w:rsidRPr="005B024E">
              <w:rPr>
                <w:noProof/>
                <w:lang w:eastAsia="en-US"/>
              </w:rPr>
              <w:drawing>
                <wp:inline distT="0" distB="0" distL="0" distR="0" wp14:anchorId="304856AE" wp14:editId="503F53AE">
                  <wp:extent cx="2758440" cy="1798320"/>
                  <wp:effectExtent l="0" t="0" r="3810" b="0"/>
                  <wp:docPr id="253" name="Picture 253" descr="Figure 3: Mixture-cure extrapolations OS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53" descr="Figure 3: Mixture-cure extrapolations OS ITT"/>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758440" cy="1798320"/>
                          </a:xfrm>
                          <a:prstGeom prst="rect">
                            <a:avLst/>
                          </a:prstGeom>
                          <a:noFill/>
                        </pic:spPr>
                      </pic:pic>
                    </a:graphicData>
                  </a:graphic>
                </wp:inline>
              </w:drawing>
            </w:r>
          </w:p>
        </w:tc>
        <w:tc>
          <w:tcPr>
            <w:tcW w:w="4509" w:type="dxa"/>
            <w:tcBorders>
              <w:top w:val="nil"/>
              <w:left w:val="nil"/>
              <w:bottom w:val="single" w:sz="4" w:space="0" w:color="auto"/>
            </w:tcBorders>
          </w:tcPr>
          <w:p w14:paraId="623C9E4C" w14:textId="2FD0EDFE" w:rsidR="001124C8" w:rsidRPr="005B024E" w:rsidRDefault="00737901" w:rsidP="00550BB3">
            <w:pPr>
              <w:pStyle w:val="In-tableHeading"/>
              <w:rPr>
                <w:lang w:val="en-AU"/>
              </w:rPr>
            </w:pPr>
            <w:r w:rsidRPr="005B024E">
              <w:rPr>
                <w:noProof/>
                <w:lang w:eastAsia="en-US"/>
              </w:rPr>
              <w:drawing>
                <wp:inline distT="0" distB="0" distL="0" distR="0" wp14:anchorId="3A79FC02" wp14:editId="287A0B96">
                  <wp:extent cx="2758440" cy="1798320"/>
                  <wp:effectExtent l="0" t="0" r="3810" b="0"/>
                  <wp:docPr id="254" name="Picture 254" descr="Figure 3: Mixture-cure extrapolations OS IPI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54" descr="Figure 3: Mixture-cure extrapolations OS IPI 3-5"/>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758440" cy="1798320"/>
                          </a:xfrm>
                          <a:prstGeom prst="rect">
                            <a:avLst/>
                          </a:prstGeom>
                          <a:noFill/>
                        </pic:spPr>
                      </pic:pic>
                    </a:graphicData>
                  </a:graphic>
                </wp:inline>
              </w:drawing>
            </w:r>
          </w:p>
        </w:tc>
      </w:tr>
    </w:tbl>
    <w:p w14:paraId="516EB67B" w14:textId="77777777" w:rsidR="001124C8" w:rsidRPr="000B2FEE" w:rsidRDefault="001124C8" w:rsidP="001124C8">
      <w:pPr>
        <w:pStyle w:val="FooterTableFigure"/>
      </w:pPr>
      <w:r w:rsidRPr="000B2FEE">
        <w:t>Source: compiled during the evaluation from Excel files ‘Economic Evaluation_ITT.xlsx’ and ‘Economic Evaluation_IPI 3-5.xlsx’</w:t>
      </w:r>
    </w:p>
    <w:p w14:paraId="1F5B755C" w14:textId="77777777" w:rsidR="001124C8" w:rsidRPr="005B024E" w:rsidRDefault="001124C8" w:rsidP="001124C8">
      <w:pPr>
        <w:pStyle w:val="FooterTableFigure"/>
        <w:rPr>
          <w:i/>
        </w:rPr>
      </w:pPr>
      <w:r w:rsidRPr="005B024E">
        <w:t>ITT = intention to treat; IPI = International Prognostic Index, KM = Kaplan-Meier, OS = overall survival, PFS = progression free survival; Pola+R-CHP = polatuzumab vedotin in combination with rituximab, cyclophosphamide, doxorubicin and prednisone; R-CHOP = rituximab in combination with cyclophosphamide, doxorubicin, vincristine and prednisone</w:t>
      </w:r>
    </w:p>
    <w:p w14:paraId="55B8E06F" w14:textId="3EF41189" w:rsidR="001124C8" w:rsidRPr="005B024E" w:rsidRDefault="001124C8" w:rsidP="001124C8">
      <w:pPr>
        <w:pStyle w:val="TableFigureHeading"/>
      </w:pPr>
      <w:bookmarkStart w:id="51" w:name="_Ref111294944"/>
      <w:r w:rsidRPr="005B024E">
        <w:t xml:space="preserve">Table </w:t>
      </w:r>
      <w:r w:rsidR="007F2580">
        <w:fldChar w:fldCharType="begin"/>
      </w:r>
      <w:r w:rsidR="007F2580">
        <w:instrText xml:space="preserve"> SEQ Table \* ARABIC </w:instrText>
      </w:r>
      <w:r w:rsidR="007F2580">
        <w:fldChar w:fldCharType="separate"/>
      </w:r>
      <w:r w:rsidR="007F2580">
        <w:rPr>
          <w:noProof/>
        </w:rPr>
        <w:t>8</w:t>
      </w:r>
      <w:r w:rsidR="007F2580">
        <w:rPr>
          <w:noProof/>
        </w:rPr>
        <w:fldChar w:fldCharType="end"/>
      </w:r>
      <w:bookmarkEnd w:id="51"/>
      <w:r w:rsidRPr="005B024E">
        <w:t xml:space="preserve">: Estimated </w:t>
      </w:r>
      <w:r w:rsidR="000C1578" w:rsidRPr="005B024E">
        <w:t>cure fraction</w:t>
      </w:r>
      <w:r w:rsidRPr="005B024E">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696"/>
        <w:gridCol w:w="1870"/>
        <w:gridCol w:w="1700"/>
        <w:gridCol w:w="1747"/>
        <w:gridCol w:w="2003"/>
      </w:tblGrid>
      <w:tr w:rsidR="001124C8" w:rsidRPr="005B024E" w14:paraId="3CB789EA" w14:textId="77777777" w:rsidTr="000160B2">
        <w:tc>
          <w:tcPr>
            <w:tcW w:w="1696" w:type="dxa"/>
            <w:vMerge w:val="restart"/>
            <w:shd w:val="clear" w:color="auto" w:fill="FFFFFF"/>
            <w:tcMar>
              <w:top w:w="0" w:type="dxa"/>
              <w:left w:w="28" w:type="dxa"/>
              <w:bottom w:w="0" w:type="dxa"/>
              <w:right w:w="28" w:type="dxa"/>
            </w:tcMar>
            <w:vAlign w:val="center"/>
          </w:tcPr>
          <w:p w14:paraId="3086F45E" w14:textId="77777777" w:rsidR="001124C8" w:rsidRPr="000160B2" w:rsidRDefault="001124C8" w:rsidP="00550BB3">
            <w:pPr>
              <w:spacing w:line="205" w:lineRule="atLeast"/>
              <w:jc w:val="left"/>
              <w:rPr>
                <w:rFonts w:ascii="Arial Narrow" w:hAnsi="Arial Narrow"/>
                <w:b/>
                <w:bCs/>
                <w:color w:val="222222"/>
                <w:sz w:val="20"/>
                <w:szCs w:val="20"/>
              </w:rPr>
            </w:pPr>
          </w:p>
        </w:tc>
        <w:tc>
          <w:tcPr>
            <w:tcW w:w="3570" w:type="dxa"/>
            <w:gridSpan w:val="2"/>
            <w:shd w:val="clear" w:color="auto" w:fill="FFFFFF"/>
            <w:tcMar>
              <w:top w:w="0" w:type="dxa"/>
              <w:left w:w="28" w:type="dxa"/>
              <w:bottom w:w="0" w:type="dxa"/>
              <w:right w:w="28" w:type="dxa"/>
            </w:tcMar>
            <w:hideMark/>
          </w:tcPr>
          <w:p w14:paraId="44597F28" w14:textId="77777777" w:rsidR="001124C8" w:rsidRPr="000160B2" w:rsidRDefault="001124C8" w:rsidP="00550BB3">
            <w:pPr>
              <w:spacing w:line="205" w:lineRule="atLeast"/>
              <w:jc w:val="center"/>
              <w:rPr>
                <w:rFonts w:ascii="Arial Narrow" w:hAnsi="Arial Narrow"/>
                <w:b/>
                <w:bCs/>
                <w:color w:val="222222"/>
                <w:sz w:val="20"/>
                <w:szCs w:val="20"/>
              </w:rPr>
            </w:pPr>
            <w:r w:rsidRPr="000160B2">
              <w:rPr>
                <w:rFonts w:ascii="Arial Narrow" w:hAnsi="Arial Narrow"/>
                <w:b/>
                <w:bCs/>
                <w:color w:val="222222"/>
                <w:sz w:val="20"/>
                <w:szCs w:val="20"/>
              </w:rPr>
              <w:t>Pola+R-CHP</w:t>
            </w:r>
          </w:p>
        </w:tc>
        <w:tc>
          <w:tcPr>
            <w:tcW w:w="3750" w:type="dxa"/>
            <w:gridSpan w:val="2"/>
            <w:shd w:val="clear" w:color="auto" w:fill="FFFFFF"/>
            <w:tcMar>
              <w:top w:w="0" w:type="dxa"/>
              <w:left w:w="28" w:type="dxa"/>
              <w:bottom w:w="0" w:type="dxa"/>
              <w:right w:w="28" w:type="dxa"/>
            </w:tcMar>
            <w:hideMark/>
          </w:tcPr>
          <w:p w14:paraId="38700689" w14:textId="77777777" w:rsidR="001124C8" w:rsidRPr="000160B2" w:rsidRDefault="001124C8" w:rsidP="00550BB3">
            <w:pPr>
              <w:spacing w:line="205" w:lineRule="atLeast"/>
              <w:jc w:val="center"/>
              <w:rPr>
                <w:rFonts w:ascii="Arial Narrow" w:hAnsi="Arial Narrow"/>
                <w:b/>
                <w:bCs/>
                <w:color w:val="222222"/>
                <w:sz w:val="20"/>
                <w:szCs w:val="20"/>
              </w:rPr>
            </w:pPr>
            <w:r w:rsidRPr="000160B2">
              <w:rPr>
                <w:rFonts w:ascii="Arial Narrow" w:hAnsi="Arial Narrow"/>
                <w:b/>
                <w:bCs/>
                <w:color w:val="222222"/>
                <w:sz w:val="20"/>
                <w:szCs w:val="20"/>
              </w:rPr>
              <w:t>R-CHOP</w:t>
            </w:r>
          </w:p>
        </w:tc>
      </w:tr>
      <w:tr w:rsidR="001124C8" w:rsidRPr="005B024E" w14:paraId="2051C2E5" w14:textId="77777777" w:rsidTr="000160B2">
        <w:tc>
          <w:tcPr>
            <w:tcW w:w="1696" w:type="dxa"/>
            <w:vMerge/>
            <w:shd w:val="clear" w:color="auto" w:fill="FFFFFF"/>
            <w:tcMar>
              <w:left w:w="28" w:type="dxa"/>
              <w:right w:w="28" w:type="dxa"/>
            </w:tcMar>
            <w:vAlign w:val="center"/>
            <w:hideMark/>
          </w:tcPr>
          <w:p w14:paraId="6832AF2C" w14:textId="77777777" w:rsidR="001124C8" w:rsidRPr="000160B2" w:rsidRDefault="001124C8" w:rsidP="00550BB3">
            <w:pPr>
              <w:jc w:val="left"/>
              <w:rPr>
                <w:rFonts w:ascii="Helvetica" w:hAnsi="Helvetica"/>
                <w:color w:val="222222"/>
                <w:sz w:val="20"/>
                <w:szCs w:val="20"/>
              </w:rPr>
            </w:pPr>
          </w:p>
        </w:tc>
        <w:tc>
          <w:tcPr>
            <w:tcW w:w="1870" w:type="dxa"/>
            <w:shd w:val="clear" w:color="auto" w:fill="FFFFFF"/>
            <w:tcMar>
              <w:top w:w="0" w:type="dxa"/>
              <w:left w:w="28" w:type="dxa"/>
              <w:bottom w:w="0" w:type="dxa"/>
              <w:right w:w="28" w:type="dxa"/>
            </w:tcMar>
          </w:tcPr>
          <w:p w14:paraId="7B770AAA" w14:textId="77777777" w:rsidR="001124C8" w:rsidRPr="000160B2" w:rsidRDefault="001124C8" w:rsidP="00550BB3">
            <w:pPr>
              <w:spacing w:line="205" w:lineRule="atLeast"/>
              <w:jc w:val="center"/>
              <w:rPr>
                <w:rFonts w:ascii="Helvetica" w:hAnsi="Helvetica"/>
                <w:color w:val="222222"/>
                <w:sz w:val="20"/>
                <w:szCs w:val="20"/>
              </w:rPr>
            </w:pPr>
            <w:r w:rsidRPr="000160B2">
              <w:rPr>
                <w:rFonts w:ascii="Arial Narrow" w:hAnsi="Arial Narrow"/>
                <w:b/>
                <w:bCs/>
                <w:color w:val="222222"/>
                <w:sz w:val="20"/>
                <w:szCs w:val="20"/>
              </w:rPr>
              <w:t>ITT</w:t>
            </w:r>
          </w:p>
        </w:tc>
        <w:tc>
          <w:tcPr>
            <w:tcW w:w="1700" w:type="dxa"/>
            <w:shd w:val="clear" w:color="auto" w:fill="FFFFFF"/>
            <w:tcMar>
              <w:top w:w="0" w:type="dxa"/>
              <w:left w:w="28" w:type="dxa"/>
              <w:bottom w:w="0" w:type="dxa"/>
              <w:right w:w="28" w:type="dxa"/>
            </w:tcMar>
          </w:tcPr>
          <w:p w14:paraId="20E11A3D" w14:textId="77777777" w:rsidR="001124C8" w:rsidRPr="000160B2" w:rsidRDefault="001124C8" w:rsidP="00550BB3">
            <w:pPr>
              <w:spacing w:line="205" w:lineRule="atLeast"/>
              <w:jc w:val="center"/>
              <w:rPr>
                <w:rFonts w:ascii="Helvetica" w:hAnsi="Helvetica"/>
                <w:color w:val="222222"/>
                <w:sz w:val="20"/>
                <w:szCs w:val="20"/>
              </w:rPr>
            </w:pPr>
            <w:r w:rsidRPr="000160B2">
              <w:rPr>
                <w:rFonts w:ascii="Arial Narrow" w:hAnsi="Arial Narrow"/>
                <w:b/>
                <w:bCs/>
                <w:color w:val="222222"/>
                <w:sz w:val="20"/>
                <w:szCs w:val="20"/>
              </w:rPr>
              <w:t>IPI 3-5</w:t>
            </w:r>
          </w:p>
        </w:tc>
        <w:tc>
          <w:tcPr>
            <w:tcW w:w="1747" w:type="dxa"/>
            <w:shd w:val="clear" w:color="auto" w:fill="FFFFFF"/>
            <w:tcMar>
              <w:top w:w="0" w:type="dxa"/>
              <w:left w:w="28" w:type="dxa"/>
              <w:bottom w:w="0" w:type="dxa"/>
              <w:right w:w="28" w:type="dxa"/>
            </w:tcMar>
          </w:tcPr>
          <w:p w14:paraId="76B86103" w14:textId="77777777" w:rsidR="001124C8" w:rsidRPr="000160B2" w:rsidRDefault="001124C8" w:rsidP="00550BB3">
            <w:pPr>
              <w:spacing w:line="205" w:lineRule="atLeast"/>
              <w:jc w:val="center"/>
              <w:rPr>
                <w:rFonts w:ascii="Helvetica" w:hAnsi="Helvetica"/>
                <w:color w:val="222222"/>
                <w:sz w:val="20"/>
                <w:szCs w:val="20"/>
              </w:rPr>
            </w:pPr>
            <w:r w:rsidRPr="000160B2">
              <w:rPr>
                <w:rFonts w:ascii="Arial Narrow" w:hAnsi="Arial Narrow"/>
                <w:b/>
                <w:bCs/>
                <w:color w:val="222222"/>
                <w:sz w:val="20"/>
                <w:szCs w:val="20"/>
              </w:rPr>
              <w:t>ITT</w:t>
            </w:r>
          </w:p>
        </w:tc>
        <w:tc>
          <w:tcPr>
            <w:tcW w:w="2003" w:type="dxa"/>
            <w:shd w:val="clear" w:color="auto" w:fill="FFFFFF"/>
            <w:tcMar>
              <w:top w:w="0" w:type="dxa"/>
              <w:left w:w="28" w:type="dxa"/>
              <w:bottom w:w="0" w:type="dxa"/>
              <w:right w:w="28" w:type="dxa"/>
            </w:tcMar>
          </w:tcPr>
          <w:p w14:paraId="1A6E9B8A" w14:textId="77777777" w:rsidR="001124C8" w:rsidRPr="000160B2" w:rsidRDefault="001124C8" w:rsidP="00550BB3">
            <w:pPr>
              <w:spacing w:line="205" w:lineRule="atLeast"/>
              <w:jc w:val="center"/>
              <w:rPr>
                <w:rFonts w:ascii="Helvetica" w:hAnsi="Helvetica"/>
                <w:color w:val="222222"/>
                <w:sz w:val="20"/>
                <w:szCs w:val="20"/>
              </w:rPr>
            </w:pPr>
            <w:r w:rsidRPr="000160B2">
              <w:rPr>
                <w:rFonts w:ascii="Arial Narrow" w:hAnsi="Arial Narrow"/>
                <w:b/>
                <w:bCs/>
                <w:color w:val="222222"/>
                <w:sz w:val="20"/>
                <w:szCs w:val="20"/>
              </w:rPr>
              <w:t>IPI 3-5</w:t>
            </w:r>
          </w:p>
        </w:tc>
      </w:tr>
      <w:tr w:rsidR="001124C8" w:rsidRPr="005B024E" w14:paraId="05B1E744" w14:textId="77777777" w:rsidTr="000160B2">
        <w:tc>
          <w:tcPr>
            <w:tcW w:w="1696" w:type="dxa"/>
            <w:shd w:val="clear" w:color="auto" w:fill="FFFFFF"/>
            <w:tcMar>
              <w:top w:w="0" w:type="dxa"/>
              <w:left w:w="28" w:type="dxa"/>
              <w:bottom w:w="0" w:type="dxa"/>
              <w:right w:w="28" w:type="dxa"/>
            </w:tcMar>
            <w:vAlign w:val="center"/>
            <w:hideMark/>
          </w:tcPr>
          <w:p w14:paraId="7BAE82C9" w14:textId="02C7E0D5" w:rsidR="001124C8" w:rsidRPr="000160B2" w:rsidRDefault="001124C8" w:rsidP="00550BB3">
            <w:pPr>
              <w:pStyle w:val="TableText0"/>
              <w:keepNext w:val="0"/>
              <w:rPr>
                <w:szCs w:val="20"/>
              </w:rPr>
            </w:pPr>
            <w:r w:rsidRPr="000160B2">
              <w:rPr>
                <w:szCs w:val="20"/>
              </w:rPr>
              <w:t>PFS 24</w:t>
            </w:r>
            <w:r w:rsidR="000160B2">
              <w:rPr>
                <w:szCs w:val="20"/>
              </w:rPr>
              <w:t xml:space="preserve"> </w:t>
            </w:r>
            <w:r w:rsidRPr="000160B2">
              <w:rPr>
                <w:szCs w:val="20"/>
              </w:rPr>
              <w:t>m</w:t>
            </w:r>
            <w:r w:rsidR="00731230">
              <w:rPr>
                <w:szCs w:val="20"/>
              </w:rPr>
              <w:t>on</w:t>
            </w:r>
            <w:r w:rsidRPr="000160B2">
              <w:rPr>
                <w:szCs w:val="20"/>
              </w:rPr>
              <w:t>ths surrogate (POLARIX)</w:t>
            </w:r>
          </w:p>
        </w:tc>
        <w:tc>
          <w:tcPr>
            <w:tcW w:w="1870" w:type="dxa"/>
            <w:shd w:val="clear" w:color="auto" w:fill="FFFFFF"/>
            <w:tcMar>
              <w:top w:w="0" w:type="dxa"/>
              <w:left w:w="28" w:type="dxa"/>
              <w:bottom w:w="0" w:type="dxa"/>
              <w:right w:w="28" w:type="dxa"/>
            </w:tcMar>
            <w:vAlign w:val="center"/>
          </w:tcPr>
          <w:p w14:paraId="70DC50AD" w14:textId="77777777" w:rsidR="001124C8" w:rsidRPr="000160B2" w:rsidRDefault="001124C8" w:rsidP="00550BB3">
            <w:pPr>
              <w:pStyle w:val="TableText0"/>
              <w:jc w:val="center"/>
              <w:rPr>
                <w:szCs w:val="20"/>
              </w:rPr>
            </w:pPr>
            <w:r w:rsidRPr="000160B2">
              <w:rPr>
                <w:szCs w:val="20"/>
              </w:rPr>
              <w:t>76.71% (72.65, 80.76)</w:t>
            </w:r>
          </w:p>
        </w:tc>
        <w:tc>
          <w:tcPr>
            <w:tcW w:w="1700" w:type="dxa"/>
            <w:shd w:val="clear" w:color="auto" w:fill="FFFFFF"/>
            <w:tcMar>
              <w:top w:w="0" w:type="dxa"/>
              <w:left w:w="28" w:type="dxa"/>
              <w:bottom w:w="0" w:type="dxa"/>
              <w:right w:w="28" w:type="dxa"/>
            </w:tcMar>
            <w:vAlign w:val="center"/>
          </w:tcPr>
          <w:p w14:paraId="4F100032" w14:textId="77777777" w:rsidR="001124C8" w:rsidRPr="000160B2" w:rsidRDefault="001124C8" w:rsidP="00550BB3">
            <w:pPr>
              <w:pStyle w:val="TableText0"/>
              <w:jc w:val="center"/>
              <w:rPr>
                <w:szCs w:val="20"/>
              </w:rPr>
            </w:pPr>
            <w:r w:rsidRPr="000160B2">
              <w:rPr>
                <w:szCs w:val="20"/>
              </w:rPr>
              <w:t>75.16% (69.91, 80.42)</w:t>
            </w:r>
          </w:p>
        </w:tc>
        <w:tc>
          <w:tcPr>
            <w:tcW w:w="1747" w:type="dxa"/>
            <w:shd w:val="clear" w:color="auto" w:fill="FFFFFF"/>
            <w:tcMar>
              <w:top w:w="0" w:type="dxa"/>
              <w:left w:w="28" w:type="dxa"/>
              <w:bottom w:w="0" w:type="dxa"/>
              <w:right w:w="28" w:type="dxa"/>
            </w:tcMar>
            <w:vAlign w:val="center"/>
          </w:tcPr>
          <w:p w14:paraId="33E4680A" w14:textId="77777777" w:rsidR="001124C8" w:rsidRPr="000160B2" w:rsidRDefault="001124C8" w:rsidP="00550BB3">
            <w:pPr>
              <w:pStyle w:val="TableText0"/>
              <w:jc w:val="center"/>
              <w:rPr>
                <w:szCs w:val="20"/>
              </w:rPr>
            </w:pPr>
            <w:r w:rsidRPr="000160B2">
              <w:rPr>
                <w:szCs w:val="20"/>
              </w:rPr>
              <w:t>70.20% (65.80, 74.61)</w:t>
            </w:r>
          </w:p>
        </w:tc>
        <w:tc>
          <w:tcPr>
            <w:tcW w:w="2003" w:type="dxa"/>
            <w:shd w:val="clear" w:color="auto" w:fill="FFFFFF"/>
            <w:tcMar>
              <w:top w:w="0" w:type="dxa"/>
              <w:left w:w="28" w:type="dxa"/>
              <w:bottom w:w="0" w:type="dxa"/>
              <w:right w:w="28" w:type="dxa"/>
            </w:tcMar>
            <w:vAlign w:val="center"/>
          </w:tcPr>
          <w:p w14:paraId="5C78145C" w14:textId="77777777" w:rsidR="001124C8" w:rsidRPr="000160B2" w:rsidRDefault="001124C8" w:rsidP="00550BB3">
            <w:pPr>
              <w:pStyle w:val="TableText0"/>
              <w:jc w:val="center"/>
              <w:rPr>
                <w:szCs w:val="20"/>
              </w:rPr>
            </w:pPr>
            <w:r w:rsidRPr="000160B2">
              <w:rPr>
                <w:szCs w:val="20"/>
              </w:rPr>
              <w:t>65.12% (59.29, 70.94)</w:t>
            </w:r>
          </w:p>
        </w:tc>
      </w:tr>
      <w:tr w:rsidR="001124C8" w:rsidRPr="005B024E" w14:paraId="520FF4F5" w14:textId="77777777" w:rsidTr="000160B2">
        <w:tc>
          <w:tcPr>
            <w:tcW w:w="1696" w:type="dxa"/>
            <w:shd w:val="clear" w:color="auto" w:fill="FFFFFF"/>
            <w:tcMar>
              <w:top w:w="0" w:type="dxa"/>
              <w:left w:w="28" w:type="dxa"/>
              <w:bottom w:w="0" w:type="dxa"/>
              <w:right w:w="28" w:type="dxa"/>
            </w:tcMar>
            <w:vAlign w:val="center"/>
            <w:hideMark/>
          </w:tcPr>
          <w:p w14:paraId="1501C704" w14:textId="77777777" w:rsidR="001124C8" w:rsidRPr="000160B2" w:rsidRDefault="001124C8" w:rsidP="00550BB3">
            <w:pPr>
              <w:pStyle w:val="TableText0"/>
              <w:keepNext w:val="0"/>
              <w:rPr>
                <w:szCs w:val="20"/>
              </w:rPr>
            </w:pPr>
            <w:r w:rsidRPr="000160B2">
              <w:rPr>
                <w:szCs w:val="20"/>
              </w:rPr>
              <w:t>Exponential</w:t>
            </w:r>
          </w:p>
        </w:tc>
        <w:tc>
          <w:tcPr>
            <w:tcW w:w="1870" w:type="dxa"/>
            <w:shd w:val="clear" w:color="auto" w:fill="FFFFFF"/>
            <w:tcMar>
              <w:top w:w="0" w:type="dxa"/>
              <w:left w:w="28" w:type="dxa"/>
              <w:bottom w:w="0" w:type="dxa"/>
              <w:right w:w="28" w:type="dxa"/>
            </w:tcMar>
          </w:tcPr>
          <w:p w14:paraId="003C977C" w14:textId="77777777" w:rsidR="001124C8" w:rsidRPr="000160B2" w:rsidRDefault="001124C8" w:rsidP="00550BB3">
            <w:pPr>
              <w:spacing w:line="205" w:lineRule="atLeast"/>
              <w:jc w:val="center"/>
              <w:rPr>
                <w:rFonts w:ascii="Arial Narrow" w:hAnsi="Arial Narrow"/>
                <w:color w:val="222222"/>
                <w:sz w:val="20"/>
                <w:szCs w:val="20"/>
              </w:rPr>
            </w:pPr>
            <w:r w:rsidRPr="000160B2">
              <w:rPr>
                <w:rFonts w:ascii="Arial Narrow" w:hAnsi="Arial Narrow"/>
                <w:color w:val="222222"/>
                <w:sz w:val="20"/>
                <w:szCs w:val="20"/>
              </w:rPr>
              <w:t>71.4% (61.4, 81.4%)</w:t>
            </w:r>
          </w:p>
        </w:tc>
        <w:tc>
          <w:tcPr>
            <w:tcW w:w="1700" w:type="dxa"/>
            <w:shd w:val="clear" w:color="auto" w:fill="FFFFFF"/>
            <w:tcMar>
              <w:top w:w="0" w:type="dxa"/>
              <w:left w:w="28" w:type="dxa"/>
              <w:bottom w:w="0" w:type="dxa"/>
              <w:right w:w="28" w:type="dxa"/>
            </w:tcMar>
          </w:tcPr>
          <w:p w14:paraId="2F8C17E9" w14:textId="77777777" w:rsidR="001124C8" w:rsidRPr="000160B2" w:rsidRDefault="001124C8" w:rsidP="00550BB3">
            <w:pPr>
              <w:spacing w:line="205" w:lineRule="atLeast"/>
              <w:jc w:val="center"/>
              <w:rPr>
                <w:rFonts w:ascii="Arial Narrow" w:hAnsi="Arial Narrow"/>
                <w:color w:val="222222"/>
                <w:sz w:val="20"/>
                <w:szCs w:val="20"/>
              </w:rPr>
            </w:pPr>
            <w:r w:rsidRPr="000160B2">
              <w:rPr>
                <w:rFonts w:ascii="Arial Narrow" w:hAnsi="Arial Narrow"/>
                <w:color w:val="222222"/>
                <w:sz w:val="20"/>
                <w:szCs w:val="20"/>
              </w:rPr>
              <w:t>71.7% (61.7, 81.8%)</w:t>
            </w:r>
          </w:p>
        </w:tc>
        <w:tc>
          <w:tcPr>
            <w:tcW w:w="1747" w:type="dxa"/>
            <w:shd w:val="clear" w:color="auto" w:fill="FFFFFF"/>
            <w:tcMar>
              <w:top w:w="0" w:type="dxa"/>
              <w:left w:w="28" w:type="dxa"/>
              <w:bottom w:w="0" w:type="dxa"/>
              <w:right w:w="28" w:type="dxa"/>
            </w:tcMar>
          </w:tcPr>
          <w:p w14:paraId="2C7E1166" w14:textId="77777777" w:rsidR="001124C8" w:rsidRPr="000160B2" w:rsidRDefault="001124C8" w:rsidP="00550BB3">
            <w:pPr>
              <w:spacing w:line="205" w:lineRule="atLeast"/>
              <w:jc w:val="center"/>
              <w:rPr>
                <w:rFonts w:ascii="Arial Narrow" w:hAnsi="Arial Narrow"/>
                <w:color w:val="222222"/>
                <w:sz w:val="20"/>
                <w:szCs w:val="20"/>
              </w:rPr>
            </w:pPr>
            <w:r w:rsidRPr="000160B2">
              <w:rPr>
                <w:rFonts w:ascii="Arial Narrow" w:hAnsi="Arial Narrow"/>
                <w:color w:val="222222"/>
                <w:sz w:val="20"/>
                <w:szCs w:val="20"/>
              </w:rPr>
              <w:t>60.1% (47.2, 72.9%)</w:t>
            </w:r>
          </w:p>
        </w:tc>
        <w:tc>
          <w:tcPr>
            <w:tcW w:w="2003" w:type="dxa"/>
            <w:shd w:val="clear" w:color="auto" w:fill="FFFFFF"/>
            <w:tcMar>
              <w:top w:w="0" w:type="dxa"/>
              <w:left w:w="28" w:type="dxa"/>
              <w:bottom w:w="0" w:type="dxa"/>
              <w:right w:w="28" w:type="dxa"/>
            </w:tcMar>
          </w:tcPr>
          <w:p w14:paraId="7B6E506A" w14:textId="77777777" w:rsidR="001124C8" w:rsidRPr="000160B2" w:rsidRDefault="001124C8" w:rsidP="00550BB3">
            <w:pPr>
              <w:spacing w:line="205" w:lineRule="atLeast"/>
              <w:jc w:val="center"/>
              <w:rPr>
                <w:rFonts w:ascii="Arial Narrow" w:hAnsi="Arial Narrow"/>
                <w:color w:val="222222"/>
                <w:sz w:val="20"/>
                <w:szCs w:val="20"/>
              </w:rPr>
            </w:pPr>
            <w:r w:rsidRPr="000160B2">
              <w:rPr>
                <w:rFonts w:ascii="Arial Narrow" w:hAnsi="Arial Narrow"/>
                <w:color w:val="222222"/>
                <w:sz w:val="20"/>
                <w:szCs w:val="20"/>
              </w:rPr>
              <w:t>55.3% (41.1, 69.6%)</w:t>
            </w:r>
          </w:p>
        </w:tc>
      </w:tr>
      <w:tr w:rsidR="001124C8" w:rsidRPr="005B024E" w14:paraId="79F8638E" w14:textId="77777777" w:rsidTr="000160B2">
        <w:tc>
          <w:tcPr>
            <w:tcW w:w="1696" w:type="dxa"/>
            <w:shd w:val="clear" w:color="auto" w:fill="FFFFFF"/>
            <w:tcMar>
              <w:top w:w="0" w:type="dxa"/>
              <w:left w:w="28" w:type="dxa"/>
              <w:bottom w:w="0" w:type="dxa"/>
              <w:right w:w="28" w:type="dxa"/>
            </w:tcMar>
            <w:vAlign w:val="center"/>
          </w:tcPr>
          <w:p w14:paraId="49353DFC" w14:textId="77777777" w:rsidR="001124C8" w:rsidRPr="000160B2" w:rsidRDefault="001124C8" w:rsidP="00550BB3">
            <w:pPr>
              <w:pStyle w:val="TableText0"/>
              <w:keepNext w:val="0"/>
              <w:rPr>
                <w:szCs w:val="20"/>
              </w:rPr>
            </w:pPr>
            <w:r w:rsidRPr="000160B2">
              <w:rPr>
                <w:szCs w:val="20"/>
              </w:rPr>
              <w:t>Gamma</w:t>
            </w:r>
          </w:p>
        </w:tc>
        <w:tc>
          <w:tcPr>
            <w:tcW w:w="1870" w:type="dxa"/>
            <w:shd w:val="clear" w:color="auto" w:fill="FFFFFF"/>
            <w:tcMar>
              <w:top w:w="0" w:type="dxa"/>
              <w:left w:w="28" w:type="dxa"/>
              <w:bottom w:w="0" w:type="dxa"/>
              <w:right w:w="28" w:type="dxa"/>
            </w:tcMar>
          </w:tcPr>
          <w:p w14:paraId="1A97C45E" w14:textId="77777777" w:rsidR="001124C8" w:rsidRPr="000160B2" w:rsidRDefault="001124C8" w:rsidP="00550BB3">
            <w:pPr>
              <w:spacing w:line="205" w:lineRule="atLeast"/>
              <w:jc w:val="center"/>
              <w:rPr>
                <w:rFonts w:ascii="Arial Narrow" w:hAnsi="Arial Narrow"/>
                <w:color w:val="222222"/>
                <w:sz w:val="20"/>
                <w:szCs w:val="20"/>
              </w:rPr>
            </w:pPr>
            <w:r w:rsidRPr="000160B2">
              <w:rPr>
                <w:rFonts w:ascii="Arial Narrow" w:hAnsi="Arial Narrow"/>
                <w:b/>
                <w:bCs/>
                <w:color w:val="222222"/>
                <w:sz w:val="20"/>
                <w:szCs w:val="20"/>
              </w:rPr>
              <w:t>74.7% (65.4, 84.0%)</w:t>
            </w:r>
          </w:p>
        </w:tc>
        <w:tc>
          <w:tcPr>
            <w:tcW w:w="1700" w:type="dxa"/>
            <w:shd w:val="clear" w:color="auto" w:fill="FFFFFF"/>
            <w:tcMar>
              <w:top w:w="0" w:type="dxa"/>
              <w:left w:w="28" w:type="dxa"/>
              <w:bottom w:w="0" w:type="dxa"/>
              <w:right w:w="28" w:type="dxa"/>
            </w:tcMar>
          </w:tcPr>
          <w:p w14:paraId="4B54F921" w14:textId="77777777" w:rsidR="001124C8" w:rsidRPr="000160B2" w:rsidRDefault="001124C8" w:rsidP="00550BB3">
            <w:pPr>
              <w:spacing w:line="205" w:lineRule="atLeast"/>
              <w:jc w:val="center"/>
              <w:rPr>
                <w:rFonts w:ascii="Arial Narrow" w:hAnsi="Arial Narrow"/>
                <w:color w:val="222222"/>
                <w:sz w:val="20"/>
                <w:szCs w:val="20"/>
              </w:rPr>
            </w:pPr>
            <w:r w:rsidRPr="000160B2">
              <w:rPr>
                <w:rFonts w:ascii="Arial Narrow" w:hAnsi="Arial Narrow"/>
                <w:color w:val="222222"/>
                <w:sz w:val="20"/>
                <w:szCs w:val="20"/>
              </w:rPr>
              <w:t>*</w:t>
            </w:r>
          </w:p>
        </w:tc>
        <w:tc>
          <w:tcPr>
            <w:tcW w:w="1747" w:type="dxa"/>
            <w:shd w:val="clear" w:color="auto" w:fill="FFFFFF"/>
            <w:tcMar>
              <w:top w:w="0" w:type="dxa"/>
              <w:left w:w="28" w:type="dxa"/>
              <w:bottom w:w="0" w:type="dxa"/>
              <w:right w:w="28" w:type="dxa"/>
            </w:tcMar>
          </w:tcPr>
          <w:p w14:paraId="15E63C8F" w14:textId="77777777" w:rsidR="001124C8" w:rsidRPr="000160B2" w:rsidRDefault="001124C8" w:rsidP="00550BB3">
            <w:pPr>
              <w:spacing w:line="205" w:lineRule="atLeast"/>
              <w:jc w:val="center"/>
              <w:rPr>
                <w:rFonts w:ascii="Arial Narrow" w:hAnsi="Arial Narrow"/>
                <w:color w:val="222222"/>
                <w:sz w:val="20"/>
                <w:szCs w:val="20"/>
              </w:rPr>
            </w:pPr>
            <w:r w:rsidRPr="000160B2">
              <w:rPr>
                <w:rFonts w:ascii="Arial Narrow" w:hAnsi="Arial Narrow"/>
                <w:b/>
                <w:bCs/>
                <w:color w:val="222222"/>
                <w:sz w:val="20"/>
                <w:szCs w:val="20"/>
              </w:rPr>
              <w:t>63.6% (44.8, 82.3%)</w:t>
            </w:r>
          </w:p>
        </w:tc>
        <w:tc>
          <w:tcPr>
            <w:tcW w:w="2003" w:type="dxa"/>
            <w:shd w:val="clear" w:color="auto" w:fill="FFFFFF"/>
            <w:tcMar>
              <w:top w:w="0" w:type="dxa"/>
              <w:left w:w="28" w:type="dxa"/>
              <w:bottom w:w="0" w:type="dxa"/>
              <w:right w:w="28" w:type="dxa"/>
            </w:tcMar>
          </w:tcPr>
          <w:p w14:paraId="3CADFE0F" w14:textId="77777777" w:rsidR="001124C8" w:rsidRPr="000160B2" w:rsidRDefault="001124C8" w:rsidP="00550BB3">
            <w:pPr>
              <w:spacing w:line="205" w:lineRule="atLeast"/>
              <w:jc w:val="center"/>
              <w:rPr>
                <w:rFonts w:ascii="Arial Narrow" w:hAnsi="Arial Narrow"/>
                <w:color w:val="222222"/>
                <w:sz w:val="20"/>
                <w:szCs w:val="20"/>
              </w:rPr>
            </w:pPr>
            <w:r w:rsidRPr="000160B2">
              <w:rPr>
                <w:rFonts w:ascii="Arial Narrow" w:hAnsi="Arial Narrow"/>
                <w:color w:val="222222"/>
                <w:sz w:val="20"/>
                <w:szCs w:val="20"/>
              </w:rPr>
              <w:t>59.0% (39.5, 78.5%)</w:t>
            </w:r>
          </w:p>
        </w:tc>
      </w:tr>
      <w:tr w:rsidR="001124C8" w:rsidRPr="005B024E" w14:paraId="4A322225" w14:textId="77777777" w:rsidTr="000160B2">
        <w:tc>
          <w:tcPr>
            <w:tcW w:w="1696" w:type="dxa"/>
            <w:shd w:val="clear" w:color="auto" w:fill="FFFFFF"/>
            <w:tcMar>
              <w:top w:w="0" w:type="dxa"/>
              <w:left w:w="28" w:type="dxa"/>
              <w:bottom w:w="0" w:type="dxa"/>
              <w:right w:w="28" w:type="dxa"/>
            </w:tcMar>
            <w:vAlign w:val="center"/>
          </w:tcPr>
          <w:p w14:paraId="4910442F" w14:textId="77777777" w:rsidR="001124C8" w:rsidRPr="000160B2" w:rsidRDefault="001124C8" w:rsidP="00550BB3">
            <w:pPr>
              <w:spacing w:line="205" w:lineRule="atLeast"/>
              <w:jc w:val="left"/>
              <w:rPr>
                <w:rFonts w:ascii="Arial Narrow" w:hAnsi="Arial Narrow"/>
                <w:color w:val="222222"/>
                <w:sz w:val="20"/>
                <w:szCs w:val="20"/>
              </w:rPr>
            </w:pPr>
            <w:r w:rsidRPr="000160B2">
              <w:rPr>
                <w:rFonts w:ascii="Arial Narrow" w:hAnsi="Arial Narrow"/>
                <w:color w:val="222222"/>
                <w:sz w:val="20"/>
                <w:szCs w:val="20"/>
              </w:rPr>
              <w:t>Gompertz</w:t>
            </w:r>
          </w:p>
        </w:tc>
        <w:tc>
          <w:tcPr>
            <w:tcW w:w="1870" w:type="dxa"/>
            <w:shd w:val="clear" w:color="auto" w:fill="FFFFFF"/>
            <w:tcMar>
              <w:top w:w="0" w:type="dxa"/>
              <w:left w:w="28" w:type="dxa"/>
              <w:bottom w:w="0" w:type="dxa"/>
              <w:right w:w="28" w:type="dxa"/>
            </w:tcMar>
          </w:tcPr>
          <w:p w14:paraId="101493D2" w14:textId="77777777" w:rsidR="001124C8" w:rsidRPr="000160B2" w:rsidRDefault="001124C8" w:rsidP="00550BB3">
            <w:pPr>
              <w:spacing w:line="205" w:lineRule="atLeast"/>
              <w:jc w:val="center"/>
              <w:rPr>
                <w:rFonts w:ascii="Arial Narrow" w:hAnsi="Arial Narrow"/>
                <w:color w:val="222222"/>
                <w:sz w:val="20"/>
                <w:szCs w:val="20"/>
              </w:rPr>
            </w:pPr>
            <w:r w:rsidRPr="000160B2">
              <w:rPr>
                <w:rFonts w:ascii="Arial Narrow" w:hAnsi="Arial Narrow"/>
                <w:color w:val="222222"/>
                <w:sz w:val="20"/>
                <w:szCs w:val="20"/>
              </w:rPr>
              <w:t>0.0% (-640.4, 640.1%)</w:t>
            </w:r>
          </w:p>
        </w:tc>
        <w:tc>
          <w:tcPr>
            <w:tcW w:w="1700" w:type="dxa"/>
            <w:shd w:val="clear" w:color="auto" w:fill="FFFFFF"/>
            <w:tcMar>
              <w:top w:w="0" w:type="dxa"/>
              <w:left w:w="28" w:type="dxa"/>
              <w:bottom w:w="0" w:type="dxa"/>
              <w:right w:w="28" w:type="dxa"/>
            </w:tcMar>
          </w:tcPr>
          <w:p w14:paraId="0077A37A" w14:textId="77777777" w:rsidR="001124C8" w:rsidRPr="000160B2" w:rsidRDefault="001124C8" w:rsidP="00550BB3">
            <w:pPr>
              <w:spacing w:line="205" w:lineRule="atLeast"/>
              <w:jc w:val="center"/>
              <w:rPr>
                <w:rFonts w:ascii="Arial Narrow" w:hAnsi="Arial Narrow"/>
                <w:color w:val="222222"/>
                <w:sz w:val="20"/>
                <w:szCs w:val="20"/>
              </w:rPr>
            </w:pPr>
            <w:r w:rsidRPr="000160B2">
              <w:rPr>
                <w:rFonts w:ascii="Arial Narrow" w:hAnsi="Arial Narrow"/>
                <w:color w:val="222222"/>
                <w:sz w:val="20"/>
                <w:szCs w:val="20"/>
              </w:rPr>
              <w:t>0.0% (-472.0, 472.0%)</w:t>
            </w:r>
          </w:p>
        </w:tc>
        <w:tc>
          <w:tcPr>
            <w:tcW w:w="1747" w:type="dxa"/>
            <w:shd w:val="clear" w:color="auto" w:fill="FFFFFF"/>
            <w:tcMar>
              <w:top w:w="0" w:type="dxa"/>
              <w:left w:w="28" w:type="dxa"/>
              <w:bottom w:w="0" w:type="dxa"/>
              <w:right w:w="28" w:type="dxa"/>
            </w:tcMar>
          </w:tcPr>
          <w:p w14:paraId="08C73E0A" w14:textId="77777777" w:rsidR="001124C8" w:rsidRPr="000160B2" w:rsidRDefault="001124C8" w:rsidP="00550BB3">
            <w:pPr>
              <w:spacing w:line="205" w:lineRule="atLeast"/>
              <w:jc w:val="center"/>
              <w:rPr>
                <w:rFonts w:ascii="Arial Narrow" w:hAnsi="Arial Narrow"/>
                <w:color w:val="222222"/>
                <w:sz w:val="20"/>
                <w:szCs w:val="20"/>
              </w:rPr>
            </w:pPr>
            <w:r w:rsidRPr="000160B2">
              <w:rPr>
                <w:rFonts w:ascii="Arial Narrow" w:hAnsi="Arial Narrow"/>
                <w:color w:val="222222"/>
                <w:sz w:val="20"/>
                <w:szCs w:val="20"/>
              </w:rPr>
              <w:t>0.0% (-539.4,539.4%)</w:t>
            </w:r>
          </w:p>
        </w:tc>
        <w:tc>
          <w:tcPr>
            <w:tcW w:w="2003" w:type="dxa"/>
            <w:shd w:val="clear" w:color="auto" w:fill="FFFFFF"/>
            <w:tcMar>
              <w:top w:w="0" w:type="dxa"/>
              <w:left w:w="28" w:type="dxa"/>
              <w:bottom w:w="0" w:type="dxa"/>
              <w:right w:w="28" w:type="dxa"/>
            </w:tcMar>
          </w:tcPr>
          <w:p w14:paraId="5EA3BA62" w14:textId="77777777" w:rsidR="001124C8" w:rsidRPr="000160B2" w:rsidRDefault="001124C8" w:rsidP="00550BB3">
            <w:pPr>
              <w:spacing w:line="205" w:lineRule="atLeast"/>
              <w:jc w:val="center"/>
              <w:rPr>
                <w:rFonts w:ascii="Arial Narrow" w:hAnsi="Arial Narrow"/>
                <w:color w:val="222222"/>
                <w:sz w:val="20"/>
                <w:szCs w:val="20"/>
              </w:rPr>
            </w:pPr>
            <w:r w:rsidRPr="000160B2">
              <w:rPr>
                <w:rFonts w:ascii="Arial Narrow" w:hAnsi="Arial Narrow"/>
                <w:color w:val="222222"/>
                <w:sz w:val="20"/>
                <w:szCs w:val="20"/>
              </w:rPr>
              <w:t>0.0% (-867.8, 867.8%)</w:t>
            </w:r>
          </w:p>
        </w:tc>
      </w:tr>
      <w:tr w:rsidR="001124C8" w:rsidRPr="005B024E" w14:paraId="4F7F206F" w14:textId="77777777" w:rsidTr="000160B2">
        <w:tc>
          <w:tcPr>
            <w:tcW w:w="1696" w:type="dxa"/>
            <w:shd w:val="clear" w:color="auto" w:fill="FFFFFF"/>
            <w:tcMar>
              <w:top w:w="0" w:type="dxa"/>
              <w:left w:w="28" w:type="dxa"/>
              <w:bottom w:w="0" w:type="dxa"/>
              <w:right w:w="28" w:type="dxa"/>
            </w:tcMar>
            <w:vAlign w:val="center"/>
          </w:tcPr>
          <w:p w14:paraId="0054D431" w14:textId="77777777" w:rsidR="001124C8" w:rsidRPr="000160B2" w:rsidRDefault="001124C8" w:rsidP="00550BB3">
            <w:pPr>
              <w:spacing w:line="205" w:lineRule="atLeast"/>
              <w:jc w:val="left"/>
              <w:rPr>
                <w:rFonts w:ascii="Arial Narrow" w:hAnsi="Arial Narrow"/>
                <w:color w:val="222222"/>
                <w:sz w:val="20"/>
                <w:szCs w:val="20"/>
              </w:rPr>
            </w:pPr>
            <w:r w:rsidRPr="000160B2">
              <w:rPr>
                <w:rFonts w:ascii="Arial Narrow" w:hAnsi="Arial Narrow"/>
                <w:color w:val="222222"/>
                <w:sz w:val="20"/>
                <w:szCs w:val="20"/>
              </w:rPr>
              <w:t>Log-logistic</w:t>
            </w:r>
          </w:p>
        </w:tc>
        <w:tc>
          <w:tcPr>
            <w:tcW w:w="1870" w:type="dxa"/>
            <w:shd w:val="clear" w:color="auto" w:fill="FFFFFF"/>
            <w:tcMar>
              <w:top w:w="0" w:type="dxa"/>
              <w:left w:w="28" w:type="dxa"/>
              <w:bottom w:w="0" w:type="dxa"/>
              <w:right w:w="28" w:type="dxa"/>
            </w:tcMar>
          </w:tcPr>
          <w:p w14:paraId="515CFABF" w14:textId="77777777" w:rsidR="001124C8" w:rsidRPr="000160B2" w:rsidRDefault="001124C8" w:rsidP="00550BB3">
            <w:pPr>
              <w:spacing w:line="205" w:lineRule="atLeast"/>
              <w:jc w:val="center"/>
              <w:rPr>
                <w:rFonts w:ascii="Arial Narrow" w:hAnsi="Arial Narrow"/>
                <w:color w:val="222222"/>
                <w:sz w:val="20"/>
                <w:szCs w:val="20"/>
              </w:rPr>
            </w:pPr>
            <w:r w:rsidRPr="000160B2">
              <w:rPr>
                <w:rFonts w:ascii="Arial Narrow" w:hAnsi="Arial Narrow"/>
                <w:color w:val="222222"/>
                <w:sz w:val="20"/>
                <w:szCs w:val="20"/>
              </w:rPr>
              <w:t>*</w:t>
            </w:r>
          </w:p>
        </w:tc>
        <w:tc>
          <w:tcPr>
            <w:tcW w:w="1700" w:type="dxa"/>
            <w:shd w:val="clear" w:color="auto" w:fill="FFFFFF"/>
            <w:tcMar>
              <w:top w:w="0" w:type="dxa"/>
              <w:left w:w="28" w:type="dxa"/>
              <w:bottom w:w="0" w:type="dxa"/>
              <w:right w:w="28" w:type="dxa"/>
            </w:tcMar>
          </w:tcPr>
          <w:p w14:paraId="770C4BE6" w14:textId="77777777" w:rsidR="001124C8" w:rsidRPr="000160B2" w:rsidRDefault="001124C8" w:rsidP="00550BB3">
            <w:pPr>
              <w:spacing w:line="205" w:lineRule="atLeast"/>
              <w:jc w:val="center"/>
              <w:rPr>
                <w:rFonts w:ascii="Arial Narrow" w:hAnsi="Arial Narrow"/>
                <w:color w:val="222222"/>
                <w:sz w:val="20"/>
                <w:szCs w:val="20"/>
              </w:rPr>
            </w:pPr>
            <w:r w:rsidRPr="000160B2">
              <w:rPr>
                <w:rFonts w:ascii="Arial Narrow" w:hAnsi="Arial Narrow"/>
                <w:color w:val="222222"/>
                <w:sz w:val="20"/>
                <w:szCs w:val="20"/>
              </w:rPr>
              <w:t>*</w:t>
            </w:r>
          </w:p>
        </w:tc>
        <w:tc>
          <w:tcPr>
            <w:tcW w:w="1747" w:type="dxa"/>
            <w:shd w:val="clear" w:color="auto" w:fill="FFFFFF"/>
            <w:tcMar>
              <w:top w:w="0" w:type="dxa"/>
              <w:left w:w="28" w:type="dxa"/>
              <w:bottom w:w="0" w:type="dxa"/>
              <w:right w:w="28" w:type="dxa"/>
            </w:tcMar>
          </w:tcPr>
          <w:p w14:paraId="2DC8AEF7" w14:textId="77777777" w:rsidR="001124C8" w:rsidRPr="000160B2" w:rsidRDefault="001124C8" w:rsidP="00550BB3">
            <w:pPr>
              <w:spacing w:line="205" w:lineRule="atLeast"/>
              <w:jc w:val="center"/>
              <w:rPr>
                <w:rFonts w:ascii="Arial Narrow" w:hAnsi="Arial Narrow"/>
                <w:b/>
                <w:bCs/>
                <w:color w:val="222222"/>
                <w:sz w:val="20"/>
                <w:szCs w:val="20"/>
              </w:rPr>
            </w:pPr>
            <w:r w:rsidRPr="000160B2">
              <w:rPr>
                <w:rFonts w:ascii="Arial Narrow" w:hAnsi="Arial Narrow"/>
                <w:color w:val="222222"/>
                <w:sz w:val="20"/>
                <w:szCs w:val="20"/>
              </w:rPr>
              <w:t>*</w:t>
            </w:r>
          </w:p>
        </w:tc>
        <w:tc>
          <w:tcPr>
            <w:tcW w:w="2003" w:type="dxa"/>
            <w:shd w:val="clear" w:color="auto" w:fill="FFFFFF"/>
            <w:tcMar>
              <w:top w:w="0" w:type="dxa"/>
              <w:left w:w="28" w:type="dxa"/>
              <w:bottom w:w="0" w:type="dxa"/>
              <w:right w:w="28" w:type="dxa"/>
            </w:tcMar>
          </w:tcPr>
          <w:p w14:paraId="06ED0FAD" w14:textId="77777777" w:rsidR="001124C8" w:rsidRPr="000160B2" w:rsidRDefault="001124C8" w:rsidP="00550BB3">
            <w:pPr>
              <w:spacing w:line="205" w:lineRule="atLeast"/>
              <w:jc w:val="center"/>
              <w:rPr>
                <w:rFonts w:ascii="Arial Narrow" w:hAnsi="Arial Narrow"/>
                <w:color w:val="222222"/>
                <w:sz w:val="20"/>
                <w:szCs w:val="20"/>
              </w:rPr>
            </w:pPr>
            <w:r w:rsidRPr="000160B2">
              <w:rPr>
                <w:rFonts w:ascii="Arial Narrow" w:hAnsi="Arial Narrow"/>
                <w:color w:val="222222"/>
                <w:sz w:val="20"/>
                <w:szCs w:val="20"/>
              </w:rPr>
              <w:t>*</w:t>
            </w:r>
          </w:p>
        </w:tc>
      </w:tr>
      <w:tr w:rsidR="001124C8" w:rsidRPr="005B024E" w14:paraId="6E842045" w14:textId="77777777" w:rsidTr="000160B2">
        <w:tc>
          <w:tcPr>
            <w:tcW w:w="1696" w:type="dxa"/>
            <w:shd w:val="clear" w:color="auto" w:fill="FFFFFF"/>
            <w:tcMar>
              <w:top w:w="0" w:type="dxa"/>
              <w:left w:w="28" w:type="dxa"/>
              <w:bottom w:w="0" w:type="dxa"/>
              <w:right w:w="28" w:type="dxa"/>
            </w:tcMar>
            <w:vAlign w:val="center"/>
          </w:tcPr>
          <w:p w14:paraId="5B0C3231" w14:textId="77777777" w:rsidR="001124C8" w:rsidRPr="000160B2" w:rsidRDefault="001124C8" w:rsidP="00550BB3">
            <w:pPr>
              <w:spacing w:line="205" w:lineRule="atLeast"/>
              <w:jc w:val="left"/>
              <w:rPr>
                <w:rFonts w:ascii="Arial Narrow" w:hAnsi="Arial Narrow"/>
                <w:color w:val="222222"/>
                <w:sz w:val="20"/>
                <w:szCs w:val="20"/>
              </w:rPr>
            </w:pPr>
            <w:r w:rsidRPr="000160B2">
              <w:rPr>
                <w:rFonts w:ascii="Arial Narrow" w:hAnsi="Arial Narrow"/>
                <w:color w:val="222222"/>
                <w:sz w:val="20"/>
                <w:szCs w:val="20"/>
              </w:rPr>
              <w:t>Log-normal</w:t>
            </w:r>
          </w:p>
        </w:tc>
        <w:tc>
          <w:tcPr>
            <w:tcW w:w="1870" w:type="dxa"/>
            <w:shd w:val="clear" w:color="auto" w:fill="FFFFFF"/>
            <w:tcMar>
              <w:top w:w="0" w:type="dxa"/>
              <w:left w:w="28" w:type="dxa"/>
              <w:bottom w:w="0" w:type="dxa"/>
              <w:right w:w="28" w:type="dxa"/>
            </w:tcMar>
          </w:tcPr>
          <w:p w14:paraId="7DEE62E8" w14:textId="77777777" w:rsidR="001124C8" w:rsidRPr="000160B2" w:rsidRDefault="001124C8" w:rsidP="00550BB3">
            <w:pPr>
              <w:spacing w:line="205" w:lineRule="atLeast"/>
              <w:jc w:val="center"/>
              <w:rPr>
                <w:rFonts w:ascii="Arial Narrow" w:hAnsi="Arial Narrow"/>
                <w:b/>
                <w:bCs/>
                <w:color w:val="222222"/>
                <w:sz w:val="20"/>
                <w:szCs w:val="20"/>
              </w:rPr>
            </w:pPr>
            <w:r w:rsidRPr="000160B2">
              <w:rPr>
                <w:rFonts w:ascii="Arial Narrow" w:hAnsi="Arial Narrow"/>
                <w:color w:val="222222"/>
                <w:sz w:val="20"/>
                <w:szCs w:val="20"/>
              </w:rPr>
              <w:t>72.6% (59.7, 85.6%)</w:t>
            </w:r>
          </w:p>
        </w:tc>
        <w:tc>
          <w:tcPr>
            <w:tcW w:w="1700" w:type="dxa"/>
            <w:shd w:val="clear" w:color="auto" w:fill="FFFFFF"/>
            <w:tcMar>
              <w:top w:w="0" w:type="dxa"/>
              <w:left w:w="28" w:type="dxa"/>
              <w:bottom w:w="0" w:type="dxa"/>
              <w:right w:w="28" w:type="dxa"/>
            </w:tcMar>
          </w:tcPr>
          <w:p w14:paraId="3D5547B5" w14:textId="77777777" w:rsidR="001124C8" w:rsidRPr="000160B2" w:rsidRDefault="001124C8" w:rsidP="00550BB3">
            <w:pPr>
              <w:spacing w:line="205" w:lineRule="atLeast"/>
              <w:jc w:val="center"/>
              <w:rPr>
                <w:rFonts w:ascii="Arial Narrow" w:hAnsi="Arial Narrow"/>
                <w:color w:val="222222"/>
                <w:sz w:val="20"/>
                <w:szCs w:val="20"/>
              </w:rPr>
            </w:pPr>
            <w:r w:rsidRPr="000160B2">
              <w:rPr>
                <w:rFonts w:ascii="Arial Narrow" w:hAnsi="Arial Narrow"/>
                <w:b/>
                <w:bCs/>
                <w:color w:val="222222"/>
                <w:sz w:val="20"/>
                <w:szCs w:val="20"/>
              </w:rPr>
              <w:t>77.1% (70.5-83.7%)</w:t>
            </w:r>
          </w:p>
        </w:tc>
        <w:tc>
          <w:tcPr>
            <w:tcW w:w="1747" w:type="dxa"/>
            <w:shd w:val="clear" w:color="auto" w:fill="FFFFFF"/>
            <w:tcMar>
              <w:top w:w="0" w:type="dxa"/>
              <w:left w:w="28" w:type="dxa"/>
              <w:bottom w:w="0" w:type="dxa"/>
              <w:right w:w="28" w:type="dxa"/>
            </w:tcMar>
          </w:tcPr>
          <w:p w14:paraId="0BACB41D" w14:textId="77777777" w:rsidR="001124C8" w:rsidRPr="000160B2" w:rsidRDefault="001124C8" w:rsidP="00550BB3">
            <w:pPr>
              <w:spacing w:line="205" w:lineRule="atLeast"/>
              <w:jc w:val="center"/>
              <w:rPr>
                <w:rFonts w:ascii="Arial Narrow" w:hAnsi="Arial Narrow"/>
                <w:b/>
                <w:bCs/>
                <w:color w:val="222222"/>
                <w:sz w:val="20"/>
                <w:szCs w:val="20"/>
              </w:rPr>
            </w:pPr>
            <w:r w:rsidRPr="000160B2">
              <w:rPr>
                <w:rFonts w:ascii="Arial Narrow" w:hAnsi="Arial Narrow"/>
                <w:color w:val="222222"/>
                <w:sz w:val="20"/>
                <w:szCs w:val="20"/>
              </w:rPr>
              <w:t>68.1% (61.3, 74.9%)</w:t>
            </w:r>
          </w:p>
        </w:tc>
        <w:tc>
          <w:tcPr>
            <w:tcW w:w="2003" w:type="dxa"/>
            <w:shd w:val="clear" w:color="auto" w:fill="FFFFFF"/>
            <w:tcMar>
              <w:top w:w="0" w:type="dxa"/>
              <w:left w:w="28" w:type="dxa"/>
              <w:bottom w:w="0" w:type="dxa"/>
              <w:right w:w="28" w:type="dxa"/>
            </w:tcMar>
          </w:tcPr>
          <w:p w14:paraId="7B866957" w14:textId="77777777" w:rsidR="001124C8" w:rsidRPr="000160B2" w:rsidRDefault="001124C8" w:rsidP="00550BB3">
            <w:pPr>
              <w:spacing w:line="205" w:lineRule="atLeast"/>
              <w:jc w:val="center"/>
              <w:rPr>
                <w:rFonts w:ascii="Arial Narrow" w:hAnsi="Arial Narrow"/>
                <w:color w:val="222222"/>
                <w:sz w:val="20"/>
                <w:szCs w:val="20"/>
              </w:rPr>
            </w:pPr>
            <w:r w:rsidRPr="000160B2">
              <w:rPr>
                <w:rFonts w:ascii="Arial Narrow" w:hAnsi="Arial Narrow"/>
                <w:b/>
                <w:bCs/>
                <w:color w:val="222222"/>
                <w:sz w:val="20"/>
                <w:szCs w:val="20"/>
              </w:rPr>
              <w:t>62.7% (54.4, 70.9%)</w:t>
            </w:r>
          </w:p>
        </w:tc>
      </w:tr>
      <w:tr w:rsidR="001124C8" w:rsidRPr="005B024E" w14:paraId="2B9F26A5" w14:textId="77777777" w:rsidTr="000160B2">
        <w:tc>
          <w:tcPr>
            <w:tcW w:w="1696" w:type="dxa"/>
            <w:shd w:val="clear" w:color="auto" w:fill="FFFFFF"/>
            <w:tcMar>
              <w:top w:w="0" w:type="dxa"/>
              <w:left w:w="28" w:type="dxa"/>
              <w:bottom w:w="0" w:type="dxa"/>
              <w:right w:w="28" w:type="dxa"/>
            </w:tcMar>
            <w:vAlign w:val="center"/>
          </w:tcPr>
          <w:p w14:paraId="5DD6E609" w14:textId="77777777" w:rsidR="001124C8" w:rsidRPr="000160B2" w:rsidRDefault="001124C8" w:rsidP="00550BB3">
            <w:pPr>
              <w:spacing w:line="205" w:lineRule="atLeast"/>
              <w:jc w:val="left"/>
              <w:rPr>
                <w:rFonts w:ascii="Arial Narrow" w:hAnsi="Arial Narrow"/>
                <w:color w:val="222222"/>
                <w:sz w:val="20"/>
                <w:szCs w:val="20"/>
              </w:rPr>
            </w:pPr>
            <w:r w:rsidRPr="000160B2">
              <w:rPr>
                <w:rFonts w:ascii="Arial Narrow" w:hAnsi="Arial Narrow"/>
                <w:color w:val="222222"/>
                <w:sz w:val="20"/>
                <w:szCs w:val="20"/>
              </w:rPr>
              <w:t>Weibull</w:t>
            </w:r>
          </w:p>
        </w:tc>
        <w:tc>
          <w:tcPr>
            <w:tcW w:w="1870" w:type="dxa"/>
            <w:shd w:val="clear" w:color="auto" w:fill="FFFFFF"/>
            <w:tcMar>
              <w:top w:w="0" w:type="dxa"/>
              <w:left w:w="28" w:type="dxa"/>
              <w:bottom w:w="0" w:type="dxa"/>
              <w:right w:w="28" w:type="dxa"/>
            </w:tcMar>
          </w:tcPr>
          <w:p w14:paraId="1843C190" w14:textId="77777777" w:rsidR="001124C8" w:rsidRPr="000160B2" w:rsidRDefault="001124C8" w:rsidP="00550BB3">
            <w:pPr>
              <w:spacing w:line="205" w:lineRule="atLeast"/>
              <w:jc w:val="center"/>
              <w:rPr>
                <w:rFonts w:ascii="Arial Narrow" w:hAnsi="Arial Narrow"/>
                <w:color w:val="222222"/>
                <w:sz w:val="20"/>
                <w:szCs w:val="20"/>
              </w:rPr>
            </w:pPr>
            <w:r w:rsidRPr="000160B2">
              <w:rPr>
                <w:rFonts w:ascii="Arial Narrow" w:hAnsi="Arial Narrow"/>
                <w:color w:val="222222"/>
                <w:sz w:val="20"/>
                <w:szCs w:val="20"/>
              </w:rPr>
              <w:t>*</w:t>
            </w:r>
          </w:p>
        </w:tc>
        <w:tc>
          <w:tcPr>
            <w:tcW w:w="1700" w:type="dxa"/>
            <w:shd w:val="clear" w:color="auto" w:fill="FFFFFF"/>
            <w:tcMar>
              <w:top w:w="0" w:type="dxa"/>
              <w:left w:w="28" w:type="dxa"/>
              <w:bottom w:w="0" w:type="dxa"/>
              <w:right w:w="28" w:type="dxa"/>
            </w:tcMar>
          </w:tcPr>
          <w:p w14:paraId="7A656011" w14:textId="77777777" w:rsidR="001124C8" w:rsidRPr="000160B2" w:rsidRDefault="001124C8" w:rsidP="00550BB3">
            <w:pPr>
              <w:spacing w:line="205" w:lineRule="atLeast"/>
              <w:jc w:val="center"/>
              <w:rPr>
                <w:rFonts w:ascii="Arial Narrow" w:hAnsi="Arial Narrow"/>
                <w:color w:val="222222"/>
                <w:sz w:val="20"/>
                <w:szCs w:val="20"/>
              </w:rPr>
            </w:pPr>
            <w:r w:rsidRPr="000160B2">
              <w:rPr>
                <w:rFonts w:ascii="Arial Narrow" w:hAnsi="Arial Narrow"/>
                <w:color w:val="222222"/>
                <w:sz w:val="20"/>
                <w:szCs w:val="20"/>
              </w:rPr>
              <w:t>*</w:t>
            </w:r>
          </w:p>
        </w:tc>
        <w:tc>
          <w:tcPr>
            <w:tcW w:w="1747" w:type="dxa"/>
            <w:shd w:val="clear" w:color="auto" w:fill="FFFFFF"/>
            <w:tcMar>
              <w:top w:w="0" w:type="dxa"/>
              <w:left w:w="28" w:type="dxa"/>
              <w:bottom w:w="0" w:type="dxa"/>
              <w:right w:w="28" w:type="dxa"/>
            </w:tcMar>
          </w:tcPr>
          <w:p w14:paraId="1E235334" w14:textId="77777777" w:rsidR="001124C8" w:rsidRPr="000160B2" w:rsidRDefault="001124C8" w:rsidP="00550BB3">
            <w:pPr>
              <w:spacing w:line="205" w:lineRule="atLeast"/>
              <w:jc w:val="center"/>
              <w:rPr>
                <w:rFonts w:ascii="Arial Narrow" w:hAnsi="Arial Narrow"/>
                <w:b/>
                <w:bCs/>
                <w:color w:val="222222"/>
                <w:sz w:val="20"/>
                <w:szCs w:val="20"/>
              </w:rPr>
            </w:pPr>
            <w:r w:rsidRPr="000160B2">
              <w:rPr>
                <w:rFonts w:ascii="Arial Narrow" w:hAnsi="Arial Narrow"/>
                <w:color w:val="222222"/>
                <w:sz w:val="20"/>
                <w:szCs w:val="20"/>
              </w:rPr>
              <w:t>*</w:t>
            </w:r>
          </w:p>
        </w:tc>
        <w:tc>
          <w:tcPr>
            <w:tcW w:w="2003" w:type="dxa"/>
            <w:shd w:val="clear" w:color="auto" w:fill="FFFFFF"/>
            <w:tcMar>
              <w:top w:w="0" w:type="dxa"/>
              <w:left w:w="28" w:type="dxa"/>
              <w:bottom w:w="0" w:type="dxa"/>
              <w:right w:w="28" w:type="dxa"/>
            </w:tcMar>
          </w:tcPr>
          <w:p w14:paraId="4C3BC270" w14:textId="77777777" w:rsidR="001124C8" w:rsidRPr="000160B2" w:rsidRDefault="001124C8" w:rsidP="00550BB3">
            <w:pPr>
              <w:spacing w:line="205" w:lineRule="atLeast"/>
              <w:jc w:val="center"/>
              <w:rPr>
                <w:rFonts w:ascii="Arial Narrow" w:hAnsi="Arial Narrow"/>
                <w:color w:val="222222"/>
                <w:sz w:val="20"/>
                <w:szCs w:val="20"/>
              </w:rPr>
            </w:pPr>
            <w:r w:rsidRPr="000160B2">
              <w:rPr>
                <w:rFonts w:ascii="Arial Narrow" w:hAnsi="Arial Narrow"/>
                <w:color w:val="222222"/>
                <w:sz w:val="20"/>
                <w:szCs w:val="20"/>
              </w:rPr>
              <w:t>*</w:t>
            </w:r>
          </w:p>
        </w:tc>
      </w:tr>
    </w:tbl>
    <w:p w14:paraId="139A4742" w14:textId="77777777" w:rsidR="001124C8" w:rsidRPr="000B2FEE" w:rsidRDefault="001124C8" w:rsidP="001124C8">
      <w:pPr>
        <w:pStyle w:val="TableFigureFooter"/>
      </w:pPr>
      <w:r w:rsidRPr="000B2FEE">
        <w:t>Source: compiled during the evaluation from ‘POLARIX statistical outputs_ITT.xlsx’ and ‘POLARIX statistical outputs_IPI 3-5.xls’</w:t>
      </w:r>
    </w:p>
    <w:p w14:paraId="20AC751D" w14:textId="77777777" w:rsidR="001124C8" w:rsidRPr="005B024E" w:rsidRDefault="001124C8" w:rsidP="001124C8">
      <w:pPr>
        <w:pStyle w:val="TableFigureFooter"/>
      </w:pPr>
      <w:r w:rsidRPr="005B024E">
        <w:t>ITT = intention to treat, IPI = International Prognostic Index, PFS = progression free survival, Pola+R-CHP = polatuzumab vedotin in combination with cyclophosphamide, doxorubicin and prednisone, R-CHOP = rituximab in combination with cyclophosphamide, doxorubicin, vincristine and prednisone</w:t>
      </w:r>
    </w:p>
    <w:p w14:paraId="13158D9D" w14:textId="77777777" w:rsidR="001124C8" w:rsidRPr="005B024E" w:rsidRDefault="001124C8" w:rsidP="001124C8">
      <w:pPr>
        <w:pStyle w:val="TableFigureFooter"/>
      </w:pPr>
      <w:r w:rsidRPr="005B024E">
        <w:rPr>
          <w:b/>
        </w:rPr>
        <w:t>Bold</w:t>
      </w:r>
      <w:r w:rsidRPr="005B024E">
        <w:t xml:space="preserve"> indicates the chosen base case extrapolation, * indicates extrapolations that failed to converge.</w:t>
      </w:r>
    </w:p>
    <w:p w14:paraId="4A23811A" w14:textId="091A583D" w:rsidR="001124C8" w:rsidRPr="000B2FEE" w:rsidRDefault="0065312C" w:rsidP="00E1521D">
      <w:pPr>
        <w:pStyle w:val="3-BodyText"/>
        <w:ind w:left="720"/>
        <w:rPr>
          <w:iCs/>
        </w:rPr>
      </w:pPr>
      <w:r w:rsidRPr="000B2FEE">
        <w:rPr>
          <w:iCs/>
        </w:rPr>
        <w:t>Visually, t</w:t>
      </w:r>
      <w:r w:rsidR="001124C8" w:rsidRPr="000B2FEE">
        <w:rPr>
          <w:iCs/>
        </w:rPr>
        <w:t xml:space="preserve">he mixture-cure extrapolations tended </w:t>
      </w:r>
      <w:r w:rsidR="00731FF2" w:rsidRPr="000B2FEE">
        <w:rPr>
          <w:iCs/>
        </w:rPr>
        <w:t xml:space="preserve">to </w:t>
      </w:r>
      <w:r w:rsidRPr="000B2FEE">
        <w:rPr>
          <w:iCs/>
        </w:rPr>
        <w:t>overestimate</w:t>
      </w:r>
      <w:r w:rsidR="001124C8" w:rsidRPr="000B2FEE">
        <w:rPr>
          <w:iCs/>
        </w:rPr>
        <w:t xml:space="preserve"> the KM data, particularly</w:t>
      </w:r>
      <w:r w:rsidRPr="000B2FEE">
        <w:rPr>
          <w:iCs/>
        </w:rPr>
        <w:t xml:space="preserve"> the chosen base case extrapolations, and especially</w:t>
      </w:r>
      <w:r w:rsidR="001124C8" w:rsidRPr="000B2FEE">
        <w:rPr>
          <w:iCs/>
        </w:rPr>
        <w:t xml:space="preserve"> towards the end of the KM data for the Pola+R-CHP arms</w:t>
      </w:r>
      <w:r w:rsidRPr="000B2FEE">
        <w:rPr>
          <w:iCs/>
        </w:rPr>
        <w:t>.</w:t>
      </w:r>
      <w:r w:rsidR="001124C8" w:rsidRPr="000B2FEE">
        <w:rPr>
          <w:iCs/>
        </w:rPr>
        <w:t xml:space="preserve"> </w:t>
      </w:r>
      <w:r w:rsidR="00B85F01" w:rsidRPr="000B2FEE">
        <w:rPr>
          <w:iCs/>
        </w:rPr>
        <w:t>There was also</w:t>
      </w:r>
      <w:r w:rsidR="001124C8" w:rsidRPr="000B2FEE">
        <w:rPr>
          <w:iCs/>
        </w:rPr>
        <w:t xml:space="preserve"> high uncertainty in the cure</w:t>
      </w:r>
      <w:r w:rsidR="00B85F01" w:rsidRPr="000B2FEE">
        <w:rPr>
          <w:iCs/>
        </w:rPr>
        <w:t xml:space="preserve"> fraction</w:t>
      </w:r>
      <w:r w:rsidR="001124C8" w:rsidRPr="000B2FEE">
        <w:rPr>
          <w:iCs/>
        </w:rPr>
        <w:t xml:space="preserve"> estimates,</w:t>
      </w:r>
      <w:r w:rsidR="00B85F01" w:rsidRPr="000B2FEE">
        <w:rPr>
          <w:iCs/>
        </w:rPr>
        <w:t xml:space="preserve"> which were not explored in the submission and could not be </w:t>
      </w:r>
      <w:r w:rsidR="00B85F01" w:rsidRPr="000B2FEE">
        <w:rPr>
          <w:iCs/>
        </w:rPr>
        <w:lastRenderedPageBreak/>
        <w:t>explored during the evaluation</w:t>
      </w:r>
      <w:r w:rsidRPr="000B2FEE">
        <w:rPr>
          <w:iCs/>
        </w:rPr>
        <w:t>,</w:t>
      </w:r>
      <w:r w:rsidR="00B85F01" w:rsidRPr="000B2FEE">
        <w:rPr>
          <w:iCs/>
        </w:rPr>
        <w:t xml:space="preserve"> as the </w:t>
      </w:r>
      <w:r w:rsidR="000C1578" w:rsidRPr="000B2FEE">
        <w:rPr>
          <w:iCs/>
        </w:rPr>
        <w:t>cure fraction</w:t>
      </w:r>
      <w:r w:rsidR="00B85F01" w:rsidRPr="000B2FEE">
        <w:rPr>
          <w:iCs/>
        </w:rPr>
        <w:t>s were simultaneously estimated with the extrapolations. Furthermore,</w:t>
      </w:r>
      <w:r w:rsidR="00B85F01" w:rsidRPr="000B2FEE" w:rsidDel="00B85F01">
        <w:rPr>
          <w:iCs/>
        </w:rPr>
        <w:t xml:space="preserve"> </w:t>
      </w:r>
      <w:r w:rsidR="001124C8" w:rsidRPr="000B2FEE">
        <w:rPr>
          <w:iCs/>
        </w:rPr>
        <w:t xml:space="preserve">the mean cure </w:t>
      </w:r>
      <w:r w:rsidR="00B85F01" w:rsidRPr="000B2FEE">
        <w:rPr>
          <w:iCs/>
        </w:rPr>
        <w:t xml:space="preserve">fraction </w:t>
      </w:r>
      <w:r w:rsidR="001124C8" w:rsidRPr="000B2FEE">
        <w:rPr>
          <w:iCs/>
        </w:rPr>
        <w:t>seen in POLARIX for R-CHOP (based on PFS at 24 months proxy)</w:t>
      </w:r>
      <w:r w:rsidR="00B85F01" w:rsidRPr="000B2FEE">
        <w:rPr>
          <w:iCs/>
        </w:rPr>
        <w:t xml:space="preserve"> was consistently underestimated by the mixture-cure extrapolations</w:t>
      </w:r>
      <w:r w:rsidR="001124C8" w:rsidRPr="000B2FEE">
        <w:rPr>
          <w:iCs/>
        </w:rPr>
        <w:t>.</w:t>
      </w:r>
    </w:p>
    <w:p w14:paraId="3A33A20B" w14:textId="3EE308B9" w:rsidR="002E1126" w:rsidRPr="000B2FEE" w:rsidRDefault="00766F70" w:rsidP="00E1521D">
      <w:pPr>
        <w:pStyle w:val="3-BodyText"/>
        <w:ind w:left="720"/>
        <w:rPr>
          <w:iCs/>
        </w:rPr>
      </w:pPr>
      <w:r w:rsidRPr="000B2FEE">
        <w:rPr>
          <w:iCs/>
        </w:rPr>
        <w:t xml:space="preserve">The submission also independently fit standard parametric survival functions to the PFS and OS KM data from POLARIX for each treatment arm. </w:t>
      </w:r>
      <w:r w:rsidR="002E1126" w:rsidRPr="000B2FEE">
        <w:rPr>
          <w:iCs/>
        </w:rPr>
        <w:t>Overall, the standard parametric extrapolations visually fit the KM data better than the mixture-cure approach, particularly for OS, but had much more variable extrapolations</w:t>
      </w:r>
      <w:r w:rsidR="00B23E1E" w:rsidRPr="000B2FEE">
        <w:rPr>
          <w:iCs/>
        </w:rPr>
        <w:t>, demonstrating the high level of uncertainty associated with predicting 25 years of extrapolation</w:t>
      </w:r>
      <w:r w:rsidR="00731FF2" w:rsidRPr="000B2FEE">
        <w:rPr>
          <w:iCs/>
        </w:rPr>
        <w:t>s</w:t>
      </w:r>
      <w:r w:rsidR="00B23E1E" w:rsidRPr="000B2FEE">
        <w:rPr>
          <w:iCs/>
        </w:rPr>
        <w:t xml:space="preserve"> from</w:t>
      </w:r>
      <w:r w:rsidR="00731FF2" w:rsidRPr="000B2FEE">
        <w:rPr>
          <w:iCs/>
        </w:rPr>
        <w:t xml:space="preserve"> </w:t>
      </w:r>
      <w:r w:rsidR="00B23E1E" w:rsidRPr="000B2FEE">
        <w:rPr>
          <w:iCs/>
        </w:rPr>
        <w:t>28.2 months</w:t>
      </w:r>
      <w:r w:rsidR="0065312C" w:rsidRPr="000B2FEE">
        <w:rPr>
          <w:iCs/>
        </w:rPr>
        <w:t xml:space="preserve"> of data</w:t>
      </w:r>
      <w:r w:rsidR="00B23E1E" w:rsidRPr="000B2FEE">
        <w:rPr>
          <w:iCs/>
        </w:rPr>
        <w:t xml:space="preserve">. The extrapolations were difficult to interpret and several appeared </w:t>
      </w:r>
      <w:r w:rsidR="00FE728C" w:rsidRPr="000B2FEE">
        <w:rPr>
          <w:iCs/>
        </w:rPr>
        <w:t>to underestimate</w:t>
      </w:r>
      <w:r w:rsidR="00B23E1E" w:rsidRPr="000B2FEE">
        <w:rPr>
          <w:iCs/>
        </w:rPr>
        <w:t xml:space="preserve"> expected survival for DLBCL patien</w:t>
      </w:r>
      <w:r w:rsidR="0089146A" w:rsidRPr="000B2FEE">
        <w:rPr>
          <w:iCs/>
        </w:rPr>
        <w:t>ts. While it may be clinically plausible for PFS and OS to have long tails (patients can achieve long remission/cured status, there are downstream curative treatments available), it may be best to take a more conservative approach in the absence of long-term data in both models.</w:t>
      </w:r>
    </w:p>
    <w:p w14:paraId="5065DF19" w14:textId="5D8A350A" w:rsidR="00206B77" w:rsidRDefault="00F5422B" w:rsidP="00E1521D">
      <w:pPr>
        <w:pStyle w:val="3-BodyText"/>
        <w:ind w:left="720"/>
        <w:rPr>
          <w:iCs/>
        </w:rPr>
      </w:pPr>
      <w:r w:rsidRPr="00476211">
        <w:rPr>
          <w:iCs/>
        </w:rPr>
        <w:t>The submission claimed the standard parametric extrapolations for PFS were not clinically plausible a</w:t>
      </w:r>
      <w:r w:rsidR="009861EE" w:rsidRPr="00476211">
        <w:rPr>
          <w:iCs/>
        </w:rPr>
        <w:t>nd</w:t>
      </w:r>
      <w:r w:rsidRPr="00476211">
        <w:rPr>
          <w:iCs/>
        </w:rPr>
        <w:t xml:space="preserve"> the </w:t>
      </w:r>
      <w:r w:rsidR="00530264" w:rsidRPr="00476211">
        <w:rPr>
          <w:iCs/>
        </w:rPr>
        <w:t xml:space="preserve">preferred </w:t>
      </w:r>
      <w:r w:rsidR="002E1126" w:rsidRPr="00476211">
        <w:rPr>
          <w:iCs/>
        </w:rPr>
        <w:t xml:space="preserve">gamma </w:t>
      </w:r>
      <w:r w:rsidR="00530264" w:rsidRPr="00476211">
        <w:rPr>
          <w:iCs/>
        </w:rPr>
        <w:t xml:space="preserve">functions </w:t>
      </w:r>
      <w:r w:rsidRPr="00476211">
        <w:rPr>
          <w:iCs/>
        </w:rPr>
        <w:t>underestimated PFS compared to propensity score matched data from the GOYA trial</w:t>
      </w:r>
      <w:r w:rsidR="00530264" w:rsidRPr="00476211">
        <w:rPr>
          <w:iCs/>
        </w:rPr>
        <w:t>, illustrated in Figure below</w:t>
      </w:r>
      <w:r w:rsidRPr="00476211">
        <w:rPr>
          <w:iCs/>
        </w:rPr>
        <w:t>.</w:t>
      </w:r>
      <w:r w:rsidR="009861EE" w:rsidRPr="00476211">
        <w:rPr>
          <w:iCs/>
        </w:rPr>
        <w:t xml:space="preserve"> </w:t>
      </w:r>
      <w:r w:rsidR="00051425" w:rsidRPr="00476211">
        <w:rPr>
          <w:iCs/>
        </w:rPr>
        <w:t xml:space="preserve">GOYA was a multicentre phase 3 trial in untreated DLBCL comparing </w:t>
      </w:r>
      <w:r w:rsidR="00691491">
        <w:rPr>
          <w:iCs/>
        </w:rPr>
        <w:t>obinutuzumab</w:t>
      </w:r>
      <w:r w:rsidR="00051425" w:rsidRPr="00476211">
        <w:rPr>
          <w:iCs/>
        </w:rPr>
        <w:t xml:space="preserve">-CHOP and R-CHOP, with longer follow-up </w:t>
      </w:r>
      <w:r w:rsidR="00EF6E60" w:rsidRPr="00476211">
        <w:rPr>
          <w:iCs/>
        </w:rPr>
        <w:t xml:space="preserve">(up to 78.2 months with a median observation time of 47.4 months) </w:t>
      </w:r>
      <w:r w:rsidR="00051425" w:rsidRPr="00476211">
        <w:rPr>
          <w:iCs/>
        </w:rPr>
        <w:t xml:space="preserve">available compared to the POLARIX trial. </w:t>
      </w:r>
      <w:r w:rsidR="009861EE" w:rsidRPr="00476211">
        <w:rPr>
          <w:iCs/>
        </w:rPr>
        <w:t>The figure includes the ‘corrected’ extrapolations estimated during the evaluation that do not impose an assumption that PFS mortality rate cannot be less than the OS mortality rate.</w:t>
      </w:r>
      <w:r w:rsidR="00EF6E60" w:rsidRPr="00476211">
        <w:rPr>
          <w:iCs/>
        </w:rPr>
        <w:t xml:space="preserve"> The PSCR stated that the propensity score weighting method was use</w:t>
      </w:r>
      <w:r w:rsidR="00731230" w:rsidRPr="00476211">
        <w:rPr>
          <w:iCs/>
        </w:rPr>
        <w:t>d</w:t>
      </w:r>
      <w:r w:rsidR="00EF6E60" w:rsidRPr="00476211">
        <w:rPr>
          <w:iCs/>
        </w:rPr>
        <w:t xml:space="preserve"> to minimise any bias or confounding due to differences in the distributions of clinical baseline characteristics or geographical regions between GOYA and POLARIX.</w:t>
      </w:r>
      <w:r w:rsidR="00A77597" w:rsidRPr="00476211">
        <w:rPr>
          <w:iCs/>
        </w:rPr>
        <w:t xml:space="preserve"> The ESC considered that there were some concerns with the validation, including that i) GOYA presented data to 5 years only, ii) the model overestimated PFS compared to GOYA at 5 years, and iii) the was no validation of the OS estimates.</w:t>
      </w:r>
    </w:p>
    <w:p w14:paraId="79877B18" w14:textId="1646E499" w:rsidR="002E1126" w:rsidRPr="00476211" w:rsidRDefault="00206B77" w:rsidP="00206B77">
      <w:pPr>
        <w:jc w:val="left"/>
        <w:rPr>
          <w:iCs/>
        </w:rPr>
      </w:pPr>
      <w:r>
        <w:rPr>
          <w:iCs/>
        </w:rPr>
        <w:br w:type="page"/>
      </w:r>
    </w:p>
    <w:p w14:paraId="6F6F40B1" w14:textId="307ABFD5" w:rsidR="00F5422B" w:rsidRPr="005B024E" w:rsidRDefault="00F5422B" w:rsidP="00F5422B">
      <w:pPr>
        <w:pStyle w:val="TableFigureHeading"/>
      </w:pPr>
      <w:r w:rsidRPr="005B024E">
        <w:lastRenderedPageBreak/>
        <w:t xml:space="preserve">Figure </w:t>
      </w:r>
      <w:r w:rsidR="007F2580">
        <w:fldChar w:fldCharType="begin"/>
      </w:r>
      <w:r w:rsidR="007F2580">
        <w:instrText xml:space="preserve"> SEQ Figure \* ARABIC </w:instrText>
      </w:r>
      <w:r w:rsidR="007F2580">
        <w:fldChar w:fldCharType="separate"/>
      </w:r>
      <w:r w:rsidR="007F2580">
        <w:rPr>
          <w:noProof/>
        </w:rPr>
        <w:t>4</w:t>
      </w:r>
      <w:r w:rsidR="007F2580">
        <w:rPr>
          <w:noProof/>
        </w:rPr>
        <w:fldChar w:fldCharType="end"/>
      </w:r>
      <w:r w:rsidRPr="005B024E">
        <w:t xml:space="preserve">: Comparison of POLARIX </w:t>
      </w:r>
      <w:r w:rsidR="00FE728C" w:rsidRPr="005B024E">
        <w:t xml:space="preserve">PFS </w:t>
      </w:r>
      <w:r w:rsidRPr="005B024E">
        <w:t>extrapolations to GOYA trial data</w:t>
      </w:r>
    </w:p>
    <w:tbl>
      <w:tblPr>
        <w:tblStyle w:val="TableGrid"/>
        <w:tblW w:w="0" w:type="auto"/>
        <w:tblLook w:val="04A0" w:firstRow="1" w:lastRow="0" w:firstColumn="1" w:lastColumn="0" w:noHBand="0" w:noVBand="1"/>
      </w:tblPr>
      <w:tblGrid>
        <w:gridCol w:w="4508"/>
        <w:gridCol w:w="4509"/>
      </w:tblGrid>
      <w:tr w:rsidR="00F5422B" w:rsidRPr="005B024E" w14:paraId="150B012A" w14:textId="77777777" w:rsidTr="00550BB3">
        <w:tc>
          <w:tcPr>
            <w:tcW w:w="4508" w:type="dxa"/>
            <w:tcBorders>
              <w:bottom w:val="nil"/>
            </w:tcBorders>
          </w:tcPr>
          <w:p w14:paraId="1A11AF34" w14:textId="77777777" w:rsidR="00F5422B" w:rsidRPr="005B024E" w:rsidRDefault="00F5422B" w:rsidP="00550BB3">
            <w:pPr>
              <w:pStyle w:val="In-tableHeading"/>
              <w:jc w:val="center"/>
              <w:rPr>
                <w:lang w:val="en-AU"/>
              </w:rPr>
            </w:pPr>
            <w:r w:rsidRPr="005B024E">
              <w:rPr>
                <w:lang w:val="en-AU"/>
              </w:rPr>
              <w:t>ITT</w:t>
            </w:r>
          </w:p>
        </w:tc>
        <w:tc>
          <w:tcPr>
            <w:tcW w:w="4509" w:type="dxa"/>
            <w:tcBorders>
              <w:bottom w:val="nil"/>
            </w:tcBorders>
          </w:tcPr>
          <w:p w14:paraId="337B1CC2" w14:textId="77777777" w:rsidR="00F5422B" w:rsidRPr="005B024E" w:rsidRDefault="00F5422B" w:rsidP="00550BB3">
            <w:pPr>
              <w:pStyle w:val="In-tableHeading"/>
              <w:jc w:val="center"/>
              <w:rPr>
                <w:lang w:val="en-AU"/>
              </w:rPr>
            </w:pPr>
            <w:r w:rsidRPr="005B024E">
              <w:rPr>
                <w:lang w:val="en-AU"/>
              </w:rPr>
              <w:t>IPI 3-5</w:t>
            </w:r>
          </w:p>
        </w:tc>
      </w:tr>
      <w:tr w:rsidR="00F5422B" w:rsidRPr="005B024E" w14:paraId="460A2E87" w14:textId="77777777" w:rsidTr="00550BB3">
        <w:tc>
          <w:tcPr>
            <w:tcW w:w="4508" w:type="dxa"/>
            <w:tcBorders>
              <w:top w:val="nil"/>
            </w:tcBorders>
            <w:vAlign w:val="center"/>
          </w:tcPr>
          <w:p w14:paraId="6238750F" w14:textId="1CB19EA8" w:rsidR="00F5422B" w:rsidRPr="005B024E" w:rsidRDefault="00737901" w:rsidP="00550BB3">
            <w:pPr>
              <w:jc w:val="center"/>
            </w:pPr>
            <w:r w:rsidRPr="005B024E">
              <w:rPr>
                <w:noProof/>
                <w:lang w:val="en-US" w:eastAsia="en-US"/>
              </w:rPr>
              <w:drawing>
                <wp:inline distT="0" distB="0" distL="0" distR="0" wp14:anchorId="3A7C7DF4" wp14:editId="7F4B1439">
                  <wp:extent cx="2750820" cy="1798320"/>
                  <wp:effectExtent l="0" t="0" r="0" b="0"/>
                  <wp:docPr id="255" name="Picture 255" descr="Figure 4: Comparison of POLARIX PFS extrapolations to GOYA trial data.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255" descr="Figure 4: Comparison of POLARIX PFS extrapolations to GOYA trial data. ITT"/>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750820" cy="1798320"/>
                          </a:xfrm>
                          <a:prstGeom prst="rect">
                            <a:avLst/>
                          </a:prstGeom>
                          <a:noFill/>
                        </pic:spPr>
                      </pic:pic>
                    </a:graphicData>
                  </a:graphic>
                </wp:inline>
              </w:drawing>
            </w:r>
          </w:p>
        </w:tc>
        <w:tc>
          <w:tcPr>
            <w:tcW w:w="4509" w:type="dxa"/>
            <w:tcBorders>
              <w:top w:val="nil"/>
            </w:tcBorders>
            <w:vAlign w:val="center"/>
          </w:tcPr>
          <w:p w14:paraId="2AEFA142" w14:textId="4F300F8F" w:rsidR="00F5422B" w:rsidRPr="005B024E" w:rsidRDefault="00737901" w:rsidP="00550BB3">
            <w:pPr>
              <w:jc w:val="center"/>
            </w:pPr>
            <w:r w:rsidRPr="005B024E">
              <w:rPr>
                <w:noProof/>
                <w:lang w:val="en-US" w:eastAsia="en-US"/>
              </w:rPr>
              <w:drawing>
                <wp:inline distT="0" distB="0" distL="0" distR="0" wp14:anchorId="67ED8BF7" wp14:editId="7E53C2C4">
                  <wp:extent cx="2750820" cy="1798320"/>
                  <wp:effectExtent l="0" t="0" r="0" b="0"/>
                  <wp:docPr id="33" name="Picture 33" descr="Figure 4: Comparison of POLARIX PFS extrapolations to GOYA trial data. IPI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Figure 4: Comparison of POLARIX PFS extrapolations to GOYA trial data. IPI 3-5"/>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2750820" cy="1798320"/>
                          </a:xfrm>
                          <a:prstGeom prst="rect">
                            <a:avLst/>
                          </a:prstGeom>
                          <a:noFill/>
                        </pic:spPr>
                      </pic:pic>
                    </a:graphicData>
                  </a:graphic>
                </wp:inline>
              </w:drawing>
            </w:r>
          </w:p>
        </w:tc>
      </w:tr>
    </w:tbl>
    <w:p w14:paraId="0FA7CACF" w14:textId="77777777" w:rsidR="00F5422B" w:rsidRPr="005B024E" w:rsidRDefault="00F5422B" w:rsidP="00F5422B">
      <w:pPr>
        <w:pStyle w:val="TableFigureFooter"/>
      </w:pPr>
      <w:r w:rsidRPr="005B024E">
        <w:t xml:space="preserve">Source: adapted from Figures 3.9 and 3.10 in the submission. </w:t>
      </w:r>
    </w:p>
    <w:p w14:paraId="331C31E7" w14:textId="77777777" w:rsidR="00F5422B" w:rsidRPr="005B024E" w:rsidRDefault="00F5422B" w:rsidP="00F5422B">
      <w:pPr>
        <w:pStyle w:val="TableFigureFooter"/>
      </w:pPr>
      <w:r w:rsidRPr="005B024E">
        <w:t>KM = Kaplan-Meier, IPI = International Prognostic Index, ITT = intention to treat, Pola+R-CHP = polatuzumab vedotin in combination with cyclophosphamide, doxorubicin and prednisone, R-CHOP = rituximab in combination with cyclophosphamide, doxorubicin, vincristine and prednisone</w:t>
      </w:r>
    </w:p>
    <w:p w14:paraId="51134E63" w14:textId="573A04BF" w:rsidR="00FB40DA" w:rsidRPr="000B2FEE" w:rsidRDefault="002E1126" w:rsidP="00E1521D">
      <w:pPr>
        <w:pStyle w:val="3-BodyText"/>
        <w:ind w:left="720"/>
        <w:rPr>
          <w:iCs/>
        </w:rPr>
      </w:pPr>
      <w:r w:rsidRPr="000B2FEE">
        <w:rPr>
          <w:iCs/>
        </w:rPr>
        <w:t xml:space="preserve">Despite some concerns about whether the POLARIX and GOYA populations were adequately matched, the external validation of the PFS curves </w:t>
      </w:r>
      <w:r w:rsidR="00D96564" w:rsidRPr="000B2FEE">
        <w:rPr>
          <w:iCs/>
        </w:rPr>
        <w:t xml:space="preserve">for R-CHOP at 5 years does not validate the key assumptions of the submission’s mixed cure model or the implications these assumptions have for deriving the </w:t>
      </w:r>
      <w:r w:rsidRPr="000B2FEE">
        <w:rPr>
          <w:iCs/>
        </w:rPr>
        <w:t>predicted survival benefit with Pola+R-CHP.</w:t>
      </w:r>
      <w:r w:rsidR="00D96564" w:rsidRPr="00E1521D">
        <w:rPr>
          <w:iCs/>
        </w:rPr>
        <w:t xml:space="preserve"> </w:t>
      </w:r>
      <w:r w:rsidR="00FB40DA" w:rsidRPr="000B2FEE">
        <w:rPr>
          <w:iCs/>
        </w:rPr>
        <w:t>Though it is reasonable to account for cured patients when modelling the costs and consequences of treatments for DLBCL, the submission’s implementation of a mixture-cure model was not reasonable</w:t>
      </w:r>
      <w:r w:rsidR="00BD1569" w:rsidRPr="000B2FEE">
        <w:rPr>
          <w:iCs/>
        </w:rPr>
        <w:t xml:space="preserve"> for the following reasons</w:t>
      </w:r>
      <w:r w:rsidR="00FB40DA" w:rsidRPr="000B2FEE">
        <w:rPr>
          <w:iCs/>
        </w:rPr>
        <w:t>:</w:t>
      </w:r>
    </w:p>
    <w:p w14:paraId="6CB3074D" w14:textId="23F81418" w:rsidR="00FB40DA" w:rsidRPr="00476211" w:rsidRDefault="00FB40DA" w:rsidP="00AB4813">
      <w:pPr>
        <w:pStyle w:val="ListParagraph"/>
        <w:ind w:left="993" w:hanging="284"/>
        <w:rPr>
          <w:iCs/>
        </w:rPr>
      </w:pPr>
      <w:r w:rsidRPr="000B2FEE">
        <w:rPr>
          <w:iCs/>
        </w:rPr>
        <w:t xml:space="preserve">The assumptions of the mixture-cure model presented in the submission imply that patients who develop progressing disease following first-line treatment (informed by the PFS trial data) would not be cured following second- or third-line treatments. In practice, patients can receive further therapies with curative intent, including stem cell transplant and CAR-T. Consequently, the model predicts a sharp divergence in </w:t>
      </w:r>
      <w:r w:rsidR="008A2550">
        <w:rPr>
          <w:iCs/>
        </w:rPr>
        <w:t>OS</w:t>
      </w:r>
      <w:r w:rsidRPr="000B2FEE">
        <w:rPr>
          <w:iCs/>
        </w:rPr>
        <w:t xml:space="preserve"> between the treatment arms beyond 28.2 months,</w:t>
      </w:r>
      <w:r w:rsidR="00AB4813" w:rsidRPr="000B2FEE">
        <w:rPr>
          <w:iCs/>
        </w:rPr>
        <w:t xml:space="preserve"> which may not be realistic (</w:t>
      </w:r>
      <w:r w:rsidRPr="000B2FEE">
        <w:rPr>
          <w:iCs/>
        </w:rPr>
        <w:t>the trial evidence show</w:t>
      </w:r>
      <w:r w:rsidR="00AB4813" w:rsidRPr="000B2FEE">
        <w:rPr>
          <w:iCs/>
        </w:rPr>
        <w:t>ed</w:t>
      </w:r>
      <w:r w:rsidRPr="000B2FEE">
        <w:rPr>
          <w:iCs/>
        </w:rPr>
        <w:t xml:space="preserve"> no difference in OS</w:t>
      </w:r>
      <w:r w:rsidR="00AB4813" w:rsidRPr="000B2FEE">
        <w:rPr>
          <w:iCs/>
        </w:rPr>
        <w:t xml:space="preserve"> up to 28.2 months)</w:t>
      </w:r>
      <w:r w:rsidRPr="000B2FEE">
        <w:rPr>
          <w:iCs/>
        </w:rPr>
        <w:t xml:space="preserve">. </w:t>
      </w:r>
      <w:r w:rsidR="00AB4813" w:rsidRPr="000B2FEE">
        <w:rPr>
          <w:iCs/>
        </w:rPr>
        <w:t xml:space="preserve">This also means that while the </w:t>
      </w:r>
      <w:r w:rsidRPr="000B2FEE">
        <w:rPr>
          <w:iCs/>
        </w:rPr>
        <w:t>model included costs from subsequent treatment</w:t>
      </w:r>
      <w:r w:rsidR="0097585C" w:rsidRPr="000B2FEE">
        <w:rPr>
          <w:iCs/>
        </w:rPr>
        <w:t>s</w:t>
      </w:r>
      <w:r w:rsidRPr="000B2FEE">
        <w:rPr>
          <w:iCs/>
        </w:rPr>
        <w:t>, the benefits of these treatments were not included.</w:t>
      </w:r>
      <w:r w:rsidR="006B11A8">
        <w:rPr>
          <w:iCs/>
        </w:rPr>
        <w:t xml:space="preserve"> </w:t>
      </w:r>
      <w:r w:rsidR="006B11A8" w:rsidRPr="00476211">
        <w:rPr>
          <w:iCs/>
        </w:rPr>
        <w:t>The PSCR stated that the use of the cure fraction did not mean that patients who progress following first-line treatment will not benefit from subsequent treatment, as this benefit was inherently captured in the OS trial data from POLARIX and is maintained with extrapolation of OS over the time horizon in the model.</w:t>
      </w:r>
      <w:r w:rsidR="00A77597" w:rsidRPr="00476211">
        <w:rPr>
          <w:iCs/>
        </w:rPr>
        <w:t xml:space="preserve"> The ESC </w:t>
      </w:r>
      <w:r w:rsidR="001A13C7" w:rsidRPr="00476211">
        <w:rPr>
          <w:iCs/>
        </w:rPr>
        <w:t>noted</w:t>
      </w:r>
      <w:r w:rsidR="00A77597" w:rsidRPr="00476211">
        <w:rPr>
          <w:iCs/>
        </w:rPr>
        <w:t xml:space="preserve"> that although the OS trial data does capture the benefits of some subsequent treatments, the model estimated a much higher excess rate of </w:t>
      </w:r>
      <w:r w:rsidR="001A13C7" w:rsidRPr="00476211">
        <w:rPr>
          <w:iCs/>
        </w:rPr>
        <w:t>m</w:t>
      </w:r>
      <w:r w:rsidR="00A77597" w:rsidRPr="00476211">
        <w:rPr>
          <w:iCs/>
        </w:rPr>
        <w:t>ortality for patients in the R-CHOP arm despite no significant difference in OS in the trial</w:t>
      </w:r>
      <w:r w:rsidR="00D52089" w:rsidRPr="00476211">
        <w:rPr>
          <w:iCs/>
        </w:rPr>
        <w:t>. This was</w:t>
      </w:r>
      <w:r w:rsidR="001A13C7" w:rsidRPr="00476211">
        <w:rPr>
          <w:iCs/>
        </w:rPr>
        <w:t xml:space="preserve"> because the estimated cure fraction following first-line treatment was lower</w:t>
      </w:r>
      <w:r w:rsidR="00D52089" w:rsidRPr="00476211">
        <w:rPr>
          <w:iCs/>
        </w:rPr>
        <w:t xml:space="preserve"> (</w:t>
      </w:r>
      <w:r w:rsidR="001A13C7" w:rsidRPr="00476211">
        <w:rPr>
          <w:iCs/>
        </w:rPr>
        <w:t>i.e. the treatment effect observed for PFS (first-line treatment) was used as a surrogate to manufacture a difference in the OS extrapolations</w:t>
      </w:r>
      <w:r w:rsidR="00D52089" w:rsidRPr="00476211">
        <w:rPr>
          <w:iCs/>
        </w:rPr>
        <w:t>)</w:t>
      </w:r>
      <w:r w:rsidR="001A13C7" w:rsidRPr="00476211">
        <w:rPr>
          <w:iCs/>
        </w:rPr>
        <w:t xml:space="preserve">. The ESC considered that the model ignored the potential benefits of subsequent treatments on OS and implied that patients who progress following first-line treatment will die </w:t>
      </w:r>
      <w:r w:rsidR="001A13C7" w:rsidRPr="00476211">
        <w:rPr>
          <w:iCs/>
        </w:rPr>
        <w:lastRenderedPageBreak/>
        <w:t>from DLBCL, resulting in the sharp divergence in OS between the Pola</w:t>
      </w:r>
      <w:r w:rsidR="00BC0F9C">
        <w:rPr>
          <w:iCs/>
        </w:rPr>
        <w:t>+</w:t>
      </w:r>
      <w:r w:rsidR="001A13C7" w:rsidRPr="00476211">
        <w:rPr>
          <w:iCs/>
        </w:rPr>
        <w:t>R-CHP and R-CHOP arms beyond the trial period (28 months).</w:t>
      </w:r>
    </w:p>
    <w:p w14:paraId="2B2BFEEC" w14:textId="7F05D9D2" w:rsidR="00FB40DA" w:rsidRPr="00476211" w:rsidRDefault="00FB40DA" w:rsidP="006D6B26">
      <w:pPr>
        <w:pStyle w:val="ListParagraph"/>
        <w:ind w:left="993" w:hanging="284"/>
        <w:rPr>
          <w:iCs/>
        </w:rPr>
      </w:pPr>
      <w:r w:rsidRPr="00476211">
        <w:rPr>
          <w:iCs/>
        </w:rPr>
        <w:t xml:space="preserve">The KM data in the POLARIX trial at the </w:t>
      </w:r>
      <w:r w:rsidR="0097585C" w:rsidRPr="00476211">
        <w:rPr>
          <w:iCs/>
        </w:rPr>
        <w:t xml:space="preserve">presented </w:t>
      </w:r>
      <w:r w:rsidRPr="00476211">
        <w:rPr>
          <w:iCs/>
        </w:rPr>
        <w:t xml:space="preserve">data-cut </w:t>
      </w:r>
      <w:r w:rsidR="0097585C" w:rsidRPr="00476211">
        <w:rPr>
          <w:iCs/>
        </w:rPr>
        <w:t>(</w:t>
      </w:r>
      <w:r w:rsidR="006D6B26" w:rsidRPr="00476211">
        <w:rPr>
          <w:iCs/>
        </w:rPr>
        <w:t>June 2021</w:t>
      </w:r>
      <w:r w:rsidR="0097585C" w:rsidRPr="00476211">
        <w:rPr>
          <w:iCs/>
        </w:rPr>
        <w:t xml:space="preserve">) </w:t>
      </w:r>
      <w:r w:rsidRPr="00476211">
        <w:rPr>
          <w:iCs/>
        </w:rPr>
        <w:t>appear</w:t>
      </w:r>
      <w:r w:rsidR="0097585C" w:rsidRPr="00476211">
        <w:rPr>
          <w:iCs/>
        </w:rPr>
        <w:t>ed</w:t>
      </w:r>
      <w:r w:rsidRPr="00476211">
        <w:rPr>
          <w:iCs/>
        </w:rPr>
        <w:t xml:space="preserve"> too immature to estimate a reliable </w:t>
      </w:r>
      <w:r w:rsidR="005F3B41" w:rsidRPr="00476211">
        <w:rPr>
          <w:iCs/>
        </w:rPr>
        <w:t>mixture-cure</w:t>
      </w:r>
      <w:r w:rsidRPr="00476211">
        <w:rPr>
          <w:iCs/>
        </w:rPr>
        <w:t xml:space="preserve"> model, particularly a model that jointly estimates the cure fractions and survival functions. The estimated functions do not appear to have a good visual fit of the KM data (overestimates PFS for Pola+R-CHP and OS in both arms) and there was considerable variation around the cure fractions and differences in the cure fractions. As noted in Grant 2020, </w:t>
      </w:r>
      <w:r w:rsidR="000C1578" w:rsidRPr="00476211">
        <w:rPr>
          <w:iCs/>
        </w:rPr>
        <w:t>cure fraction</w:t>
      </w:r>
      <w:r w:rsidRPr="00476211">
        <w:rPr>
          <w:iCs/>
        </w:rPr>
        <w:t>s should only be statistically calculated from mature KM data that is plateauing, but the POLARIX data does not meet these criteria (median PFS, OS not achieved, limited evidence of plateauing PFS).</w:t>
      </w:r>
      <w:r w:rsidR="00C203D8" w:rsidRPr="00476211">
        <w:rPr>
          <w:iCs/>
        </w:rPr>
        <w:t xml:space="preserve"> The ESC agreed with the evaluation that it is difficult to detect a plateau in PFS at 24 months from the evidence provided. However, the ESC considered that the assumption to define a patient as cured if they remained progression free at 2 years was reasonable from a clinical perspective </w:t>
      </w:r>
      <w:r w:rsidR="00624C01" w:rsidRPr="00476211">
        <w:rPr>
          <w:iCs/>
        </w:rPr>
        <w:t>for this condition</w:t>
      </w:r>
      <w:r w:rsidR="00BD69B7" w:rsidRPr="00476211">
        <w:rPr>
          <w:iCs/>
        </w:rPr>
        <w:t>.</w:t>
      </w:r>
      <w:r w:rsidR="007F0C53" w:rsidRPr="00476211">
        <w:rPr>
          <w:iCs/>
        </w:rPr>
        <w:t xml:space="preserve"> However, ESC considered the </w:t>
      </w:r>
      <w:r w:rsidR="005C3136" w:rsidRPr="00476211">
        <w:rPr>
          <w:iCs/>
        </w:rPr>
        <w:t>modelled</w:t>
      </w:r>
      <w:r w:rsidR="007F0C53" w:rsidRPr="00476211">
        <w:rPr>
          <w:iCs/>
        </w:rPr>
        <w:t xml:space="preserve"> cure </w:t>
      </w:r>
      <w:r w:rsidR="005C3136" w:rsidRPr="00476211">
        <w:rPr>
          <w:iCs/>
        </w:rPr>
        <w:t>rates (74.7% vs 63.6% for the ITT population and 77.1% vs 62.7% for the IPI3-5 subgroup) were poorly supported</w:t>
      </w:r>
      <w:r w:rsidR="00645E12" w:rsidRPr="00476211">
        <w:rPr>
          <w:iCs/>
        </w:rPr>
        <w:t xml:space="preserve"> and the incremental difference was optimistic</w:t>
      </w:r>
      <w:r w:rsidR="005C3136" w:rsidRPr="00476211">
        <w:rPr>
          <w:iCs/>
        </w:rPr>
        <w:t>.</w:t>
      </w:r>
      <w:r w:rsidR="007F0C53" w:rsidRPr="00476211">
        <w:rPr>
          <w:iCs/>
        </w:rPr>
        <w:t xml:space="preserve"> </w:t>
      </w:r>
    </w:p>
    <w:p w14:paraId="51DF7794" w14:textId="7805042C" w:rsidR="00FB40DA" w:rsidRPr="00476211" w:rsidRDefault="00FB40DA" w:rsidP="00AC7583">
      <w:pPr>
        <w:pStyle w:val="ListParagraph"/>
        <w:ind w:left="993" w:hanging="284"/>
        <w:rPr>
          <w:iCs/>
        </w:rPr>
      </w:pPr>
      <w:r w:rsidRPr="00476211">
        <w:rPr>
          <w:iCs/>
        </w:rPr>
        <w:t>Based on the submission’s preferred log-normal function (used in the base case analysis for the PBS subgroup), the estimated cure fraction for Pola+R-CHP (77.1%) was higher than PFS at 24 months in the trial (75.16%) whereas the estimated cure fraction for R-CHOP (62.7%) was lower than the PFS at 24 months in the trial (65.12%). The corresponding cure points were also relatively early in the model</w:t>
      </w:r>
      <w:r w:rsidR="00A8225F" w:rsidRPr="00476211">
        <w:rPr>
          <w:iCs/>
        </w:rPr>
        <w:t xml:space="preserve"> where </w:t>
      </w:r>
      <w:r w:rsidRPr="00476211">
        <w:rPr>
          <w:iCs/>
        </w:rPr>
        <w:t>the vast majority of ‘</w:t>
      </w:r>
      <w:r w:rsidR="00AC7583" w:rsidRPr="00476211">
        <w:rPr>
          <w:iCs/>
        </w:rPr>
        <w:t>un</w:t>
      </w:r>
      <w:r w:rsidRPr="00476211">
        <w:rPr>
          <w:iCs/>
        </w:rPr>
        <w:t xml:space="preserve">cured’ patients had disease progression by 2 years, compared to the literature </w:t>
      </w:r>
      <w:r w:rsidR="00A8225F" w:rsidRPr="00476211">
        <w:rPr>
          <w:iCs/>
        </w:rPr>
        <w:t>that</w:t>
      </w:r>
      <w:r w:rsidRPr="00476211">
        <w:rPr>
          <w:iCs/>
        </w:rPr>
        <w:t xml:space="preserve"> suggest</w:t>
      </w:r>
      <w:r w:rsidR="00A8225F" w:rsidRPr="00476211">
        <w:rPr>
          <w:iCs/>
        </w:rPr>
        <w:t>ed</w:t>
      </w:r>
      <w:r w:rsidRPr="00476211">
        <w:rPr>
          <w:iCs/>
        </w:rPr>
        <w:t xml:space="preserve"> a further 5% to 13% develop progressing disease between 2 years to 5 years.</w:t>
      </w:r>
      <w:r w:rsidR="00731230" w:rsidRPr="00476211">
        <w:rPr>
          <w:iCs/>
        </w:rPr>
        <w:t xml:space="preserve"> </w:t>
      </w:r>
      <w:r w:rsidR="006B11A8" w:rsidRPr="00476211">
        <w:rPr>
          <w:iCs/>
        </w:rPr>
        <w:t>The PSCR stated that the cure fraction was estimated using background mortality and the hazard of event as a function of time in all the observed data.</w:t>
      </w:r>
      <w:r w:rsidR="009265A1" w:rsidRPr="00476211">
        <w:rPr>
          <w:iCs/>
        </w:rPr>
        <w:t xml:space="preserve"> </w:t>
      </w:r>
      <w:r w:rsidR="006B11A8" w:rsidRPr="00476211">
        <w:rPr>
          <w:iCs/>
        </w:rPr>
        <w:t>The PSCR</w:t>
      </w:r>
      <w:r w:rsidR="00BD69B7" w:rsidRPr="00476211">
        <w:rPr>
          <w:iCs/>
        </w:rPr>
        <w:t xml:space="preserve"> </w:t>
      </w:r>
      <w:r w:rsidR="006B11A8" w:rsidRPr="00476211">
        <w:rPr>
          <w:iCs/>
        </w:rPr>
        <w:t>further stated that as this fraction is estimated jointly with parameters of the chosen standard parametric survival function using the maximum li</w:t>
      </w:r>
      <w:r w:rsidR="00EF6E60" w:rsidRPr="00476211">
        <w:rPr>
          <w:iCs/>
        </w:rPr>
        <w:t>k</w:t>
      </w:r>
      <w:r w:rsidR="006B11A8" w:rsidRPr="00476211">
        <w:rPr>
          <w:iCs/>
        </w:rPr>
        <w:t>elihood method, the cure fraction also takes into consideration the late events that are expected to occur after trial follow-up</w:t>
      </w:r>
      <w:r w:rsidR="00EF6E60" w:rsidRPr="00476211">
        <w:rPr>
          <w:iCs/>
        </w:rPr>
        <w:t>.</w:t>
      </w:r>
      <w:r w:rsidR="009265A1" w:rsidRPr="00476211">
        <w:rPr>
          <w:iCs/>
        </w:rPr>
        <w:t xml:space="preserve"> </w:t>
      </w:r>
      <w:r w:rsidR="001A13C7" w:rsidRPr="00476211">
        <w:rPr>
          <w:iCs/>
        </w:rPr>
        <w:t>The ESC considered that although the cure fraction was not measured at a specific time point, it should represent the total proportion of patients cured after first-line treatment by the end of follow-up, and therefore, should not exceed the proportion who were considered cured at an earlier time point in the trial (e.g. 2 years).</w:t>
      </w:r>
    </w:p>
    <w:p w14:paraId="04FB4C6D" w14:textId="734243FC" w:rsidR="00FB40DA" w:rsidRPr="000B2FEE" w:rsidRDefault="00FB40DA" w:rsidP="004E34D0">
      <w:pPr>
        <w:pStyle w:val="ListParagraph"/>
        <w:ind w:left="993" w:hanging="284"/>
        <w:rPr>
          <w:iCs/>
        </w:rPr>
      </w:pPr>
      <w:r w:rsidRPr="000B2FEE">
        <w:rPr>
          <w:iCs/>
        </w:rPr>
        <w:t>In the extrapolated portion of the base case (28.2 months to 25 years), mortality for patients in PFS each cycle had to be less than or equal to mortality for all patients</w:t>
      </w:r>
      <w:r w:rsidR="009B006F" w:rsidRPr="000B2FEE">
        <w:rPr>
          <w:iCs/>
        </w:rPr>
        <w:t xml:space="preserve">. This restriction meant that </w:t>
      </w:r>
      <w:r w:rsidRPr="000B2FEE">
        <w:rPr>
          <w:iCs/>
        </w:rPr>
        <w:t>patients in PFS and PD had the same mortality rate for most of the time horizon</w:t>
      </w:r>
      <w:r w:rsidR="009B006F" w:rsidRPr="000B2FEE">
        <w:rPr>
          <w:iCs/>
        </w:rPr>
        <w:t>, which is inconsistent with the assumption of the mixture-cure model that uncured patients have worse survival than cured patients</w:t>
      </w:r>
      <w:r w:rsidRPr="000B2FEE">
        <w:rPr>
          <w:iCs/>
        </w:rPr>
        <w:t>. However, if extrapolations were run from time 0, PFS was not adjusted for OS at all and PFS could exceed OS. Indeed, under the base case choice of extrapolations (log-</w:t>
      </w:r>
      <w:r w:rsidRPr="000B2FEE">
        <w:rPr>
          <w:iCs/>
        </w:rPr>
        <w:lastRenderedPageBreak/>
        <w:t>normal for PFS and OS) in the IPI 3-5 model, PFS exceeded OS from Week 2 to Week 14, resulting in negative numbers of patients in PD during this time.</w:t>
      </w:r>
    </w:p>
    <w:p w14:paraId="37AF950A" w14:textId="7988C515" w:rsidR="00FB40DA" w:rsidRPr="000B2FEE" w:rsidRDefault="00FB40DA" w:rsidP="005F564E">
      <w:pPr>
        <w:pStyle w:val="ListParagraph"/>
        <w:ind w:left="993" w:hanging="284"/>
        <w:rPr>
          <w:iCs/>
        </w:rPr>
      </w:pPr>
      <w:r w:rsidRPr="000B2FEE">
        <w:rPr>
          <w:iCs/>
        </w:rPr>
        <w:t>Even when the mixture-cure extrapolations were implemented as expected</w:t>
      </w:r>
      <w:r w:rsidR="005F564E" w:rsidRPr="000B2FEE">
        <w:rPr>
          <w:iCs/>
        </w:rPr>
        <w:t xml:space="preserve"> (i.e. followed the estimated PFS and OS curves, without an additional restriction on the mortality rate)</w:t>
      </w:r>
      <w:r w:rsidRPr="000B2FEE">
        <w:rPr>
          <w:iCs/>
        </w:rPr>
        <w:t xml:space="preserve">, survival remained high for uncured patients. In the IPI 3-5 model &gt;20% of uncured patients alive at 28.2 months remained alive at 20 years in the Pola+R-CHP arm (versus ~14% in the R-CHOP arm). In the ITT model, survival for uncured patients was better in both arms, with 31-33% of the patients alive and in progressed disease at 28.2 months still alive at 20 years. The IPI 3-5 model therefore predicted both a larger proportion of cured patients on Pola+R-CHP versus R-CHOP </w:t>
      </w:r>
      <w:r w:rsidRPr="00A77597">
        <w:rPr>
          <w:bCs/>
          <w:iCs/>
        </w:rPr>
        <w:t>and</w:t>
      </w:r>
      <w:r w:rsidRPr="000B2FEE">
        <w:rPr>
          <w:iCs/>
        </w:rPr>
        <w:t xml:space="preserve"> better survival for uncured patients who received Pola+R-CHP versus those who received R-CHOP. This additional benefit favoured the Pola+R-CHP arm in the IPI 3-5 model, and was not justified by the submission.</w:t>
      </w:r>
    </w:p>
    <w:p w14:paraId="27C78CCF" w14:textId="1A6785C3" w:rsidR="00E60043" w:rsidRPr="00476211" w:rsidRDefault="00511D15" w:rsidP="00E1521D">
      <w:pPr>
        <w:pStyle w:val="3-BodyText"/>
        <w:ind w:left="720"/>
        <w:rPr>
          <w:iCs/>
        </w:rPr>
      </w:pPr>
      <w:r w:rsidRPr="000B2FEE">
        <w:rPr>
          <w:iCs/>
        </w:rPr>
        <w:t>The model estimated treatment costs for Pola+R-CHP and R-CHOP based on t</w:t>
      </w:r>
      <w:r w:rsidR="00FB40DA" w:rsidRPr="000B2FEE">
        <w:rPr>
          <w:iCs/>
        </w:rPr>
        <w:t xml:space="preserve">ime to treatment discontinuation </w:t>
      </w:r>
      <w:r w:rsidRPr="000B2FEE">
        <w:rPr>
          <w:iCs/>
        </w:rPr>
        <w:t xml:space="preserve">(TTD) </w:t>
      </w:r>
      <w:r w:rsidR="00FB40DA" w:rsidRPr="000B2FEE">
        <w:rPr>
          <w:iCs/>
        </w:rPr>
        <w:t xml:space="preserve">data from POLARIX, independent of PFS. </w:t>
      </w:r>
      <w:r w:rsidR="00847F90" w:rsidRPr="000B2FEE">
        <w:rPr>
          <w:iCs/>
        </w:rPr>
        <w:t>The model applied a half cycle correct</w:t>
      </w:r>
      <w:r w:rsidR="004A48C2" w:rsidRPr="000B2FEE">
        <w:rPr>
          <w:iCs/>
        </w:rPr>
        <w:t>ion</w:t>
      </w:r>
      <w:r w:rsidR="00847F90" w:rsidRPr="000B2FEE">
        <w:rPr>
          <w:iCs/>
        </w:rPr>
        <w:t xml:space="preserve"> to estimate the proportion of patients on each treatment each 21 day cycle, and then restricted time on treatment to not exceed 6 (polatuzumab vedotin and CHP) or 8 cycles (rituximab)</w:t>
      </w:r>
      <w:r w:rsidR="00B97D87" w:rsidRPr="000B2FEE">
        <w:rPr>
          <w:iCs/>
        </w:rPr>
        <w:t xml:space="preserve">. </w:t>
      </w:r>
      <w:r w:rsidR="00E60043" w:rsidRPr="000B2FEE">
        <w:rPr>
          <w:iCs/>
        </w:rPr>
        <w:t xml:space="preserve">The treatment costs per cycle were based on the approved AEMP (mark up and fees at June 2022), recommended doses, and average weight or body surface area of patients enrolled in POLARIX ITT. </w:t>
      </w:r>
      <w:r w:rsidR="00847F90" w:rsidRPr="000B2FEE">
        <w:rPr>
          <w:iCs/>
        </w:rPr>
        <w:t xml:space="preserve">The submission’s approach </w:t>
      </w:r>
      <w:r w:rsidR="00271325" w:rsidRPr="000B2FEE">
        <w:rPr>
          <w:iCs/>
        </w:rPr>
        <w:t xml:space="preserve">considerably </w:t>
      </w:r>
      <w:r w:rsidR="00847F90" w:rsidRPr="000B2FEE">
        <w:rPr>
          <w:iCs/>
        </w:rPr>
        <w:t xml:space="preserve">underestimated the mean number of treatment cycles compared to those reported in POLARIX (see </w:t>
      </w:r>
      <w:r w:rsidRPr="000B2FEE">
        <w:rPr>
          <w:iCs/>
        </w:rPr>
        <w:fldChar w:fldCharType="begin"/>
      </w:r>
      <w:r w:rsidRPr="000B2FEE">
        <w:rPr>
          <w:iCs/>
        </w:rPr>
        <w:instrText xml:space="preserve"> REF _Ref111483185  \* MERGEFORMAT </w:instrText>
      </w:r>
      <w:r w:rsidRPr="000B2FEE">
        <w:rPr>
          <w:iCs/>
        </w:rPr>
        <w:fldChar w:fldCharType="separate"/>
      </w:r>
      <w:r w:rsidR="007F2580" w:rsidRPr="007F2580">
        <w:rPr>
          <w:iCs/>
        </w:rPr>
        <w:t>Table 9</w:t>
      </w:r>
      <w:r w:rsidRPr="000B2FEE">
        <w:rPr>
          <w:iCs/>
        </w:rPr>
        <w:fldChar w:fldCharType="end"/>
      </w:r>
      <w:r w:rsidR="00847F90" w:rsidRPr="000B2FEE">
        <w:rPr>
          <w:iCs/>
        </w:rPr>
        <w:t xml:space="preserve">). </w:t>
      </w:r>
      <w:r w:rsidRPr="000B2FEE">
        <w:rPr>
          <w:iCs/>
        </w:rPr>
        <w:t xml:space="preserve">If cost of treatment was based on the mean number of cycles in POLARIX, the ITT model </w:t>
      </w:r>
      <w:r w:rsidR="00027A30">
        <w:rPr>
          <w:iCs/>
        </w:rPr>
        <w:t>incremental cost effective</w:t>
      </w:r>
      <w:r w:rsidR="00F40484">
        <w:rPr>
          <w:iCs/>
        </w:rPr>
        <w:t>ness</w:t>
      </w:r>
      <w:r w:rsidR="00027A30">
        <w:rPr>
          <w:iCs/>
        </w:rPr>
        <w:t xml:space="preserve"> ratio (</w:t>
      </w:r>
      <w:r w:rsidRPr="000B2FEE">
        <w:rPr>
          <w:iCs/>
        </w:rPr>
        <w:t>ICER</w:t>
      </w:r>
      <w:r w:rsidR="00027A30">
        <w:rPr>
          <w:iCs/>
        </w:rPr>
        <w:t>)</w:t>
      </w:r>
      <w:r w:rsidRPr="000B2FEE">
        <w:rPr>
          <w:iCs/>
        </w:rPr>
        <w:t xml:space="preserve"> increased from $</w:t>
      </w:r>
      <w:r w:rsidR="006005E0" w:rsidRPr="006005E0">
        <w:rPr>
          <w:iCs/>
        </w:rPr>
        <w:t xml:space="preserve">115,000 to </w:t>
      </w:r>
      <w:r w:rsidR="0026298F" w:rsidRPr="006005E0">
        <w:rPr>
          <w:iCs/>
        </w:rPr>
        <w:t>&lt;</w:t>
      </w:r>
      <w:r w:rsidR="0026298F">
        <w:rPr>
          <w:iCs/>
        </w:rPr>
        <w:t> </w:t>
      </w:r>
      <w:r w:rsidR="006005E0" w:rsidRPr="006005E0">
        <w:rPr>
          <w:iCs/>
        </w:rPr>
        <w:t>$135,000</w:t>
      </w:r>
      <w:r w:rsidRPr="000B2FEE">
        <w:rPr>
          <w:iCs/>
        </w:rPr>
        <w:t xml:space="preserve"> in the base case to </w:t>
      </w:r>
      <w:r w:rsidR="006005E0" w:rsidRPr="006005E0">
        <w:rPr>
          <w:iCs/>
        </w:rPr>
        <w:t>$115,000 to &lt; $135,000</w:t>
      </w:r>
      <w:r w:rsidR="0038284B">
        <w:rPr>
          <w:iCs/>
        </w:rPr>
        <w:t xml:space="preserve"> </w:t>
      </w:r>
      <w:r w:rsidRPr="000B2FEE">
        <w:rPr>
          <w:iCs/>
        </w:rPr>
        <w:t xml:space="preserve">per </w:t>
      </w:r>
      <w:r w:rsidR="00027A30">
        <w:rPr>
          <w:iCs/>
        </w:rPr>
        <w:t>quality adjusted life year (</w:t>
      </w:r>
      <w:r w:rsidRPr="000B2FEE">
        <w:rPr>
          <w:iCs/>
        </w:rPr>
        <w:t>QALY</w:t>
      </w:r>
      <w:r w:rsidR="00027A30">
        <w:rPr>
          <w:iCs/>
        </w:rPr>
        <w:t>)</w:t>
      </w:r>
      <w:r w:rsidRPr="000B2FEE">
        <w:rPr>
          <w:iCs/>
        </w:rPr>
        <w:t xml:space="preserve"> gained. Mean number of cycles were not reported for the IPI 3-5 subgroup, but are likely similar to the ITT based on the TTD KM data and therefore the ICER would increase from </w:t>
      </w:r>
      <w:r w:rsidR="006005E0" w:rsidRPr="006005E0">
        <w:rPr>
          <w:iCs/>
        </w:rPr>
        <w:t xml:space="preserve">$55,000 to &lt; $75,000 </w:t>
      </w:r>
      <w:r w:rsidRPr="000B2FEE">
        <w:rPr>
          <w:iCs/>
        </w:rPr>
        <w:t xml:space="preserve">per QALY gained in the base case to </w:t>
      </w:r>
      <w:r w:rsidR="006005E0" w:rsidRPr="006005E0">
        <w:rPr>
          <w:iCs/>
        </w:rPr>
        <w:t xml:space="preserve">$55,000 to &lt; $75,000 </w:t>
      </w:r>
      <w:r w:rsidRPr="000B2FEE">
        <w:rPr>
          <w:iCs/>
        </w:rPr>
        <w:t>per QALY gained.</w:t>
      </w:r>
      <w:r w:rsidR="00E60043" w:rsidRPr="000B2FEE">
        <w:rPr>
          <w:iCs/>
        </w:rPr>
        <w:t xml:space="preserve"> The submission also overestimated the cost of vincristine</w:t>
      </w:r>
      <w:r w:rsidR="00731230">
        <w:rPr>
          <w:iCs/>
        </w:rPr>
        <w:t>,</w:t>
      </w:r>
      <w:r w:rsidR="00E60043" w:rsidRPr="000B2FEE">
        <w:rPr>
          <w:iCs/>
        </w:rPr>
        <w:t xml:space="preserve"> </w:t>
      </w:r>
      <w:r w:rsidR="00271325" w:rsidRPr="000B2FEE">
        <w:rPr>
          <w:iCs/>
        </w:rPr>
        <w:t xml:space="preserve">but this error had minimal impact on the ICER because </w:t>
      </w:r>
      <w:r w:rsidR="00E60043" w:rsidRPr="000B2FEE">
        <w:rPr>
          <w:iCs/>
        </w:rPr>
        <w:t>the cost of vincristine is comparatively small.</w:t>
      </w:r>
      <w:r w:rsidR="009A05AB">
        <w:rPr>
          <w:iCs/>
        </w:rPr>
        <w:t xml:space="preserve"> </w:t>
      </w:r>
      <w:r w:rsidR="009A05AB" w:rsidRPr="00476211">
        <w:rPr>
          <w:iCs/>
        </w:rPr>
        <w:t xml:space="preserve">The PSCR provided a revised model which removed the half cycle correction for first line drug costs and </w:t>
      </w:r>
      <w:r w:rsidR="00ED083A" w:rsidRPr="00476211">
        <w:rPr>
          <w:iCs/>
        </w:rPr>
        <w:t xml:space="preserve">corrected the </w:t>
      </w:r>
      <w:r w:rsidR="00157B3F" w:rsidRPr="00476211">
        <w:rPr>
          <w:iCs/>
        </w:rPr>
        <w:t>vincristine</w:t>
      </w:r>
      <w:r w:rsidR="00ED083A" w:rsidRPr="00476211">
        <w:rPr>
          <w:iCs/>
        </w:rPr>
        <w:t xml:space="preserve"> cost. </w:t>
      </w:r>
    </w:p>
    <w:p w14:paraId="0238FF58" w14:textId="49F98BF5" w:rsidR="00A71B9D" w:rsidRPr="005B024E" w:rsidRDefault="00A71B9D" w:rsidP="004A48C2">
      <w:pPr>
        <w:pStyle w:val="TableFigureHeading"/>
        <w:keepLines/>
        <w:widowControl w:val="0"/>
        <w:rPr>
          <w:rStyle w:val="CommentReference"/>
          <w:b/>
          <w:szCs w:val="24"/>
        </w:rPr>
      </w:pPr>
      <w:bookmarkStart w:id="52" w:name="_Ref111483185"/>
      <w:r w:rsidRPr="005B024E">
        <w:rPr>
          <w:rStyle w:val="CommentReference"/>
          <w:b/>
          <w:szCs w:val="24"/>
        </w:rPr>
        <w:lastRenderedPageBreak/>
        <w:t xml:space="preserve">Table </w:t>
      </w:r>
      <w:r w:rsidR="007F2580">
        <w:fldChar w:fldCharType="begin"/>
      </w:r>
      <w:r w:rsidR="007F2580">
        <w:instrText xml:space="preserve"> SEQ Table \* ARABIC </w:instrText>
      </w:r>
      <w:r w:rsidR="007F2580">
        <w:fldChar w:fldCharType="separate"/>
      </w:r>
      <w:r w:rsidR="007F2580">
        <w:rPr>
          <w:noProof/>
        </w:rPr>
        <w:t>9</w:t>
      </w:r>
      <w:r w:rsidR="007F2580">
        <w:rPr>
          <w:noProof/>
        </w:rPr>
        <w:fldChar w:fldCharType="end"/>
      </w:r>
      <w:bookmarkEnd w:id="52"/>
      <w:r w:rsidRPr="005B024E">
        <w:rPr>
          <w:rStyle w:val="CommentReference"/>
          <w:b/>
          <w:szCs w:val="24"/>
        </w:rPr>
        <w:t>: Number of cycles of first line treatment included in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96"/>
        <w:gridCol w:w="2269"/>
        <w:gridCol w:w="849"/>
        <w:gridCol w:w="851"/>
        <w:gridCol w:w="851"/>
        <w:gridCol w:w="851"/>
        <w:gridCol w:w="849"/>
        <w:gridCol w:w="801"/>
      </w:tblGrid>
      <w:tr w:rsidR="00A71B9D" w:rsidRPr="000B2FEE" w14:paraId="3D5C1D4E" w14:textId="77777777" w:rsidTr="000160B2">
        <w:trPr>
          <w:tblHeader/>
        </w:trPr>
        <w:tc>
          <w:tcPr>
            <w:tcW w:w="940" w:type="pct"/>
            <w:vMerge w:val="restart"/>
            <w:vAlign w:val="center"/>
          </w:tcPr>
          <w:p w14:paraId="5FA88CF6" w14:textId="77777777" w:rsidR="00A71B9D" w:rsidRPr="000160B2" w:rsidRDefault="00A71B9D" w:rsidP="004A48C2">
            <w:pPr>
              <w:pStyle w:val="In-tableHeading"/>
              <w:keepLines/>
              <w:widowControl w:val="0"/>
              <w:rPr>
                <w:szCs w:val="20"/>
                <w:lang w:val="en-AU"/>
              </w:rPr>
            </w:pPr>
            <w:r w:rsidRPr="000160B2">
              <w:rPr>
                <w:szCs w:val="20"/>
                <w:lang w:val="en-AU"/>
              </w:rPr>
              <w:t>Resource item</w:t>
            </w:r>
          </w:p>
        </w:tc>
        <w:tc>
          <w:tcPr>
            <w:tcW w:w="1258" w:type="pct"/>
            <w:vMerge w:val="restart"/>
            <w:vAlign w:val="center"/>
          </w:tcPr>
          <w:p w14:paraId="6034A9D6" w14:textId="77777777" w:rsidR="00A71B9D" w:rsidRPr="000160B2" w:rsidRDefault="00A71B9D" w:rsidP="004A48C2">
            <w:pPr>
              <w:pStyle w:val="In-tableHeading"/>
              <w:keepLines/>
              <w:widowControl w:val="0"/>
              <w:jc w:val="center"/>
              <w:rPr>
                <w:szCs w:val="20"/>
                <w:lang w:val="en-AU"/>
              </w:rPr>
            </w:pPr>
            <w:r w:rsidRPr="000160B2">
              <w:rPr>
                <w:szCs w:val="20"/>
                <w:lang w:val="en-AU"/>
              </w:rPr>
              <w:t>Unit cost / treatment cycle</w:t>
            </w:r>
          </w:p>
        </w:tc>
        <w:tc>
          <w:tcPr>
            <w:tcW w:w="1886" w:type="pct"/>
            <w:gridSpan w:val="4"/>
            <w:vAlign w:val="center"/>
          </w:tcPr>
          <w:p w14:paraId="5F6459DF" w14:textId="77777777" w:rsidR="00A71B9D" w:rsidRPr="000160B2" w:rsidRDefault="00A71B9D" w:rsidP="004A48C2">
            <w:pPr>
              <w:pStyle w:val="In-tableHeading"/>
              <w:keepLines/>
              <w:widowControl w:val="0"/>
              <w:jc w:val="center"/>
              <w:rPr>
                <w:szCs w:val="20"/>
                <w:lang w:val="en-AU"/>
              </w:rPr>
            </w:pPr>
            <w:r w:rsidRPr="000160B2">
              <w:rPr>
                <w:szCs w:val="20"/>
                <w:lang w:val="en-AU"/>
              </w:rPr>
              <w:t>Mean cycles in model</w:t>
            </w:r>
          </w:p>
        </w:tc>
        <w:tc>
          <w:tcPr>
            <w:tcW w:w="915" w:type="pct"/>
            <w:gridSpan w:val="2"/>
          </w:tcPr>
          <w:p w14:paraId="27D8A5C4" w14:textId="77777777" w:rsidR="00A71B9D" w:rsidRPr="000160B2" w:rsidRDefault="00A71B9D" w:rsidP="004A48C2">
            <w:pPr>
              <w:pStyle w:val="In-tableHeading"/>
              <w:keepLines/>
              <w:widowControl w:val="0"/>
              <w:jc w:val="center"/>
              <w:rPr>
                <w:szCs w:val="20"/>
                <w:lang w:val="en-AU"/>
              </w:rPr>
            </w:pPr>
            <w:r w:rsidRPr="000160B2">
              <w:rPr>
                <w:szCs w:val="20"/>
                <w:lang w:val="en-AU"/>
              </w:rPr>
              <w:t>Mean cycles in POLARIX</w:t>
            </w:r>
          </w:p>
        </w:tc>
      </w:tr>
      <w:tr w:rsidR="00A71B9D" w:rsidRPr="000B2FEE" w14:paraId="6BEB790F" w14:textId="77777777" w:rsidTr="000160B2">
        <w:trPr>
          <w:tblHeader/>
        </w:trPr>
        <w:tc>
          <w:tcPr>
            <w:tcW w:w="940" w:type="pct"/>
            <w:vMerge/>
            <w:vAlign w:val="center"/>
          </w:tcPr>
          <w:p w14:paraId="11DD0FA8" w14:textId="77777777" w:rsidR="00A71B9D" w:rsidRPr="000160B2" w:rsidRDefault="00A71B9D" w:rsidP="004A48C2">
            <w:pPr>
              <w:pStyle w:val="In-tableHeading"/>
              <w:keepLines/>
              <w:widowControl w:val="0"/>
              <w:jc w:val="center"/>
              <w:rPr>
                <w:szCs w:val="20"/>
                <w:lang w:val="en-AU"/>
              </w:rPr>
            </w:pPr>
          </w:p>
        </w:tc>
        <w:tc>
          <w:tcPr>
            <w:tcW w:w="1258" w:type="pct"/>
            <w:vMerge/>
            <w:vAlign w:val="center"/>
          </w:tcPr>
          <w:p w14:paraId="68AE5D18" w14:textId="77777777" w:rsidR="00A71B9D" w:rsidRPr="000160B2" w:rsidRDefault="00A71B9D" w:rsidP="004A48C2">
            <w:pPr>
              <w:pStyle w:val="In-tableHeading"/>
              <w:keepLines/>
              <w:widowControl w:val="0"/>
              <w:jc w:val="center"/>
              <w:rPr>
                <w:szCs w:val="20"/>
                <w:lang w:val="en-AU"/>
              </w:rPr>
            </w:pPr>
          </w:p>
        </w:tc>
        <w:tc>
          <w:tcPr>
            <w:tcW w:w="943" w:type="pct"/>
            <w:gridSpan w:val="2"/>
            <w:vAlign w:val="center"/>
          </w:tcPr>
          <w:p w14:paraId="04366359" w14:textId="77777777" w:rsidR="00A71B9D" w:rsidRPr="000160B2" w:rsidRDefault="00A71B9D" w:rsidP="004A48C2">
            <w:pPr>
              <w:pStyle w:val="In-tableHeading"/>
              <w:keepLines/>
              <w:widowControl w:val="0"/>
              <w:jc w:val="center"/>
              <w:rPr>
                <w:szCs w:val="20"/>
                <w:lang w:val="en-AU"/>
              </w:rPr>
            </w:pPr>
            <w:r w:rsidRPr="000160B2">
              <w:rPr>
                <w:szCs w:val="20"/>
                <w:lang w:val="en-AU"/>
              </w:rPr>
              <w:t>ITT</w:t>
            </w:r>
          </w:p>
        </w:tc>
        <w:tc>
          <w:tcPr>
            <w:tcW w:w="944" w:type="pct"/>
            <w:gridSpan w:val="2"/>
            <w:vAlign w:val="center"/>
          </w:tcPr>
          <w:p w14:paraId="358E09F3" w14:textId="77777777" w:rsidR="00A71B9D" w:rsidRPr="000160B2" w:rsidRDefault="00A71B9D" w:rsidP="004A48C2">
            <w:pPr>
              <w:pStyle w:val="In-tableHeading"/>
              <w:keepLines/>
              <w:widowControl w:val="0"/>
              <w:jc w:val="center"/>
              <w:rPr>
                <w:szCs w:val="20"/>
                <w:lang w:val="en-AU"/>
              </w:rPr>
            </w:pPr>
            <w:r w:rsidRPr="000160B2">
              <w:rPr>
                <w:szCs w:val="20"/>
                <w:lang w:val="en-AU"/>
              </w:rPr>
              <w:t>IPI 3-5</w:t>
            </w:r>
          </w:p>
        </w:tc>
        <w:tc>
          <w:tcPr>
            <w:tcW w:w="915" w:type="pct"/>
            <w:gridSpan w:val="2"/>
          </w:tcPr>
          <w:p w14:paraId="25208718" w14:textId="77777777" w:rsidR="00A71B9D" w:rsidRPr="000160B2" w:rsidRDefault="00A71B9D" w:rsidP="004A48C2">
            <w:pPr>
              <w:pStyle w:val="In-tableHeading"/>
              <w:keepLines/>
              <w:widowControl w:val="0"/>
              <w:jc w:val="center"/>
              <w:rPr>
                <w:szCs w:val="20"/>
                <w:lang w:val="en-AU"/>
              </w:rPr>
            </w:pPr>
            <w:r w:rsidRPr="000160B2">
              <w:rPr>
                <w:szCs w:val="20"/>
                <w:lang w:val="en-AU"/>
              </w:rPr>
              <w:t>ITT</w:t>
            </w:r>
          </w:p>
        </w:tc>
      </w:tr>
      <w:tr w:rsidR="00A71B9D" w:rsidRPr="000B2FEE" w14:paraId="36F14295" w14:textId="77777777" w:rsidTr="000160B2">
        <w:trPr>
          <w:tblHeader/>
        </w:trPr>
        <w:tc>
          <w:tcPr>
            <w:tcW w:w="940" w:type="pct"/>
            <w:vMerge/>
            <w:vAlign w:val="center"/>
          </w:tcPr>
          <w:p w14:paraId="43903061" w14:textId="77777777" w:rsidR="00A71B9D" w:rsidRPr="000160B2" w:rsidRDefault="00A71B9D" w:rsidP="004A48C2">
            <w:pPr>
              <w:pStyle w:val="In-tableHeading"/>
              <w:keepLines/>
              <w:widowControl w:val="0"/>
              <w:jc w:val="center"/>
              <w:rPr>
                <w:szCs w:val="20"/>
                <w:lang w:val="en-AU"/>
              </w:rPr>
            </w:pPr>
          </w:p>
        </w:tc>
        <w:tc>
          <w:tcPr>
            <w:tcW w:w="1258" w:type="pct"/>
            <w:vMerge/>
            <w:vAlign w:val="center"/>
          </w:tcPr>
          <w:p w14:paraId="0D9CE3DD" w14:textId="77777777" w:rsidR="00A71B9D" w:rsidRPr="000160B2" w:rsidRDefault="00A71B9D" w:rsidP="004A48C2">
            <w:pPr>
              <w:pStyle w:val="In-tableHeading"/>
              <w:keepLines/>
              <w:widowControl w:val="0"/>
              <w:jc w:val="center"/>
              <w:rPr>
                <w:szCs w:val="20"/>
                <w:lang w:val="en-AU"/>
              </w:rPr>
            </w:pPr>
          </w:p>
        </w:tc>
        <w:tc>
          <w:tcPr>
            <w:tcW w:w="471" w:type="pct"/>
            <w:vAlign w:val="center"/>
          </w:tcPr>
          <w:p w14:paraId="56DE5AF8" w14:textId="77777777" w:rsidR="00A71B9D" w:rsidRPr="000160B2" w:rsidRDefault="00A71B9D" w:rsidP="004A48C2">
            <w:pPr>
              <w:pStyle w:val="In-tableHeading"/>
              <w:keepLines/>
              <w:widowControl w:val="0"/>
              <w:jc w:val="center"/>
              <w:rPr>
                <w:szCs w:val="20"/>
                <w:lang w:val="en-AU"/>
              </w:rPr>
            </w:pPr>
            <w:r w:rsidRPr="000160B2">
              <w:rPr>
                <w:szCs w:val="20"/>
                <w:lang w:val="en-AU"/>
              </w:rPr>
              <w:t>Pola+R-CHP</w:t>
            </w:r>
          </w:p>
        </w:tc>
        <w:tc>
          <w:tcPr>
            <w:tcW w:w="472" w:type="pct"/>
            <w:vAlign w:val="center"/>
          </w:tcPr>
          <w:p w14:paraId="2B54B316" w14:textId="77777777" w:rsidR="00A71B9D" w:rsidRPr="000160B2" w:rsidRDefault="00A71B9D" w:rsidP="004A48C2">
            <w:pPr>
              <w:pStyle w:val="In-tableHeading"/>
              <w:keepLines/>
              <w:widowControl w:val="0"/>
              <w:jc w:val="center"/>
              <w:rPr>
                <w:szCs w:val="20"/>
                <w:lang w:val="en-AU"/>
              </w:rPr>
            </w:pPr>
            <w:r w:rsidRPr="000160B2">
              <w:rPr>
                <w:szCs w:val="20"/>
                <w:lang w:val="en-AU"/>
              </w:rPr>
              <w:t>R-CHOP</w:t>
            </w:r>
          </w:p>
        </w:tc>
        <w:tc>
          <w:tcPr>
            <w:tcW w:w="472" w:type="pct"/>
            <w:vAlign w:val="center"/>
          </w:tcPr>
          <w:p w14:paraId="6B672868" w14:textId="77777777" w:rsidR="00A71B9D" w:rsidRPr="000160B2" w:rsidRDefault="00A71B9D" w:rsidP="004A48C2">
            <w:pPr>
              <w:pStyle w:val="In-tableHeading"/>
              <w:keepLines/>
              <w:widowControl w:val="0"/>
              <w:jc w:val="center"/>
              <w:rPr>
                <w:szCs w:val="20"/>
                <w:lang w:val="en-AU"/>
              </w:rPr>
            </w:pPr>
            <w:r w:rsidRPr="000160B2">
              <w:rPr>
                <w:szCs w:val="20"/>
                <w:lang w:val="en-AU"/>
              </w:rPr>
              <w:t>Pola+R-CHP</w:t>
            </w:r>
          </w:p>
        </w:tc>
        <w:tc>
          <w:tcPr>
            <w:tcW w:w="472" w:type="pct"/>
            <w:vAlign w:val="center"/>
          </w:tcPr>
          <w:p w14:paraId="6F8620AE" w14:textId="77777777" w:rsidR="00A71B9D" w:rsidRPr="000160B2" w:rsidRDefault="00A71B9D" w:rsidP="004A48C2">
            <w:pPr>
              <w:pStyle w:val="In-tableHeading"/>
              <w:keepLines/>
              <w:widowControl w:val="0"/>
              <w:jc w:val="center"/>
              <w:rPr>
                <w:szCs w:val="20"/>
                <w:lang w:val="en-AU"/>
              </w:rPr>
            </w:pPr>
            <w:r w:rsidRPr="000160B2">
              <w:rPr>
                <w:szCs w:val="20"/>
                <w:lang w:val="en-AU"/>
              </w:rPr>
              <w:t>R-CHOP</w:t>
            </w:r>
          </w:p>
        </w:tc>
        <w:tc>
          <w:tcPr>
            <w:tcW w:w="471" w:type="pct"/>
            <w:vAlign w:val="center"/>
          </w:tcPr>
          <w:p w14:paraId="07A099A4" w14:textId="77777777" w:rsidR="00A71B9D" w:rsidRPr="000160B2" w:rsidRDefault="00A71B9D" w:rsidP="004A48C2">
            <w:pPr>
              <w:pStyle w:val="In-tableHeading"/>
              <w:keepLines/>
              <w:widowControl w:val="0"/>
              <w:jc w:val="center"/>
              <w:rPr>
                <w:szCs w:val="20"/>
                <w:lang w:val="en-AU"/>
              </w:rPr>
            </w:pPr>
            <w:r w:rsidRPr="000160B2">
              <w:rPr>
                <w:szCs w:val="20"/>
                <w:lang w:val="en-AU"/>
              </w:rPr>
              <w:t>Pola+R-CHP</w:t>
            </w:r>
          </w:p>
        </w:tc>
        <w:tc>
          <w:tcPr>
            <w:tcW w:w="444" w:type="pct"/>
            <w:vAlign w:val="center"/>
          </w:tcPr>
          <w:p w14:paraId="3732E7BE" w14:textId="77777777" w:rsidR="00A71B9D" w:rsidRPr="000160B2" w:rsidRDefault="00A71B9D" w:rsidP="004A48C2">
            <w:pPr>
              <w:pStyle w:val="In-tableHeading"/>
              <w:keepLines/>
              <w:widowControl w:val="0"/>
              <w:jc w:val="center"/>
              <w:rPr>
                <w:szCs w:val="20"/>
                <w:lang w:val="en-AU"/>
              </w:rPr>
            </w:pPr>
            <w:r w:rsidRPr="000160B2">
              <w:rPr>
                <w:szCs w:val="20"/>
                <w:lang w:val="en-AU"/>
              </w:rPr>
              <w:t>R-CHOP</w:t>
            </w:r>
          </w:p>
        </w:tc>
      </w:tr>
      <w:tr w:rsidR="00A71B9D" w:rsidRPr="000B2FEE" w14:paraId="54FB1389" w14:textId="77777777" w:rsidTr="000160B2">
        <w:tc>
          <w:tcPr>
            <w:tcW w:w="940" w:type="pct"/>
            <w:vAlign w:val="center"/>
          </w:tcPr>
          <w:p w14:paraId="609430CF" w14:textId="77777777" w:rsidR="00A71B9D" w:rsidRPr="000160B2" w:rsidRDefault="00A71B9D" w:rsidP="004A48C2">
            <w:pPr>
              <w:pStyle w:val="TableText0"/>
              <w:keepLines/>
              <w:widowControl w:val="0"/>
              <w:rPr>
                <w:szCs w:val="20"/>
              </w:rPr>
            </w:pPr>
            <w:r w:rsidRPr="000160B2">
              <w:rPr>
                <w:szCs w:val="20"/>
              </w:rPr>
              <w:t>Polatuzumab vedotin</w:t>
            </w:r>
          </w:p>
        </w:tc>
        <w:tc>
          <w:tcPr>
            <w:tcW w:w="1258" w:type="pct"/>
            <w:vAlign w:val="center"/>
          </w:tcPr>
          <w:p w14:paraId="30215782" w14:textId="30D1E35E" w:rsidR="00A71B9D" w:rsidRPr="000160B2" w:rsidRDefault="00A71B9D" w:rsidP="004A48C2">
            <w:pPr>
              <w:pStyle w:val="TableText0"/>
              <w:keepLines/>
              <w:widowControl w:val="0"/>
              <w:rPr>
                <w:szCs w:val="20"/>
              </w:rPr>
            </w:pPr>
            <w:r w:rsidRPr="000160B2">
              <w:rPr>
                <w:szCs w:val="20"/>
              </w:rPr>
              <w:t>$</w:t>
            </w:r>
            <w:r w:rsidR="00206B77" w:rsidRPr="00206B77">
              <w:rPr>
                <w:color w:val="000000"/>
                <w:spacing w:val="185"/>
                <w:szCs w:val="20"/>
                <w:shd w:val="solid" w:color="000000" w:fill="000000"/>
                <w:fitText w:val="271" w:id="-1301008891"/>
                <w14:textFill>
                  <w14:solidFill>
                    <w14:srgbClr w14:val="000000">
                      <w14:alpha w14:val="100000"/>
                    </w14:srgbClr>
                  </w14:solidFill>
                </w14:textFill>
              </w:rPr>
              <w:t>|</w:t>
            </w:r>
            <w:r w:rsidR="00206B77" w:rsidRPr="00206B77">
              <w:rPr>
                <w:color w:val="000000"/>
                <w:spacing w:val="1"/>
                <w:szCs w:val="20"/>
                <w:shd w:val="solid" w:color="000000" w:fill="000000"/>
                <w:fitText w:val="271" w:id="-1301008891"/>
                <w14:textFill>
                  <w14:solidFill>
                    <w14:srgbClr w14:val="000000">
                      <w14:alpha w14:val="100000"/>
                    </w14:srgbClr>
                  </w14:solidFill>
                </w14:textFill>
              </w:rPr>
              <w:t>|</w:t>
            </w:r>
            <w:r w:rsidR="000160B2">
              <w:rPr>
                <w:szCs w:val="20"/>
              </w:rPr>
              <w:t xml:space="preserve"> </w:t>
            </w:r>
            <w:r w:rsidRPr="000160B2">
              <w:rPr>
                <w:szCs w:val="20"/>
              </w:rPr>
              <w:t>/</w:t>
            </w:r>
            <w:r w:rsidR="000160B2">
              <w:rPr>
                <w:szCs w:val="20"/>
              </w:rPr>
              <w:t xml:space="preserve"> </w:t>
            </w:r>
            <w:r w:rsidRPr="000160B2">
              <w:rPr>
                <w:szCs w:val="20"/>
              </w:rPr>
              <w:t>treatment cycle</w:t>
            </w:r>
          </w:p>
        </w:tc>
        <w:tc>
          <w:tcPr>
            <w:tcW w:w="471" w:type="pct"/>
            <w:vAlign w:val="center"/>
          </w:tcPr>
          <w:p w14:paraId="0A26D5B2" w14:textId="77777777" w:rsidR="00A71B9D" w:rsidRPr="000160B2" w:rsidRDefault="00A71B9D" w:rsidP="004A48C2">
            <w:pPr>
              <w:pStyle w:val="TableText0"/>
              <w:keepLines/>
              <w:widowControl w:val="0"/>
              <w:jc w:val="center"/>
              <w:rPr>
                <w:szCs w:val="20"/>
              </w:rPr>
            </w:pPr>
            <w:r w:rsidRPr="000160B2">
              <w:rPr>
                <w:szCs w:val="20"/>
              </w:rPr>
              <w:t>5.35</w:t>
            </w:r>
          </w:p>
        </w:tc>
        <w:tc>
          <w:tcPr>
            <w:tcW w:w="472" w:type="pct"/>
            <w:vAlign w:val="center"/>
          </w:tcPr>
          <w:p w14:paraId="0EE0BB60" w14:textId="77777777" w:rsidR="00A71B9D" w:rsidRPr="000160B2" w:rsidRDefault="00A71B9D" w:rsidP="004A48C2">
            <w:pPr>
              <w:pStyle w:val="TableText0"/>
              <w:keepLines/>
              <w:widowControl w:val="0"/>
              <w:jc w:val="center"/>
              <w:rPr>
                <w:szCs w:val="20"/>
              </w:rPr>
            </w:pPr>
            <w:r w:rsidRPr="000160B2">
              <w:rPr>
                <w:szCs w:val="20"/>
              </w:rPr>
              <w:t>-</w:t>
            </w:r>
          </w:p>
        </w:tc>
        <w:tc>
          <w:tcPr>
            <w:tcW w:w="472" w:type="pct"/>
            <w:vAlign w:val="center"/>
          </w:tcPr>
          <w:p w14:paraId="5E80FDB5" w14:textId="77777777" w:rsidR="00A71B9D" w:rsidRPr="000160B2" w:rsidRDefault="00A71B9D" w:rsidP="004A48C2">
            <w:pPr>
              <w:pStyle w:val="TableText0"/>
              <w:keepLines/>
              <w:widowControl w:val="0"/>
              <w:jc w:val="center"/>
              <w:rPr>
                <w:szCs w:val="20"/>
              </w:rPr>
            </w:pPr>
            <w:r w:rsidRPr="000160B2">
              <w:rPr>
                <w:szCs w:val="20"/>
              </w:rPr>
              <w:t>5.32</w:t>
            </w:r>
          </w:p>
        </w:tc>
        <w:tc>
          <w:tcPr>
            <w:tcW w:w="472" w:type="pct"/>
            <w:vAlign w:val="center"/>
          </w:tcPr>
          <w:p w14:paraId="1591EC90" w14:textId="77777777" w:rsidR="00A71B9D" w:rsidRPr="000160B2" w:rsidRDefault="00A71B9D" w:rsidP="004A48C2">
            <w:pPr>
              <w:pStyle w:val="TableText0"/>
              <w:keepLines/>
              <w:widowControl w:val="0"/>
              <w:jc w:val="center"/>
              <w:rPr>
                <w:szCs w:val="20"/>
              </w:rPr>
            </w:pPr>
            <w:r w:rsidRPr="000160B2">
              <w:rPr>
                <w:szCs w:val="20"/>
              </w:rPr>
              <w:t>-</w:t>
            </w:r>
          </w:p>
        </w:tc>
        <w:tc>
          <w:tcPr>
            <w:tcW w:w="471" w:type="pct"/>
            <w:vAlign w:val="center"/>
          </w:tcPr>
          <w:p w14:paraId="1A2D01B1" w14:textId="77777777" w:rsidR="00A71B9D" w:rsidRPr="000160B2" w:rsidRDefault="00A71B9D" w:rsidP="004A48C2">
            <w:pPr>
              <w:pStyle w:val="TableText0"/>
              <w:keepLines/>
              <w:widowControl w:val="0"/>
              <w:jc w:val="center"/>
              <w:rPr>
                <w:szCs w:val="20"/>
              </w:rPr>
            </w:pPr>
            <w:r w:rsidRPr="000160B2">
              <w:rPr>
                <w:color w:val="000000"/>
                <w:szCs w:val="20"/>
              </w:rPr>
              <w:t>5.8</w:t>
            </w:r>
          </w:p>
        </w:tc>
        <w:tc>
          <w:tcPr>
            <w:tcW w:w="444" w:type="pct"/>
            <w:vAlign w:val="center"/>
          </w:tcPr>
          <w:p w14:paraId="4BA6B1AD" w14:textId="77777777" w:rsidR="00A71B9D" w:rsidRPr="000160B2" w:rsidRDefault="00A71B9D" w:rsidP="004A48C2">
            <w:pPr>
              <w:pStyle w:val="TableText0"/>
              <w:keepLines/>
              <w:widowControl w:val="0"/>
              <w:jc w:val="center"/>
              <w:rPr>
                <w:szCs w:val="20"/>
              </w:rPr>
            </w:pPr>
            <w:r w:rsidRPr="000160B2">
              <w:rPr>
                <w:szCs w:val="20"/>
              </w:rPr>
              <w:t>N/A</w:t>
            </w:r>
          </w:p>
        </w:tc>
      </w:tr>
      <w:tr w:rsidR="00A71B9D" w:rsidRPr="000B2FEE" w14:paraId="3389226D" w14:textId="77777777" w:rsidTr="000160B2">
        <w:tc>
          <w:tcPr>
            <w:tcW w:w="940" w:type="pct"/>
            <w:vAlign w:val="center"/>
          </w:tcPr>
          <w:p w14:paraId="3F2958DE" w14:textId="77777777" w:rsidR="00A71B9D" w:rsidRPr="00880394" w:rsidRDefault="00A71B9D" w:rsidP="004A48C2">
            <w:pPr>
              <w:pStyle w:val="TableText0"/>
              <w:keepLines/>
              <w:widowControl w:val="0"/>
              <w:rPr>
                <w:szCs w:val="20"/>
              </w:rPr>
            </w:pPr>
            <w:r w:rsidRPr="00880394">
              <w:rPr>
                <w:szCs w:val="20"/>
              </w:rPr>
              <w:t>Rituximab</w:t>
            </w:r>
          </w:p>
        </w:tc>
        <w:tc>
          <w:tcPr>
            <w:tcW w:w="1258" w:type="pct"/>
            <w:vAlign w:val="center"/>
          </w:tcPr>
          <w:p w14:paraId="30431E48" w14:textId="77777777" w:rsidR="00A71B9D" w:rsidRPr="00880394" w:rsidRDefault="00A71B9D" w:rsidP="004A48C2">
            <w:pPr>
              <w:pStyle w:val="TableText0"/>
              <w:keepLines/>
              <w:widowControl w:val="0"/>
              <w:rPr>
                <w:szCs w:val="20"/>
              </w:rPr>
            </w:pPr>
            <w:r w:rsidRPr="00880394">
              <w:rPr>
                <w:szCs w:val="20"/>
              </w:rPr>
              <w:t>$591.89 / treatment cycle</w:t>
            </w:r>
          </w:p>
        </w:tc>
        <w:tc>
          <w:tcPr>
            <w:tcW w:w="471" w:type="pct"/>
            <w:vAlign w:val="center"/>
          </w:tcPr>
          <w:p w14:paraId="19ED7DA2" w14:textId="77777777" w:rsidR="00A71B9D" w:rsidRPr="000160B2" w:rsidRDefault="00A71B9D" w:rsidP="004A48C2">
            <w:pPr>
              <w:pStyle w:val="TableText0"/>
              <w:keepLines/>
              <w:widowControl w:val="0"/>
              <w:jc w:val="center"/>
              <w:rPr>
                <w:szCs w:val="20"/>
              </w:rPr>
            </w:pPr>
            <w:r w:rsidRPr="000160B2">
              <w:rPr>
                <w:szCs w:val="20"/>
              </w:rPr>
              <w:t>7.20</w:t>
            </w:r>
          </w:p>
        </w:tc>
        <w:tc>
          <w:tcPr>
            <w:tcW w:w="472" w:type="pct"/>
            <w:vAlign w:val="center"/>
          </w:tcPr>
          <w:p w14:paraId="46F982A6" w14:textId="77777777" w:rsidR="00A71B9D" w:rsidRPr="000160B2" w:rsidRDefault="00A71B9D" w:rsidP="004A48C2">
            <w:pPr>
              <w:pStyle w:val="TableText0"/>
              <w:keepLines/>
              <w:widowControl w:val="0"/>
              <w:jc w:val="center"/>
              <w:rPr>
                <w:szCs w:val="20"/>
              </w:rPr>
            </w:pPr>
            <w:r w:rsidRPr="000160B2">
              <w:rPr>
                <w:szCs w:val="20"/>
              </w:rPr>
              <w:t>6.99</w:t>
            </w:r>
          </w:p>
        </w:tc>
        <w:tc>
          <w:tcPr>
            <w:tcW w:w="472" w:type="pct"/>
            <w:vAlign w:val="center"/>
          </w:tcPr>
          <w:p w14:paraId="6D15E920" w14:textId="77777777" w:rsidR="00A71B9D" w:rsidRPr="000160B2" w:rsidRDefault="00A71B9D" w:rsidP="004A48C2">
            <w:pPr>
              <w:pStyle w:val="TableText0"/>
              <w:keepLines/>
              <w:widowControl w:val="0"/>
              <w:jc w:val="center"/>
              <w:rPr>
                <w:szCs w:val="20"/>
              </w:rPr>
            </w:pPr>
            <w:r w:rsidRPr="000160B2">
              <w:rPr>
                <w:szCs w:val="20"/>
              </w:rPr>
              <w:t>7.16</w:t>
            </w:r>
          </w:p>
        </w:tc>
        <w:tc>
          <w:tcPr>
            <w:tcW w:w="472" w:type="pct"/>
            <w:vAlign w:val="center"/>
          </w:tcPr>
          <w:p w14:paraId="7C9D741F" w14:textId="77777777" w:rsidR="00A71B9D" w:rsidRPr="000160B2" w:rsidRDefault="00A71B9D" w:rsidP="004A48C2">
            <w:pPr>
              <w:pStyle w:val="TableText0"/>
              <w:keepLines/>
              <w:widowControl w:val="0"/>
              <w:jc w:val="center"/>
              <w:rPr>
                <w:szCs w:val="20"/>
              </w:rPr>
            </w:pPr>
            <w:r w:rsidRPr="000160B2">
              <w:rPr>
                <w:szCs w:val="20"/>
              </w:rPr>
              <w:t>6.82</w:t>
            </w:r>
          </w:p>
        </w:tc>
        <w:tc>
          <w:tcPr>
            <w:tcW w:w="471" w:type="pct"/>
            <w:vAlign w:val="center"/>
          </w:tcPr>
          <w:p w14:paraId="3F7CC113" w14:textId="77777777" w:rsidR="00A71B9D" w:rsidRPr="000160B2" w:rsidRDefault="00A71B9D" w:rsidP="004A48C2">
            <w:pPr>
              <w:pStyle w:val="TableText0"/>
              <w:keepLines/>
              <w:widowControl w:val="0"/>
              <w:jc w:val="center"/>
              <w:rPr>
                <w:szCs w:val="20"/>
              </w:rPr>
            </w:pPr>
            <w:r w:rsidRPr="000160B2">
              <w:rPr>
                <w:color w:val="000000"/>
                <w:szCs w:val="20"/>
              </w:rPr>
              <w:t>7.6</w:t>
            </w:r>
          </w:p>
        </w:tc>
        <w:tc>
          <w:tcPr>
            <w:tcW w:w="444" w:type="pct"/>
            <w:vAlign w:val="center"/>
          </w:tcPr>
          <w:p w14:paraId="3007BA77" w14:textId="77777777" w:rsidR="00A71B9D" w:rsidRPr="000160B2" w:rsidRDefault="00A71B9D" w:rsidP="004A48C2">
            <w:pPr>
              <w:pStyle w:val="TableText0"/>
              <w:keepLines/>
              <w:widowControl w:val="0"/>
              <w:jc w:val="center"/>
              <w:rPr>
                <w:szCs w:val="20"/>
              </w:rPr>
            </w:pPr>
            <w:r w:rsidRPr="000160B2">
              <w:rPr>
                <w:color w:val="000000"/>
                <w:szCs w:val="20"/>
              </w:rPr>
              <w:t>7.4</w:t>
            </w:r>
          </w:p>
        </w:tc>
      </w:tr>
      <w:tr w:rsidR="00A71B9D" w:rsidRPr="000B2FEE" w14:paraId="29ED447D" w14:textId="77777777" w:rsidTr="000160B2">
        <w:tc>
          <w:tcPr>
            <w:tcW w:w="940" w:type="pct"/>
            <w:vAlign w:val="center"/>
          </w:tcPr>
          <w:p w14:paraId="2EFA761B" w14:textId="77777777" w:rsidR="00A71B9D" w:rsidRPr="00880394" w:rsidRDefault="00A71B9D" w:rsidP="004A48C2">
            <w:pPr>
              <w:pStyle w:val="TableText0"/>
              <w:keepLines/>
              <w:widowControl w:val="0"/>
              <w:rPr>
                <w:szCs w:val="20"/>
              </w:rPr>
            </w:pPr>
            <w:r w:rsidRPr="00880394">
              <w:rPr>
                <w:szCs w:val="20"/>
              </w:rPr>
              <w:t>Cyclophosphamide</w:t>
            </w:r>
          </w:p>
        </w:tc>
        <w:tc>
          <w:tcPr>
            <w:tcW w:w="1258" w:type="pct"/>
            <w:vAlign w:val="center"/>
          </w:tcPr>
          <w:p w14:paraId="5991C0B9" w14:textId="77777777" w:rsidR="00A71B9D" w:rsidRPr="00880394" w:rsidRDefault="00A71B9D" w:rsidP="004A48C2">
            <w:pPr>
              <w:pStyle w:val="TableText0"/>
              <w:keepLines/>
              <w:widowControl w:val="0"/>
              <w:rPr>
                <w:szCs w:val="20"/>
              </w:rPr>
            </w:pPr>
            <w:r w:rsidRPr="00880394">
              <w:rPr>
                <w:szCs w:val="20"/>
              </w:rPr>
              <w:t>$151.86 / treatment cycle</w:t>
            </w:r>
          </w:p>
        </w:tc>
        <w:tc>
          <w:tcPr>
            <w:tcW w:w="471" w:type="pct"/>
            <w:vAlign w:val="center"/>
          </w:tcPr>
          <w:p w14:paraId="479B6E05" w14:textId="77777777" w:rsidR="00A71B9D" w:rsidRPr="000160B2" w:rsidRDefault="00A71B9D" w:rsidP="004A48C2">
            <w:pPr>
              <w:pStyle w:val="TableText0"/>
              <w:keepLines/>
              <w:widowControl w:val="0"/>
              <w:jc w:val="center"/>
              <w:rPr>
                <w:szCs w:val="20"/>
              </w:rPr>
            </w:pPr>
            <w:r w:rsidRPr="000160B2">
              <w:rPr>
                <w:szCs w:val="20"/>
              </w:rPr>
              <w:t>5.38</w:t>
            </w:r>
          </w:p>
        </w:tc>
        <w:tc>
          <w:tcPr>
            <w:tcW w:w="472" w:type="pct"/>
            <w:vAlign w:val="center"/>
          </w:tcPr>
          <w:p w14:paraId="30D8967A" w14:textId="77777777" w:rsidR="00A71B9D" w:rsidRPr="000160B2" w:rsidRDefault="00A71B9D" w:rsidP="004A48C2">
            <w:pPr>
              <w:pStyle w:val="TableText0"/>
              <w:keepLines/>
              <w:widowControl w:val="0"/>
              <w:jc w:val="center"/>
              <w:rPr>
                <w:szCs w:val="20"/>
              </w:rPr>
            </w:pPr>
            <w:r w:rsidRPr="000160B2">
              <w:rPr>
                <w:szCs w:val="20"/>
              </w:rPr>
              <w:t>5.28</w:t>
            </w:r>
          </w:p>
        </w:tc>
        <w:tc>
          <w:tcPr>
            <w:tcW w:w="472" w:type="pct"/>
            <w:vAlign w:val="center"/>
          </w:tcPr>
          <w:p w14:paraId="001185F0" w14:textId="77777777" w:rsidR="00A71B9D" w:rsidRPr="000160B2" w:rsidRDefault="00A71B9D" w:rsidP="004A48C2">
            <w:pPr>
              <w:pStyle w:val="TableText0"/>
              <w:keepLines/>
              <w:widowControl w:val="0"/>
              <w:jc w:val="center"/>
              <w:rPr>
                <w:szCs w:val="20"/>
              </w:rPr>
            </w:pPr>
            <w:r w:rsidRPr="000160B2">
              <w:rPr>
                <w:szCs w:val="20"/>
              </w:rPr>
              <w:t>5.35</w:t>
            </w:r>
          </w:p>
        </w:tc>
        <w:tc>
          <w:tcPr>
            <w:tcW w:w="472" w:type="pct"/>
            <w:vAlign w:val="center"/>
          </w:tcPr>
          <w:p w14:paraId="3B4C03D5" w14:textId="77777777" w:rsidR="00A71B9D" w:rsidRPr="000160B2" w:rsidRDefault="00A71B9D" w:rsidP="004A48C2">
            <w:pPr>
              <w:pStyle w:val="TableText0"/>
              <w:keepLines/>
              <w:widowControl w:val="0"/>
              <w:jc w:val="center"/>
              <w:rPr>
                <w:szCs w:val="20"/>
              </w:rPr>
            </w:pPr>
            <w:r w:rsidRPr="000160B2">
              <w:rPr>
                <w:szCs w:val="20"/>
              </w:rPr>
              <w:t>5.18</w:t>
            </w:r>
          </w:p>
        </w:tc>
        <w:tc>
          <w:tcPr>
            <w:tcW w:w="471" w:type="pct"/>
            <w:vAlign w:val="center"/>
          </w:tcPr>
          <w:p w14:paraId="6E3BCC55" w14:textId="77777777" w:rsidR="00A71B9D" w:rsidRPr="000160B2" w:rsidRDefault="00A71B9D" w:rsidP="004A48C2">
            <w:pPr>
              <w:pStyle w:val="TableText0"/>
              <w:keepLines/>
              <w:widowControl w:val="0"/>
              <w:jc w:val="center"/>
              <w:rPr>
                <w:szCs w:val="20"/>
              </w:rPr>
            </w:pPr>
            <w:r w:rsidRPr="000160B2">
              <w:rPr>
                <w:color w:val="000000"/>
                <w:szCs w:val="20"/>
              </w:rPr>
              <w:t>5.8</w:t>
            </w:r>
          </w:p>
        </w:tc>
        <w:tc>
          <w:tcPr>
            <w:tcW w:w="444" w:type="pct"/>
            <w:vAlign w:val="center"/>
          </w:tcPr>
          <w:p w14:paraId="071ACB13" w14:textId="77777777" w:rsidR="00A71B9D" w:rsidRPr="000160B2" w:rsidRDefault="00A71B9D" w:rsidP="004A48C2">
            <w:pPr>
              <w:pStyle w:val="TableText0"/>
              <w:keepLines/>
              <w:widowControl w:val="0"/>
              <w:jc w:val="center"/>
              <w:rPr>
                <w:szCs w:val="20"/>
              </w:rPr>
            </w:pPr>
            <w:r w:rsidRPr="000160B2">
              <w:rPr>
                <w:color w:val="000000"/>
                <w:szCs w:val="20"/>
              </w:rPr>
              <w:t>5.7</w:t>
            </w:r>
          </w:p>
        </w:tc>
      </w:tr>
      <w:tr w:rsidR="00A71B9D" w:rsidRPr="000B2FEE" w14:paraId="07AB3F4E" w14:textId="77777777" w:rsidTr="000160B2">
        <w:tc>
          <w:tcPr>
            <w:tcW w:w="940" w:type="pct"/>
            <w:vAlign w:val="center"/>
          </w:tcPr>
          <w:p w14:paraId="0E6925D0" w14:textId="77777777" w:rsidR="00A71B9D" w:rsidRPr="00880394" w:rsidRDefault="00A71B9D" w:rsidP="004A48C2">
            <w:pPr>
              <w:pStyle w:val="TableText0"/>
              <w:keepLines/>
              <w:widowControl w:val="0"/>
              <w:rPr>
                <w:szCs w:val="20"/>
              </w:rPr>
            </w:pPr>
            <w:r w:rsidRPr="00880394">
              <w:rPr>
                <w:szCs w:val="20"/>
              </w:rPr>
              <w:t>Doxorubicin</w:t>
            </w:r>
          </w:p>
        </w:tc>
        <w:tc>
          <w:tcPr>
            <w:tcW w:w="1258" w:type="pct"/>
            <w:vAlign w:val="center"/>
          </w:tcPr>
          <w:p w14:paraId="72DC4B17" w14:textId="77777777" w:rsidR="00A71B9D" w:rsidRPr="00880394" w:rsidRDefault="00A71B9D" w:rsidP="004A48C2">
            <w:pPr>
              <w:pStyle w:val="TableText0"/>
              <w:keepLines/>
              <w:widowControl w:val="0"/>
              <w:rPr>
                <w:szCs w:val="20"/>
              </w:rPr>
            </w:pPr>
            <w:r w:rsidRPr="00880394">
              <w:rPr>
                <w:szCs w:val="20"/>
              </w:rPr>
              <w:t>$146.40 / treatment cycle</w:t>
            </w:r>
          </w:p>
        </w:tc>
        <w:tc>
          <w:tcPr>
            <w:tcW w:w="471" w:type="pct"/>
            <w:vAlign w:val="center"/>
          </w:tcPr>
          <w:p w14:paraId="0839A9D8" w14:textId="77777777" w:rsidR="00A71B9D" w:rsidRPr="000160B2" w:rsidRDefault="00A71B9D" w:rsidP="004A48C2">
            <w:pPr>
              <w:pStyle w:val="TableText0"/>
              <w:keepLines/>
              <w:widowControl w:val="0"/>
              <w:jc w:val="center"/>
              <w:rPr>
                <w:szCs w:val="20"/>
              </w:rPr>
            </w:pPr>
            <w:r w:rsidRPr="000160B2">
              <w:rPr>
                <w:szCs w:val="20"/>
              </w:rPr>
              <w:t>5.38</w:t>
            </w:r>
          </w:p>
        </w:tc>
        <w:tc>
          <w:tcPr>
            <w:tcW w:w="472" w:type="pct"/>
            <w:vAlign w:val="center"/>
          </w:tcPr>
          <w:p w14:paraId="273579F2" w14:textId="77777777" w:rsidR="00A71B9D" w:rsidRPr="000160B2" w:rsidRDefault="00A71B9D" w:rsidP="004A48C2">
            <w:pPr>
              <w:pStyle w:val="TableText0"/>
              <w:keepLines/>
              <w:widowControl w:val="0"/>
              <w:jc w:val="center"/>
              <w:rPr>
                <w:szCs w:val="20"/>
              </w:rPr>
            </w:pPr>
            <w:r w:rsidRPr="000160B2">
              <w:rPr>
                <w:szCs w:val="20"/>
              </w:rPr>
              <w:t>5.28</w:t>
            </w:r>
          </w:p>
        </w:tc>
        <w:tc>
          <w:tcPr>
            <w:tcW w:w="472" w:type="pct"/>
            <w:vAlign w:val="center"/>
          </w:tcPr>
          <w:p w14:paraId="4993EE6A" w14:textId="77777777" w:rsidR="00A71B9D" w:rsidRPr="000160B2" w:rsidRDefault="00A71B9D" w:rsidP="004A48C2">
            <w:pPr>
              <w:pStyle w:val="TableText0"/>
              <w:keepLines/>
              <w:widowControl w:val="0"/>
              <w:jc w:val="center"/>
              <w:rPr>
                <w:szCs w:val="20"/>
              </w:rPr>
            </w:pPr>
            <w:r w:rsidRPr="000160B2">
              <w:rPr>
                <w:szCs w:val="20"/>
              </w:rPr>
              <w:t>5.35</w:t>
            </w:r>
          </w:p>
        </w:tc>
        <w:tc>
          <w:tcPr>
            <w:tcW w:w="472" w:type="pct"/>
            <w:vAlign w:val="center"/>
          </w:tcPr>
          <w:p w14:paraId="4B2E2682" w14:textId="77777777" w:rsidR="00A71B9D" w:rsidRPr="000160B2" w:rsidRDefault="00A71B9D" w:rsidP="004A48C2">
            <w:pPr>
              <w:pStyle w:val="TableText0"/>
              <w:keepLines/>
              <w:widowControl w:val="0"/>
              <w:jc w:val="center"/>
              <w:rPr>
                <w:szCs w:val="20"/>
              </w:rPr>
            </w:pPr>
            <w:r w:rsidRPr="000160B2">
              <w:rPr>
                <w:szCs w:val="20"/>
              </w:rPr>
              <w:t>5.18</w:t>
            </w:r>
          </w:p>
        </w:tc>
        <w:tc>
          <w:tcPr>
            <w:tcW w:w="471" w:type="pct"/>
            <w:vAlign w:val="center"/>
          </w:tcPr>
          <w:p w14:paraId="44882670" w14:textId="77777777" w:rsidR="00A71B9D" w:rsidRPr="000160B2" w:rsidRDefault="00A71B9D" w:rsidP="004A48C2">
            <w:pPr>
              <w:pStyle w:val="TableText0"/>
              <w:keepLines/>
              <w:widowControl w:val="0"/>
              <w:jc w:val="center"/>
              <w:rPr>
                <w:szCs w:val="20"/>
              </w:rPr>
            </w:pPr>
            <w:r w:rsidRPr="000160B2">
              <w:rPr>
                <w:color w:val="000000"/>
                <w:szCs w:val="20"/>
              </w:rPr>
              <w:t>5.8</w:t>
            </w:r>
          </w:p>
        </w:tc>
        <w:tc>
          <w:tcPr>
            <w:tcW w:w="444" w:type="pct"/>
            <w:vAlign w:val="center"/>
          </w:tcPr>
          <w:p w14:paraId="36376F07" w14:textId="77777777" w:rsidR="00A71B9D" w:rsidRPr="000160B2" w:rsidRDefault="00A71B9D" w:rsidP="004A48C2">
            <w:pPr>
              <w:pStyle w:val="TableText0"/>
              <w:keepLines/>
              <w:widowControl w:val="0"/>
              <w:jc w:val="center"/>
              <w:rPr>
                <w:szCs w:val="20"/>
              </w:rPr>
            </w:pPr>
            <w:r w:rsidRPr="000160B2">
              <w:rPr>
                <w:color w:val="000000"/>
                <w:szCs w:val="20"/>
              </w:rPr>
              <w:t>5.7</w:t>
            </w:r>
          </w:p>
        </w:tc>
      </w:tr>
      <w:tr w:rsidR="00A71B9D" w:rsidRPr="000B2FEE" w14:paraId="7A5882F4" w14:textId="77777777" w:rsidTr="000160B2">
        <w:tc>
          <w:tcPr>
            <w:tcW w:w="940" w:type="pct"/>
            <w:vAlign w:val="center"/>
          </w:tcPr>
          <w:p w14:paraId="4FA84C0E" w14:textId="77777777" w:rsidR="00A71B9D" w:rsidRPr="00880394" w:rsidRDefault="00A71B9D" w:rsidP="004A48C2">
            <w:pPr>
              <w:pStyle w:val="TableText0"/>
              <w:keepLines/>
              <w:widowControl w:val="0"/>
              <w:rPr>
                <w:szCs w:val="20"/>
              </w:rPr>
            </w:pPr>
            <w:r w:rsidRPr="00880394">
              <w:rPr>
                <w:szCs w:val="20"/>
              </w:rPr>
              <w:t>Vincristine</w:t>
            </w:r>
          </w:p>
        </w:tc>
        <w:tc>
          <w:tcPr>
            <w:tcW w:w="1258" w:type="pct"/>
            <w:vAlign w:val="center"/>
          </w:tcPr>
          <w:p w14:paraId="067AA22F" w14:textId="77777777" w:rsidR="00A71B9D" w:rsidRPr="00880394" w:rsidRDefault="00A71B9D" w:rsidP="004A48C2">
            <w:pPr>
              <w:pStyle w:val="TableText0"/>
              <w:keepLines/>
              <w:widowControl w:val="0"/>
              <w:rPr>
                <w:szCs w:val="20"/>
              </w:rPr>
            </w:pPr>
            <w:r w:rsidRPr="00880394">
              <w:rPr>
                <w:szCs w:val="20"/>
              </w:rPr>
              <w:t>$202.00 / treatment cycle</w:t>
            </w:r>
          </w:p>
        </w:tc>
        <w:tc>
          <w:tcPr>
            <w:tcW w:w="471" w:type="pct"/>
            <w:vAlign w:val="center"/>
          </w:tcPr>
          <w:p w14:paraId="29ACAA89" w14:textId="77777777" w:rsidR="00A71B9D" w:rsidRPr="000160B2" w:rsidRDefault="00A71B9D" w:rsidP="004A48C2">
            <w:pPr>
              <w:pStyle w:val="TableText0"/>
              <w:keepLines/>
              <w:widowControl w:val="0"/>
              <w:jc w:val="center"/>
              <w:rPr>
                <w:szCs w:val="20"/>
              </w:rPr>
            </w:pPr>
            <w:r w:rsidRPr="000160B2">
              <w:rPr>
                <w:szCs w:val="20"/>
              </w:rPr>
              <w:t>-</w:t>
            </w:r>
          </w:p>
        </w:tc>
        <w:tc>
          <w:tcPr>
            <w:tcW w:w="472" w:type="pct"/>
            <w:vAlign w:val="center"/>
          </w:tcPr>
          <w:p w14:paraId="60170BDB" w14:textId="77777777" w:rsidR="00A71B9D" w:rsidRPr="000160B2" w:rsidRDefault="00A71B9D" w:rsidP="004A48C2">
            <w:pPr>
              <w:pStyle w:val="TableText0"/>
              <w:keepLines/>
              <w:widowControl w:val="0"/>
              <w:jc w:val="center"/>
              <w:rPr>
                <w:szCs w:val="20"/>
              </w:rPr>
            </w:pPr>
            <w:r w:rsidRPr="000160B2">
              <w:rPr>
                <w:szCs w:val="20"/>
              </w:rPr>
              <w:t>5.24</w:t>
            </w:r>
          </w:p>
        </w:tc>
        <w:tc>
          <w:tcPr>
            <w:tcW w:w="472" w:type="pct"/>
            <w:vAlign w:val="center"/>
          </w:tcPr>
          <w:p w14:paraId="6F2EB256" w14:textId="77777777" w:rsidR="00A71B9D" w:rsidRPr="000160B2" w:rsidRDefault="00A71B9D" w:rsidP="004A48C2">
            <w:pPr>
              <w:pStyle w:val="TableText0"/>
              <w:keepLines/>
              <w:widowControl w:val="0"/>
              <w:jc w:val="center"/>
              <w:rPr>
                <w:szCs w:val="20"/>
              </w:rPr>
            </w:pPr>
            <w:r w:rsidRPr="000160B2">
              <w:rPr>
                <w:szCs w:val="20"/>
              </w:rPr>
              <w:t>-</w:t>
            </w:r>
          </w:p>
        </w:tc>
        <w:tc>
          <w:tcPr>
            <w:tcW w:w="472" w:type="pct"/>
            <w:vAlign w:val="center"/>
          </w:tcPr>
          <w:p w14:paraId="6D7C8F04" w14:textId="77777777" w:rsidR="00A71B9D" w:rsidRPr="000160B2" w:rsidRDefault="00A71B9D" w:rsidP="004A48C2">
            <w:pPr>
              <w:pStyle w:val="TableText0"/>
              <w:keepLines/>
              <w:widowControl w:val="0"/>
              <w:jc w:val="center"/>
              <w:rPr>
                <w:szCs w:val="20"/>
              </w:rPr>
            </w:pPr>
            <w:r w:rsidRPr="000160B2">
              <w:rPr>
                <w:szCs w:val="20"/>
              </w:rPr>
              <w:t>5.15</w:t>
            </w:r>
          </w:p>
        </w:tc>
        <w:tc>
          <w:tcPr>
            <w:tcW w:w="471" w:type="pct"/>
            <w:vAlign w:val="center"/>
          </w:tcPr>
          <w:p w14:paraId="5E877D5E" w14:textId="77777777" w:rsidR="00A71B9D" w:rsidRPr="000160B2" w:rsidRDefault="00A71B9D" w:rsidP="004A48C2">
            <w:pPr>
              <w:pStyle w:val="TableText0"/>
              <w:keepLines/>
              <w:widowControl w:val="0"/>
              <w:jc w:val="center"/>
              <w:rPr>
                <w:szCs w:val="20"/>
              </w:rPr>
            </w:pPr>
            <w:r w:rsidRPr="000160B2">
              <w:rPr>
                <w:color w:val="000000"/>
                <w:szCs w:val="20"/>
              </w:rPr>
              <w:t>N/A</w:t>
            </w:r>
          </w:p>
        </w:tc>
        <w:tc>
          <w:tcPr>
            <w:tcW w:w="444" w:type="pct"/>
            <w:vAlign w:val="center"/>
          </w:tcPr>
          <w:p w14:paraId="0EE1752A" w14:textId="77777777" w:rsidR="00A71B9D" w:rsidRPr="000160B2" w:rsidRDefault="00A71B9D" w:rsidP="004A48C2">
            <w:pPr>
              <w:pStyle w:val="TableText0"/>
              <w:keepLines/>
              <w:widowControl w:val="0"/>
              <w:jc w:val="center"/>
              <w:rPr>
                <w:szCs w:val="20"/>
              </w:rPr>
            </w:pPr>
            <w:r w:rsidRPr="000160B2">
              <w:rPr>
                <w:color w:val="000000"/>
                <w:szCs w:val="20"/>
              </w:rPr>
              <w:t>5.7</w:t>
            </w:r>
          </w:p>
        </w:tc>
      </w:tr>
      <w:tr w:rsidR="00A71B9D" w:rsidRPr="000B2FEE" w14:paraId="6E3B58D6" w14:textId="77777777" w:rsidTr="000160B2">
        <w:tc>
          <w:tcPr>
            <w:tcW w:w="940" w:type="pct"/>
            <w:vAlign w:val="center"/>
          </w:tcPr>
          <w:p w14:paraId="30A4BB69" w14:textId="77777777" w:rsidR="00A71B9D" w:rsidRPr="00880394" w:rsidRDefault="00A71B9D" w:rsidP="004A48C2">
            <w:pPr>
              <w:pStyle w:val="TableText0"/>
              <w:keepLines/>
              <w:widowControl w:val="0"/>
              <w:rPr>
                <w:szCs w:val="20"/>
              </w:rPr>
            </w:pPr>
            <w:r w:rsidRPr="00880394">
              <w:rPr>
                <w:szCs w:val="20"/>
              </w:rPr>
              <w:t>Prednisone</w:t>
            </w:r>
          </w:p>
        </w:tc>
        <w:tc>
          <w:tcPr>
            <w:tcW w:w="1258" w:type="pct"/>
            <w:vAlign w:val="center"/>
          </w:tcPr>
          <w:p w14:paraId="3AB66CDB" w14:textId="77777777" w:rsidR="00A71B9D" w:rsidRPr="00880394" w:rsidRDefault="00A71B9D" w:rsidP="004A48C2">
            <w:pPr>
              <w:pStyle w:val="TableText0"/>
              <w:keepLines/>
              <w:widowControl w:val="0"/>
              <w:rPr>
                <w:szCs w:val="20"/>
              </w:rPr>
            </w:pPr>
            <w:r w:rsidRPr="00880394">
              <w:rPr>
                <w:szCs w:val="20"/>
              </w:rPr>
              <w:t>$2.69 / treatment cycle</w:t>
            </w:r>
          </w:p>
        </w:tc>
        <w:tc>
          <w:tcPr>
            <w:tcW w:w="471" w:type="pct"/>
            <w:vAlign w:val="center"/>
          </w:tcPr>
          <w:p w14:paraId="037AF2DE" w14:textId="77777777" w:rsidR="00A71B9D" w:rsidRPr="000160B2" w:rsidRDefault="00A71B9D" w:rsidP="004A48C2">
            <w:pPr>
              <w:pStyle w:val="TableText0"/>
              <w:keepLines/>
              <w:widowControl w:val="0"/>
              <w:jc w:val="center"/>
              <w:rPr>
                <w:szCs w:val="20"/>
              </w:rPr>
            </w:pPr>
            <w:r w:rsidRPr="000160B2">
              <w:rPr>
                <w:szCs w:val="20"/>
              </w:rPr>
              <w:t>5.47</w:t>
            </w:r>
          </w:p>
        </w:tc>
        <w:tc>
          <w:tcPr>
            <w:tcW w:w="472" w:type="pct"/>
            <w:vAlign w:val="center"/>
          </w:tcPr>
          <w:p w14:paraId="1EC3D1F1" w14:textId="77777777" w:rsidR="00A71B9D" w:rsidRPr="000160B2" w:rsidRDefault="00A71B9D" w:rsidP="004A48C2">
            <w:pPr>
              <w:pStyle w:val="TableText0"/>
              <w:keepLines/>
              <w:widowControl w:val="0"/>
              <w:jc w:val="center"/>
              <w:rPr>
                <w:szCs w:val="20"/>
              </w:rPr>
            </w:pPr>
            <w:r w:rsidRPr="000160B2">
              <w:rPr>
                <w:szCs w:val="20"/>
              </w:rPr>
              <w:t>5.33</w:t>
            </w:r>
          </w:p>
        </w:tc>
        <w:tc>
          <w:tcPr>
            <w:tcW w:w="472" w:type="pct"/>
            <w:vAlign w:val="center"/>
          </w:tcPr>
          <w:p w14:paraId="5959D33B" w14:textId="77777777" w:rsidR="00A71B9D" w:rsidRPr="000160B2" w:rsidRDefault="00A71B9D" w:rsidP="004A48C2">
            <w:pPr>
              <w:pStyle w:val="TableText0"/>
              <w:keepLines/>
              <w:widowControl w:val="0"/>
              <w:jc w:val="center"/>
              <w:rPr>
                <w:szCs w:val="20"/>
              </w:rPr>
            </w:pPr>
            <w:r w:rsidRPr="000160B2">
              <w:rPr>
                <w:szCs w:val="20"/>
              </w:rPr>
              <w:t>5.45</w:t>
            </w:r>
          </w:p>
        </w:tc>
        <w:tc>
          <w:tcPr>
            <w:tcW w:w="472" w:type="pct"/>
            <w:vAlign w:val="center"/>
          </w:tcPr>
          <w:p w14:paraId="66095F9D" w14:textId="77777777" w:rsidR="00A71B9D" w:rsidRPr="000160B2" w:rsidRDefault="00A71B9D" w:rsidP="004A48C2">
            <w:pPr>
              <w:pStyle w:val="TableText0"/>
              <w:keepLines/>
              <w:widowControl w:val="0"/>
              <w:jc w:val="center"/>
              <w:rPr>
                <w:szCs w:val="20"/>
              </w:rPr>
            </w:pPr>
            <w:r w:rsidRPr="000160B2">
              <w:rPr>
                <w:szCs w:val="20"/>
              </w:rPr>
              <w:t>5.23</w:t>
            </w:r>
          </w:p>
        </w:tc>
        <w:tc>
          <w:tcPr>
            <w:tcW w:w="471" w:type="pct"/>
            <w:vAlign w:val="center"/>
          </w:tcPr>
          <w:p w14:paraId="10A5FA6E" w14:textId="77777777" w:rsidR="00A71B9D" w:rsidRPr="000160B2" w:rsidRDefault="00A71B9D" w:rsidP="004A48C2">
            <w:pPr>
              <w:pStyle w:val="TableText0"/>
              <w:keepLines/>
              <w:widowControl w:val="0"/>
              <w:jc w:val="center"/>
              <w:rPr>
                <w:szCs w:val="20"/>
              </w:rPr>
            </w:pPr>
            <w:r w:rsidRPr="000160B2">
              <w:rPr>
                <w:color w:val="000000"/>
                <w:szCs w:val="20"/>
              </w:rPr>
              <w:t>5.8</w:t>
            </w:r>
          </w:p>
        </w:tc>
        <w:tc>
          <w:tcPr>
            <w:tcW w:w="444" w:type="pct"/>
            <w:vAlign w:val="center"/>
          </w:tcPr>
          <w:p w14:paraId="4A85131F" w14:textId="77777777" w:rsidR="00A71B9D" w:rsidRPr="000160B2" w:rsidRDefault="00A71B9D" w:rsidP="004A48C2">
            <w:pPr>
              <w:pStyle w:val="TableText0"/>
              <w:keepLines/>
              <w:widowControl w:val="0"/>
              <w:jc w:val="center"/>
              <w:rPr>
                <w:szCs w:val="20"/>
              </w:rPr>
            </w:pPr>
            <w:r w:rsidRPr="000160B2">
              <w:rPr>
                <w:color w:val="000000"/>
                <w:szCs w:val="20"/>
              </w:rPr>
              <w:t>5.7</w:t>
            </w:r>
          </w:p>
        </w:tc>
      </w:tr>
    </w:tbl>
    <w:p w14:paraId="12265E3D" w14:textId="77777777" w:rsidR="00A71B9D" w:rsidRPr="005B024E" w:rsidRDefault="00A71B9D" w:rsidP="00A66950">
      <w:pPr>
        <w:pStyle w:val="FooterTableFigure"/>
      </w:pPr>
      <w:r w:rsidRPr="005B024E">
        <w:t>Source: compiled during the evaluation from Sheets ‘Pola+R-CHP’ and ‘R-CHOP’ of Excel files ‘Economic Evaluation_ITT.xlsx’ and ‘Economic Evaluation_IPI 3-5.xlsx’</w:t>
      </w:r>
    </w:p>
    <w:p w14:paraId="64FA1550" w14:textId="77777777" w:rsidR="00A71B9D" w:rsidRPr="005B024E" w:rsidRDefault="00A71B9D" w:rsidP="00A66950">
      <w:pPr>
        <w:pStyle w:val="FooterTableFigure"/>
      </w:pPr>
      <w:r w:rsidRPr="005B024E">
        <w:t>IPI = International Prognostic Index, ITT = intention to treat, PD = progressed disease, PF = progression free, Pola+R-CHP = polatuzumab vedotin in combination with cyclophosphamide, doxorubicin and prednisone, R-CHOP = rituximab in combination with cyclophosphamide, doxorubicin, vincristine and prednisone</w:t>
      </w:r>
    </w:p>
    <w:p w14:paraId="69107F04" w14:textId="77777777" w:rsidR="00A71B9D" w:rsidRPr="005B024E" w:rsidRDefault="00A71B9D" w:rsidP="00A66950">
      <w:pPr>
        <w:pStyle w:val="FooterTableFigure"/>
      </w:pPr>
      <w:r w:rsidRPr="005B024E">
        <w:rPr>
          <w:vertAlign w:val="superscript"/>
        </w:rPr>
        <w:t>a</w:t>
      </w:r>
      <w:r w:rsidRPr="005B024E">
        <w:tab/>
        <w:t xml:space="preserve"> cycles calculated during time on treatment. MRU costs continued for patients who were off treatment and progression free.</w:t>
      </w:r>
    </w:p>
    <w:p w14:paraId="38E5BE4E" w14:textId="46CAC39C" w:rsidR="00A71B9D" w:rsidRPr="00E1521D" w:rsidRDefault="00A71B9D" w:rsidP="00E1521D">
      <w:pPr>
        <w:pStyle w:val="3-BodyText"/>
        <w:ind w:left="720"/>
        <w:rPr>
          <w:iCs/>
        </w:rPr>
      </w:pPr>
      <w:r w:rsidRPr="00E1521D">
        <w:rPr>
          <w:iCs/>
        </w:rPr>
        <w:t xml:space="preserve">Costs for subsequent therapies </w:t>
      </w:r>
      <w:r w:rsidR="00702390" w:rsidRPr="00E1521D">
        <w:rPr>
          <w:iCs/>
        </w:rPr>
        <w:t>(</w:t>
      </w:r>
      <w:r w:rsidR="00050593" w:rsidRPr="00E1521D">
        <w:rPr>
          <w:iCs/>
        </w:rPr>
        <w:t xml:space="preserve">e.g. </w:t>
      </w:r>
      <w:r w:rsidR="00702390" w:rsidRPr="00E1521D">
        <w:rPr>
          <w:iCs/>
        </w:rPr>
        <w:t>radiotherapy,</w:t>
      </w:r>
      <w:r w:rsidR="00050593" w:rsidRPr="00E1521D">
        <w:rPr>
          <w:iCs/>
        </w:rPr>
        <w:t xml:space="preserve"> rituximab plus gemcitabine and oxaliplatin (</w:t>
      </w:r>
      <w:r w:rsidR="00702390" w:rsidRPr="00E1521D">
        <w:rPr>
          <w:iCs/>
        </w:rPr>
        <w:t>R-GemOx</w:t>
      </w:r>
      <w:r w:rsidR="00050593" w:rsidRPr="00E1521D">
        <w:rPr>
          <w:iCs/>
        </w:rPr>
        <w:t>)</w:t>
      </w:r>
      <w:r w:rsidR="00702390" w:rsidRPr="00E1521D">
        <w:rPr>
          <w:iCs/>
        </w:rPr>
        <w:t>, SCT, CAR-T</w:t>
      </w:r>
      <w:r w:rsidR="00050593" w:rsidRPr="00E1521D">
        <w:rPr>
          <w:iCs/>
        </w:rPr>
        <w:t>, etc</w:t>
      </w:r>
      <w:r w:rsidR="00702390" w:rsidRPr="00E1521D">
        <w:rPr>
          <w:iCs/>
        </w:rPr>
        <w:t xml:space="preserve">) </w:t>
      </w:r>
      <w:r w:rsidRPr="00E1521D">
        <w:rPr>
          <w:iCs/>
        </w:rPr>
        <w:t xml:space="preserve">were based on the occurrence of subsequent treatment in POLARIX ITT. </w:t>
      </w:r>
      <w:r w:rsidR="00702390" w:rsidRPr="00E1521D">
        <w:rPr>
          <w:iCs/>
        </w:rPr>
        <w:t xml:space="preserve">Costs of subsequent therapies were based on published literature, PBS items and AR-DRG codes. </w:t>
      </w:r>
      <w:bookmarkStart w:id="53" w:name="_Hlk113283929"/>
      <w:r w:rsidR="00702390" w:rsidRPr="00E1521D">
        <w:rPr>
          <w:iCs/>
        </w:rPr>
        <w:t>Cost of CAR-T was assumed as $500,000 per patient.</w:t>
      </w:r>
      <w:bookmarkEnd w:id="53"/>
      <w:r w:rsidR="00702390" w:rsidRPr="00E1521D">
        <w:rPr>
          <w:iCs/>
        </w:rPr>
        <w:t xml:space="preserve"> </w:t>
      </w:r>
      <w:r w:rsidRPr="00E1521D">
        <w:rPr>
          <w:iCs/>
        </w:rPr>
        <w:t xml:space="preserve">As median PFS </w:t>
      </w:r>
      <w:r w:rsidR="004A48C2" w:rsidRPr="00E1521D">
        <w:rPr>
          <w:iCs/>
        </w:rPr>
        <w:t>was</w:t>
      </w:r>
      <w:r w:rsidRPr="00E1521D">
        <w:rPr>
          <w:iCs/>
        </w:rPr>
        <w:t xml:space="preserve"> not yet reached, it </w:t>
      </w:r>
      <w:r w:rsidR="004A48C2" w:rsidRPr="00E1521D">
        <w:rPr>
          <w:iCs/>
        </w:rPr>
        <w:t>wa</w:t>
      </w:r>
      <w:r w:rsidRPr="00E1521D">
        <w:rPr>
          <w:iCs/>
        </w:rPr>
        <w:t xml:space="preserve">s possible that subsequent treatment patterns could look very different with </w:t>
      </w:r>
      <w:r w:rsidR="00511D15" w:rsidRPr="00E1521D">
        <w:rPr>
          <w:iCs/>
        </w:rPr>
        <w:t>longer-term</w:t>
      </w:r>
      <w:r w:rsidRPr="00E1521D">
        <w:rPr>
          <w:iCs/>
        </w:rPr>
        <w:t xml:space="preserve"> data and that not all subsequent treatments </w:t>
      </w:r>
      <w:r w:rsidR="004A48C2" w:rsidRPr="00E1521D">
        <w:rPr>
          <w:iCs/>
        </w:rPr>
        <w:t xml:space="preserve">were </w:t>
      </w:r>
      <w:r w:rsidRPr="00E1521D">
        <w:rPr>
          <w:iCs/>
        </w:rPr>
        <w:t xml:space="preserve">yet captured. It was also not clear why proportions of treatments were not averaged across treatment arms, as the benefits of the treatments </w:t>
      </w:r>
      <w:r w:rsidR="004A48C2" w:rsidRPr="00E1521D">
        <w:rPr>
          <w:iCs/>
        </w:rPr>
        <w:t>we</w:t>
      </w:r>
      <w:r w:rsidRPr="00E1521D">
        <w:rPr>
          <w:iCs/>
        </w:rPr>
        <w:t xml:space="preserve">re unlikely to be captured by the data and </w:t>
      </w:r>
      <w:r w:rsidR="00702390" w:rsidRPr="00E1521D">
        <w:rPr>
          <w:iCs/>
        </w:rPr>
        <w:t xml:space="preserve">the submission’s approach implied that patients </w:t>
      </w:r>
      <w:r w:rsidRPr="00E1521D">
        <w:rPr>
          <w:iCs/>
        </w:rPr>
        <w:t xml:space="preserve">who relapsed after </w:t>
      </w:r>
      <w:r w:rsidR="005E2398" w:rsidRPr="00E1521D">
        <w:rPr>
          <w:iCs/>
        </w:rPr>
        <w:t>Pola+R-CHP</w:t>
      </w:r>
      <w:r w:rsidRPr="00E1521D">
        <w:rPr>
          <w:iCs/>
        </w:rPr>
        <w:t xml:space="preserve"> would be less likely to receive stem cell transplant</w:t>
      </w:r>
      <w:r w:rsidR="00702390" w:rsidRPr="00E1521D">
        <w:rPr>
          <w:iCs/>
        </w:rPr>
        <w:t>s (15% vs 19%) or CAR-T (8% vs 10%)</w:t>
      </w:r>
      <w:r w:rsidRPr="00E1521D">
        <w:rPr>
          <w:iCs/>
        </w:rPr>
        <w:t xml:space="preserve"> than patients who received R-CHOP. </w:t>
      </w:r>
      <w:r w:rsidR="00B56804" w:rsidRPr="00E1521D">
        <w:rPr>
          <w:iCs/>
        </w:rPr>
        <w:t xml:space="preserve">The ESC considered that this was unreasonable, noting that there was no clinical reason why the proportional split of subsequent therapies would differ between the treatment arms. </w:t>
      </w:r>
      <w:r w:rsidRPr="00E1521D">
        <w:rPr>
          <w:iCs/>
        </w:rPr>
        <w:t xml:space="preserve">As subsequent therapy costs </w:t>
      </w:r>
      <w:r w:rsidR="004A48C2" w:rsidRPr="00E1521D">
        <w:rPr>
          <w:iCs/>
        </w:rPr>
        <w:t>we</w:t>
      </w:r>
      <w:r w:rsidRPr="00E1521D">
        <w:rPr>
          <w:iCs/>
        </w:rPr>
        <w:t xml:space="preserve">re the largest </w:t>
      </w:r>
      <w:r w:rsidR="004A48C2" w:rsidRPr="00E1521D">
        <w:rPr>
          <w:iCs/>
        </w:rPr>
        <w:t xml:space="preserve">cost </w:t>
      </w:r>
      <w:r w:rsidRPr="00E1521D">
        <w:rPr>
          <w:iCs/>
        </w:rPr>
        <w:t>offset in the model, the ICER was moderately sensitive to the cost of subsequent therapies.</w:t>
      </w:r>
      <w:r w:rsidR="00874BD2" w:rsidRPr="00E1521D">
        <w:rPr>
          <w:iCs/>
        </w:rPr>
        <w:t xml:space="preserve"> The pre-PBAC response presented a revised base case in which the same proportions of subsequent therapies were applied across both treatment arms.</w:t>
      </w:r>
    </w:p>
    <w:p w14:paraId="67B0CC21" w14:textId="031F108B" w:rsidR="00FB40DA" w:rsidRPr="00E1521D" w:rsidRDefault="00FB40DA" w:rsidP="00E1521D">
      <w:pPr>
        <w:pStyle w:val="3-BodyText"/>
        <w:ind w:left="720"/>
        <w:rPr>
          <w:iCs/>
        </w:rPr>
      </w:pPr>
      <w:r w:rsidRPr="00E1521D">
        <w:rPr>
          <w:iCs/>
        </w:rPr>
        <w:t xml:space="preserve">Cohort traces are presented for model validation in </w:t>
      </w:r>
      <w:r w:rsidR="00E621A2" w:rsidRPr="00E1521D">
        <w:rPr>
          <w:iCs/>
        </w:rPr>
        <w:fldChar w:fldCharType="begin"/>
      </w:r>
      <w:r w:rsidR="00E621A2" w:rsidRPr="00E1521D">
        <w:rPr>
          <w:iCs/>
        </w:rPr>
        <w:instrText xml:space="preserve"> REF _Ref111483600  \* MERGEFORMAT </w:instrText>
      </w:r>
      <w:r w:rsidR="00E621A2" w:rsidRPr="00E1521D">
        <w:rPr>
          <w:iCs/>
        </w:rPr>
        <w:fldChar w:fldCharType="separate"/>
      </w:r>
      <w:r w:rsidR="007F2580" w:rsidRPr="007F2580">
        <w:rPr>
          <w:iCs/>
        </w:rPr>
        <w:t>Figure 5</w:t>
      </w:r>
      <w:r w:rsidR="00E621A2" w:rsidRPr="00E1521D">
        <w:rPr>
          <w:iCs/>
        </w:rPr>
        <w:fldChar w:fldCharType="end"/>
      </w:r>
      <w:r w:rsidRPr="00E1521D">
        <w:rPr>
          <w:iCs/>
        </w:rPr>
        <w:t>. Long-term survival and PFS for the Pola+R-CHP arm were similar across the ITT and IPI 3-5 models, but PFS (and to some extent OS) was worse for the IPI 3-5 model for R-CHOP arm. For the majority of the time horizon patients were either in PFS or dead state, with a low percentage of patients enter</w:t>
      </w:r>
      <w:r w:rsidR="004A48C2" w:rsidRPr="00E1521D">
        <w:rPr>
          <w:iCs/>
        </w:rPr>
        <w:t>ing</w:t>
      </w:r>
      <w:r w:rsidRPr="00E1521D">
        <w:rPr>
          <w:iCs/>
        </w:rPr>
        <w:t xml:space="preserve"> the PD health state, which </w:t>
      </w:r>
      <w:r w:rsidR="004A48C2" w:rsidRPr="00E1521D">
        <w:rPr>
          <w:iCs/>
        </w:rPr>
        <w:t>wa</w:t>
      </w:r>
      <w:r w:rsidRPr="00E1521D">
        <w:rPr>
          <w:iCs/>
        </w:rPr>
        <w:t>s consistent with the assumptions of the mixture</w:t>
      </w:r>
      <w:r w:rsidR="005F564E" w:rsidRPr="00E1521D">
        <w:rPr>
          <w:iCs/>
        </w:rPr>
        <w:t>-</w:t>
      </w:r>
      <w:r w:rsidRPr="00E1521D">
        <w:rPr>
          <w:iCs/>
        </w:rPr>
        <w:t>cure model</w:t>
      </w:r>
      <w:r w:rsidR="005F564E" w:rsidRPr="00E1521D">
        <w:rPr>
          <w:iCs/>
        </w:rPr>
        <w:t>,</w:t>
      </w:r>
      <w:r w:rsidRPr="00E1521D">
        <w:rPr>
          <w:iCs/>
        </w:rPr>
        <w:t xml:space="preserve"> estimated cure fractions</w:t>
      </w:r>
      <w:r w:rsidR="005F564E" w:rsidRPr="00E1521D">
        <w:rPr>
          <w:iCs/>
        </w:rPr>
        <w:t xml:space="preserve"> and the additional restriction on the assumed mortality rates</w:t>
      </w:r>
      <w:r w:rsidRPr="00E1521D">
        <w:rPr>
          <w:iCs/>
        </w:rPr>
        <w:t>. At the end of the 25-year time horizon, 20-30% patients remained alive and progression free, and around 10% patients remained alive and in progressed disease.</w:t>
      </w:r>
    </w:p>
    <w:p w14:paraId="3D113512" w14:textId="19DB2613" w:rsidR="00FB40DA" w:rsidRPr="005B024E" w:rsidRDefault="00FB40DA" w:rsidP="00FB40DA">
      <w:pPr>
        <w:pStyle w:val="TableFigureHeading"/>
      </w:pPr>
      <w:bookmarkStart w:id="54" w:name="_Ref111483600"/>
      <w:r w:rsidRPr="005B024E">
        <w:lastRenderedPageBreak/>
        <w:t xml:space="preserve">Figure </w:t>
      </w:r>
      <w:r w:rsidR="007F2580">
        <w:fldChar w:fldCharType="begin"/>
      </w:r>
      <w:r w:rsidR="007F2580">
        <w:instrText xml:space="preserve"> SEQ Figure \* ARABIC </w:instrText>
      </w:r>
      <w:r w:rsidR="007F2580">
        <w:fldChar w:fldCharType="separate"/>
      </w:r>
      <w:r w:rsidR="007F2580">
        <w:rPr>
          <w:noProof/>
        </w:rPr>
        <w:t>5</w:t>
      </w:r>
      <w:r w:rsidR="007F2580">
        <w:rPr>
          <w:noProof/>
        </w:rPr>
        <w:fldChar w:fldCharType="end"/>
      </w:r>
      <w:bookmarkEnd w:id="54"/>
      <w:r w:rsidRPr="005B024E">
        <w:t>: Cohort traces for base case economic model</w:t>
      </w:r>
    </w:p>
    <w:tbl>
      <w:tblPr>
        <w:tblStyle w:val="TableGrid"/>
        <w:tblW w:w="0" w:type="auto"/>
        <w:tblLook w:val="04A0" w:firstRow="1" w:lastRow="0" w:firstColumn="1" w:lastColumn="0" w:noHBand="0" w:noVBand="1"/>
      </w:tblPr>
      <w:tblGrid>
        <w:gridCol w:w="4508"/>
        <w:gridCol w:w="4509"/>
      </w:tblGrid>
      <w:tr w:rsidR="00FB40DA" w:rsidRPr="005B024E" w14:paraId="129D1D15" w14:textId="77777777" w:rsidTr="00FA0D96">
        <w:tc>
          <w:tcPr>
            <w:tcW w:w="4508" w:type="dxa"/>
            <w:tcBorders>
              <w:bottom w:val="nil"/>
            </w:tcBorders>
          </w:tcPr>
          <w:p w14:paraId="582DCA9B" w14:textId="77777777" w:rsidR="00FB40DA" w:rsidRPr="005B024E" w:rsidRDefault="00FB40DA" w:rsidP="00FA0D96">
            <w:pPr>
              <w:pStyle w:val="In-tableHeading"/>
              <w:jc w:val="center"/>
              <w:rPr>
                <w:lang w:val="en-AU"/>
              </w:rPr>
            </w:pPr>
            <w:r w:rsidRPr="005B024E">
              <w:rPr>
                <w:lang w:val="en-AU"/>
              </w:rPr>
              <w:t>ITT</w:t>
            </w:r>
          </w:p>
        </w:tc>
        <w:tc>
          <w:tcPr>
            <w:tcW w:w="4509" w:type="dxa"/>
            <w:tcBorders>
              <w:bottom w:val="nil"/>
            </w:tcBorders>
          </w:tcPr>
          <w:p w14:paraId="6FC278B1" w14:textId="77777777" w:rsidR="00FB40DA" w:rsidRPr="005B024E" w:rsidRDefault="00FB40DA" w:rsidP="00FA0D96">
            <w:pPr>
              <w:pStyle w:val="In-tableHeading"/>
              <w:jc w:val="center"/>
              <w:rPr>
                <w:lang w:val="en-AU"/>
              </w:rPr>
            </w:pPr>
            <w:r w:rsidRPr="005B024E">
              <w:rPr>
                <w:lang w:val="en-AU"/>
              </w:rPr>
              <w:t>IPI 3-5</w:t>
            </w:r>
          </w:p>
        </w:tc>
      </w:tr>
      <w:tr w:rsidR="00FB40DA" w:rsidRPr="005B024E" w14:paraId="64BCA844" w14:textId="77777777" w:rsidTr="00FA0D96">
        <w:tc>
          <w:tcPr>
            <w:tcW w:w="4508" w:type="dxa"/>
            <w:tcBorders>
              <w:top w:val="nil"/>
              <w:bottom w:val="nil"/>
            </w:tcBorders>
          </w:tcPr>
          <w:p w14:paraId="30716EFE" w14:textId="2519D62D" w:rsidR="00FB40DA" w:rsidRPr="005B024E" w:rsidRDefault="00737901" w:rsidP="00FA0D96">
            <w:pPr>
              <w:pStyle w:val="TableText0"/>
            </w:pPr>
            <w:r w:rsidRPr="005B024E">
              <w:rPr>
                <w:noProof/>
                <w:lang w:val="en-US" w:eastAsia="en-US"/>
              </w:rPr>
              <w:drawing>
                <wp:inline distT="0" distB="0" distL="0" distR="0" wp14:anchorId="3D3FABE8" wp14:editId="7CCE5233">
                  <wp:extent cx="2651760" cy="2522220"/>
                  <wp:effectExtent l="0" t="0" r="0" b="0"/>
                  <wp:docPr id="34" name="Picture 34" descr="Figure 5: Cohort traces for base case economic model.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Figure 5: Cohort traces for base case economic model. ITT"/>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2651760" cy="2522220"/>
                          </a:xfrm>
                          <a:prstGeom prst="rect">
                            <a:avLst/>
                          </a:prstGeom>
                          <a:noFill/>
                        </pic:spPr>
                      </pic:pic>
                    </a:graphicData>
                  </a:graphic>
                </wp:inline>
              </w:drawing>
            </w:r>
          </w:p>
        </w:tc>
        <w:tc>
          <w:tcPr>
            <w:tcW w:w="4509" w:type="dxa"/>
            <w:tcBorders>
              <w:top w:val="nil"/>
              <w:bottom w:val="nil"/>
            </w:tcBorders>
          </w:tcPr>
          <w:p w14:paraId="0ABBE13D" w14:textId="60DD07C4" w:rsidR="00FB40DA" w:rsidRPr="005B024E" w:rsidRDefault="00737901" w:rsidP="00FA0D96">
            <w:pPr>
              <w:pStyle w:val="TableText0"/>
            </w:pPr>
            <w:r w:rsidRPr="005B024E">
              <w:rPr>
                <w:noProof/>
                <w:lang w:val="en-US" w:eastAsia="en-US"/>
              </w:rPr>
              <w:drawing>
                <wp:inline distT="0" distB="0" distL="0" distR="0" wp14:anchorId="26A801CF" wp14:editId="123469F0">
                  <wp:extent cx="2651760" cy="2522220"/>
                  <wp:effectExtent l="0" t="0" r="0" b="0"/>
                  <wp:docPr id="35" name="Picture 35" descr="Figure 5: Cohort traces for base case economic model. IPI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igure 5: Cohort traces for base case economic model. IPI 3-5"/>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651760" cy="2522220"/>
                          </a:xfrm>
                          <a:prstGeom prst="rect">
                            <a:avLst/>
                          </a:prstGeom>
                          <a:noFill/>
                        </pic:spPr>
                      </pic:pic>
                    </a:graphicData>
                  </a:graphic>
                </wp:inline>
              </w:drawing>
            </w:r>
          </w:p>
        </w:tc>
      </w:tr>
      <w:tr w:rsidR="00FB40DA" w:rsidRPr="005B024E" w14:paraId="184EF736" w14:textId="77777777" w:rsidTr="00FA0D96">
        <w:trPr>
          <w:trHeight w:val="776"/>
        </w:trPr>
        <w:tc>
          <w:tcPr>
            <w:tcW w:w="9017" w:type="dxa"/>
            <w:gridSpan w:val="2"/>
            <w:tcBorders>
              <w:top w:val="nil"/>
            </w:tcBorders>
            <w:vAlign w:val="center"/>
          </w:tcPr>
          <w:p w14:paraId="34902101" w14:textId="345078A8" w:rsidR="00FB40DA" w:rsidRPr="005B024E" w:rsidRDefault="00737901" w:rsidP="00FA0D96">
            <w:pPr>
              <w:pStyle w:val="TableText0"/>
              <w:jc w:val="center"/>
            </w:pPr>
            <w:r w:rsidRPr="005B024E">
              <w:rPr>
                <w:noProof/>
                <w:lang w:val="en-US" w:eastAsia="en-US"/>
              </w:rPr>
              <w:drawing>
                <wp:inline distT="0" distB="0" distL="0" distR="0" wp14:anchorId="5D81A437" wp14:editId="1BC93512">
                  <wp:extent cx="3581400" cy="381000"/>
                  <wp:effectExtent l="0" t="0" r="0" b="0"/>
                  <wp:docPr id="36" name="Picture 36" descr="Figure 5: Cohort traces for base case economic model. Legend for grap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Figure 5: Cohort traces for base case economic model. Legend for graph.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81400" cy="381000"/>
                          </a:xfrm>
                          <a:prstGeom prst="rect">
                            <a:avLst/>
                          </a:prstGeom>
                          <a:noFill/>
                        </pic:spPr>
                      </pic:pic>
                    </a:graphicData>
                  </a:graphic>
                </wp:inline>
              </w:drawing>
            </w:r>
          </w:p>
        </w:tc>
      </w:tr>
    </w:tbl>
    <w:p w14:paraId="286E8FE9" w14:textId="77777777" w:rsidR="00FB40DA" w:rsidRPr="000B2FEE" w:rsidRDefault="00FB40DA" w:rsidP="00FB40DA">
      <w:pPr>
        <w:pStyle w:val="TableFigureFooter"/>
      </w:pPr>
      <w:r w:rsidRPr="000B2FEE">
        <w:rPr>
          <w:szCs w:val="18"/>
        </w:rPr>
        <w:t xml:space="preserve">Source: </w:t>
      </w:r>
      <w:r w:rsidRPr="000B2FEE">
        <w:t>compiled during the evaluation from Excel files ‘Economic Evaluation_ITT.xlsx’ and ‘Economic Evaluation_IPI 3-5.xlsx’</w:t>
      </w:r>
    </w:p>
    <w:p w14:paraId="3493A773" w14:textId="77777777" w:rsidR="00FB40DA" w:rsidRPr="005B024E" w:rsidRDefault="00FB40DA" w:rsidP="00FB40DA">
      <w:pPr>
        <w:pStyle w:val="TableFigureFooter"/>
        <w:rPr>
          <w:szCs w:val="18"/>
        </w:rPr>
      </w:pPr>
      <w:r w:rsidRPr="005B024E">
        <w:rPr>
          <w:szCs w:val="18"/>
        </w:rPr>
        <w:t>IPI = International Prognostic Index, ITT = intention to treat, PD = progressed disease, PF = progression free, Pola+R-CHP = polatuzumab vedotin in combination with cyclophosphamide, doxorubicin and prednisone, R-CHOP = rituximab in combination with cyclophosphamide, doxorubicin, vincristine and prednisone</w:t>
      </w:r>
    </w:p>
    <w:p w14:paraId="1A92F109" w14:textId="4B455D5D" w:rsidR="00FB40DA" w:rsidRPr="000B2FEE" w:rsidRDefault="00287BE4" w:rsidP="00E1521D">
      <w:pPr>
        <w:pStyle w:val="3-BodyText"/>
        <w:ind w:left="720"/>
        <w:rPr>
          <w:iCs/>
        </w:rPr>
      </w:pPr>
      <w:r w:rsidRPr="000B2FEE">
        <w:rPr>
          <w:iCs/>
        </w:rPr>
        <w:t>The m</w:t>
      </w:r>
      <w:r w:rsidR="00FB40DA" w:rsidRPr="000B2FEE">
        <w:rPr>
          <w:iCs/>
        </w:rPr>
        <w:t xml:space="preserve">odelled PFS rates for R-CHOP </w:t>
      </w:r>
      <w:r w:rsidR="00255F9A" w:rsidRPr="000B2FEE">
        <w:rPr>
          <w:iCs/>
        </w:rPr>
        <w:t xml:space="preserve">generally aligned with the estimated rates in the matched GOYA analysis (see </w:t>
      </w:r>
      <w:r w:rsidR="00F14219" w:rsidRPr="000B2FEE">
        <w:rPr>
          <w:iCs/>
        </w:rPr>
        <w:t>Figure 4</w:t>
      </w:r>
      <w:r w:rsidR="00255F9A" w:rsidRPr="000B2FEE">
        <w:rPr>
          <w:iCs/>
        </w:rPr>
        <w:t xml:space="preserve">) and the broader literature at 2 years, but may </w:t>
      </w:r>
      <w:r w:rsidR="00FB40DA" w:rsidRPr="000B2FEE">
        <w:rPr>
          <w:iCs/>
        </w:rPr>
        <w:t>overestimate PFS beyond this point.</w:t>
      </w:r>
      <w:r w:rsidR="00255F9A" w:rsidRPr="000B2FEE">
        <w:rPr>
          <w:iCs/>
        </w:rPr>
        <w:t xml:space="preserve"> Similarly, the model estimates of survival seem broadly in line with published estimates, if towards the high end, for the first 5 years, but there is high uncertainty beyond this point and may be overestimated, particularly for an Australian population where mean age of diagnosis with NHL is over 70 years (based on AIHW numbers from 2020</w:t>
      </w:r>
      <w:r w:rsidR="00255F9A" w:rsidRPr="002447D3">
        <w:rPr>
          <w:vertAlign w:val="superscript"/>
        </w:rPr>
        <w:footnoteReference w:id="10"/>
      </w:r>
      <w:r w:rsidR="00255F9A" w:rsidRPr="000B2FEE">
        <w:rPr>
          <w:iCs/>
        </w:rPr>
        <w:t>).</w:t>
      </w:r>
    </w:p>
    <w:p w14:paraId="30C79E7C" w14:textId="5F8AA11C" w:rsidR="00FB40DA" w:rsidRPr="000B2FEE" w:rsidRDefault="00FB40DA" w:rsidP="00E1521D">
      <w:pPr>
        <w:pStyle w:val="3-BodyText"/>
        <w:ind w:left="720"/>
        <w:rPr>
          <w:iCs/>
        </w:rPr>
      </w:pPr>
      <w:r w:rsidRPr="000B2FEE">
        <w:rPr>
          <w:iCs/>
        </w:rPr>
        <w:t xml:space="preserve">The key drivers of the model are reported in </w:t>
      </w:r>
      <w:r w:rsidR="0053018A" w:rsidRPr="000B2FEE">
        <w:rPr>
          <w:iCs/>
        </w:rPr>
        <w:fldChar w:fldCharType="begin"/>
      </w:r>
      <w:r w:rsidR="0053018A" w:rsidRPr="000B2FEE">
        <w:rPr>
          <w:iCs/>
        </w:rPr>
        <w:instrText xml:space="preserve"> REF _Ref104805122  \* MERGEFORMAT </w:instrText>
      </w:r>
      <w:r w:rsidR="0053018A" w:rsidRPr="000B2FEE">
        <w:rPr>
          <w:iCs/>
        </w:rPr>
        <w:fldChar w:fldCharType="separate"/>
      </w:r>
      <w:r w:rsidR="007F2580" w:rsidRPr="007F2580">
        <w:rPr>
          <w:iCs/>
        </w:rPr>
        <w:t>Table 10</w:t>
      </w:r>
      <w:r w:rsidR="0053018A" w:rsidRPr="000B2FEE">
        <w:rPr>
          <w:iCs/>
        </w:rPr>
        <w:fldChar w:fldCharType="end"/>
      </w:r>
      <w:r w:rsidR="00F5710E" w:rsidRPr="000B2FEE">
        <w:rPr>
          <w:iCs/>
        </w:rPr>
        <w:t>.</w:t>
      </w:r>
    </w:p>
    <w:p w14:paraId="7517D961" w14:textId="13B99F7D" w:rsidR="00FB40DA" w:rsidRPr="005B024E" w:rsidRDefault="00FB40DA" w:rsidP="00FB40DA">
      <w:pPr>
        <w:pStyle w:val="Caption"/>
        <w:jc w:val="left"/>
        <w:rPr>
          <w:rStyle w:val="CommentReference"/>
          <w:b/>
          <w:szCs w:val="24"/>
        </w:rPr>
      </w:pPr>
      <w:bookmarkStart w:id="55" w:name="_Ref104805122"/>
      <w:r w:rsidRPr="005B024E">
        <w:lastRenderedPageBreak/>
        <w:t xml:space="preserve">Table </w:t>
      </w:r>
      <w:r w:rsidR="007F2580">
        <w:fldChar w:fldCharType="begin"/>
      </w:r>
      <w:r w:rsidR="007F2580">
        <w:instrText xml:space="preserve"> SEQ Table \* ARABIC </w:instrText>
      </w:r>
      <w:r w:rsidR="007F2580">
        <w:fldChar w:fldCharType="separate"/>
      </w:r>
      <w:r w:rsidR="007F2580">
        <w:rPr>
          <w:noProof/>
        </w:rPr>
        <w:t>10</w:t>
      </w:r>
      <w:r w:rsidR="007F2580">
        <w:rPr>
          <w:noProof/>
        </w:rPr>
        <w:fldChar w:fldCharType="end"/>
      </w:r>
      <w:bookmarkEnd w:id="55"/>
      <w:r w:rsidRPr="005B024E">
        <w:t>:</w:t>
      </w:r>
      <w:r w:rsidRPr="005B024E">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5104"/>
        <w:gridCol w:w="2784"/>
      </w:tblGrid>
      <w:tr w:rsidR="00FB40DA" w:rsidRPr="000B2FEE" w14:paraId="18A2CDB1" w14:textId="77777777" w:rsidTr="00FA0D96">
        <w:trPr>
          <w:tblHeader/>
        </w:trPr>
        <w:tc>
          <w:tcPr>
            <w:tcW w:w="626" w:type="pct"/>
            <w:shd w:val="clear" w:color="auto" w:fill="auto"/>
            <w:vAlign w:val="center"/>
          </w:tcPr>
          <w:p w14:paraId="2EFB5261" w14:textId="77777777" w:rsidR="00FB40DA" w:rsidRPr="000B2FEE" w:rsidRDefault="00FB40DA" w:rsidP="00FA0D96">
            <w:pPr>
              <w:pStyle w:val="In-tableHeading"/>
              <w:jc w:val="center"/>
              <w:rPr>
                <w:lang w:val="en-AU"/>
              </w:rPr>
            </w:pPr>
            <w:r w:rsidRPr="000B2FEE">
              <w:rPr>
                <w:lang w:val="en-AU"/>
              </w:rPr>
              <w:t>Description</w:t>
            </w:r>
          </w:p>
        </w:tc>
        <w:tc>
          <w:tcPr>
            <w:tcW w:w="2830" w:type="pct"/>
            <w:shd w:val="clear" w:color="auto" w:fill="auto"/>
            <w:vAlign w:val="center"/>
          </w:tcPr>
          <w:p w14:paraId="7A941BB1" w14:textId="77777777" w:rsidR="00FB40DA" w:rsidRPr="000B2FEE" w:rsidRDefault="00FB40DA" w:rsidP="00FA0D96">
            <w:pPr>
              <w:pStyle w:val="In-tableHeading"/>
              <w:jc w:val="center"/>
              <w:rPr>
                <w:lang w:val="en-AU"/>
              </w:rPr>
            </w:pPr>
            <w:r w:rsidRPr="000B2FEE">
              <w:rPr>
                <w:lang w:val="en-AU"/>
              </w:rPr>
              <w:t>Method/Value</w:t>
            </w:r>
          </w:p>
        </w:tc>
        <w:tc>
          <w:tcPr>
            <w:tcW w:w="1544" w:type="pct"/>
            <w:shd w:val="clear" w:color="auto" w:fill="auto"/>
            <w:vAlign w:val="center"/>
          </w:tcPr>
          <w:p w14:paraId="1EF747F2" w14:textId="77777777" w:rsidR="00FB40DA" w:rsidRPr="000B2FEE" w:rsidRDefault="00FB40DA" w:rsidP="00FA0D96">
            <w:pPr>
              <w:pStyle w:val="In-tableHeading"/>
              <w:jc w:val="center"/>
              <w:rPr>
                <w:lang w:val="en-AU"/>
              </w:rPr>
            </w:pPr>
            <w:r w:rsidRPr="000B2FEE">
              <w:rPr>
                <w:lang w:val="en-AU"/>
              </w:rPr>
              <w:t>Impact</w:t>
            </w:r>
          </w:p>
          <w:p w14:paraId="0F8FBF19" w14:textId="005921C4" w:rsidR="00FB40DA" w:rsidRPr="000B2FEE" w:rsidRDefault="00FB40DA" w:rsidP="00FA0D96">
            <w:pPr>
              <w:pStyle w:val="In-tableHeading"/>
              <w:jc w:val="center"/>
              <w:rPr>
                <w:lang w:val="en-AU"/>
              </w:rPr>
            </w:pPr>
            <w:r w:rsidRPr="000B2FEE">
              <w:rPr>
                <w:rFonts w:cs="Arial"/>
                <w:szCs w:val="20"/>
                <w:lang w:val="en-AU"/>
              </w:rPr>
              <w:t xml:space="preserve"> Base case: $</w:t>
            </w:r>
            <w:r w:rsidR="00206B77" w:rsidRPr="00381965">
              <w:rPr>
                <w:rFonts w:cs="Arial"/>
                <w:color w:val="000000"/>
                <w:spacing w:val="86"/>
                <w:szCs w:val="20"/>
                <w:shd w:val="solid" w:color="000000" w:fill="000000"/>
                <w:fitText w:val="178" w:id="-1301008890"/>
                <w:lang w:val="en-AU"/>
                <w14:textFill>
                  <w14:solidFill>
                    <w14:srgbClr w14:val="000000">
                      <w14:alpha w14:val="100000"/>
                    </w14:srgbClr>
                  </w14:solidFill>
                </w14:textFill>
              </w:rPr>
              <w:t>|</w:t>
            </w:r>
            <w:r w:rsidR="00206B77" w:rsidRPr="00381965">
              <w:rPr>
                <w:rFonts w:cs="Arial"/>
                <w:color w:val="000000"/>
                <w:spacing w:val="1"/>
                <w:szCs w:val="20"/>
                <w:shd w:val="solid" w:color="000000" w:fill="000000"/>
                <w:fitText w:val="178" w:id="-1301008890"/>
                <w:lang w:val="en-AU"/>
                <w14:textFill>
                  <w14:solidFill>
                    <w14:srgbClr w14:val="000000">
                      <w14:alpha w14:val="100000"/>
                    </w14:srgbClr>
                  </w14:solidFill>
                </w14:textFill>
              </w:rPr>
              <w:t>|</w:t>
            </w:r>
            <w:r w:rsidR="001D614E" w:rsidRPr="001D614E">
              <w:rPr>
                <w:rFonts w:cs="Arial"/>
                <w:szCs w:val="20"/>
                <w:vertAlign w:val="superscript"/>
                <w:lang w:val="en-AU"/>
              </w:rPr>
              <w:t>1</w:t>
            </w:r>
            <w:r w:rsidRPr="000B2FEE">
              <w:rPr>
                <w:rFonts w:cs="Arial"/>
                <w:szCs w:val="20"/>
                <w:lang w:val="en-AU"/>
              </w:rPr>
              <w:t>/QALY gained</w:t>
            </w:r>
          </w:p>
        </w:tc>
      </w:tr>
      <w:tr w:rsidR="00FB40DA" w:rsidRPr="000B2FEE" w14:paraId="6A98DBB2" w14:textId="77777777" w:rsidTr="00FA0D96">
        <w:trPr>
          <w:tblHeader/>
        </w:trPr>
        <w:tc>
          <w:tcPr>
            <w:tcW w:w="626" w:type="pct"/>
            <w:shd w:val="clear" w:color="auto" w:fill="auto"/>
            <w:vAlign w:val="center"/>
          </w:tcPr>
          <w:p w14:paraId="38B9CE33" w14:textId="77777777" w:rsidR="00FB40DA" w:rsidRPr="000B2FEE" w:rsidRDefault="00FB40DA" w:rsidP="00FA0D96">
            <w:pPr>
              <w:pStyle w:val="TableText0"/>
            </w:pPr>
            <w:r w:rsidRPr="000B2FEE">
              <w:t>Patient population</w:t>
            </w:r>
          </w:p>
        </w:tc>
        <w:tc>
          <w:tcPr>
            <w:tcW w:w="2830" w:type="pct"/>
            <w:shd w:val="clear" w:color="auto" w:fill="auto"/>
            <w:vAlign w:val="center"/>
          </w:tcPr>
          <w:p w14:paraId="4B285EA2" w14:textId="24370A64" w:rsidR="00FB40DA" w:rsidRPr="000B2FEE" w:rsidRDefault="00FB40DA" w:rsidP="00FA0D96">
            <w:pPr>
              <w:pStyle w:val="TableText0"/>
            </w:pPr>
            <w:r w:rsidRPr="000B2FEE">
              <w:t>The subgroup of patients with IPI score 3-5 was chosen as the base case, but this was not a well-justified subgroup of the ITT population of POLARIX (who had scores IPI 2-5)</w:t>
            </w:r>
            <w:r w:rsidR="00F5710E" w:rsidRPr="000B2FEE">
              <w:t>.</w:t>
            </w:r>
          </w:p>
        </w:tc>
        <w:tc>
          <w:tcPr>
            <w:tcW w:w="1544" w:type="pct"/>
            <w:shd w:val="clear" w:color="auto" w:fill="auto"/>
            <w:vAlign w:val="center"/>
          </w:tcPr>
          <w:p w14:paraId="66C33A1A" w14:textId="4B2722CF" w:rsidR="00FB40DA" w:rsidRPr="000B2FEE" w:rsidRDefault="00FB40DA" w:rsidP="00FA0D96">
            <w:pPr>
              <w:pStyle w:val="TableText0"/>
            </w:pPr>
            <w:r w:rsidRPr="000B2FEE">
              <w:t xml:space="preserve">High, favoured Pola+R-CHP. </w:t>
            </w:r>
            <w:r w:rsidR="007C3C28">
              <w:br/>
            </w:r>
            <w:r w:rsidRPr="000B2FEE">
              <w:t>When modelling the ITT population, the ICER increased to $</w:t>
            </w:r>
            <w:r w:rsidR="00206B77" w:rsidRPr="00206B77">
              <w:rPr>
                <w:color w:val="000000"/>
                <w:spacing w:val="185"/>
                <w:shd w:val="solid" w:color="000000" w:fill="000000"/>
                <w:fitText w:val="271" w:id="-1301008889"/>
                <w14:textFill>
                  <w14:solidFill>
                    <w14:srgbClr w14:val="000000">
                      <w14:alpha w14:val="100000"/>
                    </w14:srgbClr>
                  </w14:solidFill>
                </w14:textFill>
              </w:rPr>
              <w:t>|</w:t>
            </w:r>
            <w:r w:rsidR="00206B77" w:rsidRPr="00206B77">
              <w:rPr>
                <w:color w:val="000000"/>
                <w:spacing w:val="1"/>
                <w:shd w:val="solid" w:color="000000" w:fill="000000"/>
                <w:fitText w:val="271" w:id="-1301008889"/>
                <w14:textFill>
                  <w14:solidFill>
                    <w14:srgbClr w14:val="000000">
                      <w14:alpha w14:val="100000"/>
                    </w14:srgbClr>
                  </w14:solidFill>
                </w14:textFill>
              </w:rPr>
              <w:t>|</w:t>
            </w:r>
            <w:r w:rsidR="001D614E">
              <w:rPr>
                <w:rFonts w:cs="Arial"/>
                <w:szCs w:val="20"/>
                <w:vertAlign w:val="superscript"/>
              </w:rPr>
              <w:t>2</w:t>
            </w:r>
            <w:r w:rsidRPr="000B2FEE">
              <w:t>/QALY</w:t>
            </w:r>
            <w:r w:rsidR="00F5710E" w:rsidRPr="000B2FEE">
              <w:t>.</w:t>
            </w:r>
          </w:p>
        </w:tc>
      </w:tr>
      <w:tr w:rsidR="00FB40DA" w:rsidRPr="000B2FEE" w14:paraId="62407A96" w14:textId="77777777" w:rsidTr="00FA0D96">
        <w:trPr>
          <w:tblHeader/>
        </w:trPr>
        <w:tc>
          <w:tcPr>
            <w:tcW w:w="626" w:type="pct"/>
            <w:shd w:val="clear" w:color="auto" w:fill="auto"/>
            <w:vAlign w:val="center"/>
          </w:tcPr>
          <w:p w14:paraId="05313D38" w14:textId="77777777" w:rsidR="00FB40DA" w:rsidRPr="000B2FEE" w:rsidRDefault="00FB40DA" w:rsidP="00FA0D96">
            <w:pPr>
              <w:pStyle w:val="TableText0"/>
            </w:pPr>
            <w:r w:rsidRPr="000B2FEE">
              <w:t>Time horizon</w:t>
            </w:r>
          </w:p>
        </w:tc>
        <w:tc>
          <w:tcPr>
            <w:tcW w:w="2830" w:type="pct"/>
            <w:shd w:val="clear" w:color="auto" w:fill="auto"/>
            <w:vAlign w:val="center"/>
          </w:tcPr>
          <w:p w14:paraId="4D0642FE" w14:textId="6ACDDB00" w:rsidR="00FB40DA" w:rsidRPr="000B2FEE" w:rsidRDefault="00FB40DA" w:rsidP="00FA0D96">
            <w:pPr>
              <w:pStyle w:val="TableText0"/>
            </w:pPr>
            <w:r w:rsidRPr="000B2FEE">
              <w:t>The time horizon was 25 years extrapolated from median follow-up in POLARIX (28.2 months)</w:t>
            </w:r>
            <w:r w:rsidR="00550BB3" w:rsidRPr="000B2FEE">
              <w:t>. The majority of the benefit for Pola+R-CHP vs R-CHOP was gained during the extrapolated period.</w:t>
            </w:r>
          </w:p>
        </w:tc>
        <w:tc>
          <w:tcPr>
            <w:tcW w:w="1544" w:type="pct"/>
            <w:shd w:val="clear" w:color="auto" w:fill="auto"/>
            <w:vAlign w:val="center"/>
          </w:tcPr>
          <w:p w14:paraId="0444E637" w14:textId="4737F863" w:rsidR="00FB40DA" w:rsidRPr="000B2FEE" w:rsidRDefault="00FB40DA" w:rsidP="00FA0D96">
            <w:pPr>
              <w:pStyle w:val="TableText0"/>
            </w:pPr>
            <w:r w:rsidRPr="000B2FEE">
              <w:t xml:space="preserve">High, favoured Pola+R-CHP. </w:t>
            </w:r>
            <w:r w:rsidR="007C3C28">
              <w:br/>
            </w:r>
            <w:r w:rsidRPr="000B2FEE">
              <w:t>ICER increased to $</w:t>
            </w:r>
            <w:r w:rsidR="00206B77" w:rsidRPr="00206B77">
              <w:rPr>
                <w:color w:val="000000"/>
                <w:spacing w:val="185"/>
                <w:shd w:val="solid" w:color="000000" w:fill="000000"/>
                <w:fitText w:val="271" w:id="-1301008888"/>
                <w14:textFill>
                  <w14:solidFill>
                    <w14:srgbClr w14:val="000000">
                      <w14:alpha w14:val="100000"/>
                    </w14:srgbClr>
                  </w14:solidFill>
                </w14:textFill>
              </w:rPr>
              <w:t>|</w:t>
            </w:r>
            <w:r w:rsidR="00206B77" w:rsidRPr="00206B77">
              <w:rPr>
                <w:color w:val="000000"/>
                <w:spacing w:val="1"/>
                <w:shd w:val="solid" w:color="000000" w:fill="000000"/>
                <w:fitText w:val="271" w:id="-1301008888"/>
                <w14:textFill>
                  <w14:solidFill>
                    <w14:srgbClr w14:val="000000">
                      <w14:alpha w14:val="100000"/>
                    </w14:srgbClr>
                  </w14:solidFill>
                </w14:textFill>
              </w:rPr>
              <w:t>|</w:t>
            </w:r>
            <w:r w:rsidR="001D614E">
              <w:rPr>
                <w:rFonts w:cs="Arial"/>
                <w:szCs w:val="20"/>
                <w:vertAlign w:val="superscript"/>
              </w:rPr>
              <w:t>3</w:t>
            </w:r>
            <w:r w:rsidRPr="000B2FEE">
              <w:t>/QALY when time horizon was reduced to 15 years.</w:t>
            </w:r>
          </w:p>
        </w:tc>
      </w:tr>
      <w:tr w:rsidR="00FB40DA" w:rsidRPr="000B2FEE" w14:paraId="4D792A86" w14:textId="77777777" w:rsidTr="00FA0D96">
        <w:tc>
          <w:tcPr>
            <w:tcW w:w="626" w:type="pct"/>
            <w:shd w:val="clear" w:color="auto" w:fill="auto"/>
            <w:vAlign w:val="center"/>
          </w:tcPr>
          <w:p w14:paraId="5EABA595" w14:textId="4273A409" w:rsidR="00FB40DA" w:rsidRPr="000B2FEE" w:rsidRDefault="00FB40DA" w:rsidP="00FA0D96">
            <w:pPr>
              <w:pStyle w:val="TableText0"/>
            </w:pPr>
            <w:r w:rsidRPr="000B2FEE">
              <w:t>Extrapolation</w:t>
            </w:r>
            <w:r w:rsidR="00FE728C" w:rsidRPr="000B2FEE">
              <w:t xml:space="preserve"> approach</w:t>
            </w:r>
          </w:p>
        </w:tc>
        <w:tc>
          <w:tcPr>
            <w:tcW w:w="2830" w:type="pct"/>
            <w:shd w:val="clear" w:color="auto" w:fill="auto"/>
            <w:vAlign w:val="center"/>
          </w:tcPr>
          <w:p w14:paraId="79FC1DD7" w14:textId="7B5ECBC7" w:rsidR="00FB40DA" w:rsidRPr="000B2FEE" w:rsidRDefault="00FB40DA" w:rsidP="00FA0D96">
            <w:pPr>
              <w:pStyle w:val="TableText0"/>
            </w:pPr>
            <w:r w:rsidRPr="000B2FEE">
              <w:t xml:space="preserve">Treatment effect continued beyond 28.2 month trial period for up to 25 years using </w:t>
            </w:r>
            <w:r w:rsidR="00F5710E" w:rsidRPr="000B2FEE">
              <w:t xml:space="preserve">the </w:t>
            </w:r>
            <w:r w:rsidRPr="000B2FEE">
              <w:t>mixture-cure assumptions. The implementation of the mixture-cure approach was likely inappropriate given the data had not yet plateaued and as such the mixture</w:t>
            </w:r>
            <w:r w:rsidR="00FE728C" w:rsidRPr="000B2FEE">
              <w:t>-</w:t>
            </w:r>
            <w:r w:rsidRPr="000B2FEE">
              <w:t>cure extrapolations poorly fit</w:t>
            </w:r>
            <w:r w:rsidR="00F5710E" w:rsidRPr="000B2FEE">
              <w:t>ted</w:t>
            </w:r>
            <w:r w:rsidRPr="000B2FEE">
              <w:t xml:space="preserve"> the data and led to an increase in OS for Pola+R-CHP which was not observed in the data</w:t>
            </w:r>
            <w:r w:rsidR="00F5710E" w:rsidRPr="000B2FEE">
              <w:t>.</w:t>
            </w:r>
          </w:p>
        </w:tc>
        <w:tc>
          <w:tcPr>
            <w:tcW w:w="1544" w:type="pct"/>
            <w:shd w:val="clear" w:color="auto" w:fill="auto"/>
            <w:vAlign w:val="center"/>
          </w:tcPr>
          <w:p w14:paraId="5811C3B4" w14:textId="1ACA5FFE" w:rsidR="00FB40DA" w:rsidRPr="000B2FEE" w:rsidRDefault="00FB40DA" w:rsidP="00FA0D96">
            <w:pPr>
              <w:pStyle w:val="TableText0"/>
            </w:pPr>
            <w:r w:rsidRPr="000B2FEE">
              <w:t xml:space="preserve">High, favoured Pola+R-CHP. </w:t>
            </w:r>
            <w:r w:rsidR="007C3C28">
              <w:br/>
            </w:r>
            <w:r w:rsidRPr="000B2FEE">
              <w:t>If PFS extrapolations were based on best fitting standard parametric survival functions the ICER increased to $</w:t>
            </w:r>
            <w:r w:rsidR="00206B77" w:rsidRPr="00206B77">
              <w:rPr>
                <w:color w:val="000000"/>
                <w:spacing w:val="192"/>
                <w:shd w:val="solid" w:color="000000" w:fill="000000"/>
                <w:fitText w:val="278" w:id="-1301008887"/>
                <w14:textFill>
                  <w14:solidFill>
                    <w14:srgbClr w14:val="000000">
                      <w14:alpha w14:val="100000"/>
                    </w14:srgbClr>
                  </w14:solidFill>
                </w14:textFill>
              </w:rPr>
              <w:t>|</w:t>
            </w:r>
            <w:r w:rsidR="00206B77" w:rsidRPr="00206B77">
              <w:rPr>
                <w:color w:val="000000"/>
                <w:spacing w:val="1"/>
                <w:shd w:val="solid" w:color="000000" w:fill="000000"/>
                <w:fitText w:val="278" w:id="-1301008887"/>
                <w14:textFill>
                  <w14:solidFill>
                    <w14:srgbClr w14:val="000000">
                      <w14:alpha w14:val="100000"/>
                    </w14:srgbClr>
                  </w14:solidFill>
                </w14:textFill>
              </w:rPr>
              <w:t>|</w:t>
            </w:r>
            <w:r w:rsidR="001D614E">
              <w:rPr>
                <w:rFonts w:cs="Arial"/>
                <w:szCs w:val="20"/>
                <w:vertAlign w:val="superscript"/>
              </w:rPr>
              <w:t>3</w:t>
            </w:r>
            <w:r w:rsidRPr="000B2FEE">
              <w:t>/QALY.</w:t>
            </w:r>
          </w:p>
          <w:p w14:paraId="253DC346" w14:textId="1F202EC5" w:rsidR="00FB40DA" w:rsidRPr="000B2FEE" w:rsidRDefault="00FB40DA" w:rsidP="00FA0D96">
            <w:pPr>
              <w:pStyle w:val="TableText0"/>
            </w:pPr>
            <w:r w:rsidRPr="000B2FEE">
              <w:t>If no OS benefit was assumed after KM the ICER increased to $</w:t>
            </w:r>
            <w:r w:rsidR="00206B77" w:rsidRPr="00206B77">
              <w:rPr>
                <w:color w:val="000000"/>
                <w:spacing w:val="185"/>
                <w:shd w:val="solid" w:color="000000" w:fill="000000"/>
                <w:fitText w:val="271" w:id="-1301008886"/>
                <w14:textFill>
                  <w14:solidFill>
                    <w14:srgbClr w14:val="000000">
                      <w14:alpha w14:val="100000"/>
                    </w14:srgbClr>
                  </w14:solidFill>
                </w14:textFill>
              </w:rPr>
              <w:t>|</w:t>
            </w:r>
            <w:r w:rsidR="00206B77" w:rsidRPr="00206B77">
              <w:rPr>
                <w:color w:val="000000"/>
                <w:spacing w:val="1"/>
                <w:shd w:val="solid" w:color="000000" w:fill="000000"/>
                <w:fitText w:val="271" w:id="-1301008886"/>
                <w14:textFill>
                  <w14:solidFill>
                    <w14:srgbClr w14:val="000000">
                      <w14:alpha w14:val="100000"/>
                    </w14:srgbClr>
                  </w14:solidFill>
                </w14:textFill>
              </w:rPr>
              <w:t>|</w:t>
            </w:r>
            <w:r w:rsidR="00B93762">
              <w:rPr>
                <w:rFonts w:cs="Arial"/>
                <w:szCs w:val="20"/>
                <w:vertAlign w:val="superscript"/>
              </w:rPr>
              <w:t>4</w:t>
            </w:r>
            <w:r w:rsidRPr="000B2FEE">
              <w:t>/QALY</w:t>
            </w:r>
            <w:r w:rsidR="00F5710E" w:rsidRPr="000B2FEE">
              <w:t>.</w:t>
            </w:r>
          </w:p>
        </w:tc>
      </w:tr>
      <w:tr w:rsidR="00FB40DA" w:rsidRPr="000B2FEE" w14:paraId="3996C7BB" w14:textId="77777777" w:rsidTr="00FA0D96">
        <w:tc>
          <w:tcPr>
            <w:tcW w:w="626" w:type="pct"/>
            <w:shd w:val="clear" w:color="auto" w:fill="auto"/>
            <w:vAlign w:val="center"/>
          </w:tcPr>
          <w:p w14:paraId="3C612535" w14:textId="77777777" w:rsidR="00FB40DA" w:rsidRPr="000B2FEE" w:rsidRDefault="00FB40DA" w:rsidP="00FA0D96">
            <w:pPr>
              <w:pStyle w:val="TableText0"/>
            </w:pPr>
            <w:r w:rsidRPr="000B2FEE">
              <w:t>Time on first line treatment</w:t>
            </w:r>
          </w:p>
        </w:tc>
        <w:tc>
          <w:tcPr>
            <w:tcW w:w="2830" w:type="pct"/>
            <w:shd w:val="clear" w:color="auto" w:fill="auto"/>
            <w:vAlign w:val="center"/>
          </w:tcPr>
          <w:p w14:paraId="75DD2383" w14:textId="48E8CC70" w:rsidR="00FB40DA" w:rsidRPr="000B2FEE" w:rsidRDefault="00FB40DA" w:rsidP="00FA0D96">
            <w:pPr>
              <w:pStyle w:val="TableText0"/>
            </w:pPr>
            <w:r w:rsidRPr="000B2FEE">
              <w:t>Time on treatment was based on TTD KM data from POLARIX capped at 6 cycles (for Pola and CHP) or 8 cycles (for rituximab) with half cycle correction applied. This resulted in fewer cycles of treatment (mean 5.3) than reported in POLARIX (mean 5.8)</w:t>
            </w:r>
            <w:r w:rsidR="00F5710E" w:rsidRPr="000B2FEE">
              <w:t>.</w:t>
            </w:r>
          </w:p>
        </w:tc>
        <w:tc>
          <w:tcPr>
            <w:tcW w:w="1544" w:type="pct"/>
            <w:shd w:val="clear" w:color="auto" w:fill="auto"/>
            <w:vAlign w:val="center"/>
          </w:tcPr>
          <w:p w14:paraId="3FA860CF" w14:textId="5A72A168" w:rsidR="00FB40DA" w:rsidRPr="000B2FEE" w:rsidRDefault="00FB40DA" w:rsidP="00FA0D96">
            <w:pPr>
              <w:pStyle w:val="TableText0"/>
            </w:pPr>
            <w:r w:rsidRPr="000B2FEE">
              <w:t>Moderate, favoured Pola+R-CHP. When mean cycles were taken from POLARIX, the ICER increased to $</w:t>
            </w:r>
            <w:r w:rsidR="00206B77" w:rsidRPr="00206B77">
              <w:rPr>
                <w:color w:val="000000"/>
                <w:spacing w:val="185"/>
                <w:shd w:val="solid" w:color="000000" w:fill="000000"/>
                <w:fitText w:val="271" w:id="-1301008885"/>
                <w14:textFill>
                  <w14:solidFill>
                    <w14:srgbClr w14:val="000000">
                      <w14:alpha w14:val="100000"/>
                    </w14:srgbClr>
                  </w14:solidFill>
                </w14:textFill>
              </w:rPr>
              <w:t>|</w:t>
            </w:r>
            <w:r w:rsidR="00206B77" w:rsidRPr="00206B77">
              <w:rPr>
                <w:color w:val="000000"/>
                <w:spacing w:val="1"/>
                <w:shd w:val="solid" w:color="000000" w:fill="000000"/>
                <w:fitText w:val="271" w:id="-1301008885"/>
                <w14:textFill>
                  <w14:solidFill>
                    <w14:srgbClr w14:val="000000">
                      <w14:alpha w14:val="100000"/>
                    </w14:srgbClr>
                  </w14:solidFill>
                </w14:textFill>
              </w:rPr>
              <w:t>|</w:t>
            </w:r>
            <w:r w:rsidR="001D614E" w:rsidRPr="001D614E">
              <w:rPr>
                <w:rFonts w:cs="Arial"/>
                <w:szCs w:val="20"/>
                <w:vertAlign w:val="superscript"/>
              </w:rPr>
              <w:t>1</w:t>
            </w:r>
            <w:r w:rsidRPr="000B2FEE">
              <w:t>/QALY</w:t>
            </w:r>
            <w:r w:rsidR="00F5710E" w:rsidRPr="000B2FEE">
              <w:t>.</w:t>
            </w:r>
          </w:p>
        </w:tc>
      </w:tr>
      <w:tr w:rsidR="00FB40DA" w:rsidRPr="000B2FEE" w14:paraId="2264E2AB" w14:textId="77777777" w:rsidTr="00FA0D96">
        <w:tc>
          <w:tcPr>
            <w:tcW w:w="626" w:type="pct"/>
            <w:shd w:val="clear" w:color="auto" w:fill="auto"/>
            <w:vAlign w:val="center"/>
          </w:tcPr>
          <w:p w14:paraId="6879254D" w14:textId="77777777" w:rsidR="00FB40DA" w:rsidRPr="000B2FEE" w:rsidRDefault="00FB40DA" w:rsidP="00FA0D96">
            <w:pPr>
              <w:pStyle w:val="TableText0"/>
            </w:pPr>
            <w:r w:rsidRPr="000B2FEE">
              <w:t>Subsequent therapies</w:t>
            </w:r>
          </w:p>
        </w:tc>
        <w:tc>
          <w:tcPr>
            <w:tcW w:w="2830" w:type="pct"/>
            <w:shd w:val="clear" w:color="auto" w:fill="auto"/>
            <w:vAlign w:val="center"/>
          </w:tcPr>
          <w:p w14:paraId="0A98E90C" w14:textId="77777777" w:rsidR="00FB40DA" w:rsidRPr="000B2FEE" w:rsidRDefault="00FB40DA" w:rsidP="00FA0D96">
            <w:pPr>
              <w:pStyle w:val="TableText0"/>
            </w:pPr>
            <w:bookmarkStart w:id="56" w:name="_Hlk113283976"/>
            <w:r w:rsidRPr="000B2FEE">
              <w:t xml:space="preserve">Subsequent therapies were the largest cost-offset in the model and calculated as one-off costs based on distribution of subsequent therapies in POLARIX, by treatment arm. </w:t>
            </w:r>
            <w:bookmarkEnd w:id="56"/>
            <w:r w:rsidRPr="000B2FEE">
              <w:t>POLARIX likely does not capture all future subsequent therapies and the submission did not justify why introduction of polatuzumab vedotin would alter the likelihood of some subsequent therapies.</w:t>
            </w:r>
          </w:p>
        </w:tc>
        <w:tc>
          <w:tcPr>
            <w:tcW w:w="1544" w:type="pct"/>
            <w:shd w:val="clear" w:color="auto" w:fill="auto"/>
            <w:vAlign w:val="center"/>
          </w:tcPr>
          <w:p w14:paraId="27311E51" w14:textId="18B95CD6" w:rsidR="00FB40DA" w:rsidRPr="000B2FEE" w:rsidRDefault="00FB40DA" w:rsidP="00FA0D96">
            <w:pPr>
              <w:pStyle w:val="TableText0"/>
            </w:pPr>
            <w:bookmarkStart w:id="57" w:name="_Hlk113284113"/>
            <w:r w:rsidRPr="000B2FEE">
              <w:t xml:space="preserve">Moderate, favoured Pola+R-CHP. </w:t>
            </w:r>
            <w:r w:rsidR="007C3C28">
              <w:br/>
            </w:r>
            <w:r w:rsidRPr="000B2FEE">
              <w:t>If proportions of subsequent therapies were equal across arms the ICER increased to $</w:t>
            </w:r>
            <w:r w:rsidR="00206B77" w:rsidRPr="00206B77">
              <w:rPr>
                <w:color w:val="000000"/>
                <w:spacing w:val="185"/>
                <w:shd w:val="solid" w:color="000000" w:fill="000000"/>
                <w:fitText w:val="271" w:id="-1301008884"/>
                <w14:textFill>
                  <w14:solidFill>
                    <w14:srgbClr w14:val="000000">
                      <w14:alpha w14:val="100000"/>
                    </w14:srgbClr>
                  </w14:solidFill>
                </w14:textFill>
              </w:rPr>
              <w:t>|</w:t>
            </w:r>
            <w:r w:rsidR="00206B77" w:rsidRPr="00206B77">
              <w:rPr>
                <w:color w:val="000000"/>
                <w:spacing w:val="1"/>
                <w:shd w:val="solid" w:color="000000" w:fill="000000"/>
                <w:fitText w:val="271" w:id="-1301008884"/>
                <w14:textFill>
                  <w14:solidFill>
                    <w14:srgbClr w14:val="000000">
                      <w14:alpha w14:val="100000"/>
                    </w14:srgbClr>
                  </w14:solidFill>
                </w14:textFill>
              </w:rPr>
              <w:t>|</w:t>
            </w:r>
            <w:r w:rsidR="001D614E" w:rsidRPr="001D614E">
              <w:rPr>
                <w:rFonts w:cs="Arial"/>
                <w:szCs w:val="20"/>
                <w:vertAlign w:val="superscript"/>
              </w:rPr>
              <w:t>1</w:t>
            </w:r>
            <w:r w:rsidRPr="000B2FEE">
              <w:t>/QALY. If cost of CAR-T was reduced to $</w:t>
            </w:r>
            <w:r w:rsidRPr="00B93762">
              <w:t>300,000</w:t>
            </w:r>
            <w:r w:rsidRPr="000B2FEE">
              <w:t xml:space="preserve"> the ICER increased to $</w:t>
            </w:r>
            <w:r w:rsidR="00206B77" w:rsidRPr="00206B77">
              <w:rPr>
                <w:color w:val="000000"/>
                <w:spacing w:val="185"/>
                <w:shd w:val="solid" w:color="000000" w:fill="000000"/>
                <w:fitText w:val="271" w:id="-1301008883"/>
                <w14:textFill>
                  <w14:solidFill>
                    <w14:srgbClr w14:val="000000">
                      <w14:alpha w14:val="100000"/>
                    </w14:srgbClr>
                  </w14:solidFill>
                </w14:textFill>
              </w:rPr>
              <w:t>|</w:t>
            </w:r>
            <w:r w:rsidR="00206B77" w:rsidRPr="00206B77">
              <w:rPr>
                <w:color w:val="000000"/>
                <w:spacing w:val="1"/>
                <w:shd w:val="solid" w:color="000000" w:fill="000000"/>
                <w:fitText w:val="271" w:id="-1301008883"/>
                <w14:textFill>
                  <w14:solidFill>
                    <w14:srgbClr w14:val="000000">
                      <w14:alpha w14:val="100000"/>
                    </w14:srgbClr>
                  </w14:solidFill>
                </w14:textFill>
              </w:rPr>
              <w:t>|</w:t>
            </w:r>
            <w:r w:rsidR="001D614E" w:rsidRPr="001D614E">
              <w:rPr>
                <w:rFonts w:cs="Arial"/>
                <w:szCs w:val="20"/>
                <w:vertAlign w:val="superscript"/>
              </w:rPr>
              <w:t>1</w:t>
            </w:r>
            <w:r w:rsidRPr="000B2FEE">
              <w:t>/QALY</w:t>
            </w:r>
            <w:r w:rsidR="00F5710E" w:rsidRPr="000B2FEE">
              <w:t>.</w:t>
            </w:r>
            <w:bookmarkEnd w:id="57"/>
          </w:p>
        </w:tc>
      </w:tr>
    </w:tbl>
    <w:p w14:paraId="13587A6A" w14:textId="0FAE35B0" w:rsidR="00FB40DA" w:rsidRDefault="00FB40DA" w:rsidP="00F11D89">
      <w:pPr>
        <w:pStyle w:val="FooterTableFigure"/>
      </w:pPr>
      <w:r w:rsidRPr="000B2FEE">
        <w:t xml:space="preserve">Source: </w:t>
      </w:r>
      <w:bookmarkStart w:id="58" w:name="_Hlk111532320"/>
      <w:r w:rsidRPr="000B2FEE">
        <w:t>compiled during the evaluation from Excel files ‘Economic Evaluation_ITT.xlsx’ and ‘Economic Evaluation_IPI 3-5.xlsx’</w:t>
      </w:r>
      <w:bookmarkEnd w:id="58"/>
    </w:p>
    <w:p w14:paraId="3BBBC72F" w14:textId="77777777" w:rsidR="001D614E" w:rsidRPr="009A6D58" w:rsidRDefault="001D614E" w:rsidP="001D614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DD51AC9" w14:textId="206623E4" w:rsidR="001D614E" w:rsidRPr="009A6D58" w:rsidRDefault="001D614E" w:rsidP="001D614E">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1D614E">
        <w:rPr>
          <w:rFonts w:ascii="Arial Narrow" w:hAnsi="Arial Narrow"/>
          <w:i/>
          <w:sz w:val="18"/>
          <w:szCs w:val="18"/>
        </w:rPr>
        <w:t>$55,000 to &lt; $75,000</w:t>
      </w:r>
    </w:p>
    <w:p w14:paraId="63715A26" w14:textId="69D03FFB" w:rsidR="001D614E" w:rsidRPr="009A6D58" w:rsidRDefault="001D614E" w:rsidP="001D614E">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1D614E">
        <w:rPr>
          <w:rFonts w:ascii="Arial Narrow" w:hAnsi="Arial Narrow"/>
          <w:i/>
          <w:sz w:val="18"/>
          <w:szCs w:val="18"/>
        </w:rPr>
        <w:t>$115,000 to &lt; $135,000</w:t>
      </w:r>
    </w:p>
    <w:p w14:paraId="0E9C4870" w14:textId="20E68A56" w:rsidR="001D614E" w:rsidRDefault="001D614E" w:rsidP="001D614E">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1D614E">
        <w:rPr>
          <w:rFonts w:ascii="Arial Narrow" w:hAnsi="Arial Narrow"/>
          <w:i/>
          <w:sz w:val="18"/>
          <w:szCs w:val="18"/>
        </w:rPr>
        <w:t>$75,000 to &lt; $95,000</w:t>
      </w:r>
    </w:p>
    <w:p w14:paraId="294E4BB9" w14:textId="647A23D6" w:rsidR="001D614E" w:rsidRPr="000B2FEE" w:rsidRDefault="001D614E" w:rsidP="00626FF0">
      <w:pPr>
        <w:spacing w:after="120"/>
      </w:pPr>
      <w:r>
        <w:rPr>
          <w:rFonts w:ascii="Arial Narrow" w:hAnsi="Arial Narrow"/>
          <w:i/>
          <w:sz w:val="18"/>
          <w:szCs w:val="18"/>
          <w:vertAlign w:val="superscript"/>
        </w:rPr>
        <w:t>4</w:t>
      </w:r>
      <w:r>
        <w:rPr>
          <w:rFonts w:ascii="Arial Narrow" w:hAnsi="Arial Narrow"/>
          <w:i/>
          <w:sz w:val="18"/>
          <w:szCs w:val="18"/>
        </w:rPr>
        <w:t xml:space="preserve"> </w:t>
      </w:r>
      <w:r w:rsidR="00B93762" w:rsidRPr="00B93762">
        <w:rPr>
          <w:rFonts w:ascii="Arial Narrow" w:hAnsi="Arial Narrow"/>
          <w:i/>
          <w:sz w:val="18"/>
          <w:szCs w:val="18"/>
        </w:rPr>
        <w:t>$155,000 to &lt; $255,000</w:t>
      </w:r>
    </w:p>
    <w:p w14:paraId="41705927" w14:textId="7FD11EFC" w:rsidR="00276AFA" w:rsidRPr="00E1521D" w:rsidRDefault="00FB40DA" w:rsidP="00E1521D">
      <w:pPr>
        <w:pStyle w:val="3-BodyText"/>
        <w:ind w:left="720"/>
        <w:rPr>
          <w:iCs/>
        </w:rPr>
      </w:pPr>
      <w:r w:rsidRPr="00E1521D">
        <w:rPr>
          <w:iCs/>
        </w:rPr>
        <w:t xml:space="preserve">Base case results for both ITT and IPI 3-5 models are presented in </w:t>
      </w:r>
      <w:r w:rsidR="00E621A2" w:rsidRPr="00E1521D">
        <w:rPr>
          <w:iCs/>
        </w:rPr>
        <w:fldChar w:fldCharType="begin"/>
      </w:r>
      <w:r w:rsidR="00E621A2" w:rsidRPr="00E1521D">
        <w:rPr>
          <w:iCs/>
        </w:rPr>
        <w:instrText xml:space="preserve"> REF _Ref111485416  \* MERGEFORMAT </w:instrText>
      </w:r>
      <w:r w:rsidR="00E621A2" w:rsidRPr="00E1521D">
        <w:rPr>
          <w:iCs/>
        </w:rPr>
        <w:fldChar w:fldCharType="separate"/>
      </w:r>
      <w:r w:rsidR="007F2580" w:rsidRPr="007F2580">
        <w:rPr>
          <w:iCs/>
        </w:rPr>
        <w:t>Table 11</w:t>
      </w:r>
      <w:r w:rsidR="00E621A2" w:rsidRPr="00E1521D">
        <w:rPr>
          <w:iCs/>
        </w:rPr>
        <w:fldChar w:fldCharType="end"/>
      </w:r>
      <w:r w:rsidRPr="00E1521D">
        <w:rPr>
          <w:iCs/>
        </w:rPr>
        <w:t xml:space="preserve">. The majority of the incremental costs were accrued in the first 28.2 months of the model, and the majority of benefits were accrued in the extrapolated time horizon. The base case ICER for the ITT population was </w:t>
      </w:r>
      <w:r w:rsidR="00443614" w:rsidRPr="00443614">
        <w:rPr>
          <w:iCs/>
        </w:rPr>
        <w:t>$115,000 to &lt; $135,000</w:t>
      </w:r>
      <w:r w:rsidR="00F11D89">
        <w:rPr>
          <w:iCs/>
        </w:rPr>
        <w:t xml:space="preserve"> </w:t>
      </w:r>
      <w:r w:rsidRPr="00E1521D">
        <w:rPr>
          <w:iCs/>
        </w:rPr>
        <w:t xml:space="preserve">per QALY gained versus </w:t>
      </w:r>
      <w:r w:rsidR="00443614" w:rsidRPr="00443614">
        <w:rPr>
          <w:iCs/>
        </w:rPr>
        <w:t xml:space="preserve">$55,000 to &lt; $75,000 </w:t>
      </w:r>
      <w:r w:rsidRPr="00E1521D">
        <w:rPr>
          <w:iCs/>
        </w:rPr>
        <w:t>for the IPI 3-5 model. Incremental costs were similar across the models, with larger incremental life year and QALY gains in the IPI 3-5 model.</w:t>
      </w:r>
      <w:r w:rsidR="002E3B9E" w:rsidRPr="00E1521D">
        <w:rPr>
          <w:iCs/>
        </w:rPr>
        <w:t xml:space="preserve"> </w:t>
      </w:r>
    </w:p>
    <w:p w14:paraId="710C2AF3" w14:textId="74F57347" w:rsidR="00276AFA" w:rsidRPr="00476211" w:rsidRDefault="002E3B9E" w:rsidP="00C2727B">
      <w:pPr>
        <w:pStyle w:val="3-BodyText"/>
        <w:ind w:left="720"/>
      </w:pPr>
      <w:bookmarkStart w:id="59" w:name="_Ref120786651"/>
      <w:r w:rsidRPr="00476211">
        <w:t>The PSCR presented a revised model which corrected for 3 errors (ha</w:t>
      </w:r>
      <w:r w:rsidR="002849B0" w:rsidRPr="00476211">
        <w:t>lf</w:t>
      </w:r>
      <w:r w:rsidRPr="00476211">
        <w:t xml:space="preserve"> cycle correction was removed</w:t>
      </w:r>
      <w:r w:rsidR="002849B0" w:rsidRPr="00476211">
        <w:t xml:space="preserve"> from the first-line drug costs</w:t>
      </w:r>
      <w:r w:rsidRPr="00476211">
        <w:t>, the price of vincristine was corrected and the PFS extrapolation was adjusted so the PFS was only equal to OS in the event that the PFS extrapolation was higher than the OS extrapolation estimate)</w:t>
      </w:r>
      <w:r w:rsidR="002849B0" w:rsidRPr="00476211">
        <w:t xml:space="preserve">. This </w:t>
      </w:r>
      <w:r w:rsidRPr="00476211">
        <w:t xml:space="preserve">resulted in a base case ICER of </w:t>
      </w:r>
      <w:r w:rsidR="00443614" w:rsidRPr="00443614">
        <w:t xml:space="preserve">$55,000 to &lt; $75,000 </w:t>
      </w:r>
      <w:r w:rsidRPr="00476211">
        <w:t>per QALY gained</w:t>
      </w:r>
      <w:r w:rsidR="002849B0" w:rsidRPr="00476211">
        <w:t xml:space="preserve"> for the IPI 3-5 model</w:t>
      </w:r>
      <w:r w:rsidRPr="00476211">
        <w:t>.</w:t>
      </w:r>
      <w:r w:rsidR="002849B0" w:rsidRPr="00476211">
        <w:t xml:space="preserve"> A further analysis, which removed the half cycle correction from all costs and benefits, resulted in an ICER of </w:t>
      </w:r>
      <w:r w:rsidR="00443614" w:rsidRPr="00443614">
        <w:t xml:space="preserve">$55,000 to &lt; $75,000 </w:t>
      </w:r>
      <w:r w:rsidR="002849B0" w:rsidRPr="00476211">
        <w:t>per QALY gained for the IPI 3-5 model</w:t>
      </w:r>
      <w:r w:rsidR="007C3C28" w:rsidRPr="00476211">
        <w:t xml:space="preserve"> and </w:t>
      </w:r>
      <w:r w:rsidR="00443614" w:rsidRPr="00443614">
        <w:t>$115,000 to &lt; $135,000</w:t>
      </w:r>
      <w:r w:rsidR="0038284B">
        <w:t xml:space="preserve"> </w:t>
      </w:r>
      <w:r w:rsidR="007C3C28" w:rsidRPr="00476211">
        <w:t>per QALY gained for the ITT population</w:t>
      </w:r>
      <w:r w:rsidR="002849B0" w:rsidRPr="00476211">
        <w:t>.</w:t>
      </w:r>
      <w:bookmarkEnd w:id="59"/>
    </w:p>
    <w:p w14:paraId="019B7A44" w14:textId="3E483414" w:rsidR="00FB40DA" w:rsidRPr="005B024E" w:rsidRDefault="00FB40DA" w:rsidP="00FB40DA">
      <w:pPr>
        <w:pStyle w:val="TableFigureHeading"/>
        <w:keepLines/>
        <w:rPr>
          <w:rStyle w:val="CommentReference"/>
          <w:b/>
          <w:szCs w:val="24"/>
        </w:rPr>
      </w:pPr>
      <w:bookmarkStart w:id="60" w:name="_Ref111485416"/>
      <w:r w:rsidRPr="005B024E">
        <w:rPr>
          <w:rStyle w:val="CommentReference"/>
          <w:b/>
          <w:szCs w:val="24"/>
        </w:rPr>
        <w:lastRenderedPageBreak/>
        <w:t xml:space="preserve">Table </w:t>
      </w:r>
      <w:bookmarkStart w:id="61" w:name="_Hlk111485610"/>
      <w:r w:rsidRPr="005B024E">
        <w:fldChar w:fldCharType="begin"/>
      </w:r>
      <w:r w:rsidRPr="005B024E">
        <w:instrText xml:space="preserve"> SEQ Table \* ARABIC </w:instrText>
      </w:r>
      <w:r w:rsidRPr="005B024E">
        <w:fldChar w:fldCharType="separate"/>
      </w:r>
      <w:r w:rsidR="007F2580">
        <w:rPr>
          <w:noProof/>
        </w:rPr>
        <w:t>11</w:t>
      </w:r>
      <w:r w:rsidRPr="005B024E">
        <w:rPr>
          <w:noProof/>
        </w:rPr>
        <w:fldChar w:fldCharType="end"/>
      </w:r>
      <w:bookmarkEnd w:id="60"/>
      <w:bookmarkEnd w:id="61"/>
      <w:r w:rsidRPr="005B024E">
        <w:rPr>
          <w:rStyle w:val="CommentReference"/>
          <w:b/>
          <w:szCs w:val="24"/>
        </w:rPr>
        <w:t>: Results of the stepped economic evaluation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13"/>
        <w:gridCol w:w="1134"/>
        <w:gridCol w:w="833"/>
        <w:gridCol w:w="985"/>
        <w:gridCol w:w="1161"/>
        <w:gridCol w:w="806"/>
        <w:gridCol w:w="985"/>
      </w:tblGrid>
      <w:tr w:rsidR="00FB40DA" w:rsidRPr="000B2FEE" w14:paraId="2CB3B006" w14:textId="77777777" w:rsidTr="00A72862">
        <w:trPr>
          <w:tblHeader/>
        </w:trPr>
        <w:tc>
          <w:tcPr>
            <w:tcW w:w="1726" w:type="pct"/>
            <w:vMerge w:val="restart"/>
            <w:shd w:val="clear" w:color="auto" w:fill="auto"/>
            <w:vAlign w:val="center"/>
          </w:tcPr>
          <w:p w14:paraId="44AE33B5" w14:textId="77777777" w:rsidR="00FB40DA" w:rsidRPr="000B2FEE" w:rsidRDefault="00FB40DA" w:rsidP="00FA0D96">
            <w:pPr>
              <w:pStyle w:val="In-tableHeading"/>
              <w:rPr>
                <w:lang w:val="en-AU"/>
              </w:rPr>
            </w:pPr>
            <w:r w:rsidRPr="000B2FEE">
              <w:rPr>
                <w:lang w:val="en-AU"/>
              </w:rPr>
              <w:t>Step and component</w:t>
            </w:r>
          </w:p>
        </w:tc>
        <w:tc>
          <w:tcPr>
            <w:tcW w:w="1637" w:type="pct"/>
            <w:gridSpan w:val="3"/>
            <w:shd w:val="clear" w:color="auto" w:fill="auto"/>
            <w:vAlign w:val="center"/>
          </w:tcPr>
          <w:p w14:paraId="6A0278A6" w14:textId="77777777" w:rsidR="00FB40DA" w:rsidRPr="000B2FEE" w:rsidRDefault="00FB40DA" w:rsidP="00A72862">
            <w:pPr>
              <w:pStyle w:val="In-tableHeading"/>
              <w:jc w:val="center"/>
              <w:rPr>
                <w:lang w:val="en-AU"/>
              </w:rPr>
            </w:pPr>
            <w:r w:rsidRPr="000B2FEE">
              <w:rPr>
                <w:lang w:val="en-AU"/>
              </w:rPr>
              <w:t>ITT</w:t>
            </w:r>
          </w:p>
        </w:tc>
        <w:tc>
          <w:tcPr>
            <w:tcW w:w="1637" w:type="pct"/>
            <w:gridSpan w:val="3"/>
            <w:shd w:val="clear" w:color="auto" w:fill="auto"/>
            <w:vAlign w:val="center"/>
          </w:tcPr>
          <w:p w14:paraId="7BDB720F" w14:textId="55C7EAD9" w:rsidR="00FB40DA" w:rsidRPr="000B2FEE" w:rsidRDefault="00FB40DA" w:rsidP="00A72862">
            <w:pPr>
              <w:pStyle w:val="In-tableHeading"/>
              <w:jc w:val="center"/>
              <w:rPr>
                <w:lang w:val="en-AU"/>
              </w:rPr>
            </w:pPr>
            <w:r w:rsidRPr="000B2FEE">
              <w:rPr>
                <w:lang w:val="en-AU"/>
              </w:rPr>
              <w:t>IPI 3-5</w:t>
            </w:r>
          </w:p>
        </w:tc>
      </w:tr>
      <w:tr w:rsidR="00FB40DA" w:rsidRPr="000B2FEE" w14:paraId="6D1A6B02" w14:textId="77777777" w:rsidTr="002E3B9E">
        <w:trPr>
          <w:tblHeader/>
        </w:trPr>
        <w:tc>
          <w:tcPr>
            <w:tcW w:w="1726" w:type="pct"/>
            <w:vMerge/>
            <w:tcBorders>
              <w:bottom w:val="single" w:sz="4" w:space="0" w:color="auto"/>
            </w:tcBorders>
            <w:shd w:val="clear" w:color="auto" w:fill="auto"/>
            <w:vAlign w:val="center"/>
          </w:tcPr>
          <w:p w14:paraId="0474925A" w14:textId="77777777" w:rsidR="00FB40DA" w:rsidRPr="000B2FEE" w:rsidRDefault="00FB40DA" w:rsidP="00FA0D96">
            <w:pPr>
              <w:pStyle w:val="In-tableHeading"/>
              <w:rPr>
                <w:lang w:val="en-AU"/>
              </w:rPr>
            </w:pPr>
          </w:p>
        </w:tc>
        <w:tc>
          <w:tcPr>
            <w:tcW w:w="629" w:type="pct"/>
            <w:tcBorders>
              <w:bottom w:val="single" w:sz="4" w:space="0" w:color="auto"/>
            </w:tcBorders>
            <w:shd w:val="clear" w:color="auto" w:fill="auto"/>
            <w:vAlign w:val="center"/>
          </w:tcPr>
          <w:p w14:paraId="071F34B5" w14:textId="77777777" w:rsidR="00FB40DA" w:rsidRPr="000B2FEE" w:rsidRDefault="00FB40DA" w:rsidP="00A72862">
            <w:pPr>
              <w:pStyle w:val="In-tableHeading"/>
              <w:jc w:val="center"/>
              <w:rPr>
                <w:lang w:val="en-AU"/>
              </w:rPr>
            </w:pPr>
            <w:r w:rsidRPr="000B2FEE">
              <w:rPr>
                <w:lang w:val="en-AU"/>
              </w:rPr>
              <w:t>Pola+R-CHP</w:t>
            </w:r>
          </w:p>
        </w:tc>
        <w:tc>
          <w:tcPr>
            <w:tcW w:w="462" w:type="pct"/>
            <w:tcBorders>
              <w:bottom w:val="single" w:sz="4" w:space="0" w:color="auto"/>
            </w:tcBorders>
            <w:shd w:val="clear" w:color="auto" w:fill="auto"/>
            <w:vAlign w:val="center"/>
          </w:tcPr>
          <w:p w14:paraId="5335A519" w14:textId="77777777" w:rsidR="00FB40DA" w:rsidRPr="000B2FEE" w:rsidRDefault="00FB40DA" w:rsidP="00A72862">
            <w:pPr>
              <w:pStyle w:val="In-tableHeading"/>
              <w:jc w:val="center"/>
              <w:rPr>
                <w:lang w:val="en-AU"/>
              </w:rPr>
            </w:pPr>
            <w:r w:rsidRPr="000B2FEE">
              <w:rPr>
                <w:lang w:val="en-AU"/>
              </w:rPr>
              <w:t>R-CHOP</w:t>
            </w:r>
          </w:p>
        </w:tc>
        <w:tc>
          <w:tcPr>
            <w:tcW w:w="546" w:type="pct"/>
            <w:tcBorders>
              <w:bottom w:val="single" w:sz="4" w:space="0" w:color="auto"/>
            </w:tcBorders>
            <w:shd w:val="clear" w:color="auto" w:fill="auto"/>
            <w:vAlign w:val="center"/>
          </w:tcPr>
          <w:p w14:paraId="4C0B8367" w14:textId="77777777" w:rsidR="00FB40DA" w:rsidRPr="000B2FEE" w:rsidRDefault="00FB40DA" w:rsidP="00A72862">
            <w:pPr>
              <w:pStyle w:val="In-tableHeading"/>
              <w:jc w:val="center"/>
              <w:rPr>
                <w:lang w:val="en-AU"/>
              </w:rPr>
            </w:pPr>
            <w:r w:rsidRPr="000B2FEE">
              <w:rPr>
                <w:lang w:val="en-AU"/>
              </w:rPr>
              <w:t>Increment</w:t>
            </w:r>
          </w:p>
        </w:tc>
        <w:tc>
          <w:tcPr>
            <w:tcW w:w="644" w:type="pct"/>
            <w:tcBorders>
              <w:bottom w:val="single" w:sz="4" w:space="0" w:color="auto"/>
            </w:tcBorders>
            <w:shd w:val="clear" w:color="auto" w:fill="auto"/>
            <w:vAlign w:val="center"/>
          </w:tcPr>
          <w:p w14:paraId="70BCDFA8" w14:textId="77777777" w:rsidR="00FB40DA" w:rsidRPr="000B2FEE" w:rsidRDefault="00FB40DA" w:rsidP="00A72862">
            <w:pPr>
              <w:pStyle w:val="In-tableHeading"/>
              <w:jc w:val="center"/>
              <w:rPr>
                <w:lang w:val="en-AU"/>
              </w:rPr>
            </w:pPr>
            <w:r w:rsidRPr="000B2FEE">
              <w:rPr>
                <w:lang w:val="en-AU"/>
              </w:rPr>
              <w:t>Pola+R-CHP</w:t>
            </w:r>
          </w:p>
        </w:tc>
        <w:tc>
          <w:tcPr>
            <w:tcW w:w="447" w:type="pct"/>
            <w:tcBorders>
              <w:bottom w:val="single" w:sz="4" w:space="0" w:color="auto"/>
            </w:tcBorders>
            <w:shd w:val="clear" w:color="auto" w:fill="auto"/>
            <w:vAlign w:val="center"/>
          </w:tcPr>
          <w:p w14:paraId="18DD16B0" w14:textId="77777777" w:rsidR="00FB40DA" w:rsidRPr="000B2FEE" w:rsidRDefault="00FB40DA" w:rsidP="00A72862">
            <w:pPr>
              <w:pStyle w:val="In-tableHeading"/>
              <w:jc w:val="center"/>
              <w:rPr>
                <w:lang w:val="en-AU"/>
              </w:rPr>
            </w:pPr>
            <w:r w:rsidRPr="000B2FEE">
              <w:rPr>
                <w:lang w:val="en-AU"/>
              </w:rPr>
              <w:t>R-CHOP</w:t>
            </w:r>
          </w:p>
        </w:tc>
        <w:tc>
          <w:tcPr>
            <w:tcW w:w="546" w:type="pct"/>
            <w:tcBorders>
              <w:bottom w:val="single" w:sz="4" w:space="0" w:color="auto"/>
            </w:tcBorders>
            <w:shd w:val="clear" w:color="auto" w:fill="auto"/>
            <w:vAlign w:val="center"/>
          </w:tcPr>
          <w:p w14:paraId="74BC0BB7" w14:textId="77777777" w:rsidR="00FB40DA" w:rsidRPr="000B2FEE" w:rsidRDefault="00FB40DA" w:rsidP="00A72862">
            <w:pPr>
              <w:pStyle w:val="In-tableHeading"/>
              <w:jc w:val="center"/>
              <w:rPr>
                <w:lang w:val="en-AU"/>
              </w:rPr>
            </w:pPr>
            <w:r w:rsidRPr="000B2FEE">
              <w:rPr>
                <w:lang w:val="en-AU"/>
              </w:rPr>
              <w:t>Increment</w:t>
            </w:r>
          </w:p>
        </w:tc>
      </w:tr>
      <w:tr w:rsidR="00FB40DA" w:rsidRPr="000B2FEE" w14:paraId="63305313" w14:textId="77777777" w:rsidTr="002E3B9E">
        <w:tc>
          <w:tcPr>
            <w:tcW w:w="5000" w:type="pct"/>
            <w:gridSpan w:val="7"/>
            <w:tcBorders>
              <w:bottom w:val="single" w:sz="4" w:space="0" w:color="auto"/>
            </w:tcBorders>
            <w:shd w:val="clear" w:color="auto" w:fill="auto"/>
            <w:vAlign w:val="center"/>
          </w:tcPr>
          <w:p w14:paraId="29880B90" w14:textId="71895B20" w:rsidR="00FB40DA" w:rsidRPr="000B2FEE" w:rsidRDefault="00FB40DA" w:rsidP="00A72862">
            <w:pPr>
              <w:pStyle w:val="TableText0"/>
              <w:rPr>
                <w:b/>
              </w:rPr>
            </w:pPr>
            <w:r w:rsidRPr="000B2FEE">
              <w:rPr>
                <w:b/>
              </w:rPr>
              <w:t>Step 1: Time horizon, trial based: 28.2 months, treatment costs only</w:t>
            </w:r>
          </w:p>
        </w:tc>
      </w:tr>
      <w:tr w:rsidR="00FB40DA" w:rsidRPr="000B2FEE" w14:paraId="2A748A46" w14:textId="77777777" w:rsidTr="002E3B9E">
        <w:tc>
          <w:tcPr>
            <w:tcW w:w="1726" w:type="pct"/>
            <w:tcBorders>
              <w:top w:val="single" w:sz="4" w:space="0" w:color="auto"/>
              <w:bottom w:val="nil"/>
            </w:tcBorders>
            <w:shd w:val="clear" w:color="auto" w:fill="auto"/>
            <w:vAlign w:val="center"/>
          </w:tcPr>
          <w:p w14:paraId="4FEFEFD8" w14:textId="77777777" w:rsidR="00FB40DA" w:rsidRPr="000B2FEE" w:rsidRDefault="00FB40DA" w:rsidP="00FA0D96">
            <w:pPr>
              <w:pStyle w:val="TableText0"/>
              <w:rPr>
                <w:rFonts w:ascii="Times" w:hAnsi="Times"/>
              </w:rPr>
            </w:pPr>
            <w:r w:rsidRPr="000B2FEE">
              <w:t>Costs</w:t>
            </w:r>
          </w:p>
        </w:tc>
        <w:tc>
          <w:tcPr>
            <w:tcW w:w="629" w:type="pct"/>
            <w:tcBorders>
              <w:top w:val="single" w:sz="4" w:space="0" w:color="auto"/>
              <w:bottom w:val="nil"/>
            </w:tcBorders>
            <w:shd w:val="clear" w:color="auto" w:fill="auto"/>
            <w:vAlign w:val="center"/>
          </w:tcPr>
          <w:p w14:paraId="42D1198B" w14:textId="4063E036" w:rsidR="00FB40DA" w:rsidRPr="000B2FEE" w:rsidRDefault="00FB40DA" w:rsidP="00A72862">
            <w:pPr>
              <w:pStyle w:val="TableText0"/>
              <w:jc w:val="center"/>
            </w:pPr>
            <w:r w:rsidRPr="000B2FEE">
              <w:t>$</w:t>
            </w:r>
            <w:r w:rsidR="00206B77" w:rsidRPr="00206B77">
              <w:rPr>
                <w:color w:val="000000"/>
                <w:shd w:val="solid" w:color="000000" w:fill="000000"/>
                <w14:textFill>
                  <w14:solidFill>
                    <w14:srgbClr w14:val="000000">
                      <w14:alpha w14:val="100000"/>
                    </w14:srgbClr>
                  </w14:solidFill>
                </w14:textFill>
              </w:rPr>
              <w:t>|</w:t>
            </w:r>
          </w:p>
        </w:tc>
        <w:tc>
          <w:tcPr>
            <w:tcW w:w="462" w:type="pct"/>
            <w:tcBorders>
              <w:top w:val="single" w:sz="4" w:space="0" w:color="auto"/>
              <w:bottom w:val="nil"/>
            </w:tcBorders>
            <w:shd w:val="clear" w:color="auto" w:fill="auto"/>
            <w:vAlign w:val="center"/>
          </w:tcPr>
          <w:p w14:paraId="6ACDCECC" w14:textId="77777777" w:rsidR="00FB40DA" w:rsidRPr="00880394" w:rsidRDefault="00FB40DA" w:rsidP="00A72862">
            <w:pPr>
              <w:pStyle w:val="TableText0"/>
              <w:jc w:val="center"/>
            </w:pPr>
            <w:r w:rsidRPr="00880394">
              <w:t>$7,692</w:t>
            </w:r>
          </w:p>
        </w:tc>
        <w:tc>
          <w:tcPr>
            <w:tcW w:w="546" w:type="pct"/>
            <w:tcBorders>
              <w:top w:val="single" w:sz="4" w:space="0" w:color="auto"/>
              <w:bottom w:val="nil"/>
            </w:tcBorders>
            <w:shd w:val="clear" w:color="auto" w:fill="auto"/>
            <w:vAlign w:val="center"/>
          </w:tcPr>
          <w:p w14:paraId="74835820" w14:textId="24D565A1" w:rsidR="00FB40DA" w:rsidRPr="000B2FEE" w:rsidRDefault="00FB40DA" w:rsidP="00A72862">
            <w:pPr>
              <w:pStyle w:val="TableText0"/>
              <w:jc w:val="center"/>
            </w:pPr>
            <w:r w:rsidRPr="000B2FEE">
              <w:t>$</w:t>
            </w:r>
            <w:r w:rsidR="00206B77" w:rsidRPr="00381965">
              <w:rPr>
                <w:rFonts w:hint="eastAsia"/>
                <w:color w:val="000000"/>
                <w:w w:val="15"/>
                <w:shd w:val="solid" w:color="000000" w:fill="000000"/>
                <w:fitText w:val="36" w:id="-1301008882"/>
                <w14:textFill>
                  <w14:solidFill>
                    <w14:srgbClr w14:val="000000">
                      <w14:alpha w14:val="100000"/>
                    </w14:srgbClr>
                  </w14:solidFill>
                </w14:textFill>
              </w:rPr>
              <w:t xml:space="preserve">　</w:t>
            </w:r>
            <w:r w:rsidR="00206B77" w:rsidRPr="00381965">
              <w:rPr>
                <w:color w:val="000000"/>
                <w:w w:val="15"/>
                <w:shd w:val="solid" w:color="000000" w:fill="000000"/>
                <w:fitText w:val="36" w:id="-1301008882"/>
                <w14:textFill>
                  <w14:solidFill>
                    <w14:srgbClr w14:val="000000">
                      <w14:alpha w14:val="100000"/>
                    </w14:srgbClr>
                  </w14:solidFill>
                </w14:textFill>
              </w:rPr>
              <w:t>|</w:t>
            </w:r>
            <w:r w:rsidR="00206B77" w:rsidRPr="00381965">
              <w:rPr>
                <w:rFonts w:hint="eastAsia"/>
                <w:color w:val="000000"/>
                <w:spacing w:val="-45"/>
                <w:w w:val="15"/>
                <w:shd w:val="solid" w:color="000000" w:fill="000000"/>
                <w:fitText w:val="36" w:id="-1301008882"/>
                <w14:textFill>
                  <w14:solidFill>
                    <w14:srgbClr w14:val="000000">
                      <w14:alpha w14:val="100000"/>
                    </w14:srgbClr>
                  </w14:solidFill>
                </w14:textFill>
              </w:rPr>
              <w:t xml:space="preserve">　</w:t>
            </w:r>
          </w:p>
        </w:tc>
        <w:tc>
          <w:tcPr>
            <w:tcW w:w="644" w:type="pct"/>
            <w:tcBorders>
              <w:top w:val="single" w:sz="4" w:space="0" w:color="auto"/>
              <w:bottom w:val="nil"/>
            </w:tcBorders>
            <w:shd w:val="clear" w:color="auto" w:fill="auto"/>
            <w:vAlign w:val="center"/>
          </w:tcPr>
          <w:p w14:paraId="6DD8B2BE" w14:textId="36D5CE72" w:rsidR="00FB40DA" w:rsidRPr="000B2FEE" w:rsidRDefault="00FB40DA" w:rsidP="00A72862">
            <w:pPr>
              <w:pStyle w:val="TableText0"/>
              <w:jc w:val="center"/>
            </w:pPr>
            <w:r w:rsidRPr="000B2FEE">
              <w:t>$</w:t>
            </w:r>
            <w:r w:rsidR="00206B77" w:rsidRPr="00206B77">
              <w:rPr>
                <w:color w:val="000000"/>
                <w:shd w:val="solid" w:color="000000" w:fill="000000"/>
                <w14:textFill>
                  <w14:solidFill>
                    <w14:srgbClr w14:val="000000">
                      <w14:alpha w14:val="100000"/>
                    </w14:srgbClr>
                  </w14:solidFill>
                </w14:textFill>
              </w:rPr>
              <w:t>|</w:t>
            </w:r>
          </w:p>
        </w:tc>
        <w:tc>
          <w:tcPr>
            <w:tcW w:w="447" w:type="pct"/>
            <w:tcBorders>
              <w:top w:val="single" w:sz="4" w:space="0" w:color="auto"/>
              <w:bottom w:val="nil"/>
            </w:tcBorders>
            <w:shd w:val="clear" w:color="auto" w:fill="auto"/>
            <w:vAlign w:val="center"/>
          </w:tcPr>
          <w:p w14:paraId="2D4E0B40" w14:textId="77777777" w:rsidR="00FB40DA" w:rsidRPr="000B2FEE" w:rsidRDefault="00FB40DA" w:rsidP="00A72862">
            <w:pPr>
              <w:pStyle w:val="TableText0"/>
              <w:jc w:val="center"/>
            </w:pPr>
            <w:r w:rsidRPr="000B2FEE">
              <w:t>$</w:t>
            </w:r>
            <w:r w:rsidRPr="00880394">
              <w:t>7,542</w:t>
            </w:r>
          </w:p>
        </w:tc>
        <w:tc>
          <w:tcPr>
            <w:tcW w:w="546" w:type="pct"/>
            <w:tcBorders>
              <w:top w:val="single" w:sz="4" w:space="0" w:color="auto"/>
              <w:bottom w:val="nil"/>
            </w:tcBorders>
            <w:shd w:val="clear" w:color="auto" w:fill="auto"/>
            <w:vAlign w:val="center"/>
          </w:tcPr>
          <w:p w14:paraId="26126334" w14:textId="53FA1E6A" w:rsidR="00FB40DA" w:rsidRPr="000B2FEE" w:rsidRDefault="00FB40DA" w:rsidP="00A72862">
            <w:pPr>
              <w:pStyle w:val="TableText0"/>
              <w:jc w:val="center"/>
            </w:pPr>
            <w:r w:rsidRPr="000B2FEE">
              <w:t>$</w:t>
            </w:r>
            <w:r w:rsidR="00206B77" w:rsidRPr="00381965">
              <w:rPr>
                <w:rFonts w:hint="eastAsia"/>
                <w:color w:val="000000"/>
                <w:w w:val="15"/>
                <w:shd w:val="solid" w:color="000000" w:fill="000000"/>
                <w:fitText w:val="36" w:id="-1301008881"/>
                <w14:textFill>
                  <w14:solidFill>
                    <w14:srgbClr w14:val="000000">
                      <w14:alpha w14:val="100000"/>
                    </w14:srgbClr>
                  </w14:solidFill>
                </w14:textFill>
              </w:rPr>
              <w:t xml:space="preserve">　</w:t>
            </w:r>
            <w:r w:rsidR="00206B77" w:rsidRPr="00381965">
              <w:rPr>
                <w:color w:val="000000"/>
                <w:w w:val="15"/>
                <w:shd w:val="solid" w:color="000000" w:fill="000000"/>
                <w:fitText w:val="36" w:id="-1301008881"/>
                <w14:textFill>
                  <w14:solidFill>
                    <w14:srgbClr w14:val="000000">
                      <w14:alpha w14:val="100000"/>
                    </w14:srgbClr>
                  </w14:solidFill>
                </w14:textFill>
              </w:rPr>
              <w:t>|</w:t>
            </w:r>
            <w:r w:rsidR="00206B77" w:rsidRPr="00381965">
              <w:rPr>
                <w:rFonts w:hint="eastAsia"/>
                <w:color w:val="000000"/>
                <w:spacing w:val="-29"/>
                <w:w w:val="15"/>
                <w:shd w:val="solid" w:color="000000" w:fill="000000"/>
                <w:fitText w:val="36" w:id="-1301008881"/>
                <w14:textFill>
                  <w14:solidFill>
                    <w14:srgbClr w14:val="000000">
                      <w14:alpha w14:val="100000"/>
                    </w14:srgbClr>
                  </w14:solidFill>
                </w14:textFill>
              </w:rPr>
              <w:t xml:space="preserve">　</w:t>
            </w:r>
          </w:p>
        </w:tc>
      </w:tr>
      <w:tr w:rsidR="00FB40DA" w:rsidRPr="000B2FEE" w14:paraId="213C5636" w14:textId="77777777" w:rsidTr="00A72862">
        <w:tc>
          <w:tcPr>
            <w:tcW w:w="1726" w:type="pct"/>
            <w:tcBorders>
              <w:top w:val="nil"/>
              <w:bottom w:val="nil"/>
            </w:tcBorders>
            <w:shd w:val="clear" w:color="auto" w:fill="auto"/>
            <w:vAlign w:val="center"/>
          </w:tcPr>
          <w:p w14:paraId="53E964BD" w14:textId="77777777" w:rsidR="00FB40DA" w:rsidRPr="000B2FEE" w:rsidRDefault="00FB40DA" w:rsidP="00FA0D96">
            <w:pPr>
              <w:pStyle w:val="TableText0"/>
            </w:pPr>
            <w:r w:rsidRPr="000B2FEE">
              <w:t>LYs</w:t>
            </w:r>
          </w:p>
        </w:tc>
        <w:tc>
          <w:tcPr>
            <w:tcW w:w="629" w:type="pct"/>
            <w:tcBorders>
              <w:top w:val="nil"/>
              <w:bottom w:val="nil"/>
            </w:tcBorders>
            <w:shd w:val="clear" w:color="auto" w:fill="auto"/>
            <w:vAlign w:val="center"/>
          </w:tcPr>
          <w:p w14:paraId="3BCA812D" w14:textId="77777777" w:rsidR="00FB40DA" w:rsidRPr="000B2FEE" w:rsidRDefault="00FB40DA" w:rsidP="00A72862">
            <w:pPr>
              <w:pStyle w:val="TableText0"/>
              <w:jc w:val="center"/>
            </w:pPr>
            <w:r w:rsidRPr="000B2FEE">
              <w:t>2.11</w:t>
            </w:r>
          </w:p>
        </w:tc>
        <w:tc>
          <w:tcPr>
            <w:tcW w:w="462" w:type="pct"/>
            <w:tcBorders>
              <w:top w:val="nil"/>
              <w:bottom w:val="nil"/>
            </w:tcBorders>
            <w:shd w:val="clear" w:color="auto" w:fill="auto"/>
            <w:vAlign w:val="center"/>
          </w:tcPr>
          <w:p w14:paraId="62CA5F02" w14:textId="77777777" w:rsidR="00FB40DA" w:rsidRPr="00880394" w:rsidRDefault="00FB40DA" w:rsidP="00A72862">
            <w:pPr>
              <w:pStyle w:val="TableText0"/>
              <w:jc w:val="center"/>
            </w:pPr>
            <w:r w:rsidRPr="00880394">
              <w:t>2.12</w:t>
            </w:r>
          </w:p>
        </w:tc>
        <w:tc>
          <w:tcPr>
            <w:tcW w:w="546" w:type="pct"/>
            <w:tcBorders>
              <w:top w:val="nil"/>
              <w:bottom w:val="nil"/>
            </w:tcBorders>
            <w:shd w:val="clear" w:color="auto" w:fill="auto"/>
            <w:vAlign w:val="center"/>
          </w:tcPr>
          <w:p w14:paraId="08ABAA65" w14:textId="77777777" w:rsidR="00FB40DA" w:rsidRPr="000B2FEE" w:rsidRDefault="00FB40DA" w:rsidP="00A72862">
            <w:pPr>
              <w:pStyle w:val="TableText0"/>
              <w:jc w:val="center"/>
            </w:pPr>
            <w:r w:rsidRPr="000B2FEE">
              <w:t>-0.01</w:t>
            </w:r>
          </w:p>
        </w:tc>
        <w:tc>
          <w:tcPr>
            <w:tcW w:w="644" w:type="pct"/>
            <w:tcBorders>
              <w:top w:val="nil"/>
              <w:bottom w:val="nil"/>
            </w:tcBorders>
            <w:shd w:val="clear" w:color="auto" w:fill="auto"/>
            <w:vAlign w:val="center"/>
          </w:tcPr>
          <w:p w14:paraId="3CB48FED" w14:textId="77777777" w:rsidR="00FB40DA" w:rsidRPr="000B2FEE" w:rsidRDefault="00FB40DA" w:rsidP="00A72862">
            <w:pPr>
              <w:pStyle w:val="TableText0"/>
              <w:jc w:val="center"/>
            </w:pPr>
            <w:r w:rsidRPr="000B2FEE">
              <w:t>2.08</w:t>
            </w:r>
          </w:p>
        </w:tc>
        <w:tc>
          <w:tcPr>
            <w:tcW w:w="447" w:type="pct"/>
            <w:tcBorders>
              <w:top w:val="nil"/>
              <w:bottom w:val="nil"/>
            </w:tcBorders>
            <w:shd w:val="clear" w:color="auto" w:fill="auto"/>
            <w:vAlign w:val="center"/>
          </w:tcPr>
          <w:p w14:paraId="76024984" w14:textId="77777777" w:rsidR="00FB40DA" w:rsidRPr="000B2FEE" w:rsidRDefault="00FB40DA" w:rsidP="00A72862">
            <w:pPr>
              <w:pStyle w:val="TableText0"/>
              <w:jc w:val="center"/>
            </w:pPr>
            <w:r w:rsidRPr="000B2FEE">
              <w:t>2.08</w:t>
            </w:r>
          </w:p>
        </w:tc>
        <w:tc>
          <w:tcPr>
            <w:tcW w:w="546" w:type="pct"/>
            <w:tcBorders>
              <w:top w:val="nil"/>
              <w:bottom w:val="nil"/>
            </w:tcBorders>
            <w:shd w:val="clear" w:color="auto" w:fill="auto"/>
            <w:vAlign w:val="center"/>
          </w:tcPr>
          <w:p w14:paraId="50CB45A9" w14:textId="77777777" w:rsidR="00FB40DA" w:rsidRPr="000B2FEE" w:rsidRDefault="00FB40DA" w:rsidP="00A72862">
            <w:pPr>
              <w:pStyle w:val="TableText0"/>
              <w:jc w:val="center"/>
            </w:pPr>
            <w:r w:rsidRPr="000B2FEE">
              <w:t>0.00</w:t>
            </w:r>
          </w:p>
        </w:tc>
      </w:tr>
      <w:tr w:rsidR="00FB40DA" w:rsidRPr="000B2FEE" w14:paraId="046BC778" w14:textId="77777777" w:rsidTr="00A72862">
        <w:tc>
          <w:tcPr>
            <w:tcW w:w="1726" w:type="pct"/>
            <w:tcBorders>
              <w:top w:val="nil"/>
              <w:bottom w:val="nil"/>
            </w:tcBorders>
            <w:shd w:val="clear" w:color="auto" w:fill="auto"/>
            <w:vAlign w:val="center"/>
          </w:tcPr>
          <w:p w14:paraId="22C42C16" w14:textId="77777777" w:rsidR="00FB40DA" w:rsidRPr="000B2FEE" w:rsidRDefault="00FB40DA" w:rsidP="00FA0D96">
            <w:pPr>
              <w:pStyle w:val="TableText0"/>
            </w:pPr>
            <w:r w:rsidRPr="000B2FEE">
              <w:t>QALYs</w:t>
            </w:r>
          </w:p>
        </w:tc>
        <w:tc>
          <w:tcPr>
            <w:tcW w:w="629" w:type="pct"/>
            <w:tcBorders>
              <w:top w:val="nil"/>
              <w:bottom w:val="nil"/>
            </w:tcBorders>
            <w:shd w:val="clear" w:color="auto" w:fill="auto"/>
            <w:vAlign w:val="center"/>
          </w:tcPr>
          <w:p w14:paraId="5ADC12FE" w14:textId="77777777" w:rsidR="00FB40DA" w:rsidRPr="000B2FEE" w:rsidRDefault="00FB40DA" w:rsidP="00A72862">
            <w:pPr>
              <w:pStyle w:val="TableText0"/>
              <w:jc w:val="center"/>
            </w:pPr>
            <w:r w:rsidRPr="000B2FEE">
              <w:t>1.67</w:t>
            </w:r>
          </w:p>
        </w:tc>
        <w:tc>
          <w:tcPr>
            <w:tcW w:w="462" w:type="pct"/>
            <w:tcBorders>
              <w:top w:val="nil"/>
              <w:bottom w:val="nil"/>
            </w:tcBorders>
            <w:shd w:val="clear" w:color="auto" w:fill="auto"/>
            <w:vAlign w:val="center"/>
          </w:tcPr>
          <w:p w14:paraId="47D193A8" w14:textId="77777777" w:rsidR="00FB40DA" w:rsidRPr="000B2FEE" w:rsidRDefault="00FB40DA" w:rsidP="00A72862">
            <w:pPr>
              <w:pStyle w:val="TableText0"/>
              <w:jc w:val="center"/>
            </w:pPr>
            <w:r w:rsidRPr="000B2FEE">
              <w:t>1.68</w:t>
            </w:r>
          </w:p>
        </w:tc>
        <w:tc>
          <w:tcPr>
            <w:tcW w:w="546" w:type="pct"/>
            <w:tcBorders>
              <w:top w:val="nil"/>
              <w:bottom w:val="nil"/>
            </w:tcBorders>
            <w:shd w:val="clear" w:color="auto" w:fill="auto"/>
            <w:vAlign w:val="center"/>
          </w:tcPr>
          <w:p w14:paraId="4E1A77C3" w14:textId="77777777" w:rsidR="00FB40DA" w:rsidRPr="000B2FEE" w:rsidRDefault="00FB40DA" w:rsidP="00A72862">
            <w:pPr>
              <w:pStyle w:val="TableText0"/>
              <w:jc w:val="center"/>
            </w:pPr>
            <w:r w:rsidRPr="000B2FEE">
              <w:t>-0.00</w:t>
            </w:r>
          </w:p>
        </w:tc>
        <w:tc>
          <w:tcPr>
            <w:tcW w:w="644" w:type="pct"/>
            <w:tcBorders>
              <w:top w:val="nil"/>
              <w:bottom w:val="nil"/>
            </w:tcBorders>
            <w:shd w:val="clear" w:color="auto" w:fill="auto"/>
            <w:vAlign w:val="center"/>
          </w:tcPr>
          <w:p w14:paraId="6871449C" w14:textId="77777777" w:rsidR="00FB40DA" w:rsidRPr="000B2FEE" w:rsidRDefault="00FB40DA" w:rsidP="00A72862">
            <w:pPr>
              <w:pStyle w:val="TableText0"/>
              <w:jc w:val="center"/>
            </w:pPr>
            <w:r w:rsidRPr="000B2FEE">
              <w:t>1.65</w:t>
            </w:r>
          </w:p>
        </w:tc>
        <w:tc>
          <w:tcPr>
            <w:tcW w:w="447" w:type="pct"/>
            <w:tcBorders>
              <w:top w:val="nil"/>
              <w:bottom w:val="nil"/>
            </w:tcBorders>
            <w:shd w:val="clear" w:color="auto" w:fill="auto"/>
            <w:vAlign w:val="center"/>
          </w:tcPr>
          <w:p w14:paraId="5C620D88" w14:textId="77777777" w:rsidR="00FB40DA" w:rsidRPr="000B2FEE" w:rsidRDefault="00FB40DA" w:rsidP="00A72862">
            <w:pPr>
              <w:pStyle w:val="TableText0"/>
              <w:jc w:val="center"/>
            </w:pPr>
            <w:r w:rsidRPr="000B2FEE">
              <w:t>1.64</w:t>
            </w:r>
          </w:p>
        </w:tc>
        <w:tc>
          <w:tcPr>
            <w:tcW w:w="546" w:type="pct"/>
            <w:tcBorders>
              <w:top w:val="nil"/>
              <w:bottom w:val="nil"/>
            </w:tcBorders>
            <w:shd w:val="clear" w:color="auto" w:fill="auto"/>
            <w:vAlign w:val="center"/>
          </w:tcPr>
          <w:p w14:paraId="38ADF3B9" w14:textId="77777777" w:rsidR="00FB40DA" w:rsidRPr="000B2FEE" w:rsidRDefault="00FB40DA" w:rsidP="00A72862">
            <w:pPr>
              <w:pStyle w:val="TableText0"/>
              <w:jc w:val="center"/>
            </w:pPr>
            <w:r w:rsidRPr="000B2FEE">
              <w:t>0.01</w:t>
            </w:r>
          </w:p>
        </w:tc>
      </w:tr>
      <w:tr w:rsidR="00FB40DA" w:rsidRPr="000B2FEE" w14:paraId="5E06681C" w14:textId="77777777" w:rsidTr="002E3B9E">
        <w:tc>
          <w:tcPr>
            <w:tcW w:w="1726" w:type="pct"/>
            <w:tcBorders>
              <w:top w:val="nil"/>
              <w:bottom w:val="single" w:sz="4" w:space="0" w:color="auto"/>
            </w:tcBorders>
            <w:shd w:val="clear" w:color="auto" w:fill="auto"/>
            <w:vAlign w:val="center"/>
          </w:tcPr>
          <w:p w14:paraId="35CFF01B" w14:textId="77777777" w:rsidR="00FB40DA" w:rsidRPr="000B2FEE" w:rsidRDefault="00FB40DA" w:rsidP="00FA0D96">
            <w:pPr>
              <w:pStyle w:val="TableText0"/>
              <w:rPr>
                <w:b/>
              </w:rPr>
            </w:pPr>
            <w:r w:rsidRPr="000B2FEE">
              <w:rPr>
                <w:b/>
              </w:rPr>
              <w:t>Incremental cost/extra QALY gained</w:t>
            </w:r>
          </w:p>
        </w:tc>
        <w:tc>
          <w:tcPr>
            <w:tcW w:w="629" w:type="pct"/>
            <w:tcBorders>
              <w:top w:val="nil"/>
              <w:bottom w:val="single" w:sz="4" w:space="0" w:color="auto"/>
            </w:tcBorders>
            <w:shd w:val="clear" w:color="auto" w:fill="auto"/>
            <w:vAlign w:val="center"/>
          </w:tcPr>
          <w:p w14:paraId="053B076A" w14:textId="77777777" w:rsidR="00FB40DA" w:rsidRPr="000B2FEE" w:rsidRDefault="00FB40DA" w:rsidP="00A72862">
            <w:pPr>
              <w:pStyle w:val="TableText0"/>
              <w:jc w:val="center"/>
              <w:rPr>
                <w:b/>
              </w:rPr>
            </w:pPr>
          </w:p>
        </w:tc>
        <w:tc>
          <w:tcPr>
            <w:tcW w:w="462" w:type="pct"/>
            <w:tcBorders>
              <w:top w:val="nil"/>
              <w:bottom w:val="single" w:sz="4" w:space="0" w:color="auto"/>
            </w:tcBorders>
            <w:shd w:val="clear" w:color="auto" w:fill="auto"/>
            <w:vAlign w:val="center"/>
          </w:tcPr>
          <w:p w14:paraId="44982B8C" w14:textId="77777777" w:rsidR="00FB40DA" w:rsidRPr="000B2FEE" w:rsidRDefault="00FB40DA" w:rsidP="00A72862">
            <w:pPr>
              <w:pStyle w:val="TableText0"/>
              <w:jc w:val="center"/>
              <w:rPr>
                <w:b/>
              </w:rPr>
            </w:pPr>
          </w:p>
        </w:tc>
        <w:tc>
          <w:tcPr>
            <w:tcW w:w="546" w:type="pct"/>
            <w:tcBorders>
              <w:top w:val="nil"/>
              <w:bottom w:val="single" w:sz="4" w:space="0" w:color="auto"/>
            </w:tcBorders>
            <w:shd w:val="clear" w:color="auto" w:fill="auto"/>
            <w:vAlign w:val="center"/>
          </w:tcPr>
          <w:p w14:paraId="1CCB82FC" w14:textId="069307AF" w:rsidR="00FB40DA" w:rsidRPr="000B2FEE" w:rsidRDefault="00FB40DA" w:rsidP="00A72862">
            <w:pPr>
              <w:pStyle w:val="TableText0"/>
              <w:jc w:val="center"/>
              <w:rPr>
                <w:b/>
              </w:rPr>
            </w:pPr>
            <w:r w:rsidRPr="008365A9">
              <w:rPr>
                <w:b/>
              </w:rPr>
              <w:t>Dominated</w:t>
            </w:r>
          </w:p>
        </w:tc>
        <w:tc>
          <w:tcPr>
            <w:tcW w:w="644" w:type="pct"/>
            <w:tcBorders>
              <w:top w:val="nil"/>
              <w:bottom w:val="single" w:sz="4" w:space="0" w:color="auto"/>
            </w:tcBorders>
            <w:shd w:val="clear" w:color="auto" w:fill="auto"/>
            <w:vAlign w:val="center"/>
          </w:tcPr>
          <w:p w14:paraId="466CD151" w14:textId="77777777" w:rsidR="00FB40DA" w:rsidRPr="000B2FEE" w:rsidRDefault="00FB40DA" w:rsidP="00A72862">
            <w:pPr>
              <w:pStyle w:val="TableText0"/>
              <w:jc w:val="center"/>
              <w:rPr>
                <w:b/>
              </w:rPr>
            </w:pPr>
          </w:p>
        </w:tc>
        <w:tc>
          <w:tcPr>
            <w:tcW w:w="447" w:type="pct"/>
            <w:tcBorders>
              <w:top w:val="nil"/>
              <w:bottom w:val="single" w:sz="4" w:space="0" w:color="auto"/>
            </w:tcBorders>
            <w:shd w:val="clear" w:color="auto" w:fill="auto"/>
            <w:vAlign w:val="center"/>
          </w:tcPr>
          <w:p w14:paraId="57A6ED1C" w14:textId="77777777" w:rsidR="00FB40DA" w:rsidRPr="000B2FEE" w:rsidRDefault="00FB40DA" w:rsidP="00A72862">
            <w:pPr>
              <w:pStyle w:val="TableText0"/>
              <w:jc w:val="center"/>
              <w:rPr>
                <w:b/>
              </w:rPr>
            </w:pPr>
          </w:p>
        </w:tc>
        <w:tc>
          <w:tcPr>
            <w:tcW w:w="546" w:type="pct"/>
            <w:tcBorders>
              <w:top w:val="nil"/>
              <w:bottom w:val="single" w:sz="4" w:space="0" w:color="auto"/>
            </w:tcBorders>
            <w:shd w:val="clear" w:color="auto" w:fill="auto"/>
            <w:vAlign w:val="center"/>
          </w:tcPr>
          <w:p w14:paraId="39E33F76" w14:textId="4497ADCD" w:rsidR="00FB40DA" w:rsidRPr="000B2FEE" w:rsidRDefault="00206B77" w:rsidP="00A72862">
            <w:pPr>
              <w:pStyle w:val="TableText0"/>
              <w:jc w:val="center"/>
              <w:rPr>
                <w:b/>
              </w:rPr>
            </w:pPr>
            <w:r w:rsidRPr="00206B77">
              <w:rPr>
                <w:rFonts w:hint="eastAsia"/>
                <w:b/>
                <w:color w:val="000000"/>
                <w:w w:val="15"/>
                <w:shd w:val="solid" w:color="000000" w:fill="000000"/>
                <w:fitText w:val="28" w:id="-1301008880"/>
                <w14:textFill>
                  <w14:solidFill>
                    <w14:srgbClr w14:val="000000">
                      <w14:alpha w14:val="100000"/>
                    </w14:srgbClr>
                  </w14:solidFill>
                </w14:textFill>
              </w:rPr>
              <w:t xml:space="preserve">　</w:t>
            </w:r>
            <w:r w:rsidRPr="00206B77">
              <w:rPr>
                <w:b/>
                <w:color w:val="000000"/>
                <w:w w:val="15"/>
                <w:shd w:val="solid" w:color="000000" w:fill="000000"/>
                <w:fitText w:val="28" w:id="-1301008880"/>
                <w14:textFill>
                  <w14:solidFill>
                    <w14:srgbClr w14:val="000000">
                      <w14:alpha w14:val="100000"/>
                    </w14:srgbClr>
                  </w14:solidFill>
                </w14:textFill>
              </w:rPr>
              <w:t>|</w:t>
            </w:r>
            <w:r w:rsidRPr="00206B77">
              <w:rPr>
                <w:rFonts w:hint="eastAsia"/>
                <w:b/>
                <w:color w:val="000000"/>
                <w:spacing w:val="-38"/>
                <w:w w:val="15"/>
                <w:shd w:val="solid" w:color="000000" w:fill="000000"/>
                <w:fitText w:val="28" w:id="-1301008880"/>
                <w14:textFill>
                  <w14:solidFill>
                    <w14:srgbClr w14:val="000000">
                      <w14:alpha w14:val="100000"/>
                    </w14:srgbClr>
                  </w14:solidFill>
                </w14:textFill>
              </w:rPr>
              <w:t xml:space="preserve">　</w:t>
            </w:r>
            <w:r w:rsidR="008365A9">
              <w:rPr>
                <w:b/>
                <w:vertAlign w:val="superscript"/>
              </w:rPr>
              <w:t>3</w:t>
            </w:r>
          </w:p>
        </w:tc>
      </w:tr>
      <w:tr w:rsidR="00FB40DA" w:rsidRPr="000B2FEE" w14:paraId="1E3AE43D" w14:textId="77777777" w:rsidTr="002E3B9E">
        <w:tc>
          <w:tcPr>
            <w:tcW w:w="5000" w:type="pct"/>
            <w:gridSpan w:val="7"/>
            <w:tcBorders>
              <w:bottom w:val="single" w:sz="4" w:space="0" w:color="auto"/>
            </w:tcBorders>
            <w:shd w:val="clear" w:color="auto" w:fill="auto"/>
            <w:vAlign w:val="center"/>
          </w:tcPr>
          <w:p w14:paraId="36D4D6A2" w14:textId="77777777" w:rsidR="00FB40DA" w:rsidRPr="000B2FEE" w:rsidRDefault="00FB40DA" w:rsidP="00A72862">
            <w:pPr>
              <w:pStyle w:val="TableText0"/>
              <w:rPr>
                <w:b/>
              </w:rPr>
            </w:pPr>
            <w:r w:rsidRPr="000B2FEE">
              <w:rPr>
                <w:b/>
              </w:rPr>
              <w:t>Step 2: Time horizon 25 years, treatment costs only</w:t>
            </w:r>
          </w:p>
        </w:tc>
      </w:tr>
      <w:tr w:rsidR="00FB40DA" w:rsidRPr="000B2FEE" w14:paraId="025996C9" w14:textId="77777777" w:rsidTr="002E3B9E">
        <w:tc>
          <w:tcPr>
            <w:tcW w:w="1726" w:type="pct"/>
            <w:tcBorders>
              <w:top w:val="single" w:sz="4" w:space="0" w:color="auto"/>
              <w:bottom w:val="nil"/>
            </w:tcBorders>
            <w:shd w:val="clear" w:color="auto" w:fill="auto"/>
            <w:vAlign w:val="center"/>
          </w:tcPr>
          <w:p w14:paraId="5452B467" w14:textId="77777777" w:rsidR="00FB40DA" w:rsidRPr="000B2FEE" w:rsidRDefault="00FB40DA" w:rsidP="00FA0D96">
            <w:pPr>
              <w:pStyle w:val="TableText0"/>
              <w:rPr>
                <w:rFonts w:ascii="Times" w:hAnsi="Times"/>
              </w:rPr>
            </w:pPr>
            <w:r w:rsidRPr="000B2FEE">
              <w:t>Costs</w:t>
            </w:r>
          </w:p>
        </w:tc>
        <w:tc>
          <w:tcPr>
            <w:tcW w:w="629" w:type="pct"/>
            <w:tcBorders>
              <w:top w:val="single" w:sz="4" w:space="0" w:color="auto"/>
              <w:bottom w:val="nil"/>
            </w:tcBorders>
            <w:shd w:val="clear" w:color="auto" w:fill="auto"/>
            <w:vAlign w:val="center"/>
          </w:tcPr>
          <w:p w14:paraId="03DFAEC2" w14:textId="69B3A848" w:rsidR="00FB40DA" w:rsidRPr="000B2FEE" w:rsidRDefault="00FB40DA" w:rsidP="00A72862">
            <w:pPr>
              <w:pStyle w:val="TableText0"/>
              <w:jc w:val="center"/>
            </w:pPr>
            <w:r w:rsidRPr="000B2FEE">
              <w:t>$</w:t>
            </w:r>
            <w:r w:rsidR="00206B77" w:rsidRPr="00206B77">
              <w:rPr>
                <w:color w:val="000000"/>
                <w:shd w:val="solid" w:color="000000" w:fill="000000"/>
                <w14:textFill>
                  <w14:solidFill>
                    <w14:srgbClr w14:val="000000">
                      <w14:alpha w14:val="100000"/>
                    </w14:srgbClr>
                  </w14:solidFill>
                </w14:textFill>
              </w:rPr>
              <w:t>|</w:t>
            </w:r>
          </w:p>
        </w:tc>
        <w:tc>
          <w:tcPr>
            <w:tcW w:w="462" w:type="pct"/>
            <w:tcBorders>
              <w:top w:val="single" w:sz="4" w:space="0" w:color="auto"/>
              <w:bottom w:val="nil"/>
            </w:tcBorders>
            <w:shd w:val="clear" w:color="auto" w:fill="auto"/>
            <w:vAlign w:val="center"/>
          </w:tcPr>
          <w:p w14:paraId="37400C10" w14:textId="77777777" w:rsidR="00FB40DA" w:rsidRPr="00880394" w:rsidRDefault="00FB40DA" w:rsidP="00A72862">
            <w:pPr>
              <w:pStyle w:val="TableText0"/>
              <w:jc w:val="center"/>
            </w:pPr>
            <w:r w:rsidRPr="00880394">
              <w:t>$7,692</w:t>
            </w:r>
          </w:p>
        </w:tc>
        <w:tc>
          <w:tcPr>
            <w:tcW w:w="546" w:type="pct"/>
            <w:tcBorders>
              <w:top w:val="single" w:sz="4" w:space="0" w:color="auto"/>
              <w:bottom w:val="nil"/>
            </w:tcBorders>
            <w:shd w:val="clear" w:color="auto" w:fill="auto"/>
            <w:vAlign w:val="center"/>
          </w:tcPr>
          <w:p w14:paraId="2F1B9582" w14:textId="62A12DE0" w:rsidR="00FB40DA" w:rsidRPr="000B2FEE" w:rsidRDefault="00FB40DA" w:rsidP="00A72862">
            <w:pPr>
              <w:pStyle w:val="TableText0"/>
              <w:jc w:val="center"/>
            </w:pPr>
            <w:r w:rsidRPr="000B2FEE">
              <w:t>$</w:t>
            </w:r>
            <w:r w:rsidR="00206B77" w:rsidRPr="00381965">
              <w:rPr>
                <w:rFonts w:hint="eastAsia"/>
                <w:color w:val="000000"/>
                <w:w w:val="15"/>
                <w:shd w:val="solid" w:color="000000" w:fill="000000"/>
                <w:fitText w:val="36" w:id="-1301008896"/>
                <w14:textFill>
                  <w14:solidFill>
                    <w14:srgbClr w14:val="000000">
                      <w14:alpha w14:val="100000"/>
                    </w14:srgbClr>
                  </w14:solidFill>
                </w14:textFill>
              </w:rPr>
              <w:t xml:space="preserve">　</w:t>
            </w:r>
            <w:r w:rsidR="00206B77" w:rsidRPr="00381965">
              <w:rPr>
                <w:color w:val="000000"/>
                <w:w w:val="15"/>
                <w:shd w:val="solid" w:color="000000" w:fill="000000"/>
                <w:fitText w:val="36" w:id="-1301008896"/>
                <w14:textFill>
                  <w14:solidFill>
                    <w14:srgbClr w14:val="000000">
                      <w14:alpha w14:val="100000"/>
                    </w14:srgbClr>
                  </w14:solidFill>
                </w14:textFill>
              </w:rPr>
              <w:t>|</w:t>
            </w:r>
            <w:r w:rsidR="00206B77" w:rsidRPr="00381965">
              <w:rPr>
                <w:rFonts w:hint="eastAsia"/>
                <w:color w:val="000000"/>
                <w:spacing w:val="-29"/>
                <w:w w:val="15"/>
                <w:shd w:val="solid" w:color="000000" w:fill="000000"/>
                <w:fitText w:val="36" w:id="-1301008896"/>
                <w14:textFill>
                  <w14:solidFill>
                    <w14:srgbClr w14:val="000000">
                      <w14:alpha w14:val="100000"/>
                    </w14:srgbClr>
                  </w14:solidFill>
                </w14:textFill>
              </w:rPr>
              <w:t xml:space="preserve">　</w:t>
            </w:r>
          </w:p>
        </w:tc>
        <w:tc>
          <w:tcPr>
            <w:tcW w:w="644" w:type="pct"/>
            <w:tcBorders>
              <w:top w:val="single" w:sz="4" w:space="0" w:color="auto"/>
              <w:bottom w:val="nil"/>
            </w:tcBorders>
            <w:shd w:val="clear" w:color="auto" w:fill="auto"/>
            <w:vAlign w:val="center"/>
          </w:tcPr>
          <w:p w14:paraId="504371F2" w14:textId="684C5BC3" w:rsidR="00FB40DA" w:rsidRPr="000B2FEE" w:rsidRDefault="00FB40DA" w:rsidP="00A72862">
            <w:pPr>
              <w:pStyle w:val="TableText0"/>
              <w:jc w:val="center"/>
            </w:pPr>
            <w:r w:rsidRPr="000B2FEE">
              <w:t>$</w:t>
            </w:r>
            <w:r w:rsidR="00206B77" w:rsidRPr="00206B77">
              <w:rPr>
                <w:color w:val="000000"/>
                <w:shd w:val="solid" w:color="000000" w:fill="000000"/>
                <w14:textFill>
                  <w14:solidFill>
                    <w14:srgbClr w14:val="000000">
                      <w14:alpha w14:val="100000"/>
                    </w14:srgbClr>
                  </w14:solidFill>
                </w14:textFill>
              </w:rPr>
              <w:t>|</w:t>
            </w:r>
          </w:p>
        </w:tc>
        <w:tc>
          <w:tcPr>
            <w:tcW w:w="447" w:type="pct"/>
            <w:tcBorders>
              <w:top w:val="single" w:sz="4" w:space="0" w:color="auto"/>
              <w:bottom w:val="nil"/>
            </w:tcBorders>
            <w:shd w:val="clear" w:color="auto" w:fill="auto"/>
            <w:vAlign w:val="center"/>
          </w:tcPr>
          <w:p w14:paraId="467722F6" w14:textId="77777777" w:rsidR="00FB40DA" w:rsidRPr="000B2FEE" w:rsidRDefault="00FB40DA" w:rsidP="00A72862">
            <w:pPr>
              <w:pStyle w:val="TableText0"/>
              <w:jc w:val="center"/>
            </w:pPr>
            <w:r w:rsidRPr="00880394">
              <w:t>$7,542</w:t>
            </w:r>
          </w:p>
        </w:tc>
        <w:tc>
          <w:tcPr>
            <w:tcW w:w="546" w:type="pct"/>
            <w:tcBorders>
              <w:top w:val="single" w:sz="4" w:space="0" w:color="auto"/>
              <w:bottom w:val="nil"/>
            </w:tcBorders>
            <w:shd w:val="clear" w:color="auto" w:fill="auto"/>
            <w:vAlign w:val="center"/>
          </w:tcPr>
          <w:p w14:paraId="63850D3C" w14:textId="062E579C" w:rsidR="00FB40DA" w:rsidRPr="000B2FEE" w:rsidRDefault="00FB40DA" w:rsidP="00A72862">
            <w:pPr>
              <w:pStyle w:val="TableText0"/>
              <w:jc w:val="center"/>
            </w:pPr>
            <w:r w:rsidRPr="000B2FEE">
              <w:t>$</w:t>
            </w:r>
            <w:r w:rsidR="00206B77" w:rsidRPr="00381965">
              <w:rPr>
                <w:rFonts w:hint="eastAsia"/>
                <w:color w:val="000000"/>
                <w:w w:val="15"/>
                <w:shd w:val="solid" w:color="000000" w:fill="000000"/>
                <w:fitText w:val="36" w:id="-1301008895"/>
                <w14:textFill>
                  <w14:solidFill>
                    <w14:srgbClr w14:val="000000">
                      <w14:alpha w14:val="100000"/>
                    </w14:srgbClr>
                  </w14:solidFill>
                </w14:textFill>
              </w:rPr>
              <w:t xml:space="preserve">　</w:t>
            </w:r>
            <w:r w:rsidR="00206B77" w:rsidRPr="00381965">
              <w:rPr>
                <w:color w:val="000000"/>
                <w:w w:val="15"/>
                <w:shd w:val="solid" w:color="000000" w:fill="000000"/>
                <w:fitText w:val="36" w:id="-1301008895"/>
                <w14:textFill>
                  <w14:solidFill>
                    <w14:srgbClr w14:val="000000">
                      <w14:alpha w14:val="100000"/>
                    </w14:srgbClr>
                  </w14:solidFill>
                </w14:textFill>
              </w:rPr>
              <w:t>|</w:t>
            </w:r>
            <w:r w:rsidR="00206B77" w:rsidRPr="00381965">
              <w:rPr>
                <w:rFonts w:hint="eastAsia"/>
                <w:color w:val="000000"/>
                <w:spacing w:val="-29"/>
                <w:w w:val="15"/>
                <w:shd w:val="solid" w:color="000000" w:fill="000000"/>
                <w:fitText w:val="36" w:id="-1301008895"/>
                <w14:textFill>
                  <w14:solidFill>
                    <w14:srgbClr w14:val="000000">
                      <w14:alpha w14:val="100000"/>
                    </w14:srgbClr>
                  </w14:solidFill>
                </w14:textFill>
              </w:rPr>
              <w:t xml:space="preserve">　</w:t>
            </w:r>
          </w:p>
        </w:tc>
      </w:tr>
      <w:tr w:rsidR="00FB40DA" w:rsidRPr="000B2FEE" w14:paraId="207CDA61" w14:textId="77777777" w:rsidTr="00A72862">
        <w:tc>
          <w:tcPr>
            <w:tcW w:w="1726" w:type="pct"/>
            <w:tcBorders>
              <w:top w:val="nil"/>
              <w:bottom w:val="nil"/>
            </w:tcBorders>
            <w:shd w:val="clear" w:color="auto" w:fill="auto"/>
            <w:vAlign w:val="center"/>
          </w:tcPr>
          <w:p w14:paraId="41FA4448" w14:textId="77777777" w:rsidR="00FB40DA" w:rsidRPr="000B2FEE" w:rsidRDefault="00FB40DA" w:rsidP="00FA0D96">
            <w:pPr>
              <w:pStyle w:val="TableText0"/>
            </w:pPr>
            <w:r w:rsidRPr="000B2FEE">
              <w:t>LYs</w:t>
            </w:r>
          </w:p>
        </w:tc>
        <w:tc>
          <w:tcPr>
            <w:tcW w:w="629" w:type="pct"/>
            <w:tcBorders>
              <w:top w:val="nil"/>
              <w:bottom w:val="nil"/>
            </w:tcBorders>
            <w:shd w:val="clear" w:color="auto" w:fill="auto"/>
            <w:vAlign w:val="center"/>
          </w:tcPr>
          <w:p w14:paraId="391A5EE4" w14:textId="77777777" w:rsidR="00FB40DA" w:rsidRPr="000B2FEE" w:rsidRDefault="00FB40DA" w:rsidP="00A72862">
            <w:pPr>
              <w:pStyle w:val="TableText0"/>
              <w:jc w:val="center"/>
            </w:pPr>
            <w:r w:rsidRPr="000B2FEE">
              <w:t>10.43</w:t>
            </w:r>
          </w:p>
        </w:tc>
        <w:tc>
          <w:tcPr>
            <w:tcW w:w="462" w:type="pct"/>
            <w:tcBorders>
              <w:top w:val="nil"/>
              <w:bottom w:val="nil"/>
            </w:tcBorders>
            <w:shd w:val="clear" w:color="auto" w:fill="auto"/>
            <w:vAlign w:val="center"/>
          </w:tcPr>
          <w:p w14:paraId="43B72E6A" w14:textId="3EE95CE7" w:rsidR="00FB40DA" w:rsidRPr="00880394" w:rsidRDefault="00FB40DA" w:rsidP="00A72862">
            <w:pPr>
              <w:pStyle w:val="TableText0"/>
              <w:jc w:val="center"/>
            </w:pPr>
            <w:r w:rsidRPr="00880394">
              <w:t>9.</w:t>
            </w:r>
            <w:r w:rsidR="0047142A" w:rsidRPr="00880394">
              <w:t>9</w:t>
            </w:r>
            <w:r w:rsidRPr="00880394">
              <w:t>8</w:t>
            </w:r>
          </w:p>
        </w:tc>
        <w:tc>
          <w:tcPr>
            <w:tcW w:w="546" w:type="pct"/>
            <w:tcBorders>
              <w:top w:val="nil"/>
              <w:bottom w:val="nil"/>
            </w:tcBorders>
            <w:shd w:val="clear" w:color="auto" w:fill="auto"/>
            <w:vAlign w:val="center"/>
          </w:tcPr>
          <w:p w14:paraId="657C6D53" w14:textId="77777777" w:rsidR="00FB40DA" w:rsidRPr="000B2FEE" w:rsidRDefault="00FB40DA" w:rsidP="00A72862">
            <w:pPr>
              <w:pStyle w:val="TableText0"/>
              <w:jc w:val="center"/>
            </w:pPr>
            <w:r w:rsidRPr="000B2FEE">
              <w:t>0.45</w:t>
            </w:r>
          </w:p>
        </w:tc>
        <w:tc>
          <w:tcPr>
            <w:tcW w:w="644" w:type="pct"/>
            <w:tcBorders>
              <w:top w:val="nil"/>
              <w:bottom w:val="nil"/>
            </w:tcBorders>
            <w:shd w:val="clear" w:color="auto" w:fill="auto"/>
            <w:vAlign w:val="center"/>
          </w:tcPr>
          <w:p w14:paraId="717AFAAA" w14:textId="77777777" w:rsidR="00FB40DA" w:rsidRPr="000B2FEE" w:rsidRDefault="00FB40DA" w:rsidP="00A72862">
            <w:pPr>
              <w:pStyle w:val="TableText0"/>
              <w:jc w:val="center"/>
            </w:pPr>
            <w:r w:rsidRPr="000B2FEE">
              <w:t>10.14</w:t>
            </w:r>
          </w:p>
        </w:tc>
        <w:tc>
          <w:tcPr>
            <w:tcW w:w="447" w:type="pct"/>
            <w:tcBorders>
              <w:top w:val="nil"/>
              <w:bottom w:val="nil"/>
            </w:tcBorders>
            <w:shd w:val="clear" w:color="auto" w:fill="auto"/>
            <w:vAlign w:val="center"/>
          </w:tcPr>
          <w:p w14:paraId="15EF5315" w14:textId="77777777" w:rsidR="00FB40DA" w:rsidRPr="000B2FEE" w:rsidRDefault="00FB40DA" w:rsidP="00A72862">
            <w:pPr>
              <w:pStyle w:val="TableText0"/>
              <w:jc w:val="center"/>
            </w:pPr>
            <w:r w:rsidRPr="000B2FEE">
              <w:t>9.33</w:t>
            </w:r>
          </w:p>
        </w:tc>
        <w:tc>
          <w:tcPr>
            <w:tcW w:w="546" w:type="pct"/>
            <w:tcBorders>
              <w:top w:val="nil"/>
              <w:bottom w:val="nil"/>
            </w:tcBorders>
            <w:shd w:val="clear" w:color="auto" w:fill="auto"/>
            <w:vAlign w:val="center"/>
          </w:tcPr>
          <w:p w14:paraId="195301E8" w14:textId="77777777" w:rsidR="00FB40DA" w:rsidRPr="000B2FEE" w:rsidRDefault="00FB40DA" w:rsidP="00A72862">
            <w:pPr>
              <w:pStyle w:val="TableText0"/>
              <w:jc w:val="center"/>
            </w:pPr>
            <w:r w:rsidRPr="000B2FEE">
              <w:t>0.81</w:t>
            </w:r>
          </w:p>
        </w:tc>
      </w:tr>
      <w:tr w:rsidR="00FB40DA" w:rsidRPr="000B2FEE" w14:paraId="36FFFF29" w14:textId="77777777" w:rsidTr="00A72862">
        <w:trPr>
          <w:trHeight w:val="70"/>
        </w:trPr>
        <w:tc>
          <w:tcPr>
            <w:tcW w:w="1726" w:type="pct"/>
            <w:tcBorders>
              <w:top w:val="nil"/>
              <w:bottom w:val="nil"/>
            </w:tcBorders>
            <w:shd w:val="clear" w:color="auto" w:fill="auto"/>
            <w:vAlign w:val="center"/>
          </w:tcPr>
          <w:p w14:paraId="70D27E72" w14:textId="77777777" w:rsidR="00FB40DA" w:rsidRPr="000B2FEE" w:rsidRDefault="00FB40DA" w:rsidP="00FA0D96">
            <w:pPr>
              <w:pStyle w:val="TableText0"/>
            </w:pPr>
            <w:r w:rsidRPr="000B2FEE">
              <w:t>QALYs</w:t>
            </w:r>
          </w:p>
        </w:tc>
        <w:tc>
          <w:tcPr>
            <w:tcW w:w="629" w:type="pct"/>
            <w:tcBorders>
              <w:top w:val="nil"/>
              <w:bottom w:val="nil"/>
            </w:tcBorders>
            <w:shd w:val="clear" w:color="auto" w:fill="auto"/>
            <w:vAlign w:val="center"/>
          </w:tcPr>
          <w:p w14:paraId="5649D8FE" w14:textId="77777777" w:rsidR="00FB40DA" w:rsidRPr="000B2FEE" w:rsidRDefault="00FB40DA" w:rsidP="00A72862">
            <w:pPr>
              <w:pStyle w:val="TableText0"/>
              <w:jc w:val="center"/>
            </w:pPr>
            <w:r w:rsidRPr="000B2FEE">
              <w:t>8.33</w:t>
            </w:r>
          </w:p>
        </w:tc>
        <w:tc>
          <w:tcPr>
            <w:tcW w:w="462" w:type="pct"/>
            <w:tcBorders>
              <w:top w:val="nil"/>
              <w:bottom w:val="nil"/>
            </w:tcBorders>
            <w:shd w:val="clear" w:color="auto" w:fill="auto"/>
            <w:vAlign w:val="center"/>
          </w:tcPr>
          <w:p w14:paraId="6A167298" w14:textId="77777777" w:rsidR="00FB40DA" w:rsidRPr="000B2FEE" w:rsidRDefault="00FB40DA" w:rsidP="00A72862">
            <w:pPr>
              <w:pStyle w:val="TableText0"/>
              <w:jc w:val="center"/>
            </w:pPr>
            <w:r w:rsidRPr="000B2FEE">
              <w:t>7.95</w:t>
            </w:r>
          </w:p>
        </w:tc>
        <w:tc>
          <w:tcPr>
            <w:tcW w:w="546" w:type="pct"/>
            <w:tcBorders>
              <w:top w:val="nil"/>
              <w:bottom w:val="nil"/>
            </w:tcBorders>
            <w:shd w:val="clear" w:color="auto" w:fill="auto"/>
            <w:vAlign w:val="center"/>
          </w:tcPr>
          <w:p w14:paraId="7A3727C1" w14:textId="77777777" w:rsidR="00FB40DA" w:rsidRPr="000B2FEE" w:rsidRDefault="00FB40DA" w:rsidP="00A72862">
            <w:pPr>
              <w:pStyle w:val="TableText0"/>
              <w:jc w:val="center"/>
            </w:pPr>
            <w:r w:rsidRPr="000B2FEE">
              <w:t>0.39</w:t>
            </w:r>
          </w:p>
        </w:tc>
        <w:tc>
          <w:tcPr>
            <w:tcW w:w="644" w:type="pct"/>
            <w:tcBorders>
              <w:top w:val="nil"/>
              <w:bottom w:val="nil"/>
            </w:tcBorders>
            <w:shd w:val="clear" w:color="auto" w:fill="auto"/>
            <w:vAlign w:val="center"/>
          </w:tcPr>
          <w:p w14:paraId="30FCFE97" w14:textId="77777777" w:rsidR="00FB40DA" w:rsidRPr="000B2FEE" w:rsidRDefault="00FB40DA" w:rsidP="00A72862">
            <w:pPr>
              <w:pStyle w:val="TableText0"/>
              <w:jc w:val="center"/>
            </w:pPr>
            <w:r w:rsidRPr="000B2FEE">
              <w:t>8.11</w:t>
            </w:r>
          </w:p>
        </w:tc>
        <w:tc>
          <w:tcPr>
            <w:tcW w:w="447" w:type="pct"/>
            <w:tcBorders>
              <w:top w:val="nil"/>
              <w:bottom w:val="nil"/>
            </w:tcBorders>
            <w:shd w:val="clear" w:color="auto" w:fill="auto"/>
            <w:vAlign w:val="center"/>
          </w:tcPr>
          <w:p w14:paraId="74BFBAD9" w14:textId="77777777" w:rsidR="00FB40DA" w:rsidRPr="000B2FEE" w:rsidRDefault="00FB40DA" w:rsidP="00A72862">
            <w:pPr>
              <w:pStyle w:val="TableText0"/>
              <w:jc w:val="center"/>
            </w:pPr>
            <w:r w:rsidRPr="000B2FEE">
              <w:t>7.41</w:t>
            </w:r>
          </w:p>
        </w:tc>
        <w:tc>
          <w:tcPr>
            <w:tcW w:w="546" w:type="pct"/>
            <w:tcBorders>
              <w:top w:val="nil"/>
              <w:bottom w:val="nil"/>
            </w:tcBorders>
            <w:shd w:val="clear" w:color="auto" w:fill="auto"/>
            <w:vAlign w:val="center"/>
          </w:tcPr>
          <w:p w14:paraId="7A70086C" w14:textId="77777777" w:rsidR="00FB40DA" w:rsidRPr="000B2FEE" w:rsidRDefault="00FB40DA" w:rsidP="00A72862">
            <w:pPr>
              <w:pStyle w:val="TableText0"/>
              <w:jc w:val="center"/>
            </w:pPr>
            <w:r w:rsidRPr="000B2FEE">
              <w:t>0.70</w:t>
            </w:r>
          </w:p>
        </w:tc>
      </w:tr>
      <w:tr w:rsidR="00FB40DA" w:rsidRPr="000B2FEE" w14:paraId="444CD84A" w14:textId="77777777" w:rsidTr="002E3B9E">
        <w:tc>
          <w:tcPr>
            <w:tcW w:w="1726" w:type="pct"/>
            <w:tcBorders>
              <w:top w:val="nil"/>
              <w:bottom w:val="single" w:sz="4" w:space="0" w:color="auto"/>
            </w:tcBorders>
            <w:shd w:val="clear" w:color="auto" w:fill="auto"/>
            <w:vAlign w:val="center"/>
          </w:tcPr>
          <w:p w14:paraId="15EC9F57" w14:textId="77777777" w:rsidR="00FB40DA" w:rsidRPr="000B2FEE" w:rsidRDefault="00FB40DA" w:rsidP="00FA0D96">
            <w:pPr>
              <w:pStyle w:val="TableText0"/>
              <w:rPr>
                <w:b/>
              </w:rPr>
            </w:pPr>
            <w:r w:rsidRPr="000B2FEE">
              <w:rPr>
                <w:b/>
              </w:rPr>
              <w:t>Incremental cost/extra QALY gained</w:t>
            </w:r>
          </w:p>
        </w:tc>
        <w:tc>
          <w:tcPr>
            <w:tcW w:w="629" w:type="pct"/>
            <w:tcBorders>
              <w:top w:val="nil"/>
              <w:bottom w:val="single" w:sz="4" w:space="0" w:color="auto"/>
            </w:tcBorders>
            <w:shd w:val="clear" w:color="auto" w:fill="auto"/>
            <w:vAlign w:val="center"/>
          </w:tcPr>
          <w:p w14:paraId="31A97F1C" w14:textId="77777777" w:rsidR="00FB40DA" w:rsidRPr="000B2FEE" w:rsidRDefault="00FB40DA" w:rsidP="00A72862">
            <w:pPr>
              <w:pStyle w:val="TableText0"/>
              <w:jc w:val="center"/>
              <w:rPr>
                <w:b/>
              </w:rPr>
            </w:pPr>
          </w:p>
        </w:tc>
        <w:tc>
          <w:tcPr>
            <w:tcW w:w="462" w:type="pct"/>
            <w:tcBorders>
              <w:top w:val="nil"/>
              <w:bottom w:val="single" w:sz="4" w:space="0" w:color="auto"/>
            </w:tcBorders>
            <w:shd w:val="clear" w:color="auto" w:fill="auto"/>
            <w:vAlign w:val="center"/>
          </w:tcPr>
          <w:p w14:paraId="4E7E18FB" w14:textId="77777777" w:rsidR="00FB40DA" w:rsidRPr="000B2FEE" w:rsidRDefault="00FB40DA" w:rsidP="00A72862">
            <w:pPr>
              <w:pStyle w:val="TableText0"/>
              <w:jc w:val="center"/>
              <w:rPr>
                <w:b/>
              </w:rPr>
            </w:pPr>
          </w:p>
        </w:tc>
        <w:tc>
          <w:tcPr>
            <w:tcW w:w="546" w:type="pct"/>
            <w:tcBorders>
              <w:top w:val="nil"/>
              <w:bottom w:val="single" w:sz="4" w:space="0" w:color="auto"/>
            </w:tcBorders>
            <w:shd w:val="clear" w:color="auto" w:fill="auto"/>
            <w:vAlign w:val="center"/>
          </w:tcPr>
          <w:p w14:paraId="56913DC8" w14:textId="72D15591" w:rsidR="00FB40DA" w:rsidRPr="000B2FEE" w:rsidRDefault="00FB40DA" w:rsidP="00A72862">
            <w:pPr>
              <w:pStyle w:val="TableText0"/>
              <w:jc w:val="center"/>
              <w:rPr>
                <w:b/>
              </w:rPr>
            </w:pPr>
            <w:r w:rsidRPr="000B2FEE">
              <w:rPr>
                <w:b/>
              </w:rPr>
              <w:t>$</w:t>
            </w:r>
            <w:r w:rsidR="00206B77" w:rsidRPr="00381965">
              <w:rPr>
                <w:rFonts w:hint="eastAsia"/>
                <w:b/>
                <w:color w:val="000000"/>
                <w:w w:val="15"/>
                <w:shd w:val="solid" w:color="000000" w:fill="000000"/>
                <w:fitText w:val="65" w:id="-1301008894"/>
                <w14:textFill>
                  <w14:solidFill>
                    <w14:srgbClr w14:val="000000">
                      <w14:alpha w14:val="100000"/>
                    </w14:srgbClr>
                  </w14:solidFill>
                </w14:textFill>
              </w:rPr>
              <w:t xml:space="preserve">　</w:t>
            </w:r>
            <w:r w:rsidR="00206B77" w:rsidRPr="00381965">
              <w:rPr>
                <w:b/>
                <w:color w:val="000000"/>
                <w:w w:val="15"/>
                <w:shd w:val="solid" w:color="000000" w:fill="000000"/>
                <w:fitText w:val="65" w:id="-1301008894"/>
                <w14:textFill>
                  <w14:solidFill>
                    <w14:srgbClr w14:val="000000">
                      <w14:alpha w14:val="100000"/>
                    </w14:srgbClr>
                  </w14:solidFill>
                </w14:textFill>
              </w:rPr>
              <w:t>|</w:t>
            </w:r>
            <w:r w:rsidR="00206B77" w:rsidRPr="00381965">
              <w:rPr>
                <w:rFonts w:hint="eastAsia"/>
                <w:b/>
                <w:color w:val="000000"/>
                <w:spacing w:val="-1"/>
                <w:w w:val="15"/>
                <w:shd w:val="solid" w:color="000000" w:fill="000000"/>
                <w:fitText w:val="65" w:id="-1301008894"/>
                <w14:textFill>
                  <w14:solidFill>
                    <w14:srgbClr w14:val="000000">
                      <w14:alpha w14:val="100000"/>
                    </w14:srgbClr>
                  </w14:solidFill>
                </w14:textFill>
              </w:rPr>
              <w:t xml:space="preserve">　</w:t>
            </w:r>
            <w:r w:rsidR="008365A9" w:rsidRPr="008365A9">
              <w:rPr>
                <w:b/>
                <w:vertAlign w:val="superscript"/>
              </w:rPr>
              <w:t>1</w:t>
            </w:r>
          </w:p>
        </w:tc>
        <w:tc>
          <w:tcPr>
            <w:tcW w:w="644" w:type="pct"/>
            <w:tcBorders>
              <w:top w:val="nil"/>
              <w:bottom w:val="single" w:sz="4" w:space="0" w:color="auto"/>
            </w:tcBorders>
            <w:shd w:val="clear" w:color="auto" w:fill="auto"/>
            <w:vAlign w:val="center"/>
          </w:tcPr>
          <w:p w14:paraId="1CFC1160" w14:textId="77777777" w:rsidR="00FB40DA" w:rsidRPr="000B2FEE" w:rsidRDefault="00FB40DA" w:rsidP="00A72862">
            <w:pPr>
              <w:pStyle w:val="TableText0"/>
              <w:jc w:val="center"/>
              <w:rPr>
                <w:b/>
              </w:rPr>
            </w:pPr>
          </w:p>
        </w:tc>
        <w:tc>
          <w:tcPr>
            <w:tcW w:w="447" w:type="pct"/>
            <w:tcBorders>
              <w:top w:val="nil"/>
              <w:bottom w:val="single" w:sz="4" w:space="0" w:color="auto"/>
            </w:tcBorders>
            <w:shd w:val="clear" w:color="auto" w:fill="auto"/>
            <w:vAlign w:val="center"/>
          </w:tcPr>
          <w:p w14:paraId="0D33630D" w14:textId="77777777" w:rsidR="00FB40DA" w:rsidRPr="000B2FEE" w:rsidRDefault="00FB40DA" w:rsidP="00A72862">
            <w:pPr>
              <w:pStyle w:val="TableText0"/>
              <w:jc w:val="center"/>
              <w:rPr>
                <w:b/>
              </w:rPr>
            </w:pPr>
          </w:p>
        </w:tc>
        <w:tc>
          <w:tcPr>
            <w:tcW w:w="546" w:type="pct"/>
            <w:tcBorders>
              <w:top w:val="nil"/>
              <w:bottom w:val="single" w:sz="4" w:space="0" w:color="auto"/>
            </w:tcBorders>
            <w:shd w:val="clear" w:color="auto" w:fill="auto"/>
            <w:vAlign w:val="center"/>
          </w:tcPr>
          <w:p w14:paraId="076B8EAB" w14:textId="3FA5F1DB" w:rsidR="00FB40DA" w:rsidRPr="000B2FEE" w:rsidRDefault="00FB40DA" w:rsidP="00A72862">
            <w:pPr>
              <w:pStyle w:val="TableText0"/>
              <w:jc w:val="center"/>
              <w:rPr>
                <w:b/>
              </w:rPr>
            </w:pPr>
            <w:r w:rsidRPr="000B2FEE">
              <w:rPr>
                <w:b/>
              </w:rPr>
              <w:t>$</w:t>
            </w:r>
            <w:r w:rsidR="00206B77" w:rsidRPr="00381965">
              <w:rPr>
                <w:rFonts w:hint="eastAsia"/>
                <w:b/>
                <w:color w:val="000000"/>
                <w:w w:val="15"/>
                <w:shd w:val="solid" w:color="000000" w:fill="000000"/>
                <w:fitText w:val="64" w:id="-1301008893"/>
                <w14:textFill>
                  <w14:solidFill>
                    <w14:srgbClr w14:val="000000">
                      <w14:alpha w14:val="100000"/>
                    </w14:srgbClr>
                  </w14:solidFill>
                </w14:textFill>
              </w:rPr>
              <w:t xml:space="preserve">　</w:t>
            </w:r>
            <w:r w:rsidR="00206B77" w:rsidRPr="00381965">
              <w:rPr>
                <w:b/>
                <w:color w:val="000000"/>
                <w:w w:val="15"/>
                <w:shd w:val="solid" w:color="000000" w:fill="000000"/>
                <w:fitText w:val="64" w:id="-1301008893"/>
                <w14:textFill>
                  <w14:solidFill>
                    <w14:srgbClr w14:val="000000">
                      <w14:alpha w14:val="100000"/>
                    </w14:srgbClr>
                  </w14:solidFill>
                </w14:textFill>
              </w:rPr>
              <w:t>|</w:t>
            </w:r>
            <w:r w:rsidR="00206B77" w:rsidRPr="00381965">
              <w:rPr>
                <w:rFonts w:hint="eastAsia"/>
                <w:b/>
                <w:color w:val="000000"/>
                <w:spacing w:val="-2"/>
                <w:w w:val="15"/>
                <w:shd w:val="solid" w:color="000000" w:fill="000000"/>
                <w:fitText w:val="64" w:id="-1301008893"/>
                <w14:textFill>
                  <w14:solidFill>
                    <w14:srgbClr w14:val="000000">
                      <w14:alpha w14:val="100000"/>
                    </w14:srgbClr>
                  </w14:solidFill>
                </w14:textFill>
              </w:rPr>
              <w:t xml:space="preserve">　</w:t>
            </w:r>
            <w:r w:rsidR="008365A9" w:rsidRPr="008365A9">
              <w:rPr>
                <w:b/>
                <w:sz w:val="18"/>
                <w:szCs w:val="18"/>
                <w:vertAlign w:val="superscript"/>
              </w:rPr>
              <w:t>4</w:t>
            </w:r>
          </w:p>
        </w:tc>
      </w:tr>
      <w:tr w:rsidR="00FB40DA" w:rsidRPr="000B2FEE" w14:paraId="034B5E43" w14:textId="77777777" w:rsidTr="002E3B9E">
        <w:tc>
          <w:tcPr>
            <w:tcW w:w="5000" w:type="pct"/>
            <w:gridSpan w:val="7"/>
            <w:tcBorders>
              <w:top w:val="single" w:sz="4" w:space="0" w:color="auto"/>
              <w:bottom w:val="single" w:sz="4" w:space="0" w:color="auto"/>
            </w:tcBorders>
            <w:shd w:val="clear" w:color="auto" w:fill="auto"/>
            <w:vAlign w:val="center"/>
          </w:tcPr>
          <w:p w14:paraId="53126221" w14:textId="77777777" w:rsidR="00FB40DA" w:rsidRPr="000B2FEE" w:rsidRDefault="00FB40DA" w:rsidP="00A72862">
            <w:pPr>
              <w:pStyle w:val="TableText0"/>
              <w:rPr>
                <w:b/>
              </w:rPr>
            </w:pPr>
            <w:r w:rsidRPr="000B2FEE">
              <w:rPr>
                <w:b/>
              </w:rPr>
              <w:t>Step 3: Time horizon 25 years, treatment and MRU costs</w:t>
            </w:r>
          </w:p>
        </w:tc>
      </w:tr>
      <w:tr w:rsidR="00FB40DA" w:rsidRPr="000B2FEE" w14:paraId="2F76845C" w14:textId="77777777" w:rsidTr="002E3B9E">
        <w:tc>
          <w:tcPr>
            <w:tcW w:w="1726" w:type="pct"/>
            <w:tcBorders>
              <w:top w:val="single" w:sz="4" w:space="0" w:color="auto"/>
              <w:bottom w:val="nil"/>
            </w:tcBorders>
            <w:shd w:val="clear" w:color="auto" w:fill="auto"/>
            <w:vAlign w:val="center"/>
          </w:tcPr>
          <w:p w14:paraId="7D6BF4BF" w14:textId="77777777" w:rsidR="00FB40DA" w:rsidRPr="000B2FEE" w:rsidRDefault="00FB40DA" w:rsidP="00FA0D96">
            <w:pPr>
              <w:pStyle w:val="TableText0"/>
            </w:pPr>
            <w:r w:rsidRPr="000B2FEE">
              <w:t>Costs</w:t>
            </w:r>
          </w:p>
        </w:tc>
        <w:tc>
          <w:tcPr>
            <w:tcW w:w="629" w:type="pct"/>
            <w:tcBorders>
              <w:top w:val="single" w:sz="4" w:space="0" w:color="auto"/>
              <w:bottom w:val="nil"/>
            </w:tcBorders>
            <w:shd w:val="clear" w:color="auto" w:fill="auto"/>
            <w:vAlign w:val="center"/>
          </w:tcPr>
          <w:p w14:paraId="31993D60" w14:textId="1CBE79B0" w:rsidR="00FB40DA" w:rsidRPr="000B2FEE" w:rsidRDefault="00FB40DA" w:rsidP="00A72862">
            <w:pPr>
              <w:pStyle w:val="TableText0"/>
              <w:jc w:val="center"/>
            </w:pPr>
            <w:r w:rsidRPr="000B2FEE">
              <w:t>$</w:t>
            </w:r>
            <w:r w:rsidR="00206B77" w:rsidRPr="00206B77">
              <w:rPr>
                <w:color w:val="000000"/>
                <w:shd w:val="solid" w:color="000000" w:fill="000000"/>
                <w14:textFill>
                  <w14:solidFill>
                    <w14:srgbClr w14:val="000000">
                      <w14:alpha w14:val="100000"/>
                    </w14:srgbClr>
                  </w14:solidFill>
                </w14:textFill>
              </w:rPr>
              <w:t>|</w:t>
            </w:r>
          </w:p>
        </w:tc>
        <w:tc>
          <w:tcPr>
            <w:tcW w:w="462" w:type="pct"/>
            <w:tcBorders>
              <w:top w:val="single" w:sz="4" w:space="0" w:color="auto"/>
              <w:bottom w:val="nil"/>
            </w:tcBorders>
            <w:shd w:val="clear" w:color="auto" w:fill="auto"/>
            <w:vAlign w:val="center"/>
          </w:tcPr>
          <w:p w14:paraId="5ED44B56" w14:textId="77777777" w:rsidR="00FB40DA" w:rsidRPr="000B2FEE" w:rsidRDefault="00FB40DA" w:rsidP="00A72862">
            <w:pPr>
              <w:pStyle w:val="TableText0"/>
              <w:jc w:val="center"/>
            </w:pPr>
            <w:r w:rsidRPr="000B2FEE">
              <w:t>$</w:t>
            </w:r>
            <w:r w:rsidRPr="00880394">
              <w:t>10,362</w:t>
            </w:r>
          </w:p>
        </w:tc>
        <w:tc>
          <w:tcPr>
            <w:tcW w:w="546" w:type="pct"/>
            <w:tcBorders>
              <w:top w:val="single" w:sz="4" w:space="0" w:color="auto"/>
              <w:bottom w:val="nil"/>
            </w:tcBorders>
            <w:shd w:val="clear" w:color="auto" w:fill="auto"/>
            <w:vAlign w:val="center"/>
          </w:tcPr>
          <w:p w14:paraId="115B1CAE" w14:textId="650F4242" w:rsidR="00FB40DA" w:rsidRPr="000B2FEE" w:rsidRDefault="00FB40DA" w:rsidP="00A72862">
            <w:pPr>
              <w:pStyle w:val="TableText0"/>
              <w:jc w:val="center"/>
            </w:pPr>
            <w:r w:rsidRPr="000B2FEE">
              <w:t>$</w:t>
            </w:r>
            <w:r w:rsidR="00206B77" w:rsidRPr="00381965">
              <w:rPr>
                <w:rFonts w:hint="eastAsia"/>
                <w:color w:val="000000"/>
                <w:w w:val="15"/>
                <w:shd w:val="solid" w:color="000000" w:fill="000000"/>
                <w:fitText w:val="36" w:id="-1301008892"/>
                <w14:textFill>
                  <w14:solidFill>
                    <w14:srgbClr w14:val="000000">
                      <w14:alpha w14:val="100000"/>
                    </w14:srgbClr>
                  </w14:solidFill>
                </w14:textFill>
              </w:rPr>
              <w:t xml:space="preserve">　</w:t>
            </w:r>
            <w:r w:rsidR="00206B77" w:rsidRPr="00381965">
              <w:rPr>
                <w:color w:val="000000"/>
                <w:w w:val="15"/>
                <w:shd w:val="solid" w:color="000000" w:fill="000000"/>
                <w:fitText w:val="36" w:id="-1301008892"/>
                <w14:textFill>
                  <w14:solidFill>
                    <w14:srgbClr w14:val="000000">
                      <w14:alpha w14:val="100000"/>
                    </w14:srgbClr>
                  </w14:solidFill>
                </w14:textFill>
              </w:rPr>
              <w:t>|</w:t>
            </w:r>
            <w:r w:rsidR="00206B77" w:rsidRPr="00381965">
              <w:rPr>
                <w:rFonts w:hint="eastAsia"/>
                <w:color w:val="000000"/>
                <w:spacing w:val="-45"/>
                <w:w w:val="15"/>
                <w:shd w:val="solid" w:color="000000" w:fill="000000"/>
                <w:fitText w:val="36" w:id="-1301008892"/>
                <w14:textFill>
                  <w14:solidFill>
                    <w14:srgbClr w14:val="000000">
                      <w14:alpha w14:val="100000"/>
                    </w14:srgbClr>
                  </w14:solidFill>
                </w14:textFill>
              </w:rPr>
              <w:t xml:space="preserve">　</w:t>
            </w:r>
          </w:p>
        </w:tc>
        <w:tc>
          <w:tcPr>
            <w:tcW w:w="644" w:type="pct"/>
            <w:tcBorders>
              <w:top w:val="single" w:sz="4" w:space="0" w:color="auto"/>
              <w:bottom w:val="nil"/>
            </w:tcBorders>
            <w:shd w:val="clear" w:color="auto" w:fill="auto"/>
            <w:vAlign w:val="center"/>
          </w:tcPr>
          <w:p w14:paraId="6F67EB0B" w14:textId="6AC3ABF7" w:rsidR="00FB40DA" w:rsidRPr="000B2FEE" w:rsidRDefault="00FB40DA" w:rsidP="00A72862">
            <w:pPr>
              <w:pStyle w:val="TableText0"/>
              <w:jc w:val="center"/>
            </w:pPr>
            <w:r w:rsidRPr="000B2FEE">
              <w:t>$</w:t>
            </w:r>
            <w:r w:rsidR="00206B77" w:rsidRPr="00206B77">
              <w:rPr>
                <w:color w:val="000000"/>
                <w:shd w:val="solid" w:color="000000" w:fill="000000"/>
                <w14:textFill>
                  <w14:solidFill>
                    <w14:srgbClr w14:val="000000">
                      <w14:alpha w14:val="100000"/>
                    </w14:srgbClr>
                  </w14:solidFill>
                </w14:textFill>
              </w:rPr>
              <w:t>|</w:t>
            </w:r>
          </w:p>
        </w:tc>
        <w:tc>
          <w:tcPr>
            <w:tcW w:w="447" w:type="pct"/>
            <w:tcBorders>
              <w:top w:val="single" w:sz="4" w:space="0" w:color="auto"/>
              <w:bottom w:val="nil"/>
            </w:tcBorders>
            <w:shd w:val="clear" w:color="auto" w:fill="auto"/>
            <w:vAlign w:val="center"/>
          </w:tcPr>
          <w:p w14:paraId="00B0E8CE" w14:textId="77777777" w:rsidR="00FB40DA" w:rsidRPr="00880394" w:rsidRDefault="00FB40DA" w:rsidP="00A72862">
            <w:pPr>
              <w:pStyle w:val="TableText0"/>
              <w:jc w:val="center"/>
            </w:pPr>
            <w:r w:rsidRPr="00880394">
              <w:t>$10,118</w:t>
            </w:r>
          </w:p>
        </w:tc>
        <w:tc>
          <w:tcPr>
            <w:tcW w:w="546" w:type="pct"/>
            <w:tcBorders>
              <w:top w:val="single" w:sz="4" w:space="0" w:color="auto"/>
              <w:bottom w:val="nil"/>
            </w:tcBorders>
            <w:shd w:val="clear" w:color="auto" w:fill="auto"/>
            <w:vAlign w:val="center"/>
          </w:tcPr>
          <w:p w14:paraId="1DDFD837" w14:textId="798A47EB" w:rsidR="00FB40DA" w:rsidRPr="000B2FEE" w:rsidRDefault="00FB40DA" w:rsidP="00A72862">
            <w:pPr>
              <w:pStyle w:val="TableText0"/>
              <w:jc w:val="center"/>
            </w:pPr>
            <w:r w:rsidRPr="000B2FEE">
              <w:t>$</w:t>
            </w:r>
            <w:r w:rsidR="00206B77" w:rsidRPr="00381965">
              <w:rPr>
                <w:rFonts w:hint="eastAsia"/>
                <w:color w:val="000000"/>
                <w:w w:val="15"/>
                <w:shd w:val="solid" w:color="000000" w:fill="000000"/>
                <w:fitText w:val="36" w:id="-1301008891"/>
                <w14:textFill>
                  <w14:solidFill>
                    <w14:srgbClr w14:val="000000">
                      <w14:alpha w14:val="100000"/>
                    </w14:srgbClr>
                  </w14:solidFill>
                </w14:textFill>
              </w:rPr>
              <w:t xml:space="preserve">　</w:t>
            </w:r>
            <w:r w:rsidR="00206B77" w:rsidRPr="00381965">
              <w:rPr>
                <w:color w:val="000000"/>
                <w:w w:val="15"/>
                <w:shd w:val="solid" w:color="000000" w:fill="000000"/>
                <w:fitText w:val="36" w:id="-1301008891"/>
                <w14:textFill>
                  <w14:solidFill>
                    <w14:srgbClr w14:val="000000">
                      <w14:alpha w14:val="100000"/>
                    </w14:srgbClr>
                  </w14:solidFill>
                </w14:textFill>
              </w:rPr>
              <w:t>|</w:t>
            </w:r>
            <w:r w:rsidR="00206B77" w:rsidRPr="00381965">
              <w:rPr>
                <w:rFonts w:hint="eastAsia"/>
                <w:color w:val="000000"/>
                <w:spacing w:val="-29"/>
                <w:w w:val="15"/>
                <w:shd w:val="solid" w:color="000000" w:fill="000000"/>
                <w:fitText w:val="36" w:id="-1301008891"/>
                <w14:textFill>
                  <w14:solidFill>
                    <w14:srgbClr w14:val="000000">
                      <w14:alpha w14:val="100000"/>
                    </w14:srgbClr>
                  </w14:solidFill>
                </w14:textFill>
              </w:rPr>
              <w:t xml:space="preserve">　</w:t>
            </w:r>
          </w:p>
        </w:tc>
      </w:tr>
      <w:tr w:rsidR="00FB40DA" w:rsidRPr="000B2FEE" w14:paraId="03D0CB79" w14:textId="77777777" w:rsidTr="00A72862">
        <w:tc>
          <w:tcPr>
            <w:tcW w:w="1726" w:type="pct"/>
            <w:tcBorders>
              <w:top w:val="nil"/>
              <w:bottom w:val="nil"/>
            </w:tcBorders>
            <w:shd w:val="clear" w:color="auto" w:fill="auto"/>
            <w:vAlign w:val="center"/>
          </w:tcPr>
          <w:p w14:paraId="70C07C3F" w14:textId="77777777" w:rsidR="00FB40DA" w:rsidRPr="000B2FEE" w:rsidRDefault="00FB40DA" w:rsidP="00FA0D96">
            <w:pPr>
              <w:pStyle w:val="TableText0"/>
            </w:pPr>
            <w:r w:rsidRPr="000B2FEE">
              <w:t>LYs</w:t>
            </w:r>
          </w:p>
        </w:tc>
        <w:tc>
          <w:tcPr>
            <w:tcW w:w="629" w:type="pct"/>
            <w:tcBorders>
              <w:top w:val="nil"/>
              <w:bottom w:val="nil"/>
            </w:tcBorders>
            <w:shd w:val="clear" w:color="auto" w:fill="auto"/>
            <w:vAlign w:val="center"/>
          </w:tcPr>
          <w:p w14:paraId="236B75A3" w14:textId="77777777" w:rsidR="00FB40DA" w:rsidRPr="000B2FEE" w:rsidRDefault="00FB40DA" w:rsidP="00A72862">
            <w:pPr>
              <w:pStyle w:val="TableText0"/>
              <w:jc w:val="center"/>
            </w:pPr>
            <w:r w:rsidRPr="000B2FEE">
              <w:t>10.43</w:t>
            </w:r>
          </w:p>
        </w:tc>
        <w:tc>
          <w:tcPr>
            <w:tcW w:w="462" w:type="pct"/>
            <w:tcBorders>
              <w:top w:val="nil"/>
              <w:bottom w:val="nil"/>
            </w:tcBorders>
            <w:shd w:val="clear" w:color="auto" w:fill="auto"/>
            <w:vAlign w:val="center"/>
          </w:tcPr>
          <w:p w14:paraId="6C8CA9EE" w14:textId="199DD2AD" w:rsidR="00FB40DA" w:rsidRPr="000B2FEE" w:rsidRDefault="00FB40DA" w:rsidP="00A72862">
            <w:pPr>
              <w:pStyle w:val="TableText0"/>
              <w:jc w:val="center"/>
            </w:pPr>
            <w:r w:rsidRPr="000B2FEE">
              <w:t>9.</w:t>
            </w:r>
            <w:r w:rsidR="0047142A">
              <w:t>9</w:t>
            </w:r>
            <w:r w:rsidRPr="000B2FEE">
              <w:t>8</w:t>
            </w:r>
          </w:p>
        </w:tc>
        <w:tc>
          <w:tcPr>
            <w:tcW w:w="546" w:type="pct"/>
            <w:tcBorders>
              <w:top w:val="nil"/>
              <w:bottom w:val="nil"/>
            </w:tcBorders>
            <w:shd w:val="clear" w:color="auto" w:fill="auto"/>
            <w:vAlign w:val="center"/>
          </w:tcPr>
          <w:p w14:paraId="6B6006BF" w14:textId="77777777" w:rsidR="00FB40DA" w:rsidRPr="000B2FEE" w:rsidRDefault="00FB40DA" w:rsidP="00A72862">
            <w:pPr>
              <w:pStyle w:val="TableText0"/>
              <w:jc w:val="center"/>
            </w:pPr>
            <w:r w:rsidRPr="000B2FEE">
              <w:t>0.45</w:t>
            </w:r>
          </w:p>
        </w:tc>
        <w:tc>
          <w:tcPr>
            <w:tcW w:w="644" w:type="pct"/>
            <w:tcBorders>
              <w:top w:val="nil"/>
              <w:bottom w:val="nil"/>
            </w:tcBorders>
            <w:shd w:val="clear" w:color="auto" w:fill="auto"/>
            <w:vAlign w:val="center"/>
          </w:tcPr>
          <w:p w14:paraId="5DEFADD1" w14:textId="77777777" w:rsidR="00FB40DA" w:rsidRPr="000B2FEE" w:rsidRDefault="00FB40DA" w:rsidP="00A72862">
            <w:pPr>
              <w:pStyle w:val="TableText0"/>
              <w:jc w:val="center"/>
            </w:pPr>
            <w:r w:rsidRPr="000B2FEE">
              <w:t>10.14</w:t>
            </w:r>
          </w:p>
        </w:tc>
        <w:tc>
          <w:tcPr>
            <w:tcW w:w="447" w:type="pct"/>
            <w:tcBorders>
              <w:top w:val="nil"/>
              <w:bottom w:val="nil"/>
            </w:tcBorders>
            <w:shd w:val="clear" w:color="auto" w:fill="auto"/>
            <w:vAlign w:val="center"/>
          </w:tcPr>
          <w:p w14:paraId="4EEC2270" w14:textId="77777777" w:rsidR="00FB40DA" w:rsidRPr="00880394" w:rsidRDefault="00FB40DA" w:rsidP="00A72862">
            <w:pPr>
              <w:pStyle w:val="TableText0"/>
              <w:jc w:val="center"/>
            </w:pPr>
            <w:r w:rsidRPr="00880394">
              <w:t>9.33</w:t>
            </w:r>
          </w:p>
        </w:tc>
        <w:tc>
          <w:tcPr>
            <w:tcW w:w="546" w:type="pct"/>
            <w:tcBorders>
              <w:top w:val="nil"/>
              <w:bottom w:val="nil"/>
            </w:tcBorders>
            <w:shd w:val="clear" w:color="auto" w:fill="auto"/>
            <w:vAlign w:val="center"/>
          </w:tcPr>
          <w:p w14:paraId="53F1F1A9" w14:textId="77777777" w:rsidR="00FB40DA" w:rsidRPr="000B2FEE" w:rsidRDefault="00FB40DA" w:rsidP="00A72862">
            <w:pPr>
              <w:pStyle w:val="TableText0"/>
              <w:jc w:val="center"/>
            </w:pPr>
            <w:r w:rsidRPr="000B2FEE">
              <w:t>0.81</w:t>
            </w:r>
          </w:p>
        </w:tc>
      </w:tr>
      <w:tr w:rsidR="00FB40DA" w:rsidRPr="000B2FEE" w14:paraId="202B3C91" w14:textId="77777777" w:rsidTr="00A72862">
        <w:tc>
          <w:tcPr>
            <w:tcW w:w="1726" w:type="pct"/>
            <w:tcBorders>
              <w:top w:val="nil"/>
              <w:bottom w:val="nil"/>
            </w:tcBorders>
            <w:shd w:val="clear" w:color="auto" w:fill="auto"/>
            <w:vAlign w:val="center"/>
          </w:tcPr>
          <w:p w14:paraId="7C1A83B8" w14:textId="77777777" w:rsidR="00FB40DA" w:rsidRPr="000B2FEE" w:rsidRDefault="00FB40DA" w:rsidP="00FA0D96">
            <w:pPr>
              <w:pStyle w:val="TableText0"/>
            </w:pPr>
            <w:r w:rsidRPr="000B2FEE">
              <w:t>QALYs</w:t>
            </w:r>
          </w:p>
        </w:tc>
        <w:tc>
          <w:tcPr>
            <w:tcW w:w="629" w:type="pct"/>
            <w:tcBorders>
              <w:top w:val="nil"/>
              <w:bottom w:val="nil"/>
            </w:tcBorders>
            <w:shd w:val="clear" w:color="auto" w:fill="auto"/>
            <w:vAlign w:val="center"/>
          </w:tcPr>
          <w:p w14:paraId="203C34D7" w14:textId="77777777" w:rsidR="00FB40DA" w:rsidRPr="000B2FEE" w:rsidRDefault="00FB40DA" w:rsidP="00A72862">
            <w:pPr>
              <w:pStyle w:val="TableText0"/>
              <w:jc w:val="center"/>
            </w:pPr>
            <w:r w:rsidRPr="000B2FEE">
              <w:t>8.33</w:t>
            </w:r>
          </w:p>
        </w:tc>
        <w:tc>
          <w:tcPr>
            <w:tcW w:w="462" w:type="pct"/>
            <w:tcBorders>
              <w:top w:val="nil"/>
              <w:bottom w:val="nil"/>
            </w:tcBorders>
            <w:shd w:val="clear" w:color="auto" w:fill="auto"/>
            <w:vAlign w:val="center"/>
          </w:tcPr>
          <w:p w14:paraId="40C3CD7C" w14:textId="77777777" w:rsidR="00FB40DA" w:rsidRPr="000B2FEE" w:rsidRDefault="00FB40DA" w:rsidP="00A72862">
            <w:pPr>
              <w:pStyle w:val="TableText0"/>
              <w:jc w:val="center"/>
            </w:pPr>
            <w:r w:rsidRPr="000B2FEE">
              <w:t>7.95</w:t>
            </w:r>
          </w:p>
        </w:tc>
        <w:tc>
          <w:tcPr>
            <w:tcW w:w="546" w:type="pct"/>
            <w:tcBorders>
              <w:top w:val="nil"/>
              <w:bottom w:val="nil"/>
            </w:tcBorders>
            <w:shd w:val="clear" w:color="auto" w:fill="auto"/>
            <w:vAlign w:val="center"/>
          </w:tcPr>
          <w:p w14:paraId="32AEDC6C" w14:textId="77777777" w:rsidR="00FB40DA" w:rsidRPr="000B2FEE" w:rsidRDefault="00FB40DA" w:rsidP="00A72862">
            <w:pPr>
              <w:pStyle w:val="TableText0"/>
              <w:jc w:val="center"/>
            </w:pPr>
            <w:r w:rsidRPr="000B2FEE">
              <w:t>0.39</w:t>
            </w:r>
          </w:p>
        </w:tc>
        <w:tc>
          <w:tcPr>
            <w:tcW w:w="644" w:type="pct"/>
            <w:tcBorders>
              <w:top w:val="nil"/>
              <w:bottom w:val="nil"/>
            </w:tcBorders>
            <w:shd w:val="clear" w:color="auto" w:fill="auto"/>
            <w:vAlign w:val="center"/>
          </w:tcPr>
          <w:p w14:paraId="794AF4EC" w14:textId="77777777" w:rsidR="00FB40DA" w:rsidRPr="000B2FEE" w:rsidRDefault="00FB40DA" w:rsidP="00A72862">
            <w:pPr>
              <w:pStyle w:val="TableText0"/>
              <w:jc w:val="center"/>
            </w:pPr>
            <w:r w:rsidRPr="000B2FEE">
              <w:t>8.11</w:t>
            </w:r>
          </w:p>
        </w:tc>
        <w:tc>
          <w:tcPr>
            <w:tcW w:w="447" w:type="pct"/>
            <w:tcBorders>
              <w:top w:val="nil"/>
              <w:bottom w:val="nil"/>
            </w:tcBorders>
            <w:shd w:val="clear" w:color="auto" w:fill="auto"/>
            <w:vAlign w:val="center"/>
          </w:tcPr>
          <w:p w14:paraId="4BA2EBD5" w14:textId="77777777" w:rsidR="00FB40DA" w:rsidRPr="000B2FEE" w:rsidRDefault="00FB40DA" w:rsidP="00A72862">
            <w:pPr>
              <w:pStyle w:val="TableText0"/>
              <w:jc w:val="center"/>
            </w:pPr>
            <w:r w:rsidRPr="000B2FEE">
              <w:t>7.41</w:t>
            </w:r>
          </w:p>
        </w:tc>
        <w:tc>
          <w:tcPr>
            <w:tcW w:w="546" w:type="pct"/>
            <w:tcBorders>
              <w:top w:val="nil"/>
              <w:bottom w:val="nil"/>
            </w:tcBorders>
            <w:shd w:val="clear" w:color="auto" w:fill="auto"/>
            <w:vAlign w:val="center"/>
          </w:tcPr>
          <w:p w14:paraId="443E2C03" w14:textId="77777777" w:rsidR="00FB40DA" w:rsidRPr="000B2FEE" w:rsidRDefault="00FB40DA" w:rsidP="00A72862">
            <w:pPr>
              <w:pStyle w:val="TableText0"/>
              <w:jc w:val="center"/>
            </w:pPr>
            <w:r w:rsidRPr="000B2FEE">
              <w:t>0.70</w:t>
            </w:r>
          </w:p>
        </w:tc>
      </w:tr>
      <w:tr w:rsidR="00FB40DA" w:rsidRPr="000B2FEE" w14:paraId="1C895FC3" w14:textId="77777777" w:rsidTr="002E3B9E">
        <w:tc>
          <w:tcPr>
            <w:tcW w:w="1726" w:type="pct"/>
            <w:tcBorders>
              <w:top w:val="nil"/>
              <w:bottom w:val="single" w:sz="4" w:space="0" w:color="auto"/>
            </w:tcBorders>
            <w:shd w:val="clear" w:color="auto" w:fill="auto"/>
            <w:vAlign w:val="center"/>
          </w:tcPr>
          <w:p w14:paraId="35BF5979" w14:textId="77777777" w:rsidR="00FB40DA" w:rsidRPr="000B2FEE" w:rsidRDefault="00FB40DA" w:rsidP="00FA0D96">
            <w:pPr>
              <w:pStyle w:val="TableText0"/>
              <w:rPr>
                <w:b/>
              </w:rPr>
            </w:pPr>
            <w:r w:rsidRPr="000B2FEE">
              <w:rPr>
                <w:b/>
              </w:rPr>
              <w:t>Incremental cost/extra QALY gained</w:t>
            </w:r>
          </w:p>
        </w:tc>
        <w:tc>
          <w:tcPr>
            <w:tcW w:w="629" w:type="pct"/>
            <w:tcBorders>
              <w:top w:val="nil"/>
              <w:bottom w:val="single" w:sz="4" w:space="0" w:color="auto"/>
            </w:tcBorders>
            <w:shd w:val="clear" w:color="auto" w:fill="auto"/>
            <w:vAlign w:val="center"/>
          </w:tcPr>
          <w:p w14:paraId="08D845C9" w14:textId="77777777" w:rsidR="00FB40DA" w:rsidRPr="000B2FEE" w:rsidRDefault="00FB40DA" w:rsidP="00A72862">
            <w:pPr>
              <w:pStyle w:val="TableText0"/>
              <w:jc w:val="center"/>
              <w:rPr>
                <w:b/>
              </w:rPr>
            </w:pPr>
          </w:p>
        </w:tc>
        <w:tc>
          <w:tcPr>
            <w:tcW w:w="462" w:type="pct"/>
            <w:tcBorders>
              <w:top w:val="nil"/>
              <w:bottom w:val="single" w:sz="4" w:space="0" w:color="auto"/>
            </w:tcBorders>
            <w:shd w:val="clear" w:color="auto" w:fill="auto"/>
            <w:vAlign w:val="center"/>
          </w:tcPr>
          <w:p w14:paraId="6BF9E6CA" w14:textId="77777777" w:rsidR="00FB40DA" w:rsidRPr="000B2FEE" w:rsidRDefault="00FB40DA" w:rsidP="00A72862">
            <w:pPr>
              <w:pStyle w:val="TableText0"/>
              <w:jc w:val="center"/>
              <w:rPr>
                <w:b/>
              </w:rPr>
            </w:pPr>
          </w:p>
        </w:tc>
        <w:tc>
          <w:tcPr>
            <w:tcW w:w="546" w:type="pct"/>
            <w:tcBorders>
              <w:top w:val="nil"/>
              <w:bottom w:val="single" w:sz="4" w:space="0" w:color="auto"/>
            </w:tcBorders>
            <w:shd w:val="clear" w:color="auto" w:fill="auto"/>
            <w:vAlign w:val="center"/>
          </w:tcPr>
          <w:p w14:paraId="6D17CB1E" w14:textId="00D4742E" w:rsidR="00FB40DA" w:rsidRPr="000B2FEE" w:rsidRDefault="00FB40DA" w:rsidP="00A72862">
            <w:pPr>
              <w:pStyle w:val="TableText0"/>
              <w:jc w:val="center"/>
              <w:rPr>
                <w:b/>
              </w:rPr>
            </w:pPr>
            <w:r w:rsidRPr="000B2FEE">
              <w:rPr>
                <w:b/>
              </w:rPr>
              <w:t>$</w:t>
            </w:r>
            <w:r w:rsidR="00206B77" w:rsidRPr="00381965">
              <w:rPr>
                <w:rFonts w:hint="eastAsia"/>
                <w:b/>
                <w:color w:val="000000"/>
                <w:w w:val="15"/>
                <w:shd w:val="solid" w:color="000000" w:fill="000000"/>
                <w:fitText w:val="65" w:id="-1301008890"/>
                <w14:textFill>
                  <w14:solidFill>
                    <w14:srgbClr w14:val="000000">
                      <w14:alpha w14:val="100000"/>
                    </w14:srgbClr>
                  </w14:solidFill>
                </w14:textFill>
              </w:rPr>
              <w:t xml:space="preserve">　</w:t>
            </w:r>
            <w:r w:rsidR="00206B77" w:rsidRPr="00381965">
              <w:rPr>
                <w:b/>
                <w:color w:val="000000"/>
                <w:w w:val="15"/>
                <w:shd w:val="solid" w:color="000000" w:fill="000000"/>
                <w:fitText w:val="65" w:id="-1301008890"/>
                <w14:textFill>
                  <w14:solidFill>
                    <w14:srgbClr w14:val="000000">
                      <w14:alpha w14:val="100000"/>
                    </w14:srgbClr>
                  </w14:solidFill>
                </w14:textFill>
              </w:rPr>
              <w:t>|</w:t>
            </w:r>
            <w:r w:rsidR="00206B77" w:rsidRPr="00381965">
              <w:rPr>
                <w:rFonts w:hint="eastAsia"/>
                <w:b/>
                <w:color w:val="000000"/>
                <w:spacing w:val="-1"/>
                <w:w w:val="15"/>
                <w:shd w:val="solid" w:color="000000" w:fill="000000"/>
                <w:fitText w:val="65" w:id="-1301008890"/>
                <w14:textFill>
                  <w14:solidFill>
                    <w14:srgbClr w14:val="000000">
                      <w14:alpha w14:val="100000"/>
                    </w14:srgbClr>
                  </w14:solidFill>
                </w14:textFill>
              </w:rPr>
              <w:t xml:space="preserve">　</w:t>
            </w:r>
            <w:r w:rsidR="008365A9" w:rsidRPr="008365A9">
              <w:rPr>
                <w:b/>
                <w:vertAlign w:val="superscript"/>
              </w:rPr>
              <w:t>1</w:t>
            </w:r>
          </w:p>
        </w:tc>
        <w:tc>
          <w:tcPr>
            <w:tcW w:w="644" w:type="pct"/>
            <w:tcBorders>
              <w:top w:val="nil"/>
              <w:bottom w:val="single" w:sz="4" w:space="0" w:color="auto"/>
            </w:tcBorders>
            <w:shd w:val="clear" w:color="auto" w:fill="auto"/>
            <w:vAlign w:val="center"/>
          </w:tcPr>
          <w:p w14:paraId="44D821EE" w14:textId="77777777" w:rsidR="00FB40DA" w:rsidRPr="000B2FEE" w:rsidRDefault="00FB40DA" w:rsidP="00A72862">
            <w:pPr>
              <w:pStyle w:val="TableText0"/>
              <w:jc w:val="center"/>
              <w:rPr>
                <w:b/>
              </w:rPr>
            </w:pPr>
          </w:p>
        </w:tc>
        <w:tc>
          <w:tcPr>
            <w:tcW w:w="447" w:type="pct"/>
            <w:tcBorders>
              <w:top w:val="nil"/>
              <w:bottom w:val="single" w:sz="4" w:space="0" w:color="auto"/>
            </w:tcBorders>
            <w:shd w:val="clear" w:color="auto" w:fill="auto"/>
            <w:vAlign w:val="center"/>
          </w:tcPr>
          <w:p w14:paraId="329A6DD2" w14:textId="77777777" w:rsidR="00FB40DA" w:rsidRPr="000B2FEE" w:rsidRDefault="00FB40DA" w:rsidP="00A72862">
            <w:pPr>
              <w:pStyle w:val="TableText0"/>
              <w:jc w:val="center"/>
              <w:rPr>
                <w:b/>
              </w:rPr>
            </w:pPr>
          </w:p>
        </w:tc>
        <w:tc>
          <w:tcPr>
            <w:tcW w:w="546" w:type="pct"/>
            <w:tcBorders>
              <w:top w:val="nil"/>
              <w:bottom w:val="single" w:sz="4" w:space="0" w:color="auto"/>
            </w:tcBorders>
            <w:shd w:val="clear" w:color="auto" w:fill="auto"/>
            <w:vAlign w:val="center"/>
          </w:tcPr>
          <w:p w14:paraId="6973DA44" w14:textId="2C00E1EF" w:rsidR="00FB40DA" w:rsidRPr="000B2FEE" w:rsidRDefault="00FB40DA" w:rsidP="00A72862">
            <w:pPr>
              <w:pStyle w:val="TableText0"/>
              <w:jc w:val="center"/>
              <w:rPr>
                <w:b/>
              </w:rPr>
            </w:pPr>
            <w:r w:rsidRPr="000B2FEE">
              <w:rPr>
                <w:b/>
              </w:rPr>
              <w:t>$</w:t>
            </w:r>
            <w:r w:rsidR="00206B77" w:rsidRPr="00381965">
              <w:rPr>
                <w:rFonts w:hint="eastAsia"/>
                <w:b/>
                <w:color w:val="000000"/>
                <w:w w:val="15"/>
                <w:shd w:val="solid" w:color="000000" w:fill="000000"/>
                <w:fitText w:val="64" w:id="-1301008889"/>
                <w14:textFill>
                  <w14:solidFill>
                    <w14:srgbClr w14:val="000000">
                      <w14:alpha w14:val="100000"/>
                    </w14:srgbClr>
                  </w14:solidFill>
                </w14:textFill>
              </w:rPr>
              <w:t xml:space="preserve">　</w:t>
            </w:r>
            <w:r w:rsidR="00206B77" w:rsidRPr="00381965">
              <w:rPr>
                <w:b/>
                <w:color w:val="000000"/>
                <w:w w:val="15"/>
                <w:shd w:val="solid" w:color="000000" w:fill="000000"/>
                <w:fitText w:val="64" w:id="-1301008889"/>
                <w14:textFill>
                  <w14:solidFill>
                    <w14:srgbClr w14:val="000000">
                      <w14:alpha w14:val="100000"/>
                    </w14:srgbClr>
                  </w14:solidFill>
                </w14:textFill>
              </w:rPr>
              <w:t>|</w:t>
            </w:r>
            <w:r w:rsidR="00206B77" w:rsidRPr="00381965">
              <w:rPr>
                <w:rFonts w:hint="eastAsia"/>
                <w:b/>
                <w:color w:val="000000"/>
                <w:spacing w:val="-2"/>
                <w:w w:val="15"/>
                <w:shd w:val="solid" w:color="000000" w:fill="000000"/>
                <w:fitText w:val="64" w:id="-1301008889"/>
                <w14:textFill>
                  <w14:solidFill>
                    <w14:srgbClr w14:val="000000">
                      <w14:alpha w14:val="100000"/>
                    </w14:srgbClr>
                  </w14:solidFill>
                </w14:textFill>
              </w:rPr>
              <w:t xml:space="preserve">　</w:t>
            </w:r>
            <w:r w:rsidR="008365A9">
              <w:rPr>
                <w:b/>
                <w:vertAlign w:val="superscript"/>
              </w:rPr>
              <w:t>4</w:t>
            </w:r>
          </w:p>
        </w:tc>
      </w:tr>
      <w:tr w:rsidR="00FB40DA" w:rsidRPr="000B2FEE" w14:paraId="67431D9F" w14:textId="77777777" w:rsidTr="002E3B9E">
        <w:tc>
          <w:tcPr>
            <w:tcW w:w="5000" w:type="pct"/>
            <w:gridSpan w:val="7"/>
            <w:tcBorders>
              <w:top w:val="single" w:sz="4" w:space="0" w:color="auto"/>
              <w:bottom w:val="single" w:sz="4" w:space="0" w:color="auto"/>
            </w:tcBorders>
            <w:shd w:val="clear" w:color="auto" w:fill="auto"/>
            <w:vAlign w:val="center"/>
          </w:tcPr>
          <w:p w14:paraId="5D2B7562" w14:textId="77777777" w:rsidR="00FB40DA" w:rsidRPr="000B2FEE" w:rsidRDefault="00FB40DA" w:rsidP="00A72862">
            <w:pPr>
              <w:pStyle w:val="TableText0"/>
              <w:rPr>
                <w:b/>
              </w:rPr>
            </w:pPr>
            <w:r w:rsidRPr="000B2FEE">
              <w:rPr>
                <w:b/>
              </w:rPr>
              <w:t>Step 4: Time horizon 25 years, treatment, MRU, AE costs</w:t>
            </w:r>
          </w:p>
        </w:tc>
      </w:tr>
      <w:tr w:rsidR="00FB40DA" w:rsidRPr="000B2FEE" w14:paraId="207EC9F1" w14:textId="77777777" w:rsidTr="002E3B9E">
        <w:tc>
          <w:tcPr>
            <w:tcW w:w="1726" w:type="pct"/>
            <w:tcBorders>
              <w:top w:val="single" w:sz="4" w:space="0" w:color="auto"/>
              <w:bottom w:val="nil"/>
            </w:tcBorders>
            <w:shd w:val="clear" w:color="auto" w:fill="auto"/>
            <w:vAlign w:val="center"/>
          </w:tcPr>
          <w:p w14:paraId="14D4419E" w14:textId="77777777" w:rsidR="00FB40DA" w:rsidRPr="000B2FEE" w:rsidRDefault="00FB40DA" w:rsidP="00FA0D96">
            <w:pPr>
              <w:pStyle w:val="TableText0"/>
            </w:pPr>
            <w:r w:rsidRPr="000B2FEE">
              <w:t>Costs</w:t>
            </w:r>
          </w:p>
        </w:tc>
        <w:tc>
          <w:tcPr>
            <w:tcW w:w="629" w:type="pct"/>
            <w:tcBorders>
              <w:top w:val="single" w:sz="4" w:space="0" w:color="auto"/>
              <w:bottom w:val="nil"/>
            </w:tcBorders>
            <w:shd w:val="clear" w:color="auto" w:fill="auto"/>
            <w:vAlign w:val="center"/>
          </w:tcPr>
          <w:p w14:paraId="2DE6109C" w14:textId="2F2FE65A" w:rsidR="00FB40DA" w:rsidRPr="000B2FEE" w:rsidRDefault="00FB40DA" w:rsidP="00A72862">
            <w:pPr>
              <w:pStyle w:val="TableText0"/>
              <w:jc w:val="center"/>
            </w:pPr>
            <w:r w:rsidRPr="000B2FEE">
              <w:t>$</w:t>
            </w:r>
            <w:r w:rsidR="00206B77" w:rsidRPr="00206B77">
              <w:rPr>
                <w:color w:val="000000"/>
                <w:shd w:val="solid" w:color="000000" w:fill="000000"/>
                <w14:textFill>
                  <w14:solidFill>
                    <w14:srgbClr w14:val="000000">
                      <w14:alpha w14:val="100000"/>
                    </w14:srgbClr>
                  </w14:solidFill>
                </w14:textFill>
              </w:rPr>
              <w:t>|</w:t>
            </w:r>
          </w:p>
        </w:tc>
        <w:tc>
          <w:tcPr>
            <w:tcW w:w="462" w:type="pct"/>
            <w:tcBorders>
              <w:top w:val="single" w:sz="4" w:space="0" w:color="auto"/>
              <w:bottom w:val="nil"/>
            </w:tcBorders>
            <w:shd w:val="clear" w:color="auto" w:fill="auto"/>
            <w:vAlign w:val="center"/>
          </w:tcPr>
          <w:p w14:paraId="6E17EBB6" w14:textId="77777777" w:rsidR="00FB40DA" w:rsidRPr="00880394" w:rsidRDefault="00FB40DA" w:rsidP="00A72862">
            <w:pPr>
              <w:pStyle w:val="TableText0"/>
              <w:jc w:val="center"/>
            </w:pPr>
            <w:r w:rsidRPr="00880394">
              <w:t>$12,415</w:t>
            </w:r>
          </w:p>
        </w:tc>
        <w:tc>
          <w:tcPr>
            <w:tcW w:w="546" w:type="pct"/>
            <w:tcBorders>
              <w:top w:val="single" w:sz="4" w:space="0" w:color="auto"/>
              <w:bottom w:val="nil"/>
            </w:tcBorders>
            <w:shd w:val="clear" w:color="auto" w:fill="auto"/>
            <w:vAlign w:val="center"/>
          </w:tcPr>
          <w:p w14:paraId="26BAAA6B" w14:textId="0996C4DF" w:rsidR="00FB40DA" w:rsidRPr="000B2FEE" w:rsidRDefault="00FB40DA" w:rsidP="00A72862">
            <w:pPr>
              <w:pStyle w:val="TableText0"/>
              <w:jc w:val="center"/>
            </w:pPr>
            <w:r w:rsidRPr="000B2FEE">
              <w:t>$</w:t>
            </w:r>
            <w:r w:rsidR="00206B77" w:rsidRPr="00381965">
              <w:rPr>
                <w:rFonts w:hint="eastAsia"/>
                <w:color w:val="000000"/>
                <w:w w:val="15"/>
                <w:shd w:val="solid" w:color="000000" w:fill="000000"/>
                <w:fitText w:val="36" w:id="-1301008888"/>
                <w14:textFill>
                  <w14:solidFill>
                    <w14:srgbClr w14:val="000000">
                      <w14:alpha w14:val="100000"/>
                    </w14:srgbClr>
                  </w14:solidFill>
                </w14:textFill>
              </w:rPr>
              <w:t xml:space="preserve">　</w:t>
            </w:r>
            <w:r w:rsidR="00206B77" w:rsidRPr="00381965">
              <w:rPr>
                <w:color w:val="000000"/>
                <w:w w:val="15"/>
                <w:shd w:val="solid" w:color="000000" w:fill="000000"/>
                <w:fitText w:val="36" w:id="-1301008888"/>
                <w14:textFill>
                  <w14:solidFill>
                    <w14:srgbClr w14:val="000000">
                      <w14:alpha w14:val="100000"/>
                    </w14:srgbClr>
                  </w14:solidFill>
                </w14:textFill>
              </w:rPr>
              <w:t>|</w:t>
            </w:r>
            <w:r w:rsidR="00206B77" w:rsidRPr="00381965">
              <w:rPr>
                <w:rFonts w:hint="eastAsia"/>
                <w:color w:val="000000"/>
                <w:spacing w:val="-29"/>
                <w:w w:val="15"/>
                <w:shd w:val="solid" w:color="000000" w:fill="000000"/>
                <w:fitText w:val="36" w:id="-1301008888"/>
                <w14:textFill>
                  <w14:solidFill>
                    <w14:srgbClr w14:val="000000">
                      <w14:alpha w14:val="100000"/>
                    </w14:srgbClr>
                  </w14:solidFill>
                </w14:textFill>
              </w:rPr>
              <w:t xml:space="preserve">　</w:t>
            </w:r>
          </w:p>
        </w:tc>
        <w:tc>
          <w:tcPr>
            <w:tcW w:w="644" w:type="pct"/>
            <w:tcBorders>
              <w:top w:val="single" w:sz="4" w:space="0" w:color="auto"/>
              <w:bottom w:val="nil"/>
            </w:tcBorders>
            <w:shd w:val="clear" w:color="auto" w:fill="auto"/>
            <w:vAlign w:val="center"/>
          </w:tcPr>
          <w:p w14:paraId="622883BD" w14:textId="59BF5644" w:rsidR="00FB40DA" w:rsidRPr="000B2FEE" w:rsidRDefault="00FB40DA" w:rsidP="00A72862">
            <w:pPr>
              <w:pStyle w:val="TableText0"/>
              <w:jc w:val="center"/>
            </w:pPr>
            <w:r w:rsidRPr="000B2FEE">
              <w:t>$</w:t>
            </w:r>
            <w:r w:rsidR="00206B77" w:rsidRPr="00206B77">
              <w:rPr>
                <w:color w:val="000000"/>
                <w:shd w:val="solid" w:color="000000" w:fill="000000"/>
                <w14:textFill>
                  <w14:solidFill>
                    <w14:srgbClr w14:val="000000">
                      <w14:alpha w14:val="100000"/>
                    </w14:srgbClr>
                  </w14:solidFill>
                </w14:textFill>
              </w:rPr>
              <w:t>|</w:t>
            </w:r>
          </w:p>
        </w:tc>
        <w:tc>
          <w:tcPr>
            <w:tcW w:w="447" w:type="pct"/>
            <w:tcBorders>
              <w:top w:val="single" w:sz="4" w:space="0" w:color="auto"/>
              <w:bottom w:val="nil"/>
            </w:tcBorders>
            <w:shd w:val="clear" w:color="auto" w:fill="auto"/>
            <w:vAlign w:val="center"/>
          </w:tcPr>
          <w:p w14:paraId="4752E4B1" w14:textId="77777777" w:rsidR="00FB40DA" w:rsidRPr="00880394" w:rsidRDefault="00FB40DA" w:rsidP="00A72862">
            <w:pPr>
              <w:pStyle w:val="TableText0"/>
              <w:jc w:val="center"/>
            </w:pPr>
            <w:r w:rsidRPr="00880394">
              <w:t>$12,170</w:t>
            </w:r>
          </w:p>
        </w:tc>
        <w:tc>
          <w:tcPr>
            <w:tcW w:w="546" w:type="pct"/>
            <w:tcBorders>
              <w:top w:val="single" w:sz="4" w:space="0" w:color="auto"/>
              <w:bottom w:val="nil"/>
            </w:tcBorders>
            <w:shd w:val="clear" w:color="auto" w:fill="auto"/>
            <w:vAlign w:val="center"/>
          </w:tcPr>
          <w:p w14:paraId="521C3DE1" w14:textId="6C607495" w:rsidR="00FB40DA" w:rsidRPr="000B2FEE" w:rsidRDefault="00FB40DA" w:rsidP="00A72862">
            <w:pPr>
              <w:pStyle w:val="TableText0"/>
              <w:jc w:val="center"/>
            </w:pPr>
            <w:r w:rsidRPr="000B2FEE">
              <w:t>$</w:t>
            </w:r>
            <w:r w:rsidR="00206B77" w:rsidRPr="00381965">
              <w:rPr>
                <w:rFonts w:hint="eastAsia"/>
                <w:color w:val="000000"/>
                <w:w w:val="15"/>
                <w:shd w:val="solid" w:color="000000" w:fill="000000"/>
                <w:fitText w:val="36" w:id="-1301008887"/>
                <w14:textFill>
                  <w14:solidFill>
                    <w14:srgbClr w14:val="000000">
                      <w14:alpha w14:val="100000"/>
                    </w14:srgbClr>
                  </w14:solidFill>
                </w14:textFill>
              </w:rPr>
              <w:t xml:space="preserve">　</w:t>
            </w:r>
            <w:r w:rsidR="00206B77" w:rsidRPr="00381965">
              <w:rPr>
                <w:color w:val="000000"/>
                <w:w w:val="15"/>
                <w:shd w:val="solid" w:color="000000" w:fill="000000"/>
                <w:fitText w:val="36" w:id="-1301008887"/>
                <w14:textFill>
                  <w14:solidFill>
                    <w14:srgbClr w14:val="000000">
                      <w14:alpha w14:val="100000"/>
                    </w14:srgbClr>
                  </w14:solidFill>
                </w14:textFill>
              </w:rPr>
              <w:t>|</w:t>
            </w:r>
            <w:r w:rsidR="00206B77" w:rsidRPr="00381965">
              <w:rPr>
                <w:rFonts w:hint="eastAsia"/>
                <w:color w:val="000000"/>
                <w:spacing w:val="-45"/>
                <w:w w:val="15"/>
                <w:shd w:val="solid" w:color="000000" w:fill="000000"/>
                <w:fitText w:val="36" w:id="-1301008887"/>
                <w14:textFill>
                  <w14:solidFill>
                    <w14:srgbClr w14:val="000000">
                      <w14:alpha w14:val="100000"/>
                    </w14:srgbClr>
                  </w14:solidFill>
                </w14:textFill>
              </w:rPr>
              <w:t xml:space="preserve">　</w:t>
            </w:r>
          </w:p>
        </w:tc>
      </w:tr>
      <w:tr w:rsidR="00FB40DA" w:rsidRPr="000B2FEE" w14:paraId="054969F4" w14:textId="77777777" w:rsidTr="00A72862">
        <w:tc>
          <w:tcPr>
            <w:tcW w:w="1726" w:type="pct"/>
            <w:tcBorders>
              <w:top w:val="nil"/>
              <w:bottom w:val="nil"/>
            </w:tcBorders>
            <w:shd w:val="clear" w:color="auto" w:fill="auto"/>
            <w:vAlign w:val="center"/>
          </w:tcPr>
          <w:p w14:paraId="3B15D6ED" w14:textId="77777777" w:rsidR="00FB40DA" w:rsidRPr="000B2FEE" w:rsidRDefault="00FB40DA" w:rsidP="00FA0D96">
            <w:pPr>
              <w:pStyle w:val="TableText0"/>
            </w:pPr>
            <w:r w:rsidRPr="000B2FEE">
              <w:t>LYs</w:t>
            </w:r>
          </w:p>
        </w:tc>
        <w:tc>
          <w:tcPr>
            <w:tcW w:w="629" w:type="pct"/>
            <w:tcBorders>
              <w:top w:val="nil"/>
              <w:bottom w:val="nil"/>
            </w:tcBorders>
            <w:shd w:val="clear" w:color="auto" w:fill="auto"/>
            <w:vAlign w:val="center"/>
          </w:tcPr>
          <w:p w14:paraId="4FE31AAA" w14:textId="77777777" w:rsidR="00FB40DA" w:rsidRPr="000B2FEE" w:rsidRDefault="00FB40DA" w:rsidP="00A72862">
            <w:pPr>
              <w:pStyle w:val="TableText0"/>
              <w:jc w:val="center"/>
            </w:pPr>
            <w:r w:rsidRPr="000B2FEE">
              <w:t>10.43</w:t>
            </w:r>
          </w:p>
        </w:tc>
        <w:tc>
          <w:tcPr>
            <w:tcW w:w="462" w:type="pct"/>
            <w:tcBorders>
              <w:top w:val="nil"/>
              <w:bottom w:val="nil"/>
            </w:tcBorders>
            <w:shd w:val="clear" w:color="auto" w:fill="auto"/>
            <w:vAlign w:val="center"/>
          </w:tcPr>
          <w:p w14:paraId="5682BA0F" w14:textId="56A7F8A2" w:rsidR="00FB40DA" w:rsidRPr="00880394" w:rsidRDefault="00FB40DA" w:rsidP="00A72862">
            <w:pPr>
              <w:pStyle w:val="TableText0"/>
              <w:jc w:val="center"/>
            </w:pPr>
            <w:r w:rsidRPr="00880394">
              <w:t>9.</w:t>
            </w:r>
            <w:r w:rsidR="0047142A" w:rsidRPr="00880394">
              <w:t>9</w:t>
            </w:r>
            <w:r w:rsidRPr="00880394">
              <w:t>8</w:t>
            </w:r>
          </w:p>
        </w:tc>
        <w:tc>
          <w:tcPr>
            <w:tcW w:w="546" w:type="pct"/>
            <w:tcBorders>
              <w:top w:val="nil"/>
              <w:bottom w:val="nil"/>
            </w:tcBorders>
            <w:shd w:val="clear" w:color="auto" w:fill="auto"/>
            <w:vAlign w:val="center"/>
          </w:tcPr>
          <w:p w14:paraId="7028A42B" w14:textId="77777777" w:rsidR="00FB40DA" w:rsidRPr="000B2FEE" w:rsidRDefault="00FB40DA" w:rsidP="00A72862">
            <w:pPr>
              <w:pStyle w:val="TableText0"/>
              <w:jc w:val="center"/>
            </w:pPr>
            <w:r w:rsidRPr="000B2FEE">
              <w:t>0.45</w:t>
            </w:r>
          </w:p>
        </w:tc>
        <w:tc>
          <w:tcPr>
            <w:tcW w:w="644" w:type="pct"/>
            <w:tcBorders>
              <w:top w:val="nil"/>
              <w:bottom w:val="nil"/>
            </w:tcBorders>
            <w:shd w:val="clear" w:color="auto" w:fill="auto"/>
            <w:vAlign w:val="center"/>
          </w:tcPr>
          <w:p w14:paraId="622EF3D7" w14:textId="77777777" w:rsidR="00FB40DA" w:rsidRPr="000B2FEE" w:rsidRDefault="00FB40DA" w:rsidP="00A72862">
            <w:pPr>
              <w:pStyle w:val="TableText0"/>
              <w:jc w:val="center"/>
            </w:pPr>
            <w:r w:rsidRPr="000B2FEE">
              <w:t>10.14</w:t>
            </w:r>
          </w:p>
        </w:tc>
        <w:tc>
          <w:tcPr>
            <w:tcW w:w="447" w:type="pct"/>
            <w:tcBorders>
              <w:top w:val="nil"/>
              <w:bottom w:val="nil"/>
            </w:tcBorders>
            <w:shd w:val="clear" w:color="auto" w:fill="auto"/>
            <w:vAlign w:val="center"/>
          </w:tcPr>
          <w:p w14:paraId="3E4D6070" w14:textId="77777777" w:rsidR="00FB40DA" w:rsidRPr="00880394" w:rsidRDefault="00FB40DA" w:rsidP="00A72862">
            <w:pPr>
              <w:pStyle w:val="TableText0"/>
              <w:jc w:val="center"/>
            </w:pPr>
            <w:r w:rsidRPr="00880394">
              <w:t>9.33</w:t>
            </w:r>
          </w:p>
        </w:tc>
        <w:tc>
          <w:tcPr>
            <w:tcW w:w="546" w:type="pct"/>
            <w:tcBorders>
              <w:top w:val="nil"/>
              <w:bottom w:val="nil"/>
            </w:tcBorders>
            <w:shd w:val="clear" w:color="auto" w:fill="auto"/>
            <w:vAlign w:val="center"/>
          </w:tcPr>
          <w:p w14:paraId="397980A7" w14:textId="77777777" w:rsidR="00FB40DA" w:rsidRPr="000B2FEE" w:rsidRDefault="00FB40DA" w:rsidP="00A72862">
            <w:pPr>
              <w:pStyle w:val="TableText0"/>
              <w:jc w:val="center"/>
            </w:pPr>
            <w:r w:rsidRPr="000B2FEE">
              <w:t>0.81</w:t>
            </w:r>
          </w:p>
        </w:tc>
      </w:tr>
      <w:tr w:rsidR="00FB40DA" w:rsidRPr="000B2FEE" w14:paraId="42905AFC" w14:textId="77777777" w:rsidTr="00A72862">
        <w:tc>
          <w:tcPr>
            <w:tcW w:w="1726" w:type="pct"/>
            <w:tcBorders>
              <w:top w:val="nil"/>
              <w:bottom w:val="nil"/>
            </w:tcBorders>
            <w:shd w:val="clear" w:color="auto" w:fill="auto"/>
            <w:vAlign w:val="center"/>
          </w:tcPr>
          <w:p w14:paraId="6C725C9A" w14:textId="77777777" w:rsidR="00FB40DA" w:rsidRPr="000B2FEE" w:rsidRDefault="00FB40DA" w:rsidP="00FA0D96">
            <w:pPr>
              <w:pStyle w:val="TableText0"/>
            </w:pPr>
            <w:r w:rsidRPr="000B2FEE">
              <w:t>QALYs</w:t>
            </w:r>
          </w:p>
        </w:tc>
        <w:tc>
          <w:tcPr>
            <w:tcW w:w="629" w:type="pct"/>
            <w:tcBorders>
              <w:top w:val="nil"/>
              <w:bottom w:val="nil"/>
            </w:tcBorders>
            <w:shd w:val="clear" w:color="auto" w:fill="auto"/>
            <w:vAlign w:val="center"/>
          </w:tcPr>
          <w:p w14:paraId="7A576B2A" w14:textId="77777777" w:rsidR="00FB40DA" w:rsidRPr="000B2FEE" w:rsidRDefault="00FB40DA" w:rsidP="00A72862">
            <w:pPr>
              <w:pStyle w:val="TableText0"/>
              <w:jc w:val="center"/>
            </w:pPr>
            <w:r w:rsidRPr="000B2FEE">
              <w:t>8.33</w:t>
            </w:r>
          </w:p>
        </w:tc>
        <w:tc>
          <w:tcPr>
            <w:tcW w:w="462" w:type="pct"/>
            <w:tcBorders>
              <w:top w:val="nil"/>
              <w:bottom w:val="nil"/>
            </w:tcBorders>
            <w:shd w:val="clear" w:color="auto" w:fill="auto"/>
            <w:vAlign w:val="center"/>
          </w:tcPr>
          <w:p w14:paraId="06B727C4" w14:textId="77777777" w:rsidR="00FB40DA" w:rsidRPr="000B2FEE" w:rsidRDefault="00FB40DA" w:rsidP="00A72862">
            <w:pPr>
              <w:pStyle w:val="TableText0"/>
              <w:jc w:val="center"/>
            </w:pPr>
            <w:r w:rsidRPr="000B2FEE">
              <w:t>7.95</w:t>
            </w:r>
          </w:p>
        </w:tc>
        <w:tc>
          <w:tcPr>
            <w:tcW w:w="546" w:type="pct"/>
            <w:tcBorders>
              <w:top w:val="nil"/>
              <w:bottom w:val="nil"/>
            </w:tcBorders>
            <w:shd w:val="clear" w:color="auto" w:fill="auto"/>
            <w:vAlign w:val="center"/>
          </w:tcPr>
          <w:p w14:paraId="3B7D4745" w14:textId="77777777" w:rsidR="00FB40DA" w:rsidRPr="000B2FEE" w:rsidRDefault="00FB40DA" w:rsidP="00A72862">
            <w:pPr>
              <w:pStyle w:val="TableText0"/>
              <w:jc w:val="center"/>
            </w:pPr>
            <w:r w:rsidRPr="000B2FEE">
              <w:t>0.39</w:t>
            </w:r>
          </w:p>
        </w:tc>
        <w:tc>
          <w:tcPr>
            <w:tcW w:w="644" w:type="pct"/>
            <w:tcBorders>
              <w:top w:val="nil"/>
              <w:bottom w:val="nil"/>
            </w:tcBorders>
            <w:shd w:val="clear" w:color="auto" w:fill="auto"/>
            <w:vAlign w:val="center"/>
          </w:tcPr>
          <w:p w14:paraId="5023FD54" w14:textId="77777777" w:rsidR="00FB40DA" w:rsidRPr="000B2FEE" w:rsidRDefault="00FB40DA" w:rsidP="00A72862">
            <w:pPr>
              <w:pStyle w:val="TableText0"/>
              <w:jc w:val="center"/>
            </w:pPr>
            <w:r w:rsidRPr="000B2FEE">
              <w:t>8.11</w:t>
            </w:r>
          </w:p>
        </w:tc>
        <w:tc>
          <w:tcPr>
            <w:tcW w:w="447" w:type="pct"/>
            <w:tcBorders>
              <w:top w:val="nil"/>
              <w:bottom w:val="nil"/>
            </w:tcBorders>
            <w:shd w:val="clear" w:color="auto" w:fill="auto"/>
            <w:vAlign w:val="center"/>
          </w:tcPr>
          <w:p w14:paraId="0FBA6280" w14:textId="77777777" w:rsidR="00FB40DA" w:rsidRPr="000B2FEE" w:rsidRDefault="00FB40DA" w:rsidP="00A72862">
            <w:pPr>
              <w:pStyle w:val="TableText0"/>
              <w:jc w:val="center"/>
            </w:pPr>
            <w:r w:rsidRPr="000B2FEE">
              <w:t>7.41</w:t>
            </w:r>
          </w:p>
        </w:tc>
        <w:tc>
          <w:tcPr>
            <w:tcW w:w="546" w:type="pct"/>
            <w:tcBorders>
              <w:top w:val="nil"/>
              <w:bottom w:val="nil"/>
            </w:tcBorders>
            <w:shd w:val="clear" w:color="auto" w:fill="auto"/>
            <w:vAlign w:val="center"/>
          </w:tcPr>
          <w:p w14:paraId="7C6179F3" w14:textId="77777777" w:rsidR="00FB40DA" w:rsidRPr="000B2FEE" w:rsidRDefault="00FB40DA" w:rsidP="00A72862">
            <w:pPr>
              <w:pStyle w:val="TableText0"/>
              <w:jc w:val="center"/>
            </w:pPr>
            <w:r w:rsidRPr="000B2FEE">
              <w:t>0.70</w:t>
            </w:r>
          </w:p>
        </w:tc>
      </w:tr>
      <w:tr w:rsidR="00FB40DA" w:rsidRPr="000B2FEE" w14:paraId="4E14415A" w14:textId="77777777" w:rsidTr="002E3B9E">
        <w:tc>
          <w:tcPr>
            <w:tcW w:w="1726" w:type="pct"/>
            <w:tcBorders>
              <w:top w:val="nil"/>
              <w:bottom w:val="single" w:sz="4" w:space="0" w:color="auto"/>
            </w:tcBorders>
            <w:shd w:val="clear" w:color="auto" w:fill="auto"/>
            <w:vAlign w:val="center"/>
          </w:tcPr>
          <w:p w14:paraId="36FF4B31" w14:textId="77777777" w:rsidR="00FB40DA" w:rsidRPr="000B2FEE" w:rsidRDefault="00FB40DA" w:rsidP="00FA0D96">
            <w:pPr>
              <w:pStyle w:val="TableText0"/>
              <w:rPr>
                <w:b/>
              </w:rPr>
            </w:pPr>
            <w:r w:rsidRPr="000B2FEE">
              <w:rPr>
                <w:b/>
              </w:rPr>
              <w:t>Incremental cost/extra QALY gained</w:t>
            </w:r>
          </w:p>
        </w:tc>
        <w:tc>
          <w:tcPr>
            <w:tcW w:w="629" w:type="pct"/>
            <w:tcBorders>
              <w:top w:val="nil"/>
              <w:bottom w:val="single" w:sz="4" w:space="0" w:color="auto"/>
            </w:tcBorders>
            <w:shd w:val="clear" w:color="auto" w:fill="auto"/>
            <w:vAlign w:val="center"/>
          </w:tcPr>
          <w:p w14:paraId="7AF461E0" w14:textId="77777777" w:rsidR="00FB40DA" w:rsidRPr="000B2FEE" w:rsidRDefault="00FB40DA" w:rsidP="00A72862">
            <w:pPr>
              <w:pStyle w:val="TableText0"/>
              <w:jc w:val="center"/>
              <w:rPr>
                <w:b/>
              </w:rPr>
            </w:pPr>
          </w:p>
        </w:tc>
        <w:tc>
          <w:tcPr>
            <w:tcW w:w="462" w:type="pct"/>
            <w:tcBorders>
              <w:top w:val="nil"/>
              <w:bottom w:val="single" w:sz="4" w:space="0" w:color="auto"/>
            </w:tcBorders>
            <w:shd w:val="clear" w:color="auto" w:fill="auto"/>
            <w:vAlign w:val="center"/>
          </w:tcPr>
          <w:p w14:paraId="0C5BCEBB" w14:textId="77777777" w:rsidR="00FB40DA" w:rsidRPr="000B2FEE" w:rsidRDefault="00FB40DA" w:rsidP="00A72862">
            <w:pPr>
              <w:pStyle w:val="TableText0"/>
              <w:jc w:val="center"/>
              <w:rPr>
                <w:b/>
              </w:rPr>
            </w:pPr>
          </w:p>
        </w:tc>
        <w:tc>
          <w:tcPr>
            <w:tcW w:w="546" w:type="pct"/>
            <w:tcBorders>
              <w:top w:val="nil"/>
              <w:bottom w:val="single" w:sz="4" w:space="0" w:color="auto"/>
            </w:tcBorders>
            <w:shd w:val="clear" w:color="auto" w:fill="auto"/>
            <w:vAlign w:val="center"/>
          </w:tcPr>
          <w:p w14:paraId="39169541" w14:textId="05F22005" w:rsidR="00FB40DA" w:rsidRPr="000B2FEE" w:rsidRDefault="00FB40DA" w:rsidP="00A72862">
            <w:pPr>
              <w:pStyle w:val="TableText0"/>
              <w:jc w:val="center"/>
              <w:rPr>
                <w:b/>
              </w:rPr>
            </w:pPr>
            <w:r w:rsidRPr="000B2FEE">
              <w:rPr>
                <w:b/>
              </w:rPr>
              <w:t>$</w:t>
            </w:r>
            <w:r w:rsidR="00206B77" w:rsidRPr="00381965">
              <w:rPr>
                <w:rFonts w:hint="eastAsia"/>
                <w:b/>
                <w:color w:val="000000"/>
                <w:w w:val="15"/>
                <w:shd w:val="solid" w:color="000000" w:fill="000000"/>
                <w:fitText w:val="65" w:id="-1301008886"/>
                <w14:textFill>
                  <w14:solidFill>
                    <w14:srgbClr w14:val="000000">
                      <w14:alpha w14:val="100000"/>
                    </w14:srgbClr>
                  </w14:solidFill>
                </w14:textFill>
              </w:rPr>
              <w:t xml:space="preserve">　</w:t>
            </w:r>
            <w:r w:rsidR="00206B77" w:rsidRPr="00381965">
              <w:rPr>
                <w:b/>
                <w:color w:val="000000"/>
                <w:w w:val="15"/>
                <w:shd w:val="solid" w:color="000000" w:fill="000000"/>
                <w:fitText w:val="65" w:id="-1301008886"/>
                <w14:textFill>
                  <w14:solidFill>
                    <w14:srgbClr w14:val="000000">
                      <w14:alpha w14:val="100000"/>
                    </w14:srgbClr>
                  </w14:solidFill>
                </w14:textFill>
              </w:rPr>
              <w:t>|</w:t>
            </w:r>
            <w:r w:rsidR="00206B77" w:rsidRPr="00381965">
              <w:rPr>
                <w:rFonts w:hint="eastAsia"/>
                <w:b/>
                <w:color w:val="000000"/>
                <w:spacing w:val="-1"/>
                <w:w w:val="15"/>
                <w:shd w:val="solid" w:color="000000" w:fill="000000"/>
                <w:fitText w:val="65" w:id="-1301008886"/>
                <w14:textFill>
                  <w14:solidFill>
                    <w14:srgbClr w14:val="000000">
                      <w14:alpha w14:val="100000"/>
                    </w14:srgbClr>
                  </w14:solidFill>
                </w14:textFill>
              </w:rPr>
              <w:t xml:space="preserve">　</w:t>
            </w:r>
            <w:r w:rsidR="008365A9" w:rsidRPr="008365A9">
              <w:rPr>
                <w:b/>
                <w:vertAlign w:val="superscript"/>
              </w:rPr>
              <w:t>1</w:t>
            </w:r>
          </w:p>
        </w:tc>
        <w:tc>
          <w:tcPr>
            <w:tcW w:w="644" w:type="pct"/>
            <w:tcBorders>
              <w:top w:val="nil"/>
              <w:bottom w:val="single" w:sz="4" w:space="0" w:color="auto"/>
            </w:tcBorders>
            <w:shd w:val="clear" w:color="auto" w:fill="auto"/>
            <w:vAlign w:val="center"/>
          </w:tcPr>
          <w:p w14:paraId="3268B6BB" w14:textId="77777777" w:rsidR="00FB40DA" w:rsidRPr="000B2FEE" w:rsidRDefault="00FB40DA" w:rsidP="00A72862">
            <w:pPr>
              <w:pStyle w:val="TableText0"/>
              <w:jc w:val="center"/>
              <w:rPr>
                <w:b/>
              </w:rPr>
            </w:pPr>
          </w:p>
        </w:tc>
        <w:tc>
          <w:tcPr>
            <w:tcW w:w="447" w:type="pct"/>
            <w:tcBorders>
              <w:top w:val="nil"/>
              <w:bottom w:val="single" w:sz="4" w:space="0" w:color="auto"/>
            </w:tcBorders>
            <w:shd w:val="clear" w:color="auto" w:fill="auto"/>
            <w:vAlign w:val="center"/>
          </w:tcPr>
          <w:p w14:paraId="7636EEC9" w14:textId="77777777" w:rsidR="00FB40DA" w:rsidRPr="000B2FEE" w:rsidRDefault="00FB40DA" w:rsidP="00A72862">
            <w:pPr>
              <w:pStyle w:val="TableText0"/>
              <w:jc w:val="center"/>
              <w:rPr>
                <w:b/>
              </w:rPr>
            </w:pPr>
          </w:p>
        </w:tc>
        <w:tc>
          <w:tcPr>
            <w:tcW w:w="546" w:type="pct"/>
            <w:tcBorders>
              <w:top w:val="nil"/>
              <w:bottom w:val="single" w:sz="4" w:space="0" w:color="auto"/>
            </w:tcBorders>
            <w:shd w:val="clear" w:color="auto" w:fill="auto"/>
            <w:vAlign w:val="center"/>
          </w:tcPr>
          <w:p w14:paraId="34738078" w14:textId="17ADCB53" w:rsidR="00FB40DA" w:rsidRPr="000B2FEE" w:rsidRDefault="00FB40DA" w:rsidP="00A72862">
            <w:pPr>
              <w:pStyle w:val="TableText0"/>
              <w:jc w:val="center"/>
              <w:rPr>
                <w:b/>
              </w:rPr>
            </w:pPr>
            <w:r w:rsidRPr="000B2FEE">
              <w:rPr>
                <w:b/>
              </w:rPr>
              <w:t>$</w:t>
            </w:r>
            <w:r w:rsidR="00206B77" w:rsidRPr="00381965">
              <w:rPr>
                <w:rFonts w:hint="eastAsia"/>
                <w:b/>
                <w:color w:val="000000"/>
                <w:w w:val="15"/>
                <w:shd w:val="solid" w:color="000000" w:fill="000000"/>
                <w:fitText w:val="64" w:id="-1301008885"/>
                <w14:textFill>
                  <w14:solidFill>
                    <w14:srgbClr w14:val="000000">
                      <w14:alpha w14:val="100000"/>
                    </w14:srgbClr>
                  </w14:solidFill>
                </w14:textFill>
              </w:rPr>
              <w:t xml:space="preserve">　</w:t>
            </w:r>
            <w:r w:rsidR="00206B77" w:rsidRPr="00381965">
              <w:rPr>
                <w:b/>
                <w:color w:val="000000"/>
                <w:w w:val="15"/>
                <w:shd w:val="solid" w:color="000000" w:fill="000000"/>
                <w:fitText w:val="64" w:id="-1301008885"/>
                <w14:textFill>
                  <w14:solidFill>
                    <w14:srgbClr w14:val="000000">
                      <w14:alpha w14:val="100000"/>
                    </w14:srgbClr>
                  </w14:solidFill>
                </w14:textFill>
              </w:rPr>
              <w:t>|</w:t>
            </w:r>
            <w:r w:rsidR="00206B77" w:rsidRPr="00381965">
              <w:rPr>
                <w:rFonts w:hint="eastAsia"/>
                <w:b/>
                <w:color w:val="000000"/>
                <w:spacing w:val="-2"/>
                <w:w w:val="15"/>
                <w:shd w:val="solid" w:color="000000" w:fill="000000"/>
                <w:fitText w:val="64" w:id="-1301008885"/>
                <w14:textFill>
                  <w14:solidFill>
                    <w14:srgbClr w14:val="000000">
                      <w14:alpha w14:val="100000"/>
                    </w14:srgbClr>
                  </w14:solidFill>
                </w14:textFill>
              </w:rPr>
              <w:t xml:space="preserve">　</w:t>
            </w:r>
            <w:r w:rsidR="008365A9">
              <w:rPr>
                <w:b/>
                <w:vertAlign w:val="superscript"/>
              </w:rPr>
              <w:t>4</w:t>
            </w:r>
          </w:p>
        </w:tc>
      </w:tr>
      <w:tr w:rsidR="00FB40DA" w:rsidRPr="000B2FEE" w14:paraId="1DF8B955" w14:textId="77777777" w:rsidTr="002E3B9E">
        <w:tc>
          <w:tcPr>
            <w:tcW w:w="5000" w:type="pct"/>
            <w:gridSpan w:val="7"/>
            <w:tcBorders>
              <w:top w:val="single" w:sz="4" w:space="0" w:color="auto"/>
              <w:bottom w:val="single" w:sz="4" w:space="0" w:color="auto"/>
            </w:tcBorders>
            <w:shd w:val="clear" w:color="auto" w:fill="auto"/>
            <w:vAlign w:val="center"/>
          </w:tcPr>
          <w:p w14:paraId="7A1BF7A7" w14:textId="77777777" w:rsidR="00FB40DA" w:rsidRPr="000B2FEE" w:rsidRDefault="00FB40DA" w:rsidP="00A72862">
            <w:pPr>
              <w:pStyle w:val="TableText0"/>
              <w:rPr>
                <w:b/>
              </w:rPr>
            </w:pPr>
            <w:r w:rsidRPr="000B2FEE">
              <w:rPr>
                <w:b/>
              </w:rPr>
              <w:t>Step 5: Time horizon 25 years, treatment, MRU, AE, subsequent therapy costs</w:t>
            </w:r>
          </w:p>
        </w:tc>
      </w:tr>
      <w:tr w:rsidR="00FB40DA" w:rsidRPr="000B2FEE" w14:paraId="0AE791CB" w14:textId="77777777" w:rsidTr="002E3B9E">
        <w:tc>
          <w:tcPr>
            <w:tcW w:w="1726" w:type="pct"/>
            <w:tcBorders>
              <w:top w:val="single" w:sz="4" w:space="0" w:color="auto"/>
              <w:bottom w:val="nil"/>
            </w:tcBorders>
            <w:shd w:val="clear" w:color="auto" w:fill="auto"/>
            <w:vAlign w:val="center"/>
          </w:tcPr>
          <w:p w14:paraId="69EAA880" w14:textId="77777777" w:rsidR="00FB40DA" w:rsidRPr="000B2FEE" w:rsidRDefault="00FB40DA" w:rsidP="00FA0D96">
            <w:pPr>
              <w:pStyle w:val="TableText0"/>
            </w:pPr>
            <w:r w:rsidRPr="000B2FEE">
              <w:t>Costs</w:t>
            </w:r>
          </w:p>
        </w:tc>
        <w:tc>
          <w:tcPr>
            <w:tcW w:w="629" w:type="pct"/>
            <w:tcBorders>
              <w:top w:val="single" w:sz="4" w:space="0" w:color="auto"/>
              <w:bottom w:val="nil"/>
            </w:tcBorders>
            <w:shd w:val="clear" w:color="auto" w:fill="auto"/>
            <w:vAlign w:val="center"/>
          </w:tcPr>
          <w:p w14:paraId="6A4F204C" w14:textId="71A62D77" w:rsidR="00FB40DA" w:rsidRPr="000B2FEE" w:rsidRDefault="00FB40DA" w:rsidP="00A72862">
            <w:pPr>
              <w:pStyle w:val="TableText0"/>
              <w:jc w:val="center"/>
            </w:pPr>
            <w:r w:rsidRPr="000B2FEE">
              <w:t>$</w:t>
            </w:r>
            <w:r w:rsidR="00206B77" w:rsidRPr="00206B77">
              <w:rPr>
                <w:color w:val="000000"/>
                <w:shd w:val="solid" w:color="000000" w:fill="000000"/>
                <w14:textFill>
                  <w14:solidFill>
                    <w14:srgbClr w14:val="000000">
                      <w14:alpha w14:val="100000"/>
                    </w14:srgbClr>
                  </w14:solidFill>
                </w14:textFill>
              </w:rPr>
              <w:t>|</w:t>
            </w:r>
          </w:p>
        </w:tc>
        <w:tc>
          <w:tcPr>
            <w:tcW w:w="462" w:type="pct"/>
            <w:tcBorders>
              <w:top w:val="single" w:sz="4" w:space="0" w:color="auto"/>
              <w:bottom w:val="nil"/>
            </w:tcBorders>
            <w:shd w:val="clear" w:color="auto" w:fill="auto"/>
            <w:vAlign w:val="center"/>
          </w:tcPr>
          <w:p w14:paraId="7896EFBA" w14:textId="77777777" w:rsidR="00FB40DA" w:rsidRPr="00880394" w:rsidRDefault="00FB40DA" w:rsidP="00A72862">
            <w:pPr>
              <w:pStyle w:val="TableText0"/>
              <w:jc w:val="center"/>
            </w:pPr>
            <w:r w:rsidRPr="00880394">
              <w:t>$43,930</w:t>
            </w:r>
          </w:p>
        </w:tc>
        <w:tc>
          <w:tcPr>
            <w:tcW w:w="546" w:type="pct"/>
            <w:tcBorders>
              <w:top w:val="single" w:sz="4" w:space="0" w:color="auto"/>
              <w:bottom w:val="nil"/>
            </w:tcBorders>
            <w:shd w:val="clear" w:color="auto" w:fill="auto"/>
            <w:vAlign w:val="center"/>
          </w:tcPr>
          <w:p w14:paraId="5177B6E5" w14:textId="61FC5971" w:rsidR="00FB40DA" w:rsidRPr="000B2FEE" w:rsidRDefault="00FB40DA" w:rsidP="00A72862">
            <w:pPr>
              <w:pStyle w:val="TableText0"/>
              <w:jc w:val="center"/>
            </w:pPr>
            <w:r w:rsidRPr="000B2FEE">
              <w:t>$</w:t>
            </w:r>
            <w:r w:rsidR="00206B77" w:rsidRPr="00381965">
              <w:rPr>
                <w:rFonts w:hint="eastAsia"/>
                <w:color w:val="000000"/>
                <w:w w:val="15"/>
                <w:shd w:val="solid" w:color="000000" w:fill="000000"/>
                <w:fitText w:val="36" w:id="-1301008884"/>
                <w14:textFill>
                  <w14:solidFill>
                    <w14:srgbClr w14:val="000000">
                      <w14:alpha w14:val="100000"/>
                    </w14:srgbClr>
                  </w14:solidFill>
                </w14:textFill>
              </w:rPr>
              <w:t xml:space="preserve">　</w:t>
            </w:r>
            <w:r w:rsidR="00206B77" w:rsidRPr="00381965">
              <w:rPr>
                <w:color w:val="000000"/>
                <w:w w:val="15"/>
                <w:shd w:val="solid" w:color="000000" w:fill="000000"/>
                <w:fitText w:val="36" w:id="-1301008884"/>
                <w14:textFill>
                  <w14:solidFill>
                    <w14:srgbClr w14:val="000000">
                      <w14:alpha w14:val="100000"/>
                    </w14:srgbClr>
                  </w14:solidFill>
                </w14:textFill>
              </w:rPr>
              <w:t>|</w:t>
            </w:r>
            <w:r w:rsidR="00206B77" w:rsidRPr="00381965">
              <w:rPr>
                <w:rFonts w:hint="eastAsia"/>
                <w:color w:val="000000"/>
                <w:spacing w:val="-45"/>
                <w:w w:val="15"/>
                <w:shd w:val="solid" w:color="000000" w:fill="000000"/>
                <w:fitText w:val="36" w:id="-1301008884"/>
                <w14:textFill>
                  <w14:solidFill>
                    <w14:srgbClr w14:val="000000">
                      <w14:alpha w14:val="100000"/>
                    </w14:srgbClr>
                  </w14:solidFill>
                </w14:textFill>
              </w:rPr>
              <w:t xml:space="preserve">　</w:t>
            </w:r>
          </w:p>
        </w:tc>
        <w:tc>
          <w:tcPr>
            <w:tcW w:w="644" w:type="pct"/>
            <w:tcBorders>
              <w:top w:val="single" w:sz="4" w:space="0" w:color="auto"/>
              <w:bottom w:val="nil"/>
            </w:tcBorders>
            <w:shd w:val="clear" w:color="auto" w:fill="auto"/>
            <w:vAlign w:val="center"/>
          </w:tcPr>
          <w:p w14:paraId="78B040A3" w14:textId="77997EB6" w:rsidR="00FB40DA" w:rsidRPr="000B2FEE" w:rsidRDefault="00FB40DA" w:rsidP="00A72862">
            <w:pPr>
              <w:pStyle w:val="TableText0"/>
              <w:jc w:val="center"/>
            </w:pPr>
            <w:r w:rsidRPr="000B2FEE">
              <w:t>$</w:t>
            </w:r>
            <w:r w:rsidR="00206B77" w:rsidRPr="00206B77">
              <w:rPr>
                <w:color w:val="000000"/>
                <w:shd w:val="solid" w:color="000000" w:fill="000000"/>
                <w14:textFill>
                  <w14:solidFill>
                    <w14:srgbClr w14:val="000000">
                      <w14:alpha w14:val="100000"/>
                    </w14:srgbClr>
                  </w14:solidFill>
                </w14:textFill>
              </w:rPr>
              <w:t>|</w:t>
            </w:r>
          </w:p>
        </w:tc>
        <w:tc>
          <w:tcPr>
            <w:tcW w:w="447" w:type="pct"/>
            <w:tcBorders>
              <w:top w:val="single" w:sz="4" w:space="0" w:color="auto"/>
              <w:bottom w:val="nil"/>
            </w:tcBorders>
            <w:shd w:val="clear" w:color="auto" w:fill="auto"/>
            <w:vAlign w:val="center"/>
          </w:tcPr>
          <w:p w14:paraId="1CAC9811" w14:textId="77777777" w:rsidR="00FB40DA" w:rsidRPr="00880394" w:rsidRDefault="00FB40DA" w:rsidP="00A72862">
            <w:pPr>
              <w:pStyle w:val="TableText0"/>
              <w:jc w:val="center"/>
            </w:pPr>
            <w:r w:rsidRPr="00880394">
              <w:t>$47,115</w:t>
            </w:r>
          </w:p>
        </w:tc>
        <w:tc>
          <w:tcPr>
            <w:tcW w:w="546" w:type="pct"/>
            <w:tcBorders>
              <w:top w:val="single" w:sz="4" w:space="0" w:color="auto"/>
              <w:bottom w:val="nil"/>
            </w:tcBorders>
            <w:shd w:val="clear" w:color="auto" w:fill="auto"/>
            <w:vAlign w:val="center"/>
          </w:tcPr>
          <w:p w14:paraId="2452788D" w14:textId="6D24DA68" w:rsidR="00FB40DA" w:rsidRPr="000B2FEE" w:rsidRDefault="00FB40DA" w:rsidP="00A72862">
            <w:pPr>
              <w:pStyle w:val="TableText0"/>
              <w:jc w:val="center"/>
            </w:pPr>
            <w:r w:rsidRPr="000B2FEE">
              <w:t>$</w:t>
            </w:r>
            <w:r w:rsidR="00206B77" w:rsidRPr="00381965">
              <w:rPr>
                <w:rFonts w:hint="eastAsia"/>
                <w:color w:val="000000"/>
                <w:w w:val="15"/>
                <w:shd w:val="solid" w:color="000000" w:fill="000000"/>
                <w:fitText w:val="36" w:id="-1301008883"/>
                <w14:textFill>
                  <w14:solidFill>
                    <w14:srgbClr w14:val="000000">
                      <w14:alpha w14:val="100000"/>
                    </w14:srgbClr>
                  </w14:solidFill>
                </w14:textFill>
              </w:rPr>
              <w:t xml:space="preserve">　</w:t>
            </w:r>
            <w:r w:rsidR="00206B77" w:rsidRPr="00381965">
              <w:rPr>
                <w:color w:val="000000"/>
                <w:w w:val="15"/>
                <w:shd w:val="solid" w:color="000000" w:fill="000000"/>
                <w:fitText w:val="36" w:id="-1301008883"/>
                <w14:textFill>
                  <w14:solidFill>
                    <w14:srgbClr w14:val="000000">
                      <w14:alpha w14:val="100000"/>
                    </w14:srgbClr>
                  </w14:solidFill>
                </w14:textFill>
              </w:rPr>
              <w:t>|</w:t>
            </w:r>
            <w:r w:rsidR="00206B77" w:rsidRPr="00381965">
              <w:rPr>
                <w:rFonts w:hint="eastAsia"/>
                <w:color w:val="000000"/>
                <w:spacing w:val="-29"/>
                <w:w w:val="15"/>
                <w:shd w:val="solid" w:color="000000" w:fill="000000"/>
                <w:fitText w:val="36" w:id="-1301008883"/>
                <w14:textFill>
                  <w14:solidFill>
                    <w14:srgbClr w14:val="000000">
                      <w14:alpha w14:val="100000"/>
                    </w14:srgbClr>
                  </w14:solidFill>
                </w14:textFill>
              </w:rPr>
              <w:t xml:space="preserve">　</w:t>
            </w:r>
          </w:p>
        </w:tc>
      </w:tr>
      <w:tr w:rsidR="00FB40DA" w:rsidRPr="000B2FEE" w14:paraId="20287EED" w14:textId="77777777" w:rsidTr="00880394">
        <w:trPr>
          <w:trHeight w:val="93"/>
        </w:trPr>
        <w:tc>
          <w:tcPr>
            <w:tcW w:w="1726" w:type="pct"/>
            <w:tcBorders>
              <w:top w:val="nil"/>
              <w:bottom w:val="nil"/>
            </w:tcBorders>
            <w:shd w:val="clear" w:color="auto" w:fill="auto"/>
            <w:vAlign w:val="center"/>
          </w:tcPr>
          <w:p w14:paraId="70D0C0AE" w14:textId="77777777" w:rsidR="00FB40DA" w:rsidRPr="000B2FEE" w:rsidRDefault="00FB40DA" w:rsidP="00FA0D96">
            <w:pPr>
              <w:pStyle w:val="TableText0"/>
            </w:pPr>
            <w:r w:rsidRPr="000B2FEE">
              <w:t>LYs</w:t>
            </w:r>
          </w:p>
        </w:tc>
        <w:tc>
          <w:tcPr>
            <w:tcW w:w="629" w:type="pct"/>
            <w:tcBorders>
              <w:top w:val="nil"/>
              <w:bottom w:val="nil"/>
            </w:tcBorders>
            <w:shd w:val="clear" w:color="auto" w:fill="auto"/>
            <w:vAlign w:val="center"/>
          </w:tcPr>
          <w:p w14:paraId="137CCC4C" w14:textId="77777777" w:rsidR="00FB40DA" w:rsidRPr="000B2FEE" w:rsidRDefault="00FB40DA" w:rsidP="00A72862">
            <w:pPr>
              <w:pStyle w:val="TableText0"/>
              <w:jc w:val="center"/>
            </w:pPr>
            <w:r w:rsidRPr="000B2FEE">
              <w:t>10.43</w:t>
            </w:r>
          </w:p>
        </w:tc>
        <w:tc>
          <w:tcPr>
            <w:tcW w:w="462" w:type="pct"/>
            <w:tcBorders>
              <w:top w:val="nil"/>
              <w:bottom w:val="nil"/>
            </w:tcBorders>
            <w:shd w:val="clear" w:color="auto" w:fill="auto"/>
            <w:vAlign w:val="center"/>
          </w:tcPr>
          <w:p w14:paraId="35B64777" w14:textId="04FA4B20" w:rsidR="00FB40DA" w:rsidRPr="00880394" w:rsidRDefault="00FB40DA" w:rsidP="00A72862">
            <w:pPr>
              <w:pStyle w:val="TableText0"/>
              <w:jc w:val="center"/>
            </w:pPr>
            <w:r w:rsidRPr="00880394">
              <w:t>9.</w:t>
            </w:r>
            <w:r w:rsidR="0047142A" w:rsidRPr="00880394">
              <w:t>9</w:t>
            </w:r>
            <w:r w:rsidRPr="00880394">
              <w:t>8</w:t>
            </w:r>
          </w:p>
        </w:tc>
        <w:tc>
          <w:tcPr>
            <w:tcW w:w="546" w:type="pct"/>
            <w:tcBorders>
              <w:top w:val="nil"/>
              <w:bottom w:val="nil"/>
            </w:tcBorders>
            <w:shd w:val="clear" w:color="auto" w:fill="auto"/>
            <w:vAlign w:val="center"/>
          </w:tcPr>
          <w:p w14:paraId="2CE0817D" w14:textId="77777777" w:rsidR="00FB40DA" w:rsidRPr="000B2FEE" w:rsidRDefault="00FB40DA" w:rsidP="00A72862">
            <w:pPr>
              <w:pStyle w:val="TableText0"/>
              <w:jc w:val="center"/>
            </w:pPr>
            <w:r w:rsidRPr="000B2FEE">
              <w:t>0.45</w:t>
            </w:r>
          </w:p>
        </w:tc>
        <w:tc>
          <w:tcPr>
            <w:tcW w:w="644" w:type="pct"/>
            <w:tcBorders>
              <w:top w:val="nil"/>
              <w:bottom w:val="nil"/>
            </w:tcBorders>
            <w:shd w:val="clear" w:color="auto" w:fill="auto"/>
            <w:vAlign w:val="center"/>
          </w:tcPr>
          <w:p w14:paraId="3BD46969" w14:textId="77777777" w:rsidR="00FB40DA" w:rsidRPr="000B2FEE" w:rsidRDefault="00FB40DA" w:rsidP="00A72862">
            <w:pPr>
              <w:pStyle w:val="TableText0"/>
              <w:jc w:val="center"/>
            </w:pPr>
            <w:r w:rsidRPr="000B2FEE">
              <w:t>10.14</w:t>
            </w:r>
          </w:p>
        </w:tc>
        <w:tc>
          <w:tcPr>
            <w:tcW w:w="447" w:type="pct"/>
            <w:tcBorders>
              <w:top w:val="nil"/>
              <w:bottom w:val="nil"/>
            </w:tcBorders>
            <w:shd w:val="clear" w:color="auto" w:fill="auto"/>
            <w:vAlign w:val="center"/>
          </w:tcPr>
          <w:p w14:paraId="5EDCA22E" w14:textId="77777777" w:rsidR="00FB40DA" w:rsidRPr="00880394" w:rsidRDefault="00FB40DA" w:rsidP="00A72862">
            <w:pPr>
              <w:pStyle w:val="TableText0"/>
              <w:jc w:val="center"/>
            </w:pPr>
            <w:r w:rsidRPr="00880394">
              <w:t>9.33</w:t>
            </w:r>
          </w:p>
        </w:tc>
        <w:tc>
          <w:tcPr>
            <w:tcW w:w="546" w:type="pct"/>
            <w:tcBorders>
              <w:top w:val="nil"/>
              <w:bottom w:val="nil"/>
            </w:tcBorders>
            <w:shd w:val="clear" w:color="auto" w:fill="auto"/>
            <w:vAlign w:val="center"/>
          </w:tcPr>
          <w:p w14:paraId="5146B206" w14:textId="77777777" w:rsidR="00FB40DA" w:rsidRPr="000B2FEE" w:rsidRDefault="00FB40DA" w:rsidP="00A72862">
            <w:pPr>
              <w:pStyle w:val="TableText0"/>
              <w:jc w:val="center"/>
            </w:pPr>
            <w:r w:rsidRPr="000B2FEE">
              <w:t>0.81</w:t>
            </w:r>
          </w:p>
        </w:tc>
      </w:tr>
      <w:tr w:rsidR="00FB40DA" w:rsidRPr="000B2FEE" w14:paraId="44E51B2A" w14:textId="77777777" w:rsidTr="00A72862">
        <w:tc>
          <w:tcPr>
            <w:tcW w:w="1726" w:type="pct"/>
            <w:tcBorders>
              <w:top w:val="nil"/>
              <w:bottom w:val="nil"/>
            </w:tcBorders>
            <w:shd w:val="clear" w:color="auto" w:fill="auto"/>
            <w:vAlign w:val="center"/>
          </w:tcPr>
          <w:p w14:paraId="4C9A0F68" w14:textId="77777777" w:rsidR="00FB40DA" w:rsidRPr="000B2FEE" w:rsidRDefault="00FB40DA" w:rsidP="00FA0D96">
            <w:pPr>
              <w:pStyle w:val="TableText0"/>
            </w:pPr>
            <w:r w:rsidRPr="000B2FEE">
              <w:t>QALYs</w:t>
            </w:r>
          </w:p>
        </w:tc>
        <w:tc>
          <w:tcPr>
            <w:tcW w:w="629" w:type="pct"/>
            <w:tcBorders>
              <w:top w:val="nil"/>
              <w:bottom w:val="nil"/>
            </w:tcBorders>
            <w:shd w:val="clear" w:color="auto" w:fill="auto"/>
            <w:vAlign w:val="center"/>
          </w:tcPr>
          <w:p w14:paraId="4D4DE34B" w14:textId="77777777" w:rsidR="00FB40DA" w:rsidRPr="000B2FEE" w:rsidRDefault="00FB40DA" w:rsidP="00A72862">
            <w:pPr>
              <w:pStyle w:val="TableText0"/>
              <w:jc w:val="center"/>
            </w:pPr>
            <w:r w:rsidRPr="000B2FEE">
              <w:t>8.33</w:t>
            </w:r>
          </w:p>
        </w:tc>
        <w:tc>
          <w:tcPr>
            <w:tcW w:w="462" w:type="pct"/>
            <w:tcBorders>
              <w:top w:val="nil"/>
              <w:bottom w:val="nil"/>
            </w:tcBorders>
            <w:shd w:val="clear" w:color="auto" w:fill="auto"/>
            <w:vAlign w:val="center"/>
          </w:tcPr>
          <w:p w14:paraId="40159E45" w14:textId="77777777" w:rsidR="00FB40DA" w:rsidRPr="000B2FEE" w:rsidRDefault="00FB40DA" w:rsidP="00A72862">
            <w:pPr>
              <w:pStyle w:val="TableText0"/>
              <w:jc w:val="center"/>
            </w:pPr>
            <w:r w:rsidRPr="000B2FEE">
              <w:t>7.95</w:t>
            </w:r>
          </w:p>
        </w:tc>
        <w:tc>
          <w:tcPr>
            <w:tcW w:w="546" w:type="pct"/>
            <w:tcBorders>
              <w:top w:val="nil"/>
              <w:bottom w:val="nil"/>
            </w:tcBorders>
            <w:shd w:val="clear" w:color="auto" w:fill="auto"/>
            <w:vAlign w:val="center"/>
          </w:tcPr>
          <w:p w14:paraId="186597BB" w14:textId="77777777" w:rsidR="00FB40DA" w:rsidRPr="000B2FEE" w:rsidRDefault="00FB40DA" w:rsidP="00A72862">
            <w:pPr>
              <w:pStyle w:val="TableText0"/>
              <w:jc w:val="center"/>
            </w:pPr>
            <w:r w:rsidRPr="000B2FEE">
              <w:t>0.39</w:t>
            </w:r>
          </w:p>
        </w:tc>
        <w:tc>
          <w:tcPr>
            <w:tcW w:w="644" w:type="pct"/>
            <w:tcBorders>
              <w:top w:val="nil"/>
              <w:bottom w:val="nil"/>
            </w:tcBorders>
            <w:shd w:val="clear" w:color="auto" w:fill="auto"/>
            <w:vAlign w:val="center"/>
          </w:tcPr>
          <w:p w14:paraId="0C7AB289" w14:textId="77777777" w:rsidR="00FB40DA" w:rsidRPr="000B2FEE" w:rsidRDefault="00FB40DA" w:rsidP="00A72862">
            <w:pPr>
              <w:pStyle w:val="TableText0"/>
              <w:jc w:val="center"/>
            </w:pPr>
            <w:r w:rsidRPr="000B2FEE">
              <w:t>8.11</w:t>
            </w:r>
          </w:p>
        </w:tc>
        <w:tc>
          <w:tcPr>
            <w:tcW w:w="447" w:type="pct"/>
            <w:tcBorders>
              <w:top w:val="nil"/>
              <w:bottom w:val="nil"/>
            </w:tcBorders>
            <w:shd w:val="clear" w:color="auto" w:fill="auto"/>
            <w:vAlign w:val="center"/>
          </w:tcPr>
          <w:p w14:paraId="5A1FDDD3" w14:textId="77777777" w:rsidR="00FB40DA" w:rsidRPr="000B2FEE" w:rsidRDefault="00FB40DA" w:rsidP="00A72862">
            <w:pPr>
              <w:pStyle w:val="TableText0"/>
              <w:jc w:val="center"/>
            </w:pPr>
            <w:r w:rsidRPr="000B2FEE">
              <w:t>7.41</w:t>
            </w:r>
          </w:p>
        </w:tc>
        <w:tc>
          <w:tcPr>
            <w:tcW w:w="546" w:type="pct"/>
            <w:tcBorders>
              <w:top w:val="nil"/>
              <w:bottom w:val="nil"/>
            </w:tcBorders>
            <w:shd w:val="clear" w:color="auto" w:fill="auto"/>
            <w:vAlign w:val="center"/>
          </w:tcPr>
          <w:p w14:paraId="138DE05D" w14:textId="77777777" w:rsidR="00FB40DA" w:rsidRPr="000B2FEE" w:rsidRDefault="00FB40DA" w:rsidP="00A72862">
            <w:pPr>
              <w:pStyle w:val="TableText0"/>
              <w:jc w:val="center"/>
            </w:pPr>
            <w:r w:rsidRPr="000B2FEE">
              <w:t>0.70</w:t>
            </w:r>
          </w:p>
        </w:tc>
      </w:tr>
      <w:tr w:rsidR="00FB40DA" w:rsidRPr="000B2FEE" w14:paraId="17DFB325" w14:textId="77777777" w:rsidTr="002E3B9E">
        <w:tc>
          <w:tcPr>
            <w:tcW w:w="1726" w:type="pct"/>
            <w:tcBorders>
              <w:top w:val="nil"/>
              <w:bottom w:val="single" w:sz="4" w:space="0" w:color="auto"/>
            </w:tcBorders>
            <w:shd w:val="clear" w:color="auto" w:fill="auto"/>
            <w:vAlign w:val="center"/>
          </w:tcPr>
          <w:p w14:paraId="244FE9C2" w14:textId="77777777" w:rsidR="00FB40DA" w:rsidRPr="000B2FEE" w:rsidRDefault="00FB40DA" w:rsidP="00FA0D96">
            <w:pPr>
              <w:pStyle w:val="TableText0"/>
              <w:rPr>
                <w:b/>
              </w:rPr>
            </w:pPr>
            <w:r w:rsidRPr="000B2FEE">
              <w:rPr>
                <w:b/>
              </w:rPr>
              <w:t>Incremental cost/extra QALY gained</w:t>
            </w:r>
          </w:p>
        </w:tc>
        <w:tc>
          <w:tcPr>
            <w:tcW w:w="629" w:type="pct"/>
            <w:tcBorders>
              <w:top w:val="nil"/>
              <w:bottom w:val="single" w:sz="4" w:space="0" w:color="auto"/>
            </w:tcBorders>
            <w:shd w:val="clear" w:color="auto" w:fill="auto"/>
            <w:vAlign w:val="center"/>
          </w:tcPr>
          <w:p w14:paraId="28C7869A" w14:textId="77777777" w:rsidR="00FB40DA" w:rsidRPr="000B2FEE" w:rsidRDefault="00FB40DA" w:rsidP="00A72862">
            <w:pPr>
              <w:pStyle w:val="TableText0"/>
              <w:jc w:val="center"/>
              <w:rPr>
                <w:b/>
              </w:rPr>
            </w:pPr>
          </w:p>
        </w:tc>
        <w:tc>
          <w:tcPr>
            <w:tcW w:w="462" w:type="pct"/>
            <w:tcBorders>
              <w:top w:val="nil"/>
              <w:bottom w:val="single" w:sz="4" w:space="0" w:color="auto"/>
            </w:tcBorders>
            <w:shd w:val="clear" w:color="auto" w:fill="auto"/>
            <w:vAlign w:val="center"/>
          </w:tcPr>
          <w:p w14:paraId="09839498" w14:textId="77777777" w:rsidR="00FB40DA" w:rsidRPr="000B2FEE" w:rsidRDefault="00FB40DA" w:rsidP="00A72862">
            <w:pPr>
              <w:pStyle w:val="TableText0"/>
              <w:jc w:val="center"/>
              <w:rPr>
                <w:b/>
              </w:rPr>
            </w:pPr>
          </w:p>
        </w:tc>
        <w:tc>
          <w:tcPr>
            <w:tcW w:w="546" w:type="pct"/>
            <w:tcBorders>
              <w:top w:val="nil"/>
              <w:bottom w:val="single" w:sz="4" w:space="0" w:color="auto"/>
            </w:tcBorders>
            <w:shd w:val="clear" w:color="auto" w:fill="auto"/>
            <w:vAlign w:val="center"/>
          </w:tcPr>
          <w:p w14:paraId="17E84C1C" w14:textId="4B1078C3" w:rsidR="00FB40DA" w:rsidRPr="000B2FEE" w:rsidRDefault="00FB40DA" w:rsidP="00A72862">
            <w:pPr>
              <w:pStyle w:val="TableText0"/>
              <w:jc w:val="center"/>
              <w:rPr>
                <w:b/>
              </w:rPr>
            </w:pPr>
            <w:r w:rsidRPr="000B2FEE">
              <w:rPr>
                <w:b/>
              </w:rPr>
              <w:t>$</w:t>
            </w:r>
            <w:r w:rsidR="00206B77" w:rsidRPr="00381965">
              <w:rPr>
                <w:rFonts w:hint="eastAsia"/>
                <w:b/>
                <w:color w:val="000000"/>
                <w:w w:val="15"/>
                <w:shd w:val="solid" w:color="000000" w:fill="000000"/>
                <w:fitText w:val="65" w:id="-1301008882"/>
                <w14:textFill>
                  <w14:solidFill>
                    <w14:srgbClr w14:val="000000">
                      <w14:alpha w14:val="100000"/>
                    </w14:srgbClr>
                  </w14:solidFill>
                </w14:textFill>
              </w:rPr>
              <w:t xml:space="preserve">　</w:t>
            </w:r>
            <w:r w:rsidR="00206B77" w:rsidRPr="00381965">
              <w:rPr>
                <w:b/>
                <w:color w:val="000000"/>
                <w:w w:val="15"/>
                <w:shd w:val="solid" w:color="000000" w:fill="000000"/>
                <w:fitText w:val="65" w:id="-1301008882"/>
                <w14:textFill>
                  <w14:solidFill>
                    <w14:srgbClr w14:val="000000">
                      <w14:alpha w14:val="100000"/>
                    </w14:srgbClr>
                  </w14:solidFill>
                </w14:textFill>
              </w:rPr>
              <w:t>|</w:t>
            </w:r>
            <w:r w:rsidR="00206B77" w:rsidRPr="00381965">
              <w:rPr>
                <w:rFonts w:hint="eastAsia"/>
                <w:b/>
                <w:color w:val="000000"/>
                <w:spacing w:val="-1"/>
                <w:w w:val="15"/>
                <w:shd w:val="solid" w:color="000000" w:fill="000000"/>
                <w:fitText w:val="65" w:id="-1301008882"/>
                <w14:textFill>
                  <w14:solidFill>
                    <w14:srgbClr w14:val="000000">
                      <w14:alpha w14:val="100000"/>
                    </w14:srgbClr>
                  </w14:solidFill>
                </w14:textFill>
              </w:rPr>
              <w:t xml:space="preserve">　</w:t>
            </w:r>
            <w:r w:rsidR="008365A9">
              <w:rPr>
                <w:b/>
                <w:vertAlign w:val="superscript"/>
              </w:rPr>
              <w:t>2</w:t>
            </w:r>
          </w:p>
        </w:tc>
        <w:tc>
          <w:tcPr>
            <w:tcW w:w="644" w:type="pct"/>
            <w:tcBorders>
              <w:top w:val="nil"/>
              <w:bottom w:val="single" w:sz="4" w:space="0" w:color="auto"/>
            </w:tcBorders>
            <w:shd w:val="clear" w:color="auto" w:fill="auto"/>
            <w:vAlign w:val="center"/>
          </w:tcPr>
          <w:p w14:paraId="45BC8D30" w14:textId="77777777" w:rsidR="00FB40DA" w:rsidRPr="000B2FEE" w:rsidRDefault="00FB40DA" w:rsidP="00A72862">
            <w:pPr>
              <w:pStyle w:val="TableText0"/>
              <w:jc w:val="center"/>
              <w:rPr>
                <w:b/>
              </w:rPr>
            </w:pPr>
          </w:p>
        </w:tc>
        <w:tc>
          <w:tcPr>
            <w:tcW w:w="447" w:type="pct"/>
            <w:tcBorders>
              <w:top w:val="nil"/>
              <w:bottom w:val="single" w:sz="4" w:space="0" w:color="auto"/>
            </w:tcBorders>
            <w:shd w:val="clear" w:color="auto" w:fill="auto"/>
            <w:vAlign w:val="center"/>
          </w:tcPr>
          <w:p w14:paraId="6D813B0F" w14:textId="77777777" w:rsidR="00FB40DA" w:rsidRPr="000B2FEE" w:rsidRDefault="00FB40DA" w:rsidP="00A72862">
            <w:pPr>
              <w:pStyle w:val="TableText0"/>
              <w:jc w:val="center"/>
              <w:rPr>
                <w:b/>
              </w:rPr>
            </w:pPr>
          </w:p>
        </w:tc>
        <w:tc>
          <w:tcPr>
            <w:tcW w:w="546" w:type="pct"/>
            <w:tcBorders>
              <w:top w:val="nil"/>
              <w:bottom w:val="single" w:sz="4" w:space="0" w:color="auto"/>
            </w:tcBorders>
            <w:shd w:val="clear" w:color="auto" w:fill="auto"/>
            <w:vAlign w:val="center"/>
          </w:tcPr>
          <w:p w14:paraId="11C39960" w14:textId="39D758E8" w:rsidR="00FB40DA" w:rsidRPr="000B2FEE" w:rsidRDefault="00FB40DA" w:rsidP="00A72862">
            <w:pPr>
              <w:pStyle w:val="TableText0"/>
              <w:jc w:val="center"/>
              <w:rPr>
                <w:b/>
              </w:rPr>
            </w:pPr>
            <w:r w:rsidRPr="000B2FEE">
              <w:rPr>
                <w:b/>
              </w:rPr>
              <w:t>$</w:t>
            </w:r>
            <w:r w:rsidR="00206B77" w:rsidRPr="00381965">
              <w:rPr>
                <w:rFonts w:hint="eastAsia"/>
                <w:b/>
                <w:color w:val="000000"/>
                <w:w w:val="15"/>
                <w:shd w:val="solid" w:color="000000" w:fill="000000"/>
                <w:fitText w:val="64" w:id="-1301008881"/>
                <w14:textFill>
                  <w14:solidFill>
                    <w14:srgbClr w14:val="000000">
                      <w14:alpha w14:val="100000"/>
                    </w14:srgbClr>
                  </w14:solidFill>
                </w14:textFill>
              </w:rPr>
              <w:t xml:space="preserve">　</w:t>
            </w:r>
            <w:r w:rsidR="00206B77" w:rsidRPr="00381965">
              <w:rPr>
                <w:b/>
                <w:color w:val="000000"/>
                <w:w w:val="15"/>
                <w:shd w:val="solid" w:color="000000" w:fill="000000"/>
                <w:fitText w:val="64" w:id="-1301008881"/>
                <w14:textFill>
                  <w14:solidFill>
                    <w14:srgbClr w14:val="000000">
                      <w14:alpha w14:val="100000"/>
                    </w14:srgbClr>
                  </w14:solidFill>
                </w14:textFill>
              </w:rPr>
              <w:t>|</w:t>
            </w:r>
            <w:r w:rsidR="00206B77" w:rsidRPr="00381965">
              <w:rPr>
                <w:rFonts w:hint="eastAsia"/>
                <w:b/>
                <w:color w:val="000000"/>
                <w:spacing w:val="-2"/>
                <w:w w:val="15"/>
                <w:shd w:val="solid" w:color="000000" w:fill="000000"/>
                <w:fitText w:val="64" w:id="-1301008881"/>
                <w14:textFill>
                  <w14:solidFill>
                    <w14:srgbClr w14:val="000000">
                      <w14:alpha w14:val="100000"/>
                    </w14:srgbClr>
                  </w14:solidFill>
                </w14:textFill>
              </w:rPr>
              <w:t xml:space="preserve">　</w:t>
            </w:r>
            <w:r w:rsidR="004D267F">
              <w:rPr>
                <w:b/>
                <w:vertAlign w:val="superscript"/>
              </w:rPr>
              <w:t>5</w:t>
            </w:r>
          </w:p>
        </w:tc>
      </w:tr>
      <w:tr w:rsidR="00FB40DA" w:rsidRPr="000B2FEE" w14:paraId="1CB48D2B" w14:textId="77777777" w:rsidTr="002E3B9E">
        <w:tc>
          <w:tcPr>
            <w:tcW w:w="5000" w:type="pct"/>
            <w:gridSpan w:val="7"/>
            <w:tcBorders>
              <w:top w:val="single" w:sz="4" w:space="0" w:color="auto"/>
              <w:bottom w:val="single" w:sz="4" w:space="0" w:color="auto"/>
            </w:tcBorders>
            <w:shd w:val="clear" w:color="auto" w:fill="auto"/>
            <w:vAlign w:val="center"/>
          </w:tcPr>
          <w:p w14:paraId="7BE85FEA" w14:textId="77777777" w:rsidR="00FB40DA" w:rsidRPr="000B2FEE" w:rsidRDefault="00FB40DA" w:rsidP="002E3B9E">
            <w:pPr>
              <w:pStyle w:val="TableText0"/>
              <w:rPr>
                <w:b/>
              </w:rPr>
            </w:pPr>
            <w:r w:rsidRPr="000B2FEE">
              <w:rPr>
                <w:b/>
              </w:rPr>
              <w:t>Step 6: Time horizon 25 years, all costs</w:t>
            </w:r>
          </w:p>
        </w:tc>
      </w:tr>
      <w:tr w:rsidR="00FB40DA" w:rsidRPr="000B2FEE" w14:paraId="30AC2013" w14:textId="77777777" w:rsidTr="002E3B9E">
        <w:tc>
          <w:tcPr>
            <w:tcW w:w="1726" w:type="pct"/>
            <w:tcBorders>
              <w:top w:val="single" w:sz="4" w:space="0" w:color="auto"/>
              <w:bottom w:val="nil"/>
            </w:tcBorders>
            <w:shd w:val="clear" w:color="auto" w:fill="auto"/>
            <w:vAlign w:val="center"/>
          </w:tcPr>
          <w:p w14:paraId="55987985" w14:textId="77777777" w:rsidR="00FB40DA" w:rsidRPr="000B2FEE" w:rsidRDefault="00FB40DA" w:rsidP="00FA0D96">
            <w:pPr>
              <w:pStyle w:val="TableText0"/>
            </w:pPr>
            <w:r w:rsidRPr="000B2FEE">
              <w:t>Costs</w:t>
            </w:r>
          </w:p>
        </w:tc>
        <w:tc>
          <w:tcPr>
            <w:tcW w:w="629" w:type="pct"/>
            <w:tcBorders>
              <w:top w:val="single" w:sz="4" w:space="0" w:color="auto"/>
              <w:bottom w:val="nil"/>
            </w:tcBorders>
            <w:shd w:val="clear" w:color="auto" w:fill="auto"/>
            <w:vAlign w:val="center"/>
          </w:tcPr>
          <w:p w14:paraId="557AC76B" w14:textId="384A48B1" w:rsidR="00FB40DA" w:rsidRPr="000B2FEE" w:rsidRDefault="00FB40DA" w:rsidP="00A72862">
            <w:pPr>
              <w:pStyle w:val="TableText0"/>
              <w:jc w:val="center"/>
            </w:pPr>
            <w:r w:rsidRPr="000B2FEE">
              <w:t>$</w:t>
            </w:r>
            <w:r w:rsidR="00206B77" w:rsidRPr="00206B77">
              <w:rPr>
                <w:color w:val="000000"/>
                <w:shd w:val="solid" w:color="000000" w:fill="000000"/>
                <w14:textFill>
                  <w14:solidFill>
                    <w14:srgbClr w14:val="000000">
                      <w14:alpha w14:val="100000"/>
                    </w14:srgbClr>
                  </w14:solidFill>
                </w14:textFill>
              </w:rPr>
              <w:t>|</w:t>
            </w:r>
          </w:p>
        </w:tc>
        <w:tc>
          <w:tcPr>
            <w:tcW w:w="462" w:type="pct"/>
            <w:tcBorders>
              <w:top w:val="single" w:sz="4" w:space="0" w:color="auto"/>
              <w:bottom w:val="nil"/>
            </w:tcBorders>
            <w:shd w:val="clear" w:color="auto" w:fill="auto"/>
            <w:vAlign w:val="center"/>
          </w:tcPr>
          <w:p w14:paraId="6241477C" w14:textId="77777777" w:rsidR="00FB40DA" w:rsidRPr="00880394" w:rsidRDefault="00FB40DA" w:rsidP="00A72862">
            <w:pPr>
              <w:pStyle w:val="TableText0"/>
              <w:jc w:val="center"/>
            </w:pPr>
            <w:r w:rsidRPr="00880394">
              <w:t>$44,884</w:t>
            </w:r>
          </w:p>
        </w:tc>
        <w:tc>
          <w:tcPr>
            <w:tcW w:w="546" w:type="pct"/>
            <w:tcBorders>
              <w:top w:val="single" w:sz="4" w:space="0" w:color="auto"/>
              <w:bottom w:val="nil"/>
            </w:tcBorders>
            <w:shd w:val="clear" w:color="auto" w:fill="auto"/>
            <w:vAlign w:val="center"/>
          </w:tcPr>
          <w:p w14:paraId="7D60444C" w14:textId="6DC088E8" w:rsidR="00FB40DA" w:rsidRPr="000B2FEE" w:rsidRDefault="00FB40DA" w:rsidP="00A72862">
            <w:pPr>
              <w:pStyle w:val="TableText0"/>
              <w:jc w:val="center"/>
            </w:pPr>
            <w:r w:rsidRPr="000B2FEE">
              <w:t>$</w:t>
            </w:r>
            <w:r w:rsidR="00206B77" w:rsidRPr="00381965">
              <w:rPr>
                <w:rFonts w:hint="eastAsia"/>
                <w:color w:val="000000"/>
                <w:w w:val="15"/>
                <w:shd w:val="solid" w:color="000000" w:fill="000000"/>
                <w:fitText w:val="36" w:id="-1301008880"/>
                <w14:textFill>
                  <w14:solidFill>
                    <w14:srgbClr w14:val="000000">
                      <w14:alpha w14:val="100000"/>
                    </w14:srgbClr>
                  </w14:solidFill>
                </w14:textFill>
              </w:rPr>
              <w:t xml:space="preserve">　</w:t>
            </w:r>
            <w:r w:rsidR="00206B77" w:rsidRPr="00381965">
              <w:rPr>
                <w:color w:val="000000"/>
                <w:w w:val="15"/>
                <w:shd w:val="solid" w:color="000000" w:fill="000000"/>
                <w:fitText w:val="36" w:id="-1301008880"/>
                <w14:textFill>
                  <w14:solidFill>
                    <w14:srgbClr w14:val="000000">
                      <w14:alpha w14:val="100000"/>
                    </w14:srgbClr>
                  </w14:solidFill>
                </w14:textFill>
              </w:rPr>
              <w:t>|</w:t>
            </w:r>
            <w:r w:rsidR="00206B77" w:rsidRPr="00381965">
              <w:rPr>
                <w:rFonts w:hint="eastAsia"/>
                <w:color w:val="000000"/>
                <w:spacing w:val="-45"/>
                <w:w w:val="15"/>
                <w:shd w:val="solid" w:color="000000" w:fill="000000"/>
                <w:fitText w:val="36" w:id="-1301008880"/>
                <w14:textFill>
                  <w14:solidFill>
                    <w14:srgbClr w14:val="000000">
                      <w14:alpha w14:val="100000"/>
                    </w14:srgbClr>
                  </w14:solidFill>
                </w14:textFill>
              </w:rPr>
              <w:t xml:space="preserve">　</w:t>
            </w:r>
          </w:p>
        </w:tc>
        <w:tc>
          <w:tcPr>
            <w:tcW w:w="644" w:type="pct"/>
            <w:tcBorders>
              <w:top w:val="single" w:sz="4" w:space="0" w:color="auto"/>
              <w:bottom w:val="nil"/>
            </w:tcBorders>
            <w:shd w:val="clear" w:color="auto" w:fill="auto"/>
            <w:vAlign w:val="center"/>
          </w:tcPr>
          <w:p w14:paraId="71291928" w14:textId="724530F3" w:rsidR="00FB40DA" w:rsidRPr="000B2FEE" w:rsidRDefault="00FB40DA" w:rsidP="00A72862">
            <w:pPr>
              <w:pStyle w:val="TableText0"/>
              <w:jc w:val="center"/>
            </w:pPr>
            <w:r w:rsidRPr="000B2FEE">
              <w:t>$</w:t>
            </w:r>
            <w:r w:rsidR="00206B77" w:rsidRPr="00206B77">
              <w:rPr>
                <w:color w:val="000000"/>
                <w:shd w:val="solid" w:color="000000" w:fill="000000"/>
                <w14:textFill>
                  <w14:solidFill>
                    <w14:srgbClr w14:val="000000">
                      <w14:alpha w14:val="100000"/>
                    </w14:srgbClr>
                  </w14:solidFill>
                </w14:textFill>
              </w:rPr>
              <w:t>|</w:t>
            </w:r>
          </w:p>
        </w:tc>
        <w:tc>
          <w:tcPr>
            <w:tcW w:w="447" w:type="pct"/>
            <w:tcBorders>
              <w:top w:val="single" w:sz="4" w:space="0" w:color="auto"/>
              <w:bottom w:val="nil"/>
            </w:tcBorders>
            <w:shd w:val="clear" w:color="auto" w:fill="auto"/>
            <w:vAlign w:val="center"/>
          </w:tcPr>
          <w:p w14:paraId="50B715FB" w14:textId="77777777" w:rsidR="00FB40DA" w:rsidRPr="00880394" w:rsidRDefault="00FB40DA" w:rsidP="00A72862">
            <w:pPr>
              <w:pStyle w:val="TableText0"/>
              <w:jc w:val="center"/>
            </w:pPr>
            <w:r w:rsidRPr="00880394">
              <w:t>$48,156</w:t>
            </w:r>
          </w:p>
        </w:tc>
        <w:tc>
          <w:tcPr>
            <w:tcW w:w="546" w:type="pct"/>
            <w:tcBorders>
              <w:top w:val="single" w:sz="4" w:space="0" w:color="auto"/>
              <w:bottom w:val="nil"/>
            </w:tcBorders>
            <w:shd w:val="clear" w:color="auto" w:fill="auto"/>
            <w:vAlign w:val="center"/>
          </w:tcPr>
          <w:p w14:paraId="1AD3212B" w14:textId="4DAE2E29" w:rsidR="00FB40DA" w:rsidRPr="000B2FEE" w:rsidRDefault="00FB40DA" w:rsidP="00A72862">
            <w:pPr>
              <w:pStyle w:val="TableText0"/>
              <w:jc w:val="center"/>
            </w:pPr>
            <w:r w:rsidRPr="000B2FEE">
              <w:t>$</w:t>
            </w:r>
            <w:r w:rsidR="00206B77" w:rsidRPr="00381965">
              <w:rPr>
                <w:rFonts w:hint="eastAsia"/>
                <w:color w:val="000000"/>
                <w:w w:val="15"/>
                <w:shd w:val="solid" w:color="000000" w:fill="000000"/>
                <w:fitText w:val="36" w:id="-1301008896"/>
                <w14:textFill>
                  <w14:solidFill>
                    <w14:srgbClr w14:val="000000">
                      <w14:alpha w14:val="100000"/>
                    </w14:srgbClr>
                  </w14:solidFill>
                </w14:textFill>
              </w:rPr>
              <w:t xml:space="preserve">　</w:t>
            </w:r>
            <w:r w:rsidR="00206B77" w:rsidRPr="00381965">
              <w:rPr>
                <w:color w:val="000000"/>
                <w:w w:val="15"/>
                <w:shd w:val="solid" w:color="000000" w:fill="000000"/>
                <w:fitText w:val="36" w:id="-1301008896"/>
                <w14:textFill>
                  <w14:solidFill>
                    <w14:srgbClr w14:val="000000">
                      <w14:alpha w14:val="100000"/>
                    </w14:srgbClr>
                  </w14:solidFill>
                </w14:textFill>
              </w:rPr>
              <w:t>|</w:t>
            </w:r>
            <w:r w:rsidR="00206B77" w:rsidRPr="00381965">
              <w:rPr>
                <w:rFonts w:hint="eastAsia"/>
                <w:color w:val="000000"/>
                <w:spacing w:val="-29"/>
                <w:w w:val="15"/>
                <w:shd w:val="solid" w:color="000000" w:fill="000000"/>
                <w:fitText w:val="36" w:id="-1301008896"/>
                <w14:textFill>
                  <w14:solidFill>
                    <w14:srgbClr w14:val="000000">
                      <w14:alpha w14:val="100000"/>
                    </w14:srgbClr>
                  </w14:solidFill>
                </w14:textFill>
              </w:rPr>
              <w:t xml:space="preserve">　</w:t>
            </w:r>
          </w:p>
        </w:tc>
      </w:tr>
      <w:tr w:rsidR="00FB40DA" w:rsidRPr="000B2FEE" w14:paraId="1D96E8FA" w14:textId="77777777" w:rsidTr="00A72862">
        <w:tc>
          <w:tcPr>
            <w:tcW w:w="1726" w:type="pct"/>
            <w:tcBorders>
              <w:top w:val="nil"/>
              <w:bottom w:val="nil"/>
            </w:tcBorders>
            <w:shd w:val="clear" w:color="auto" w:fill="auto"/>
            <w:vAlign w:val="center"/>
          </w:tcPr>
          <w:p w14:paraId="56574E3F" w14:textId="77777777" w:rsidR="00FB40DA" w:rsidRPr="000B2FEE" w:rsidRDefault="00FB40DA" w:rsidP="00FA0D96">
            <w:pPr>
              <w:pStyle w:val="TableText0"/>
            </w:pPr>
            <w:r w:rsidRPr="000B2FEE">
              <w:t>LYs</w:t>
            </w:r>
          </w:p>
        </w:tc>
        <w:tc>
          <w:tcPr>
            <w:tcW w:w="629" w:type="pct"/>
            <w:tcBorders>
              <w:top w:val="nil"/>
              <w:bottom w:val="nil"/>
            </w:tcBorders>
            <w:shd w:val="clear" w:color="auto" w:fill="auto"/>
            <w:vAlign w:val="center"/>
          </w:tcPr>
          <w:p w14:paraId="6E619C74" w14:textId="77777777" w:rsidR="00FB40DA" w:rsidRPr="000B2FEE" w:rsidRDefault="00FB40DA" w:rsidP="00A72862">
            <w:pPr>
              <w:pStyle w:val="TableText0"/>
              <w:jc w:val="center"/>
            </w:pPr>
            <w:r w:rsidRPr="000B2FEE">
              <w:t>10.43</w:t>
            </w:r>
          </w:p>
        </w:tc>
        <w:tc>
          <w:tcPr>
            <w:tcW w:w="462" w:type="pct"/>
            <w:tcBorders>
              <w:top w:val="nil"/>
              <w:bottom w:val="nil"/>
            </w:tcBorders>
            <w:shd w:val="clear" w:color="auto" w:fill="auto"/>
            <w:vAlign w:val="center"/>
          </w:tcPr>
          <w:p w14:paraId="31BBF89D" w14:textId="1120D029" w:rsidR="00FB40DA" w:rsidRPr="00880394" w:rsidRDefault="00FB40DA" w:rsidP="00A72862">
            <w:pPr>
              <w:pStyle w:val="TableText0"/>
              <w:jc w:val="center"/>
            </w:pPr>
            <w:r w:rsidRPr="00880394">
              <w:t>9.</w:t>
            </w:r>
            <w:r w:rsidR="0047142A" w:rsidRPr="00880394">
              <w:t>9</w:t>
            </w:r>
            <w:r w:rsidRPr="00880394">
              <w:t>8</w:t>
            </w:r>
          </w:p>
        </w:tc>
        <w:tc>
          <w:tcPr>
            <w:tcW w:w="546" w:type="pct"/>
            <w:tcBorders>
              <w:top w:val="nil"/>
              <w:bottom w:val="nil"/>
            </w:tcBorders>
            <w:shd w:val="clear" w:color="auto" w:fill="auto"/>
            <w:vAlign w:val="center"/>
          </w:tcPr>
          <w:p w14:paraId="133D7D39" w14:textId="77777777" w:rsidR="00FB40DA" w:rsidRPr="000B2FEE" w:rsidRDefault="00FB40DA" w:rsidP="00A72862">
            <w:pPr>
              <w:pStyle w:val="TableText0"/>
              <w:jc w:val="center"/>
            </w:pPr>
            <w:r w:rsidRPr="000B2FEE">
              <w:t>0.45</w:t>
            </w:r>
          </w:p>
        </w:tc>
        <w:tc>
          <w:tcPr>
            <w:tcW w:w="644" w:type="pct"/>
            <w:tcBorders>
              <w:top w:val="nil"/>
              <w:bottom w:val="nil"/>
            </w:tcBorders>
            <w:shd w:val="clear" w:color="auto" w:fill="auto"/>
            <w:vAlign w:val="center"/>
          </w:tcPr>
          <w:p w14:paraId="38F9B38C" w14:textId="77777777" w:rsidR="00FB40DA" w:rsidRPr="000B2FEE" w:rsidRDefault="00FB40DA" w:rsidP="00A72862">
            <w:pPr>
              <w:pStyle w:val="TableText0"/>
              <w:jc w:val="center"/>
            </w:pPr>
            <w:r w:rsidRPr="000B2FEE">
              <w:t>10.14</w:t>
            </w:r>
          </w:p>
        </w:tc>
        <w:tc>
          <w:tcPr>
            <w:tcW w:w="447" w:type="pct"/>
            <w:tcBorders>
              <w:top w:val="nil"/>
              <w:bottom w:val="nil"/>
            </w:tcBorders>
            <w:shd w:val="clear" w:color="auto" w:fill="auto"/>
            <w:vAlign w:val="center"/>
          </w:tcPr>
          <w:p w14:paraId="5E69D268" w14:textId="77777777" w:rsidR="00FB40DA" w:rsidRPr="00880394" w:rsidRDefault="00FB40DA" w:rsidP="00A72862">
            <w:pPr>
              <w:pStyle w:val="TableText0"/>
              <w:jc w:val="center"/>
            </w:pPr>
            <w:r w:rsidRPr="00880394">
              <w:t>9.33</w:t>
            </w:r>
          </w:p>
        </w:tc>
        <w:tc>
          <w:tcPr>
            <w:tcW w:w="546" w:type="pct"/>
            <w:tcBorders>
              <w:top w:val="nil"/>
              <w:bottom w:val="nil"/>
            </w:tcBorders>
            <w:shd w:val="clear" w:color="auto" w:fill="auto"/>
            <w:vAlign w:val="center"/>
          </w:tcPr>
          <w:p w14:paraId="1CB9C3BD" w14:textId="77777777" w:rsidR="00FB40DA" w:rsidRPr="000B2FEE" w:rsidRDefault="00FB40DA" w:rsidP="00A72862">
            <w:pPr>
              <w:pStyle w:val="TableText0"/>
              <w:jc w:val="center"/>
            </w:pPr>
            <w:r w:rsidRPr="000B2FEE">
              <w:t>0.81</w:t>
            </w:r>
          </w:p>
        </w:tc>
      </w:tr>
      <w:tr w:rsidR="00FB40DA" w:rsidRPr="000B2FEE" w14:paraId="7C05135C" w14:textId="77777777" w:rsidTr="00A72862">
        <w:tc>
          <w:tcPr>
            <w:tcW w:w="1726" w:type="pct"/>
            <w:tcBorders>
              <w:top w:val="nil"/>
              <w:bottom w:val="nil"/>
            </w:tcBorders>
            <w:shd w:val="clear" w:color="auto" w:fill="auto"/>
            <w:vAlign w:val="center"/>
          </w:tcPr>
          <w:p w14:paraId="417484F4" w14:textId="77777777" w:rsidR="00FB40DA" w:rsidRPr="000B2FEE" w:rsidRDefault="00FB40DA" w:rsidP="00FA0D96">
            <w:pPr>
              <w:pStyle w:val="TableText0"/>
            </w:pPr>
            <w:r w:rsidRPr="000B2FEE">
              <w:t>QALYs</w:t>
            </w:r>
          </w:p>
        </w:tc>
        <w:tc>
          <w:tcPr>
            <w:tcW w:w="629" w:type="pct"/>
            <w:tcBorders>
              <w:top w:val="nil"/>
              <w:bottom w:val="nil"/>
            </w:tcBorders>
            <w:shd w:val="clear" w:color="auto" w:fill="auto"/>
            <w:vAlign w:val="center"/>
          </w:tcPr>
          <w:p w14:paraId="2E1D5F15" w14:textId="77777777" w:rsidR="00FB40DA" w:rsidRPr="000B2FEE" w:rsidRDefault="00FB40DA" w:rsidP="00A72862">
            <w:pPr>
              <w:pStyle w:val="TableText0"/>
              <w:jc w:val="center"/>
            </w:pPr>
            <w:r w:rsidRPr="000B2FEE">
              <w:t>8.33</w:t>
            </w:r>
          </w:p>
        </w:tc>
        <w:tc>
          <w:tcPr>
            <w:tcW w:w="462" w:type="pct"/>
            <w:tcBorders>
              <w:top w:val="nil"/>
              <w:bottom w:val="nil"/>
            </w:tcBorders>
            <w:shd w:val="clear" w:color="auto" w:fill="auto"/>
            <w:vAlign w:val="center"/>
          </w:tcPr>
          <w:p w14:paraId="37D56552" w14:textId="77777777" w:rsidR="00FB40DA" w:rsidRPr="000B2FEE" w:rsidRDefault="00FB40DA" w:rsidP="00A72862">
            <w:pPr>
              <w:pStyle w:val="TableText0"/>
              <w:jc w:val="center"/>
            </w:pPr>
            <w:r w:rsidRPr="000B2FEE">
              <w:t>7.95</w:t>
            </w:r>
          </w:p>
        </w:tc>
        <w:tc>
          <w:tcPr>
            <w:tcW w:w="546" w:type="pct"/>
            <w:tcBorders>
              <w:top w:val="nil"/>
              <w:bottom w:val="nil"/>
            </w:tcBorders>
            <w:shd w:val="clear" w:color="auto" w:fill="auto"/>
            <w:vAlign w:val="center"/>
          </w:tcPr>
          <w:p w14:paraId="109CD994" w14:textId="77777777" w:rsidR="00FB40DA" w:rsidRPr="000B2FEE" w:rsidRDefault="00FB40DA" w:rsidP="00A72862">
            <w:pPr>
              <w:pStyle w:val="TableText0"/>
              <w:jc w:val="center"/>
            </w:pPr>
            <w:r w:rsidRPr="000B2FEE">
              <w:t>0.39</w:t>
            </w:r>
          </w:p>
        </w:tc>
        <w:tc>
          <w:tcPr>
            <w:tcW w:w="644" w:type="pct"/>
            <w:tcBorders>
              <w:top w:val="nil"/>
              <w:bottom w:val="nil"/>
            </w:tcBorders>
            <w:shd w:val="clear" w:color="auto" w:fill="auto"/>
            <w:vAlign w:val="center"/>
          </w:tcPr>
          <w:p w14:paraId="6C53AD9F" w14:textId="77777777" w:rsidR="00FB40DA" w:rsidRPr="000B2FEE" w:rsidRDefault="00FB40DA" w:rsidP="00A72862">
            <w:pPr>
              <w:pStyle w:val="TableText0"/>
              <w:jc w:val="center"/>
            </w:pPr>
            <w:r w:rsidRPr="000B2FEE">
              <w:t>8.11</w:t>
            </w:r>
          </w:p>
        </w:tc>
        <w:tc>
          <w:tcPr>
            <w:tcW w:w="447" w:type="pct"/>
            <w:tcBorders>
              <w:top w:val="nil"/>
              <w:bottom w:val="nil"/>
            </w:tcBorders>
            <w:shd w:val="clear" w:color="auto" w:fill="auto"/>
            <w:vAlign w:val="center"/>
          </w:tcPr>
          <w:p w14:paraId="6138A911" w14:textId="77777777" w:rsidR="00FB40DA" w:rsidRPr="000B2FEE" w:rsidRDefault="00FB40DA" w:rsidP="00A72862">
            <w:pPr>
              <w:pStyle w:val="TableText0"/>
              <w:jc w:val="center"/>
            </w:pPr>
            <w:r w:rsidRPr="000B2FEE">
              <w:t>7.41</w:t>
            </w:r>
          </w:p>
        </w:tc>
        <w:tc>
          <w:tcPr>
            <w:tcW w:w="546" w:type="pct"/>
            <w:tcBorders>
              <w:top w:val="nil"/>
              <w:bottom w:val="nil"/>
            </w:tcBorders>
            <w:shd w:val="clear" w:color="auto" w:fill="auto"/>
            <w:vAlign w:val="center"/>
          </w:tcPr>
          <w:p w14:paraId="55BAD834" w14:textId="77777777" w:rsidR="00FB40DA" w:rsidRPr="000B2FEE" w:rsidRDefault="00FB40DA" w:rsidP="00A72862">
            <w:pPr>
              <w:pStyle w:val="TableText0"/>
              <w:jc w:val="center"/>
            </w:pPr>
            <w:r w:rsidRPr="000B2FEE">
              <w:t>0.70</w:t>
            </w:r>
          </w:p>
        </w:tc>
      </w:tr>
      <w:tr w:rsidR="00FB40DA" w:rsidRPr="000B2FEE" w14:paraId="753B2974" w14:textId="77777777" w:rsidTr="0047142A">
        <w:tc>
          <w:tcPr>
            <w:tcW w:w="1726" w:type="pct"/>
            <w:tcBorders>
              <w:top w:val="nil"/>
              <w:bottom w:val="nil"/>
            </w:tcBorders>
            <w:shd w:val="clear" w:color="auto" w:fill="auto"/>
            <w:vAlign w:val="center"/>
          </w:tcPr>
          <w:p w14:paraId="69C4B3C5" w14:textId="77777777" w:rsidR="00FB40DA" w:rsidRPr="000B2FEE" w:rsidRDefault="00FB40DA" w:rsidP="00FA0D96">
            <w:pPr>
              <w:pStyle w:val="TableText0"/>
              <w:rPr>
                <w:b/>
              </w:rPr>
            </w:pPr>
            <w:r w:rsidRPr="000B2FEE">
              <w:rPr>
                <w:b/>
              </w:rPr>
              <w:t>Incremental cost/extra QALY gained</w:t>
            </w:r>
          </w:p>
        </w:tc>
        <w:tc>
          <w:tcPr>
            <w:tcW w:w="629" w:type="pct"/>
            <w:tcBorders>
              <w:top w:val="nil"/>
              <w:bottom w:val="nil"/>
            </w:tcBorders>
            <w:shd w:val="clear" w:color="auto" w:fill="auto"/>
            <w:vAlign w:val="center"/>
          </w:tcPr>
          <w:p w14:paraId="3A317671" w14:textId="77777777" w:rsidR="00FB40DA" w:rsidRPr="000B2FEE" w:rsidRDefault="00FB40DA" w:rsidP="00A72862">
            <w:pPr>
              <w:pStyle w:val="TableText0"/>
              <w:jc w:val="center"/>
              <w:rPr>
                <w:b/>
              </w:rPr>
            </w:pPr>
          </w:p>
        </w:tc>
        <w:tc>
          <w:tcPr>
            <w:tcW w:w="462" w:type="pct"/>
            <w:tcBorders>
              <w:top w:val="nil"/>
              <w:bottom w:val="nil"/>
            </w:tcBorders>
            <w:shd w:val="clear" w:color="auto" w:fill="auto"/>
            <w:vAlign w:val="center"/>
          </w:tcPr>
          <w:p w14:paraId="169999C8" w14:textId="77777777" w:rsidR="00FB40DA" w:rsidRPr="000B2FEE" w:rsidRDefault="00FB40DA" w:rsidP="00A72862">
            <w:pPr>
              <w:pStyle w:val="TableText0"/>
              <w:jc w:val="center"/>
              <w:rPr>
                <w:b/>
              </w:rPr>
            </w:pPr>
          </w:p>
        </w:tc>
        <w:tc>
          <w:tcPr>
            <w:tcW w:w="546" w:type="pct"/>
            <w:tcBorders>
              <w:top w:val="nil"/>
              <w:bottom w:val="nil"/>
            </w:tcBorders>
            <w:shd w:val="clear" w:color="auto" w:fill="auto"/>
            <w:vAlign w:val="center"/>
          </w:tcPr>
          <w:p w14:paraId="1DAD4122" w14:textId="2660C1BF" w:rsidR="00FB40DA" w:rsidRPr="000B2FEE" w:rsidRDefault="00FB40DA" w:rsidP="00A72862">
            <w:pPr>
              <w:pStyle w:val="TableText0"/>
              <w:jc w:val="center"/>
              <w:rPr>
                <w:b/>
              </w:rPr>
            </w:pPr>
            <w:r w:rsidRPr="000B2FEE">
              <w:rPr>
                <w:b/>
              </w:rPr>
              <w:t>$</w:t>
            </w:r>
            <w:r w:rsidR="00206B77" w:rsidRPr="00381965">
              <w:rPr>
                <w:rFonts w:hint="eastAsia"/>
                <w:b/>
                <w:color w:val="000000"/>
                <w:w w:val="15"/>
                <w:shd w:val="solid" w:color="000000" w:fill="000000"/>
                <w:fitText w:val="65" w:id="-1301008895"/>
                <w14:textFill>
                  <w14:solidFill>
                    <w14:srgbClr w14:val="000000">
                      <w14:alpha w14:val="100000"/>
                    </w14:srgbClr>
                  </w14:solidFill>
                </w14:textFill>
              </w:rPr>
              <w:t xml:space="preserve">　</w:t>
            </w:r>
            <w:r w:rsidR="00206B77" w:rsidRPr="00381965">
              <w:rPr>
                <w:b/>
                <w:color w:val="000000"/>
                <w:w w:val="15"/>
                <w:shd w:val="solid" w:color="000000" w:fill="000000"/>
                <w:fitText w:val="65" w:id="-1301008895"/>
                <w14:textFill>
                  <w14:solidFill>
                    <w14:srgbClr w14:val="000000">
                      <w14:alpha w14:val="100000"/>
                    </w14:srgbClr>
                  </w14:solidFill>
                </w14:textFill>
              </w:rPr>
              <w:t>|</w:t>
            </w:r>
            <w:r w:rsidR="00206B77" w:rsidRPr="00381965">
              <w:rPr>
                <w:rFonts w:hint="eastAsia"/>
                <w:b/>
                <w:color w:val="000000"/>
                <w:spacing w:val="-1"/>
                <w:w w:val="15"/>
                <w:shd w:val="solid" w:color="000000" w:fill="000000"/>
                <w:fitText w:val="65" w:id="-1301008895"/>
                <w14:textFill>
                  <w14:solidFill>
                    <w14:srgbClr w14:val="000000">
                      <w14:alpha w14:val="100000"/>
                    </w14:srgbClr>
                  </w14:solidFill>
                </w14:textFill>
              </w:rPr>
              <w:t xml:space="preserve">　</w:t>
            </w:r>
            <w:r w:rsidR="008365A9">
              <w:rPr>
                <w:b/>
                <w:vertAlign w:val="superscript"/>
              </w:rPr>
              <w:t>2</w:t>
            </w:r>
          </w:p>
        </w:tc>
        <w:tc>
          <w:tcPr>
            <w:tcW w:w="644" w:type="pct"/>
            <w:tcBorders>
              <w:top w:val="nil"/>
              <w:bottom w:val="nil"/>
            </w:tcBorders>
            <w:shd w:val="clear" w:color="auto" w:fill="auto"/>
            <w:vAlign w:val="center"/>
          </w:tcPr>
          <w:p w14:paraId="1AA88707" w14:textId="77777777" w:rsidR="00FB40DA" w:rsidRPr="000B2FEE" w:rsidRDefault="00FB40DA" w:rsidP="00A72862">
            <w:pPr>
              <w:pStyle w:val="TableText0"/>
              <w:jc w:val="center"/>
              <w:rPr>
                <w:b/>
              </w:rPr>
            </w:pPr>
          </w:p>
        </w:tc>
        <w:tc>
          <w:tcPr>
            <w:tcW w:w="447" w:type="pct"/>
            <w:tcBorders>
              <w:top w:val="nil"/>
              <w:bottom w:val="nil"/>
            </w:tcBorders>
            <w:shd w:val="clear" w:color="auto" w:fill="auto"/>
            <w:vAlign w:val="center"/>
          </w:tcPr>
          <w:p w14:paraId="4E50CA92" w14:textId="77777777" w:rsidR="00FB40DA" w:rsidRPr="000B2FEE" w:rsidRDefault="00FB40DA" w:rsidP="00A72862">
            <w:pPr>
              <w:pStyle w:val="TableText0"/>
              <w:jc w:val="center"/>
              <w:rPr>
                <w:b/>
              </w:rPr>
            </w:pPr>
          </w:p>
        </w:tc>
        <w:tc>
          <w:tcPr>
            <w:tcW w:w="546" w:type="pct"/>
            <w:tcBorders>
              <w:top w:val="nil"/>
              <w:bottom w:val="nil"/>
            </w:tcBorders>
            <w:shd w:val="clear" w:color="auto" w:fill="auto"/>
            <w:vAlign w:val="center"/>
          </w:tcPr>
          <w:p w14:paraId="0C781145" w14:textId="47C9F753" w:rsidR="00FB40DA" w:rsidRPr="000B2FEE" w:rsidRDefault="00FB40DA" w:rsidP="00A72862">
            <w:pPr>
              <w:pStyle w:val="TableText0"/>
              <w:jc w:val="center"/>
              <w:rPr>
                <w:b/>
              </w:rPr>
            </w:pPr>
            <w:r w:rsidRPr="000B2FEE">
              <w:rPr>
                <w:b/>
              </w:rPr>
              <w:t>$</w:t>
            </w:r>
            <w:r w:rsidR="00206B77" w:rsidRPr="00381965">
              <w:rPr>
                <w:rFonts w:hint="eastAsia"/>
                <w:b/>
                <w:color w:val="000000"/>
                <w:w w:val="15"/>
                <w:shd w:val="solid" w:color="000000" w:fill="000000"/>
                <w:fitText w:val="64" w:id="-1301008894"/>
                <w14:textFill>
                  <w14:solidFill>
                    <w14:srgbClr w14:val="000000">
                      <w14:alpha w14:val="100000"/>
                    </w14:srgbClr>
                  </w14:solidFill>
                </w14:textFill>
              </w:rPr>
              <w:t xml:space="preserve">　</w:t>
            </w:r>
            <w:r w:rsidR="00206B77" w:rsidRPr="00381965">
              <w:rPr>
                <w:b/>
                <w:color w:val="000000"/>
                <w:w w:val="15"/>
                <w:shd w:val="solid" w:color="000000" w:fill="000000"/>
                <w:fitText w:val="64" w:id="-1301008894"/>
                <w14:textFill>
                  <w14:solidFill>
                    <w14:srgbClr w14:val="000000">
                      <w14:alpha w14:val="100000"/>
                    </w14:srgbClr>
                  </w14:solidFill>
                </w14:textFill>
              </w:rPr>
              <w:t>|</w:t>
            </w:r>
            <w:r w:rsidR="00206B77" w:rsidRPr="00381965">
              <w:rPr>
                <w:rFonts w:hint="eastAsia"/>
                <w:b/>
                <w:color w:val="000000"/>
                <w:spacing w:val="-2"/>
                <w:w w:val="15"/>
                <w:shd w:val="solid" w:color="000000" w:fill="000000"/>
                <w:fitText w:val="64" w:id="-1301008894"/>
                <w14:textFill>
                  <w14:solidFill>
                    <w14:srgbClr w14:val="000000">
                      <w14:alpha w14:val="100000"/>
                    </w14:srgbClr>
                  </w14:solidFill>
                </w14:textFill>
              </w:rPr>
              <w:t xml:space="preserve">　</w:t>
            </w:r>
            <w:r w:rsidR="004D267F">
              <w:rPr>
                <w:b/>
                <w:vertAlign w:val="superscript"/>
              </w:rPr>
              <w:t>5</w:t>
            </w:r>
          </w:p>
        </w:tc>
      </w:tr>
      <w:tr w:rsidR="0047142A" w:rsidRPr="0047142A" w14:paraId="5D1B6AF1" w14:textId="77777777" w:rsidTr="00347AFB">
        <w:tc>
          <w:tcPr>
            <w:tcW w:w="5000" w:type="pct"/>
            <w:gridSpan w:val="7"/>
            <w:tcBorders>
              <w:top w:val="single" w:sz="4" w:space="0" w:color="auto"/>
              <w:bottom w:val="single" w:sz="4" w:space="0" w:color="auto"/>
            </w:tcBorders>
            <w:shd w:val="clear" w:color="auto" w:fill="auto"/>
            <w:vAlign w:val="center"/>
          </w:tcPr>
          <w:p w14:paraId="2CE4B5B3" w14:textId="296EB49E" w:rsidR="0047142A" w:rsidRPr="00476211" w:rsidRDefault="0047142A" w:rsidP="00347AFB">
            <w:pPr>
              <w:pStyle w:val="TableText0"/>
              <w:rPr>
                <w:b/>
              </w:rPr>
            </w:pPr>
            <w:r w:rsidRPr="00476211">
              <w:rPr>
                <w:b/>
              </w:rPr>
              <w:t>Revised base case presented in PSCR</w:t>
            </w:r>
          </w:p>
        </w:tc>
      </w:tr>
      <w:tr w:rsidR="0047142A" w:rsidRPr="0047142A" w14:paraId="0FD1B0BE" w14:textId="77777777" w:rsidTr="00347AFB">
        <w:tc>
          <w:tcPr>
            <w:tcW w:w="1726" w:type="pct"/>
            <w:tcBorders>
              <w:top w:val="single" w:sz="4" w:space="0" w:color="auto"/>
              <w:bottom w:val="nil"/>
            </w:tcBorders>
            <w:shd w:val="clear" w:color="auto" w:fill="auto"/>
            <w:vAlign w:val="center"/>
          </w:tcPr>
          <w:p w14:paraId="7FE2945C" w14:textId="77777777" w:rsidR="0047142A" w:rsidRPr="00476211" w:rsidRDefault="0047142A" w:rsidP="00347AFB">
            <w:pPr>
              <w:pStyle w:val="TableText0"/>
            </w:pPr>
            <w:r w:rsidRPr="00476211">
              <w:t>Costs</w:t>
            </w:r>
          </w:p>
        </w:tc>
        <w:tc>
          <w:tcPr>
            <w:tcW w:w="629" w:type="pct"/>
            <w:tcBorders>
              <w:top w:val="single" w:sz="4" w:space="0" w:color="auto"/>
              <w:bottom w:val="nil"/>
            </w:tcBorders>
            <w:shd w:val="clear" w:color="auto" w:fill="auto"/>
            <w:vAlign w:val="center"/>
          </w:tcPr>
          <w:p w14:paraId="32629472" w14:textId="7F2DC2A9" w:rsidR="0047142A" w:rsidRPr="00476211" w:rsidRDefault="0047142A" w:rsidP="00347AFB">
            <w:pPr>
              <w:pStyle w:val="TableText0"/>
              <w:jc w:val="center"/>
            </w:pPr>
            <w:r w:rsidRPr="00476211">
              <w:t>NR</w:t>
            </w:r>
          </w:p>
        </w:tc>
        <w:tc>
          <w:tcPr>
            <w:tcW w:w="462" w:type="pct"/>
            <w:tcBorders>
              <w:top w:val="single" w:sz="4" w:space="0" w:color="auto"/>
              <w:bottom w:val="nil"/>
            </w:tcBorders>
            <w:shd w:val="clear" w:color="auto" w:fill="auto"/>
            <w:vAlign w:val="center"/>
          </w:tcPr>
          <w:p w14:paraId="0AE5992E" w14:textId="77B76DA5" w:rsidR="0047142A" w:rsidRPr="00476211" w:rsidRDefault="0047142A" w:rsidP="00347AFB">
            <w:pPr>
              <w:pStyle w:val="TableText0"/>
              <w:jc w:val="center"/>
            </w:pPr>
            <w:r w:rsidRPr="00476211">
              <w:t>NR</w:t>
            </w:r>
          </w:p>
        </w:tc>
        <w:tc>
          <w:tcPr>
            <w:tcW w:w="546" w:type="pct"/>
            <w:tcBorders>
              <w:top w:val="single" w:sz="4" w:space="0" w:color="auto"/>
              <w:bottom w:val="nil"/>
            </w:tcBorders>
            <w:shd w:val="clear" w:color="auto" w:fill="auto"/>
            <w:vAlign w:val="center"/>
          </w:tcPr>
          <w:p w14:paraId="2532434B" w14:textId="356F3FF1" w:rsidR="0047142A" w:rsidRPr="00476211" w:rsidRDefault="0047142A" w:rsidP="00347AFB">
            <w:pPr>
              <w:pStyle w:val="TableText0"/>
              <w:jc w:val="center"/>
            </w:pPr>
            <w:r w:rsidRPr="00476211">
              <w:t>NR</w:t>
            </w:r>
          </w:p>
        </w:tc>
        <w:tc>
          <w:tcPr>
            <w:tcW w:w="644" w:type="pct"/>
            <w:tcBorders>
              <w:top w:val="single" w:sz="4" w:space="0" w:color="auto"/>
              <w:bottom w:val="nil"/>
            </w:tcBorders>
            <w:shd w:val="clear" w:color="auto" w:fill="auto"/>
            <w:vAlign w:val="center"/>
          </w:tcPr>
          <w:p w14:paraId="144C55F6" w14:textId="4177E727" w:rsidR="0047142A" w:rsidRPr="00476211" w:rsidRDefault="0047142A" w:rsidP="00347AFB">
            <w:pPr>
              <w:pStyle w:val="TableText0"/>
              <w:jc w:val="center"/>
            </w:pPr>
            <w:r w:rsidRPr="00476211">
              <w:t>$</w:t>
            </w:r>
            <w:r w:rsidR="00206B77" w:rsidRPr="00206B77">
              <w:rPr>
                <w:color w:val="000000"/>
                <w:shd w:val="solid" w:color="000000" w:fill="000000"/>
                <w14:textFill>
                  <w14:solidFill>
                    <w14:srgbClr w14:val="000000">
                      <w14:alpha w14:val="100000"/>
                    </w14:srgbClr>
                  </w14:solidFill>
                </w14:textFill>
              </w:rPr>
              <w:t>|</w:t>
            </w:r>
          </w:p>
        </w:tc>
        <w:tc>
          <w:tcPr>
            <w:tcW w:w="447" w:type="pct"/>
            <w:tcBorders>
              <w:top w:val="single" w:sz="4" w:space="0" w:color="auto"/>
              <w:bottom w:val="nil"/>
            </w:tcBorders>
            <w:shd w:val="clear" w:color="auto" w:fill="auto"/>
            <w:vAlign w:val="center"/>
          </w:tcPr>
          <w:p w14:paraId="4F8A7D4E" w14:textId="60537CB2" w:rsidR="0047142A" w:rsidRPr="00880394" w:rsidRDefault="0047142A" w:rsidP="00347AFB">
            <w:pPr>
              <w:pStyle w:val="TableText0"/>
              <w:jc w:val="center"/>
            </w:pPr>
            <w:r w:rsidRPr="00880394">
              <w:t>$48,155</w:t>
            </w:r>
          </w:p>
        </w:tc>
        <w:tc>
          <w:tcPr>
            <w:tcW w:w="546" w:type="pct"/>
            <w:tcBorders>
              <w:top w:val="single" w:sz="4" w:space="0" w:color="auto"/>
              <w:bottom w:val="nil"/>
            </w:tcBorders>
            <w:shd w:val="clear" w:color="auto" w:fill="auto"/>
            <w:vAlign w:val="center"/>
          </w:tcPr>
          <w:p w14:paraId="0EF6095B" w14:textId="3FAEE63F" w:rsidR="0047142A" w:rsidRPr="00476211" w:rsidRDefault="0047142A" w:rsidP="00347AFB">
            <w:pPr>
              <w:pStyle w:val="TableText0"/>
              <w:jc w:val="center"/>
            </w:pPr>
            <w:r w:rsidRPr="00476211">
              <w:t>$</w:t>
            </w:r>
            <w:r w:rsidR="00206B77" w:rsidRPr="00381965">
              <w:rPr>
                <w:rFonts w:hint="eastAsia"/>
                <w:color w:val="000000"/>
                <w:w w:val="15"/>
                <w:shd w:val="solid" w:color="000000" w:fill="000000"/>
                <w:fitText w:val="36" w:id="-1301008893"/>
                <w14:textFill>
                  <w14:solidFill>
                    <w14:srgbClr w14:val="000000">
                      <w14:alpha w14:val="100000"/>
                    </w14:srgbClr>
                  </w14:solidFill>
                </w14:textFill>
              </w:rPr>
              <w:t xml:space="preserve">　</w:t>
            </w:r>
            <w:r w:rsidR="00206B77" w:rsidRPr="00381965">
              <w:rPr>
                <w:color w:val="000000"/>
                <w:w w:val="15"/>
                <w:shd w:val="solid" w:color="000000" w:fill="000000"/>
                <w:fitText w:val="36" w:id="-1301008893"/>
                <w14:textFill>
                  <w14:solidFill>
                    <w14:srgbClr w14:val="000000">
                      <w14:alpha w14:val="100000"/>
                    </w14:srgbClr>
                  </w14:solidFill>
                </w14:textFill>
              </w:rPr>
              <w:t>|</w:t>
            </w:r>
            <w:r w:rsidR="00206B77" w:rsidRPr="00381965">
              <w:rPr>
                <w:rFonts w:hint="eastAsia"/>
                <w:color w:val="000000"/>
                <w:spacing w:val="-45"/>
                <w:w w:val="15"/>
                <w:shd w:val="solid" w:color="000000" w:fill="000000"/>
                <w:fitText w:val="36" w:id="-1301008893"/>
                <w14:textFill>
                  <w14:solidFill>
                    <w14:srgbClr w14:val="000000">
                      <w14:alpha w14:val="100000"/>
                    </w14:srgbClr>
                  </w14:solidFill>
                </w14:textFill>
              </w:rPr>
              <w:t xml:space="preserve">　</w:t>
            </w:r>
          </w:p>
        </w:tc>
      </w:tr>
      <w:tr w:rsidR="0047142A" w:rsidRPr="0047142A" w14:paraId="546C365E" w14:textId="77777777" w:rsidTr="00347AFB">
        <w:tc>
          <w:tcPr>
            <w:tcW w:w="1726" w:type="pct"/>
            <w:tcBorders>
              <w:top w:val="nil"/>
              <w:bottom w:val="nil"/>
            </w:tcBorders>
            <w:shd w:val="clear" w:color="auto" w:fill="auto"/>
            <w:vAlign w:val="center"/>
          </w:tcPr>
          <w:p w14:paraId="7A7623D7" w14:textId="77777777" w:rsidR="0047142A" w:rsidRPr="00476211" w:rsidRDefault="0047142A" w:rsidP="00347AFB">
            <w:pPr>
              <w:pStyle w:val="TableText0"/>
            </w:pPr>
            <w:r w:rsidRPr="00476211">
              <w:t>LYs</w:t>
            </w:r>
          </w:p>
        </w:tc>
        <w:tc>
          <w:tcPr>
            <w:tcW w:w="629" w:type="pct"/>
            <w:tcBorders>
              <w:top w:val="nil"/>
              <w:bottom w:val="nil"/>
            </w:tcBorders>
            <w:shd w:val="clear" w:color="auto" w:fill="auto"/>
            <w:vAlign w:val="center"/>
          </w:tcPr>
          <w:p w14:paraId="2149DF80" w14:textId="2EB317E6" w:rsidR="0047142A" w:rsidRPr="00476211" w:rsidRDefault="0047142A" w:rsidP="00347AFB">
            <w:pPr>
              <w:pStyle w:val="TableText0"/>
              <w:jc w:val="center"/>
            </w:pPr>
            <w:r w:rsidRPr="00476211">
              <w:t>NR</w:t>
            </w:r>
          </w:p>
        </w:tc>
        <w:tc>
          <w:tcPr>
            <w:tcW w:w="462" w:type="pct"/>
            <w:tcBorders>
              <w:top w:val="nil"/>
              <w:bottom w:val="nil"/>
            </w:tcBorders>
            <w:shd w:val="clear" w:color="auto" w:fill="auto"/>
            <w:vAlign w:val="center"/>
          </w:tcPr>
          <w:p w14:paraId="2A0FF6A9" w14:textId="4F8A1CA2" w:rsidR="0047142A" w:rsidRPr="00476211" w:rsidRDefault="0047142A" w:rsidP="00347AFB">
            <w:pPr>
              <w:pStyle w:val="TableText0"/>
              <w:jc w:val="center"/>
            </w:pPr>
            <w:r w:rsidRPr="00476211">
              <w:t>NR</w:t>
            </w:r>
          </w:p>
        </w:tc>
        <w:tc>
          <w:tcPr>
            <w:tcW w:w="546" w:type="pct"/>
            <w:tcBorders>
              <w:top w:val="nil"/>
              <w:bottom w:val="nil"/>
            </w:tcBorders>
            <w:shd w:val="clear" w:color="auto" w:fill="auto"/>
            <w:vAlign w:val="center"/>
          </w:tcPr>
          <w:p w14:paraId="41767DF9" w14:textId="56290E7C" w:rsidR="0047142A" w:rsidRPr="00476211" w:rsidRDefault="0047142A" w:rsidP="00347AFB">
            <w:pPr>
              <w:pStyle w:val="TableText0"/>
              <w:jc w:val="center"/>
            </w:pPr>
            <w:r w:rsidRPr="00476211">
              <w:t>NR</w:t>
            </w:r>
          </w:p>
        </w:tc>
        <w:tc>
          <w:tcPr>
            <w:tcW w:w="644" w:type="pct"/>
            <w:tcBorders>
              <w:top w:val="nil"/>
              <w:bottom w:val="nil"/>
            </w:tcBorders>
            <w:shd w:val="clear" w:color="auto" w:fill="auto"/>
            <w:vAlign w:val="center"/>
          </w:tcPr>
          <w:p w14:paraId="79CB855B" w14:textId="77777777" w:rsidR="0047142A" w:rsidRPr="00476211" w:rsidRDefault="0047142A" w:rsidP="00347AFB">
            <w:pPr>
              <w:pStyle w:val="TableText0"/>
              <w:jc w:val="center"/>
            </w:pPr>
            <w:r w:rsidRPr="00476211">
              <w:t>10.14</w:t>
            </w:r>
          </w:p>
        </w:tc>
        <w:tc>
          <w:tcPr>
            <w:tcW w:w="447" w:type="pct"/>
            <w:tcBorders>
              <w:top w:val="nil"/>
              <w:bottom w:val="nil"/>
            </w:tcBorders>
            <w:shd w:val="clear" w:color="auto" w:fill="auto"/>
            <w:vAlign w:val="center"/>
          </w:tcPr>
          <w:p w14:paraId="0FC7F457" w14:textId="77777777" w:rsidR="0047142A" w:rsidRPr="00880394" w:rsidRDefault="0047142A" w:rsidP="00347AFB">
            <w:pPr>
              <w:pStyle w:val="TableText0"/>
              <w:jc w:val="center"/>
            </w:pPr>
            <w:r w:rsidRPr="00880394">
              <w:t>9.33</w:t>
            </w:r>
          </w:p>
        </w:tc>
        <w:tc>
          <w:tcPr>
            <w:tcW w:w="546" w:type="pct"/>
            <w:tcBorders>
              <w:top w:val="nil"/>
              <w:bottom w:val="nil"/>
            </w:tcBorders>
            <w:shd w:val="clear" w:color="auto" w:fill="auto"/>
            <w:vAlign w:val="center"/>
          </w:tcPr>
          <w:p w14:paraId="04F55FE3" w14:textId="77777777" w:rsidR="0047142A" w:rsidRPr="00476211" w:rsidRDefault="0047142A" w:rsidP="00347AFB">
            <w:pPr>
              <w:pStyle w:val="TableText0"/>
              <w:jc w:val="center"/>
            </w:pPr>
            <w:r w:rsidRPr="00476211">
              <w:t>0.81</w:t>
            </w:r>
          </w:p>
        </w:tc>
      </w:tr>
      <w:tr w:rsidR="0047142A" w:rsidRPr="0047142A" w14:paraId="19AB22FA" w14:textId="77777777" w:rsidTr="00347AFB">
        <w:tc>
          <w:tcPr>
            <w:tcW w:w="1726" w:type="pct"/>
            <w:tcBorders>
              <w:top w:val="nil"/>
              <w:bottom w:val="nil"/>
            </w:tcBorders>
            <w:shd w:val="clear" w:color="auto" w:fill="auto"/>
            <w:vAlign w:val="center"/>
          </w:tcPr>
          <w:p w14:paraId="566EA91C" w14:textId="77777777" w:rsidR="0047142A" w:rsidRPr="00476211" w:rsidRDefault="0047142A" w:rsidP="00347AFB">
            <w:pPr>
              <w:pStyle w:val="TableText0"/>
            </w:pPr>
            <w:r w:rsidRPr="00476211">
              <w:t>QALYs</w:t>
            </w:r>
          </w:p>
        </w:tc>
        <w:tc>
          <w:tcPr>
            <w:tcW w:w="629" w:type="pct"/>
            <w:tcBorders>
              <w:top w:val="nil"/>
              <w:bottom w:val="nil"/>
            </w:tcBorders>
            <w:shd w:val="clear" w:color="auto" w:fill="auto"/>
            <w:vAlign w:val="center"/>
          </w:tcPr>
          <w:p w14:paraId="6E5A85C3" w14:textId="64E500F6" w:rsidR="0047142A" w:rsidRPr="00476211" w:rsidRDefault="0047142A" w:rsidP="00347AFB">
            <w:pPr>
              <w:pStyle w:val="TableText0"/>
              <w:jc w:val="center"/>
            </w:pPr>
            <w:r w:rsidRPr="00476211">
              <w:t>NR</w:t>
            </w:r>
          </w:p>
        </w:tc>
        <w:tc>
          <w:tcPr>
            <w:tcW w:w="462" w:type="pct"/>
            <w:tcBorders>
              <w:top w:val="nil"/>
              <w:bottom w:val="nil"/>
            </w:tcBorders>
            <w:shd w:val="clear" w:color="auto" w:fill="auto"/>
            <w:vAlign w:val="center"/>
          </w:tcPr>
          <w:p w14:paraId="21CA8DF1" w14:textId="48941311" w:rsidR="0047142A" w:rsidRPr="00476211" w:rsidRDefault="0047142A" w:rsidP="00347AFB">
            <w:pPr>
              <w:pStyle w:val="TableText0"/>
              <w:jc w:val="center"/>
            </w:pPr>
            <w:r w:rsidRPr="00476211">
              <w:t>NR</w:t>
            </w:r>
          </w:p>
        </w:tc>
        <w:tc>
          <w:tcPr>
            <w:tcW w:w="546" w:type="pct"/>
            <w:tcBorders>
              <w:top w:val="nil"/>
              <w:bottom w:val="nil"/>
            </w:tcBorders>
            <w:shd w:val="clear" w:color="auto" w:fill="auto"/>
            <w:vAlign w:val="center"/>
          </w:tcPr>
          <w:p w14:paraId="72B41304" w14:textId="079C88D9" w:rsidR="0047142A" w:rsidRPr="00476211" w:rsidRDefault="0047142A" w:rsidP="00347AFB">
            <w:pPr>
              <w:pStyle w:val="TableText0"/>
              <w:jc w:val="center"/>
            </w:pPr>
            <w:r w:rsidRPr="00476211">
              <w:t>NR</w:t>
            </w:r>
          </w:p>
        </w:tc>
        <w:tc>
          <w:tcPr>
            <w:tcW w:w="644" w:type="pct"/>
            <w:tcBorders>
              <w:top w:val="nil"/>
              <w:bottom w:val="nil"/>
            </w:tcBorders>
            <w:shd w:val="clear" w:color="auto" w:fill="auto"/>
            <w:vAlign w:val="center"/>
          </w:tcPr>
          <w:p w14:paraId="014A70B3" w14:textId="7A0A0B2E" w:rsidR="0047142A" w:rsidRPr="00476211" w:rsidRDefault="0047142A" w:rsidP="00347AFB">
            <w:pPr>
              <w:pStyle w:val="TableText0"/>
              <w:jc w:val="center"/>
            </w:pPr>
            <w:r w:rsidRPr="00476211">
              <w:t>8.1</w:t>
            </w:r>
            <w:r w:rsidR="002849B0" w:rsidRPr="00476211">
              <w:t>4</w:t>
            </w:r>
          </w:p>
        </w:tc>
        <w:tc>
          <w:tcPr>
            <w:tcW w:w="447" w:type="pct"/>
            <w:tcBorders>
              <w:top w:val="nil"/>
              <w:bottom w:val="nil"/>
            </w:tcBorders>
            <w:shd w:val="clear" w:color="auto" w:fill="auto"/>
            <w:vAlign w:val="center"/>
          </w:tcPr>
          <w:p w14:paraId="1FD23A67" w14:textId="7AB7EE42" w:rsidR="0047142A" w:rsidRPr="00476211" w:rsidRDefault="0047142A" w:rsidP="00347AFB">
            <w:pPr>
              <w:pStyle w:val="TableText0"/>
              <w:jc w:val="center"/>
            </w:pPr>
            <w:r w:rsidRPr="00476211">
              <w:t>7.45</w:t>
            </w:r>
          </w:p>
        </w:tc>
        <w:tc>
          <w:tcPr>
            <w:tcW w:w="546" w:type="pct"/>
            <w:tcBorders>
              <w:top w:val="nil"/>
              <w:bottom w:val="nil"/>
            </w:tcBorders>
            <w:shd w:val="clear" w:color="auto" w:fill="auto"/>
            <w:vAlign w:val="center"/>
          </w:tcPr>
          <w:p w14:paraId="5F173DCF" w14:textId="03140A24" w:rsidR="0047142A" w:rsidRPr="00476211" w:rsidRDefault="0047142A" w:rsidP="00347AFB">
            <w:pPr>
              <w:pStyle w:val="TableText0"/>
              <w:jc w:val="center"/>
            </w:pPr>
            <w:r w:rsidRPr="00476211">
              <w:t>0.69</w:t>
            </w:r>
          </w:p>
        </w:tc>
      </w:tr>
      <w:tr w:rsidR="0047142A" w:rsidRPr="0047142A" w14:paraId="7ED9CD7E" w14:textId="77777777" w:rsidTr="007D08A4">
        <w:tc>
          <w:tcPr>
            <w:tcW w:w="1726" w:type="pct"/>
            <w:tcBorders>
              <w:top w:val="nil"/>
              <w:bottom w:val="single" w:sz="4" w:space="0" w:color="auto"/>
            </w:tcBorders>
            <w:shd w:val="clear" w:color="auto" w:fill="auto"/>
            <w:vAlign w:val="center"/>
          </w:tcPr>
          <w:p w14:paraId="55699AD9" w14:textId="77777777" w:rsidR="0047142A" w:rsidRPr="00476211" w:rsidRDefault="0047142A" w:rsidP="00347AFB">
            <w:pPr>
              <w:pStyle w:val="TableText0"/>
              <w:rPr>
                <w:b/>
              </w:rPr>
            </w:pPr>
            <w:r w:rsidRPr="00476211">
              <w:rPr>
                <w:b/>
              </w:rPr>
              <w:t>Incremental cost/extra QALY gained</w:t>
            </w:r>
          </w:p>
        </w:tc>
        <w:tc>
          <w:tcPr>
            <w:tcW w:w="629" w:type="pct"/>
            <w:tcBorders>
              <w:top w:val="nil"/>
              <w:bottom w:val="single" w:sz="4" w:space="0" w:color="auto"/>
            </w:tcBorders>
            <w:shd w:val="clear" w:color="auto" w:fill="auto"/>
            <w:vAlign w:val="center"/>
          </w:tcPr>
          <w:p w14:paraId="4F66625A" w14:textId="77777777" w:rsidR="0047142A" w:rsidRPr="00476211" w:rsidRDefault="0047142A" w:rsidP="00347AFB">
            <w:pPr>
              <w:pStyle w:val="TableText0"/>
              <w:jc w:val="center"/>
              <w:rPr>
                <w:b/>
              </w:rPr>
            </w:pPr>
          </w:p>
        </w:tc>
        <w:tc>
          <w:tcPr>
            <w:tcW w:w="462" w:type="pct"/>
            <w:tcBorders>
              <w:top w:val="nil"/>
              <w:bottom w:val="single" w:sz="4" w:space="0" w:color="auto"/>
            </w:tcBorders>
            <w:shd w:val="clear" w:color="auto" w:fill="auto"/>
            <w:vAlign w:val="center"/>
          </w:tcPr>
          <w:p w14:paraId="25D809A3" w14:textId="77777777" w:rsidR="0047142A" w:rsidRPr="00476211" w:rsidRDefault="0047142A" w:rsidP="00347AFB">
            <w:pPr>
              <w:pStyle w:val="TableText0"/>
              <w:jc w:val="center"/>
              <w:rPr>
                <w:b/>
              </w:rPr>
            </w:pPr>
          </w:p>
        </w:tc>
        <w:tc>
          <w:tcPr>
            <w:tcW w:w="546" w:type="pct"/>
            <w:tcBorders>
              <w:top w:val="nil"/>
              <w:bottom w:val="single" w:sz="4" w:space="0" w:color="auto"/>
            </w:tcBorders>
            <w:shd w:val="clear" w:color="auto" w:fill="auto"/>
            <w:vAlign w:val="center"/>
          </w:tcPr>
          <w:p w14:paraId="6BF67E1D" w14:textId="32A65C70" w:rsidR="0047142A" w:rsidRPr="00476211" w:rsidRDefault="0047142A" w:rsidP="00347AFB">
            <w:pPr>
              <w:pStyle w:val="TableText0"/>
              <w:jc w:val="center"/>
              <w:rPr>
                <w:b/>
              </w:rPr>
            </w:pPr>
            <w:r w:rsidRPr="00476211">
              <w:rPr>
                <w:b/>
              </w:rPr>
              <w:t>NR</w:t>
            </w:r>
          </w:p>
        </w:tc>
        <w:tc>
          <w:tcPr>
            <w:tcW w:w="644" w:type="pct"/>
            <w:tcBorders>
              <w:top w:val="nil"/>
              <w:bottom w:val="single" w:sz="4" w:space="0" w:color="auto"/>
            </w:tcBorders>
            <w:shd w:val="clear" w:color="auto" w:fill="auto"/>
            <w:vAlign w:val="center"/>
          </w:tcPr>
          <w:p w14:paraId="6A511ECF" w14:textId="77777777" w:rsidR="0047142A" w:rsidRPr="00476211" w:rsidRDefault="0047142A" w:rsidP="00347AFB">
            <w:pPr>
              <w:pStyle w:val="TableText0"/>
              <w:jc w:val="center"/>
              <w:rPr>
                <w:b/>
              </w:rPr>
            </w:pPr>
          </w:p>
        </w:tc>
        <w:tc>
          <w:tcPr>
            <w:tcW w:w="447" w:type="pct"/>
            <w:tcBorders>
              <w:top w:val="nil"/>
              <w:bottom w:val="single" w:sz="4" w:space="0" w:color="auto"/>
            </w:tcBorders>
            <w:shd w:val="clear" w:color="auto" w:fill="auto"/>
            <w:vAlign w:val="center"/>
          </w:tcPr>
          <w:p w14:paraId="4517EA34" w14:textId="77777777" w:rsidR="0047142A" w:rsidRPr="00476211" w:rsidRDefault="0047142A" w:rsidP="00347AFB">
            <w:pPr>
              <w:pStyle w:val="TableText0"/>
              <w:jc w:val="center"/>
              <w:rPr>
                <w:b/>
              </w:rPr>
            </w:pPr>
          </w:p>
        </w:tc>
        <w:tc>
          <w:tcPr>
            <w:tcW w:w="546" w:type="pct"/>
            <w:tcBorders>
              <w:top w:val="nil"/>
              <w:bottom w:val="single" w:sz="4" w:space="0" w:color="auto"/>
            </w:tcBorders>
            <w:shd w:val="clear" w:color="auto" w:fill="auto"/>
            <w:vAlign w:val="center"/>
          </w:tcPr>
          <w:p w14:paraId="4180A229" w14:textId="08D75AF8" w:rsidR="0047142A" w:rsidRPr="00476211" w:rsidRDefault="0047142A" w:rsidP="00347AFB">
            <w:pPr>
              <w:pStyle w:val="TableText0"/>
              <w:jc w:val="center"/>
              <w:rPr>
                <w:b/>
              </w:rPr>
            </w:pPr>
            <w:r w:rsidRPr="00476211">
              <w:rPr>
                <w:b/>
              </w:rPr>
              <w:t>$</w:t>
            </w:r>
            <w:r w:rsidR="00206B77" w:rsidRPr="00381965">
              <w:rPr>
                <w:rFonts w:hint="eastAsia"/>
                <w:b/>
                <w:color w:val="000000"/>
                <w:w w:val="15"/>
                <w:shd w:val="solid" w:color="000000" w:fill="000000"/>
                <w:fitText w:val="64" w:id="-1301008892"/>
                <w14:textFill>
                  <w14:solidFill>
                    <w14:srgbClr w14:val="000000">
                      <w14:alpha w14:val="100000"/>
                    </w14:srgbClr>
                  </w14:solidFill>
                </w14:textFill>
              </w:rPr>
              <w:t xml:space="preserve">　</w:t>
            </w:r>
            <w:r w:rsidR="00206B77" w:rsidRPr="00381965">
              <w:rPr>
                <w:b/>
                <w:color w:val="000000"/>
                <w:w w:val="15"/>
                <w:shd w:val="solid" w:color="000000" w:fill="000000"/>
                <w:fitText w:val="64" w:id="-1301008892"/>
                <w14:textFill>
                  <w14:solidFill>
                    <w14:srgbClr w14:val="000000">
                      <w14:alpha w14:val="100000"/>
                    </w14:srgbClr>
                  </w14:solidFill>
                </w14:textFill>
              </w:rPr>
              <w:t>|</w:t>
            </w:r>
            <w:r w:rsidR="00206B77" w:rsidRPr="00381965">
              <w:rPr>
                <w:rFonts w:hint="eastAsia"/>
                <w:b/>
                <w:color w:val="000000"/>
                <w:spacing w:val="-2"/>
                <w:w w:val="15"/>
                <w:shd w:val="solid" w:color="000000" w:fill="000000"/>
                <w:fitText w:val="64" w:id="-1301008892"/>
                <w14:textFill>
                  <w14:solidFill>
                    <w14:srgbClr w14:val="000000">
                      <w14:alpha w14:val="100000"/>
                    </w14:srgbClr>
                  </w14:solidFill>
                </w14:textFill>
              </w:rPr>
              <w:t xml:space="preserve">　</w:t>
            </w:r>
            <w:r w:rsidR="004D267F">
              <w:rPr>
                <w:b/>
                <w:vertAlign w:val="superscript"/>
              </w:rPr>
              <w:t>5</w:t>
            </w:r>
          </w:p>
        </w:tc>
      </w:tr>
      <w:tr w:rsidR="0047142A" w:rsidRPr="0047142A" w14:paraId="1A3636E5" w14:textId="77777777" w:rsidTr="007D08A4">
        <w:tc>
          <w:tcPr>
            <w:tcW w:w="5000" w:type="pct"/>
            <w:gridSpan w:val="7"/>
            <w:tcBorders>
              <w:top w:val="single" w:sz="4" w:space="0" w:color="auto"/>
              <w:bottom w:val="single" w:sz="4" w:space="0" w:color="auto"/>
            </w:tcBorders>
            <w:shd w:val="clear" w:color="auto" w:fill="auto"/>
            <w:vAlign w:val="center"/>
          </w:tcPr>
          <w:p w14:paraId="43CFE94E" w14:textId="708A3E95" w:rsidR="0047142A" w:rsidRPr="00476211" w:rsidRDefault="0047142A" w:rsidP="0047142A">
            <w:pPr>
              <w:pStyle w:val="TableText0"/>
              <w:rPr>
                <w:b/>
              </w:rPr>
            </w:pPr>
            <w:r w:rsidRPr="00476211">
              <w:rPr>
                <w:b/>
              </w:rPr>
              <w:t>Revised base case presented in PSCR with half cycle correction removed from all costs and benefits</w:t>
            </w:r>
          </w:p>
        </w:tc>
      </w:tr>
      <w:tr w:rsidR="0047142A" w:rsidRPr="0047142A" w14:paraId="7226810E" w14:textId="77777777" w:rsidTr="007D08A4">
        <w:tc>
          <w:tcPr>
            <w:tcW w:w="1726" w:type="pct"/>
            <w:tcBorders>
              <w:top w:val="single" w:sz="4" w:space="0" w:color="auto"/>
              <w:left w:val="single" w:sz="4" w:space="0" w:color="auto"/>
              <w:bottom w:val="nil"/>
              <w:right w:val="single" w:sz="4" w:space="0" w:color="auto"/>
            </w:tcBorders>
            <w:shd w:val="clear" w:color="auto" w:fill="auto"/>
            <w:vAlign w:val="center"/>
          </w:tcPr>
          <w:p w14:paraId="493FB812" w14:textId="77777777" w:rsidR="0047142A" w:rsidRPr="00476211" w:rsidRDefault="0047142A" w:rsidP="00347AFB">
            <w:pPr>
              <w:pStyle w:val="TableText0"/>
              <w:rPr>
                <w:b/>
              </w:rPr>
            </w:pPr>
            <w:r w:rsidRPr="00476211">
              <w:rPr>
                <w:b/>
              </w:rPr>
              <w:t>Costs</w:t>
            </w:r>
          </w:p>
        </w:tc>
        <w:tc>
          <w:tcPr>
            <w:tcW w:w="629" w:type="pct"/>
            <w:tcBorders>
              <w:top w:val="single" w:sz="4" w:space="0" w:color="auto"/>
              <w:left w:val="single" w:sz="4" w:space="0" w:color="auto"/>
              <w:bottom w:val="nil"/>
              <w:right w:val="single" w:sz="4" w:space="0" w:color="auto"/>
            </w:tcBorders>
            <w:shd w:val="clear" w:color="auto" w:fill="auto"/>
            <w:vAlign w:val="center"/>
          </w:tcPr>
          <w:p w14:paraId="2C8571A4" w14:textId="2161DE89" w:rsidR="0047142A" w:rsidRPr="00476211" w:rsidRDefault="0047142A" w:rsidP="00347AFB">
            <w:pPr>
              <w:pStyle w:val="TableText0"/>
              <w:jc w:val="center"/>
              <w:rPr>
                <w:bCs w:val="0"/>
              </w:rPr>
            </w:pPr>
            <w:r w:rsidRPr="00476211">
              <w:rPr>
                <w:bCs w:val="0"/>
              </w:rPr>
              <w:t>$</w:t>
            </w:r>
            <w:r w:rsidR="00206B77" w:rsidRPr="00206B77">
              <w:rPr>
                <w:bCs w:val="0"/>
                <w:color w:val="000000"/>
                <w:shd w:val="solid" w:color="000000" w:fill="000000"/>
                <w14:textFill>
                  <w14:solidFill>
                    <w14:srgbClr w14:val="000000">
                      <w14:alpha w14:val="100000"/>
                    </w14:srgbClr>
                  </w14:solidFill>
                </w14:textFill>
              </w:rPr>
              <w:t>|</w:t>
            </w:r>
          </w:p>
        </w:tc>
        <w:tc>
          <w:tcPr>
            <w:tcW w:w="462" w:type="pct"/>
            <w:tcBorders>
              <w:top w:val="single" w:sz="4" w:space="0" w:color="auto"/>
              <w:left w:val="single" w:sz="4" w:space="0" w:color="auto"/>
              <w:bottom w:val="nil"/>
              <w:right w:val="single" w:sz="4" w:space="0" w:color="auto"/>
            </w:tcBorders>
            <w:shd w:val="clear" w:color="auto" w:fill="auto"/>
            <w:vAlign w:val="center"/>
          </w:tcPr>
          <w:p w14:paraId="16657806" w14:textId="5CB8F98D" w:rsidR="0047142A" w:rsidRPr="00880394" w:rsidRDefault="0047142A" w:rsidP="00347AFB">
            <w:pPr>
              <w:pStyle w:val="TableText0"/>
              <w:jc w:val="center"/>
              <w:rPr>
                <w:bCs w:val="0"/>
              </w:rPr>
            </w:pPr>
            <w:r w:rsidRPr="00880394">
              <w:rPr>
                <w:bCs w:val="0"/>
              </w:rPr>
              <w:t>$46,151</w:t>
            </w:r>
          </w:p>
        </w:tc>
        <w:tc>
          <w:tcPr>
            <w:tcW w:w="546" w:type="pct"/>
            <w:tcBorders>
              <w:top w:val="single" w:sz="4" w:space="0" w:color="auto"/>
              <w:left w:val="single" w:sz="4" w:space="0" w:color="auto"/>
              <w:bottom w:val="nil"/>
              <w:right w:val="single" w:sz="4" w:space="0" w:color="auto"/>
            </w:tcBorders>
            <w:shd w:val="clear" w:color="auto" w:fill="auto"/>
            <w:vAlign w:val="center"/>
          </w:tcPr>
          <w:p w14:paraId="4DBA30AE" w14:textId="24B07965" w:rsidR="0047142A" w:rsidRPr="00476211" w:rsidRDefault="0047142A" w:rsidP="00347AFB">
            <w:pPr>
              <w:pStyle w:val="TableText0"/>
              <w:jc w:val="center"/>
              <w:rPr>
                <w:bCs w:val="0"/>
              </w:rPr>
            </w:pPr>
            <w:r w:rsidRPr="00476211">
              <w:rPr>
                <w:bCs w:val="0"/>
              </w:rPr>
              <w:t>$</w:t>
            </w:r>
            <w:r w:rsidR="00206B77" w:rsidRPr="00381965">
              <w:rPr>
                <w:rFonts w:hint="eastAsia"/>
                <w:bCs w:val="0"/>
                <w:color w:val="000000"/>
                <w:w w:val="15"/>
                <w:shd w:val="solid" w:color="000000" w:fill="000000"/>
                <w:fitText w:val="36" w:id="-1301008891"/>
                <w14:textFill>
                  <w14:solidFill>
                    <w14:srgbClr w14:val="000000">
                      <w14:alpha w14:val="100000"/>
                    </w14:srgbClr>
                  </w14:solidFill>
                </w14:textFill>
              </w:rPr>
              <w:t xml:space="preserve">　</w:t>
            </w:r>
            <w:r w:rsidR="00206B77" w:rsidRPr="00381965">
              <w:rPr>
                <w:bCs w:val="0"/>
                <w:color w:val="000000"/>
                <w:w w:val="15"/>
                <w:shd w:val="solid" w:color="000000" w:fill="000000"/>
                <w:fitText w:val="36" w:id="-1301008891"/>
                <w14:textFill>
                  <w14:solidFill>
                    <w14:srgbClr w14:val="000000">
                      <w14:alpha w14:val="100000"/>
                    </w14:srgbClr>
                  </w14:solidFill>
                </w14:textFill>
              </w:rPr>
              <w:t>|</w:t>
            </w:r>
            <w:r w:rsidR="00206B77" w:rsidRPr="00381965">
              <w:rPr>
                <w:rFonts w:hint="eastAsia"/>
                <w:bCs w:val="0"/>
                <w:color w:val="000000"/>
                <w:spacing w:val="-45"/>
                <w:w w:val="15"/>
                <w:shd w:val="solid" w:color="000000" w:fill="000000"/>
                <w:fitText w:val="36" w:id="-1301008891"/>
                <w14:textFill>
                  <w14:solidFill>
                    <w14:srgbClr w14:val="000000">
                      <w14:alpha w14:val="100000"/>
                    </w14:srgbClr>
                  </w14:solidFill>
                </w14:textFill>
              </w:rPr>
              <w:t xml:space="preserve">　</w:t>
            </w:r>
          </w:p>
        </w:tc>
        <w:tc>
          <w:tcPr>
            <w:tcW w:w="644" w:type="pct"/>
            <w:tcBorders>
              <w:top w:val="single" w:sz="4" w:space="0" w:color="auto"/>
              <w:left w:val="single" w:sz="4" w:space="0" w:color="auto"/>
              <w:bottom w:val="nil"/>
              <w:right w:val="single" w:sz="4" w:space="0" w:color="auto"/>
            </w:tcBorders>
            <w:shd w:val="clear" w:color="auto" w:fill="auto"/>
            <w:vAlign w:val="center"/>
          </w:tcPr>
          <w:p w14:paraId="7AEA6D62" w14:textId="3E3542AB" w:rsidR="0047142A" w:rsidRPr="00476211" w:rsidRDefault="0047142A" w:rsidP="00347AFB">
            <w:pPr>
              <w:pStyle w:val="TableText0"/>
              <w:jc w:val="center"/>
              <w:rPr>
                <w:bCs w:val="0"/>
              </w:rPr>
            </w:pPr>
            <w:r w:rsidRPr="00476211">
              <w:rPr>
                <w:bCs w:val="0"/>
              </w:rPr>
              <w:t>$</w:t>
            </w:r>
            <w:r w:rsidR="00206B77" w:rsidRPr="00206B77">
              <w:rPr>
                <w:bCs w:val="0"/>
                <w:color w:val="000000"/>
                <w:shd w:val="solid" w:color="000000" w:fill="000000"/>
                <w14:textFill>
                  <w14:solidFill>
                    <w14:srgbClr w14:val="000000">
                      <w14:alpha w14:val="100000"/>
                    </w14:srgbClr>
                  </w14:solidFill>
                </w14:textFill>
              </w:rPr>
              <w:t>|</w:t>
            </w:r>
          </w:p>
        </w:tc>
        <w:tc>
          <w:tcPr>
            <w:tcW w:w="447" w:type="pct"/>
            <w:tcBorders>
              <w:top w:val="single" w:sz="4" w:space="0" w:color="auto"/>
              <w:left w:val="single" w:sz="4" w:space="0" w:color="auto"/>
              <w:bottom w:val="nil"/>
              <w:right w:val="single" w:sz="4" w:space="0" w:color="auto"/>
            </w:tcBorders>
            <w:shd w:val="clear" w:color="auto" w:fill="auto"/>
            <w:vAlign w:val="center"/>
          </w:tcPr>
          <w:p w14:paraId="0E733134" w14:textId="3CD367BA" w:rsidR="0047142A" w:rsidRPr="00880394" w:rsidRDefault="0047142A" w:rsidP="00347AFB">
            <w:pPr>
              <w:pStyle w:val="TableText0"/>
              <w:jc w:val="center"/>
              <w:rPr>
                <w:bCs w:val="0"/>
              </w:rPr>
            </w:pPr>
            <w:r w:rsidRPr="00880394">
              <w:rPr>
                <w:bCs w:val="0"/>
              </w:rPr>
              <w:t>$50,126</w:t>
            </w:r>
          </w:p>
        </w:tc>
        <w:tc>
          <w:tcPr>
            <w:tcW w:w="546" w:type="pct"/>
            <w:tcBorders>
              <w:top w:val="single" w:sz="4" w:space="0" w:color="auto"/>
              <w:left w:val="single" w:sz="4" w:space="0" w:color="auto"/>
              <w:bottom w:val="nil"/>
              <w:right w:val="single" w:sz="4" w:space="0" w:color="auto"/>
            </w:tcBorders>
            <w:shd w:val="clear" w:color="auto" w:fill="auto"/>
            <w:vAlign w:val="center"/>
          </w:tcPr>
          <w:p w14:paraId="7433613E" w14:textId="70130B32" w:rsidR="0047142A" w:rsidRPr="00476211" w:rsidRDefault="0047142A" w:rsidP="00347AFB">
            <w:pPr>
              <w:pStyle w:val="TableText0"/>
              <w:jc w:val="center"/>
              <w:rPr>
                <w:bCs w:val="0"/>
              </w:rPr>
            </w:pPr>
            <w:r w:rsidRPr="00476211">
              <w:rPr>
                <w:bCs w:val="0"/>
              </w:rPr>
              <w:t>$</w:t>
            </w:r>
            <w:r w:rsidR="00206B77" w:rsidRPr="00381965">
              <w:rPr>
                <w:rFonts w:hint="eastAsia"/>
                <w:bCs w:val="0"/>
                <w:color w:val="000000"/>
                <w:w w:val="15"/>
                <w:shd w:val="solid" w:color="000000" w:fill="000000"/>
                <w:fitText w:val="36" w:id="-1301008890"/>
                <w14:textFill>
                  <w14:solidFill>
                    <w14:srgbClr w14:val="000000">
                      <w14:alpha w14:val="100000"/>
                    </w14:srgbClr>
                  </w14:solidFill>
                </w14:textFill>
              </w:rPr>
              <w:t xml:space="preserve">　</w:t>
            </w:r>
            <w:r w:rsidR="00206B77" w:rsidRPr="00381965">
              <w:rPr>
                <w:bCs w:val="0"/>
                <w:color w:val="000000"/>
                <w:w w:val="15"/>
                <w:shd w:val="solid" w:color="000000" w:fill="000000"/>
                <w:fitText w:val="36" w:id="-1301008890"/>
                <w14:textFill>
                  <w14:solidFill>
                    <w14:srgbClr w14:val="000000">
                      <w14:alpha w14:val="100000"/>
                    </w14:srgbClr>
                  </w14:solidFill>
                </w14:textFill>
              </w:rPr>
              <w:t>|</w:t>
            </w:r>
            <w:r w:rsidR="00206B77" w:rsidRPr="00381965">
              <w:rPr>
                <w:rFonts w:hint="eastAsia"/>
                <w:bCs w:val="0"/>
                <w:color w:val="000000"/>
                <w:spacing w:val="-45"/>
                <w:w w:val="15"/>
                <w:shd w:val="solid" w:color="000000" w:fill="000000"/>
                <w:fitText w:val="36" w:id="-1301008890"/>
                <w14:textFill>
                  <w14:solidFill>
                    <w14:srgbClr w14:val="000000">
                      <w14:alpha w14:val="100000"/>
                    </w14:srgbClr>
                  </w14:solidFill>
                </w14:textFill>
              </w:rPr>
              <w:t xml:space="preserve">　</w:t>
            </w:r>
          </w:p>
        </w:tc>
      </w:tr>
      <w:tr w:rsidR="0047142A" w:rsidRPr="0047142A" w14:paraId="19EB4557" w14:textId="77777777" w:rsidTr="0047142A">
        <w:tc>
          <w:tcPr>
            <w:tcW w:w="1726" w:type="pct"/>
            <w:tcBorders>
              <w:top w:val="nil"/>
              <w:left w:val="single" w:sz="4" w:space="0" w:color="auto"/>
              <w:bottom w:val="nil"/>
              <w:right w:val="single" w:sz="4" w:space="0" w:color="auto"/>
            </w:tcBorders>
            <w:shd w:val="clear" w:color="auto" w:fill="auto"/>
            <w:vAlign w:val="center"/>
          </w:tcPr>
          <w:p w14:paraId="4A31E7E7" w14:textId="77777777" w:rsidR="0047142A" w:rsidRPr="00476211" w:rsidRDefault="0047142A" w:rsidP="00347AFB">
            <w:pPr>
              <w:pStyle w:val="TableText0"/>
              <w:rPr>
                <w:b/>
              </w:rPr>
            </w:pPr>
            <w:r w:rsidRPr="00476211">
              <w:rPr>
                <w:b/>
              </w:rPr>
              <w:t>LYs</w:t>
            </w:r>
          </w:p>
        </w:tc>
        <w:tc>
          <w:tcPr>
            <w:tcW w:w="629" w:type="pct"/>
            <w:tcBorders>
              <w:top w:val="nil"/>
              <w:left w:val="single" w:sz="4" w:space="0" w:color="auto"/>
              <w:bottom w:val="nil"/>
              <w:right w:val="single" w:sz="4" w:space="0" w:color="auto"/>
            </w:tcBorders>
            <w:shd w:val="clear" w:color="auto" w:fill="auto"/>
            <w:vAlign w:val="center"/>
          </w:tcPr>
          <w:p w14:paraId="779A5F75" w14:textId="293CA911" w:rsidR="0047142A" w:rsidRPr="00476211" w:rsidRDefault="0047142A" w:rsidP="00347AFB">
            <w:pPr>
              <w:pStyle w:val="TableText0"/>
              <w:jc w:val="center"/>
              <w:rPr>
                <w:bCs w:val="0"/>
              </w:rPr>
            </w:pPr>
            <w:r w:rsidRPr="00476211">
              <w:rPr>
                <w:bCs w:val="0"/>
              </w:rPr>
              <w:t>10.43</w:t>
            </w:r>
          </w:p>
        </w:tc>
        <w:tc>
          <w:tcPr>
            <w:tcW w:w="462" w:type="pct"/>
            <w:tcBorders>
              <w:top w:val="nil"/>
              <w:left w:val="single" w:sz="4" w:space="0" w:color="auto"/>
              <w:bottom w:val="nil"/>
              <w:right w:val="single" w:sz="4" w:space="0" w:color="auto"/>
            </w:tcBorders>
            <w:shd w:val="clear" w:color="auto" w:fill="auto"/>
            <w:vAlign w:val="center"/>
          </w:tcPr>
          <w:p w14:paraId="784D03D6" w14:textId="041D15DF" w:rsidR="0047142A" w:rsidRPr="00880394" w:rsidRDefault="0047142A" w:rsidP="00347AFB">
            <w:pPr>
              <w:pStyle w:val="TableText0"/>
              <w:jc w:val="center"/>
              <w:rPr>
                <w:bCs w:val="0"/>
              </w:rPr>
            </w:pPr>
            <w:r w:rsidRPr="00880394">
              <w:rPr>
                <w:bCs w:val="0"/>
              </w:rPr>
              <w:t>9.99</w:t>
            </w:r>
          </w:p>
        </w:tc>
        <w:tc>
          <w:tcPr>
            <w:tcW w:w="546" w:type="pct"/>
            <w:tcBorders>
              <w:top w:val="nil"/>
              <w:left w:val="single" w:sz="4" w:space="0" w:color="auto"/>
              <w:bottom w:val="nil"/>
              <w:right w:val="single" w:sz="4" w:space="0" w:color="auto"/>
            </w:tcBorders>
            <w:shd w:val="clear" w:color="auto" w:fill="auto"/>
            <w:vAlign w:val="center"/>
          </w:tcPr>
          <w:p w14:paraId="3D991E28" w14:textId="0E36D8AD" w:rsidR="0047142A" w:rsidRPr="00476211" w:rsidRDefault="0047142A" w:rsidP="00347AFB">
            <w:pPr>
              <w:pStyle w:val="TableText0"/>
              <w:jc w:val="center"/>
              <w:rPr>
                <w:bCs w:val="0"/>
              </w:rPr>
            </w:pPr>
            <w:r w:rsidRPr="00476211">
              <w:rPr>
                <w:bCs w:val="0"/>
              </w:rPr>
              <w:t>0.45</w:t>
            </w:r>
          </w:p>
        </w:tc>
        <w:tc>
          <w:tcPr>
            <w:tcW w:w="644" w:type="pct"/>
            <w:tcBorders>
              <w:top w:val="nil"/>
              <w:left w:val="single" w:sz="4" w:space="0" w:color="auto"/>
              <w:bottom w:val="nil"/>
              <w:right w:val="single" w:sz="4" w:space="0" w:color="auto"/>
            </w:tcBorders>
            <w:shd w:val="clear" w:color="auto" w:fill="auto"/>
            <w:vAlign w:val="center"/>
          </w:tcPr>
          <w:p w14:paraId="3626B049" w14:textId="77777777" w:rsidR="0047142A" w:rsidRPr="00476211" w:rsidRDefault="0047142A" w:rsidP="00347AFB">
            <w:pPr>
              <w:pStyle w:val="TableText0"/>
              <w:jc w:val="center"/>
              <w:rPr>
                <w:bCs w:val="0"/>
              </w:rPr>
            </w:pPr>
            <w:r w:rsidRPr="00476211">
              <w:rPr>
                <w:bCs w:val="0"/>
              </w:rPr>
              <w:t>10.14</w:t>
            </w:r>
          </w:p>
        </w:tc>
        <w:tc>
          <w:tcPr>
            <w:tcW w:w="447" w:type="pct"/>
            <w:tcBorders>
              <w:top w:val="nil"/>
              <w:left w:val="single" w:sz="4" w:space="0" w:color="auto"/>
              <w:bottom w:val="nil"/>
              <w:right w:val="single" w:sz="4" w:space="0" w:color="auto"/>
            </w:tcBorders>
            <w:shd w:val="clear" w:color="auto" w:fill="auto"/>
            <w:vAlign w:val="center"/>
          </w:tcPr>
          <w:p w14:paraId="0545AC80" w14:textId="77777777" w:rsidR="0047142A" w:rsidRPr="00880394" w:rsidRDefault="0047142A" w:rsidP="00347AFB">
            <w:pPr>
              <w:pStyle w:val="TableText0"/>
              <w:jc w:val="center"/>
              <w:rPr>
                <w:bCs w:val="0"/>
              </w:rPr>
            </w:pPr>
            <w:r w:rsidRPr="00880394">
              <w:rPr>
                <w:bCs w:val="0"/>
              </w:rPr>
              <w:t>9.33</w:t>
            </w:r>
          </w:p>
        </w:tc>
        <w:tc>
          <w:tcPr>
            <w:tcW w:w="546" w:type="pct"/>
            <w:tcBorders>
              <w:top w:val="nil"/>
              <w:left w:val="single" w:sz="4" w:space="0" w:color="auto"/>
              <w:bottom w:val="nil"/>
              <w:right w:val="single" w:sz="4" w:space="0" w:color="auto"/>
            </w:tcBorders>
            <w:shd w:val="clear" w:color="auto" w:fill="auto"/>
            <w:vAlign w:val="center"/>
          </w:tcPr>
          <w:p w14:paraId="5CF76504" w14:textId="77777777" w:rsidR="0047142A" w:rsidRPr="00476211" w:rsidRDefault="0047142A" w:rsidP="00347AFB">
            <w:pPr>
              <w:pStyle w:val="TableText0"/>
              <w:jc w:val="center"/>
              <w:rPr>
                <w:bCs w:val="0"/>
              </w:rPr>
            </w:pPr>
            <w:r w:rsidRPr="00476211">
              <w:rPr>
                <w:bCs w:val="0"/>
              </w:rPr>
              <w:t>0.81</w:t>
            </w:r>
          </w:p>
        </w:tc>
      </w:tr>
      <w:tr w:rsidR="0047142A" w:rsidRPr="0047142A" w14:paraId="5D734252" w14:textId="77777777" w:rsidTr="0047142A">
        <w:tc>
          <w:tcPr>
            <w:tcW w:w="1726" w:type="pct"/>
            <w:tcBorders>
              <w:top w:val="nil"/>
              <w:left w:val="single" w:sz="4" w:space="0" w:color="auto"/>
              <w:bottom w:val="nil"/>
              <w:right w:val="single" w:sz="4" w:space="0" w:color="auto"/>
            </w:tcBorders>
            <w:shd w:val="clear" w:color="auto" w:fill="auto"/>
            <w:vAlign w:val="center"/>
          </w:tcPr>
          <w:p w14:paraId="71CFC9E2" w14:textId="77777777" w:rsidR="0047142A" w:rsidRPr="00476211" w:rsidRDefault="0047142A" w:rsidP="00347AFB">
            <w:pPr>
              <w:pStyle w:val="TableText0"/>
              <w:rPr>
                <w:b/>
              </w:rPr>
            </w:pPr>
            <w:r w:rsidRPr="00476211">
              <w:rPr>
                <w:b/>
              </w:rPr>
              <w:t>QALYs</w:t>
            </w:r>
          </w:p>
        </w:tc>
        <w:tc>
          <w:tcPr>
            <w:tcW w:w="629" w:type="pct"/>
            <w:tcBorders>
              <w:top w:val="nil"/>
              <w:left w:val="single" w:sz="4" w:space="0" w:color="auto"/>
              <w:bottom w:val="nil"/>
              <w:right w:val="single" w:sz="4" w:space="0" w:color="auto"/>
            </w:tcBorders>
            <w:shd w:val="clear" w:color="auto" w:fill="auto"/>
            <w:vAlign w:val="center"/>
          </w:tcPr>
          <w:p w14:paraId="4B80D48B" w14:textId="56FCF68D" w:rsidR="0047142A" w:rsidRPr="00476211" w:rsidRDefault="0047142A" w:rsidP="00347AFB">
            <w:pPr>
              <w:pStyle w:val="TableText0"/>
              <w:jc w:val="center"/>
              <w:rPr>
                <w:bCs w:val="0"/>
              </w:rPr>
            </w:pPr>
            <w:r w:rsidRPr="00476211">
              <w:rPr>
                <w:bCs w:val="0"/>
              </w:rPr>
              <w:t>8.35</w:t>
            </w:r>
          </w:p>
        </w:tc>
        <w:tc>
          <w:tcPr>
            <w:tcW w:w="462" w:type="pct"/>
            <w:tcBorders>
              <w:top w:val="nil"/>
              <w:left w:val="single" w:sz="4" w:space="0" w:color="auto"/>
              <w:bottom w:val="nil"/>
              <w:right w:val="single" w:sz="4" w:space="0" w:color="auto"/>
            </w:tcBorders>
            <w:shd w:val="clear" w:color="auto" w:fill="auto"/>
            <w:vAlign w:val="center"/>
          </w:tcPr>
          <w:p w14:paraId="2866B2A3" w14:textId="342809ED" w:rsidR="0047142A" w:rsidRPr="00476211" w:rsidRDefault="0047142A" w:rsidP="00347AFB">
            <w:pPr>
              <w:pStyle w:val="TableText0"/>
              <w:jc w:val="center"/>
              <w:rPr>
                <w:bCs w:val="0"/>
              </w:rPr>
            </w:pPr>
            <w:r w:rsidRPr="00476211">
              <w:rPr>
                <w:bCs w:val="0"/>
              </w:rPr>
              <w:t>7.96</w:t>
            </w:r>
          </w:p>
        </w:tc>
        <w:tc>
          <w:tcPr>
            <w:tcW w:w="546" w:type="pct"/>
            <w:tcBorders>
              <w:top w:val="nil"/>
              <w:left w:val="single" w:sz="4" w:space="0" w:color="auto"/>
              <w:bottom w:val="nil"/>
              <w:right w:val="single" w:sz="4" w:space="0" w:color="auto"/>
            </w:tcBorders>
            <w:shd w:val="clear" w:color="auto" w:fill="auto"/>
            <w:vAlign w:val="center"/>
          </w:tcPr>
          <w:p w14:paraId="06DFDE67" w14:textId="4A2BAC34" w:rsidR="0047142A" w:rsidRPr="00476211" w:rsidRDefault="0047142A" w:rsidP="00347AFB">
            <w:pPr>
              <w:pStyle w:val="TableText0"/>
              <w:jc w:val="center"/>
              <w:rPr>
                <w:bCs w:val="0"/>
              </w:rPr>
            </w:pPr>
            <w:r w:rsidRPr="00476211">
              <w:rPr>
                <w:bCs w:val="0"/>
              </w:rPr>
              <w:t>0.39</w:t>
            </w:r>
          </w:p>
        </w:tc>
        <w:tc>
          <w:tcPr>
            <w:tcW w:w="644" w:type="pct"/>
            <w:tcBorders>
              <w:top w:val="nil"/>
              <w:left w:val="single" w:sz="4" w:space="0" w:color="auto"/>
              <w:bottom w:val="nil"/>
              <w:right w:val="single" w:sz="4" w:space="0" w:color="auto"/>
            </w:tcBorders>
            <w:shd w:val="clear" w:color="auto" w:fill="auto"/>
            <w:vAlign w:val="center"/>
          </w:tcPr>
          <w:p w14:paraId="5563B7F5" w14:textId="552F662B" w:rsidR="0047142A" w:rsidRPr="00476211" w:rsidRDefault="0047142A" w:rsidP="00347AFB">
            <w:pPr>
              <w:pStyle w:val="TableText0"/>
              <w:jc w:val="center"/>
              <w:rPr>
                <w:bCs w:val="0"/>
              </w:rPr>
            </w:pPr>
            <w:r w:rsidRPr="00476211">
              <w:rPr>
                <w:bCs w:val="0"/>
              </w:rPr>
              <w:t>8.1</w:t>
            </w:r>
            <w:r w:rsidR="002849B0" w:rsidRPr="00476211">
              <w:rPr>
                <w:bCs w:val="0"/>
              </w:rPr>
              <w:t>4</w:t>
            </w:r>
          </w:p>
        </w:tc>
        <w:tc>
          <w:tcPr>
            <w:tcW w:w="447" w:type="pct"/>
            <w:tcBorders>
              <w:top w:val="nil"/>
              <w:left w:val="single" w:sz="4" w:space="0" w:color="auto"/>
              <w:bottom w:val="nil"/>
              <w:right w:val="single" w:sz="4" w:space="0" w:color="auto"/>
            </w:tcBorders>
            <w:shd w:val="clear" w:color="auto" w:fill="auto"/>
            <w:vAlign w:val="center"/>
          </w:tcPr>
          <w:p w14:paraId="6D952817" w14:textId="6D5D68FE" w:rsidR="0047142A" w:rsidRPr="00880394" w:rsidRDefault="0047142A" w:rsidP="00347AFB">
            <w:pPr>
              <w:pStyle w:val="TableText0"/>
              <w:jc w:val="center"/>
              <w:rPr>
                <w:bCs w:val="0"/>
              </w:rPr>
            </w:pPr>
            <w:r w:rsidRPr="00880394">
              <w:rPr>
                <w:bCs w:val="0"/>
              </w:rPr>
              <w:t>7.45</w:t>
            </w:r>
          </w:p>
        </w:tc>
        <w:tc>
          <w:tcPr>
            <w:tcW w:w="546" w:type="pct"/>
            <w:tcBorders>
              <w:top w:val="nil"/>
              <w:left w:val="single" w:sz="4" w:space="0" w:color="auto"/>
              <w:bottom w:val="nil"/>
              <w:right w:val="single" w:sz="4" w:space="0" w:color="auto"/>
            </w:tcBorders>
            <w:shd w:val="clear" w:color="auto" w:fill="auto"/>
            <w:vAlign w:val="center"/>
          </w:tcPr>
          <w:p w14:paraId="0E2FDE63" w14:textId="70BC7B89" w:rsidR="0047142A" w:rsidRPr="00476211" w:rsidRDefault="0047142A" w:rsidP="00347AFB">
            <w:pPr>
              <w:pStyle w:val="TableText0"/>
              <w:jc w:val="center"/>
              <w:rPr>
                <w:bCs w:val="0"/>
              </w:rPr>
            </w:pPr>
            <w:r w:rsidRPr="00476211">
              <w:rPr>
                <w:bCs w:val="0"/>
              </w:rPr>
              <w:t>0.69</w:t>
            </w:r>
          </w:p>
        </w:tc>
      </w:tr>
      <w:tr w:rsidR="0047142A" w:rsidRPr="0047142A" w14:paraId="0C3E278C" w14:textId="77777777" w:rsidTr="0047142A">
        <w:tc>
          <w:tcPr>
            <w:tcW w:w="1726" w:type="pct"/>
            <w:tcBorders>
              <w:top w:val="nil"/>
              <w:left w:val="single" w:sz="4" w:space="0" w:color="auto"/>
              <w:bottom w:val="single" w:sz="4" w:space="0" w:color="auto"/>
              <w:right w:val="single" w:sz="4" w:space="0" w:color="auto"/>
            </w:tcBorders>
            <w:shd w:val="clear" w:color="auto" w:fill="auto"/>
            <w:vAlign w:val="center"/>
          </w:tcPr>
          <w:p w14:paraId="29C43322" w14:textId="77777777" w:rsidR="0047142A" w:rsidRPr="00476211" w:rsidRDefault="0047142A" w:rsidP="00347AFB">
            <w:pPr>
              <w:pStyle w:val="TableText0"/>
              <w:rPr>
                <w:b/>
              </w:rPr>
            </w:pPr>
            <w:r w:rsidRPr="00476211">
              <w:rPr>
                <w:b/>
              </w:rPr>
              <w:t>Incremental cost/extra QALY gained</w:t>
            </w:r>
          </w:p>
        </w:tc>
        <w:tc>
          <w:tcPr>
            <w:tcW w:w="629" w:type="pct"/>
            <w:tcBorders>
              <w:top w:val="nil"/>
              <w:left w:val="single" w:sz="4" w:space="0" w:color="auto"/>
              <w:bottom w:val="single" w:sz="4" w:space="0" w:color="auto"/>
              <w:right w:val="single" w:sz="4" w:space="0" w:color="auto"/>
            </w:tcBorders>
            <w:shd w:val="clear" w:color="auto" w:fill="auto"/>
            <w:vAlign w:val="center"/>
          </w:tcPr>
          <w:p w14:paraId="66EA760B" w14:textId="77777777" w:rsidR="0047142A" w:rsidRPr="00476211" w:rsidRDefault="0047142A" w:rsidP="00347AFB">
            <w:pPr>
              <w:pStyle w:val="TableText0"/>
              <w:jc w:val="center"/>
              <w:rPr>
                <w:b/>
              </w:rPr>
            </w:pPr>
          </w:p>
        </w:tc>
        <w:tc>
          <w:tcPr>
            <w:tcW w:w="462" w:type="pct"/>
            <w:tcBorders>
              <w:top w:val="nil"/>
              <w:left w:val="single" w:sz="4" w:space="0" w:color="auto"/>
              <w:bottom w:val="single" w:sz="4" w:space="0" w:color="auto"/>
              <w:right w:val="single" w:sz="4" w:space="0" w:color="auto"/>
            </w:tcBorders>
            <w:shd w:val="clear" w:color="auto" w:fill="auto"/>
            <w:vAlign w:val="center"/>
          </w:tcPr>
          <w:p w14:paraId="4BBF63E7" w14:textId="77777777" w:rsidR="0047142A" w:rsidRPr="00476211" w:rsidRDefault="0047142A" w:rsidP="00347AFB">
            <w:pPr>
              <w:pStyle w:val="TableText0"/>
              <w:jc w:val="center"/>
              <w:rPr>
                <w:b/>
              </w:rPr>
            </w:pPr>
          </w:p>
        </w:tc>
        <w:tc>
          <w:tcPr>
            <w:tcW w:w="546" w:type="pct"/>
            <w:tcBorders>
              <w:top w:val="nil"/>
              <w:left w:val="single" w:sz="4" w:space="0" w:color="auto"/>
              <w:bottom w:val="single" w:sz="4" w:space="0" w:color="auto"/>
              <w:right w:val="single" w:sz="4" w:space="0" w:color="auto"/>
            </w:tcBorders>
            <w:shd w:val="clear" w:color="auto" w:fill="auto"/>
            <w:vAlign w:val="center"/>
          </w:tcPr>
          <w:p w14:paraId="086881F1" w14:textId="0DF36E6B" w:rsidR="0047142A" w:rsidRPr="00476211" w:rsidRDefault="0047142A" w:rsidP="00347AFB">
            <w:pPr>
              <w:pStyle w:val="TableText0"/>
              <w:jc w:val="center"/>
              <w:rPr>
                <w:b/>
              </w:rPr>
            </w:pPr>
            <w:r w:rsidRPr="00476211">
              <w:rPr>
                <w:b/>
              </w:rPr>
              <w:t>$</w:t>
            </w:r>
            <w:r w:rsidR="00206B77" w:rsidRPr="00381965">
              <w:rPr>
                <w:rFonts w:hint="eastAsia"/>
                <w:b/>
                <w:color w:val="000000"/>
                <w:w w:val="15"/>
                <w:shd w:val="solid" w:color="000000" w:fill="000000"/>
                <w:fitText w:val="65" w:id="-1301008889"/>
                <w14:textFill>
                  <w14:solidFill>
                    <w14:srgbClr w14:val="000000">
                      <w14:alpha w14:val="100000"/>
                    </w14:srgbClr>
                  </w14:solidFill>
                </w14:textFill>
              </w:rPr>
              <w:t xml:space="preserve">　</w:t>
            </w:r>
            <w:r w:rsidR="00206B77" w:rsidRPr="00381965">
              <w:rPr>
                <w:b/>
                <w:color w:val="000000"/>
                <w:w w:val="15"/>
                <w:shd w:val="solid" w:color="000000" w:fill="000000"/>
                <w:fitText w:val="65" w:id="-1301008889"/>
                <w14:textFill>
                  <w14:solidFill>
                    <w14:srgbClr w14:val="000000">
                      <w14:alpha w14:val="100000"/>
                    </w14:srgbClr>
                  </w14:solidFill>
                </w14:textFill>
              </w:rPr>
              <w:t>|</w:t>
            </w:r>
            <w:r w:rsidR="00206B77" w:rsidRPr="00381965">
              <w:rPr>
                <w:rFonts w:hint="eastAsia"/>
                <w:b/>
                <w:color w:val="000000"/>
                <w:spacing w:val="-1"/>
                <w:w w:val="15"/>
                <w:shd w:val="solid" w:color="000000" w:fill="000000"/>
                <w:fitText w:val="65" w:id="-1301008889"/>
                <w14:textFill>
                  <w14:solidFill>
                    <w14:srgbClr w14:val="000000">
                      <w14:alpha w14:val="100000"/>
                    </w14:srgbClr>
                  </w14:solidFill>
                </w14:textFill>
              </w:rPr>
              <w:t xml:space="preserve">　</w:t>
            </w:r>
            <w:r w:rsidR="008365A9">
              <w:rPr>
                <w:b/>
                <w:vertAlign w:val="superscript"/>
              </w:rPr>
              <w:t>2</w:t>
            </w:r>
          </w:p>
        </w:tc>
        <w:tc>
          <w:tcPr>
            <w:tcW w:w="644" w:type="pct"/>
            <w:tcBorders>
              <w:top w:val="nil"/>
              <w:left w:val="single" w:sz="4" w:space="0" w:color="auto"/>
              <w:bottom w:val="single" w:sz="4" w:space="0" w:color="auto"/>
              <w:right w:val="single" w:sz="4" w:space="0" w:color="auto"/>
            </w:tcBorders>
            <w:shd w:val="clear" w:color="auto" w:fill="auto"/>
            <w:vAlign w:val="center"/>
          </w:tcPr>
          <w:p w14:paraId="2C4DB90B" w14:textId="77777777" w:rsidR="0047142A" w:rsidRPr="00476211" w:rsidRDefault="0047142A" w:rsidP="00347AFB">
            <w:pPr>
              <w:pStyle w:val="TableText0"/>
              <w:jc w:val="center"/>
              <w:rPr>
                <w:b/>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3CC0A134" w14:textId="77777777" w:rsidR="0047142A" w:rsidRPr="00476211" w:rsidRDefault="0047142A" w:rsidP="00347AFB">
            <w:pPr>
              <w:pStyle w:val="TableText0"/>
              <w:jc w:val="center"/>
              <w:rPr>
                <w:b/>
              </w:rPr>
            </w:pPr>
          </w:p>
        </w:tc>
        <w:tc>
          <w:tcPr>
            <w:tcW w:w="546" w:type="pct"/>
            <w:tcBorders>
              <w:top w:val="nil"/>
              <w:left w:val="single" w:sz="4" w:space="0" w:color="auto"/>
              <w:bottom w:val="single" w:sz="4" w:space="0" w:color="auto"/>
              <w:right w:val="single" w:sz="4" w:space="0" w:color="auto"/>
            </w:tcBorders>
            <w:shd w:val="clear" w:color="auto" w:fill="auto"/>
            <w:vAlign w:val="center"/>
          </w:tcPr>
          <w:p w14:paraId="44F5294C" w14:textId="41495EE9" w:rsidR="0047142A" w:rsidRPr="00476211" w:rsidRDefault="0047142A" w:rsidP="00347AFB">
            <w:pPr>
              <w:pStyle w:val="TableText0"/>
              <w:jc w:val="center"/>
              <w:rPr>
                <w:b/>
              </w:rPr>
            </w:pPr>
            <w:r w:rsidRPr="00476211">
              <w:rPr>
                <w:b/>
              </w:rPr>
              <w:t>$</w:t>
            </w:r>
            <w:r w:rsidR="00206B77" w:rsidRPr="00206B77">
              <w:rPr>
                <w:rFonts w:hint="eastAsia"/>
                <w:b/>
                <w:color w:val="000000"/>
                <w:w w:val="15"/>
                <w:shd w:val="solid" w:color="000000" w:fill="000000"/>
                <w:fitText w:val="64" w:id="-1301008888"/>
                <w14:textFill>
                  <w14:solidFill>
                    <w14:srgbClr w14:val="000000">
                      <w14:alpha w14:val="100000"/>
                    </w14:srgbClr>
                  </w14:solidFill>
                </w14:textFill>
              </w:rPr>
              <w:t xml:space="preserve">　</w:t>
            </w:r>
            <w:r w:rsidR="00206B77" w:rsidRPr="00206B77">
              <w:rPr>
                <w:b/>
                <w:color w:val="000000"/>
                <w:w w:val="15"/>
                <w:shd w:val="solid" w:color="000000" w:fill="000000"/>
                <w:fitText w:val="64" w:id="-1301008888"/>
                <w14:textFill>
                  <w14:solidFill>
                    <w14:srgbClr w14:val="000000">
                      <w14:alpha w14:val="100000"/>
                    </w14:srgbClr>
                  </w14:solidFill>
                </w14:textFill>
              </w:rPr>
              <w:t>|</w:t>
            </w:r>
            <w:r w:rsidR="00206B77" w:rsidRPr="00206B77">
              <w:rPr>
                <w:rFonts w:hint="eastAsia"/>
                <w:b/>
                <w:color w:val="000000"/>
                <w:spacing w:val="-2"/>
                <w:w w:val="15"/>
                <w:shd w:val="solid" w:color="000000" w:fill="000000"/>
                <w:fitText w:val="64" w:id="-1301008888"/>
                <w14:textFill>
                  <w14:solidFill>
                    <w14:srgbClr w14:val="000000">
                      <w14:alpha w14:val="100000"/>
                    </w14:srgbClr>
                  </w14:solidFill>
                </w14:textFill>
              </w:rPr>
              <w:t xml:space="preserve">　</w:t>
            </w:r>
            <w:r w:rsidR="004D267F">
              <w:rPr>
                <w:b/>
                <w:vertAlign w:val="superscript"/>
              </w:rPr>
              <w:t>5</w:t>
            </w:r>
          </w:p>
        </w:tc>
      </w:tr>
    </w:tbl>
    <w:p w14:paraId="79B2397A" w14:textId="07546EAC" w:rsidR="00FB40DA" w:rsidRPr="000B2FEE" w:rsidRDefault="00FB40DA" w:rsidP="00FB40DA">
      <w:pPr>
        <w:pStyle w:val="FooterTableFigure"/>
      </w:pPr>
      <w:r w:rsidRPr="000B2FEE">
        <w:rPr>
          <w:szCs w:val="18"/>
        </w:rPr>
        <w:t>Source: Tables 3.20-3.26 pp107-110 of the submission</w:t>
      </w:r>
      <w:r w:rsidR="0047142A">
        <w:rPr>
          <w:szCs w:val="18"/>
        </w:rPr>
        <w:t>, the PSCR</w:t>
      </w:r>
      <w:r w:rsidRPr="000B2FEE">
        <w:rPr>
          <w:szCs w:val="18"/>
        </w:rPr>
        <w:t xml:space="preserve"> and </w:t>
      </w:r>
      <w:r w:rsidRPr="000B2FEE">
        <w:t>compiled during the evaluation from Sheet ‘Results’ Excel files ‘Economic Evaluation_ITT.xlsx’ and ‘Economic Evaluation_IPI 3-5.xlsx’</w:t>
      </w:r>
    </w:p>
    <w:p w14:paraId="455404B7" w14:textId="77777777" w:rsidR="00FB40DA" w:rsidRPr="000B2FEE" w:rsidRDefault="00FB40DA" w:rsidP="00FB40DA">
      <w:pPr>
        <w:pStyle w:val="FooterTableFigure"/>
        <w:rPr>
          <w:szCs w:val="18"/>
        </w:rPr>
      </w:pPr>
      <w:r w:rsidRPr="000B2FEE">
        <w:rPr>
          <w:szCs w:val="18"/>
        </w:rPr>
        <w:t>AE= adverse event, IPI = International Prognostic Index, ITT = intention to treat, LY = life year, MRU = medical resource use, Pola+R-CHP = polatuzumab vedotin in combination with cyclophosphamide, doxorubicin and prednisone, QALY = quality adjusted life year R-CHOP = rituximab in combination with cyclophosphamide, doxorubicin, vincristine and prednisone</w:t>
      </w:r>
    </w:p>
    <w:p w14:paraId="4345C303" w14:textId="72D46DE5" w:rsidR="00FB40DA" w:rsidRDefault="00FB40DA" w:rsidP="00626FF0">
      <w:pPr>
        <w:pStyle w:val="FooterTableFigure"/>
        <w:contextualSpacing w:val="0"/>
        <w:rPr>
          <w:szCs w:val="18"/>
        </w:rPr>
      </w:pPr>
      <w:r w:rsidRPr="000B2FEE">
        <w:rPr>
          <w:szCs w:val="18"/>
        </w:rPr>
        <w:t>Costs for Pola+R-CHP arm in Step 1 and 2 were misreported as $</w:t>
      </w:r>
      <w:r w:rsidR="00206B77" w:rsidRPr="008131EB">
        <w:rPr>
          <w:color w:val="000000"/>
          <w:spacing w:val="23"/>
          <w:szCs w:val="18"/>
          <w:shd w:val="solid" w:color="000000" w:fill="000000"/>
          <w:fitText w:val="229" w:id="-1301008887"/>
          <w14:textFill>
            <w14:solidFill>
              <w14:srgbClr w14:val="000000">
                <w14:alpha w14:val="100000"/>
              </w14:srgbClr>
            </w14:solidFill>
          </w14:textFill>
        </w:rPr>
        <w:t xml:space="preserve">|  </w:t>
      </w:r>
      <w:r w:rsidR="00206B77" w:rsidRPr="008131EB">
        <w:rPr>
          <w:color w:val="000000"/>
          <w:spacing w:val="2"/>
          <w:szCs w:val="18"/>
          <w:shd w:val="solid" w:color="000000" w:fill="000000"/>
          <w:fitText w:val="229" w:id="-1301008887"/>
          <w14:textFill>
            <w14:solidFill>
              <w14:srgbClr w14:val="000000">
                <w14:alpha w14:val="100000"/>
              </w14:srgbClr>
            </w14:solidFill>
          </w14:textFill>
        </w:rPr>
        <w:t>|</w:t>
      </w:r>
      <w:r w:rsidRPr="000B2FEE">
        <w:rPr>
          <w:szCs w:val="18"/>
        </w:rPr>
        <w:t xml:space="preserve"> in the submission. The LYs, QALYs and ICER in Step 1 of the submission were based on rounding the time horizon down to the nearest week for the benefits (Steps 2-6 rounded up) and therefore differed slightly: $</w:t>
      </w:r>
      <w:r w:rsidR="00206B77" w:rsidRPr="00626FF0">
        <w:rPr>
          <w:color w:val="000000"/>
          <w:spacing w:val="21"/>
          <w:szCs w:val="18"/>
          <w:shd w:val="solid" w:color="000000" w:fill="000000"/>
          <w:fitText w:val="222" w:id="-1301008886"/>
          <w14:textFill>
            <w14:solidFill>
              <w14:srgbClr w14:val="000000">
                <w14:alpha w14:val="100000"/>
              </w14:srgbClr>
            </w14:solidFill>
          </w14:textFill>
        </w:rPr>
        <w:t xml:space="preserve">|  </w:t>
      </w:r>
      <w:r w:rsidR="00206B77" w:rsidRPr="00626FF0">
        <w:rPr>
          <w:color w:val="000000"/>
          <w:spacing w:val="1"/>
          <w:szCs w:val="18"/>
          <w:shd w:val="solid" w:color="000000" w:fill="000000"/>
          <w:fitText w:val="222" w:id="-1301008886"/>
          <w14:textFill>
            <w14:solidFill>
              <w14:srgbClr w14:val="000000">
                <w14:alpha w14:val="100000"/>
              </w14:srgbClr>
            </w14:solidFill>
          </w14:textFill>
        </w:rPr>
        <w:t>|</w:t>
      </w:r>
    </w:p>
    <w:p w14:paraId="16D78217" w14:textId="77777777" w:rsidR="008131EB" w:rsidRDefault="008131EB" w:rsidP="00252E28">
      <w:pPr>
        <w:rPr>
          <w:rFonts w:ascii="Arial Narrow" w:hAnsi="Arial Narrow"/>
          <w:i/>
          <w:sz w:val="18"/>
          <w:szCs w:val="18"/>
        </w:rPr>
        <w:sectPr w:rsidR="008131EB" w:rsidSect="006C2875">
          <w:headerReference w:type="even" r:id="rId25"/>
          <w:headerReference w:type="default" r:id="rId26"/>
          <w:footerReference w:type="even" r:id="rId27"/>
          <w:footerReference w:type="default" r:id="rId28"/>
          <w:headerReference w:type="first" r:id="rId29"/>
          <w:footerReference w:type="first" r:id="rId30"/>
          <w:pgSz w:w="11907" w:h="16840" w:code="9"/>
          <w:pgMar w:top="1440" w:right="1440" w:bottom="1440" w:left="1440" w:header="1440" w:footer="1440" w:gutter="0"/>
          <w:cols w:space="708"/>
          <w:docGrid w:linePitch="360"/>
        </w:sectPr>
      </w:pPr>
    </w:p>
    <w:p w14:paraId="6B73394A" w14:textId="71C7BE2C" w:rsidR="00252E28" w:rsidRPr="009A6D58" w:rsidRDefault="00252E28" w:rsidP="00252E28">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E69B695" w14:textId="35271FD6" w:rsidR="00252E28" w:rsidRPr="009A6D58" w:rsidRDefault="00252E28" w:rsidP="00252E28">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8365A9" w:rsidRPr="008365A9">
        <w:rPr>
          <w:rFonts w:ascii="Arial Narrow" w:hAnsi="Arial Narrow"/>
          <w:i/>
          <w:sz w:val="18"/>
          <w:szCs w:val="18"/>
        </w:rPr>
        <w:t>$135,000 to &lt; $155,000</w:t>
      </w:r>
    </w:p>
    <w:p w14:paraId="788E3EC7" w14:textId="3E4A78E0" w:rsidR="00252E28" w:rsidRPr="009A6D58" w:rsidRDefault="00252E28" w:rsidP="00252E28">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8365A9" w:rsidRPr="008365A9">
        <w:rPr>
          <w:rFonts w:ascii="Arial Narrow" w:hAnsi="Arial Narrow"/>
          <w:i/>
          <w:sz w:val="18"/>
          <w:szCs w:val="18"/>
        </w:rPr>
        <w:t>$115,000 to &lt; $135,000</w:t>
      </w:r>
    </w:p>
    <w:p w14:paraId="040B5188" w14:textId="77C179CD" w:rsidR="00252E28" w:rsidRDefault="00252E28" w:rsidP="00252E28">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8365A9" w:rsidRPr="008365A9">
        <w:rPr>
          <w:rFonts w:ascii="Arial Narrow" w:hAnsi="Arial Narrow"/>
          <w:i/>
          <w:sz w:val="18"/>
          <w:szCs w:val="18"/>
        </w:rPr>
        <w:t>&gt; $1,055,000</w:t>
      </w:r>
    </w:p>
    <w:p w14:paraId="41437DFC" w14:textId="222B338C" w:rsidR="00252E28" w:rsidRDefault="00252E28" w:rsidP="00252E28">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8365A9" w:rsidRPr="008365A9">
        <w:rPr>
          <w:rFonts w:ascii="Arial Narrow" w:hAnsi="Arial Narrow"/>
          <w:i/>
          <w:sz w:val="18"/>
          <w:szCs w:val="18"/>
        </w:rPr>
        <w:t>$75,000 to &lt; $95,000</w:t>
      </w:r>
    </w:p>
    <w:p w14:paraId="61941390" w14:textId="0220FFDB" w:rsidR="008131EB" w:rsidRDefault="00252E28" w:rsidP="00626FF0">
      <w:pPr>
        <w:spacing w:after="120"/>
        <w:sectPr w:rsidR="008131EB" w:rsidSect="006C2875">
          <w:type w:val="continuous"/>
          <w:pgSz w:w="11907" w:h="16840" w:code="9"/>
          <w:pgMar w:top="1440" w:right="1440" w:bottom="1440" w:left="1440" w:header="1440" w:footer="1440" w:gutter="0"/>
          <w:cols w:num="2" w:space="708"/>
          <w:docGrid w:linePitch="360"/>
        </w:sectPr>
      </w:pPr>
      <w:r>
        <w:rPr>
          <w:rFonts w:ascii="Arial Narrow" w:hAnsi="Arial Narrow"/>
          <w:i/>
          <w:sz w:val="18"/>
          <w:szCs w:val="18"/>
          <w:vertAlign w:val="superscript"/>
        </w:rPr>
        <w:t>5</w:t>
      </w:r>
      <w:r>
        <w:rPr>
          <w:rFonts w:ascii="Arial Narrow" w:hAnsi="Arial Narrow"/>
          <w:i/>
          <w:sz w:val="18"/>
          <w:szCs w:val="18"/>
        </w:rPr>
        <w:t xml:space="preserve"> </w:t>
      </w:r>
      <w:r w:rsidR="004D267F" w:rsidRPr="004D267F">
        <w:rPr>
          <w:rFonts w:ascii="Arial Narrow" w:hAnsi="Arial Narrow"/>
          <w:i/>
          <w:sz w:val="18"/>
          <w:szCs w:val="18"/>
        </w:rPr>
        <w:t>$55,000 to &lt; $75,000</w:t>
      </w:r>
    </w:p>
    <w:p w14:paraId="37385C93" w14:textId="77777777" w:rsidR="00FB40DA" w:rsidRPr="000B2FEE" w:rsidRDefault="00FB40DA" w:rsidP="00E1521D">
      <w:pPr>
        <w:pStyle w:val="3-BodyText"/>
        <w:ind w:left="720"/>
        <w:rPr>
          <w:iCs/>
        </w:rPr>
      </w:pPr>
      <w:r w:rsidRPr="000B2FEE">
        <w:rPr>
          <w:iCs/>
        </w:rPr>
        <w:lastRenderedPageBreak/>
        <w:t>The cost of polatuzumab vedotin was the largest contributor to incremental cost (</w:t>
      </w:r>
      <w:r w:rsidRPr="0038284B">
        <w:rPr>
          <w:iCs/>
        </w:rPr>
        <w:t xml:space="preserve">133.2% and 142.1% </w:t>
      </w:r>
      <w:r w:rsidRPr="000B2FEE">
        <w:rPr>
          <w:iCs/>
        </w:rPr>
        <w:t>of total incremental cost in ITT and IPI 3-5 models respectively), and cost of subsequent therapy the largest cost offset (-32.0% and -41.1% in ITT and IPI 3-5 models respectively). Total costs were similar but higher in the IPI 3-5 model compared to the ITT model, driven largely by the higher cost of subsequent therapy for both polatuzumab vedotin and R-CHOP arms.</w:t>
      </w:r>
    </w:p>
    <w:p w14:paraId="084446BA" w14:textId="77777777" w:rsidR="00FB40DA" w:rsidRPr="000B2FEE" w:rsidRDefault="00FB40DA" w:rsidP="00E1521D">
      <w:pPr>
        <w:pStyle w:val="3-BodyText"/>
        <w:ind w:left="720"/>
        <w:rPr>
          <w:iCs/>
        </w:rPr>
      </w:pPr>
      <w:r w:rsidRPr="000B2FEE">
        <w:rPr>
          <w:iCs/>
        </w:rPr>
        <w:t>Most life years and QALYs were accrued in the PFS health state for both treatment arms, and was the largest contributor to the incremental QALYs with Pola+R-CHP (160.3% and 164.8% in the ITT and IPI 3-5 model respectively). The R-CHOP arm accrued more QALYs in the progressed disease health state than the Pola+R-CHP arm. Incremental life years were similar to the incremental QALYs within each model, suggesting the incremental life years drove the benefit gain seen in the models. As noted previously, this life year gain was driven entirely by the assumptions of mixture-cure modelling that improved PFS following first-line treatment will lead to sustained survival benefit over the lifetime of the patient.</w:t>
      </w:r>
    </w:p>
    <w:p w14:paraId="3E5A0072" w14:textId="56322A12" w:rsidR="00FB40DA" w:rsidRPr="000B2FEE" w:rsidRDefault="0053018A" w:rsidP="00E1521D">
      <w:pPr>
        <w:pStyle w:val="3-BodyText"/>
        <w:ind w:left="720"/>
        <w:rPr>
          <w:iCs/>
        </w:rPr>
      </w:pPr>
      <w:r w:rsidRPr="000B2FEE">
        <w:rPr>
          <w:iCs/>
        </w:rPr>
        <w:fldChar w:fldCharType="begin"/>
      </w:r>
      <w:r w:rsidRPr="000B2FEE">
        <w:rPr>
          <w:iCs/>
        </w:rPr>
        <w:instrText xml:space="preserve"> REF _Ref111485636  \* MERGEFORMAT </w:instrText>
      </w:r>
      <w:r w:rsidRPr="000B2FEE">
        <w:rPr>
          <w:iCs/>
        </w:rPr>
        <w:fldChar w:fldCharType="separate"/>
      </w:r>
      <w:r w:rsidR="007F2580" w:rsidRPr="007F2580">
        <w:rPr>
          <w:iCs/>
        </w:rPr>
        <w:t>Table 12</w:t>
      </w:r>
      <w:r w:rsidRPr="000B2FEE">
        <w:rPr>
          <w:iCs/>
        </w:rPr>
        <w:fldChar w:fldCharType="end"/>
      </w:r>
      <w:r w:rsidR="00FB40DA" w:rsidRPr="000B2FEE">
        <w:rPr>
          <w:iCs/>
        </w:rPr>
        <w:t xml:space="preserve"> presents key sensitivity analyses in the ITT and PBS models. The ICERs were most sensitive to the </w:t>
      </w:r>
      <w:r w:rsidR="00FE728C" w:rsidRPr="000B2FEE">
        <w:rPr>
          <w:iCs/>
        </w:rPr>
        <w:t xml:space="preserve">method of </w:t>
      </w:r>
      <w:r w:rsidR="00FB40DA" w:rsidRPr="000B2FEE">
        <w:rPr>
          <w:iCs/>
        </w:rPr>
        <w:t>extrapolation, time horizon and time on treatment.</w:t>
      </w:r>
    </w:p>
    <w:p w14:paraId="1DCFFC11" w14:textId="152C23DB" w:rsidR="00FB40DA" w:rsidRPr="005B024E" w:rsidRDefault="00FB40DA" w:rsidP="005F70DE">
      <w:pPr>
        <w:keepNext/>
        <w:keepLines/>
        <w:rPr>
          <w:rFonts w:ascii="Arial Narrow" w:hAnsi="Arial Narrow"/>
          <w:b/>
          <w:bCs/>
          <w:sz w:val="20"/>
          <w:szCs w:val="20"/>
        </w:rPr>
      </w:pPr>
      <w:bookmarkStart w:id="62" w:name="_Ref111485636"/>
      <w:bookmarkStart w:id="63" w:name="_Hlk99297030"/>
      <w:r w:rsidRPr="005B024E">
        <w:rPr>
          <w:rFonts w:ascii="Arial Narrow" w:hAnsi="Arial Narrow"/>
          <w:b/>
          <w:bCs/>
          <w:sz w:val="20"/>
          <w:szCs w:val="20"/>
        </w:rPr>
        <w:lastRenderedPageBreak/>
        <w:t xml:space="preserve">Table </w:t>
      </w:r>
      <w:r w:rsidRPr="005B024E">
        <w:rPr>
          <w:rFonts w:ascii="Arial Narrow" w:hAnsi="Arial Narrow"/>
          <w:b/>
          <w:bCs/>
          <w:sz w:val="20"/>
          <w:szCs w:val="20"/>
        </w:rPr>
        <w:fldChar w:fldCharType="begin"/>
      </w:r>
      <w:r w:rsidRPr="005B024E">
        <w:rPr>
          <w:rFonts w:ascii="Arial Narrow" w:hAnsi="Arial Narrow"/>
          <w:b/>
          <w:bCs/>
          <w:sz w:val="20"/>
          <w:szCs w:val="20"/>
        </w:rPr>
        <w:instrText xml:space="preserve"> SEQ Table \* ARABIC </w:instrText>
      </w:r>
      <w:r w:rsidRPr="005B024E">
        <w:rPr>
          <w:rFonts w:ascii="Arial Narrow" w:hAnsi="Arial Narrow"/>
          <w:b/>
          <w:bCs/>
          <w:sz w:val="20"/>
          <w:szCs w:val="20"/>
        </w:rPr>
        <w:fldChar w:fldCharType="separate"/>
      </w:r>
      <w:r w:rsidR="007F2580">
        <w:rPr>
          <w:rFonts w:ascii="Arial Narrow" w:hAnsi="Arial Narrow"/>
          <w:b/>
          <w:bCs/>
          <w:noProof/>
          <w:sz w:val="20"/>
          <w:szCs w:val="20"/>
        </w:rPr>
        <w:t>12</w:t>
      </w:r>
      <w:r w:rsidRPr="005B024E">
        <w:rPr>
          <w:rFonts w:ascii="Arial Narrow" w:hAnsi="Arial Narrow"/>
          <w:b/>
          <w:bCs/>
          <w:sz w:val="20"/>
          <w:szCs w:val="20"/>
        </w:rPr>
        <w:fldChar w:fldCharType="end"/>
      </w:r>
      <w:bookmarkEnd w:id="62"/>
      <w:r w:rsidRPr="005B024E">
        <w:rPr>
          <w:rFonts w:ascii="Arial Narrow" w:hAnsi="Arial Narrow"/>
          <w:b/>
          <w:bCs/>
          <w:sz w:val="20"/>
          <w:szCs w:val="20"/>
        </w:rPr>
        <w:t>: Results of model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82"/>
        <w:gridCol w:w="920"/>
        <w:gridCol w:w="920"/>
        <w:gridCol w:w="923"/>
        <w:gridCol w:w="920"/>
        <w:gridCol w:w="920"/>
        <w:gridCol w:w="932"/>
      </w:tblGrid>
      <w:tr w:rsidR="00FB40DA" w:rsidRPr="00BB0EC1" w14:paraId="2E69A5DD" w14:textId="77777777" w:rsidTr="00FA0D96">
        <w:trPr>
          <w:tblHeader/>
        </w:trPr>
        <w:tc>
          <w:tcPr>
            <w:tcW w:w="1931" w:type="pct"/>
            <w:vMerge w:val="restart"/>
            <w:vAlign w:val="center"/>
          </w:tcPr>
          <w:bookmarkEnd w:id="63"/>
          <w:p w14:paraId="4F05EC2B" w14:textId="77777777" w:rsidR="00FB40DA" w:rsidRPr="00BB0EC1" w:rsidRDefault="00FB40DA" w:rsidP="005F70DE">
            <w:pPr>
              <w:pStyle w:val="In-tableHeading"/>
              <w:keepLines/>
              <w:rPr>
                <w:szCs w:val="20"/>
                <w:lang w:val="en-AU"/>
              </w:rPr>
            </w:pPr>
            <w:r w:rsidRPr="00BB0EC1">
              <w:rPr>
                <w:szCs w:val="20"/>
                <w:lang w:val="en-AU"/>
              </w:rPr>
              <w:t>Analyses</w:t>
            </w:r>
          </w:p>
        </w:tc>
        <w:tc>
          <w:tcPr>
            <w:tcW w:w="1532" w:type="pct"/>
            <w:gridSpan w:val="3"/>
          </w:tcPr>
          <w:p w14:paraId="31421F37" w14:textId="77777777" w:rsidR="00FB40DA" w:rsidRPr="00BB0EC1" w:rsidRDefault="00FB40DA" w:rsidP="005F70DE">
            <w:pPr>
              <w:pStyle w:val="In-tableHeading"/>
              <w:keepLines/>
              <w:jc w:val="center"/>
              <w:rPr>
                <w:szCs w:val="20"/>
                <w:lang w:val="en-AU"/>
              </w:rPr>
            </w:pPr>
            <w:r w:rsidRPr="00BB0EC1">
              <w:rPr>
                <w:szCs w:val="20"/>
                <w:lang w:val="en-AU"/>
              </w:rPr>
              <w:t>ITT model</w:t>
            </w:r>
          </w:p>
        </w:tc>
        <w:tc>
          <w:tcPr>
            <w:tcW w:w="1537" w:type="pct"/>
            <w:gridSpan w:val="3"/>
          </w:tcPr>
          <w:p w14:paraId="50B4428B" w14:textId="77777777" w:rsidR="00FB40DA" w:rsidRPr="00BB0EC1" w:rsidRDefault="00FB40DA" w:rsidP="005F70DE">
            <w:pPr>
              <w:pStyle w:val="In-tableHeading"/>
              <w:keepLines/>
              <w:jc w:val="center"/>
              <w:rPr>
                <w:szCs w:val="20"/>
                <w:lang w:val="en-AU"/>
              </w:rPr>
            </w:pPr>
            <w:r w:rsidRPr="00BB0EC1">
              <w:rPr>
                <w:szCs w:val="20"/>
                <w:lang w:val="en-AU"/>
              </w:rPr>
              <w:t>IPI 3-5 model</w:t>
            </w:r>
          </w:p>
        </w:tc>
      </w:tr>
      <w:tr w:rsidR="00FB40DA" w:rsidRPr="00BB0EC1" w14:paraId="2BEB93A0" w14:textId="77777777" w:rsidTr="00FA0D96">
        <w:trPr>
          <w:tblHeader/>
        </w:trPr>
        <w:tc>
          <w:tcPr>
            <w:tcW w:w="1931" w:type="pct"/>
            <w:vMerge/>
          </w:tcPr>
          <w:p w14:paraId="260CE12F" w14:textId="77777777" w:rsidR="00FB40DA" w:rsidRPr="00BB0EC1" w:rsidRDefault="00FB40DA" w:rsidP="005F70DE">
            <w:pPr>
              <w:pStyle w:val="In-tableHeading"/>
              <w:keepLines/>
              <w:rPr>
                <w:szCs w:val="20"/>
                <w:lang w:val="en-AU"/>
              </w:rPr>
            </w:pPr>
          </w:p>
        </w:tc>
        <w:tc>
          <w:tcPr>
            <w:tcW w:w="1020" w:type="pct"/>
            <w:gridSpan w:val="2"/>
          </w:tcPr>
          <w:p w14:paraId="57279001" w14:textId="77777777" w:rsidR="00FB40DA" w:rsidRPr="00BB0EC1" w:rsidRDefault="00FB40DA" w:rsidP="005F70DE">
            <w:pPr>
              <w:pStyle w:val="In-tableHeading"/>
              <w:keepLines/>
              <w:jc w:val="center"/>
              <w:rPr>
                <w:szCs w:val="20"/>
                <w:lang w:val="en-AU"/>
              </w:rPr>
            </w:pPr>
            <w:r w:rsidRPr="00BB0EC1">
              <w:rPr>
                <w:szCs w:val="20"/>
                <w:lang w:val="en-AU"/>
              </w:rPr>
              <w:t>Incremental</w:t>
            </w:r>
          </w:p>
        </w:tc>
        <w:tc>
          <w:tcPr>
            <w:tcW w:w="512" w:type="pct"/>
            <w:vMerge w:val="restart"/>
            <w:vAlign w:val="center"/>
          </w:tcPr>
          <w:p w14:paraId="23CC5E97" w14:textId="77777777" w:rsidR="00FB40DA" w:rsidRPr="00BB0EC1" w:rsidRDefault="00FB40DA" w:rsidP="005F70DE">
            <w:pPr>
              <w:pStyle w:val="In-tableHeading"/>
              <w:keepLines/>
              <w:jc w:val="center"/>
              <w:rPr>
                <w:szCs w:val="20"/>
                <w:lang w:val="en-AU"/>
              </w:rPr>
            </w:pPr>
            <w:r w:rsidRPr="00BB0EC1">
              <w:rPr>
                <w:szCs w:val="20"/>
                <w:lang w:val="en-AU"/>
              </w:rPr>
              <w:t>ICER</w:t>
            </w:r>
          </w:p>
        </w:tc>
        <w:tc>
          <w:tcPr>
            <w:tcW w:w="1020" w:type="pct"/>
            <w:gridSpan w:val="2"/>
          </w:tcPr>
          <w:p w14:paraId="725593BB" w14:textId="77777777" w:rsidR="00FB40DA" w:rsidRPr="00BB0EC1" w:rsidRDefault="00FB40DA" w:rsidP="005F70DE">
            <w:pPr>
              <w:pStyle w:val="In-tableHeading"/>
              <w:keepLines/>
              <w:jc w:val="center"/>
              <w:rPr>
                <w:szCs w:val="20"/>
                <w:lang w:val="en-AU"/>
              </w:rPr>
            </w:pPr>
            <w:r w:rsidRPr="00BB0EC1">
              <w:rPr>
                <w:szCs w:val="20"/>
                <w:lang w:val="en-AU"/>
              </w:rPr>
              <w:t>Incremental</w:t>
            </w:r>
          </w:p>
        </w:tc>
        <w:tc>
          <w:tcPr>
            <w:tcW w:w="517" w:type="pct"/>
            <w:vMerge w:val="restart"/>
            <w:vAlign w:val="center"/>
          </w:tcPr>
          <w:p w14:paraId="581154B5" w14:textId="77777777" w:rsidR="00FB40DA" w:rsidRPr="00BB0EC1" w:rsidRDefault="00FB40DA" w:rsidP="005F70DE">
            <w:pPr>
              <w:pStyle w:val="In-tableHeading"/>
              <w:keepLines/>
              <w:jc w:val="center"/>
              <w:rPr>
                <w:szCs w:val="20"/>
                <w:lang w:val="en-AU"/>
              </w:rPr>
            </w:pPr>
            <w:r w:rsidRPr="00BB0EC1">
              <w:rPr>
                <w:szCs w:val="20"/>
                <w:lang w:val="en-AU"/>
              </w:rPr>
              <w:t>ICER</w:t>
            </w:r>
          </w:p>
        </w:tc>
      </w:tr>
      <w:tr w:rsidR="00FB40DA" w:rsidRPr="00BB0EC1" w14:paraId="58E69851" w14:textId="77777777" w:rsidTr="00FA0D96">
        <w:trPr>
          <w:tblHeader/>
        </w:trPr>
        <w:tc>
          <w:tcPr>
            <w:tcW w:w="1931" w:type="pct"/>
            <w:vMerge/>
          </w:tcPr>
          <w:p w14:paraId="078B1BDF" w14:textId="77777777" w:rsidR="00FB40DA" w:rsidRPr="00BB0EC1" w:rsidRDefault="00FB40DA" w:rsidP="005F70DE">
            <w:pPr>
              <w:pStyle w:val="In-tableHeading"/>
              <w:keepLines/>
              <w:rPr>
                <w:szCs w:val="20"/>
                <w:lang w:val="en-AU"/>
              </w:rPr>
            </w:pPr>
          </w:p>
        </w:tc>
        <w:tc>
          <w:tcPr>
            <w:tcW w:w="510" w:type="pct"/>
          </w:tcPr>
          <w:p w14:paraId="7EB8FD12" w14:textId="77777777" w:rsidR="00FB40DA" w:rsidRPr="00BB0EC1" w:rsidRDefault="00FB40DA" w:rsidP="005F70DE">
            <w:pPr>
              <w:pStyle w:val="In-tableHeading"/>
              <w:keepLines/>
              <w:jc w:val="center"/>
              <w:rPr>
                <w:szCs w:val="20"/>
                <w:lang w:val="en-AU"/>
              </w:rPr>
            </w:pPr>
            <w:r w:rsidRPr="00BB0EC1">
              <w:rPr>
                <w:szCs w:val="20"/>
                <w:lang w:val="en-AU"/>
              </w:rPr>
              <w:t>Cost</w:t>
            </w:r>
          </w:p>
        </w:tc>
        <w:tc>
          <w:tcPr>
            <w:tcW w:w="510" w:type="pct"/>
          </w:tcPr>
          <w:p w14:paraId="19D18B2F" w14:textId="77777777" w:rsidR="00FB40DA" w:rsidRPr="00BB0EC1" w:rsidRDefault="00FB40DA" w:rsidP="005F70DE">
            <w:pPr>
              <w:pStyle w:val="In-tableHeading"/>
              <w:keepLines/>
              <w:jc w:val="center"/>
              <w:rPr>
                <w:szCs w:val="20"/>
                <w:lang w:val="en-AU"/>
              </w:rPr>
            </w:pPr>
            <w:r w:rsidRPr="00BB0EC1">
              <w:rPr>
                <w:szCs w:val="20"/>
                <w:lang w:val="en-AU"/>
              </w:rPr>
              <w:t>QALY</w:t>
            </w:r>
          </w:p>
        </w:tc>
        <w:tc>
          <w:tcPr>
            <w:tcW w:w="512" w:type="pct"/>
            <w:vMerge/>
          </w:tcPr>
          <w:p w14:paraId="16D5566E" w14:textId="77777777" w:rsidR="00FB40DA" w:rsidRPr="00BB0EC1" w:rsidRDefault="00FB40DA" w:rsidP="005F70DE">
            <w:pPr>
              <w:pStyle w:val="In-tableHeading"/>
              <w:keepLines/>
              <w:jc w:val="center"/>
              <w:rPr>
                <w:szCs w:val="20"/>
                <w:lang w:val="en-AU"/>
              </w:rPr>
            </w:pPr>
          </w:p>
        </w:tc>
        <w:tc>
          <w:tcPr>
            <w:tcW w:w="510" w:type="pct"/>
          </w:tcPr>
          <w:p w14:paraId="116170F6" w14:textId="77777777" w:rsidR="00FB40DA" w:rsidRPr="00BB0EC1" w:rsidRDefault="00FB40DA" w:rsidP="005F70DE">
            <w:pPr>
              <w:pStyle w:val="In-tableHeading"/>
              <w:keepLines/>
              <w:jc w:val="center"/>
              <w:rPr>
                <w:szCs w:val="20"/>
                <w:lang w:val="en-AU"/>
              </w:rPr>
            </w:pPr>
            <w:r w:rsidRPr="00BB0EC1">
              <w:rPr>
                <w:szCs w:val="20"/>
                <w:lang w:val="en-AU"/>
              </w:rPr>
              <w:t>Cost</w:t>
            </w:r>
          </w:p>
        </w:tc>
        <w:tc>
          <w:tcPr>
            <w:tcW w:w="510" w:type="pct"/>
          </w:tcPr>
          <w:p w14:paraId="62374D47" w14:textId="77777777" w:rsidR="00FB40DA" w:rsidRPr="00BB0EC1" w:rsidRDefault="00FB40DA" w:rsidP="005F70DE">
            <w:pPr>
              <w:pStyle w:val="In-tableHeading"/>
              <w:keepLines/>
              <w:jc w:val="center"/>
              <w:rPr>
                <w:szCs w:val="20"/>
                <w:lang w:val="en-AU"/>
              </w:rPr>
            </w:pPr>
            <w:r w:rsidRPr="00BB0EC1">
              <w:rPr>
                <w:szCs w:val="20"/>
                <w:lang w:val="en-AU"/>
              </w:rPr>
              <w:t>QALY</w:t>
            </w:r>
          </w:p>
        </w:tc>
        <w:tc>
          <w:tcPr>
            <w:tcW w:w="517" w:type="pct"/>
            <w:vMerge/>
          </w:tcPr>
          <w:p w14:paraId="7E9C9AAB" w14:textId="77777777" w:rsidR="00FB40DA" w:rsidRPr="00BB0EC1" w:rsidRDefault="00FB40DA" w:rsidP="005F70DE">
            <w:pPr>
              <w:pStyle w:val="In-tableHeading"/>
              <w:keepLines/>
              <w:jc w:val="center"/>
              <w:rPr>
                <w:szCs w:val="20"/>
                <w:lang w:val="en-AU"/>
              </w:rPr>
            </w:pPr>
          </w:p>
        </w:tc>
      </w:tr>
      <w:tr w:rsidR="00FB40DA" w:rsidRPr="00BB0EC1" w14:paraId="36754F60" w14:textId="77777777" w:rsidTr="00FA0D96">
        <w:tc>
          <w:tcPr>
            <w:tcW w:w="1931" w:type="pct"/>
            <w:tcBorders>
              <w:bottom w:val="single" w:sz="4" w:space="0" w:color="auto"/>
            </w:tcBorders>
          </w:tcPr>
          <w:p w14:paraId="216E418E" w14:textId="77777777" w:rsidR="00FB40DA" w:rsidRPr="00BB0EC1" w:rsidRDefault="00FB40DA" w:rsidP="005F70DE">
            <w:pPr>
              <w:pStyle w:val="TableText0"/>
              <w:keepLines/>
              <w:rPr>
                <w:b/>
                <w:szCs w:val="20"/>
              </w:rPr>
            </w:pPr>
            <w:r w:rsidRPr="00BB0EC1">
              <w:rPr>
                <w:b/>
                <w:szCs w:val="20"/>
              </w:rPr>
              <w:t>Base case</w:t>
            </w:r>
          </w:p>
        </w:tc>
        <w:tc>
          <w:tcPr>
            <w:tcW w:w="510" w:type="pct"/>
            <w:tcBorders>
              <w:bottom w:val="single" w:sz="4" w:space="0" w:color="auto"/>
            </w:tcBorders>
          </w:tcPr>
          <w:p w14:paraId="1DD5AE2B" w14:textId="70F5A889" w:rsidR="00FB40DA" w:rsidRPr="00BB0EC1" w:rsidRDefault="00FB40DA" w:rsidP="005F70DE">
            <w:pPr>
              <w:pStyle w:val="TableText0"/>
              <w:keepLines/>
              <w:jc w:val="center"/>
              <w:rPr>
                <w:b/>
                <w:szCs w:val="20"/>
              </w:rPr>
            </w:pPr>
            <w:r w:rsidRPr="00BB0EC1">
              <w:rPr>
                <w:b/>
                <w:szCs w:val="20"/>
              </w:rPr>
              <w:t>$</w:t>
            </w:r>
            <w:r w:rsidR="00206B77" w:rsidRPr="00381965">
              <w:rPr>
                <w:rFonts w:hint="eastAsia"/>
                <w:b/>
                <w:color w:val="000000"/>
                <w:w w:val="16"/>
                <w:szCs w:val="20"/>
                <w:shd w:val="solid" w:color="000000" w:fill="000000"/>
                <w:fitText w:val="72" w:id="-1301008885"/>
                <w14:textFill>
                  <w14:solidFill>
                    <w14:srgbClr w14:val="000000">
                      <w14:alpha w14:val="100000"/>
                    </w14:srgbClr>
                  </w14:solidFill>
                </w14:textFill>
              </w:rPr>
              <w:t xml:space="preserve">　</w:t>
            </w:r>
            <w:r w:rsidR="00206B77" w:rsidRPr="00381965">
              <w:rPr>
                <w:b/>
                <w:color w:val="000000"/>
                <w:w w:val="16"/>
                <w:szCs w:val="20"/>
                <w:shd w:val="solid" w:color="000000" w:fill="000000"/>
                <w:fitText w:val="72" w:id="-1301008885"/>
                <w14:textFill>
                  <w14:solidFill>
                    <w14:srgbClr w14:val="000000">
                      <w14:alpha w14:val="100000"/>
                    </w14:srgbClr>
                  </w14:solidFill>
                </w14:textFill>
              </w:rPr>
              <w:t>|</w:t>
            </w:r>
            <w:r w:rsidR="00206B77" w:rsidRPr="00381965">
              <w:rPr>
                <w:rFonts w:hint="eastAsia"/>
                <w:b/>
                <w:color w:val="000000"/>
                <w:w w:val="16"/>
                <w:szCs w:val="20"/>
                <w:shd w:val="solid" w:color="000000" w:fill="000000"/>
                <w:fitText w:val="72" w:id="-1301008885"/>
                <w14:textFill>
                  <w14:solidFill>
                    <w14:srgbClr w14:val="000000">
                      <w14:alpha w14:val="100000"/>
                    </w14:srgbClr>
                  </w14:solidFill>
                </w14:textFill>
              </w:rPr>
              <w:t xml:space="preserve">　</w:t>
            </w:r>
          </w:p>
        </w:tc>
        <w:tc>
          <w:tcPr>
            <w:tcW w:w="510" w:type="pct"/>
            <w:tcBorders>
              <w:bottom w:val="single" w:sz="4" w:space="0" w:color="auto"/>
            </w:tcBorders>
          </w:tcPr>
          <w:p w14:paraId="29876956" w14:textId="77777777" w:rsidR="00FB40DA" w:rsidRPr="00BB0EC1" w:rsidRDefault="00FB40DA" w:rsidP="005F70DE">
            <w:pPr>
              <w:pStyle w:val="TableText0"/>
              <w:keepLines/>
              <w:jc w:val="center"/>
              <w:rPr>
                <w:b/>
                <w:szCs w:val="20"/>
              </w:rPr>
            </w:pPr>
            <w:r w:rsidRPr="00BB0EC1">
              <w:rPr>
                <w:b/>
                <w:szCs w:val="20"/>
              </w:rPr>
              <w:t>0.39</w:t>
            </w:r>
          </w:p>
        </w:tc>
        <w:tc>
          <w:tcPr>
            <w:tcW w:w="512" w:type="pct"/>
            <w:tcBorders>
              <w:bottom w:val="single" w:sz="4" w:space="0" w:color="auto"/>
            </w:tcBorders>
          </w:tcPr>
          <w:p w14:paraId="4AE0C72E" w14:textId="09B26A98" w:rsidR="00FB40DA" w:rsidRPr="00BB0EC1" w:rsidRDefault="00FB40DA" w:rsidP="005F70DE">
            <w:pPr>
              <w:pStyle w:val="TableText0"/>
              <w:keepLines/>
              <w:jc w:val="center"/>
              <w:rPr>
                <w:b/>
                <w:szCs w:val="20"/>
              </w:rPr>
            </w:pPr>
            <w:r w:rsidRPr="00BB0EC1">
              <w:rPr>
                <w:b/>
                <w:szCs w:val="20"/>
              </w:rPr>
              <w:t>$</w:t>
            </w:r>
            <w:r w:rsidR="00206B77" w:rsidRPr="00206B77">
              <w:rPr>
                <w:rFonts w:hint="eastAsia"/>
                <w:b/>
                <w:color w:val="000000"/>
                <w:w w:val="22"/>
                <w:szCs w:val="20"/>
                <w:shd w:val="solid" w:color="000000" w:fill="000000"/>
                <w:fitText w:val="100" w:id="-1301008884"/>
                <w14:textFill>
                  <w14:solidFill>
                    <w14:srgbClr w14:val="000000">
                      <w14:alpha w14:val="100000"/>
                    </w14:srgbClr>
                  </w14:solidFill>
                </w14:textFill>
              </w:rPr>
              <w:t xml:space="preserve">　</w:t>
            </w:r>
            <w:r w:rsidR="00206B77" w:rsidRPr="00206B77">
              <w:rPr>
                <w:b/>
                <w:color w:val="000000"/>
                <w:w w:val="22"/>
                <w:szCs w:val="20"/>
                <w:shd w:val="solid" w:color="000000" w:fill="000000"/>
                <w:fitText w:val="100" w:id="-1301008884"/>
                <w14:textFill>
                  <w14:solidFill>
                    <w14:srgbClr w14:val="000000">
                      <w14:alpha w14:val="100000"/>
                    </w14:srgbClr>
                  </w14:solidFill>
                </w14:textFill>
              </w:rPr>
              <w:t>|</w:t>
            </w:r>
            <w:r w:rsidR="00206B77" w:rsidRPr="00206B77">
              <w:rPr>
                <w:rFonts w:hint="eastAsia"/>
                <w:b/>
                <w:color w:val="000000"/>
                <w:spacing w:val="2"/>
                <w:w w:val="22"/>
                <w:szCs w:val="20"/>
                <w:shd w:val="solid" w:color="000000" w:fill="000000"/>
                <w:fitText w:val="100" w:id="-1301008884"/>
                <w14:textFill>
                  <w14:solidFill>
                    <w14:srgbClr w14:val="000000">
                      <w14:alpha w14:val="100000"/>
                    </w14:srgbClr>
                  </w14:solidFill>
                </w14:textFill>
              </w:rPr>
              <w:t xml:space="preserve">　</w:t>
            </w:r>
            <w:r w:rsidR="009361E0" w:rsidRPr="00BB0EC1">
              <w:rPr>
                <w:b/>
                <w:szCs w:val="20"/>
                <w:vertAlign w:val="superscript"/>
              </w:rPr>
              <w:t>1</w:t>
            </w:r>
          </w:p>
        </w:tc>
        <w:tc>
          <w:tcPr>
            <w:tcW w:w="510" w:type="pct"/>
            <w:tcBorders>
              <w:bottom w:val="single" w:sz="4" w:space="0" w:color="auto"/>
            </w:tcBorders>
          </w:tcPr>
          <w:p w14:paraId="2C461FBB" w14:textId="7B8A0F3D" w:rsidR="00FB40DA" w:rsidRPr="00BB0EC1" w:rsidRDefault="00FB40DA" w:rsidP="005F70DE">
            <w:pPr>
              <w:pStyle w:val="TableText0"/>
              <w:keepLines/>
              <w:jc w:val="center"/>
              <w:rPr>
                <w:b/>
                <w:szCs w:val="20"/>
              </w:rPr>
            </w:pPr>
            <w:r w:rsidRPr="00BB0EC1">
              <w:rPr>
                <w:b/>
                <w:szCs w:val="20"/>
              </w:rPr>
              <w:t>$</w:t>
            </w:r>
            <w:r w:rsidR="00206B77" w:rsidRPr="00381965">
              <w:rPr>
                <w:rFonts w:hint="eastAsia"/>
                <w:b/>
                <w:color w:val="000000"/>
                <w:w w:val="16"/>
                <w:szCs w:val="20"/>
                <w:shd w:val="solid" w:color="000000" w:fill="000000"/>
                <w:fitText w:val="72" w:id="-1301008883"/>
                <w14:textFill>
                  <w14:solidFill>
                    <w14:srgbClr w14:val="000000">
                      <w14:alpha w14:val="100000"/>
                    </w14:srgbClr>
                  </w14:solidFill>
                </w14:textFill>
              </w:rPr>
              <w:t xml:space="preserve">　</w:t>
            </w:r>
            <w:r w:rsidR="00206B77" w:rsidRPr="00381965">
              <w:rPr>
                <w:b/>
                <w:color w:val="000000"/>
                <w:w w:val="16"/>
                <w:szCs w:val="20"/>
                <w:shd w:val="solid" w:color="000000" w:fill="000000"/>
                <w:fitText w:val="72" w:id="-1301008883"/>
                <w14:textFill>
                  <w14:solidFill>
                    <w14:srgbClr w14:val="000000">
                      <w14:alpha w14:val="100000"/>
                    </w14:srgbClr>
                  </w14:solidFill>
                </w14:textFill>
              </w:rPr>
              <w:t>|</w:t>
            </w:r>
            <w:r w:rsidR="00206B77" w:rsidRPr="00381965">
              <w:rPr>
                <w:rFonts w:hint="eastAsia"/>
                <w:b/>
                <w:color w:val="000000"/>
                <w:w w:val="16"/>
                <w:szCs w:val="20"/>
                <w:shd w:val="solid" w:color="000000" w:fill="000000"/>
                <w:fitText w:val="72" w:id="-1301008883"/>
                <w14:textFill>
                  <w14:solidFill>
                    <w14:srgbClr w14:val="000000">
                      <w14:alpha w14:val="100000"/>
                    </w14:srgbClr>
                  </w14:solidFill>
                </w14:textFill>
              </w:rPr>
              <w:t xml:space="preserve">　</w:t>
            </w:r>
          </w:p>
        </w:tc>
        <w:tc>
          <w:tcPr>
            <w:tcW w:w="510" w:type="pct"/>
            <w:tcBorders>
              <w:bottom w:val="single" w:sz="4" w:space="0" w:color="auto"/>
            </w:tcBorders>
          </w:tcPr>
          <w:p w14:paraId="193C119E" w14:textId="77777777" w:rsidR="00FB40DA" w:rsidRPr="00BB0EC1" w:rsidRDefault="00FB40DA" w:rsidP="005F70DE">
            <w:pPr>
              <w:pStyle w:val="TableText0"/>
              <w:keepLines/>
              <w:jc w:val="center"/>
              <w:rPr>
                <w:b/>
                <w:szCs w:val="20"/>
              </w:rPr>
            </w:pPr>
            <w:r w:rsidRPr="00BB0EC1">
              <w:rPr>
                <w:b/>
                <w:szCs w:val="20"/>
              </w:rPr>
              <w:t>0.70</w:t>
            </w:r>
          </w:p>
        </w:tc>
        <w:tc>
          <w:tcPr>
            <w:tcW w:w="517" w:type="pct"/>
            <w:tcBorders>
              <w:bottom w:val="single" w:sz="4" w:space="0" w:color="auto"/>
            </w:tcBorders>
          </w:tcPr>
          <w:p w14:paraId="307C9538" w14:textId="2244AF27" w:rsidR="00FB40DA" w:rsidRPr="00BB0EC1" w:rsidRDefault="00FB40DA" w:rsidP="005F70DE">
            <w:pPr>
              <w:pStyle w:val="TableText0"/>
              <w:keepLines/>
              <w:jc w:val="center"/>
              <w:rPr>
                <w:b/>
                <w:szCs w:val="20"/>
              </w:rPr>
            </w:pPr>
            <w:r w:rsidRPr="00BB0EC1">
              <w:rPr>
                <w:b/>
                <w:szCs w:val="20"/>
              </w:rPr>
              <w:t>$</w:t>
            </w:r>
            <w:r w:rsidR="00206B77" w:rsidRPr="00174500">
              <w:rPr>
                <w:rFonts w:hint="eastAsia"/>
                <w:b/>
                <w:color w:val="000000"/>
                <w:w w:val="20"/>
                <w:szCs w:val="20"/>
                <w:shd w:val="solid" w:color="000000" w:fill="000000"/>
                <w:fitText w:val="93" w:id="-1301008882"/>
                <w14:textFill>
                  <w14:solidFill>
                    <w14:srgbClr w14:val="000000">
                      <w14:alpha w14:val="100000"/>
                    </w14:srgbClr>
                  </w14:solidFill>
                </w14:textFill>
              </w:rPr>
              <w:t xml:space="preserve">　</w:t>
            </w:r>
            <w:r w:rsidR="00206B77" w:rsidRPr="00174500">
              <w:rPr>
                <w:b/>
                <w:color w:val="000000"/>
                <w:w w:val="20"/>
                <w:szCs w:val="20"/>
                <w:shd w:val="solid" w:color="000000" w:fill="000000"/>
                <w:fitText w:val="93" w:id="-1301008882"/>
                <w14:textFill>
                  <w14:solidFill>
                    <w14:srgbClr w14:val="000000">
                      <w14:alpha w14:val="100000"/>
                    </w14:srgbClr>
                  </w14:solidFill>
                </w14:textFill>
              </w:rPr>
              <w:t>|</w:t>
            </w:r>
            <w:r w:rsidR="00206B77" w:rsidRPr="00174500">
              <w:rPr>
                <w:rFonts w:hint="eastAsia"/>
                <w:b/>
                <w:color w:val="000000"/>
                <w:spacing w:val="4"/>
                <w:w w:val="20"/>
                <w:szCs w:val="20"/>
                <w:shd w:val="solid" w:color="000000" w:fill="000000"/>
                <w:fitText w:val="93" w:id="-1301008882"/>
                <w14:textFill>
                  <w14:solidFill>
                    <w14:srgbClr w14:val="000000">
                      <w14:alpha w14:val="100000"/>
                    </w14:srgbClr>
                  </w14:solidFill>
                </w14:textFill>
              </w:rPr>
              <w:t xml:space="preserve">　</w:t>
            </w:r>
            <w:r w:rsidR="000A218F" w:rsidRPr="00BB0EC1">
              <w:rPr>
                <w:b/>
                <w:szCs w:val="20"/>
                <w:vertAlign w:val="superscript"/>
              </w:rPr>
              <w:t>2</w:t>
            </w:r>
          </w:p>
        </w:tc>
      </w:tr>
      <w:tr w:rsidR="00FB40DA" w:rsidRPr="00BB0EC1" w14:paraId="69F6A161" w14:textId="77777777" w:rsidTr="00FA0D96">
        <w:tc>
          <w:tcPr>
            <w:tcW w:w="1931" w:type="pct"/>
            <w:tcBorders>
              <w:bottom w:val="nil"/>
            </w:tcBorders>
            <w:vAlign w:val="center"/>
          </w:tcPr>
          <w:p w14:paraId="4D72DB09" w14:textId="77777777" w:rsidR="00FB40DA" w:rsidRPr="00BB0EC1" w:rsidRDefault="00FB40DA" w:rsidP="005F70DE">
            <w:pPr>
              <w:pStyle w:val="TableText0"/>
              <w:keepLines/>
              <w:rPr>
                <w:szCs w:val="20"/>
              </w:rPr>
            </w:pPr>
            <w:r w:rsidRPr="00BB0EC1">
              <w:rPr>
                <w:szCs w:val="20"/>
              </w:rPr>
              <w:t>Discounting (base 5% costs and benefits)</w:t>
            </w:r>
          </w:p>
        </w:tc>
        <w:tc>
          <w:tcPr>
            <w:tcW w:w="510" w:type="pct"/>
            <w:tcBorders>
              <w:bottom w:val="nil"/>
            </w:tcBorders>
            <w:vAlign w:val="center"/>
          </w:tcPr>
          <w:p w14:paraId="4A49B4D9" w14:textId="77777777" w:rsidR="00FB40DA" w:rsidRPr="00BB0EC1" w:rsidRDefault="00FB40DA" w:rsidP="005F70DE">
            <w:pPr>
              <w:pStyle w:val="TableText0"/>
              <w:keepLines/>
              <w:jc w:val="center"/>
              <w:rPr>
                <w:szCs w:val="20"/>
              </w:rPr>
            </w:pPr>
          </w:p>
        </w:tc>
        <w:tc>
          <w:tcPr>
            <w:tcW w:w="510" w:type="pct"/>
            <w:tcBorders>
              <w:bottom w:val="nil"/>
            </w:tcBorders>
            <w:vAlign w:val="center"/>
          </w:tcPr>
          <w:p w14:paraId="08ABB4BD" w14:textId="77777777" w:rsidR="00FB40DA" w:rsidRPr="00BB0EC1" w:rsidRDefault="00FB40DA" w:rsidP="005F70DE">
            <w:pPr>
              <w:pStyle w:val="TableText0"/>
              <w:keepLines/>
              <w:jc w:val="center"/>
              <w:rPr>
                <w:szCs w:val="20"/>
              </w:rPr>
            </w:pPr>
          </w:p>
        </w:tc>
        <w:tc>
          <w:tcPr>
            <w:tcW w:w="512" w:type="pct"/>
            <w:tcBorders>
              <w:bottom w:val="nil"/>
            </w:tcBorders>
            <w:vAlign w:val="center"/>
          </w:tcPr>
          <w:p w14:paraId="3E416A36" w14:textId="77777777" w:rsidR="00FB40DA" w:rsidRPr="00BB0EC1" w:rsidRDefault="00FB40DA" w:rsidP="005F70DE">
            <w:pPr>
              <w:pStyle w:val="TableText0"/>
              <w:keepLines/>
              <w:jc w:val="center"/>
              <w:rPr>
                <w:szCs w:val="20"/>
              </w:rPr>
            </w:pPr>
          </w:p>
        </w:tc>
        <w:tc>
          <w:tcPr>
            <w:tcW w:w="510" w:type="pct"/>
            <w:tcBorders>
              <w:bottom w:val="nil"/>
            </w:tcBorders>
            <w:vAlign w:val="center"/>
          </w:tcPr>
          <w:p w14:paraId="6E947241" w14:textId="77777777" w:rsidR="00FB40DA" w:rsidRPr="00BB0EC1" w:rsidRDefault="00FB40DA" w:rsidP="005F70DE">
            <w:pPr>
              <w:pStyle w:val="TableText0"/>
              <w:keepLines/>
              <w:jc w:val="center"/>
              <w:rPr>
                <w:szCs w:val="20"/>
              </w:rPr>
            </w:pPr>
          </w:p>
        </w:tc>
        <w:tc>
          <w:tcPr>
            <w:tcW w:w="510" w:type="pct"/>
            <w:tcBorders>
              <w:bottom w:val="nil"/>
            </w:tcBorders>
            <w:vAlign w:val="center"/>
          </w:tcPr>
          <w:p w14:paraId="4FF0233F" w14:textId="77777777" w:rsidR="00FB40DA" w:rsidRPr="00BB0EC1" w:rsidRDefault="00FB40DA" w:rsidP="005F70DE">
            <w:pPr>
              <w:pStyle w:val="TableText0"/>
              <w:keepLines/>
              <w:jc w:val="center"/>
              <w:rPr>
                <w:szCs w:val="20"/>
              </w:rPr>
            </w:pPr>
          </w:p>
        </w:tc>
        <w:tc>
          <w:tcPr>
            <w:tcW w:w="517" w:type="pct"/>
            <w:tcBorders>
              <w:bottom w:val="nil"/>
            </w:tcBorders>
            <w:vAlign w:val="center"/>
          </w:tcPr>
          <w:p w14:paraId="4A84F6A3" w14:textId="77777777" w:rsidR="00FB40DA" w:rsidRPr="00BB0EC1" w:rsidRDefault="00FB40DA" w:rsidP="005F70DE">
            <w:pPr>
              <w:pStyle w:val="TableText0"/>
              <w:keepLines/>
              <w:jc w:val="center"/>
              <w:rPr>
                <w:szCs w:val="20"/>
              </w:rPr>
            </w:pPr>
          </w:p>
        </w:tc>
      </w:tr>
      <w:tr w:rsidR="00FB40DA" w:rsidRPr="00BB0EC1" w14:paraId="1E261D61" w14:textId="77777777" w:rsidTr="00FA0D96">
        <w:tc>
          <w:tcPr>
            <w:tcW w:w="1931" w:type="pct"/>
            <w:tcBorders>
              <w:top w:val="nil"/>
              <w:bottom w:val="nil"/>
            </w:tcBorders>
            <w:vAlign w:val="center"/>
          </w:tcPr>
          <w:p w14:paraId="359A0219" w14:textId="77777777" w:rsidR="00FB40DA" w:rsidRPr="00BB0EC1" w:rsidRDefault="00FB40DA" w:rsidP="005F70DE">
            <w:pPr>
              <w:pStyle w:val="TableText0"/>
              <w:keepLines/>
              <w:ind w:left="106"/>
              <w:rPr>
                <w:szCs w:val="20"/>
              </w:rPr>
            </w:pPr>
            <w:r w:rsidRPr="00BB0EC1">
              <w:rPr>
                <w:szCs w:val="20"/>
              </w:rPr>
              <w:t>0%</w:t>
            </w:r>
          </w:p>
        </w:tc>
        <w:tc>
          <w:tcPr>
            <w:tcW w:w="510" w:type="pct"/>
            <w:tcBorders>
              <w:top w:val="nil"/>
              <w:bottom w:val="nil"/>
            </w:tcBorders>
          </w:tcPr>
          <w:p w14:paraId="704F3639" w14:textId="45980E00"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16"/>
                <w:szCs w:val="20"/>
                <w:shd w:val="solid" w:color="000000" w:fill="000000"/>
                <w:fitText w:val="72" w:id="-1301008881"/>
                <w14:textFill>
                  <w14:solidFill>
                    <w14:srgbClr w14:val="000000">
                      <w14:alpha w14:val="100000"/>
                    </w14:srgbClr>
                  </w14:solidFill>
                </w14:textFill>
              </w:rPr>
              <w:t xml:space="preserve">　</w:t>
            </w:r>
            <w:r w:rsidR="00206B77" w:rsidRPr="00381965">
              <w:rPr>
                <w:color w:val="000000"/>
                <w:w w:val="16"/>
                <w:szCs w:val="20"/>
                <w:shd w:val="solid" w:color="000000" w:fill="000000"/>
                <w:fitText w:val="72" w:id="-1301008881"/>
                <w14:textFill>
                  <w14:solidFill>
                    <w14:srgbClr w14:val="000000">
                      <w14:alpha w14:val="100000"/>
                    </w14:srgbClr>
                  </w14:solidFill>
                </w14:textFill>
              </w:rPr>
              <w:t>|</w:t>
            </w:r>
            <w:r w:rsidR="00206B77" w:rsidRPr="00381965">
              <w:rPr>
                <w:rFonts w:hint="eastAsia"/>
                <w:color w:val="000000"/>
                <w:w w:val="16"/>
                <w:szCs w:val="20"/>
                <w:shd w:val="solid" w:color="000000" w:fill="000000"/>
                <w:fitText w:val="72" w:id="-1301008881"/>
                <w14:textFill>
                  <w14:solidFill>
                    <w14:srgbClr w14:val="000000">
                      <w14:alpha w14:val="100000"/>
                    </w14:srgbClr>
                  </w14:solidFill>
                </w14:textFill>
              </w:rPr>
              <w:t xml:space="preserve">　</w:t>
            </w:r>
          </w:p>
        </w:tc>
        <w:tc>
          <w:tcPr>
            <w:tcW w:w="510" w:type="pct"/>
            <w:tcBorders>
              <w:top w:val="nil"/>
              <w:bottom w:val="nil"/>
            </w:tcBorders>
          </w:tcPr>
          <w:p w14:paraId="29E00AF1" w14:textId="77777777" w:rsidR="00FB40DA" w:rsidRPr="00BB0EC1" w:rsidRDefault="00FB40DA" w:rsidP="005F70DE">
            <w:pPr>
              <w:pStyle w:val="TableText0"/>
              <w:keepLines/>
              <w:jc w:val="center"/>
              <w:rPr>
                <w:szCs w:val="20"/>
              </w:rPr>
            </w:pPr>
            <w:r w:rsidRPr="00BB0EC1">
              <w:rPr>
                <w:szCs w:val="20"/>
              </w:rPr>
              <w:t>0.70</w:t>
            </w:r>
          </w:p>
        </w:tc>
        <w:tc>
          <w:tcPr>
            <w:tcW w:w="512" w:type="pct"/>
            <w:tcBorders>
              <w:top w:val="nil"/>
              <w:bottom w:val="nil"/>
            </w:tcBorders>
          </w:tcPr>
          <w:p w14:paraId="13107820" w14:textId="1384B4D5" w:rsidR="00FB40DA" w:rsidRPr="00BB0EC1" w:rsidRDefault="00FB40DA" w:rsidP="005F70DE">
            <w:pPr>
              <w:pStyle w:val="TableText0"/>
              <w:keepLines/>
              <w:jc w:val="center"/>
              <w:rPr>
                <w:szCs w:val="20"/>
              </w:rPr>
            </w:pPr>
            <w:r w:rsidRPr="00BB0EC1">
              <w:rPr>
                <w:szCs w:val="20"/>
              </w:rPr>
              <w:t>$</w:t>
            </w:r>
            <w:r w:rsidR="00206B77" w:rsidRPr="00206B77">
              <w:rPr>
                <w:rFonts w:hint="eastAsia"/>
                <w:color w:val="000000"/>
                <w:w w:val="22"/>
                <w:szCs w:val="20"/>
                <w:shd w:val="solid" w:color="000000" w:fill="000000"/>
                <w:fitText w:val="100" w:id="-1301008880"/>
                <w14:textFill>
                  <w14:solidFill>
                    <w14:srgbClr w14:val="000000">
                      <w14:alpha w14:val="100000"/>
                    </w14:srgbClr>
                  </w14:solidFill>
                </w14:textFill>
              </w:rPr>
              <w:t xml:space="preserve">　</w:t>
            </w:r>
            <w:r w:rsidR="00206B77" w:rsidRPr="00206B77">
              <w:rPr>
                <w:color w:val="000000"/>
                <w:w w:val="22"/>
                <w:szCs w:val="20"/>
                <w:shd w:val="solid" w:color="000000" w:fill="000000"/>
                <w:fitText w:val="100" w:id="-1301008880"/>
                <w14:textFill>
                  <w14:solidFill>
                    <w14:srgbClr w14:val="000000">
                      <w14:alpha w14:val="100000"/>
                    </w14:srgbClr>
                  </w14:solidFill>
                </w14:textFill>
              </w:rPr>
              <w:t>|</w:t>
            </w:r>
            <w:r w:rsidR="00206B77" w:rsidRPr="00206B77">
              <w:rPr>
                <w:rFonts w:hint="eastAsia"/>
                <w:color w:val="000000"/>
                <w:spacing w:val="3"/>
                <w:w w:val="22"/>
                <w:szCs w:val="20"/>
                <w:shd w:val="solid" w:color="000000" w:fill="000000"/>
                <w:fitText w:val="100" w:id="-1301008880"/>
                <w14:textFill>
                  <w14:solidFill>
                    <w14:srgbClr w14:val="000000">
                      <w14:alpha w14:val="100000"/>
                    </w14:srgbClr>
                  </w14:solidFill>
                </w14:textFill>
              </w:rPr>
              <w:t xml:space="preserve">　</w:t>
            </w:r>
            <w:r w:rsidR="009361E0" w:rsidRPr="00BB0EC1">
              <w:rPr>
                <w:b/>
                <w:szCs w:val="20"/>
                <w:vertAlign w:val="superscript"/>
              </w:rPr>
              <w:t>2</w:t>
            </w:r>
          </w:p>
        </w:tc>
        <w:tc>
          <w:tcPr>
            <w:tcW w:w="510" w:type="pct"/>
            <w:tcBorders>
              <w:top w:val="nil"/>
              <w:bottom w:val="nil"/>
            </w:tcBorders>
          </w:tcPr>
          <w:p w14:paraId="79DD1C6B" w14:textId="3F8A9D8E"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spacing w:val="3"/>
                <w:w w:val="15"/>
                <w:szCs w:val="20"/>
                <w:shd w:val="solid" w:color="000000" w:fill="000000"/>
                <w:fitText w:val="72" w:id="-1301008896"/>
                <w14:textFill>
                  <w14:solidFill>
                    <w14:srgbClr w14:val="000000">
                      <w14:alpha w14:val="100000"/>
                    </w14:srgbClr>
                  </w14:solidFill>
                </w14:textFill>
              </w:rPr>
              <w:t xml:space="preserve">　</w:t>
            </w:r>
            <w:r w:rsidR="00206B77" w:rsidRPr="00381965">
              <w:rPr>
                <w:color w:val="000000"/>
                <w:spacing w:val="3"/>
                <w:w w:val="15"/>
                <w:szCs w:val="20"/>
                <w:shd w:val="solid" w:color="000000" w:fill="000000"/>
                <w:fitText w:val="72" w:id="-1301008896"/>
                <w14:textFill>
                  <w14:solidFill>
                    <w14:srgbClr w14:val="000000">
                      <w14:alpha w14:val="100000"/>
                    </w14:srgbClr>
                  </w14:solidFill>
                </w14:textFill>
              </w:rPr>
              <w:t>|</w:t>
            </w:r>
            <w:r w:rsidR="00206B77" w:rsidRPr="00381965">
              <w:rPr>
                <w:rFonts w:hint="eastAsia"/>
                <w:color w:val="000000"/>
                <w:spacing w:val="1"/>
                <w:w w:val="15"/>
                <w:szCs w:val="20"/>
                <w:shd w:val="solid" w:color="000000" w:fill="000000"/>
                <w:fitText w:val="72" w:id="-1301008896"/>
                <w14:textFill>
                  <w14:solidFill>
                    <w14:srgbClr w14:val="000000">
                      <w14:alpha w14:val="100000"/>
                    </w14:srgbClr>
                  </w14:solidFill>
                </w14:textFill>
              </w:rPr>
              <w:t xml:space="preserve">　</w:t>
            </w:r>
          </w:p>
        </w:tc>
        <w:tc>
          <w:tcPr>
            <w:tcW w:w="510" w:type="pct"/>
            <w:tcBorders>
              <w:top w:val="nil"/>
              <w:bottom w:val="nil"/>
            </w:tcBorders>
          </w:tcPr>
          <w:p w14:paraId="329828F0" w14:textId="77777777" w:rsidR="00FB40DA" w:rsidRPr="00BB0EC1" w:rsidRDefault="00FB40DA" w:rsidP="005F70DE">
            <w:pPr>
              <w:pStyle w:val="TableText0"/>
              <w:keepLines/>
              <w:jc w:val="center"/>
              <w:rPr>
                <w:szCs w:val="20"/>
              </w:rPr>
            </w:pPr>
            <w:r w:rsidRPr="00BB0EC1">
              <w:rPr>
                <w:szCs w:val="20"/>
              </w:rPr>
              <w:t>1.26</w:t>
            </w:r>
          </w:p>
        </w:tc>
        <w:tc>
          <w:tcPr>
            <w:tcW w:w="517" w:type="pct"/>
            <w:tcBorders>
              <w:top w:val="nil"/>
              <w:bottom w:val="nil"/>
            </w:tcBorders>
          </w:tcPr>
          <w:p w14:paraId="1267409A" w14:textId="04E8D045"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21"/>
                <w:szCs w:val="20"/>
                <w:shd w:val="solid" w:color="000000" w:fill="000000"/>
                <w:fitText w:val="93" w:id="-1301008895"/>
                <w14:textFill>
                  <w14:solidFill>
                    <w14:srgbClr w14:val="000000">
                      <w14:alpha w14:val="100000"/>
                    </w14:srgbClr>
                  </w14:solidFill>
                </w14:textFill>
              </w:rPr>
              <w:t xml:space="preserve">　</w:t>
            </w:r>
            <w:r w:rsidR="00206B77" w:rsidRPr="00381965">
              <w:rPr>
                <w:color w:val="000000"/>
                <w:w w:val="21"/>
                <w:szCs w:val="20"/>
                <w:shd w:val="solid" w:color="000000" w:fill="000000"/>
                <w:fitText w:val="93" w:id="-1301008895"/>
                <w14:textFill>
                  <w14:solidFill>
                    <w14:srgbClr w14:val="000000">
                      <w14:alpha w14:val="100000"/>
                    </w14:srgbClr>
                  </w14:solidFill>
                </w14:textFill>
              </w:rPr>
              <w:t>|</w:t>
            </w:r>
            <w:r w:rsidR="00206B77" w:rsidRPr="00381965">
              <w:rPr>
                <w:rFonts w:hint="eastAsia"/>
                <w:color w:val="000000"/>
                <w:spacing w:val="2"/>
                <w:w w:val="21"/>
                <w:szCs w:val="20"/>
                <w:shd w:val="solid" w:color="000000" w:fill="000000"/>
                <w:fitText w:val="93" w:id="-1301008895"/>
                <w14:textFill>
                  <w14:solidFill>
                    <w14:srgbClr w14:val="000000">
                      <w14:alpha w14:val="100000"/>
                    </w14:srgbClr>
                  </w14:solidFill>
                </w14:textFill>
              </w:rPr>
              <w:t xml:space="preserve">　</w:t>
            </w:r>
            <w:r w:rsidR="000A218F" w:rsidRPr="00BB0EC1">
              <w:rPr>
                <w:b/>
                <w:szCs w:val="20"/>
                <w:vertAlign w:val="superscript"/>
              </w:rPr>
              <w:t>9</w:t>
            </w:r>
          </w:p>
        </w:tc>
      </w:tr>
      <w:tr w:rsidR="00FB40DA" w:rsidRPr="00BB0EC1" w14:paraId="0BB8697C" w14:textId="77777777" w:rsidTr="00FA0D96">
        <w:tc>
          <w:tcPr>
            <w:tcW w:w="1931" w:type="pct"/>
            <w:tcBorders>
              <w:top w:val="nil"/>
              <w:bottom w:val="nil"/>
            </w:tcBorders>
            <w:vAlign w:val="center"/>
          </w:tcPr>
          <w:p w14:paraId="3741C604" w14:textId="77777777" w:rsidR="00FB40DA" w:rsidRPr="00BB0EC1" w:rsidRDefault="00FB40DA" w:rsidP="005F70DE">
            <w:pPr>
              <w:pStyle w:val="TableText0"/>
              <w:keepLines/>
              <w:ind w:left="106"/>
              <w:rPr>
                <w:szCs w:val="20"/>
              </w:rPr>
            </w:pPr>
            <w:r w:rsidRPr="00BB0EC1">
              <w:rPr>
                <w:szCs w:val="20"/>
              </w:rPr>
              <w:t>1.5%</w:t>
            </w:r>
          </w:p>
        </w:tc>
        <w:tc>
          <w:tcPr>
            <w:tcW w:w="510" w:type="pct"/>
            <w:tcBorders>
              <w:top w:val="nil"/>
              <w:bottom w:val="nil"/>
            </w:tcBorders>
          </w:tcPr>
          <w:p w14:paraId="71564EA2" w14:textId="0041E32A"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spacing w:val="3"/>
                <w:w w:val="15"/>
                <w:szCs w:val="20"/>
                <w:shd w:val="solid" w:color="000000" w:fill="000000"/>
                <w:fitText w:val="72" w:id="-1301008894"/>
                <w14:textFill>
                  <w14:solidFill>
                    <w14:srgbClr w14:val="000000">
                      <w14:alpha w14:val="100000"/>
                    </w14:srgbClr>
                  </w14:solidFill>
                </w14:textFill>
              </w:rPr>
              <w:t xml:space="preserve">　</w:t>
            </w:r>
            <w:r w:rsidR="00206B77" w:rsidRPr="00381965">
              <w:rPr>
                <w:color w:val="000000"/>
                <w:spacing w:val="3"/>
                <w:w w:val="15"/>
                <w:szCs w:val="20"/>
                <w:shd w:val="solid" w:color="000000" w:fill="000000"/>
                <w:fitText w:val="72" w:id="-1301008894"/>
                <w14:textFill>
                  <w14:solidFill>
                    <w14:srgbClr w14:val="000000">
                      <w14:alpha w14:val="100000"/>
                    </w14:srgbClr>
                  </w14:solidFill>
                </w14:textFill>
              </w:rPr>
              <w:t>|</w:t>
            </w:r>
            <w:r w:rsidR="00206B77" w:rsidRPr="00381965">
              <w:rPr>
                <w:rFonts w:hint="eastAsia"/>
                <w:color w:val="000000"/>
                <w:spacing w:val="1"/>
                <w:w w:val="15"/>
                <w:szCs w:val="20"/>
                <w:shd w:val="solid" w:color="000000" w:fill="000000"/>
                <w:fitText w:val="72" w:id="-1301008894"/>
                <w14:textFill>
                  <w14:solidFill>
                    <w14:srgbClr w14:val="000000">
                      <w14:alpha w14:val="100000"/>
                    </w14:srgbClr>
                  </w14:solidFill>
                </w14:textFill>
              </w:rPr>
              <w:t xml:space="preserve">　</w:t>
            </w:r>
          </w:p>
        </w:tc>
        <w:tc>
          <w:tcPr>
            <w:tcW w:w="510" w:type="pct"/>
            <w:tcBorders>
              <w:top w:val="nil"/>
              <w:bottom w:val="nil"/>
            </w:tcBorders>
          </w:tcPr>
          <w:p w14:paraId="17138C1F" w14:textId="77777777" w:rsidR="00FB40DA" w:rsidRPr="00BB0EC1" w:rsidRDefault="00FB40DA" w:rsidP="005F70DE">
            <w:pPr>
              <w:pStyle w:val="TableText0"/>
              <w:keepLines/>
              <w:jc w:val="center"/>
              <w:rPr>
                <w:szCs w:val="20"/>
              </w:rPr>
            </w:pPr>
            <w:r w:rsidRPr="00BB0EC1">
              <w:rPr>
                <w:szCs w:val="20"/>
              </w:rPr>
              <w:t>0.58</w:t>
            </w:r>
          </w:p>
        </w:tc>
        <w:tc>
          <w:tcPr>
            <w:tcW w:w="512" w:type="pct"/>
            <w:tcBorders>
              <w:top w:val="nil"/>
              <w:bottom w:val="nil"/>
            </w:tcBorders>
          </w:tcPr>
          <w:p w14:paraId="63F3510F" w14:textId="0FAF832D" w:rsidR="00FB40DA" w:rsidRPr="00BB0EC1" w:rsidRDefault="00FB40DA" w:rsidP="005F70DE">
            <w:pPr>
              <w:pStyle w:val="TableText0"/>
              <w:keepLines/>
              <w:jc w:val="center"/>
              <w:rPr>
                <w:szCs w:val="20"/>
              </w:rPr>
            </w:pPr>
            <w:r w:rsidRPr="00BB0EC1">
              <w:rPr>
                <w:szCs w:val="20"/>
              </w:rPr>
              <w:t>$</w:t>
            </w:r>
            <w:r w:rsidR="00206B77" w:rsidRPr="00206B77">
              <w:rPr>
                <w:rFonts w:hint="eastAsia"/>
                <w:color w:val="000000"/>
                <w:w w:val="22"/>
                <w:szCs w:val="20"/>
                <w:shd w:val="solid" w:color="000000" w:fill="000000"/>
                <w:fitText w:val="100" w:id="-1301008893"/>
                <w14:textFill>
                  <w14:solidFill>
                    <w14:srgbClr w14:val="000000">
                      <w14:alpha w14:val="100000"/>
                    </w14:srgbClr>
                  </w14:solidFill>
                </w14:textFill>
              </w:rPr>
              <w:t xml:space="preserve">　</w:t>
            </w:r>
            <w:r w:rsidR="00206B77" w:rsidRPr="00206B77">
              <w:rPr>
                <w:color w:val="000000"/>
                <w:w w:val="22"/>
                <w:szCs w:val="20"/>
                <w:shd w:val="solid" w:color="000000" w:fill="000000"/>
                <w:fitText w:val="100" w:id="-1301008893"/>
                <w14:textFill>
                  <w14:solidFill>
                    <w14:srgbClr w14:val="000000">
                      <w14:alpha w14:val="100000"/>
                    </w14:srgbClr>
                  </w14:solidFill>
                </w14:textFill>
              </w:rPr>
              <w:t>|</w:t>
            </w:r>
            <w:r w:rsidR="00206B77" w:rsidRPr="00206B77">
              <w:rPr>
                <w:rFonts w:hint="eastAsia"/>
                <w:color w:val="000000"/>
                <w:spacing w:val="3"/>
                <w:w w:val="22"/>
                <w:szCs w:val="20"/>
                <w:shd w:val="solid" w:color="000000" w:fill="000000"/>
                <w:fitText w:val="100" w:id="-1301008893"/>
                <w14:textFill>
                  <w14:solidFill>
                    <w14:srgbClr w14:val="000000">
                      <w14:alpha w14:val="100000"/>
                    </w14:srgbClr>
                  </w14:solidFill>
                </w14:textFill>
              </w:rPr>
              <w:t xml:space="preserve">　</w:t>
            </w:r>
            <w:r w:rsidR="009361E0" w:rsidRPr="00BB0EC1">
              <w:rPr>
                <w:b/>
                <w:szCs w:val="20"/>
                <w:vertAlign w:val="superscript"/>
              </w:rPr>
              <w:t>3</w:t>
            </w:r>
          </w:p>
        </w:tc>
        <w:tc>
          <w:tcPr>
            <w:tcW w:w="510" w:type="pct"/>
            <w:tcBorders>
              <w:top w:val="nil"/>
              <w:bottom w:val="nil"/>
            </w:tcBorders>
          </w:tcPr>
          <w:p w14:paraId="08799773" w14:textId="01370CF5"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spacing w:val="3"/>
                <w:w w:val="15"/>
                <w:szCs w:val="20"/>
                <w:shd w:val="solid" w:color="000000" w:fill="000000"/>
                <w:fitText w:val="72" w:id="-1301008892"/>
                <w14:textFill>
                  <w14:solidFill>
                    <w14:srgbClr w14:val="000000">
                      <w14:alpha w14:val="100000"/>
                    </w14:srgbClr>
                  </w14:solidFill>
                </w14:textFill>
              </w:rPr>
              <w:t xml:space="preserve">　</w:t>
            </w:r>
            <w:r w:rsidR="00206B77" w:rsidRPr="00381965">
              <w:rPr>
                <w:color w:val="000000"/>
                <w:spacing w:val="3"/>
                <w:w w:val="15"/>
                <w:szCs w:val="20"/>
                <w:shd w:val="solid" w:color="000000" w:fill="000000"/>
                <w:fitText w:val="72" w:id="-1301008892"/>
                <w14:textFill>
                  <w14:solidFill>
                    <w14:srgbClr w14:val="000000">
                      <w14:alpha w14:val="100000"/>
                    </w14:srgbClr>
                  </w14:solidFill>
                </w14:textFill>
              </w:rPr>
              <w:t>|</w:t>
            </w:r>
            <w:r w:rsidR="00206B77" w:rsidRPr="00381965">
              <w:rPr>
                <w:rFonts w:hint="eastAsia"/>
                <w:color w:val="000000"/>
                <w:spacing w:val="1"/>
                <w:w w:val="15"/>
                <w:szCs w:val="20"/>
                <w:shd w:val="solid" w:color="000000" w:fill="000000"/>
                <w:fitText w:val="72" w:id="-1301008892"/>
                <w14:textFill>
                  <w14:solidFill>
                    <w14:srgbClr w14:val="000000">
                      <w14:alpha w14:val="100000"/>
                    </w14:srgbClr>
                  </w14:solidFill>
                </w14:textFill>
              </w:rPr>
              <w:t xml:space="preserve">　</w:t>
            </w:r>
          </w:p>
        </w:tc>
        <w:tc>
          <w:tcPr>
            <w:tcW w:w="510" w:type="pct"/>
            <w:tcBorders>
              <w:top w:val="nil"/>
              <w:bottom w:val="nil"/>
            </w:tcBorders>
          </w:tcPr>
          <w:p w14:paraId="3BB3D8F1" w14:textId="77777777" w:rsidR="00FB40DA" w:rsidRPr="00BB0EC1" w:rsidRDefault="00FB40DA" w:rsidP="005F70DE">
            <w:pPr>
              <w:pStyle w:val="TableText0"/>
              <w:keepLines/>
              <w:jc w:val="center"/>
              <w:rPr>
                <w:szCs w:val="20"/>
              </w:rPr>
            </w:pPr>
            <w:r w:rsidRPr="00BB0EC1">
              <w:rPr>
                <w:szCs w:val="20"/>
              </w:rPr>
              <w:t>1.04</w:t>
            </w:r>
          </w:p>
        </w:tc>
        <w:tc>
          <w:tcPr>
            <w:tcW w:w="517" w:type="pct"/>
            <w:tcBorders>
              <w:top w:val="nil"/>
              <w:bottom w:val="nil"/>
            </w:tcBorders>
          </w:tcPr>
          <w:p w14:paraId="7D9657EF" w14:textId="42749CB7" w:rsidR="00FB40DA" w:rsidRPr="00BB0EC1" w:rsidRDefault="00FB40DA" w:rsidP="005F70DE">
            <w:pPr>
              <w:pStyle w:val="TableText0"/>
              <w:keepLines/>
              <w:jc w:val="center"/>
              <w:rPr>
                <w:szCs w:val="20"/>
              </w:rPr>
            </w:pPr>
            <w:r w:rsidRPr="00BB0EC1">
              <w:rPr>
                <w:szCs w:val="20"/>
              </w:rPr>
              <w:t>$</w:t>
            </w:r>
            <w:r w:rsidR="00206B77" w:rsidRPr="00206B77">
              <w:rPr>
                <w:rFonts w:hint="eastAsia"/>
                <w:color w:val="000000"/>
                <w:w w:val="27"/>
                <w:szCs w:val="20"/>
                <w:shd w:val="solid" w:color="000000" w:fill="000000"/>
                <w:fitText w:val="121" w:id="-1301008891"/>
                <w14:textFill>
                  <w14:solidFill>
                    <w14:srgbClr w14:val="000000">
                      <w14:alpha w14:val="100000"/>
                    </w14:srgbClr>
                  </w14:solidFill>
                </w14:textFill>
              </w:rPr>
              <w:t xml:space="preserve">　</w:t>
            </w:r>
            <w:r w:rsidR="00206B77" w:rsidRPr="00206B77">
              <w:rPr>
                <w:color w:val="000000"/>
                <w:w w:val="27"/>
                <w:szCs w:val="20"/>
                <w:shd w:val="solid" w:color="000000" w:fill="000000"/>
                <w:fitText w:val="121" w:id="-1301008891"/>
                <w14:textFill>
                  <w14:solidFill>
                    <w14:srgbClr w14:val="000000">
                      <w14:alpha w14:val="100000"/>
                    </w14:srgbClr>
                  </w14:solidFill>
                </w14:textFill>
              </w:rPr>
              <w:t>|</w:t>
            </w:r>
            <w:r w:rsidR="00206B77" w:rsidRPr="00206B77">
              <w:rPr>
                <w:rFonts w:hint="eastAsia"/>
                <w:color w:val="000000"/>
                <w:spacing w:val="3"/>
                <w:w w:val="27"/>
                <w:szCs w:val="20"/>
                <w:shd w:val="solid" w:color="000000" w:fill="000000"/>
                <w:fitText w:val="121" w:id="-1301008891"/>
                <w14:textFill>
                  <w14:solidFill>
                    <w14:srgbClr w14:val="000000">
                      <w14:alpha w14:val="100000"/>
                    </w14:srgbClr>
                  </w14:solidFill>
                </w14:textFill>
              </w:rPr>
              <w:t xml:space="preserve">　</w:t>
            </w:r>
            <w:r w:rsidR="000A218F" w:rsidRPr="00BB0EC1">
              <w:rPr>
                <w:b/>
                <w:szCs w:val="20"/>
                <w:vertAlign w:val="superscript"/>
              </w:rPr>
              <w:t>10</w:t>
            </w:r>
          </w:p>
        </w:tc>
      </w:tr>
      <w:tr w:rsidR="00FB40DA" w:rsidRPr="00BB0EC1" w14:paraId="7D8BD2E7" w14:textId="77777777" w:rsidTr="00FA0D96">
        <w:tc>
          <w:tcPr>
            <w:tcW w:w="1931" w:type="pct"/>
            <w:tcBorders>
              <w:top w:val="nil"/>
              <w:bottom w:val="single" w:sz="4" w:space="0" w:color="auto"/>
            </w:tcBorders>
            <w:vAlign w:val="center"/>
          </w:tcPr>
          <w:p w14:paraId="3CB35EB0" w14:textId="77777777" w:rsidR="00FB40DA" w:rsidRPr="00BB0EC1" w:rsidRDefault="00FB40DA" w:rsidP="005F70DE">
            <w:pPr>
              <w:pStyle w:val="TableText0"/>
              <w:keepLines/>
              <w:ind w:left="106"/>
              <w:rPr>
                <w:szCs w:val="20"/>
              </w:rPr>
            </w:pPr>
            <w:r w:rsidRPr="00BB0EC1">
              <w:rPr>
                <w:szCs w:val="20"/>
              </w:rPr>
              <w:t>3.5%</w:t>
            </w:r>
          </w:p>
        </w:tc>
        <w:tc>
          <w:tcPr>
            <w:tcW w:w="510" w:type="pct"/>
            <w:tcBorders>
              <w:top w:val="nil"/>
              <w:bottom w:val="single" w:sz="4" w:space="0" w:color="auto"/>
            </w:tcBorders>
          </w:tcPr>
          <w:p w14:paraId="484458F5" w14:textId="62AD74BE"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spacing w:val="3"/>
                <w:w w:val="15"/>
                <w:szCs w:val="20"/>
                <w:shd w:val="solid" w:color="000000" w:fill="000000"/>
                <w:fitText w:val="72" w:id="-1301008890"/>
                <w14:textFill>
                  <w14:solidFill>
                    <w14:srgbClr w14:val="000000">
                      <w14:alpha w14:val="100000"/>
                    </w14:srgbClr>
                  </w14:solidFill>
                </w14:textFill>
              </w:rPr>
              <w:t xml:space="preserve">　</w:t>
            </w:r>
            <w:r w:rsidR="00206B77" w:rsidRPr="00381965">
              <w:rPr>
                <w:color w:val="000000"/>
                <w:spacing w:val="3"/>
                <w:w w:val="15"/>
                <w:szCs w:val="20"/>
                <w:shd w:val="solid" w:color="000000" w:fill="000000"/>
                <w:fitText w:val="72" w:id="-1301008890"/>
                <w14:textFill>
                  <w14:solidFill>
                    <w14:srgbClr w14:val="000000">
                      <w14:alpha w14:val="100000"/>
                    </w14:srgbClr>
                  </w14:solidFill>
                </w14:textFill>
              </w:rPr>
              <w:t>|</w:t>
            </w:r>
            <w:r w:rsidR="00206B77" w:rsidRPr="00381965">
              <w:rPr>
                <w:rFonts w:hint="eastAsia"/>
                <w:color w:val="000000"/>
                <w:spacing w:val="1"/>
                <w:w w:val="15"/>
                <w:szCs w:val="20"/>
                <w:shd w:val="solid" w:color="000000" w:fill="000000"/>
                <w:fitText w:val="72" w:id="-1301008890"/>
                <w14:textFill>
                  <w14:solidFill>
                    <w14:srgbClr w14:val="000000">
                      <w14:alpha w14:val="100000"/>
                    </w14:srgbClr>
                  </w14:solidFill>
                </w14:textFill>
              </w:rPr>
              <w:t xml:space="preserve">　</w:t>
            </w:r>
          </w:p>
        </w:tc>
        <w:tc>
          <w:tcPr>
            <w:tcW w:w="510" w:type="pct"/>
            <w:tcBorders>
              <w:top w:val="nil"/>
              <w:bottom w:val="single" w:sz="4" w:space="0" w:color="auto"/>
            </w:tcBorders>
          </w:tcPr>
          <w:p w14:paraId="011592BD" w14:textId="77777777" w:rsidR="00FB40DA" w:rsidRPr="00BB0EC1" w:rsidRDefault="00FB40DA" w:rsidP="005F70DE">
            <w:pPr>
              <w:pStyle w:val="TableText0"/>
              <w:keepLines/>
              <w:jc w:val="center"/>
              <w:rPr>
                <w:szCs w:val="20"/>
              </w:rPr>
            </w:pPr>
            <w:r w:rsidRPr="00BB0EC1">
              <w:rPr>
                <w:szCs w:val="20"/>
              </w:rPr>
              <w:t>0.46</w:t>
            </w:r>
          </w:p>
        </w:tc>
        <w:tc>
          <w:tcPr>
            <w:tcW w:w="512" w:type="pct"/>
            <w:tcBorders>
              <w:top w:val="nil"/>
              <w:bottom w:val="single" w:sz="4" w:space="0" w:color="auto"/>
            </w:tcBorders>
          </w:tcPr>
          <w:p w14:paraId="33AB0712" w14:textId="51901163"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22"/>
                <w:szCs w:val="20"/>
                <w:shd w:val="solid" w:color="000000" w:fill="000000"/>
                <w:fitText w:val="100" w:id="-1301008889"/>
                <w14:textFill>
                  <w14:solidFill>
                    <w14:srgbClr w14:val="000000">
                      <w14:alpha w14:val="100000"/>
                    </w14:srgbClr>
                  </w14:solidFill>
                </w14:textFill>
              </w:rPr>
              <w:t xml:space="preserve">　</w:t>
            </w:r>
            <w:r w:rsidR="00206B77" w:rsidRPr="00381965">
              <w:rPr>
                <w:color w:val="000000"/>
                <w:w w:val="22"/>
                <w:szCs w:val="20"/>
                <w:shd w:val="solid" w:color="000000" w:fill="000000"/>
                <w:fitText w:val="100" w:id="-1301008889"/>
                <w14:textFill>
                  <w14:solidFill>
                    <w14:srgbClr w14:val="000000">
                      <w14:alpha w14:val="100000"/>
                    </w14:srgbClr>
                  </w14:solidFill>
                </w14:textFill>
              </w:rPr>
              <w:t>|</w:t>
            </w:r>
            <w:r w:rsidR="00206B77" w:rsidRPr="00381965">
              <w:rPr>
                <w:rFonts w:hint="eastAsia"/>
                <w:color w:val="000000"/>
                <w:spacing w:val="3"/>
                <w:w w:val="22"/>
                <w:szCs w:val="20"/>
                <w:shd w:val="solid" w:color="000000" w:fill="000000"/>
                <w:fitText w:val="100" w:id="-1301008889"/>
                <w14:textFill>
                  <w14:solidFill>
                    <w14:srgbClr w14:val="000000">
                      <w14:alpha w14:val="100000"/>
                    </w14:srgbClr>
                  </w14:solidFill>
                </w14:textFill>
              </w:rPr>
              <w:t xml:space="preserve">　</w:t>
            </w:r>
            <w:r w:rsidR="009361E0" w:rsidRPr="00BB0EC1">
              <w:rPr>
                <w:b/>
                <w:szCs w:val="20"/>
                <w:vertAlign w:val="superscript"/>
              </w:rPr>
              <w:t>4</w:t>
            </w:r>
          </w:p>
        </w:tc>
        <w:tc>
          <w:tcPr>
            <w:tcW w:w="510" w:type="pct"/>
            <w:tcBorders>
              <w:top w:val="nil"/>
              <w:bottom w:val="single" w:sz="4" w:space="0" w:color="auto"/>
            </w:tcBorders>
          </w:tcPr>
          <w:p w14:paraId="433B1009" w14:textId="2A0039D8"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16"/>
                <w:szCs w:val="20"/>
                <w:shd w:val="solid" w:color="000000" w:fill="000000"/>
                <w:fitText w:val="72" w:id="-1301008888"/>
                <w14:textFill>
                  <w14:solidFill>
                    <w14:srgbClr w14:val="000000">
                      <w14:alpha w14:val="100000"/>
                    </w14:srgbClr>
                  </w14:solidFill>
                </w14:textFill>
              </w:rPr>
              <w:t xml:space="preserve">　</w:t>
            </w:r>
            <w:r w:rsidR="00206B77" w:rsidRPr="00381965">
              <w:rPr>
                <w:color w:val="000000"/>
                <w:w w:val="16"/>
                <w:szCs w:val="20"/>
                <w:shd w:val="solid" w:color="000000" w:fill="000000"/>
                <w:fitText w:val="72" w:id="-1301008888"/>
                <w14:textFill>
                  <w14:solidFill>
                    <w14:srgbClr w14:val="000000">
                      <w14:alpha w14:val="100000"/>
                    </w14:srgbClr>
                  </w14:solidFill>
                </w14:textFill>
              </w:rPr>
              <w:t>|</w:t>
            </w:r>
            <w:r w:rsidR="00206B77" w:rsidRPr="00381965">
              <w:rPr>
                <w:rFonts w:hint="eastAsia"/>
                <w:color w:val="000000"/>
                <w:w w:val="16"/>
                <w:szCs w:val="20"/>
                <w:shd w:val="solid" w:color="000000" w:fill="000000"/>
                <w:fitText w:val="72" w:id="-1301008888"/>
                <w14:textFill>
                  <w14:solidFill>
                    <w14:srgbClr w14:val="000000">
                      <w14:alpha w14:val="100000"/>
                    </w14:srgbClr>
                  </w14:solidFill>
                </w14:textFill>
              </w:rPr>
              <w:t xml:space="preserve">　</w:t>
            </w:r>
          </w:p>
        </w:tc>
        <w:tc>
          <w:tcPr>
            <w:tcW w:w="510" w:type="pct"/>
            <w:tcBorders>
              <w:top w:val="nil"/>
              <w:bottom w:val="single" w:sz="4" w:space="0" w:color="auto"/>
            </w:tcBorders>
          </w:tcPr>
          <w:p w14:paraId="4BE30E16" w14:textId="77777777" w:rsidR="00FB40DA" w:rsidRPr="00BB0EC1" w:rsidRDefault="00FB40DA" w:rsidP="005F70DE">
            <w:pPr>
              <w:pStyle w:val="TableText0"/>
              <w:keepLines/>
              <w:jc w:val="center"/>
              <w:rPr>
                <w:szCs w:val="20"/>
              </w:rPr>
            </w:pPr>
            <w:r w:rsidRPr="00BB0EC1">
              <w:rPr>
                <w:szCs w:val="20"/>
              </w:rPr>
              <w:t>0.82</w:t>
            </w:r>
          </w:p>
        </w:tc>
        <w:tc>
          <w:tcPr>
            <w:tcW w:w="517" w:type="pct"/>
            <w:tcBorders>
              <w:top w:val="nil"/>
              <w:bottom w:val="single" w:sz="4" w:space="0" w:color="auto"/>
            </w:tcBorders>
          </w:tcPr>
          <w:p w14:paraId="60A037DC" w14:textId="2B446328"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27"/>
                <w:szCs w:val="20"/>
                <w:shd w:val="solid" w:color="000000" w:fill="000000"/>
                <w:fitText w:val="121" w:id="-1301008887"/>
                <w14:textFill>
                  <w14:solidFill>
                    <w14:srgbClr w14:val="000000">
                      <w14:alpha w14:val="100000"/>
                    </w14:srgbClr>
                  </w14:solidFill>
                </w14:textFill>
              </w:rPr>
              <w:t xml:space="preserve">　</w:t>
            </w:r>
            <w:r w:rsidR="00206B77" w:rsidRPr="00381965">
              <w:rPr>
                <w:color w:val="000000"/>
                <w:w w:val="27"/>
                <w:szCs w:val="20"/>
                <w:shd w:val="solid" w:color="000000" w:fill="000000"/>
                <w:fitText w:val="121" w:id="-1301008887"/>
                <w14:textFill>
                  <w14:solidFill>
                    <w14:srgbClr w14:val="000000">
                      <w14:alpha w14:val="100000"/>
                    </w14:srgbClr>
                  </w14:solidFill>
                </w14:textFill>
              </w:rPr>
              <w:t>|</w:t>
            </w:r>
            <w:r w:rsidR="00206B77" w:rsidRPr="00381965">
              <w:rPr>
                <w:rFonts w:hint="eastAsia"/>
                <w:color w:val="000000"/>
                <w:spacing w:val="3"/>
                <w:w w:val="27"/>
                <w:szCs w:val="20"/>
                <w:shd w:val="solid" w:color="000000" w:fill="000000"/>
                <w:fitText w:val="121" w:id="-1301008887"/>
                <w14:textFill>
                  <w14:solidFill>
                    <w14:srgbClr w14:val="000000">
                      <w14:alpha w14:val="100000"/>
                    </w14:srgbClr>
                  </w14:solidFill>
                </w14:textFill>
              </w:rPr>
              <w:t xml:space="preserve">　</w:t>
            </w:r>
            <w:r w:rsidR="000A218F" w:rsidRPr="00BB0EC1">
              <w:rPr>
                <w:b/>
                <w:szCs w:val="20"/>
                <w:vertAlign w:val="superscript"/>
              </w:rPr>
              <w:t>11</w:t>
            </w:r>
          </w:p>
        </w:tc>
      </w:tr>
      <w:tr w:rsidR="00FB40DA" w:rsidRPr="00BB0EC1" w14:paraId="414691CC" w14:textId="77777777" w:rsidTr="00FA0D96">
        <w:tc>
          <w:tcPr>
            <w:tcW w:w="1931" w:type="pct"/>
            <w:tcBorders>
              <w:bottom w:val="nil"/>
            </w:tcBorders>
            <w:vAlign w:val="center"/>
          </w:tcPr>
          <w:p w14:paraId="7826DBE7" w14:textId="77777777" w:rsidR="00FB40DA" w:rsidRPr="00BB0EC1" w:rsidRDefault="00FB40DA" w:rsidP="005F70DE">
            <w:pPr>
              <w:pStyle w:val="TableText0"/>
              <w:keepLines/>
              <w:rPr>
                <w:szCs w:val="20"/>
              </w:rPr>
            </w:pPr>
            <w:r w:rsidRPr="00BB0EC1">
              <w:rPr>
                <w:szCs w:val="20"/>
              </w:rPr>
              <w:t>Time horizon (base 25 years)</w:t>
            </w:r>
          </w:p>
        </w:tc>
        <w:tc>
          <w:tcPr>
            <w:tcW w:w="510" w:type="pct"/>
            <w:tcBorders>
              <w:bottom w:val="nil"/>
            </w:tcBorders>
            <w:vAlign w:val="center"/>
          </w:tcPr>
          <w:p w14:paraId="05CF3404" w14:textId="77777777" w:rsidR="00FB40DA" w:rsidRPr="00BB0EC1" w:rsidRDefault="00FB40DA" w:rsidP="005F70DE">
            <w:pPr>
              <w:pStyle w:val="TableText0"/>
              <w:keepLines/>
              <w:jc w:val="center"/>
              <w:rPr>
                <w:szCs w:val="20"/>
              </w:rPr>
            </w:pPr>
          </w:p>
        </w:tc>
        <w:tc>
          <w:tcPr>
            <w:tcW w:w="510" w:type="pct"/>
            <w:tcBorders>
              <w:bottom w:val="nil"/>
            </w:tcBorders>
            <w:vAlign w:val="center"/>
          </w:tcPr>
          <w:p w14:paraId="790B441B" w14:textId="77777777" w:rsidR="00FB40DA" w:rsidRPr="00BB0EC1" w:rsidRDefault="00FB40DA" w:rsidP="005F70DE">
            <w:pPr>
              <w:pStyle w:val="TableText0"/>
              <w:keepLines/>
              <w:jc w:val="center"/>
              <w:rPr>
                <w:szCs w:val="20"/>
              </w:rPr>
            </w:pPr>
          </w:p>
        </w:tc>
        <w:tc>
          <w:tcPr>
            <w:tcW w:w="512" w:type="pct"/>
            <w:tcBorders>
              <w:bottom w:val="nil"/>
            </w:tcBorders>
            <w:vAlign w:val="center"/>
          </w:tcPr>
          <w:p w14:paraId="4040CB07" w14:textId="77777777" w:rsidR="00FB40DA" w:rsidRPr="00BB0EC1" w:rsidRDefault="00FB40DA" w:rsidP="005F70DE">
            <w:pPr>
              <w:pStyle w:val="TableText0"/>
              <w:keepLines/>
              <w:jc w:val="center"/>
              <w:rPr>
                <w:szCs w:val="20"/>
              </w:rPr>
            </w:pPr>
          </w:p>
        </w:tc>
        <w:tc>
          <w:tcPr>
            <w:tcW w:w="510" w:type="pct"/>
            <w:tcBorders>
              <w:bottom w:val="nil"/>
            </w:tcBorders>
            <w:vAlign w:val="center"/>
          </w:tcPr>
          <w:p w14:paraId="10B991E7" w14:textId="77777777" w:rsidR="00FB40DA" w:rsidRPr="00BB0EC1" w:rsidRDefault="00FB40DA" w:rsidP="005F70DE">
            <w:pPr>
              <w:pStyle w:val="TableText0"/>
              <w:keepLines/>
              <w:jc w:val="center"/>
              <w:rPr>
                <w:szCs w:val="20"/>
              </w:rPr>
            </w:pPr>
          </w:p>
        </w:tc>
        <w:tc>
          <w:tcPr>
            <w:tcW w:w="510" w:type="pct"/>
            <w:tcBorders>
              <w:bottom w:val="nil"/>
            </w:tcBorders>
            <w:vAlign w:val="center"/>
          </w:tcPr>
          <w:p w14:paraId="3A1F13E6" w14:textId="77777777" w:rsidR="00FB40DA" w:rsidRPr="00BB0EC1" w:rsidRDefault="00FB40DA" w:rsidP="005F70DE">
            <w:pPr>
              <w:pStyle w:val="TableText0"/>
              <w:keepLines/>
              <w:jc w:val="center"/>
              <w:rPr>
                <w:szCs w:val="20"/>
              </w:rPr>
            </w:pPr>
          </w:p>
        </w:tc>
        <w:tc>
          <w:tcPr>
            <w:tcW w:w="517" w:type="pct"/>
            <w:tcBorders>
              <w:bottom w:val="nil"/>
            </w:tcBorders>
            <w:vAlign w:val="center"/>
          </w:tcPr>
          <w:p w14:paraId="554B353F" w14:textId="77777777" w:rsidR="00FB40DA" w:rsidRPr="00BB0EC1" w:rsidRDefault="00FB40DA" w:rsidP="005F70DE">
            <w:pPr>
              <w:pStyle w:val="TableText0"/>
              <w:keepLines/>
              <w:jc w:val="center"/>
              <w:rPr>
                <w:szCs w:val="20"/>
              </w:rPr>
            </w:pPr>
          </w:p>
        </w:tc>
      </w:tr>
      <w:tr w:rsidR="00FB40DA" w:rsidRPr="00BB0EC1" w14:paraId="56FD2165" w14:textId="77777777" w:rsidTr="00FA0D96">
        <w:tc>
          <w:tcPr>
            <w:tcW w:w="1931" w:type="pct"/>
            <w:tcBorders>
              <w:top w:val="nil"/>
              <w:bottom w:val="nil"/>
            </w:tcBorders>
            <w:vAlign w:val="center"/>
          </w:tcPr>
          <w:p w14:paraId="4B5405C4" w14:textId="77777777" w:rsidR="00FB40DA" w:rsidRPr="00BB0EC1" w:rsidRDefault="00FB40DA" w:rsidP="005F70DE">
            <w:pPr>
              <w:pStyle w:val="TableText0"/>
              <w:keepLines/>
              <w:ind w:left="106"/>
              <w:rPr>
                <w:szCs w:val="20"/>
              </w:rPr>
            </w:pPr>
            <w:r w:rsidRPr="00BB0EC1">
              <w:rPr>
                <w:szCs w:val="20"/>
              </w:rPr>
              <w:t>10 years</w:t>
            </w:r>
          </w:p>
        </w:tc>
        <w:tc>
          <w:tcPr>
            <w:tcW w:w="510" w:type="pct"/>
            <w:tcBorders>
              <w:top w:val="nil"/>
              <w:bottom w:val="nil"/>
            </w:tcBorders>
          </w:tcPr>
          <w:p w14:paraId="716E150E" w14:textId="79F7D631"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16"/>
                <w:szCs w:val="20"/>
                <w:shd w:val="solid" w:color="000000" w:fill="000000"/>
                <w:fitText w:val="72" w:id="-1301008886"/>
                <w14:textFill>
                  <w14:solidFill>
                    <w14:srgbClr w14:val="000000">
                      <w14:alpha w14:val="100000"/>
                    </w14:srgbClr>
                  </w14:solidFill>
                </w14:textFill>
              </w:rPr>
              <w:t xml:space="preserve">　</w:t>
            </w:r>
            <w:r w:rsidR="00206B77" w:rsidRPr="00381965">
              <w:rPr>
                <w:color w:val="000000"/>
                <w:w w:val="16"/>
                <w:szCs w:val="20"/>
                <w:shd w:val="solid" w:color="000000" w:fill="000000"/>
                <w:fitText w:val="72" w:id="-1301008886"/>
                <w14:textFill>
                  <w14:solidFill>
                    <w14:srgbClr w14:val="000000">
                      <w14:alpha w14:val="100000"/>
                    </w14:srgbClr>
                  </w14:solidFill>
                </w14:textFill>
              </w:rPr>
              <w:t>|</w:t>
            </w:r>
            <w:r w:rsidR="00206B77" w:rsidRPr="00381965">
              <w:rPr>
                <w:rFonts w:hint="eastAsia"/>
                <w:color w:val="000000"/>
                <w:w w:val="16"/>
                <w:szCs w:val="20"/>
                <w:shd w:val="solid" w:color="000000" w:fill="000000"/>
                <w:fitText w:val="72" w:id="-1301008886"/>
                <w14:textFill>
                  <w14:solidFill>
                    <w14:srgbClr w14:val="000000">
                      <w14:alpha w14:val="100000"/>
                    </w14:srgbClr>
                  </w14:solidFill>
                </w14:textFill>
              </w:rPr>
              <w:t xml:space="preserve">　</w:t>
            </w:r>
          </w:p>
        </w:tc>
        <w:tc>
          <w:tcPr>
            <w:tcW w:w="510" w:type="pct"/>
            <w:tcBorders>
              <w:top w:val="nil"/>
              <w:bottom w:val="nil"/>
            </w:tcBorders>
          </w:tcPr>
          <w:p w14:paraId="272AA6A9" w14:textId="77777777" w:rsidR="00FB40DA" w:rsidRPr="00BB0EC1" w:rsidRDefault="00FB40DA" w:rsidP="005F70DE">
            <w:pPr>
              <w:pStyle w:val="TableText0"/>
              <w:keepLines/>
              <w:jc w:val="center"/>
              <w:rPr>
                <w:szCs w:val="20"/>
              </w:rPr>
            </w:pPr>
            <w:r w:rsidRPr="00BB0EC1">
              <w:rPr>
                <w:szCs w:val="20"/>
              </w:rPr>
              <w:t>0.17</w:t>
            </w:r>
          </w:p>
        </w:tc>
        <w:tc>
          <w:tcPr>
            <w:tcW w:w="512" w:type="pct"/>
            <w:tcBorders>
              <w:top w:val="nil"/>
              <w:bottom w:val="nil"/>
            </w:tcBorders>
          </w:tcPr>
          <w:p w14:paraId="2A485C84" w14:textId="29B658F4" w:rsidR="00FB40DA" w:rsidRPr="00BB0EC1" w:rsidRDefault="00FB40DA" w:rsidP="005F70DE">
            <w:pPr>
              <w:pStyle w:val="TableText0"/>
              <w:keepLines/>
              <w:jc w:val="center"/>
              <w:rPr>
                <w:szCs w:val="20"/>
              </w:rPr>
            </w:pPr>
            <w:r w:rsidRPr="00BB0EC1">
              <w:rPr>
                <w:szCs w:val="20"/>
              </w:rPr>
              <w:t>$</w:t>
            </w:r>
            <w:r w:rsidR="00206B77" w:rsidRPr="00206B77">
              <w:rPr>
                <w:rFonts w:hint="eastAsia"/>
                <w:color w:val="000000"/>
                <w:w w:val="22"/>
                <w:szCs w:val="20"/>
                <w:shd w:val="solid" w:color="000000" w:fill="000000"/>
                <w:fitText w:val="100" w:id="-1301008885"/>
                <w14:textFill>
                  <w14:solidFill>
                    <w14:srgbClr w14:val="000000">
                      <w14:alpha w14:val="100000"/>
                    </w14:srgbClr>
                  </w14:solidFill>
                </w14:textFill>
              </w:rPr>
              <w:t xml:space="preserve">　</w:t>
            </w:r>
            <w:r w:rsidR="00206B77" w:rsidRPr="00206B77">
              <w:rPr>
                <w:color w:val="000000"/>
                <w:w w:val="22"/>
                <w:szCs w:val="20"/>
                <w:shd w:val="solid" w:color="000000" w:fill="000000"/>
                <w:fitText w:val="100" w:id="-1301008885"/>
                <w14:textFill>
                  <w14:solidFill>
                    <w14:srgbClr w14:val="000000">
                      <w14:alpha w14:val="100000"/>
                    </w14:srgbClr>
                  </w14:solidFill>
                </w14:textFill>
              </w:rPr>
              <w:t>|</w:t>
            </w:r>
            <w:r w:rsidR="00206B77" w:rsidRPr="00206B77">
              <w:rPr>
                <w:rFonts w:hint="eastAsia"/>
                <w:color w:val="000000"/>
                <w:spacing w:val="3"/>
                <w:w w:val="22"/>
                <w:szCs w:val="20"/>
                <w:shd w:val="solid" w:color="000000" w:fill="000000"/>
                <w:fitText w:val="100" w:id="-1301008885"/>
                <w14:textFill>
                  <w14:solidFill>
                    <w14:srgbClr w14:val="000000">
                      <w14:alpha w14:val="100000"/>
                    </w14:srgbClr>
                  </w14:solidFill>
                </w14:textFill>
              </w:rPr>
              <w:t xml:space="preserve">　</w:t>
            </w:r>
            <w:r w:rsidR="00EC4042" w:rsidRPr="00BB0EC1">
              <w:rPr>
                <w:b/>
                <w:szCs w:val="20"/>
                <w:vertAlign w:val="superscript"/>
              </w:rPr>
              <w:t>5</w:t>
            </w:r>
          </w:p>
        </w:tc>
        <w:tc>
          <w:tcPr>
            <w:tcW w:w="510" w:type="pct"/>
            <w:tcBorders>
              <w:top w:val="nil"/>
              <w:bottom w:val="nil"/>
            </w:tcBorders>
          </w:tcPr>
          <w:p w14:paraId="3511F37E" w14:textId="3DD6EF32"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spacing w:val="3"/>
                <w:w w:val="15"/>
                <w:szCs w:val="20"/>
                <w:shd w:val="solid" w:color="000000" w:fill="000000"/>
                <w:fitText w:val="72" w:id="-1301008884"/>
                <w14:textFill>
                  <w14:solidFill>
                    <w14:srgbClr w14:val="000000">
                      <w14:alpha w14:val="100000"/>
                    </w14:srgbClr>
                  </w14:solidFill>
                </w14:textFill>
              </w:rPr>
              <w:t xml:space="preserve">　</w:t>
            </w:r>
            <w:r w:rsidR="00206B77" w:rsidRPr="00381965">
              <w:rPr>
                <w:color w:val="000000"/>
                <w:spacing w:val="3"/>
                <w:w w:val="15"/>
                <w:szCs w:val="20"/>
                <w:shd w:val="solid" w:color="000000" w:fill="000000"/>
                <w:fitText w:val="72" w:id="-1301008884"/>
                <w14:textFill>
                  <w14:solidFill>
                    <w14:srgbClr w14:val="000000">
                      <w14:alpha w14:val="100000"/>
                    </w14:srgbClr>
                  </w14:solidFill>
                </w14:textFill>
              </w:rPr>
              <w:t>|</w:t>
            </w:r>
            <w:r w:rsidR="00206B77" w:rsidRPr="00381965">
              <w:rPr>
                <w:rFonts w:hint="eastAsia"/>
                <w:color w:val="000000"/>
                <w:spacing w:val="1"/>
                <w:w w:val="15"/>
                <w:szCs w:val="20"/>
                <w:shd w:val="solid" w:color="000000" w:fill="000000"/>
                <w:fitText w:val="72" w:id="-1301008884"/>
                <w14:textFill>
                  <w14:solidFill>
                    <w14:srgbClr w14:val="000000">
                      <w14:alpha w14:val="100000"/>
                    </w14:srgbClr>
                  </w14:solidFill>
                </w14:textFill>
              </w:rPr>
              <w:t xml:space="preserve">　</w:t>
            </w:r>
          </w:p>
        </w:tc>
        <w:tc>
          <w:tcPr>
            <w:tcW w:w="510" w:type="pct"/>
            <w:tcBorders>
              <w:top w:val="nil"/>
              <w:bottom w:val="nil"/>
            </w:tcBorders>
          </w:tcPr>
          <w:p w14:paraId="0CB703D1" w14:textId="77777777" w:rsidR="00FB40DA" w:rsidRPr="00BB0EC1" w:rsidRDefault="00FB40DA" w:rsidP="005F70DE">
            <w:pPr>
              <w:pStyle w:val="TableText0"/>
              <w:keepLines/>
              <w:jc w:val="center"/>
              <w:rPr>
                <w:szCs w:val="20"/>
              </w:rPr>
            </w:pPr>
            <w:r w:rsidRPr="00BB0EC1">
              <w:rPr>
                <w:szCs w:val="20"/>
              </w:rPr>
              <w:t>0.30</w:t>
            </w:r>
          </w:p>
        </w:tc>
        <w:tc>
          <w:tcPr>
            <w:tcW w:w="517" w:type="pct"/>
            <w:tcBorders>
              <w:top w:val="nil"/>
              <w:bottom w:val="nil"/>
            </w:tcBorders>
          </w:tcPr>
          <w:p w14:paraId="641A10A3" w14:textId="156B38C5"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21"/>
                <w:szCs w:val="20"/>
                <w:shd w:val="solid" w:color="000000" w:fill="000000"/>
                <w:fitText w:val="93" w:id="-1301008883"/>
                <w14:textFill>
                  <w14:solidFill>
                    <w14:srgbClr w14:val="000000">
                      <w14:alpha w14:val="100000"/>
                    </w14:srgbClr>
                  </w14:solidFill>
                </w14:textFill>
              </w:rPr>
              <w:t xml:space="preserve">　</w:t>
            </w:r>
            <w:r w:rsidR="00206B77" w:rsidRPr="00381965">
              <w:rPr>
                <w:color w:val="000000"/>
                <w:w w:val="21"/>
                <w:szCs w:val="20"/>
                <w:shd w:val="solid" w:color="000000" w:fill="000000"/>
                <w:fitText w:val="93" w:id="-1301008883"/>
                <w14:textFill>
                  <w14:solidFill>
                    <w14:srgbClr w14:val="000000">
                      <w14:alpha w14:val="100000"/>
                    </w14:srgbClr>
                  </w14:solidFill>
                </w14:textFill>
              </w:rPr>
              <w:t>|</w:t>
            </w:r>
            <w:r w:rsidR="00206B77" w:rsidRPr="00381965">
              <w:rPr>
                <w:rFonts w:hint="eastAsia"/>
                <w:color w:val="000000"/>
                <w:spacing w:val="2"/>
                <w:w w:val="21"/>
                <w:szCs w:val="20"/>
                <w:shd w:val="solid" w:color="000000" w:fill="000000"/>
                <w:fitText w:val="93" w:id="-1301008883"/>
                <w14:textFill>
                  <w14:solidFill>
                    <w14:srgbClr w14:val="000000">
                      <w14:alpha w14:val="100000"/>
                    </w14:srgbClr>
                  </w14:solidFill>
                </w14:textFill>
              </w:rPr>
              <w:t xml:space="preserve">　</w:t>
            </w:r>
            <w:r w:rsidR="00BB0EC1" w:rsidRPr="00BB0EC1">
              <w:rPr>
                <w:b/>
                <w:szCs w:val="20"/>
                <w:vertAlign w:val="superscript"/>
              </w:rPr>
              <w:t>7</w:t>
            </w:r>
          </w:p>
        </w:tc>
      </w:tr>
      <w:tr w:rsidR="00FB40DA" w:rsidRPr="00BB0EC1" w14:paraId="069C0B56" w14:textId="77777777" w:rsidTr="00FA0D96">
        <w:tc>
          <w:tcPr>
            <w:tcW w:w="1931" w:type="pct"/>
            <w:tcBorders>
              <w:top w:val="nil"/>
              <w:bottom w:val="nil"/>
            </w:tcBorders>
            <w:vAlign w:val="center"/>
          </w:tcPr>
          <w:p w14:paraId="47F6F3E9" w14:textId="77777777" w:rsidR="00FB40DA" w:rsidRPr="00BB0EC1" w:rsidRDefault="00FB40DA" w:rsidP="005F70DE">
            <w:pPr>
              <w:pStyle w:val="TableText0"/>
              <w:keepLines/>
              <w:ind w:left="106"/>
              <w:rPr>
                <w:szCs w:val="20"/>
              </w:rPr>
            </w:pPr>
            <w:r w:rsidRPr="00BB0EC1">
              <w:rPr>
                <w:szCs w:val="20"/>
              </w:rPr>
              <w:t>15 years</w:t>
            </w:r>
          </w:p>
        </w:tc>
        <w:tc>
          <w:tcPr>
            <w:tcW w:w="510" w:type="pct"/>
            <w:tcBorders>
              <w:top w:val="nil"/>
              <w:bottom w:val="nil"/>
            </w:tcBorders>
          </w:tcPr>
          <w:p w14:paraId="67F811C7" w14:textId="76FDC66B"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16"/>
                <w:szCs w:val="20"/>
                <w:shd w:val="solid" w:color="000000" w:fill="000000"/>
                <w:fitText w:val="72" w:id="-1301008882"/>
                <w14:textFill>
                  <w14:solidFill>
                    <w14:srgbClr w14:val="000000">
                      <w14:alpha w14:val="100000"/>
                    </w14:srgbClr>
                  </w14:solidFill>
                </w14:textFill>
              </w:rPr>
              <w:t xml:space="preserve">　</w:t>
            </w:r>
            <w:r w:rsidR="00206B77" w:rsidRPr="00381965">
              <w:rPr>
                <w:color w:val="000000"/>
                <w:w w:val="16"/>
                <w:szCs w:val="20"/>
                <w:shd w:val="solid" w:color="000000" w:fill="000000"/>
                <w:fitText w:val="72" w:id="-1301008882"/>
                <w14:textFill>
                  <w14:solidFill>
                    <w14:srgbClr w14:val="000000">
                      <w14:alpha w14:val="100000"/>
                    </w14:srgbClr>
                  </w14:solidFill>
                </w14:textFill>
              </w:rPr>
              <w:t>|</w:t>
            </w:r>
            <w:r w:rsidR="00206B77" w:rsidRPr="00381965">
              <w:rPr>
                <w:rFonts w:hint="eastAsia"/>
                <w:color w:val="000000"/>
                <w:w w:val="16"/>
                <w:szCs w:val="20"/>
                <w:shd w:val="solid" w:color="000000" w:fill="000000"/>
                <w:fitText w:val="72" w:id="-1301008882"/>
                <w14:textFill>
                  <w14:solidFill>
                    <w14:srgbClr w14:val="000000">
                      <w14:alpha w14:val="100000"/>
                    </w14:srgbClr>
                  </w14:solidFill>
                </w14:textFill>
              </w:rPr>
              <w:t xml:space="preserve">　</w:t>
            </w:r>
          </w:p>
        </w:tc>
        <w:tc>
          <w:tcPr>
            <w:tcW w:w="510" w:type="pct"/>
            <w:tcBorders>
              <w:top w:val="nil"/>
              <w:bottom w:val="nil"/>
            </w:tcBorders>
          </w:tcPr>
          <w:p w14:paraId="32CEDADB" w14:textId="77777777" w:rsidR="00FB40DA" w:rsidRPr="00BB0EC1" w:rsidRDefault="00FB40DA" w:rsidP="005F70DE">
            <w:pPr>
              <w:pStyle w:val="TableText0"/>
              <w:keepLines/>
              <w:jc w:val="center"/>
              <w:rPr>
                <w:szCs w:val="20"/>
              </w:rPr>
            </w:pPr>
            <w:r w:rsidRPr="00BB0EC1">
              <w:rPr>
                <w:szCs w:val="20"/>
              </w:rPr>
              <w:t>0.27</w:t>
            </w:r>
          </w:p>
        </w:tc>
        <w:tc>
          <w:tcPr>
            <w:tcW w:w="512" w:type="pct"/>
            <w:tcBorders>
              <w:top w:val="nil"/>
              <w:bottom w:val="nil"/>
            </w:tcBorders>
          </w:tcPr>
          <w:p w14:paraId="44AEDC0D" w14:textId="28978A44"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22"/>
                <w:szCs w:val="20"/>
                <w:shd w:val="solid" w:color="000000" w:fill="000000"/>
                <w:fitText w:val="100" w:id="-1301008881"/>
                <w14:textFill>
                  <w14:solidFill>
                    <w14:srgbClr w14:val="000000">
                      <w14:alpha w14:val="100000"/>
                    </w14:srgbClr>
                  </w14:solidFill>
                </w14:textFill>
              </w:rPr>
              <w:t xml:space="preserve">　</w:t>
            </w:r>
            <w:r w:rsidR="00206B77" w:rsidRPr="00381965">
              <w:rPr>
                <w:color w:val="000000"/>
                <w:w w:val="22"/>
                <w:szCs w:val="20"/>
                <w:shd w:val="solid" w:color="000000" w:fill="000000"/>
                <w:fitText w:val="100" w:id="-1301008881"/>
                <w14:textFill>
                  <w14:solidFill>
                    <w14:srgbClr w14:val="000000">
                      <w14:alpha w14:val="100000"/>
                    </w14:srgbClr>
                  </w14:solidFill>
                </w14:textFill>
              </w:rPr>
              <w:t>|</w:t>
            </w:r>
            <w:r w:rsidR="00206B77" w:rsidRPr="00381965">
              <w:rPr>
                <w:rFonts w:hint="eastAsia"/>
                <w:color w:val="000000"/>
                <w:spacing w:val="3"/>
                <w:w w:val="22"/>
                <w:szCs w:val="20"/>
                <w:shd w:val="solid" w:color="000000" w:fill="000000"/>
                <w:fitText w:val="100" w:id="-1301008881"/>
                <w14:textFill>
                  <w14:solidFill>
                    <w14:srgbClr w14:val="000000">
                      <w14:alpha w14:val="100000"/>
                    </w14:srgbClr>
                  </w14:solidFill>
                </w14:textFill>
              </w:rPr>
              <w:t xml:space="preserve">　</w:t>
            </w:r>
            <w:r w:rsidR="00EC4042" w:rsidRPr="00BB0EC1">
              <w:rPr>
                <w:b/>
                <w:szCs w:val="20"/>
                <w:vertAlign w:val="superscript"/>
              </w:rPr>
              <w:t>6</w:t>
            </w:r>
          </w:p>
        </w:tc>
        <w:tc>
          <w:tcPr>
            <w:tcW w:w="510" w:type="pct"/>
            <w:tcBorders>
              <w:top w:val="nil"/>
              <w:bottom w:val="nil"/>
            </w:tcBorders>
          </w:tcPr>
          <w:p w14:paraId="033CA60F" w14:textId="2ECA261C"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16"/>
                <w:szCs w:val="20"/>
                <w:shd w:val="solid" w:color="000000" w:fill="000000"/>
                <w:fitText w:val="72" w:id="-1301008880"/>
                <w14:textFill>
                  <w14:solidFill>
                    <w14:srgbClr w14:val="000000">
                      <w14:alpha w14:val="100000"/>
                    </w14:srgbClr>
                  </w14:solidFill>
                </w14:textFill>
              </w:rPr>
              <w:t xml:space="preserve">　</w:t>
            </w:r>
            <w:r w:rsidR="00206B77" w:rsidRPr="00381965">
              <w:rPr>
                <w:color w:val="000000"/>
                <w:w w:val="16"/>
                <w:szCs w:val="20"/>
                <w:shd w:val="solid" w:color="000000" w:fill="000000"/>
                <w:fitText w:val="72" w:id="-1301008880"/>
                <w14:textFill>
                  <w14:solidFill>
                    <w14:srgbClr w14:val="000000">
                      <w14:alpha w14:val="100000"/>
                    </w14:srgbClr>
                  </w14:solidFill>
                </w14:textFill>
              </w:rPr>
              <w:t>|</w:t>
            </w:r>
            <w:r w:rsidR="00206B77" w:rsidRPr="00381965">
              <w:rPr>
                <w:rFonts w:hint="eastAsia"/>
                <w:color w:val="000000"/>
                <w:w w:val="16"/>
                <w:szCs w:val="20"/>
                <w:shd w:val="solid" w:color="000000" w:fill="000000"/>
                <w:fitText w:val="72" w:id="-1301008880"/>
                <w14:textFill>
                  <w14:solidFill>
                    <w14:srgbClr w14:val="000000">
                      <w14:alpha w14:val="100000"/>
                    </w14:srgbClr>
                  </w14:solidFill>
                </w14:textFill>
              </w:rPr>
              <w:t xml:space="preserve">　</w:t>
            </w:r>
          </w:p>
        </w:tc>
        <w:tc>
          <w:tcPr>
            <w:tcW w:w="510" w:type="pct"/>
            <w:tcBorders>
              <w:top w:val="nil"/>
              <w:bottom w:val="nil"/>
            </w:tcBorders>
          </w:tcPr>
          <w:p w14:paraId="48BB3DED" w14:textId="77777777" w:rsidR="00FB40DA" w:rsidRPr="00BB0EC1" w:rsidRDefault="00FB40DA" w:rsidP="005F70DE">
            <w:pPr>
              <w:pStyle w:val="TableText0"/>
              <w:keepLines/>
              <w:jc w:val="center"/>
              <w:rPr>
                <w:szCs w:val="20"/>
              </w:rPr>
            </w:pPr>
            <w:r w:rsidRPr="00BB0EC1">
              <w:rPr>
                <w:szCs w:val="20"/>
              </w:rPr>
              <w:t>0.49</w:t>
            </w:r>
          </w:p>
        </w:tc>
        <w:tc>
          <w:tcPr>
            <w:tcW w:w="517" w:type="pct"/>
            <w:tcBorders>
              <w:top w:val="nil"/>
              <w:bottom w:val="nil"/>
            </w:tcBorders>
          </w:tcPr>
          <w:p w14:paraId="52439AF2" w14:textId="32CC5500" w:rsidR="00FB40DA" w:rsidRPr="00BB0EC1" w:rsidRDefault="00FB40DA" w:rsidP="005F70DE">
            <w:pPr>
              <w:pStyle w:val="TableText0"/>
              <w:keepLines/>
              <w:jc w:val="center"/>
              <w:rPr>
                <w:szCs w:val="20"/>
              </w:rPr>
            </w:pPr>
            <w:r w:rsidRPr="00BB0EC1">
              <w:rPr>
                <w:szCs w:val="20"/>
              </w:rPr>
              <w:t>$</w:t>
            </w:r>
            <w:r w:rsidR="00206B77" w:rsidRPr="00206B77">
              <w:rPr>
                <w:rFonts w:hint="eastAsia"/>
                <w:color w:val="000000"/>
                <w:w w:val="21"/>
                <w:szCs w:val="20"/>
                <w:shd w:val="solid" w:color="000000" w:fill="000000"/>
                <w:fitText w:val="93" w:id="-1301008896"/>
                <w14:textFill>
                  <w14:solidFill>
                    <w14:srgbClr w14:val="000000">
                      <w14:alpha w14:val="100000"/>
                    </w14:srgbClr>
                  </w14:solidFill>
                </w14:textFill>
              </w:rPr>
              <w:t xml:space="preserve">　</w:t>
            </w:r>
            <w:r w:rsidR="00206B77" w:rsidRPr="00206B77">
              <w:rPr>
                <w:color w:val="000000"/>
                <w:w w:val="21"/>
                <w:szCs w:val="20"/>
                <w:shd w:val="solid" w:color="000000" w:fill="000000"/>
                <w:fitText w:val="93" w:id="-1301008896"/>
                <w14:textFill>
                  <w14:solidFill>
                    <w14:srgbClr w14:val="000000">
                      <w14:alpha w14:val="100000"/>
                    </w14:srgbClr>
                  </w14:solidFill>
                </w14:textFill>
              </w:rPr>
              <w:t>|</w:t>
            </w:r>
            <w:r w:rsidR="00206B77" w:rsidRPr="00206B77">
              <w:rPr>
                <w:rFonts w:hint="eastAsia"/>
                <w:color w:val="000000"/>
                <w:spacing w:val="2"/>
                <w:w w:val="21"/>
                <w:szCs w:val="20"/>
                <w:shd w:val="solid" w:color="000000" w:fill="000000"/>
                <w:fitText w:val="93" w:id="-1301008896"/>
                <w14:textFill>
                  <w14:solidFill>
                    <w14:srgbClr w14:val="000000">
                      <w14:alpha w14:val="100000"/>
                    </w14:srgbClr>
                  </w14:solidFill>
                </w14:textFill>
              </w:rPr>
              <w:t xml:space="preserve">　</w:t>
            </w:r>
            <w:r w:rsidR="00BB0EC1" w:rsidRPr="00BB0EC1">
              <w:rPr>
                <w:b/>
                <w:szCs w:val="20"/>
                <w:vertAlign w:val="superscript"/>
              </w:rPr>
              <w:t>3</w:t>
            </w:r>
          </w:p>
        </w:tc>
      </w:tr>
      <w:tr w:rsidR="00FB40DA" w:rsidRPr="00BB0EC1" w14:paraId="7F2B8EBA" w14:textId="77777777" w:rsidTr="00FA0D96">
        <w:tc>
          <w:tcPr>
            <w:tcW w:w="1931" w:type="pct"/>
            <w:tcBorders>
              <w:top w:val="nil"/>
              <w:bottom w:val="single" w:sz="4" w:space="0" w:color="auto"/>
            </w:tcBorders>
            <w:vAlign w:val="center"/>
          </w:tcPr>
          <w:p w14:paraId="2B6B986B" w14:textId="77777777" w:rsidR="00FB40DA" w:rsidRPr="00BB0EC1" w:rsidRDefault="00FB40DA" w:rsidP="005F70DE">
            <w:pPr>
              <w:pStyle w:val="TableText0"/>
              <w:keepLines/>
              <w:ind w:left="106"/>
              <w:rPr>
                <w:szCs w:val="20"/>
              </w:rPr>
            </w:pPr>
            <w:r w:rsidRPr="00BB0EC1">
              <w:rPr>
                <w:szCs w:val="20"/>
              </w:rPr>
              <w:t>20 years</w:t>
            </w:r>
          </w:p>
        </w:tc>
        <w:tc>
          <w:tcPr>
            <w:tcW w:w="510" w:type="pct"/>
            <w:tcBorders>
              <w:top w:val="nil"/>
              <w:bottom w:val="single" w:sz="4" w:space="0" w:color="auto"/>
            </w:tcBorders>
          </w:tcPr>
          <w:p w14:paraId="59C300DC" w14:textId="4A181FA3"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spacing w:val="3"/>
                <w:w w:val="15"/>
                <w:szCs w:val="20"/>
                <w:shd w:val="solid" w:color="000000" w:fill="000000"/>
                <w:fitText w:val="72" w:id="-1301008895"/>
                <w14:textFill>
                  <w14:solidFill>
                    <w14:srgbClr w14:val="000000">
                      <w14:alpha w14:val="100000"/>
                    </w14:srgbClr>
                  </w14:solidFill>
                </w14:textFill>
              </w:rPr>
              <w:t xml:space="preserve">　</w:t>
            </w:r>
            <w:r w:rsidR="00206B77" w:rsidRPr="00381965">
              <w:rPr>
                <w:color w:val="000000"/>
                <w:spacing w:val="3"/>
                <w:w w:val="15"/>
                <w:szCs w:val="20"/>
                <w:shd w:val="solid" w:color="000000" w:fill="000000"/>
                <w:fitText w:val="72" w:id="-1301008895"/>
                <w14:textFill>
                  <w14:solidFill>
                    <w14:srgbClr w14:val="000000">
                      <w14:alpha w14:val="100000"/>
                    </w14:srgbClr>
                  </w14:solidFill>
                </w14:textFill>
              </w:rPr>
              <w:t>|</w:t>
            </w:r>
            <w:r w:rsidR="00206B77" w:rsidRPr="00381965">
              <w:rPr>
                <w:rFonts w:hint="eastAsia"/>
                <w:color w:val="000000"/>
                <w:spacing w:val="1"/>
                <w:w w:val="15"/>
                <w:szCs w:val="20"/>
                <w:shd w:val="solid" w:color="000000" w:fill="000000"/>
                <w:fitText w:val="72" w:id="-1301008895"/>
                <w14:textFill>
                  <w14:solidFill>
                    <w14:srgbClr w14:val="000000">
                      <w14:alpha w14:val="100000"/>
                    </w14:srgbClr>
                  </w14:solidFill>
                </w14:textFill>
              </w:rPr>
              <w:t xml:space="preserve">　</w:t>
            </w:r>
          </w:p>
        </w:tc>
        <w:tc>
          <w:tcPr>
            <w:tcW w:w="510" w:type="pct"/>
            <w:tcBorders>
              <w:top w:val="nil"/>
              <w:bottom w:val="single" w:sz="4" w:space="0" w:color="auto"/>
            </w:tcBorders>
          </w:tcPr>
          <w:p w14:paraId="2904D668" w14:textId="77777777" w:rsidR="00FB40DA" w:rsidRPr="00BB0EC1" w:rsidRDefault="00FB40DA" w:rsidP="005F70DE">
            <w:pPr>
              <w:pStyle w:val="TableText0"/>
              <w:keepLines/>
              <w:jc w:val="center"/>
              <w:rPr>
                <w:szCs w:val="20"/>
              </w:rPr>
            </w:pPr>
            <w:r w:rsidRPr="00BB0EC1">
              <w:rPr>
                <w:szCs w:val="20"/>
              </w:rPr>
              <w:t>0.34</w:t>
            </w:r>
          </w:p>
        </w:tc>
        <w:tc>
          <w:tcPr>
            <w:tcW w:w="512" w:type="pct"/>
            <w:tcBorders>
              <w:top w:val="nil"/>
              <w:bottom w:val="single" w:sz="4" w:space="0" w:color="auto"/>
            </w:tcBorders>
          </w:tcPr>
          <w:p w14:paraId="39A22F7F" w14:textId="7A1941D0"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22"/>
                <w:szCs w:val="20"/>
                <w:shd w:val="solid" w:color="000000" w:fill="000000"/>
                <w:fitText w:val="100" w:id="-1301008894"/>
                <w14:textFill>
                  <w14:solidFill>
                    <w14:srgbClr w14:val="000000">
                      <w14:alpha w14:val="100000"/>
                    </w14:srgbClr>
                  </w14:solidFill>
                </w14:textFill>
              </w:rPr>
              <w:t xml:space="preserve">　</w:t>
            </w:r>
            <w:r w:rsidR="00206B77" w:rsidRPr="00381965">
              <w:rPr>
                <w:color w:val="000000"/>
                <w:w w:val="22"/>
                <w:szCs w:val="20"/>
                <w:shd w:val="solid" w:color="000000" w:fill="000000"/>
                <w:fitText w:val="100" w:id="-1301008894"/>
                <w14:textFill>
                  <w14:solidFill>
                    <w14:srgbClr w14:val="000000">
                      <w14:alpha w14:val="100000"/>
                    </w14:srgbClr>
                  </w14:solidFill>
                </w14:textFill>
              </w:rPr>
              <w:t>|</w:t>
            </w:r>
            <w:r w:rsidR="00206B77" w:rsidRPr="00381965">
              <w:rPr>
                <w:rFonts w:hint="eastAsia"/>
                <w:color w:val="000000"/>
                <w:spacing w:val="3"/>
                <w:w w:val="22"/>
                <w:szCs w:val="20"/>
                <w:shd w:val="solid" w:color="000000" w:fill="000000"/>
                <w:fitText w:val="100" w:id="-1301008894"/>
                <w14:textFill>
                  <w14:solidFill>
                    <w14:srgbClr w14:val="000000">
                      <w14:alpha w14:val="100000"/>
                    </w14:srgbClr>
                  </w14:solidFill>
                </w14:textFill>
              </w:rPr>
              <w:t xml:space="preserve">　</w:t>
            </w:r>
            <w:r w:rsidR="00EC4042" w:rsidRPr="00BB0EC1">
              <w:rPr>
                <w:b/>
                <w:szCs w:val="20"/>
                <w:vertAlign w:val="superscript"/>
              </w:rPr>
              <w:t>7</w:t>
            </w:r>
          </w:p>
        </w:tc>
        <w:tc>
          <w:tcPr>
            <w:tcW w:w="510" w:type="pct"/>
            <w:tcBorders>
              <w:top w:val="nil"/>
              <w:bottom w:val="single" w:sz="4" w:space="0" w:color="auto"/>
            </w:tcBorders>
          </w:tcPr>
          <w:p w14:paraId="1E04DB34" w14:textId="4D5CB1A1"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16"/>
                <w:szCs w:val="20"/>
                <w:shd w:val="solid" w:color="000000" w:fill="000000"/>
                <w:fitText w:val="72" w:id="-1301008893"/>
                <w14:textFill>
                  <w14:solidFill>
                    <w14:srgbClr w14:val="000000">
                      <w14:alpha w14:val="100000"/>
                    </w14:srgbClr>
                  </w14:solidFill>
                </w14:textFill>
              </w:rPr>
              <w:t xml:space="preserve">　</w:t>
            </w:r>
            <w:r w:rsidR="00206B77" w:rsidRPr="00381965">
              <w:rPr>
                <w:color w:val="000000"/>
                <w:w w:val="16"/>
                <w:szCs w:val="20"/>
                <w:shd w:val="solid" w:color="000000" w:fill="000000"/>
                <w:fitText w:val="72" w:id="-1301008893"/>
                <w14:textFill>
                  <w14:solidFill>
                    <w14:srgbClr w14:val="000000">
                      <w14:alpha w14:val="100000"/>
                    </w14:srgbClr>
                  </w14:solidFill>
                </w14:textFill>
              </w:rPr>
              <w:t>|</w:t>
            </w:r>
            <w:r w:rsidR="00206B77" w:rsidRPr="00381965">
              <w:rPr>
                <w:rFonts w:hint="eastAsia"/>
                <w:color w:val="000000"/>
                <w:w w:val="16"/>
                <w:szCs w:val="20"/>
                <w:shd w:val="solid" w:color="000000" w:fill="000000"/>
                <w:fitText w:val="72" w:id="-1301008893"/>
                <w14:textFill>
                  <w14:solidFill>
                    <w14:srgbClr w14:val="000000">
                      <w14:alpha w14:val="100000"/>
                    </w14:srgbClr>
                  </w14:solidFill>
                </w14:textFill>
              </w:rPr>
              <w:t xml:space="preserve">　</w:t>
            </w:r>
          </w:p>
        </w:tc>
        <w:tc>
          <w:tcPr>
            <w:tcW w:w="510" w:type="pct"/>
            <w:tcBorders>
              <w:top w:val="nil"/>
              <w:bottom w:val="single" w:sz="4" w:space="0" w:color="auto"/>
            </w:tcBorders>
          </w:tcPr>
          <w:p w14:paraId="3B5A18FB" w14:textId="77777777" w:rsidR="00FB40DA" w:rsidRPr="00BB0EC1" w:rsidRDefault="00FB40DA" w:rsidP="005F70DE">
            <w:pPr>
              <w:pStyle w:val="TableText0"/>
              <w:keepLines/>
              <w:jc w:val="center"/>
              <w:rPr>
                <w:szCs w:val="20"/>
              </w:rPr>
            </w:pPr>
            <w:r w:rsidRPr="00BB0EC1">
              <w:rPr>
                <w:szCs w:val="20"/>
              </w:rPr>
              <w:t>0.62</w:t>
            </w:r>
          </w:p>
        </w:tc>
        <w:tc>
          <w:tcPr>
            <w:tcW w:w="517" w:type="pct"/>
            <w:tcBorders>
              <w:top w:val="nil"/>
              <w:bottom w:val="single" w:sz="4" w:space="0" w:color="auto"/>
            </w:tcBorders>
          </w:tcPr>
          <w:p w14:paraId="0A7D2CC7" w14:textId="0DDF7599"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21"/>
                <w:szCs w:val="20"/>
                <w:shd w:val="solid" w:color="000000" w:fill="000000"/>
                <w:fitText w:val="93" w:id="-1301008892"/>
                <w14:textFill>
                  <w14:solidFill>
                    <w14:srgbClr w14:val="000000">
                      <w14:alpha w14:val="100000"/>
                    </w14:srgbClr>
                  </w14:solidFill>
                </w14:textFill>
              </w:rPr>
              <w:t xml:space="preserve">　</w:t>
            </w:r>
            <w:r w:rsidR="00206B77" w:rsidRPr="00381965">
              <w:rPr>
                <w:color w:val="000000"/>
                <w:w w:val="21"/>
                <w:szCs w:val="20"/>
                <w:shd w:val="solid" w:color="000000" w:fill="000000"/>
                <w:fitText w:val="93" w:id="-1301008892"/>
                <w14:textFill>
                  <w14:solidFill>
                    <w14:srgbClr w14:val="000000">
                      <w14:alpha w14:val="100000"/>
                    </w14:srgbClr>
                  </w14:solidFill>
                </w14:textFill>
              </w:rPr>
              <w:t>|</w:t>
            </w:r>
            <w:r w:rsidR="00206B77" w:rsidRPr="00381965">
              <w:rPr>
                <w:rFonts w:hint="eastAsia"/>
                <w:color w:val="000000"/>
                <w:spacing w:val="2"/>
                <w:w w:val="21"/>
                <w:szCs w:val="20"/>
                <w:shd w:val="solid" w:color="000000" w:fill="000000"/>
                <w:fitText w:val="93" w:id="-1301008892"/>
                <w14:textFill>
                  <w14:solidFill>
                    <w14:srgbClr w14:val="000000">
                      <w14:alpha w14:val="100000"/>
                    </w14:srgbClr>
                  </w14:solidFill>
                </w14:textFill>
              </w:rPr>
              <w:t xml:space="preserve">　</w:t>
            </w:r>
            <w:r w:rsidR="00BB0EC1">
              <w:rPr>
                <w:b/>
                <w:szCs w:val="20"/>
                <w:vertAlign w:val="superscript"/>
              </w:rPr>
              <w:t>2</w:t>
            </w:r>
          </w:p>
        </w:tc>
      </w:tr>
      <w:tr w:rsidR="00FB40DA" w:rsidRPr="00BB0EC1" w14:paraId="720D2704" w14:textId="77777777" w:rsidTr="00FA0D96">
        <w:tc>
          <w:tcPr>
            <w:tcW w:w="1931" w:type="pct"/>
            <w:tcBorders>
              <w:bottom w:val="single" w:sz="4" w:space="0" w:color="auto"/>
            </w:tcBorders>
            <w:vAlign w:val="center"/>
          </w:tcPr>
          <w:p w14:paraId="450F7DDD" w14:textId="77777777" w:rsidR="00FB40DA" w:rsidRPr="00BB0EC1" w:rsidRDefault="00FB40DA" w:rsidP="005F70DE">
            <w:pPr>
              <w:pStyle w:val="TableText0"/>
              <w:keepLines/>
              <w:rPr>
                <w:szCs w:val="20"/>
              </w:rPr>
            </w:pPr>
            <w:r w:rsidRPr="00BB0EC1">
              <w:rPr>
                <w:szCs w:val="20"/>
              </w:rPr>
              <w:t>No half cycle correction</w:t>
            </w:r>
          </w:p>
        </w:tc>
        <w:tc>
          <w:tcPr>
            <w:tcW w:w="510" w:type="pct"/>
            <w:tcBorders>
              <w:bottom w:val="single" w:sz="4" w:space="0" w:color="auto"/>
            </w:tcBorders>
          </w:tcPr>
          <w:p w14:paraId="7E5C70B5" w14:textId="363BD4B7"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spacing w:val="3"/>
                <w:w w:val="15"/>
                <w:szCs w:val="20"/>
                <w:shd w:val="solid" w:color="000000" w:fill="000000"/>
                <w:fitText w:val="72" w:id="-1301008891"/>
                <w14:textFill>
                  <w14:solidFill>
                    <w14:srgbClr w14:val="000000">
                      <w14:alpha w14:val="100000"/>
                    </w14:srgbClr>
                  </w14:solidFill>
                </w14:textFill>
              </w:rPr>
              <w:t xml:space="preserve">　</w:t>
            </w:r>
            <w:r w:rsidR="00206B77" w:rsidRPr="00381965">
              <w:rPr>
                <w:color w:val="000000"/>
                <w:spacing w:val="3"/>
                <w:w w:val="15"/>
                <w:szCs w:val="20"/>
                <w:shd w:val="solid" w:color="000000" w:fill="000000"/>
                <w:fitText w:val="72" w:id="-1301008891"/>
                <w14:textFill>
                  <w14:solidFill>
                    <w14:srgbClr w14:val="000000">
                      <w14:alpha w14:val="100000"/>
                    </w14:srgbClr>
                  </w14:solidFill>
                </w14:textFill>
              </w:rPr>
              <w:t>|</w:t>
            </w:r>
            <w:r w:rsidR="00206B77" w:rsidRPr="00381965">
              <w:rPr>
                <w:rFonts w:hint="eastAsia"/>
                <w:color w:val="000000"/>
                <w:spacing w:val="1"/>
                <w:w w:val="15"/>
                <w:szCs w:val="20"/>
                <w:shd w:val="solid" w:color="000000" w:fill="000000"/>
                <w:fitText w:val="72" w:id="-1301008891"/>
                <w14:textFill>
                  <w14:solidFill>
                    <w14:srgbClr w14:val="000000">
                      <w14:alpha w14:val="100000"/>
                    </w14:srgbClr>
                  </w14:solidFill>
                </w14:textFill>
              </w:rPr>
              <w:t xml:space="preserve">　</w:t>
            </w:r>
          </w:p>
        </w:tc>
        <w:tc>
          <w:tcPr>
            <w:tcW w:w="510" w:type="pct"/>
            <w:tcBorders>
              <w:bottom w:val="single" w:sz="4" w:space="0" w:color="auto"/>
            </w:tcBorders>
          </w:tcPr>
          <w:p w14:paraId="3B5CBF66" w14:textId="77777777" w:rsidR="00FB40DA" w:rsidRPr="00BB0EC1" w:rsidRDefault="00FB40DA" w:rsidP="005F70DE">
            <w:pPr>
              <w:pStyle w:val="TableText0"/>
              <w:keepLines/>
              <w:jc w:val="center"/>
              <w:rPr>
                <w:szCs w:val="20"/>
              </w:rPr>
            </w:pPr>
            <w:r w:rsidRPr="00BB0EC1">
              <w:rPr>
                <w:szCs w:val="20"/>
              </w:rPr>
              <w:t>0.39</w:t>
            </w:r>
          </w:p>
        </w:tc>
        <w:tc>
          <w:tcPr>
            <w:tcW w:w="512" w:type="pct"/>
            <w:tcBorders>
              <w:bottom w:val="single" w:sz="4" w:space="0" w:color="auto"/>
            </w:tcBorders>
          </w:tcPr>
          <w:p w14:paraId="70277867" w14:textId="6FEEFB84" w:rsidR="00FB40DA" w:rsidRPr="00BB0EC1" w:rsidRDefault="00FB40DA" w:rsidP="005F70DE">
            <w:pPr>
              <w:pStyle w:val="TableText0"/>
              <w:keepLines/>
              <w:jc w:val="center"/>
              <w:rPr>
                <w:szCs w:val="20"/>
              </w:rPr>
            </w:pPr>
            <w:r w:rsidRPr="00BB0EC1">
              <w:rPr>
                <w:szCs w:val="20"/>
              </w:rPr>
              <w:t>$</w:t>
            </w:r>
            <w:r w:rsidR="00206B77" w:rsidRPr="00206B77">
              <w:rPr>
                <w:rFonts w:hint="eastAsia"/>
                <w:color w:val="000000"/>
                <w:w w:val="22"/>
                <w:szCs w:val="20"/>
                <w:shd w:val="solid" w:color="000000" w:fill="000000"/>
                <w:fitText w:val="100" w:id="-1301008890"/>
                <w14:textFill>
                  <w14:solidFill>
                    <w14:srgbClr w14:val="000000">
                      <w14:alpha w14:val="100000"/>
                    </w14:srgbClr>
                  </w14:solidFill>
                </w14:textFill>
              </w:rPr>
              <w:t xml:space="preserve">　</w:t>
            </w:r>
            <w:r w:rsidR="00206B77" w:rsidRPr="00206B77">
              <w:rPr>
                <w:color w:val="000000"/>
                <w:w w:val="22"/>
                <w:szCs w:val="20"/>
                <w:shd w:val="solid" w:color="000000" w:fill="000000"/>
                <w:fitText w:val="100" w:id="-1301008890"/>
                <w14:textFill>
                  <w14:solidFill>
                    <w14:srgbClr w14:val="000000">
                      <w14:alpha w14:val="100000"/>
                    </w14:srgbClr>
                  </w14:solidFill>
                </w14:textFill>
              </w:rPr>
              <w:t>|</w:t>
            </w:r>
            <w:r w:rsidR="00206B77" w:rsidRPr="00206B77">
              <w:rPr>
                <w:rFonts w:hint="eastAsia"/>
                <w:color w:val="000000"/>
                <w:spacing w:val="3"/>
                <w:w w:val="22"/>
                <w:szCs w:val="20"/>
                <w:shd w:val="solid" w:color="000000" w:fill="000000"/>
                <w:fitText w:val="100" w:id="-1301008890"/>
                <w14:textFill>
                  <w14:solidFill>
                    <w14:srgbClr w14:val="000000">
                      <w14:alpha w14:val="100000"/>
                    </w14:srgbClr>
                  </w14:solidFill>
                </w14:textFill>
              </w:rPr>
              <w:t xml:space="preserve">　</w:t>
            </w:r>
            <w:r w:rsidR="00EC4042" w:rsidRPr="00BB0EC1">
              <w:rPr>
                <w:b/>
                <w:szCs w:val="20"/>
                <w:vertAlign w:val="superscript"/>
              </w:rPr>
              <w:t>1</w:t>
            </w:r>
          </w:p>
        </w:tc>
        <w:tc>
          <w:tcPr>
            <w:tcW w:w="510" w:type="pct"/>
            <w:tcBorders>
              <w:bottom w:val="single" w:sz="4" w:space="0" w:color="auto"/>
            </w:tcBorders>
          </w:tcPr>
          <w:p w14:paraId="35430B25" w14:textId="50D152C4"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spacing w:val="3"/>
                <w:w w:val="15"/>
                <w:szCs w:val="20"/>
                <w:shd w:val="solid" w:color="000000" w:fill="000000"/>
                <w:fitText w:val="72" w:id="-1301008889"/>
                <w14:textFill>
                  <w14:solidFill>
                    <w14:srgbClr w14:val="000000">
                      <w14:alpha w14:val="100000"/>
                    </w14:srgbClr>
                  </w14:solidFill>
                </w14:textFill>
              </w:rPr>
              <w:t xml:space="preserve">　</w:t>
            </w:r>
            <w:r w:rsidR="00206B77" w:rsidRPr="00381965">
              <w:rPr>
                <w:color w:val="000000"/>
                <w:spacing w:val="3"/>
                <w:w w:val="15"/>
                <w:szCs w:val="20"/>
                <w:shd w:val="solid" w:color="000000" w:fill="000000"/>
                <w:fitText w:val="72" w:id="-1301008889"/>
                <w14:textFill>
                  <w14:solidFill>
                    <w14:srgbClr w14:val="000000">
                      <w14:alpha w14:val="100000"/>
                    </w14:srgbClr>
                  </w14:solidFill>
                </w14:textFill>
              </w:rPr>
              <w:t>|</w:t>
            </w:r>
            <w:r w:rsidR="00206B77" w:rsidRPr="00381965">
              <w:rPr>
                <w:rFonts w:hint="eastAsia"/>
                <w:color w:val="000000"/>
                <w:spacing w:val="1"/>
                <w:w w:val="15"/>
                <w:szCs w:val="20"/>
                <w:shd w:val="solid" w:color="000000" w:fill="000000"/>
                <w:fitText w:val="72" w:id="-1301008889"/>
                <w14:textFill>
                  <w14:solidFill>
                    <w14:srgbClr w14:val="000000">
                      <w14:alpha w14:val="100000"/>
                    </w14:srgbClr>
                  </w14:solidFill>
                </w14:textFill>
              </w:rPr>
              <w:t xml:space="preserve">　</w:t>
            </w:r>
          </w:p>
        </w:tc>
        <w:tc>
          <w:tcPr>
            <w:tcW w:w="510" w:type="pct"/>
            <w:tcBorders>
              <w:bottom w:val="single" w:sz="4" w:space="0" w:color="auto"/>
            </w:tcBorders>
          </w:tcPr>
          <w:p w14:paraId="680F4A81" w14:textId="77777777" w:rsidR="00FB40DA" w:rsidRPr="00BB0EC1" w:rsidRDefault="00FB40DA" w:rsidP="005F70DE">
            <w:pPr>
              <w:pStyle w:val="TableText0"/>
              <w:keepLines/>
              <w:jc w:val="center"/>
              <w:rPr>
                <w:szCs w:val="20"/>
              </w:rPr>
            </w:pPr>
            <w:r w:rsidRPr="00BB0EC1">
              <w:rPr>
                <w:szCs w:val="20"/>
              </w:rPr>
              <w:t>0.70</w:t>
            </w:r>
          </w:p>
        </w:tc>
        <w:tc>
          <w:tcPr>
            <w:tcW w:w="517" w:type="pct"/>
            <w:tcBorders>
              <w:bottom w:val="single" w:sz="4" w:space="0" w:color="auto"/>
            </w:tcBorders>
          </w:tcPr>
          <w:p w14:paraId="2DAA1C51" w14:textId="3BB3C6C4"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21"/>
                <w:szCs w:val="20"/>
                <w:shd w:val="solid" w:color="000000" w:fill="000000"/>
                <w:fitText w:val="93" w:id="-1301008888"/>
                <w14:textFill>
                  <w14:solidFill>
                    <w14:srgbClr w14:val="000000">
                      <w14:alpha w14:val="100000"/>
                    </w14:srgbClr>
                  </w14:solidFill>
                </w14:textFill>
              </w:rPr>
              <w:t xml:space="preserve">　</w:t>
            </w:r>
            <w:r w:rsidR="00206B77" w:rsidRPr="00381965">
              <w:rPr>
                <w:color w:val="000000"/>
                <w:w w:val="21"/>
                <w:szCs w:val="20"/>
                <w:shd w:val="solid" w:color="000000" w:fill="000000"/>
                <w:fitText w:val="93" w:id="-1301008888"/>
                <w14:textFill>
                  <w14:solidFill>
                    <w14:srgbClr w14:val="000000">
                      <w14:alpha w14:val="100000"/>
                    </w14:srgbClr>
                  </w14:solidFill>
                </w14:textFill>
              </w:rPr>
              <w:t>|</w:t>
            </w:r>
            <w:r w:rsidR="00206B77" w:rsidRPr="00381965">
              <w:rPr>
                <w:rFonts w:hint="eastAsia"/>
                <w:color w:val="000000"/>
                <w:spacing w:val="2"/>
                <w:w w:val="21"/>
                <w:szCs w:val="20"/>
                <w:shd w:val="solid" w:color="000000" w:fill="000000"/>
                <w:fitText w:val="93" w:id="-1301008888"/>
                <w14:textFill>
                  <w14:solidFill>
                    <w14:srgbClr w14:val="000000">
                      <w14:alpha w14:val="100000"/>
                    </w14:srgbClr>
                  </w14:solidFill>
                </w14:textFill>
              </w:rPr>
              <w:t xml:space="preserve">　</w:t>
            </w:r>
            <w:r w:rsidR="00BB0EC1">
              <w:rPr>
                <w:b/>
                <w:szCs w:val="20"/>
                <w:vertAlign w:val="superscript"/>
              </w:rPr>
              <w:t>2</w:t>
            </w:r>
          </w:p>
        </w:tc>
      </w:tr>
      <w:tr w:rsidR="00FB40DA" w:rsidRPr="00BB0EC1" w14:paraId="3390D70E" w14:textId="77777777" w:rsidTr="00FA0D96">
        <w:tc>
          <w:tcPr>
            <w:tcW w:w="1931" w:type="pct"/>
            <w:tcBorders>
              <w:bottom w:val="nil"/>
            </w:tcBorders>
            <w:vAlign w:val="center"/>
          </w:tcPr>
          <w:p w14:paraId="7D9EAB40" w14:textId="131BA817" w:rsidR="00FB40DA" w:rsidRPr="00BB0EC1" w:rsidRDefault="00FB40DA" w:rsidP="005F70DE">
            <w:pPr>
              <w:pStyle w:val="TableText0"/>
              <w:keepLines/>
              <w:rPr>
                <w:szCs w:val="20"/>
              </w:rPr>
            </w:pPr>
            <w:r w:rsidRPr="00BB0EC1">
              <w:rPr>
                <w:szCs w:val="20"/>
              </w:rPr>
              <w:t xml:space="preserve">Extrapolations (base </w:t>
            </w:r>
            <w:r w:rsidR="005F3B41" w:rsidRPr="00BB0EC1">
              <w:rPr>
                <w:szCs w:val="20"/>
              </w:rPr>
              <w:t>mixture-cure</w:t>
            </w:r>
            <w:r w:rsidRPr="00BB0EC1">
              <w:rPr>
                <w:szCs w:val="20"/>
              </w:rPr>
              <w:t xml:space="preserve"> model, ITT model PFS and OS gamma, IPI 3-5 model PFS and OS log-normal)</w:t>
            </w:r>
          </w:p>
        </w:tc>
        <w:tc>
          <w:tcPr>
            <w:tcW w:w="510" w:type="pct"/>
            <w:tcBorders>
              <w:bottom w:val="nil"/>
            </w:tcBorders>
            <w:vAlign w:val="center"/>
          </w:tcPr>
          <w:p w14:paraId="4B1CBE8B" w14:textId="77777777" w:rsidR="00FB40DA" w:rsidRPr="00BB0EC1" w:rsidRDefault="00FB40DA" w:rsidP="005F70DE">
            <w:pPr>
              <w:pStyle w:val="TableText0"/>
              <w:keepLines/>
              <w:jc w:val="center"/>
              <w:rPr>
                <w:szCs w:val="20"/>
              </w:rPr>
            </w:pPr>
          </w:p>
        </w:tc>
        <w:tc>
          <w:tcPr>
            <w:tcW w:w="510" w:type="pct"/>
            <w:tcBorders>
              <w:bottom w:val="nil"/>
            </w:tcBorders>
            <w:vAlign w:val="center"/>
          </w:tcPr>
          <w:p w14:paraId="28C6C3EC" w14:textId="77777777" w:rsidR="00FB40DA" w:rsidRPr="00BB0EC1" w:rsidRDefault="00FB40DA" w:rsidP="005F70DE">
            <w:pPr>
              <w:pStyle w:val="TableText0"/>
              <w:keepLines/>
              <w:jc w:val="center"/>
              <w:rPr>
                <w:szCs w:val="20"/>
              </w:rPr>
            </w:pPr>
          </w:p>
        </w:tc>
        <w:tc>
          <w:tcPr>
            <w:tcW w:w="512" w:type="pct"/>
            <w:tcBorders>
              <w:bottom w:val="nil"/>
            </w:tcBorders>
            <w:vAlign w:val="center"/>
          </w:tcPr>
          <w:p w14:paraId="6C56FE03" w14:textId="77777777" w:rsidR="00FB40DA" w:rsidRPr="00BB0EC1" w:rsidRDefault="00FB40DA" w:rsidP="005F70DE">
            <w:pPr>
              <w:pStyle w:val="TableText0"/>
              <w:keepLines/>
              <w:jc w:val="center"/>
              <w:rPr>
                <w:szCs w:val="20"/>
              </w:rPr>
            </w:pPr>
          </w:p>
        </w:tc>
        <w:tc>
          <w:tcPr>
            <w:tcW w:w="510" w:type="pct"/>
            <w:tcBorders>
              <w:bottom w:val="nil"/>
            </w:tcBorders>
            <w:vAlign w:val="center"/>
          </w:tcPr>
          <w:p w14:paraId="605BABA7" w14:textId="77777777" w:rsidR="00FB40DA" w:rsidRPr="00BB0EC1" w:rsidRDefault="00FB40DA" w:rsidP="005F70DE">
            <w:pPr>
              <w:pStyle w:val="TableText0"/>
              <w:keepLines/>
              <w:jc w:val="center"/>
              <w:rPr>
                <w:szCs w:val="20"/>
              </w:rPr>
            </w:pPr>
          </w:p>
        </w:tc>
        <w:tc>
          <w:tcPr>
            <w:tcW w:w="510" w:type="pct"/>
            <w:tcBorders>
              <w:bottom w:val="nil"/>
            </w:tcBorders>
            <w:vAlign w:val="center"/>
          </w:tcPr>
          <w:p w14:paraId="37D51B88" w14:textId="77777777" w:rsidR="00FB40DA" w:rsidRPr="00BB0EC1" w:rsidRDefault="00FB40DA" w:rsidP="005F70DE">
            <w:pPr>
              <w:pStyle w:val="TableText0"/>
              <w:keepLines/>
              <w:jc w:val="center"/>
              <w:rPr>
                <w:szCs w:val="20"/>
              </w:rPr>
            </w:pPr>
          </w:p>
        </w:tc>
        <w:tc>
          <w:tcPr>
            <w:tcW w:w="517" w:type="pct"/>
            <w:tcBorders>
              <w:bottom w:val="nil"/>
            </w:tcBorders>
            <w:vAlign w:val="center"/>
          </w:tcPr>
          <w:p w14:paraId="058DFF89" w14:textId="77777777" w:rsidR="00FB40DA" w:rsidRPr="00BB0EC1" w:rsidRDefault="00FB40DA" w:rsidP="005F70DE">
            <w:pPr>
              <w:pStyle w:val="TableText0"/>
              <w:keepLines/>
              <w:jc w:val="center"/>
              <w:rPr>
                <w:szCs w:val="20"/>
              </w:rPr>
            </w:pPr>
          </w:p>
        </w:tc>
      </w:tr>
      <w:tr w:rsidR="00FB40DA" w:rsidRPr="00BB0EC1" w14:paraId="5D08D5BB" w14:textId="77777777" w:rsidTr="00FA0D96">
        <w:tc>
          <w:tcPr>
            <w:tcW w:w="1931" w:type="pct"/>
            <w:tcBorders>
              <w:top w:val="nil"/>
              <w:bottom w:val="nil"/>
            </w:tcBorders>
            <w:vAlign w:val="center"/>
          </w:tcPr>
          <w:p w14:paraId="5696F4F9" w14:textId="77777777" w:rsidR="00FB40DA" w:rsidRPr="00BB0EC1" w:rsidRDefault="00FB40DA" w:rsidP="005F70DE">
            <w:pPr>
              <w:pStyle w:val="TableText0"/>
              <w:keepLines/>
              <w:ind w:left="106"/>
              <w:rPr>
                <w:szCs w:val="20"/>
              </w:rPr>
            </w:pPr>
            <w:r w:rsidRPr="00BB0EC1">
              <w:rPr>
                <w:szCs w:val="20"/>
              </w:rPr>
              <w:t>Standard parametric survival (same functions as base case)</w:t>
            </w:r>
          </w:p>
        </w:tc>
        <w:tc>
          <w:tcPr>
            <w:tcW w:w="510" w:type="pct"/>
            <w:tcBorders>
              <w:top w:val="nil"/>
              <w:bottom w:val="nil"/>
            </w:tcBorders>
          </w:tcPr>
          <w:p w14:paraId="7840D9D5" w14:textId="00E9E8A5"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16"/>
                <w:szCs w:val="20"/>
                <w:shd w:val="solid" w:color="000000" w:fill="000000"/>
                <w:fitText w:val="72" w:id="-1301008887"/>
                <w14:textFill>
                  <w14:solidFill>
                    <w14:srgbClr w14:val="000000">
                      <w14:alpha w14:val="100000"/>
                    </w14:srgbClr>
                  </w14:solidFill>
                </w14:textFill>
              </w:rPr>
              <w:t xml:space="preserve">　</w:t>
            </w:r>
            <w:r w:rsidR="00206B77" w:rsidRPr="00381965">
              <w:rPr>
                <w:color w:val="000000"/>
                <w:w w:val="16"/>
                <w:szCs w:val="20"/>
                <w:shd w:val="solid" w:color="000000" w:fill="000000"/>
                <w:fitText w:val="72" w:id="-1301008887"/>
                <w14:textFill>
                  <w14:solidFill>
                    <w14:srgbClr w14:val="000000">
                      <w14:alpha w14:val="100000"/>
                    </w14:srgbClr>
                  </w14:solidFill>
                </w14:textFill>
              </w:rPr>
              <w:t>|</w:t>
            </w:r>
            <w:r w:rsidR="00206B77" w:rsidRPr="00381965">
              <w:rPr>
                <w:rFonts w:hint="eastAsia"/>
                <w:color w:val="000000"/>
                <w:w w:val="16"/>
                <w:szCs w:val="20"/>
                <w:shd w:val="solid" w:color="000000" w:fill="000000"/>
                <w:fitText w:val="72" w:id="-1301008887"/>
                <w14:textFill>
                  <w14:solidFill>
                    <w14:srgbClr w14:val="000000">
                      <w14:alpha w14:val="100000"/>
                    </w14:srgbClr>
                  </w14:solidFill>
                </w14:textFill>
              </w:rPr>
              <w:t xml:space="preserve">　</w:t>
            </w:r>
          </w:p>
        </w:tc>
        <w:tc>
          <w:tcPr>
            <w:tcW w:w="510" w:type="pct"/>
            <w:tcBorders>
              <w:top w:val="nil"/>
              <w:bottom w:val="nil"/>
            </w:tcBorders>
          </w:tcPr>
          <w:p w14:paraId="6AF1B75D" w14:textId="77777777" w:rsidR="00FB40DA" w:rsidRPr="00BB0EC1" w:rsidRDefault="00FB40DA" w:rsidP="005F70DE">
            <w:pPr>
              <w:pStyle w:val="TableText0"/>
              <w:keepLines/>
              <w:jc w:val="center"/>
              <w:rPr>
                <w:szCs w:val="20"/>
              </w:rPr>
            </w:pPr>
            <w:r w:rsidRPr="00BB0EC1">
              <w:rPr>
                <w:szCs w:val="20"/>
              </w:rPr>
              <w:t>0.34</w:t>
            </w:r>
          </w:p>
        </w:tc>
        <w:tc>
          <w:tcPr>
            <w:tcW w:w="512" w:type="pct"/>
            <w:tcBorders>
              <w:top w:val="nil"/>
              <w:bottom w:val="nil"/>
            </w:tcBorders>
          </w:tcPr>
          <w:p w14:paraId="561455B5" w14:textId="1D3A7B59"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22"/>
                <w:szCs w:val="20"/>
                <w:shd w:val="solid" w:color="000000" w:fill="000000"/>
                <w:fitText w:val="100" w:id="-1301008886"/>
                <w14:textFill>
                  <w14:solidFill>
                    <w14:srgbClr w14:val="000000">
                      <w14:alpha w14:val="100000"/>
                    </w14:srgbClr>
                  </w14:solidFill>
                </w14:textFill>
              </w:rPr>
              <w:t xml:space="preserve">　</w:t>
            </w:r>
            <w:r w:rsidR="00206B77" w:rsidRPr="00381965">
              <w:rPr>
                <w:color w:val="000000"/>
                <w:w w:val="22"/>
                <w:szCs w:val="20"/>
                <w:shd w:val="solid" w:color="000000" w:fill="000000"/>
                <w:fitText w:val="100" w:id="-1301008886"/>
                <w14:textFill>
                  <w14:solidFill>
                    <w14:srgbClr w14:val="000000">
                      <w14:alpha w14:val="100000"/>
                    </w14:srgbClr>
                  </w14:solidFill>
                </w14:textFill>
              </w:rPr>
              <w:t>|</w:t>
            </w:r>
            <w:r w:rsidR="00206B77" w:rsidRPr="00381965">
              <w:rPr>
                <w:rFonts w:hint="eastAsia"/>
                <w:color w:val="000000"/>
                <w:spacing w:val="3"/>
                <w:w w:val="22"/>
                <w:szCs w:val="20"/>
                <w:shd w:val="solid" w:color="000000" w:fill="000000"/>
                <w:fitText w:val="100" w:id="-1301008886"/>
                <w14:textFill>
                  <w14:solidFill>
                    <w14:srgbClr w14:val="000000">
                      <w14:alpha w14:val="100000"/>
                    </w14:srgbClr>
                  </w14:solidFill>
                </w14:textFill>
              </w:rPr>
              <w:t xml:space="preserve">　</w:t>
            </w:r>
            <w:r w:rsidR="00EC4042" w:rsidRPr="00BB0EC1">
              <w:rPr>
                <w:b/>
                <w:szCs w:val="20"/>
                <w:vertAlign w:val="superscript"/>
              </w:rPr>
              <w:t>1</w:t>
            </w:r>
          </w:p>
        </w:tc>
        <w:tc>
          <w:tcPr>
            <w:tcW w:w="510" w:type="pct"/>
            <w:tcBorders>
              <w:top w:val="nil"/>
              <w:bottom w:val="nil"/>
            </w:tcBorders>
          </w:tcPr>
          <w:p w14:paraId="6528E262" w14:textId="18371F98"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spacing w:val="3"/>
                <w:w w:val="15"/>
                <w:szCs w:val="20"/>
                <w:shd w:val="solid" w:color="000000" w:fill="000000"/>
                <w:fitText w:val="72" w:id="-1301008885"/>
                <w14:textFill>
                  <w14:solidFill>
                    <w14:srgbClr w14:val="000000">
                      <w14:alpha w14:val="100000"/>
                    </w14:srgbClr>
                  </w14:solidFill>
                </w14:textFill>
              </w:rPr>
              <w:t xml:space="preserve">　</w:t>
            </w:r>
            <w:r w:rsidR="00206B77" w:rsidRPr="00381965">
              <w:rPr>
                <w:color w:val="000000"/>
                <w:spacing w:val="3"/>
                <w:w w:val="15"/>
                <w:szCs w:val="20"/>
                <w:shd w:val="solid" w:color="000000" w:fill="000000"/>
                <w:fitText w:val="72" w:id="-1301008885"/>
                <w14:textFill>
                  <w14:solidFill>
                    <w14:srgbClr w14:val="000000">
                      <w14:alpha w14:val="100000"/>
                    </w14:srgbClr>
                  </w14:solidFill>
                </w14:textFill>
              </w:rPr>
              <w:t>|</w:t>
            </w:r>
            <w:r w:rsidR="00206B77" w:rsidRPr="00381965">
              <w:rPr>
                <w:rFonts w:hint="eastAsia"/>
                <w:color w:val="000000"/>
                <w:spacing w:val="1"/>
                <w:w w:val="15"/>
                <w:szCs w:val="20"/>
                <w:shd w:val="solid" w:color="000000" w:fill="000000"/>
                <w:fitText w:val="72" w:id="-1301008885"/>
                <w14:textFill>
                  <w14:solidFill>
                    <w14:srgbClr w14:val="000000">
                      <w14:alpha w14:val="100000"/>
                    </w14:srgbClr>
                  </w14:solidFill>
                </w14:textFill>
              </w:rPr>
              <w:t xml:space="preserve">　</w:t>
            </w:r>
          </w:p>
        </w:tc>
        <w:tc>
          <w:tcPr>
            <w:tcW w:w="510" w:type="pct"/>
            <w:tcBorders>
              <w:top w:val="nil"/>
              <w:bottom w:val="nil"/>
            </w:tcBorders>
          </w:tcPr>
          <w:p w14:paraId="6C81BD70" w14:textId="77777777" w:rsidR="00FB40DA" w:rsidRPr="00BB0EC1" w:rsidRDefault="00FB40DA" w:rsidP="005F70DE">
            <w:pPr>
              <w:pStyle w:val="TableText0"/>
              <w:keepLines/>
              <w:jc w:val="center"/>
              <w:rPr>
                <w:szCs w:val="20"/>
              </w:rPr>
            </w:pPr>
            <w:r w:rsidRPr="00BB0EC1">
              <w:rPr>
                <w:szCs w:val="20"/>
              </w:rPr>
              <w:t>0.75</w:t>
            </w:r>
          </w:p>
        </w:tc>
        <w:tc>
          <w:tcPr>
            <w:tcW w:w="517" w:type="pct"/>
            <w:tcBorders>
              <w:top w:val="nil"/>
              <w:bottom w:val="nil"/>
            </w:tcBorders>
          </w:tcPr>
          <w:p w14:paraId="484D6AD9" w14:textId="43CFDEC1"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27"/>
                <w:szCs w:val="20"/>
                <w:shd w:val="solid" w:color="000000" w:fill="000000"/>
                <w:fitText w:val="121" w:id="-1301008884"/>
                <w14:textFill>
                  <w14:solidFill>
                    <w14:srgbClr w14:val="000000">
                      <w14:alpha w14:val="100000"/>
                    </w14:srgbClr>
                  </w14:solidFill>
                </w14:textFill>
              </w:rPr>
              <w:t xml:space="preserve">　</w:t>
            </w:r>
            <w:r w:rsidR="00206B77" w:rsidRPr="00381965">
              <w:rPr>
                <w:color w:val="000000"/>
                <w:w w:val="27"/>
                <w:szCs w:val="20"/>
                <w:shd w:val="solid" w:color="000000" w:fill="000000"/>
                <w:fitText w:val="121" w:id="-1301008884"/>
                <w14:textFill>
                  <w14:solidFill>
                    <w14:srgbClr w14:val="000000">
                      <w14:alpha w14:val="100000"/>
                    </w14:srgbClr>
                  </w14:solidFill>
                </w14:textFill>
              </w:rPr>
              <w:t>|</w:t>
            </w:r>
            <w:r w:rsidR="00206B77" w:rsidRPr="00381965">
              <w:rPr>
                <w:rFonts w:hint="eastAsia"/>
                <w:color w:val="000000"/>
                <w:spacing w:val="3"/>
                <w:w w:val="27"/>
                <w:szCs w:val="20"/>
                <w:shd w:val="solid" w:color="000000" w:fill="000000"/>
                <w:fitText w:val="121" w:id="-1301008884"/>
                <w14:textFill>
                  <w14:solidFill>
                    <w14:srgbClr w14:val="000000">
                      <w14:alpha w14:val="100000"/>
                    </w14:srgbClr>
                  </w14:solidFill>
                </w14:textFill>
              </w:rPr>
              <w:t xml:space="preserve">　</w:t>
            </w:r>
            <w:r w:rsidR="009D3AAC">
              <w:rPr>
                <w:b/>
                <w:szCs w:val="20"/>
                <w:vertAlign w:val="superscript"/>
              </w:rPr>
              <w:t>11</w:t>
            </w:r>
          </w:p>
        </w:tc>
      </w:tr>
      <w:tr w:rsidR="00FB40DA" w:rsidRPr="00BB0EC1" w14:paraId="7C4E7250" w14:textId="77777777" w:rsidTr="00FA0D96">
        <w:tc>
          <w:tcPr>
            <w:tcW w:w="1931" w:type="pct"/>
            <w:tcBorders>
              <w:top w:val="nil"/>
              <w:bottom w:val="single" w:sz="4" w:space="0" w:color="auto"/>
            </w:tcBorders>
            <w:vAlign w:val="center"/>
          </w:tcPr>
          <w:p w14:paraId="36FC4B0A" w14:textId="77777777" w:rsidR="00FB40DA" w:rsidRPr="00BB0EC1" w:rsidRDefault="00FB40DA" w:rsidP="005F70DE">
            <w:pPr>
              <w:pStyle w:val="TableText0"/>
              <w:keepLines/>
              <w:ind w:left="106"/>
              <w:rPr>
                <w:szCs w:val="20"/>
              </w:rPr>
            </w:pPr>
            <w:r w:rsidRPr="00BB0EC1">
              <w:rPr>
                <w:szCs w:val="20"/>
              </w:rPr>
              <w:t>Standard parametric survival (OS same functions as base case, PFS Pola+R-CHP log-normal, R-CHOP gamma)</w:t>
            </w:r>
          </w:p>
        </w:tc>
        <w:tc>
          <w:tcPr>
            <w:tcW w:w="510" w:type="pct"/>
            <w:tcBorders>
              <w:top w:val="nil"/>
              <w:bottom w:val="single" w:sz="4" w:space="0" w:color="auto"/>
            </w:tcBorders>
          </w:tcPr>
          <w:p w14:paraId="07D78BE3" w14:textId="29B2BEE3"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16"/>
                <w:szCs w:val="20"/>
                <w:shd w:val="solid" w:color="000000" w:fill="000000"/>
                <w:fitText w:val="72" w:id="-1301008883"/>
                <w14:textFill>
                  <w14:solidFill>
                    <w14:srgbClr w14:val="000000">
                      <w14:alpha w14:val="100000"/>
                    </w14:srgbClr>
                  </w14:solidFill>
                </w14:textFill>
              </w:rPr>
              <w:t xml:space="preserve">　</w:t>
            </w:r>
            <w:r w:rsidR="00206B77" w:rsidRPr="00381965">
              <w:rPr>
                <w:color w:val="000000"/>
                <w:w w:val="16"/>
                <w:szCs w:val="20"/>
                <w:shd w:val="solid" w:color="000000" w:fill="000000"/>
                <w:fitText w:val="72" w:id="-1301008883"/>
                <w14:textFill>
                  <w14:solidFill>
                    <w14:srgbClr w14:val="000000">
                      <w14:alpha w14:val="100000"/>
                    </w14:srgbClr>
                  </w14:solidFill>
                </w14:textFill>
              </w:rPr>
              <w:t>|</w:t>
            </w:r>
            <w:r w:rsidR="00206B77" w:rsidRPr="00381965">
              <w:rPr>
                <w:rFonts w:hint="eastAsia"/>
                <w:color w:val="000000"/>
                <w:w w:val="16"/>
                <w:szCs w:val="20"/>
                <w:shd w:val="solid" w:color="000000" w:fill="000000"/>
                <w:fitText w:val="72" w:id="-1301008883"/>
                <w14:textFill>
                  <w14:solidFill>
                    <w14:srgbClr w14:val="000000">
                      <w14:alpha w14:val="100000"/>
                    </w14:srgbClr>
                  </w14:solidFill>
                </w14:textFill>
              </w:rPr>
              <w:t xml:space="preserve">　</w:t>
            </w:r>
          </w:p>
        </w:tc>
        <w:tc>
          <w:tcPr>
            <w:tcW w:w="510" w:type="pct"/>
            <w:tcBorders>
              <w:top w:val="nil"/>
              <w:bottom w:val="single" w:sz="4" w:space="0" w:color="auto"/>
            </w:tcBorders>
          </w:tcPr>
          <w:p w14:paraId="731E415A" w14:textId="77777777" w:rsidR="00FB40DA" w:rsidRPr="00BB0EC1" w:rsidRDefault="00FB40DA" w:rsidP="005F70DE">
            <w:pPr>
              <w:pStyle w:val="TableText0"/>
              <w:keepLines/>
              <w:jc w:val="center"/>
              <w:rPr>
                <w:szCs w:val="20"/>
              </w:rPr>
            </w:pPr>
            <w:r w:rsidRPr="00BB0EC1">
              <w:rPr>
                <w:szCs w:val="20"/>
              </w:rPr>
              <w:t>0.32</w:t>
            </w:r>
          </w:p>
        </w:tc>
        <w:tc>
          <w:tcPr>
            <w:tcW w:w="512" w:type="pct"/>
            <w:tcBorders>
              <w:top w:val="nil"/>
              <w:bottom w:val="single" w:sz="4" w:space="0" w:color="auto"/>
            </w:tcBorders>
          </w:tcPr>
          <w:p w14:paraId="6ABE1B3E" w14:textId="1B2B41CD"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22"/>
                <w:szCs w:val="20"/>
                <w:shd w:val="solid" w:color="000000" w:fill="000000"/>
                <w:fitText w:val="100" w:id="-1301008882"/>
                <w14:textFill>
                  <w14:solidFill>
                    <w14:srgbClr w14:val="000000">
                      <w14:alpha w14:val="100000"/>
                    </w14:srgbClr>
                  </w14:solidFill>
                </w14:textFill>
              </w:rPr>
              <w:t xml:space="preserve">　</w:t>
            </w:r>
            <w:r w:rsidR="00206B77" w:rsidRPr="00381965">
              <w:rPr>
                <w:color w:val="000000"/>
                <w:w w:val="22"/>
                <w:szCs w:val="20"/>
                <w:shd w:val="solid" w:color="000000" w:fill="000000"/>
                <w:fitText w:val="100" w:id="-1301008882"/>
                <w14:textFill>
                  <w14:solidFill>
                    <w14:srgbClr w14:val="000000">
                      <w14:alpha w14:val="100000"/>
                    </w14:srgbClr>
                  </w14:solidFill>
                </w14:textFill>
              </w:rPr>
              <w:t>|</w:t>
            </w:r>
            <w:r w:rsidR="00206B77" w:rsidRPr="00381965">
              <w:rPr>
                <w:rFonts w:hint="eastAsia"/>
                <w:color w:val="000000"/>
                <w:spacing w:val="3"/>
                <w:w w:val="22"/>
                <w:szCs w:val="20"/>
                <w:shd w:val="solid" w:color="000000" w:fill="000000"/>
                <w:fitText w:val="100" w:id="-1301008882"/>
                <w14:textFill>
                  <w14:solidFill>
                    <w14:srgbClr w14:val="000000">
                      <w14:alpha w14:val="100000"/>
                    </w14:srgbClr>
                  </w14:solidFill>
                </w14:textFill>
              </w:rPr>
              <w:t xml:space="preserve">　</w:t>
            </w:r>
            <w:r w:rsidR="00EC4042" w:rsidRPr="00BB0EC1">
              <w:rPr>
                <w:b/>
                <w:szCs w:val="20"/>
                <w:vertAlign w:val="superscript"/>
              </w:rPr>
              <w:t>6</w:t>
            </w:r>
          </w:p>
        </w:tc>
        <w:tc>
          <w:tcPr>
            <w:tcW w:w="510" w:type="pct"/>
            <w:tcBorders>
              <w:top w:val="nil"/>
              <w:bottom w:val="single" w:sz="4" w:space="0" w:color="auto"/>
            </w:tcBorders>
          </w:tcPr>
          <w:p w14:paraId="1A281BFA" w14:textId="764CD0CE"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spacing w:val="3"/>
                <w:w w:val="15"/>
                <w:szCs w:val="20"/>
                <w:shd w:val="solid" w:color="000000" w:fill="000000"/>
                <w:fitText w:val="72" w:id="-1301008881"/>
                <w14:textFill>
                  <w14:solidFill>
                    <w14:srgbClr w14:val="000000">
                      <w14:alpha w14:val="100000"/>
                    </w14:srgbClr>
                  </w14:solidFill>
                </w14:textFill>
              </w:rPr>
              <w:t xml:space="preserve">　</w:t>
            </w:r>
            <w:r w:rsidR="00206B77" w:rsidRPr="00381965">
              <w:rPr>
                <w:color w:val="000000"/>
                <w:spacing w:val="3"/>
                <w:w w:val="15"/>
                <w:szCs w:val="20"/>
                <w:shd w:val="solid" w:color="000000" w:fill="000000"/>
                <w:fitText w:val="72" w:id="-1301008881"/>
                <w14:textFill>
                  <w14:solidFill>
                    <w14:srgbClr w14:val="000000">
                      <w14:alpha w14:val="100000"/>
                    </w14:srgbClr>
                  </w14:solidFill>
                </w14:textFill>
              </w:rPr>
              <w:t>|</w:t>
            </w:r>
            <w:r w:rsidR="00206B77" w:rsidRPr="00381965">
              <w:rPr>
                <w:rFonts w:hint="eastAsia"/>
                <w:color w:val="000000"/>
                <w:spacing w:val="1"/>
                <w:w w:val="15"/>
                <w:szCs w:val="20"/>
                <w:shd w:val="solid" w:color="000000" w:fill="000000"/>
                <w:fitText w:val="72" w:id="-1301008881"/>
                <w14:textFill>
                  <w14:solidFill>
                    <w14:srgbClr w14:val="000000">
                      <w14:alpha w14:val="100000"/>
                    </w14:srgbClr>
                  </w14:solidFill>
                </w14:textFill>
              </w:rPr>
              <w:t xml:space="preserve">　</w:t>
            </w:r>
          </w:p>
        </w:tc>
        <w:tc>
          <w:tcPr>
            <w:tcW w:w="510" w:type="pct"/>
            <w:tcBorders>
              <w:top w:val="nil"/>
              <w:bottom w:val="single" w:sz="4" w:space="0" w:color="auto"/>
            </w:tcBorders>
          </w:tcPr>
          <w:p w14:paraId="0FC6025E" w14:textId="77777777" w:rsidR="00FB40DA" w:rsidRPr="00BB0EC1" w:rsidRDefault="00FB40DA" w:rsidP="005F70DE">
            <w:pPr>
              <w:pStyle w:val="TableText0"/>
              <w:keepLines/>
              <w:jc w:val="center"/>
              <w:rPr>
                <w:szCs w:val="20"/>
              </w:rPr>
            </w:pPr>
            <w:r w:rsidRPr="00BB0EC1">
              <w:rPr>
                <w:szCs w:val="20"/>
              </w:rPr>
              <w:t>0.66</w:t>
            </w:r>
          </w:p>
        </w:tc>
        <w:tc>
          <w:tcPr>
            <w:tcW w:w="517" w:type="pct"/>
            <w:tcBorders>
              <w:top w:val="nil"/>
              <w:bottom w:val="single" w:sz="4" w:space="0" w:color="auto"/>
            </w:tcBorders>
          </w:tcPr>
          <w:p w14:paraId="3A557AA2" w14:textId="5B5E6A22"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21"/>
                <w:szCs w:val="20"/>
                <w:shd w:val="solid" w:color="000000" w:fill="000000"/>
                <w:fitText w:val="93" w:id="-1301008880"/>
                <w14:textFill>
                  <w14:solidFill>
                    <w14:srgbClr w14:val="000000">
                      <w14:alpha w14:val="100000"/>
                    </w14:srgbClr>
                  </w14:solidFill>
                </w14:textFill>
              </w:rPr>
              <w:t xml:space="preserve">　</w:t>
            </w:r>
            <w:r w:rsidR="00206B77" w:rsidRPr="00381965">
              <w:rPr>
                <w:color w:val="000000"/>
                <w:w w:val="21"/>
                <w:szCs w:val="20"/>
                <w:shd w:val="solid" w:color="000000" w:fill="000000"/>
                <w:fitText w:val="93" w:id="-1301008880"/>
                <w14:textFill>
                  <w14:solidFill>
                    <w14:srgbClr w14:val="000000">
                      <w14:alpha w14:val="100000"/>
                    </w14:srgbClr>
                  </w14:solidFill>
                </w14:textFill>
              </w:rPr>
              <w:t>|</w:t>
            </w:r>
            <w:r w:rsidR="00206B77" w:rsidRPr="00381965">
              <w:rPr>
                <w:rFonts w:hint="eastAsia"/>
                <w:color w:val="000000"/>
                <w:spacing w:val="2"/>
                <w:w w:val="21"/>
                <w:szCs w:val="20"/>
                <w:shd w:val="solid" w:color="000000" w:fill="000000"/>
                <w:fitText w:val="93" w:id="-1301008880"/>
                <w14:textFill>
                  <w14:solidFill>
                    <w14:srgbClr w14:val="000000">
                      <w14:alpha w14:val="100000"/>
                    </w14:srgbClr>
                  </w14:solidFill>
                </w14:textFill>
              </w:rPr>
              <w:t xml:space="preserve">　</w:t>
            </w:r>
            <w:r w:rsidR="009D3AAC" w:rsidRPr="00BB0EC1">
              <w:rPr>
                <w:b/>
                <w:szCs w:val="20"/>
                <w:vertAlign w:val="superscript"/>
              </w:rPr>
              <w:t>3</w:t>
            </w:r>
          </w:p>
        </w:tc>
      </w:tr>
      <w:tr w:rsidR="00FB40DA" w:rsidRPr="00BB0EC1" w14:paraId="1BF380E9" w14:textId="77777777" w:rsidTr="00FA0D96">
        <w:tc>
          <w:tcPr>
            <w:tcW w:w="1931" w:type="pct"/>
            <w:tcBorders>
              <w:bottom w:val="nil"/>
            </w:tcBorders>
            <w:vAlign w:val="center"/>
          </w:tcPr>
          <w:p w14:paraId="6884629E" w14:textId="77777777" w:rsidR="00FB40DA" w:rsidRPr="00BB0EC1" w:rsidRDefault="00FB40DA" w:rsidP="005F70DE">
            <w:pPr>
              <w:pStyle w:val="TableText0"/>
              <w:keepLines/>
              <w:rPr>
                <w:szCs w:val="20"/>
              </w:rPr>
            </w:pPr>
            <w:r w:rsidRPr="00BB0EC1">
              <w:rPr>
                <w:szCs w:val="20"/>
              </w:rPr>
              <w:t>OS curves equal after KM</w:t>
            </w:r>
          </w:p>
        </w:tc>
        <w:tc>
          <w:tcPr>
            <w:tcW w:w="510" w:type="pct"/>
            <w:tcBorders>
              <w:bottom w:val="nil"/>
            </w:tcBorders>
            <w:vAlign w:val="center"/>
          </w:tcPr>
          <w:p w14:paraId="39C83578" w14:textId="77777777" w:rsidR="00FB40DA" w:rsidRPr="00BB0EC1" w:rsidRDefault="00FB40DA" w:rsidP="005F70DE">
            <w:pPr>
              <w:pStyle w:val="TableText0"/>
              <w:keepLines/>
              <w:jc w:val="center"/>
              <w:rPr>
                <w:szCs w:val="20"/>
              </w:rPr>
            </w:pPr>
          </w:p>
        </w:tc>
        <w:tc>
          <w:tcPr>
            <w:tcW w:w="510" w:type="pct"/>
            <w:tcBorders>
              <w:bottom w:val="nil"/>
            </w:tcBorders>
            <w:vAlign w:val="center"/>
          </w:tcPr>
          <w:p w14:paraId="50B80FEA" w14:textId="77777777" w:rsidR="00FB40DA" w:rsidRPr="00BB0EC1" w:rsidRDefault="00FB40DA" w:rsidP="005F70DE">
            <w:pPr>
              <w:pStyle w:val="TableText0"/>
              <w:keepLines/>
              <w:jc w:val="center"/>
              <w:rPr>
                <w:szCs w:val="20"/>
              </w:rPr>
            </w:pPr>
          </w:p>
        </w:tc>
        <w:tc>
          <w:tcPr>
            <w:tcW w:w="512" w:type="pct"/>
            <w:tcBorders>
              <w:bottom w:val="nil"/>
            </w:tcBorders>
            <w:vAlign w:val="center"/>
          </w:tcPr>
          <w:p w14:paraId="40475D3F" w14:textId="77777777" w:rsidR="00FB40DA" w:rsidRPr="00BB0EC1" w:rsidRDefault="00FB40DA" w:rsidP="005F70DE">
            <w:pPr>
              <w:pStyle w:val="TableText0"/>
              <w:keepLines/>
              <w:jc w:val="center"/>
              <w:rPr>
                <w:szCs w:val="20"/>
              </w:rPr>
            </w:pPr>
          </w:p>
        </w:tc>
        <w:tc>
          <w:tcPr>
            <w:tcW w:w="510" w:type="pct"/>
            <w:tcBorders>
              <w:bottom w:val="nil"/>
            </w:tcBorders>
            <w:vAlign w:val="center"/>
          </w:tcPr>
          <w:p w14:paraId="0CD1208B" w14:textId="77777777" w:rsidR="00FB40DA" w:rsidRPr="00BB0EC1" w:rsidRDefault="00FB40DA" w:rsidP="005F70DE">
            <w:pPr>
              <w:pStyle w:val="TableText0"/>
              <w:keepLines/>
              <w:jc w:val="center"/>
              <w:rPr>
                <w:szCs w:val="20"/>
              </w:rPr>
            </w:pPr>
          </w:p>
        </w:tc>
        <w:tc>
          <w:tcPr>
            <w:tcW w:w="510" w:type="pct"/>
            <w:tcBorders>
              <w:bottom w:val="nil"/>
            </w:tcBorders>
            <w:vAlign w:val="center"/>
          </w:tcPr>
          <w:p w14:paraId="4DDA2220" w14:textId="77777777" w:rsidR="00FB40DA" w:rsidRPr="00BB0EC1" w:rsidRDefault="00FB40DA" w:rsidP="005F70DE">
            <w:pPr>
              <w:pStyle w:val="TableText0"/>
              <w:keepLines/>
              <w:jc w:val="center"/>
              <w:rPr>
                <w:szCs w:val="20"/>
              </w:rPr>
            </w:pPr>
          </w:p>
        </w:tc>
        <w:tc>
          <w:tcPr>
            <w:tcW w:w="517" w:type="pct"/>
            <w:tcBorders>
              <w:bottom w:val="nil"/>
            </w:tcBorders>
            <w:vAlign w:val="center"/>
          </w:tcPr>
          <w:p w14:paraId="445C1737" w14:textId="77777777" w:rsidR="00FB40DA" w:rsidRPr="00BB0EC1" w:rsidRDefault="00FB40DA" w:rsidP="005F70DE">
            <w:pPr>
              <w:pStyle w:val="TableText0"/>
              <w:keepLines/>
              <w:jc w:val="center"/>
              <w:rPr>
                <w:szCs w:val="20"/>
              </w:rPr>
            </w:pPr>
          </w:p>
        </w:tc>
      </w:tr>
      <w:tr w:rsidR="00FB40DA" w:rsidRPr="00BB0EC1" w14:paraId="2B8E3CB1" w14:textId="77777777" w:rsidTr="00FA0D96">
        <w:tc>
          <w:tcPr>
            <w:tcW w:w="1931" w:type="pct"/>
            <w:tcBorders>
              <w:top w:val="nil"/>
              <w:bottom w:val="nil"/>
            </w:tcBorders>
            <w:vAlign w:val="center"/>
          </w:tcPr>
          <w:p w14:paraId="67A51BA5" w14:textId="77777777" w:rsidR="00FB40DA" w:rsidRPr="00BB0EC1" w:rsidRDefault="00FB40DA" w:rsidP="005F70DE">
            <w:pPr>
              <w:pStyle w:val="TableText0"/>
              <w:keepLines/>
              <w:ind w:left="106"/>
              <w:rPr>
                <w:szCs w:val="20"/>
              </w:rPr>
            </w:pPr>
            <w:r w:rsidRPr="00BB0EC1">
              <w:rPr>
                <w:szCs w:val="20"/>
              </w:rPr>
              <w:t>Pola+R-CHP match R-CHOP</w:t>
            </w:r>
          </w:p>
        </w:tc>
        <w:tc>
          <w:tcPr>
            <w:tcW w:w="510" w:type="pct"/>
            <w:tcBorders>
              <w:top w:val="nil"/>
              <w:bottom w:val="nil"/>
            </w:tcBorders>
          </w:tcPr>
          <w:p w14:paraId="44228134" w14:textId="3871A332"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spacing w:val="3"/>
                <w:w w:val="15"/>
                <w:szCs w:val="20"/>
                <w:shd w:val="solid" w:color="000000" w:fill="000000"/>
                <w:fitText w:val="72" w:id="-1301008896"/>
                <w14:textFill>
                  <w14:solidFill>
                    <w14:srgbClr w14:val="000000">
                      <w14:alpha w14:val="100000"/>
                    </w14:srgbClr>
                  </w14:solidFill>
                </w14:textFill>
              </w:rPr>
              <w:t xml:space="preserve">　</w:t>
            </w:r>
            <w:r w:rsidR="00206B77" w:rsidRPr="00381965">
              <w:rPr>
                <w:color w:val="000000"/>
                <w:spacing w:val="3"/>
                <w:w w:val="15"/>
                <w:szCs w:val="20"/>
                <w:shd w:val="solid" w:color="000000" w:fill="000000"/>
                <w:fitText w:val="72" w:id="-1301008896"/>
                <w14:textFill>
                  <w14:solidFill>
                    <w14:srgbClr w14:val="000000">
                      <w14:alpha w14:val="100000"/>
                    </w14:srgbClr>
                  </w14:solidFill>
                </w14:textFill>
              </w:rPr>
              <w:t>|</w:t>
            </w:r>
            <w:r w:rsidR="00206B77" w:rsidRPr="00381965">
              <w:rPr>
                <w:rFonts w:hint="eastAsia"/>
                <w:color w:val="000000"/>
                <w:spacing w:val="1"/>
                <w:w w:val="15"/>
                <w:szCs w:val="20"/>
                <w:shd w:val="solid" w:color="000000" w:fill="000000"/>
                <w:fitText w:val="72" w:id="-1301008896"/>
                <w14:textFill>
                  <w14:solidFill>
                    <w14:srgbClr w14:val="000000">
                      <w14:alpha w14:val="100000"/>
                    </w14:srgbClr>
                  </w14:solidFill>
                </w14:textFill>
              </w:rPr>
              <w:t xml:space="preserve">　</w:t>
            </w:r>
          </w:p>
        </w:tc>
        <w:tc>
          <w:tcPr>
            <w:tcW w:w="510" w:type="pct"/>
            <w:tcBorders>
              <w:top w:val="nil"/>
              <w:bottom w:val="nil"/>
            </w:tcBorders>
          </w:tcPr>
          <w:p w14:paraId="7AC36FD2" w14:textId="77777777" w:rsidR="00FB40DA" w:rsidRPr="00BB0EC1" w:rsidRDefault="00FB40DA" w:rsidP="005F70DE">
            <w:pPr>
              <w:pStyle w:val="TableText0"/>
              <w:keepLines/>
              <w:jc w:val="center"/>
              <w:rPr>
                <w:szCs w:val="20"/>
              </w:rPr>
            </w:pPr>
            <w:r w:rsidRPr="00BB0EC1">
              <w:rPr>
                <w:szCs w:val="20"/>
              </w:rPr>
              <w:t>0.13</w:t>
            </w:r>
          </w:p>
        </w:tc>
        <w:tc>
          <w:tcPr>
            <w:tcW w:w="512" w:type="pct"/>
            <w:tcBorders>
              <w:top w:val="nil"/>
              <w:bottom w:val="nil"/>
            </w:tcBorders>
          </w:tcPr>
          <w:p w14:paraId="36A5B384" w14:textId="67548496" w:rsidR="00FB40DA" w:rsidRPr="00BB0EC1" w:rsidRDefault="00FB40DA" w:rsidP="005F70DE">
            <w:pPr>
              <w:pStyle w:val="TableText0"/>
              <w:keepLines/>
              <w:jc w:val="center"/>
              <w:rPr>
                <w:szCs w:val="20"/>
              </w:rPr>
            </w:pPr>
            <w:r w:rsidRPr="00BB0EC1">
              <w:rPr>
                <w:szCs w:val="20"/>
              </w:rPr>
              <w:t>$</w:t>
            </w:r>
            <w:r w:rsidR="00206B77" w:rsidRPr="00206B77">
              <w:rPr>
                <w:rFonts w:hint="eastAsia"/>
                <w:color w:val="000000"/>
                <w:w w:val="22"/>
                <w:szCs w:val="20"/>
                <w:shd w:val="solid" w:color="000000" w:fill="000000"/>
                <w:fitText w:val="100" w:id="-1301008895"/>
                <w14:textFill>
                  <w14:solidFill>
                    <w14:srgbClr w14:val="000000">
                      <w14:alpha w14:val="100000"/>
                    </w14:srgbClr>
                  </w14:solidFill>
                </w14:textFill>
              </w:rPr>
              <w:t xml:space="preserve">　</w:t>
            </w:r>
            <w:r w:rsidR="00206B77" w:rsidRPr="00206B77">
              <w:rPr>
                <w:color w:val="000000"/>
                <w:w w:val="22"/>
                <w:szCs w:val="20"/>
                <w:shd w:val="solid" w:color="000000" w:fill="000000"/>
                <w:fitText w:val="100" w:id="-1301008895"/>
                <w14:textFill>
                  <w14:solidFill>
                    <w14:srgbClr w14:val="000000">
                      <w14:alpha w14:val="100000"/>
                    </w14:srgbClr>
                  </w14:solidFill>
                </w14:textFill>
              </w:rPr>
              <w:t>|</w:t>
            </w:r>
            <w:r w:rsidR="00206B77" w:rsidRPr="00206B77">
              <w:rPr>
                <w:rFonts w:hint="eastAsia"/>
                <w:color w:val="000000"/>
                <w:spacing w:val="3"/>
                <w:w w:val="22"/>
                <w:szCs w:val="20"/>
                <w:shd w:val="solid" w:color="000000" w:fill="000000"/>
                <w:fitText w:val="100" w:id="-1301008895"/>
                <w14:textFill>
                  <w14:solidFill>
                    <w14:srgbClr w14:val="000000">
                      <w14:alpha w14:val="100000"/>
                    </w14:srgbClr>
                  </w14:solidFill>
                </w14:textFill>
              </w:rPr>
              <w:t xml:space="preserve">　</w:t>
            </w:r>
            <w:r w:rsidR="00EC4042" w:rsidRPr="00BB0EC1">
              <w:rPr>
                <w:b/>
                <w:szCs w:val="20"/>
                <w:vertAlign w:val="superscript"/>
              </w:rPr>
              <w:t>5</w:t>
            </w:r>
          </w:p>
        </w:tc>
        <w:tc>
          <w:tcPr>
            <w:tcW w:w="510" w:type="pct"/>
            <w:tcBorders>
              <w:top w:val="nil"/>
              <w:bottom w:val="nil"/>
            </w:tcBorders>
          </w:tcPr>
          <w:p w14:paraId="0DE49BE8" w14:textId="41716802"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spacing w:val="3"/>
                <w:w w:val="15"/>
                <w:szCs w:val="20"/>
                <w:shd w:val="solid" w:color="000000" w:fill="000000"/>
                <w:fitText w:val="72" w:id="-1301008894"/>
                <w14:textFill>
                  <w14:solidFill>
                    <w14:srgbClr w14:val="000000">
                      <w14:alpha w14:val="100000"/>
                    </w14:srgbClr>
                  </w14:solidFill>
                </w14:textFill>
              </w:rPr>
              <w:t xml:space="preserve">　</w:t>
            </w:r>
            <w:r w:rsidR="00206B77" w:rsidRPr="00381965">
              <w:rPr>
                <w:color w:val="000000"/>
                <w:spacing w:val="3"/>
                <w:w w:val="15"/>
                <w:szCs w:val="20"/>
                <w:shd w:val="solid" w:color="000000" w:fill="000000"/>
                <w:fitText w:val="72" w:id="-1301008894"/>
                <w14:textFill>
                  <w14:solidFill>
                    <w14:srgbClr w14:val="000000">
                      <w14:alpha w14:val="100000"/>
                    </w14:srgbClr>
                  </w14:solidFill>
                </w14:textFill>
              </w:rPr>
              <w:t>|</w:t>
            </w:r>
            <w:r w:rsidR="00206B77" w:rsidRPr="00381965">
              <w:rPr>
                <w:rFonts w:hint="eastAsia"/>
                <w:color w:val="000000"/>
                <w:spacing w:val="1"/>
                <w:w w:val="15"/>
                <w:szCs w:val="20"/>
                <w:shd w:val="solid" w:color="000000" w:fill="000000"/>
                <w:fitText w:val="72" w:id="-1301008894"/>
                <w14:textFill>
                  <w14:solidFill>
                    <w14:srgbClr w14:val="000000">
                      <w14:alpha w14:val="100000"/>
                    </w14:srgbClr>
                  </w14:solidFill>
                </w14:textFill>
              </w:rPr>
              <w:t xml:space="preserve">　</w:t>
            </w:r>
          </w:p>
        </w:tc>
        <w:tc>
          <w:tcPr>
            <w:tcW w:w="510" w:type="pct"/>
            <w:tcBorders>
              <w:top w:val="nil"/>
              <w:bottom w:val="nil"/>
            </w:tcBorders>
          </w:tcPr>
          <w:p w14:paraId="163DDBAA" w14:textId="77777777" w:rsidR="00FB40DA" w:rsidRPr="00BB0EC1" w:rsidRDefault="00FB40DA" w:rsidP="005F70DE">
            <w:pPr>
              <w:pStyle w:val="TableText0"/>
              <w:keepLines/>
              <w:jc w:val="center"/>
              <w:rPr>
                <w:szCs w:val="20"/>
              </w:rPr>
            </w:pPr>
            <w:r w:rsidRPr="00BB0EC1">
              <w:rPr>
                <w:szCs w:val="20"/>
              </w:rPr>
              <w:t>0.21</w:t>
            </w:r>
          </w:p>
        </w:tc>
        <w:tc>
          <w:tcPr>
            <w:tcW w:w="517" w:type="pct"/>
            <w:tcBorders>
              <w:top w:val="nil"/>
              <w:bottom w:val="nil"/>
            </w:tcBorders>
          </w:tcPr>
          <w:p w14:paraId="5E20CE11" w14:textId="76E0FF28"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21"/>
                <w:szCs w:val="20"/>
                <w:shd w:val="solid" w:color="000000" w:fill="000000"/>
                <w:fitText w:val="93" w:id="-1301008893"/>
                <w14:textFill>
                  <w14:solidFill>
                    <w14:srgbClr w14:val="000000">
                      <w14:alpha w14:val="100000"/>
                    </w14:srgbClr>
                  </w14:solidFill>
                </w14:textFill>
              </w:rPr>
              <w:t xml:space="preserve">　</w:t>
            </w:r>
            <w:r w:rsidR="00206B77" w:rsidRPr="00381965">
              <w:rPr>
                <w:color w:val="000000"/>
                <w:w w:val="21"/>
                <w:szCs w:val="20"/>
                <w:shd w:val="solid" w:color="000000" w:fill="000000"/>
                <w:fitText w:val="93" w:id="-1301008893"/>
                <w14:textFill>
                  <w14:solidFill>
                    <w14:srgbClr w14:val="000000">
                      <w14:alpha w14:val="100000"/>
                    </w14:srgbClr>
                  </w14:solidFill>
                </w14:textFill>
              </w:rPr>
              <w:t>|</w:t>
            </w:r>
            <w:r w:rsidR="00206B77" w:rsidRPr="00381965">
              <w:rPr>
                <w:rFonts w:hint="eastAsia"/>
                <w:color w:val="000000"/>
                <w:spacing w:val="2"/>
                <w:w w:val="21"/>
                <w:szCs w:val="20"/>
                <w:shd w:val="solid" w:color="000000" w:fill="000000"/>
                <w:fitText w:val="93" w:id="-1301008893"/>
                <w14:textFill>
                  <w14:solidFill>
                    <w14:srgbClr w14:val="000000">
                      <w14:alpha w14:val="100000"/>
                    </w14:srgbClr>
                  </w14:solidFill>
                </w14:textFill>
              </w:rPr>
              <w:t xml:space="preserve">　</w:t>
            </w:r>
            <w:r w:rsidR="009D3AAC">
              <w:rPr>
                <w:b/>
                <w:szCs w:val="20"/>
                <w:vertAlign w:val="superscript"/>
              </w:rPr>
              <w:t>6</w:t>
            </w:r>
          </w:p>
        </w:tc>
      </w:tr>
      <w:tr w:rsidR="00FB40DA" w:rsidRPr="00BB0EC1" w14:paraId="5FB679D9" w14:textId="77777777" w:rsidTr="00FA0D96">
        <w:tc>
          <w:tcPr>
            <w:tcW w:w="1931" w:type="pct"/>
            <w:tcBorders>
              <w:bottom w:val="nil"/>
            </w:tcBorders>
            <w:vAlign w:val="center"/>
          </w:tcPr>
          <w:p w14:paraId="00A706B1" w14:textId="77777777" w:rsidR="00FB40DA" w:rsidRPr="00BB0EC1" w:rsidRDefault="00FB40DA" w:rsidP="005F70DE">
            <w:pPr>
              <w:pStyle w:val="TableText0"/>
              <w:keepLines/>
              <w:rPr>
                <w:szCs w:val="20"/>
              </w:rPr>
            </w:pPr>
            <w:r w:rsidRPr="00BB0EC1">
              <w:rPr>
                <w:szCs w:val="20"/>
              </w:rPr>
              <w:t>Utilities (base from POLARIX)</w:t>
            </w:r>
          </w:p>
        </w:tc>
        <w:tc>
          <w:tcPr>
            <w:tcW w:w="510" w:type="pct"/>
            <w:tcBorders>
              <w:bottom w:val="nil"/>
            </w:tcBorders>
            <w:vAlign w:val="center"/>
          </w:tcPr>
          <w:p w14:paraId="22B875F1" w14:textId="77777777" w:rsidR="00FB40DA" w:rsidRPr="00BB0EC1" w:rsidRDefault="00FB40DA" w:rsidP="005F70DE">
            <w:pPr>
              <w:pStyle w:val="TableText0"/>
              <w:keepLines/>
              <w:jc w:val="center"/>
              <w:rPr>
                <w:szCs w:val="20"/>
              </w:rPr>
            </w:pPr>
          </w:p>
        </w:tc>
        <w:tc>
          <w:tcPr>
            <w:tcW w:w="510" w:type="pct"/>
            <w:tcBorders>
              <w:bottom w:val="nil"/>
            </w:tcBorders>
            <w:vAlign w:val="center"/>
          </w:tcPr>
          <w:p w14:paraId="19915687" w14:textId="77777777" w:rsidR="00FB40DA" w:rsidRPr="00BB0EC1" w:rsidRDefault="00FB40DA" w:rsidP="005F70DE">
            <w:pPr>
              <w:pStyle w:val="TableText0"/>
              <w:keepLines/>
              <w:jc w:val="center"/>
              <w:rPr>
                <w:szCs w:val="20"/>
              </w:rPr>
            </w:pPr>
          </w:p>
        </w:tc>
        <w:tc>
          <w:tcPr>
            <w:tcW w:w="512" w:type="pct"/>
            <w:tcBorders>
              <w:bottom w:val="nil"/>
            </w:tcBorders>
            <w:vAlign w:val="center"/>
          </w:tcPr>
          <w:p w14:paraId="77B12BF4" w14:textId="77777777" w:rsidR="00FB40DA" w:rsidRPr="00BB0EC1" w:rsidRDefault="00FB40DA" w:rsidP="005F70DE">
            <w:pPr>
              <w:pStyle w:val="TableText0"/>
              <w:keepLines/>
              <w:jc w:val="center"/>
              <w:rPr>
                <w:szCs w:val="20"/>
              </w:rPr>
            </w:pPr>
          </w:p>
        </w:tc>
        <w:tc>
          <w:tcPr>
            <w:tcW w:w="510" w:type="pct"/>
            <w:tcBorders>
              <w:bottom w:val="nil"/>
            </w:tcBorders>
            <w:vAlign w:val="center"/>
          </w:tcPr>
          <w:p w14:paraId="62F02CF5" w14:textId="77777777" w:rsidR="00FB40DA" w:rsidRPr="00BB0EC1" w:rsidRDefault="00FB40DA" w:rsidP="005F70DE">
            <w:pPr>
              <w:pStyle w:val="TableText0"/>
              <w:keepLines/>
              <w:jc w:val="center"/>
              <w:rPr>
                <w:szCs w:val="20"/>
              </w:rPr>
            </w:pPr>
          </w:p>
        </w:tc>
        <w:tc>
          <w:tcPr>
            <w:tcW w:w="510" w:type="pct"/>
            <w:tcBorders>
              <w:bottom w:val="nil"/>
            </w:tcBorders>
            <w:vAlign w:val="center"/>
          </w:tcPr>
          <w:p w14:paraId="32F9983C" w14:textId="77777777" w:rsidR="00FB40DA" w:rsidRPr="00BB0EC1" w:rsidRDefault="00FB40DA" w:rsidP="005F70DE">
            <w:pPr>
              <w:pStyle w:val="TableText0"/>
              <w:keepLines/>
              <w:jc w:val="center"/>
              <w:rPr>
                <w:szCs w:val="20"/>
              </w:rPr>
            </w:pPr>
          </w:p>
        </w:tc>
        <w:tc>
          <w:tcPr>
            <w:tcW w:w="517" w:type="pct"/>
            <w:tcBorders>
              <w:bottom w:val="nil"/>
            </w:tcBorders>
            <w:vAlign w:val="center"/>
          </w:tcPr>
          <w:p w14:paraId="2C51F87C" w14:textId="77777777" w:rsidR="00FB40DA" w:rsidRPr="00BB0EC1" w:rsidRDefault="00FB40DA" w:rsidP="005F70DE">
            <w:pPr>
              <w:pStyle w:val="TableText0"/>
              <w:keepLines/>
              <w:jc w:val="center"/>
              <w:rPr>
                <w:szCs w:val="20"/>
              </w:rPr>
            </w:pPr>
          </w:p>
        </w:tc>
      </w:tr>
      <w:tr w:rsidR="00FB40DA" w:rsidRPr="00BB0EC1" w14:paraId="3CD23345" w14:textId="77777777" w:rsidTr="00FA0D96">
        <w:tc>
          <w:tcPr>
            <w:tcW w:w="1931" w:type="pct"/>
            <w:tcBorders>
              <w:top w:val="nil"/>
              <w:bottom w:val="nil"/>
            </w:tcBorders>
            <w:vAlign w:val="center"/>
          </w:tcPr>
          <w:p w14:paraId="766D5AA3" w14:textId="77777777" w:rsidR="00FB40DA" w:rsidRPr="00BB0EC1" w:rsidRDefault="00FB40DA" w:rsidP="005F70DE">
            <w:pPr>
              <w:pStyle w:val="TableText0"/>
              <w:keepLines/>
              <w:ind w:left="106"/>
              <w:rPr>
                <w:szCs w:val="20"/>
              </w:rPr>
            </w:pPr>
            <w:r w:rsidRPr="00BB0EC1">
              <w:rPr>
                <w:szCs w:val="20"/>
              </w:rPr>
              <w:t>Tran 2017</w:t>
            </w:r>
          </w:p>
        </w:tc>
        <w:tc>
          <w:tcPr>
            <w:tcW w:w="510" w:type="pct"/>
            <w:tcBorders>
              <w:top w:val="nil"/>
              <w:bottom w:val="nil"/>
            </w:tcBorders>
          </w:tcPr>
          <w:p w14:paraId="5C3B1321" w14:textId="0C8FE784"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16"/>
                <w:szCs w:val="20"/>
                <w:shd w:val="solid" w:color="000000" w:fill="000000"/>
                <w:fitText w:val="72" w:id="-1301008892"/>
                <w14:textFill>
                  <w14:solidFill>
                    <w14:srgbClr w14:val="000000">
                      <w14:alpha w14:val="100000"/>
                    </w14:srgbClr>
                  </w14:solidFill>
                </w14:textFill>
              </w:rPr>
              <w:t xml:space="preserve">　</w:t>
            </w:r>
            <w:r w:rsidR="00206B77" w:rsidRPr="00381965">
              <w:rPr>
                <w:color w:val="000000"/>
                <w:w w:val="16"/>
                <w:szCs w:val="20"/>
                <w:shd w:val="solid" w:color="000000" w:fill="000000"/>
                <w:fitText w:val="72" w:id="-1301008892"/>
                <w14:textFill>
                  <w14:solidFill>
                    <w14:srgbClr w14:val="000000">
                      <w14:alpha w14:val="100000"/>
                    </w14:srgbClr>
                  </w14:solidFill>
                </w14:textFill>
              </w:rPr>
              <w:t>|</w:t>
            </w:r>
            <w:r w:rsidR="00206B77" w:rsidRPr="00381965">
              <w:rPr>
                <w:rFonts w:hint="eastAsia"/>
                <w:color w:val="000000"/>
                <w:w w:val="16"/>
                <w:szCs w:val="20"/>
                <w:shd w:val="solid" w:color="000000" w:fill="000000"/>
                <w:fitText w:val="72" w:id="-1301008892"/>
                <w14:textFill>
                  <w14:solidFill>
                    <w14:srgbClr w14:val="000000">
                      <w14:alpha w14:val="100000"/>
                    </w14:srgbClr>
                  </w14:solidFill>
                </w14:textFill>
              </w:rPr>
              <w:t xml:space="preserve">　</w:t>
            </w:r>
          </w:p>
        </w:tc>
        <w:tc>
          <w:tcPr>
            <w:tcW w:w="510" w:type="pct"/>
            <w:tcBorders>
              <w:top w:val="nil"/>
              <w:bottom w:val="nil"/>
            </w:tcBorders>
          </w:tcPr>
          <w:p w14:paraId="6159B2D3" w14:textId="77777777" w:rsidR="00FB40DA" w:rsidRPr="00BB0EC1" w:rsidRDefault="00FB40DA" w:rsidP="005F70DE">
            <w:pPr>
              <w:pStyle w:val="TableText0"/>
              <w:keepLines/>
              <w:jc w:val="center"/>
              <w:rPr>
                <w:szCs w:val="20"/>
              </w:rPr>
            </w:pPr>
            <w:r w:rsidRPr="00BB0EC1">
              <w:rPr>
                <w:szCs w:val="20"/>
              </w:rPr>
              <w:t>0.38</w:t>
            </w:r>
          </w:p>
        </w:tc>
        <w:tc>
          <w:tcPr>
            <w:tcW w:w="512" w:type="pct"/>
            <w:tcBorders>
              <w:top w:val="nil"/>
              <w:bottom w:val="nil"/>
            </w:tcBorders>
          </w:tcPr>
          <w:p w14:paraId="492E40B0" w14:textId="1B412DDE" w:rsidR="00FB40DA" w:rsidRPr="00BB0EC1" w:rsidRDefault="00FB40DA" w:rsidP="005F70DE">
            <w:pPr>
              <w:pStyle w:val="TableText0"/>
              <w:keepLines/>
              <w:jc w:val="center"/>
              <w:rPr>
                <w:szCs w:val="20"/>
              </w:rPr>
            </w:pPr>
            <w:r w:rsidRPr="00BB0EC1">
              <w:rPr>
                <w:szCs w:val="20"/>
              </w:rPr>
              <w:t>$</w:t>
            </w:r>
            <w:r w:rsidR="00206B77" w:rsidRPr="00206B77">
              <w:rPr>
                <w:rFonts w:hint="eastAsia"/>
                <w:color w:val="000000"/>
                <w:w w:val="22"/>
                <w:szCs w:val="20"/>
                <w:shd w:val="solid" w:color="000000" w:fill="000000"/>
                <w:fitText w:val="100" w:id="-1301008891"/>
                <w14:textFill>
                  <w14:solidFill>
                    <w14:srgbClr w14:val="000000">
                      <w14:alpha w14:val="100000"/>
                    </w14:srgbClr>
                  </w14:solidFill>
                </w14:textFill>
              </w:rPr>
              <w:t xml:space="preserve">　</w:t>
            </w:r>
            <w:r w:rsidR="00206B77" w:rsidRPr="00206B77">
              <w:rPr>
                <w:color w:val="000000"/>
                <w:w w:val="22"/>
                <w:szCs w:val="20"/>
                <w:shd w:val="solid" w:color="000000" w:fill="000000"/>
                <w:fitText w:val="100" w:id="-1301008891"/>
                <w14:textFill>
                  <w14:solidFill>
                    <w14:srgbClr w14:val="000000">
                      <w14:alpha w14:val="100000"/>
                    </w14:srgbClr>
                  </w14:solidFill>
                </w14:textFill>
              </w:rPr>
              <w:t>|</w:t>
            </w:r>
            <w:r w:rsidR="00206B77" w:rsidRPr="00206B77">
              <w:rPr>
                <w:rFonts w:hint="eastAsia"/>
                <w:color w:val="000000"/>
                <w:spacing w:val="3"/>
                <w:w w:val="22"/>
                <w:szCs w:val="20"/>
                <w:shd w:val="solid" w:color="000000" w:fill="000000"/>
                <w:fitText w:val="100" w:id="-1301008891"/>
                <w14:textFill>
                  <w14:solidFill>
                    <w14:srgbClr w14:val="000000">
                      <w14:alpha w14:val="100000"/>
                    </w14:srgbClr>
                  </w14:solidFill>
                </w14:textFill>
              </w:rPr>
              <w:t xml:space="preserve">　</w:t>
            </w:r>
            <w:r w:rsidR="00EC4042" w:rsidRPr="00BB0EC1">
              <w:rPr>
                <w:b/>
                <w:szCs w:val="20"/>
                <w:vertAlign w:val="superscript"/>
              </w:rPr>
              <w:t>1</w:t>
            </w:r>
          </w:p>
        </w:tc>
        <w:tc>
          <w:tcPr>
            <w:tcW w:w="510" w:type="pct"/>
            <w:tcBorders>
              <w:top w:val="nil"/>
              <w:bottom w:val="nil"/>
            </w:tcBorders>
          </w:tcPr>
          <w:p w14:paraId="0E747955" w14:textId="6CD4F5A7"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16"/>
                <w:szCs w:val="20"/>
                <w:shd w:val="solid" w:color="000000" w:fill="000000"/>
                <w:fitText w:val="72" w:id="-1301008890"/>
                <w14:textFill>
                  <w14:solidFill>
                    <w14:srgbClr w14:val="000000">
                      <w14:alpha w14:val="100000"/>
                    </w14:srgbClr>
                  </w14:solidFill>
                </w14:textFill>
              </w:rPr>
              <w:t xml:space="preserve">　</w:t>
            </w:r>
            <w:r w:rsidR="00206B77" w:rsidRPr="00381965">
              <w:rPr>
                <w:color w:val="000000"/>
                <w:w w:val="16"/>
                <w:szCs w:val="20"/>
                <w:shd w:val="solid" w:color="000000" w:fill="000000"/>
                <w:fitText w:val="72" w:id="-1301008890"/>
                <w14:textFill>
                  <w14:solidFill>
                    <w14:srgbClr w14:val="000000">
                      <w14:alpha w14:val="100000"/>
                    </w14:srgbClr>
                  </w14:solidFill>
                </w14:textFill>
              </w:rPr>
              <w:t>|</w:t>
            </w:r>
            <w:r w:rsidR="00206B77" w:rsidRPr="00381965">
              <w:rPr>
                <w:rFonts w:hint="eastAsia"/>
                <w:color w:val="000000"/>
                <w:w w:val="16"/>
                <w:szCs w:val="20"/>
                <w:shd w:val="solid" w:color="000000" w:fill="000000"/>
                <w:fitText w:val="72" w:id="-1301008890"/>
                <w14:textFill>
                  <w14:solidFill>
                    <w14:srgbClr w14:val="000000">
                      <w14:alpha w14:val="100000"/>
                    </w14:srgbClr>
                  </w14:solidFill>
                </w14:textFill>
              </w:rPr>
              <w:t xml:space="preserve">　</w:t>
            </w:r>
          </w:p>
        </w:tc>
        <w:tc>
          <w:tcPr>
            <w:tcW w:w="510" w:type="pct"/>
            <w:tcBorders>
              <w:top w:val="nil"/>
              <w:bottom w:val="nil"/>
            </w:tcBorders>
          </w:tcPr>
          <w:p w14:paraId="255F59BE" w14:textId="77777777" w:rsidR="00FB40DA" w:rsidRPr="00BB0EC1" w:rsidRDefault="00FB40DA" w:rsidP="005F70DE">
            <w:pPr>
              <w:pStyle w:val="TableText0"/>
              <w:keepLines/>
              <w:jc w:val="center"/>
              <w:rPr>
                <w:szCs w:val="20"/>
              </w:rPr>
            </w:pPr>
            <w:r w:rsidRPr="00BB0EC1">
              <w:rPr>
                <w:szCs w:val="20"/>
              </w:rPr>
              <w:t>0.70</w:t>
            </w:r>
          </w:p>
        </w:tc>
        <w:tc>
          <w:tcPr>
            <w:tcW w:w="517" w:type="pct"/>
            <w:tcBorders>
              <w:top w:val="nil"/>
              <w:bottom w:val="nil"/>
            </w:tcBorders>
          </w:tcPr>
          <w:p w14:paraId="560299C6" w14:textId="54F32B91" w:rsidR="00FB40DA" w:rsidRPr="00BB0EC1" w:rsidRDefault="00FB40DA" w:rsidP="005F70DE">
            <w:pPr>
              <w:pStyle w:val="TableText0"/>
              <w:keepLines/>
              <w:jc w:val="center"/>
              <w:rPr>
                <w:szCs w:val="20"/>
              </w:rPr>
            </w:pPr>
            <w:r w:rsidRPr="00BB0EC1">
              <w:rPr>
                <w:szCs w:val="20"/>
              </w:rPr>
              <w:t>$</w:t>
            </w:r>
            <w:r w:rsidR="00206B77" w:rsidRPr="00206B77">
              <w:rPr>
                <w:rFonts w:hint="eastAsia"/>
                <w:color w:val="000000"/>
                <w:w w:val="21"/>
                <w:szCs w:val="20"/>
                <w:shd w:val="solid" w:color="000000" w:fill="000000"/>
                <w:fitText w:val="93" w:id="-1301008889"/>
                <w14:textFill>
                  <w14:solidFill>
                    <w14:srgbClr w14:val="000000">
                      <w14:alpha w14:val="100000"/>
                    </w14:srgbClr>
                  </w14:solidFill>
                </w14:textFill>
              </w:rPr>
              <w:t xml:space="preserve">　</w:t>
            </w:r>
            <w:r w:rsidR="00206B77" w:rsidRPr="00206B77">
              <w:rPr>
                <w:color w:val="000000"/>
                <w:w w:val="21"/>
                <w:szCs w:val="20"/>
                <w:shd w:val="solid" w:color="000000" w:fill="000000"/>
                <w:fitText w:val="93" w:id="-1301008889"/>
                <w14:textFill>
                  <w14:solidFill>
                    <w14:srgbClr w14:val="000000">
                      <w14:alpha w14:val="100000"/>
                    </w14:srgbClr>
                  </w14:solidFill>
                </w14:textFill>
              </w:rPr>
              <w:t>|</w:t>
            </w:r>
            <w:r w:rsidR="00206B77" w:rsidRPr="00206B77">
              <w:rPr>
                <w:rFonts w:hint="eastAsia"/>
                <w:color w:val="000000"/>
                <w:spacing w:val="2"/>
                <w:w w:val="21"/>
                <w:szCs w:val="20"/>
                <w:shd w:val="solid" w:color="000000" w:fill="000000"/>
                <w:fitText w:val="93" w:id="-1301008889"/>
                <w14:textFill>
                  <w14:solidFill>
                    <w14:srgbClr w14:val="000000">
                      <w14:alpha w14:val="100000"/>
                    </w14:srgbClr>
                  </w14:solidFill>
                </w14:textFill>
              </w:rPr>
              <w:t xml:space="preserve">　</w:t>
            </w:r>
            <w:r w:rsidR="009D3AAC">
              <w:rPr>
                <w:b/>
                <w:szCs w:val="20"/>
                <w:vertAlign w:val="superscript"/>
              </w:rPr>
              <w:t>2</w:t>
            </w:r>
          </w:p>
        </w:tc>
      </w:tr>
      <w:tr w:rsidR="00FB40DA" w:rsidRPr="00BB0EC1" w14:paraId="2B30C41A" w14:textId="77777777" w:rsidTr="00FA0D96">
        <w:tc>
          <w:tcPr>
            <w:tcW w:w="1931" w:type="pct"/>
            <w:tcBorders>
              <w:top w:val="nil"/>
              <w:bottom w:val="nil"/>
            </w:tcBorders>
            <w:vAlign w:val="center"/>
          </w:tcPr>
          <w:p w14:paraId="6705BEF2" w14:textId="77777777" w:rsidR="00FB40DA" w:rsidRPr="00BB0EC1" w:rsidRDefault="00FB40DA" w:rsidP="005F70DE">
            <w:pPr>
              <w:pStyle w:val="TableText0"/>
              <w:keepLines/>
              <w:ind w:left="106"/>
              <w:rPr>
                <w:szCs w:val="20"/>
              </w:rPr>
            </w:pPr>
            <w:r w:rsidRPr="00BB0EC1">
              <w:rPr>
                <w:szCs w:val="20"/>
              </w:rPr>
              <w:t>Wang 2018</w:t>
            </w:r>
          </w:p>
        </w:tc>
        <w:tc>
          <w:tcPr>
            <w:tcW w:w="510" w:type="pct"/>
            <w:tcBorders>
              <w:top w:val="nil"/>
              <w:bottom w:val="nil"/>
            </w:tcBorders>
          </w:tcPr>
          <w:p w14:paraId="627B44CB" w14:textId="1E613AAC"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spacing w:val="3"/>
                <w:w w:val="15"/>
                <w:szCs w:val="20"/>
                <w:shd w:val="solid" w:color="000000" w:fill="000000"/>
                <w:fitText w:val="72" w:id="-1301008888"/>
                <w14:textFill>
                  <w14:solidFill>
                    <w14:srgbClr w14:val="000000">
                      <w14:alpha w14:val="100000"/>
                    </w14:srgbClr>
                  </w14:solidFill>
                </w14:textFill>
              </w:rPr>
              <w:t xml:space="preserve">　</w:t>
            </w:r>
            <w:r w:rsidR="00206B77" w:rsidRPr="00381965">
              <w:rPr>
                <w:color w:val="000000"/>
                <w:spacing w:val="3"/>
                <w:w w:val="15"/>
                <w:szCs w:val="20"/>
                <w:shd w:val="solid" w:color="000000" w:fill="000000"/>
                <w:fitText w:val="72" w:id="-1301008888"/>
                <w14:textFill>
                  <w14:solidFill>
                    <w14:srgbClr w14:val="000000">
                      <w14:alpha w14:val="100000"/>
                    </w14:srgbClr>
                  </w14:solidFill>
                </w14:textFill>
              </w:rPr>
              <w:t>|</w:t>
            </w:r>
            <w:r w:rsidR="00206B77" w:rsidRPr="00381965">
              <w:rPr>
                <w:rFonts w:hint="eastAsia"/>
                <w:color w:val="000000"/>
                <w:spacing w:val="1"/>
                <w:w w:val="15"/>
                <w:szCs w:val="20"/>
                <w:shd w:val="solid" w:color="000000" w:fill="000000"/>
                <w:fitText w:val="72" w:id="-1301008888"/>
                <w14:textFill>
                  <w14:solidFill>
                    <w14:srgbClr w14:val="000000">
                      <w14:alpha w14:val="100000"/>
                    </w14:srgbClr>
                  </w14:solidFill>
                </w14:textFill>
              </w:rPr>
              <w:t xml:space="preserve">　</w:t>
            </w:r>
          </w:p>
        </w:tc>
        <w:tc>
          <w:tcPr>
            <w:tcW w:w="510" w:type="pct"/>
            <w:tcBorders>
              <w:top w:val="nil"/>
              <w:bottom w:val="nil"/>
            </w:tcBorders>
          </w:tcPr>
          <w:p w14:paraId="2E0B1BC1" w14:textId="77777777" w:rsidR="00FB40DA" w:rsidRPr="00BB0EC1" w:rsidRDefault="00FB40DA" w:rsidP="005F70DE">
            <w:pPr>
              <w:pStyle w:val="TableText0"/>
              <w:keepLines/>
              <w:jc w:val="center"/>
              <w:rPr>
                <w:szCs w:val="20"/>
              </w:rPr>
            </w:pPr>
            <w:r w:rsidRPr="00BB0EC1">
              <w:rPr>
                <w:szCs w:val="20"/>
              </w:rPr>
              <w:t>0.36</w:t>
            </w:r>
          </w:p>
        </w:tc>
        <w:tc>
          <w:tcPr>
            <w:tcW w:w="512" w:type="pct"/>
            <w:tcBorders>
              <w:top w:val="nil"/>
              <w:bottom w:val="nil"/>
            </w:tcBorders>
          </w:tcPr>
          <w:p w14:paraId="7B348630" w14:textId="70E60821"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22"/>
                <w:szCs w:val="20"/>
                <w:shd w:val="solid" w:color="000000" w:fill="000000"/>
                <w:fitText w:val="100" w:id="-1301008887"/>
                <w14:textFill>
                  <w14:solidFill>
                    <w14:srgbClr w14:val="000000">
                      <w14:alpha w14:val="100000"/>
                    </w14:srgbClr>
                  </w14:solidFill>
                </w14:textFill>
              </w:rPr>
              <w:t xml:space="preserve">　</w:t>
            </w:r>
            <w:r w:rsidR="00206B77" w:rsidRPr="00381965">
              <w:rPr>
                <w:color w:val="000000"/>
                <w:w w:val="22"/>
                <w:szCs w:val="20"/>
                <w:shd w:val="solid" w:color="000000" w:fill="000000"/>
                <w:fitText w:val="100" w:id="-1301008887"/>
                <w14:textFill>
                  <w14:solidFill>
                    <w14:srgbClr w14:val="000000">
                      <w14:alpha w14:val="100000"/>
                    </w14:srgbClr>
                  </w14:solidFill>
                </w14:textFill>
              </w:rPr>
              <w:t>|</w:t>
            </w:r>
            <w:r w:rsidR="00206B77" w:rsidRPr="00381965">
              <w:rPr>
                <w:rFonts w:hint="eastAsia"/>
                <w:color w:val="000000"/>
                <w:spacing w:val="3"/>
                <w:w w:val="22"/>
                <w:szCs w:val="20"/>
                <w:shd w:val="solid" w:color="000000" w:fill="000000"/>
                <w:fitText w:val="100" w:id="-1301008887"/>
                <w14:textFill>
                  <w14:solidFill>
                    <w14:srgbClr w14:val="000000">
                      <w14:alpha w14:val="100000"/>
                    </w14:srgbClr>
                  </w14:solidFill>
                </w14:textFill>
              </w:rPr>
              <w:t xml:space="preserve">　</w:t>
            </w:r>
            <w:r w:rsidR="00EC4042" w:rsidRPr="00BB0EC1">
              <w:rPr>
                <w:b/>
                <w:szCs w:val="20"/>
                <w:vertAlign w:val="superscript"/>
              </w:rPr>
              <w:t>1</w:t>
            </w:r>
          </w:p>
        </w:tc>
        <w:tc>
          <w:tcPr>
            <w:tcW w:w="510" w:type="pct"/>
            <w:tcBorders>
              <w:top w:val="nil"/>
              <w:bottom w:val="nil"/>
            </w:tcBorders>
          </w:tcPr>
          <w:p w14:paraId="290CDFCB" w14:textId="4C695493"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16"/>
                <w:szCs w:val="20"/>
                <w:shd w:val="solid" w:color="000000" w:fill="000000"/>
                <w:fitText w:val="72" w:id="-1301008886"/>
                <w14:textFill>
                  <w14:solidFill>
                    <w14:srgbClr w14:val="000000">
                      <w14:alpha w14:val="100000"/>
                    </w14:srgbClr>
                  </w14:solidFill>
                </w14:textFill>
              </w:rPr>
              <w:t xml:space="preserve">　</w:t>
            </w:r>
            <w:r w:rsidR="00206B77" w:rsidRPr="00381965">
              <w:rPr>
                <w:color w:val="000000"/>
                <w:w w:val="16"/>
                <w:szCs w:val="20"/>
                <w:shd w:val="solid" w:color="000000" w:fill="000000"/>
                <w:fitText w:val="72" w:id="-1301008886"/>
                <w14:textFill>
                  <w14:solidFill>
                    <w14:srgbClr w14:val="000000">
                      <w14:alpha w14:val="100000"/>
                    </w14:srgbClr>
                  </w14:solidFill>
                </w14:textFill>
              </w:rPr>
              <w:t>|</w:t>
            </w:r>
            <w:r w:rsidR="00206B77" w:rsidRPr="00381965">
              <w:rPr>
                <w:rFonts w:hint="eastAsia"/>
                <w:color w:val="000000"/>
                <w:w w:val="16"/>
                <w:szCs w:val="20"/>
                <w:shd w:val="solid" w:color="000000" w:fill="000000"/>
                <w:fitText w:val="72" w:id="-1301008886"/>
                <w14:textFill>
                  <w14:solidFill>
                    <w14:srgbClr w14:val="000000">
                      <w14:alpha w14:val="100000"/>
                    </w14:srgbClr>
                  </w14:solidFill>
                </w14:textFill>
              </w:rPr>
              <w:t xml:space="preserve">　</w:t>
            </w:r>
          </w:p>
        </w:tc>
        <w:tc>
          <w:tcPr>
            <w:tcW w:w="510" w:type="pct"/>
            <w:tcBorders>
              <w:top w:val="nil"/>
              <w:bottom w:val="nil"/>
            </w:tcBorders>
          </w:tcPr>
          <w:p w14:paraId="6DF22810" w14:textId="77777777" w:rsidR="00FB40DA" w:rsidRPr="00BB0EC1" w:rsidRDefault="00FB40DA" w:rsidP="005F70DE">
            <w:pPr>
              <w:pStyle w:val="TableText0"/>
              <w:keepLines/>
              <w:jc w:val="center"/>
              <w:rPr>
                <w:szCs w:val="20"/>
              </w:rPr>
            </w:pPr>
            <w:r w:rsidRPr="00BB0EC1">
              <w:rPr>
                <w:szCs w:val="20"/>
              </w:rPr>
              <w:t>0.66</w:t>
            </w:r>
          </w:p>
        </w:tc>
        <w:tc>
          <w:tcPr>
            <w:tcW w:w="517" w:type="pct"/>
            <w:tcBorders>
              <w:top w:val="nil"/>
              <w:bottom w:val="nil"/>
            </w:tcBorders>
          </w:tcPr>
          <w:p w14:paraId="7DF7EC4A" w14:textId="51B3D23F"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21"/>
                <w:szCs w:val="20"/>
                <w:shd w:val="solid" w:color="000000" w:fill="000000"/>
                <w:fitText w:val="93" w:id="-1301008885"/>
                <w14:textFill>
                  <w14:solidFill>
                    <w14:srgbClr w14:val="000000">
                      <w14:alpha w14:val="100000"/>
                    </w14:srgbClr>
                  </w14:solidFill>
                </w14:textFill>
              </w:rPr>
              <w:t xml:space="preserve">　</w:t>
            </w:r>
            <w:r w:rsidR="00206B77" w:rsidRPr="00381965">
              <w:rPr>
                <w:color w:val="000000"/>
                <w:w w:val="21"/>
                <w:szCs w:val="20"/>
                <w:shd w:val="solid" w:color="000000" w:fill="000000"/>
                <w:fitText w:val="93" w:id="-1301008885"/>
                <w14:textFill>
                  <w14:solidFill>
                    <w14:srgbClr w14:val="000000">
                      <w14:alpha w14:val="100000"/>
                    </w14:srgbClr>
                  </w14:solidFill>
                </w14:textFill>
              </w:rPr>
              <w:t>|</w:t>
            </w:r>
            <w:r w:rsidR="00206B77" w:rsidRPr="00381965">
              <w:rPr>
                <w:rFonts w:hint="eastAsia"/>
                <w:color w:val="000000"/>
                <w:spacing w:val="2"/>
                <w:w w:val="21"/>
                <w:szCs w:val="20"/>
                <w:shd w:val="solid" w:color="000000" w:fill="000000"/>
                <w:fitText w:val="93" w:id="-1301008885"/>
                <w14:textFill>
                  <w14:solidFill>
                    <w14:srgbClr w14:val="000000">
                      <w14:alpha w14:val="100000"/>
                    </w14:srgbClr>
                  </w14:solidFill>
                </w14:textFill>
              </w:rPr>
              <w:t xml:space="preserve">　</w:t>
            </w:r>
            <w:r w:rsidR="009D3AAC">
              <w:rPr>
                <w:b/>
                <w:szCs w:val="20"/>
                <w:vertAlign w:val="superscript"/>
              </w:rPr>
              <w:t>2</w:t>
            </w:r>
          </w:p>
        </w:tc>
      </w:tr>
      <w:tr w:rsidR="00FB40DA" w:rsidRPr="00BB0EC1" w14:paraId="18FC3A9F" w14:textId="77777777" w:rsidTr="00FA0D96">
        <w:tc>
          <w:tcPr>
            <w:tcW w:w="1931" w:type="pct"/>
            <w:tcBorders>
              <w:top w:val="nil"/>
              <w:bottom w:val="single" w:sz="4" w:space="0" w:color="auto"/>
            </w:tcBorders>
            <w:vAlign w:val="center"/>
          </w:tcPr>
          <w:p w14:paraId="08DFDE9C" w14:textId="77777777" w:rsidR="00FB40DA" w:rsidRPr="00BB0EC1" w:rsidRDefault="00FB40DA" w:rsidP="005F70DE">
            <w:pPr>
              <w:pStyle w:val="TableText0"/>
              <w:keepLines/>
              <w:ind w:left="106"/>
              <w:rPr>
                <w:szCs w:val="20"/>
              </w:rPr>
            </w:pPr>
            <w:r w:rsidRPr="00BB0EC1">
              <w:rPr>
                <w:szCs w:val="20"/>
              </w:rPr>
              <w:t>GOYA</w:t>
            </w:r>
          </w:p>
        </w:tc>
        <w:tc>
          <w:tcPr>
            <w:tcW w:w="510" w:type="pct"/>
            <w:tcBorders>
              <w:top w:val="nil"/>
              <w:bottom w:val="single" w:sz="4" w:space="0" w:color="auto"/>
            </w:tcBorders>
          </w:tcPr>
          <w:p w14:paraId="0F6BACE3" w14:textId="7D28457B"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spacing w:val="3"/>
                <w:w w:val="15"/>
                <w:szCs w:val="20"/>
                <w:shd w:val="solid" w:color="000000" w:fill="000000"/>
                <w:fitText w:val="72" w:id="-1301008884"/>
                <w14:textFill>
                  <w14:solidFill>
                    <w14:srgbClr w14:val="000000">
                      <w14:alpha w14:val="100000"/>
                    </w14:srgbClr>
                  </w14:solidFill>
                </w14:textFill>
              </w:rPr>
              <w:t xml:space="preserve">　</w:t>
            </w:r>
            <w:r w:rsidR="00206B77" w:rsidRPr="00381965">
              <w:rPr>
                <w:color w:val="000000"/>
                <w:spacing w:val="3"/>
                <w:w w:val="15"/>
                <w:szCs w:val="20"/>
                <w:shd w:val="solid" w:color="000000" w:fill="000000"/>
                <w:fitText w:val="72" w:id="-1301008884"/>
                <w14:textFill>
                  <w14:solidFill>
                    <w14:srgbClr w14:val="000000">
                      <w14:alpha w14:val="100000"/>
                    </w14:srgbClr>
                  </w14:solidFill>
                </w14:textFill>
              </w:rPr>
              <w:t>|</w:t>
            </w:r>
            <w:r w:rsidR="00206B77" w:rsidRPr="00381965">
              <w:rPr>
                <w:rFonts w:hint="eastAsia"/>
                <w:color w:val="000000"/>
                <w:spacing w:val="1"/>
                <w:w w:val="15"/>
                <w:szCs w:val="20"/>
                <w:shd w:val="solid" w:color="000000" w:fill="000000"/>
                <w:fitText w:val="72" w:id="-1301008884"/>
                <w14:textFill>
                  <w14:solidFill>
                    <w14:srgbClr w14:val="000000">
                      <w14:alpha w14:val="100000"/>
                    </w14:srgbClr>
                  </w14:solidFill>
                </w14:textFill>
              </w:rPr>
              <w:t xml:space="preserve">　</w:t>
            </w:r>
          </w:p>
        </w:tc>
        <w:tc>
          <w:tcPr>
            <w:tcW w:w="510" w:type="pct"/>
            <w:tcBorders>
              <w:top w:val="nil"/>
              <w:bottom w:val="single" w:sz="4" w:space="0" w:color="auto"/>
            </w:tcBorders>
          </w:tcPr>
          <w:p w14:paraId="30D44C5E" w14:textId="77777777" w:rsidR="00FB40DA" w:rsidRPr="00BB0EC1" w:rsidRDefault="00FB40DA" w:rsidP="005F70DE">
            <w:pPr>
              <w:pStyle w:val="TableText0"/>
              <w:keepLines/>
              <w:jc w:val="center"/>
              <w:rPr>
                <w:szCs w:val="20"/>
              </w:rPr>
            </w:pPr>
            <w:r w:rsidRPr="00BB0EC1">
              <w:rPr>
                <w:szCs w:val="20"/>
              </w:rPr>
              <w:t>0.40</w:t>
            </w:r>
          </w:p>
        </w:tc>
        <w:tc>
          <w:tcPr>
            <w:tcW w:w="512" w:type="pct"/>
            <w:tcBorders>
              <w:top w:val="nil"/>
              <w:bottom w:val="single" w:sz="4" w:space="0" w:color="auto"/>
            </w:tcBorders>
          </w:tcPr>
          <w:p w14:paraId="5B828C10" w14:textId="2F20C209"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22"/>
                <w:szCs w:val="20"/>
                <w:shd w:val="solid" w:color="000000" w:fill="000000"/>
                <w:fitText w:val="100" w:id="-1301008883"/>
                <w14:textFill>
                  <w14:solidFill>
                    <w14:srgbClr w14:val="000000">
                      <w14:alpha w14:val="100000"/>
                    </w14:srgbClr>
                  </w14:solidFill>
                </w14:textFill>
              </w:rPr>
              <w:t xml:space="preserve">　</w:t>
            </w:r>
            <w:r w:rsidR="00206B77" w:rsidRPr="00381965">
              <w:rPr>
                <w:color w:val="000000"/>
                <w:w w:val="22"/>
                <w:szCs w:val="20"/>
                <w:shd w:val="solid" w:color="000000" w:fill="000000"/>
                <w:fitText w:val="100" w:id="-1301008883"/>
                <w14:textFill>
                  <w14:solidFill>
                    <w14:srgbClr w14:val="000000">
                      <w14:alpha w14:val="100000"/>
                    </w14:srgbClr>
                  </w14:solidFill>
                </w14:textFill>
              </w:rPr>
              <w:t>|</w:t>
            </w:r>
            <w:r w:rsidR="00206B77" w:rsidRPr="00381965">
              <w:rPr>
                <w:rFonts w:hint="eastAsia"/>
                <w:color w:val="000000"/>
                <w:spacing w:val="3"/>
                <w:w w:val="22"/>
                <w:szCs w:val="20"/>
                <w:shd w:val="solid" w:color="000000" w:fill="000000"/>
                <w:fitText w:val="100" w:id="-1301008883"/>
                <w14:textFill>
                  <w14:solidFill>
                    <w14:srgbClr w14:val="000000">
                      <w14:alpha w14:val="100000"/>
                    </w14:srgbClr>
                  </w14:solidFill>
                </w14:textFill>
              </w:rPr>
              <w:t xml:space="preserve">　</w:t>
            </w:r>
            <w:r w:rsidR="00EC4042" w:rsidRPr="00BB0EC1">
              <w:rPr>
                <w:b/>
                <w:szCs w:val="20"/>
                <w:vertAlign w:val="superscript"/>
              </w:rPr>
              <w:t>4</w:t>
            </w:r>
          </w:p>
        </w:tc>
        <w:tc>
          <w:tcPr>
            <w:tcW w:w="510" w:type="pct"/>
            <w:tcBorders>
              <w:top w:val="nil"/>
              <w:bottom w:val="single" w:sz="4" w:space="0" w:color="auto"/>
            </w:tcBorders>
          </w:tcPr>
          <w:p w14:paraId="3A441A74" w14:textId="5531805A"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16"/>
                <w:szCs w:val="20"/>
                <w:shd w:val="solid" w:color="000000" w:fill="000000"/>
                <w:fitText w:val="72" w:id="-1301008882"/>
                <w14:textFill>
                  <w14:solidFill>
                    <w14:srgbClr w14:val="000000">
                      <w14:alpha w14:val="100000"/>
                    </w14:srgbClr>
                  </w14:solidFill>
                </w14:textFill>
              </w:rPr>
              <w:t xml:space="preserve">　</w:t>
            </w:r>
            <w:r w:rsidR="00206B77" w:rsidRPr="00381965">
              <w:rPr>
                <w:color w:val="000000"/>
                <w:w w:val="16"/>
                <w:szCs w:val="20"/>
                <w:shd w:val="solid" w:color="000000" w:fill="000000"/>
                <w:fitText w:val="72" w:id="-1301008882"/>
                <w14:textFill>
                  <w14:solidFill>
                    <w14:srgbClr w14:val="000000">
                      <w14:alpha w14:val="100000"/>
                    </w14:srgbClr>
                  </w14:solidFill>
                </w14:textFill>
              </w:rPr>
              <w:t>|</w:t>
            </w:r>
            <w:r w:rsidR="00206B77" w:rsidRPr="00381965">
              <w:rPr>
                <w:rFonts w:hint="eastAsia"/>
                <w:color w:val="000000"/>
                <w:w w:val="16"/>
                <w:szCs w:val="20"/>
                <w:shd w:val="solid" w:color="000000" w:fill="000000"/>
                <w:fitText w:val="72" w:id="-1301008882"/>
                <w14:textFill>
                  <w14:solidFill>
                    <w14:srgbClr w14:val="000000">
                      <w14:alpha w14:val="100000"/>
                    </w14:srgbClr>
                  </w14:solidFill>
                </w14:textFill>
              </w:rPr>
              <w:t xml:space="preserve">　</w:t>
            </w:r>
          </w:p>
        </w:tc>
        <w:tc>
          <w:tcPr>
            <w:tcW w:w="510" w:type="pct"/>
            <w:tcBorders>
              <w:top w:val="nil"/>
              <w:bottom w:val="single" w:sz="4" w:space="0" w:color="auto"/>
            </w:tcBorders>
          </w:tcPr>
          <w:p w14:paraId="61B7A968" w14:textId="77777777" w:rsidR="00FB40DA" w:rsidRPr="00BB0EC1" w:rsidRDefault="00FB40DA" w:rsidP="005F70DE">
            <w:pPr>
              <w:pStyle w:val="TableText0"/>
              <w:keepLines/>
              <w:jc w:val="center"/>
              <w:rPr>
                <w:szCs w:val="20"/>
              </w:rPr>
            </w:pPr>
            <w:r w:rsidRPr="00BB0EC1">
              <w:rPr>
                <w:szCs w:val="20"/>
              </w:rPr>
              <w:t>0.72</w:t>
            </w:r>
          </w:p>
        </w:tc>
        <w:tc>
          <w:tcPr>
            <w:tcW w:w="517" w:type="pct"/>
            <w:tcBorders>
              <w:top w:val="nil"/>
              <w:bottom w:val="single" w:sz="4" w:space="0" w:color="auto"/>
            </w:tcBorders>
          </w:tcPr>
          <w:p w14:paraId="5DEAEFBE" w14:textId="536FBE45"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21"/>
                <w:szCs w:val="20"/>
                <w:shd w:val="solid" w:color="000000" w:fill="000000"/>
                <w:fitText w:val="93" w:id="-1301008881"/>
                <w14:textFill>
                  <w14:solidFill>
                    <w14:srgbClr w14:val="000000">
                      <w14:alpha w14:val="100000"/>
                    </w14:srgbClr>
                  </w14:solidFill>
                </w14:textFill>
              </w:rPr>
              <w:t xml:space="preserve">　</w:t>
            </w:r>
            <w:r w:rsidR="00206B77" w:rsidRPr="00381965">
              <w:rPr>
                <w:color w:val="000000"/>
                <w:w w:val="21"/>
                <w:szCs w:val="20"/>
                <w:shd w:val="solid" w:color="000000" w:fill="000000"/>
                <w:fitText w:val="93" w:id="-1301008881"/>
                <w14:textFill>
                  <w14:solidFill>
                    <w14:srgbClr w14:val="000000">
                      <w14:alpha w14:val="100000"/>
                    </w14:srgbClr>
                  </w14:solidFill>
                </w14:textFill>
              </w:rPr>
              <w:t>|</w:t>
            </w:r>
            <w:r w:rsidR="00206B77" w:rsidRPr="00381965">
              <w:rPr>
                <w:rFonts w:hint="eastAsia"/>
                <w:color w:val="000000"/>
                <w:spacing w:val="2"/>
                <w:w w:val="21"/>
                <w:szCs w:val="20"/>
                <w:shd w:val="solid" w:color="000000" w:fill="000000"/>
                <w:fitText w:val="93" w:id="-1301008881"/>
                <w14:textFill>
                  <w14:solidFill>
                    <w14:srgbClr w14:val="000000">
                      <w14:alpha w14:val="100000"/>
                    </w14:srgbClr>
                  </w14:solidFill>
                </w14:textFill>
              </w:rPr>
              <w:t xml:space="preserve">　</w:t>
            </w:r>
            <w:r w:rsidR="009D3AAC">
              <w:rPr>
                <w:b/>
                <w:szCs w:val="20"/>
                <w:vertAlign w:val="superscript"/>
              </w:rPr>
              <w:t>2</w:t>
            </w:r>
          </w:p>
        </w:tc>
      </w:tr>
      <w:tr w:rsidR="00FB40DA" w:rsidRPr="00BB0EC1" w14:paraId="37D7D9FC" w14:textId="77777777" w:rsidTr="00A72862">
        <w:tc>
          <w:tcPr>
            <w:tcW w:w="1931" w:type="pct"/>
            <w:tcBorders>
              <w:top w:val="nil"/>
              <w:bottom w:val="single" w:sz="4" w:space="0" w:color="auto"/>
            </w:tcBorders>
            <w:vAlign w:val="center"/>
          </w:tcPr>
          <w:p w14:paraId="1F619D23" w14:textId="77777777" w:rsidR="00FB40DA" w:rsidRPr="00BB0EC1" w:rsidRDefault="00FB40DA" w:rsidP="005F70DE">
            <w:pPr>
              <w:pStyle w:val="TableText0"/>
              <w:keepLines/>
              <w:rPr>
                <w:szCs w:val="20"/>
              </w:rPr>
            </w:pPr>
            <w:r w:rsidRPr="00BB0EC1">
              <w:rPr>
                <w:szCs w:val="20"/>
              </w:rPr>
              <w:t>Mean number of cycles directly from POLARIX (base case TTD KM, with cap and half cycle correction)</w:t>
            </w:r>
          </w:p>
        </w:tc>
        <w:tc>
          <w:tcPr>
            <w:tcW w:w="510" w:type="pct"/>
            <w:tcBorders>
              <w:top w:val="nil"/>
              <w:bottom w:val="single" w:sz="4" w:space="0" w:color="auto"/>
            </w:tcBorders>
            <w:vAlign w:val="center"/>
          </w:tcPr>
          <w:p w14:paraId="7ED6041B" w14:textId="15ED1D05"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16"/>
                <w:szCs w:val="20"/>
                <w:shd w:val="solid" w:color="000000" w:fill="000000"/>
                <w:fitText w:val="72" w:id="-1301008880"/>
                <w14:textFill>
                  <w14:solidFill>
                    <w14:srgbClr w14:val="000000">
                      <w14:alpha w14:val="100000"/>
                    </w14:srgbClr>
                  </w14:solidFill>
                </w14:textFill>
              </w:rPr>
              <w:t xml:space="preserve">　</w:t>
            </w:r>
            <w:r w:rsidR="00206B77" w:rsidRPr="00381965">
              <w:rPr>
                <w:color w:val="000000"/>
                <w:w w:val="16"/>
                <w:szCs w:val="20"/>
                <w:shd w:val="solid" w:color="000000" w:fill="000000"/>
                <w:fitText w:val="72" w:id="-1301008880"/>
                <w14:textFill>
                  <w14:solidFill>
                    <w14:srgbClr w14:val="000000">
                      <w14:alpha w14:val="100000"/>
                    </w14:srgbClr>
                  </w14:solidFill>
                </w14:textFill>
              </w:rPr>
              <w:t>|</w:t>
            </w:r>
            <w:r w:rsidR="00206B77" w:rsidRPr="00381965">
              <w:rPr>
                <w:rFonts w:hint="eastAsia"/>
                <w:color w:val="000000"/>
                <w:w w:val="16"/>
                <w:szCs w:val="20"/>
                <w:shd w:val="solid" w:color="000000" w:fill="000000"/>
                <w:fitText w:val="72" w:id="-1301008880"/>
                <w14:textFill>
                  <w14:solidFill>
                    <w14:srgbClr w14:val="000000">
                      <w14:alpha w14:val="100000"/>
                    </w14:srgbClr>
                  </w14:solidFill>
                </w14:textFill>
              </w:rPr>
              <w:t xml:space="preserve">　</w:t>
            </w:r>
          </w:p>
        </w:tc>
        <w:tc>
          <w:tcPr>
            <w:tcW w:w="510" w:type="pct"/>
            <w:tcBorders>
              <w:top w:val="nil"/>
              <w:bottom w:val="single" w:sz="4" w:space="0" w:color="auto"/>
            </w:tcBorders>
            <w:vAlign w:val="center"/>
          </w:tcPr>
          <w:p w14:paraId="73686914" w14:textId="77777777" w:rsidR="00FB40DA" w:rsidRPr="00BB0EC1" w:rsidRDefault="00FB40DA" w:rsidP="005F70DE">
            <w:pPr>
              <w:pStyle w:val="TableText0"/>
              <w:keepLines/>
              <w:jc w:val="center"/>
              <w:rPr>
                <w:szCs w:val="20"/>
              </w:rPr>
            </w:pPr>
            <w:r w:rsidRPr="00BB0EC1">
              <w:rPr>
                <w:szCs w:val="20"/>
              </w:rPr>
              <w:t>0.39</w:t>
            </w:r>
          </w:p>
        </w:tc>
        <w:tc>
          <w:tcPr>
            <w:tcW w:w="512" w:type="pct"/>
            <w:tcBorders>
              <w:top w:val="nil"/>
              <w:bottom w:val="single" w:sz="4" w:space="0" w:color="auto"/>
            </w:tcBorders>
            <w:vAlign w:val="center"/>
          </w:tcPr>
          <w:p w14:paraId="07942C6A" w14:textId="764085D5" w:rsidR="00FB40DA" w:rsidRPr="00BB0EC1" w:rsidRDefault="00FB40DA" w:rsidP="005F70DE">
            <w:pPr>
              <w:pStyle w:val="TableText0"/>
              <w:keepLines/>
              <w:jc w:val="center"/>
              <w:rPr>
                <w:szCs w:val="20"/>
              </w:rPr>
            </w:pPr>
            <w:r w:rsidRPr="00BB0EC1">
              <w:rPr>
                <w:szCs w:val="20"/>
              </w:rPr>
              <w:t>$</w:t>
            </w:r>
            <w:r w:rsidR="00206B77" w:rsidRPr="00206B77">
              <w:rPr>
                <w:rFonts w:hint="eastAsia"/>
                <w:color w:val="000000"/>
                <w:w w:val="22"/>
                <w:szCs w:val="20"/>
                <w:shd w:val="solid" w:color="000000" w:fill="000000"/>
                <w:fitText w:val="100" w:id="-1301008896"/>
                <w14:textFill>
                  <w14:solidFill>
                    <w14:srgbClr w14:val="000000">
                      <w14:alpha w14:val="100000"/>
                    </w14:srgbClr>
                  </w14:solidFill>
                </w14:textFill>
              </w:rPr>
              <w:t xml:space="preserve">　</w:t>
            </w:r>
            <w:r w:rsidR="00206B77" w:rsidRPr="00206B77">
              <w:rPr>
                <w:color w:val="000000"/>
                <w:w w:val="22"/>
                <w:szCs w:val="20"/>
                <w:shd w:val="solid" w:color="000000" w:fill="000000"/>
                <w:fitText w:val="100" w:id="-1301008896"/>
                <w14:textFill>
                  <w14:solidFill>
                    <w14:srgbClr w14:val="000000">
                      <w14:alpha w14:val="100000"/>
                    </w14:srgbClr>
                  </w14:solidFill>
                </w14:textFill>
              </w:rPr>
              <w:t>|</w:t>
            </w:r>
            <w:r w:rsidR="00206B77" w:rsidRPr="00206B77">
              <w:rPr>
                <w:rFonts w:hint="eastAsia"/>
                <w:color w:val="000000"/>
                <w:spacing w:val="3"/>
                <w:w w:val="22"/>
                <w:szCs w:val="20"/>
                <w:shd w:val="solid" w:color="000000" w:fill="000000"/>
                <w:fitText w:val="100" w:id="-1301008896"/>
                <w14:textFill>
                  <w14:solidFill>
                    <w14:srgbClr w14:val="000000">
                      <w14:alpha w14:val="100000"/>
                    </w14:srgbClr>
                  </w14:solidFill>
                </w14:textFill>
              </w:rPr>
              <w:t xml:space="preserve">　</w:t>
            </w:r>
            <w:r w:rsidR="00EC4042" w:rsidRPr="00BB0EC1">
              <w:rPr>
                <w:b/>
                <w:szCs w:val="20"/>
                <w:vertAlign w:val="superscript"/>
              </w:rPr>
              <w:t>1</w:t>
            </w:r>
          </w:p>
        </w:tc>
        <w:tc>
          <w:tcPr>
            <w:tcW w:w="510" w:type="pct"/>
            <w:tcBorders>
              <w:top w:val="nil"/>
              <w:bottom w:val="single" w:sz="4" w:space="0" w:color="auto"/>
            </w:tcBorders>
            <w:vAlign w:val="center"/>
          </w:tcPr>
          <w:p w14:paraId="5A7893A1" w14:textId="1A010A2C"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spacing w:val="3"/>
                <w:w w:val="15"/>
                <w:szCs w:val="20"/>
                <w:shd w:val="solid" w:color="000000" w:fill="000000"/>
                <w:fitText w:val="72" w:id="-1301008895"/>
                <w14:textFill>
                  <w14:solidFill>
                    <w14:srgbClr w14:val="000000">
                      <w14:alpha w14:val="100000"/>
                    </w14:srgbClr>
                  </w14:solidFill>
                </w14:textFill>
              </w:rPr>
              <w:t xml:space="preserve">　</w:t>
            </w:r>
            <w:r w:rsidR="00206B77" w:rsidRPr="00381965">
              <w:rPr>
                <w:color w:val="000000"/>
                <w:spacing w:val="3"/>
                <w:w w:val="15"/>
                <w:szCs w:val="20"/>
                <w:shd w:val="solid" w:color="000000" w:fill="000000"/>
                <w:fitText w:val="72" w:id="-1301008895"/>
                <w14:textFill>
                  <w14:solidFill>
                    <w14:srgbClr w14:val="000000">
                      <w14:alpha w14:val="100000"/>
                    </w14:srgbClr>
                  </w14:solidFill>
                </w14:textFill>
              </w:rPr>
              <w:t>|</w:t>
            </w:r>
            <w:r w:rsidR="00206B77" w:rsidRPr="00381965">
              <w:rPr>
                <w:rFonts w:hint="eastAsia"/>
                <w:color w:val="000000"/>
                <w:spacing w:val="1"/>
                <w:w w:val="15"/>
                <w:szCs w:val="20"/>
                <w:shd w:val="solid" w:color="000000" w:fill="000000"/>
                <w:fitText w:val="72" w:id="-1301008895"/>
                <w14:textFill>
                  <w14:solidFill>
                    <w14:srgbClr w14:val="000000">
                      <w14:alpha w14:val="100000"/>
                    </w14:srgbClr>
                  </w14:solidFill>
                </w14:textFill>
              </w:rPr>
              <w:t xml:space="preserve">　</w:t>
            </w:r>
          </w:p>
        </w:tc>
        <w:tc>
          <w:tcPr>
            <w:tcW w:w="510" w:type="pct"/>
            <w:tcBorders>
              <w:top w:val="nil"/>
              <w:bottom w:val="single" w:sz="4" w:space="0" w:color="auto"/>
            </w:tcBorders>
            <w:vAlign w:val="center"/>
          </w:tcPr>
          <w:p w14:paraId="5EC47F5F" w14:textId="77777777" w:rsidR="00FB40DA" w:rsidRPr="00BB0EC1" w:rsidRDefault="00FB40DA" w:rsidP="005F70DE">
            <w:pPr>
              <w:pStyle w:val="TableText0"/>
              <w:keepLines/>
              <w:jc w:val="center"/>
              <w:rPr>
                <w:szCs w:val="20"/>
              </w:rPr>
            </w:pPr>
            <w:r w:rsidRPr="00BB0EC1">
              <w:rPr>
                <w:szCs w:val="20"/>
              </w:rPr>
              <w:t>0.70</w:t>
            </w:r>
          </w:p>
        </w:tc>
        <w:tc>
          <w:tcPr>
            <w:tcW w:w="517" w:type="pct"/>
            <w:tcBorders>
              <w:top w:val="nil"/>
              <w:bottom w:val="single" w:sz="4" w:space="0" w:color="auto"/>
            </w:tcBorders>
            <w:vAlign w:val="center"/>
          </w:tcPr>
          <w:p w14:paraId="33575154" w14:textId="6C901797"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21"/>
                <w:szCs w:val="20"/>
                <w:shd w:val="solid" w:color="000000" w:fill="000000"/>
                <w:fitText w:val="93" w:id="-1301008894"/>
                <w14:textFill>
                  <w14:solidFill>
                    <w14:srgbClr w14:val="000000">
                      <w14:alpha w14:val="100000"/>
                    </w14:srgbClr>
                  </w14:solidFill>
                </w14:textFill>
              </w:rPr>
              <w:t xml:space="preserve">　</w:t>
            </w:r>
            <w:r w:rsidR="00206B77" w:rsidRPr="00381965">
              <w:rPr>
                <w:color w:val="000000"/>
                <w:w w:val="21"/>
                <w:szCs w:val="20"/>
                <w:shd w:val="solid" w:color="000000" w:fill="000000"/>
                <w:fitText w:val="93" w:id="-1301008894"/>
                <w14:textFill>
                  <w14:solidFill>
                    <w14:srgbClr w14:val="000000">
                      <w14:alpha w14:val="100000"/>
                    </w14:srgbClr>
                  </w14:solidFill>
                </w14:textFill>
              </w:rPr>
              <w:t>|</w:t>
            </w:r>
            <w:r w:rsidR="00206B77" w:rsidRPr="00381965">
              <w:rPr>
                <w:rFonts w:hint="eastAsia"/>
                <w:color w:val="000000"/>
                <w:spacing w:val="2"/>
                <w:w w:val="21"/>
                <w:szCs w:val="20"/>
                <w:shd w:val="solid" w:color="000000" w:fill="000000"/>
                <w:fitText w:val="93" w:id="-1301008894"/>
                <w14:textFill>
                  <w14:solidFill>
                    <w14:srgbClr w14:val="000000">
                      <w14:alpha w14:val="100000"/>
                    </w14:srgbClr>
                  </w14:solidFill>
                </w14:textFill>
              </w:rPr>
              <w:t xml:space="preserve">　</w:t>
            </w:r>
            <w:r w:rsidR="009D3AAC">
              <w:rPr>
                <w:b/>
                <w:szCs w:val="20"/>
                <w:vertAlign w:val="superscript"/>
              </w:rPr>
              <w:t>2</w:t>
            </w:r>
          </w:p>
        </w:tc>
      </w:tr>
      <w:tr w:rsidR="00FB40DA" w:rsidRPr="00BB0EC1" w14:paraId="168F1557" w14:textId="77777777" w:rsidTr="00FA0D96">
        <w:tc>
          <w:tcPr>
            <w:tcW w:w="1931" w:type="pct"/>
            <w:tcBorders>
              <w:bottom w:val="nil"/>
            </w:tcBorders>
            <w:vAlign w:val="center"/>
          </w:tcPr>
          <w:p w14:paraId="38CB80CF" w14:textId="77777777" w:rsidR="00FB40DA" w:rsidRPr="00BB0EC1" w:rsidRDefault="00FB40DA" w:rsidP="005F70DE">
            <w:pPr>
              <w:pStyle w:val="TableText0"/>
              <w:keepLines/>
              <w:rPr>
                <w:szCs w:val="20"/>
              </w:rPr>
            </w:pPr>
            <w:r w:rsidRPr="00BB0EC1">
              <w:rPr>
                <w:szCs w:val="20"/>
              </w:rPr>
              <w:t>Proportion subsequent therapies (base options differ by treatment arm)</w:t>
            </w:r>
          </w:p>
        </w:tc>
        <w:tc>
          <w:tcPr>
            <w:tcW w:w="510" w:type="pct"/>
            <w:tcBorders>
              <w:bottom w:val="nil"/>
            </w:tcBorders>
            <w:vAlign w:val="center"/>
          </w:tcPr>
          <w:p w14:paraId="721965B4" w14:textId="77777777" w:rsidR="00FB40DA" w:rsidRPr="00BB0EC1" w:rsidRDefault="00FB40DA" w:rsidP="005F70DE">
            <w:pPr>
              <w:pStyle w:val="TableText0"/>
              <w:keepLines/>
              <w:jc w:val="center"/>
              <w:rPr>
                <w:szCs w:val="20"/>
              </w:rPr>
            </w:pPr>
          </w:p>
        </w:tc>
        <w:tc>
          <w:tcPr>
            <w:tcW w:w="510" w:type="pct"/>
            <w:tcBorders>
              <w:bottom w:val="nil"/>
            </w:tcBorders>
            <w:vAlign w:val="center"/>
          </w:tcPr>
          <w:p w14:paraId="535FA8CB" w14:textId="77777777" w:rsidR="00FB40DA" w:rsidRPr="00BB0EC1" w:rsidRDefault="00FB40DA" w:rsidP="005F70DE">
            <w:pPr>
              <w:pStyle w:val="TableText0"/>
              <w:keepLines/>
              <w:jc w:val="center"/>
              <w:rPr>
                <w:szCs w:val="20"/>
              </w:rPr>
            </w:pPr>
          </w:p>
        </w:tc>
        <w:tc>
          <w:tcPr>
            <w:tcW w:w="512" w:type="pct"/>
            <w:tcBorders>
              <w:bottom w:val="nil"/>
            </w:tcBorders>
            <w:vAlign w:val="center"/>
          </w:tcPr>
          <w:p w14:paraId="17DB5E12" w14:textId="77777777" w:rsidR="00FB40DA" w:rsidRPr="00BB0EC1" w:rsidRDefault="00FB40DA" w:rsidP="005F70DE">
            <w:pPr>
              <w:pStyle w:val="TableText0"/>
              <w:keepLines/>
              <w:jc w:val="center"/>
              <w:rPr>
                <w:szCs w:val="20"/>
              </w:rPr>
            </w:pPr>
          </w:p>
        </w:tc>
        <w:tc>
          <w:tcPr>
            <w:tcW w:w="510" w:type="pct"/>
            <w:tcBorders>
              <w:bottom w:val="nil"/>
            </w:tcBorders>
            <w:vAlign w:val="center"/>
          </w:tcPr>
          <w:p w14:paraId="55B4A8B6" w14:textId="77777777" w:rsidR="00FB40DA" w:rsidRPr="00BB0EC1" w:rsidRDefault="00FB40DA" w:rsidP="005F70DE">
            <w:pPr>
              <w:pStyle w:val="TableText0"/>
              <w:keepLines/>
              <w:jc w:val="center"/>
              <w:rPr>
                <w:szCs w:val="20"/>
              </w:rPr>
            </w:pPr>
          </w:p>
        </w:tc>
        <w:tc>
          <w:tcPr>
            <w:tcW w:w="510" w:type="pct"/>
            <w:tcBorders>
              <w:bottom w:val="nil"/>
            </w:tcBorders>
            <w:vAlign w:val="center"/>
          </w:tcPr>
          <w:p w14:paraId="0EB93599" w14:textId="77777777" w:rsidR="00FB40DA" w:rsidRPr="00BB0EC1" w:rsidRDefault="00FB40DA" w:rsidP="005F70DE">
            <w:pPr>
              <w:pStyle w:val="TableText0"/>
              <w:keepLines/>
              <w:jc w:val="center"/>
              <w:rPr>
                <w:szCs w:val="20"/>
              </w:rPr>
            </w:pPr>
          </w:p>
        </w:tc>
        <w:tc>
          <w:tcPr>
            <w:tcW w:w="517" w:type="pct"/>
            <w:tcBorders>
              <w:bottom w:val="nil"/>
            </w:tcBorders>
            <w:vAlign w:val="center"/>
          </w:tcPr>
          <w:p w14:paraId="7249DC23" w14:textId="77777777" w:rsidR="00FB40DA" w:rsidRPr="00BB0EC1" w:rsidRDefault="00FB40DA" w:rsidP="005F70DE">
            <w:pPr>
              <w:pStyle w:val="TableText0"/>
              <w:keepLines/>
              <w:jc w:val="center"/>
              <w:rPr>
                <w:szCs w:val="20"/>
              </w:rPr>
            </w:pPr>
          </w:p>
        </w:tc>
      </w:tr>
      <w:tr w:rsidR="00FB40DA" w:rsidRPr="00BB0EC1" w14:paraId="2D8B315E" w14:textId="77777777" w:rsidTr="00FA0D96">
        <w:tc>
          <w:tcPr>
            <w:tcW w:w="1931" w:type="pct"/>
            <w:tcBorders>
              <w:top w:val="nil"/>
              <w:bottom w:val="single" w:sz="4" w:space="0" w:color="auto"/>
            </w:tcBorders>
            <w:vAlign w:val="center"/>
          </w:tcPr>
          <w:p w14:paraId="0A32705E" w14:textId="77777777" w:rsidR="00FB40DA" w:rsidRPr="00BB0EC1" w:rsidRDefault="00FB40DA" w:rsidP="005F70DE">
            <w:pPr>
              <w:pStyle w:val="TableText0"/>
              <w:keepLines/>
              <w:ind w:left="106"/>
              <w:rPr>
                <w:szCs w:val="20"/>
              </w:rPr>
            </w:pPr>
            <w:r w:rsidRPr="00BB0EC1">
              <w:rPr>
                <w:szCs w:val="20"/>
              </w:rPr>
              <w:t>Equal options across treatment arms</w:t>
            </w:r>
          </w:p>
        </w:tc>
        <w:tc>
          <w:tcPr>
            <w:tcW w:w="510" w:type="pct"/>
            <w:tcBorders>
              <w:top w:val="nil"/>
              <w:bottom w:val="single" w:sz="4" w:space="0" w:color="auto"/>
            </w:tcBorders>
          </w:tcPr>
          <w:p w14:paraId="4C0D7DBF" w14:textId="4BDF11E8"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spacing w:val="3"/>
                <w:w w:val="15"/>
                <w:szCs w:val="20"/>
                <w:shd w:val="solid" w:color="000000" w:fill="000000"/>
                <w:fitText w:val="72" w:id="-1301008893"/>
                <w14:textFill>
                  <w14:solidFill>
                    <w14:srgbClr w14:val="000000">
                      <w14:alpha w14:val="100000"/>
                    </w14:srgbClr>
                  </w14:solidFill>
                </w14:textFill>
              </w:rPr>
              <w:t xml:space="preserve">　</w:t>
            </w:r>
            <w:r w:rsidR="00206B77" w:rsidRPr="00381965">
              <w:rPr>
                <w:color w:val="000000"/>
                <w:spacing w:val="3"/>
                <w:w w:val="15"/>
                <w:szCs w:val="20"/>
                <w:shd w:val="solid" w:color="000000" w:fill="000000"/>
                <w:fitText w:val="72" w:id="-1301008893"/>
                <w14:textFill>
                  <w14:solidFill>
                    <w14:srgbClr w14:val="000000">
                      <w14:alpha w14:val="100000"/>
                    </w14:srgbClr>
                  </w14:solidFill>
                </w14:textFill>
              </w:rPr>
              <w:t>|</w:t>
            </w:r>
            <w:r w:rsidR="00206B77" w:rsidRPr="00381965">
              <w:rPr>
                <w:rFonts w:hint="eastAsia"/>
                <w:color w:val="000000"/>
                <w:spacing w:val="1"/>
                <w:w w:val="15"/>
                <w:szCs w:val="20"/>
                <w:shd w:val="solid" w:color="000000" w:fill="000000"/>
                <w:fitText w:val="72" w:id="-1301008893"/>
                <w14:textFill>
                  <w14:solidFill>
                    <w14:srgbClr w14:val="000000">
                      <w14:alpha w14:val="100000"/>
                    </w14:srgbClr>
                  </w14:solidFill>
                </w14:textFill>
              </w:rPr>
              <w:t xml:space="preserve">　</w:t>
            </w:r>
          </w:p>
        </w:tc>
        <w:tc>
          <w:tcPr>
            <w:tcW w:w="510" w:type="pct"/>
            <w:tcBorders>
              <w:top w:val="nil"/>
              <w:bottom w:val="single" w:sz="4" w:space="0" w:color="auto"/>
            </w:tcBorders>
          </w:tcPr>
          <w:p w14:paraId="3C9DD9AF" w14:textId="77777777" w:rsidR="00FB40DA" w:rsidRPr="00BB0EC1" w:rsidRDefault="00FB40DA" w:rsidP="005F70DE">
            <w:pPr>
              <w:pStyle w:val="TableText0"/>
              <w:keepLines/>
              <w:jc w:val="center"/>
              <w:rPr>
                <w:szCs w:val="20"/>
              </w:rPr>
            </w:pPr>
            <w:r w:rsidRPr="00BB0EC1">
              <w:rPr>
                <w:szCs w:val="20"/>
              </w:rPr>
              <w:t>0.39</w:t>
            </w:r>
          </w:p>
        </w:tc>
        <w:tc>
          <w:tcPr>
            <w:tcW w:w="512" w:type="pct"/>
            <w:tcBorders>
              <w:top w:val="nil"/>
              <w:bottom w:val="single" w:sz="4" w:space="0" w:color="auto"/>
            </w:tcBorders>
          </w:tcPr>
          <w:p w14:paraId="0EB4EB7D" w14:textId="3D81A353"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22"/>
                <w:szCs w:val="20"/>
                <w:shd w:val="solid" w:color="000000" w:fill="000000"/>
                <w:fitText w:val="100" w:id="-1301008892"/>
                <w14:textFill>
                  <w14:solidFill>
                    <w14:srgbClr w14:val="000000">
                      <w14:alpha w14:val="100000"/>
                    </w14:srgbClr>
                  </w14:solidFill>
                </w14:textFill>
              </w:rPr>
              <w:t xml:space="preserve">　</w:t>
            </w:r>
            <w:r w:rsidR="00206B77" w:rsidRPr="00381965">
              <w:rPr>
                <w:color w:val="000000"/>
                <w:w w:val="22"/>
                <w:szCs w:val="20"/>
                <w:shd w:val="solid" w:color="000000" w:fill="000000"/>
                <w:fitText w:val="100" w:id="-1301008892"/>
                <w14:textFill>
                  <w14:solidFill>
                    <w14:srgbClr w14:val="000000">
                      <w14:alpha w14:val="100000"/>
                    </w14:srgbClr>
                  </w14:solidFill>
                </w14:textFill>
              </w:rPr>
              <w:t>|</w:t>
            </w:r>
            <w:r w:rsidR="00206B77" w:rsidRPr="00381965">
              <w:rPr>
                <w:rFonts w:hint="eastAsia"/>
                <w:color w:val="000000"/>
                <w:spacing w:val="3"/>
                <w:w w:val="22"/>
                <w:szCs w:val="20"/>
                <w:shd w:val="solid" w:color="000000" w:fill="000000"/>
                <w:fitText w:val="100" w:id="-1301008892"/>
                <w14:textFill>
                  <w14:solidFill>
                    <w14:srgbClr w14:val="000000">
                      <w14:alpha w14:val="100000"/>
                    </w14:srgbClr>
                  </w14:solidFill>
                </w14:textFill>
              </w:rPr>
              <w:t xml:space="preserve">　</w:t>
            </w:r>
            <w:r w:rsidR="00EC4042" w:rsidRPr="00BB0EC1">
              <w:rPr>
                <w:b/>
                <w:szCs w:val="20"/>
                <w:vertAlign w:val="superscript"/>
              </w:rPr>
              <w:t>1</w:t>
            </w:r>
          </w:p>
        </w:tc>
        <w:tc>
          <w:tcPr>
            <w:tcW w:w="510" w:type="pct"/>
            <w:tcBorders>
              <w:top w:val="nil"/>
              <w:bottom w:val="single" w:sz="4" w:space="0" w:color="auto"/>
            </w:tcBorders>
          </w:tcPr>
          <w:p w14:paraId="4DBAD6E0" w14:textId="5CB3B9C7"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16"/>
                <w:szCs w:val="20"/>
                <w:shd w:val="solid" w:color="000000" w:fill="000000"/>
                <w:fitText w:val="72" w:id="-1301008891"/>
                <w14:textFill>
                  <w14:solidFill>
                    <w14:srgbClr w14:val="000000">
                      <w14:alpha w14:val="100000"/>
                    </w14:srgbClr>
                  </w14:solidFill>
                </w14:textFill>
              </w:rPr>
              <w:t xml:space="preserve">　</w:t>
            </w:r>
            <w:r w:rsidR="00206B77" w:rsidRPr="00381965">
              <w:rPr>
                <w:color w:val="000000"/>
                <w:w w:val="16"/>
                <w:szCs w:val="20"/>
                <w:shd w:val="solid" w:color="000000" w:fill="000000"/>
                <w:fitText w:val="72" w:id="-1301008891"/>
                <w14:textFill>
                  <w14:solidFill>
                    <w14:srgbClr w14:val="000000">
                      <w14:alpha w14:val="100000"/>
                    </w14:srgbClr>
                  </w14:solidFill>
                </w14:textFill>
              </w:rPr>
              <w:t>|</w:t>
            </w:r>
            <w:r w:rsidR="00206B77" w:rsidRPr="00381965">
              <w:rPr>
                <w:rFonts w:hint="eastAsia"/>
                <w:color w:val="000000"/>
                <w:w w:val="16"/>
                <w:szCs w:val="20"/>
                <w:shd w:val="solid" w:color="000000" w:fill="000000"/>
                <w:fitText w:val="72" w:id="-1301008891"/>
                <w14:textFill>
                  <w14:solidFill>
                    <w14:srgbClr w14:val="000000">
                      <w14:alpha w14:val="100000"/>
                    </w14:srgbClr>
                  </w14:solidFill>
                </w14:textFill>
              </w:rPr>
              <w:t xml:space="preserve">　</w:t>
            </w:r>
          </w:p>
        </w:tc>
        <w:tc>
          <w:tcPr>
            <w:tcW w:w="510" w:type="pct"/>
            <w:tcBorders>
              <w:top w:val="nil"/>
              <w:bottom w:val="single" w:sz="4" w:space="0" w:color="auto"/>
            </w:tcBorders>
          </w:tcPr>
          <w:p w14:paraId="13D23F9F" w14:textId="77777777" w:rsidR="00FB40DA" w:rsidRPr="00BB0EC1" w:rsidRDefault="00FB40DA" w:rsidP="005F70DE">
            <w:pPr>
              <w:pStyle w:val="TableText0"/>
              <w:keepLines/>
              <w:jc w:val="center"/>
              <w:rPr>
                <w:szCs w:val="20"/>
              </w:rPr>
            </w:pPr>
            <w:r w:rsidRPr="00BB0EC1">
              <w:rPr>
                <w:szCs w:val="20"/>
              </w:rPr>
              <w:t>0.70</w:t>
            </w:r>
          </w:p>
        </w:tc>
        <w:tc>
          <w:tcPr>
            <w:tcW w:w="517" w:type="pct"/>
            <w:tcBorders>
              <w:top w:val="nil"/>
              <w:bottom w:val="single" w:sz="4" w:space="0" w:color="auto"/>
            </w:tcBorders>
          </w:tcPr>
          <w:p w14:paraId="03DF6DFD" w14:textId="232976B9"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21"/>
                <w:szCs w:val="20"/>
                <w:shd w:val="solid" w:color="000000" w:fill="000000"/>
                <w:fitText w:val="93" w:id="-1301008890"/>
                <w14:textFill>
                  <w14:solidFill>
                    <w14:srgbClr w14:val="000000">
                      <w14:alpha w14:val="100000"/>
                    </w14:srgbClr>
                  </w14:solidFill>
                </w14:textFill>
              </w:rPr>
              <w:t xml:space="preserve">　</w:t>
            </w:r>
            <w:r w:rsidR="00206B77" w:rsidRPr="00381965">
              <w:rPr>
                <w:color w:val="000000"/>
                <w:w w:val="21"/>
                <w:szCs w:val="20"/>
                <w:shd w:val="solid" w:color="000000" w:fill="000000"/>
                <w:fitText w:val="93" w:id="-1301008890"/>
                <w14:textFill>
                  <w14:solidFill>
                    <w14:srgbClr w14:val="000000">
                      <w14:alpha w14:val="100000"/>
                    </w14:srgbClr>
                  </w14:solidFill>
                </w14:textFill>
              </w:rPr>
              <w:t>|</w:t>
            </w:r>
            <w:r w:rsidR="00206B77" w:rsidRPr="00381965">
              <w:rPr>
                <w:rFonts w:hint="eastAsia"/>
                <w:color w:val="000000"/>
                <w:spacing w:val="2"/>
                <w:w w:val="21"/>
                <w:szCs w:val="20"/>
                <w:shd w:val="solid" w:color="000000" w:fill="000000"/>
                <w:fitText w:val="93" w:id="-1301008890"/>
                <w14:textFill>
                  <w14:solidFill>
                    <w14:srgbClr w14:val="000000">
                      <w14:alpha w14:val="100000"/>
                    </w14:srgbClr>
                  </w14:solidFill>
                </w14:textFill>
              </w:rPr>
              <w:t xml:space="preserve">　</w:t>
            </w:r>
            <w:r w:rsidR="009D3AAC">
              <w:rPr>
                <w:b/>
                <w:szCs w:val="20"/>
                <w:vertAlign w:val="superscript"/>
              </w:rPr>
              <w:t>2</w:t>
            </w:r>
          </w:p>
        </w:tc>
      </w:tr>
      <w:tr w:rsidR="00FB40DA" w:rsidRPr="00BB0EC1" w14:paraId="0D965C3C" w14:textId="77777777" w:rsidTr="00FA0D96">
        <w:tc>
          <w:tcPr>
            <w:tcW w:w="1931" w:type="pct"/>
            <w:tcBorders>
              <w:bottom w:val="nil"/>
            </w:tcBorders>
            <w:vAlign w:val="center"/>
          </w:tcPr>
          <w:p w14:paraId="4FF1AE4D" w14:textId="77777777" w:rsidR="00FB40DA" w:rsidRPr="00BB0EC1" w:rsidRDefault="00FB40DA" w:rsidP="005F70DE">
            <w:pPr>
              <w:pStyle w:val="TableText0"/>
              <w:keepLines/>
              <w:rPr>
                <w:szCs w:val="20"/>
              </w:rPr>
            </w:pPr>
            <w:r w:rsidRPr="00BB0EC1">
              <w:rPr>
                <w:szCs w:val="20"/>
              </w:rPr>
              <w:t>Cost of CAR-T (base $500,000)</w:t>
            </w:r>
          </w:p>
        </w:tc>
        <w:tc>
          <w:tcPr>
            <w:tcW w:w="510" w:type="pct"/>
            <w:tcBorders>
              <w:bottom w:val="nil"/>
            </w:tcBorders>
            <w:vAlign w:val="center"/>
          </w:tcPr>
          <w:p w14:paraId="05B8A0EF" w14:textId="77777777" w:rsidR="00FB40DA" w:rsidRPr="00BB0EC1" w:rsidRDefault="00FB40DA" w:rsidP="005F70DE">
            <w:pPr>
              <w:pStyle w:val="TableText0"/>
              <w:keepLines/>
              <w:jc w:val="center"/>
              <w:rPr>
                <w:szCs w:val="20"/>
              </w:rPr>
            </w:pPr>
          </w:p>
        </w:tc>
        <w:tc>
          <w:tcPr>
            <w:tcW w:w="510" w:type="pct"/>
            <w:tcBorders>
              <w:bottom w:val="nil"/>
            </w:tcBorders>
            <w:vAlign w:val="center"/>
          </w:tcPr>
          <w:p w14:paraId="1702A5F4" w14:textId="77777777" w:rsidR="00FB40DA" w:rsidRPr="00BB0EC1" w:rsidRDefault="00FB40DA" w:rsidP="005F70DE">
            <w:pPr>
              <w:pStyle w:val="TableText0"/>
              <w:keepLines/>
              <w:jc w:val="center"/>
              <w:rPr>
                <w:szCs w:val="20"/>
              </w:rPr>
            </w:pPr>
          </w:p>
        </w:tc>
        <w:tc>
          <w:tcPr>
            <w:tcW w:w="512" w:type="pct"/>
            <w:tcBorders>
              <w:bottom w:val="nil"/>
            </w:tcBorders>
            <w:vAlign w:val="center"/>
          </w:tcPr>
          <w:p w14:paraId="5BA52CCC" w14:textId="77777777" w:rsidR="00FB40DA" w:rsidRPr="00BB0EC1" w:rsidRDefault="00FB40DA" w:rsidP="005F70DE">
            <w:pPr>
              <w:pStyle w:val="TableText0"/>
              <w:keepLines/>
              <w:jc w:val="center"/>
              <w:rPr>
                <w:szCs w:val="20"/>
              </w:rPr>
            </w:pPr>
          </w:p>
        </w:tc>
        <w:tc>
          <w:tcPr>
            <w:tcW w:w="510" w:type="pct"/>
            <w:tcBorders>
              <w:bottom w:val="nil"/>
            </w:tcBorders>
            <w:vAlign w:val="center"/>
          </w:tcPr>
          <w:p w14:paraId="6AB47FEC" w14:textId="77777777" w:rsidR="00FB40DA" w:rsidRPr="00BB0EC1" w:rsidRDefault="00FB40DA" w:rsidP="005F70DE">
            <w:pPr>
              <w:pStyle w:val="TableText0"/>
              <w:keepLines/>
              <w:jc w:val="center"/>
              <w:rPr>
                <w:szCs w:val="20"/>
              </w:rPr>
            </w:pPr>
          </w:p>
        </w:tc>
        <w:tc>
          <w:tcPr>
            <w:tcW w:w="510" w:type="pct"/>
            <w:tcBorders>
              <w:bottom w:val="nil"/>
            </w:tcBorders>
            <w:vAlign w:val="center"/>
          </w:tcPr>
          <w:p w14:paraId="299C7D91" w14:textId="77777777" w:rsidR="00FB40DA" w:rsidRPr="00BB0EC1" w:rsidRDefault="00FB40DA" w:rsidP="005F70DE">
            <w:pPr>
              <w:pStyle w:val="TableText0"/>
              <w:keepLines/>
              <w:jc w:val="center"/>
              <w:rPr>
                <w:szCs w:val="20"/>
              </w:rPr>
            </w:pPr>
          </w:p>
        </w:tc>
        <w:tc>
          <w:tcPr>
            <w:tcW w:w="517" w:type="pct"/>
            <w:tcBorders>
              <w:bottom w:val="nil"/>
            </w:tcBorders>
            <w:vAlign w:val="center"/>
          </w:tcPr>
          <w:p w14:paraId="7389EEAD" w14:textId="77777777" w:rsidR="00FB40DA" w:rsidRPr="00BB0EC1" w:rsidRDefault="00FB40DA" w:rsidP="005F70DE">
            <w:pPr>
              <w:pStyle w:val="TableText0"/>
              <w:keepLines/>
              <w:jc w:val="center"/>
              <w:rPr>
                <w:szCs w:val="20"/>
              </w:rPr>
            </w:pPr>
          </w:p>
        </w:tc>
      </w:tr>
      <w:tr w:rsidR="00FB40DA" w:rsidRPr="00BB0EC1" w14:paraId="3D522F5E" w14:textId="77777777" w:rsidTr="00FA0D96">
        <w:tc>
          <w:tcPr>
            <w:tcW w:w="1931" w:type="pct"/>
            <w:tcBorders>
              <w:top w:val="nil"/>
              <w:bottom w:val="nil"/>
            </w:tcBorders>
            <w:vAlign w:val="center"/>
          </w:tcPr>
          <w:p w14:paraId="5C5D2729" w14:textId="77777777" w:rsidR="00FB40DA" w:rsidRPr="00BB0EC1" w:rsidRDefault="00FB40DA" w:rsidP="005F70DE">
            <w:pPr>
              <w:pStyle w:val="TableText0"/>
              <w:keepLines/>
              <w:ind w:left="106"/>
              <w:rPr>
                <w:szCs w:val="20"/>
              </w:rPr>
            </w:pPr>
            <w:r w:rsidRPr="00BB0EC1">
              <w:rPr>
                <w:szCs w:val="20"/>
              </w:rPr>
              <w:t>$300,000</w:t>
            </w:r>
          </w:p>
        </w:tc>
        <w:tc>
          <w:tcPr>
            <w:tcW w:w="510" w:type="pct"/>
            <w:tcBorders>
              <w:top w:val="nil"/>
              <w:bottom w:val="nil"/>
            </w:tcBorders>
          </w:tcPr>
          <w:p w14:paraId="7CB44707" w14:textId="6827D139"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16"/>
                <w:szCs w:val="20"/>
                <w:shd w:val="solid" w:color="000000" w:fill="000000"/>
                <w:fitText w:val="72" w:id="-1301008889"/>
                <w14:textFill>
                  <w14:solidFill>
                    <w14:srgbClr w14:val="000000">
                      <w14:alpha w14:val="100000"/>
                    </w14:srgbClr>
                  </w14:solidFill>
                </w14:textFill>
              </w:rPr>
              <w:t xml:space="preserve">　</w:t>
            </w:r>
            <w:r w:rsidR="00206B77" w:rsidRPr="00381965">
              <w:rPr>
                <w:color w:val="000000"/>
                <w:w w:val="16"/>
                <w:szCs w:val="20"/>
                <w:shd w:val="solid" w:color="000000" w:fill="000000"/>
                <w:fitText w:val="72" w:id="-1301008889"/>
                <w14:textFill>
                  <w14:solidFill>
                    <w14:srgbClr w14:val="000000">
                      <w14:alpha w14:val="100000"/>
                    </w14:srgbClr>
                  </w14:solidFill>
                </w14:textFill>
              </w:rPr>
              <w:t>|</w:t>
            </w:r>
            <w:r w:rsidR="00206B77" w:rsidRPr="00381965">
              <w:rPr>
                <w:rFonts w:hint="eastAsia"/>
                <w:color w:val="000000"/>
                <w:w w:val="16"/>
                <w:szCs w:val="20"/>
                <w:shd w:val="solid" w:color="000000" w:fill="000000"/>
                <w:fitText w:val="72" w:id="-1301008889"/>
                <w14:textFill>
                  <w14:solidFill>
                    <w14:srgbClr w14:val="000000">
                      <w14:alpha w14:val="100000"/>
                    </w14:srgbClr>
                  </w14:solidFill>
                </w14:textFill>
              </w:rPr>
              <w:t xml:space="preserve">　</w:t>
            </w:r>
          </w:p>
        </w:tc>
        <w:tc>
          <w:tcPr>
            <w:tcW w:w="510" w:type="pct"/>
            <w:tcBorders>
              <w:top w:val="nil"/>
              <w:bottom w:val="nil"/>
            </w:tcBorders>
          </w:tcPr>
          <w:p w14:paraId="2B15D067" w14:textId="77777777" w:rsidR="00FB40DA" w:rsidRPr="00BB0EC1" w:rsidRDefault="00FB40DA" w:rsidP="005F70DE">
            <w:pPr>
              <w:pStyle w:val="TableText0"/>
              <w:keepLines/>
              <w:jc w:val="center"/>
              <w:rPr>
                <w:szCs w:val="20"/>
              </w:rPr>
            </w:pPr>
            <w:r w:rsidRPr="00BB0EC1">
              <w:rPr>
                <w:szCs w:val="20"/>
              </w:rPr>
              <w:t>0.39</w:t>
            </w:r>
          </w:p>
        </w:tc>
        <w:tc>
          <w:tcPr>
            <w:tcW w:w="512" w:type="pct"/>
            <w:tcBorders>
              <w:top w:val="nil"/>
              <w:bottom w:val="nil"/>
            </w:tcBorders>
          </w:tcPr>
          <w:p w14:paraId="7EE8D8CE" w14:textId="1ABD36D1" w:rsidR="00FB40DA" w:rsidRPr="00BB0EC1" w:rsidRDefault="00FB40DA" w:rsidP="005F70DE">
            <w:pPr>
              <w:pStyle w:val="TableText0"/>
              <w:keepLines/>
              <w:jc w:val="center"/>
              <w:rPr>
                <w:szCs w:val="20"/>
              </w:rPr>
            </w:pPr>
            <w:r w:rsidRPr="00BB0EC1">
              <w:rPr>
                <w:szCs w:val="20"/>
              </w:rPr>
              <w:t>$</w:t>
            </w:r>
            <w:r w:rsidR="00206B77" w:rsidRPr="00206B77">
              <w:rPr>
                <w:rFonts w:hint="eastAsia"/>
                <w:color w:val="000000"/>
                <w:w w:val="22"/>
                <w:szCs w:val="20"/>
                <w:shd w:val="solid" w:color="000000" w:fill="000000"/>
                <w:fitText w:val="100" w:id="-1301008888"/>
                <w14:textFill>
                  <w14:solidFill>
                    <w14:srgbClr w14:val="000000">
                      <w14:alpha w14:val="100000"/>
                    </w14:srgbClr>
                  </w14:solidFill>
                </w14:textFill>
              </w:rPr>
              <w:t xml:space="preserve">　</w:t>
            </w:r>
            <w:r w:rsidR="00206B77" w:rsidRPr="00206B77">
              <w:rPr>
                <w:color w:val="000000"/>
                <w:w w:val="22"/>
                <w:szCs w:val="20"/>
                <w:shd w:val="solid" w:color="000000" w:fill="000000"/>
                <w:fitText w:val="100" w:id="-1301008888"/>
                <w14:textFill>
                  <w14:solidFill>
                    <w14:srgbClr w14:val="000000">
                      <w14:alpha w14:val="100000"/>
                    </w14:srgbClr>
                  </w14:solidFill>
                </w14:textFill>
              </w:rPr>
              <w:t>|</w:t>
            </w:r>
            <w:r w:rsidR="00206B77" w:rsidRPr="00206B77">
              <w:rPr>
                <w:rFonts w:hint="eastAsia"/>
                <w:color w:val="000000"/>
                <w:spacing w:val="3"/>
                <w:w w:val="22"/>
                <w:szCs w:val="20"/>
                <w:shd w:val="solid" w:color="000000" w:fill="000000"/>
                <w:fitText w:val="100" w:id="-1301008888"/>
                <w14:textFill>
                  <w14:solidFill>
                    <w14:srgbClr w14:val="000000">
                      <w14:alpha w14:val="100000"/>
                    </w14:srgbClr>
                  </w14:solidFill>
                </w14:textFill>
              </w:rPr>
              <w:t xml:space="preserve">　</w:t>
            </w:r>
            <w:r w:rsidR="00EC4042" w:rsidRPr="00BB0EC1">
              <w:rPr>
                <w:b/>
                <w:szCs w:val="20"/>
                <w:vertAlign w:val="superscript"/>
              </w:rPr>
              <w:t>1</w:t>
            </w:r>
          </w:p>
        </w:tc>
        <w:tc>
          <w:tcPr>
            <w:tcW w:w="510" w:type="pct"/>
            <w:tcBorders>
              <w:top w:val="nil"/>
              <w:bottom w:val="nil"/>
            </w:tcBorders>
          </w:tcPr>
          <w:p w14:paraId="45D24B6D" w14:textId="3AE650C9"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spacing w:val="3"/>
                <w:w w:val="15"/>
                <w:szCs w:val="20"/>
                <w:shd w:val="solid" w:color="000000" w:fill="000000"/>
                <w:fitText w:val="72" w:id="-1301008887"/>
                <w14:textFill>
                  <w14:solidFill>
                    <w14:srgbClr w14:val="000000">
                      <w14:alpha w14:val="100000"/>
                    </w14:srgbClr>
                  </w14:solidFill>
                </w14:textFill>
              </w:rPr>
              <w:t xml:space="preserve">　</w:t>
            </w:r>
            <w:r w:rsidR="00206B77" w:rsidRPr="00381965">
              <w:rPr>
                <w:color w:val="000000"/>
                <w:spacing w:val="3"/>
                <w:w w:val="15"/>
                <w:szCs w:val="20"/>
                <w:shd w:val="solid" w:color="000000" w:fill="000000"/>
                <w:fitText w:val="72" w:id="-1301008887"/>
                <w14:textFill>
                  <w14:solidFill>
                    <w14:srgbClr w14:val="000000">
                      <w14:alpha w14:val="100000"/>
                    </w14:srgbClr>
                  </w14:solidFill>
                </w14:textFill>
              </w:rPr>
              <w:t>|</w:t>
            </w:r>
            <w:r w:rsidR="00206B77" w:rsidRPr="00381965">
              <w:rPr>
                <w:rFonts w:hint="eastAsia"/>
                <w:color w:val="000000"/>
                <w:spacing w:val="1"/>
                <w:w w:val="15"/>
                <w:szCs w:val="20"/>
                <w:shd w:val="solid" w:color="000000" w:fill="000000"/>
                <w:fitText w:val="72" w:id="-1301008887"/>
                <w14:textFill>
                  <w14:solidFill>
                    <w14:srgbClr w14:val="000000">
                      <w14:alpha w14:val="100000"/>
                    </w14:srgbClr>
                  </w14:solidFill>
                </w14:textFill>
              </w:rPr>
              <w:t xml:space="preserve">　</w:t>
            </w:r>
          </w:p>
        </w:tc>
        <w:tc>
          <w:tcPr>
            <w:tcW w:w="510" w:type="pct"/>
            <w:tcBorders>
              <w:top w:val="nil"/>
              <w:bottom w:val="nil"/>
            </w:tcBorders>
          </w:tcPr>
          <w:p w14:paraId="2FA4605A" w14:textId="77777777" w:rsidR="00FB40DA" w:rsidRPr="00BB0EC1" w:rsidRDefault="00FB40DA" w:rsidP="005F70DE">
            <w:pPr>
              <w:pStyle w:val="TableText0"/>
              <w:keepLines/>
              <w:jc w:val="center"/>
              <w:rPr>
                <w:szCs w:val="20"/>
              </w:rPr>
            </w:pPr>
            <w:r w:rsidRPr="00BB0EC1">
              <w:rPr>
                <w:szCs w:val="20"/>
              </w:rPr>
              <w:t>0.70</w:t>
            </w:r>
          </w:p>
        </w:tc>
        <w:tc>
          <w:tcPr>
            <w:tcW w:w="517" w:type="pct"/>
            <w:tcBorders>
              <w:top w:val="nil"/>
              <w:bottom w:val="nil"/>
            </w:tcBorders>
          </w:tcPr>
          <w:p w14:paraId="501128AC" w14:textId="3A614A23"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21"/>
                <w:szCs w:val="20"/>
                <w:shd w:val="solid" w:color="000000" w:fill="000000"/>
                <w:fitText w:val="93" w:id="-1301008886"/>
                <w14:textFill>
                  <w14:solidFill>
                    <w14:srgbClr w14:val="000000">
                      <w14:alpha w14:val="100000"/>
                    </w14:srgbClr>
                  </w14:solidFill>
                </w14:textFill>
              </w:rPr>
              <w:t xml:space="preserve">　</w:t>
            </w:r>
            <w:r w:rsidR="00206B77" w:rsidRPr="00381965">
              <w:rPr>
                <w:color w:val="000000"/>
                <w:w w:val="21"/>
                <w:szCs w:val="20"/>
                <w:shd w:val="solid" w:color="000000" w:fill="000000"/>
                <w:fitText w:val="93" w:id="-1301008886"/>
                <w14:textFill>
                  <w14:solidFill>
                    <w14:srgbClr w14:val="000000">
                      <w14:alpha w14:val="100000"/>
                    </w14:srgbClr>
                  </w14:solidFill>
                </w14:textFill>
              </w:rPr>
              <w:t>|</w:t>
            </w:r>
            <w:r w:rsidR="00206B77" w:rsidRPr="00381965">
              <w:rPr>
                <w:rFonts w:hint="eastAsia"/>
                <w:color w:val="000000"/>
                <w:spacing w:val="2"/>
                <w:w w:val="21"/>
                <w:szCs w:val="20"/>
                <w:shd w:val="solid" w:color="000000" w:fill="000000"/>
                <w:fitText w:val="93" w:id="-1301008886"/>
                <w14:textFill>
                  <w14:solidFill>
                    <w14:srgbClr w14:val="000000">
                      <w14:alpha w14:val="100000"/>
                    </w14:srgbClr>
                  </w14:solidFill>
                </w14:textFill>
              </w:rPr>
              <w:t xml:space="preserve">　</w:t>
            </w:r>
            <w:r w:rsidR="009D3AAC">
              <w:rPr>
                <w:b/>
                <w:szCs w:val="20"/>
                <w:vertAlign w:val="superscript"/>
              </w:rPr>
              <w:t>2</w:t>
            </w:r>
          </w:p>
        </w:tc>
      </w:tr>
      <w:tr w:rsidR="00FB40DA" w:rsidRPr="00BB0EC1" w14:paraId="54B3899E" w14:textId="77777777" w:rsidTr="002245F2">
        <w:tc>
          <w:tcPr>
            <w:tcW w:w="1931" w:type="pct"/>
            <w:tcBorders>
              <w:top w:val="nil"/>
              <w:bottom w:val="single" w:sz="4" w:space="0" w:color="auto"/>
            </w:tcBorders>
            <w:vAlign w:val="center"/>
          </w:tcPr>
          <w:p w14:paraId="14EFFDAC" w14:textId="77777777" w:rsidR="00FB40DA" w:rsidRPr="00BB0EC1" w:rsidRDefault="00FB40DA" w:rsidP="005F70DE">
            <w:pPr>
              <w:pStyle w:val="TableText0"/>
              <w:keepLines/>
              <w:ind w:left="106"/>
              <w:rPr>
                <w:szCs w:val="20"/>
              </w:rPr>
            </w:pPr>
            <w:r w:rsidRPr="00BB0EC1">
              <w:rPr>
                <w:szCs w:val="20"/>
              </w:rPr>
              <w:t>$700,000</w:t>
            </w:r>
          </w:p>
        </w:tc>
        <w:tc>
          <w:tcPr>
            <w:tcW w:w="510" w:type="pct"/>
            <w:tcBorders>
              <w:top w:val="nil"/>
              <w:bottom w:val="single" w:sz="4" w:space="0" w:color="auto"/>
            </w:tcBorders>
          </w:tcPr>
          <w:p w14:paraId="55E35EC3" w14:textId="7F54C46A"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16"/>
                <w:szCs w:val="20"/>
                <w:shd w:val="solid" w:color="000000" w:fill="000000"/>
                <w:fitText w:val="72" w:id="-1301008885"/>
                <w14:textFill>
                  <w14:solidFill>
                    <w14:srgbClr w14:val="000000">
                      <w14:alpha w14:val="100000"/>
                    </w14:srgbClr>
                  </w14:solidFill>
                </w14:textFill>
              </w:rPr>
              <w:t xml:space="preserve">　</w:t>
            </w:r>
            <w:r w:rsidR="00206B77" w:rsidRPr="00381965">
              <w:rPr>
                <w:color w:val="000000"/>
                <w:w w:val="16"/>
                <w:szCs w:val="20"/>
                <w:shd w:val="solid" w:color="000000" w:fill="000000"/>
                <w:fitText w:val="72" w:id="-1301008885"/>
                <w14:textFill>
                  <w14:solidFill>
                    <w14:srgbClr w14:val="000000">
                      <w14:alpha w14:val="100000"/>
                    </w14:srgbClr>
                  </w14:solidFill>
                </w14:textFill>
              </w:rPr>
              <w:t>|</w:t>
            </w:r>
            <w:r w:rsidR="00206B77" w:rsidRPr="00381965">
              <w:rPr>
                <w:rFonts w:hint="eastAsia"/>
                <w:color w:val="000000"/>
                <w:w w:val="16"/>
                <w:szCs w:val="20"/>
                <w:shd w:val="solid" w:color="000000" w:fill="000000"/>
                <w:fitText w:val="72" w:id="-1301008885"/>
                <w14:textFill>
                  <w14:solidFill>
                    <w14:srgbClr w14:val="000000">
                      <w14:alpha w14:val="100000"/>
                    </w14:srgbClr>
                  </w14:solidFill>
                </w14:textFill>
              </w:rPr>
              <w:t xml:space="preserve">　</w:t>
            </w:r>
          </w:p>
        </w:tc>
        <w:tc>
          <w:tcPr>
            <w:tcW w:w="510" w:type="pct"/>
            <w:tcBorders>
              <w:top w:val="nil"/>
              <w:bottom w:val="single" w:sz="4" w:space="0" w:color="auto"/>
            </w:tcBorders>
          </w:tcPr>
          <w:p w14:paraId="0EB75049" w14:textId="77777777" w:rsidR="00FB40DA" w:rsidRPr="00BB0EC1" w:rsidRDefault="00FB40DA" w:rsidP="005F70DE">
            <w:pPr>
              <w:pStyle w:val="TableText0"/>
              <w:keepLines/>
              <w:jc w:val="center"/>
              <w:rPr>
                <w:szCs w:val="20"/>
              </w:rPr>
            </w:pPr>
            <w:r w:rsidRPr="00BB0EC1">
              <w:rPr>
                <w:szCs w:val="20"/>
              </w:rPr>
              <w:t>0.39</w:t>
            </w:r>
          </w:p>
        </w:tc>
        <w:tc>
          <w:tcPr>
            <w:tcW w:w="512" w:type="pct"/>
            <w:tcBorders>
              <w:top w:val="nil"/>
              <w:bottom w:val="single" w:sz="4" w:space="0" w:color="auto"/>
            </w:tcBorders>
          </w:tcPr>
          <w:p w14:paraId="298FB426" w14:textId="52ADA429" w:rsidR="00FB40DA" w:rsidRPr="00BB0EC1" w:rsidRDefault="00FB40DA" w:rsidP="005F70DE">
            <w:pPr>
              <w:pStyle w:val="TableText0"/>
              <w:keepLines/>
              <w:jc w:val="center"/>
              <w:rPr>
                <w:szCs w:val="20"/>
              </w:rPr>
            </w:pPr>
            <w:r w:rsidRPr="00BB0EC1">
              <w:rPr>
                <w:szCs w:val="20"/>
              </w:rPr>
              <w:t>$</w:t>
            </w:r>
            <w:r w:rsidR="00206B77" w:rsidRPr="00206B77">
              <w:rPr>
                <w:rFonts w:hint="eastAsia"/>
                <w:color w:val="000000"/>
                <w:w w:val="22"/>
                <w:szCs w:val="20"/>
                <w:shd w:val="solid" w:color="000000" w:fill="000000"/>
                <w:fitText w:val="100" w:id="-1301008884"/>
                <w14:textFill>
                  <w14:solidFill>
                    <w14:srgbClr w14:val="000000">
                      <w14:alpha w14:val="100000"/>
                    </w14:srgbClr>
                  </w14:solidFill>
                </w14:textFill>
              </w:rPr>
              <w:t xml:space="preserve">　</w:t>
            </w:r>
            <w:r w:rsidR="00206B77" w:rsidRPr="00206B77">
              <w:rPr>
                <w:color w:val="000000"/>
                <w:w w:val="22"/>
                <w:szCs w:val="20"/>
                <w:shd w:val="solid" w:color="000000" w:fill="000000"/>
                <w:fitText w:val="100" w:id="-1301008884"/>
                <w14:textFill>
                  <w14:solidFill>
                    <w14:srgbClr w14:val="000000">
                      <w14:alpha w14:val="100000"/>
                    </w14:srgbClr>
                  </w14:solidFill>
                </w14:textFill>
              </w:rPr>
              <w:t>|</w:t>
            </w:r>
            <w:r w:rsidR="00206B77" w:rsidRPr="00206B77">
              <w:rPr>
                <w:rFonts w:hint="eastAsia"/>
                <w:color w:val="000000"/>
                <w:spacing w:val="3"/>
                <w:w w:val="22"/>
                <w:szCs w:val="20"/>
                <w:shd w:val="solid" w:color="000000" w:fill="000000"/>
                <w:fitText w:val="100" w:id="-1301008884"/>
                <w14:textFill>
                  <w14:solidFill>
                    <w14:srgbClr w14:val="000000">
                      <w14:alpha w14:val="100000"/>
                    </w14:srgbClr>
                  </w14:solidFill>
                </w14:textFill>
              </w:rPr>
              <w:t xml:space="preserve">　</w:t>
            </w:r>
            <w:r w:rsidR="00EC4042" w:rsidRPr="00BB0EC1">
              <w:rPr>
                <w:b/>
                <w:szCs w:val="20"/>
                <w:vertAlign w:val="superscript"/>
              </w:rPr>
              <w:t>1</w:t>
            </w:r>
          </w:p>
        </w:tc>
        <w:tc>
          <w:tcPr>
            <w:tcW w:w="510" w:type="pct"/>
            <w:tcBorders>
              <w:top w:val="nil"/>
              <w:bottom w:val="single" w:sz="4" w:space="0" w:color="auto"/>
            </w:tcBorders>
          </w:tcPr>
          <w:p w14:paraId="08FECF0E" w14:textId="0FE88AD4"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spacing w:val="3"/>
                <w:w w:val="15"/>
                <w:szCs w:val="20"/>
                <w:shd w:val="solid" w:color="000000" w:fill="000000"/>
                <w:fitText w:val="72" w:id="-1301008883"/>
                <w14:textFill>
                  <w14:solidFill>
                    <w14:srgbClr w14:val="000000">
                      <w14:alpha w14:val="100000"/>
                    </w14:srgbClr>
                  </w14:solidFill>
                </w14:textFill>
              </w:rPr>
              <w:t xml:space="preserve">　</w:t>
            </w:r>
            <w:r w:rsidR="00206B77" w:rsidRPr="00381965">
              <w:rPr>
                <w:color w:val="000000"/>
                <w:spacing w:val="3"/>
                <w:w w:val="15"/>
                <w:szCs w:val="20"/>
                <w:shd w:val="solid" w:color="000000" w:fill="000000"/>
                <w:fitText w:val="72" w:id="-1301008883"/>
                <w14:textFill>
                  <w14:solidFill>
                    <w14:srgbClr w14:val="000000">
                      <w14:alpha w14:val="100000"/>
                    </w14:srgbClr>
                  </w14:solidFill>
                </w14:textFill>
              </w:rPr>
              <w:t>|</w:t>
            </w:r>
            <w:r w:rsidR="00206B77" w:rsidRPr="00381965">
              <w:rPr>
                <w:rFonts w:hint="eastAsia"/>
                <w:color w:val="000000"/>
                <w:spacing w:val="1"/>
                <w:w w:val="15"/>
                <w:szCs w:val="20"/>
                <w:shd w:val="solid" w:color="000000" w:fill="000000"/>
                <w:fitText w:val="72" w:id="-1301008883"/>
                <w14:textFill>
                  <w14:solidFill>
                    <w14:srgbClr w14:val="000000">
                      <w14:alpha w14:val="100000"/>
                    </w14:srgbClr>
                  </w14:solidFill>
                </w14:textFill>
              </w:rPr>
              <w:t xml:space="preserve">　</w:t>
            </w:r>
          </w:p>
        </w:tc>
        <w:tc>
          <w:tcPr>
            <w:tcW w:w="510" w:type="pct"/>
            <w:tcBorders>
              <w:top w:val="nil"/>
              <w:bottom w:val="single" w:sz="4" w:space="0" w:color="auto"/>
            </w:tcBorders>
          </w:tcPr>
          <w:p w14:paraId="3259F6DF" w14:textId="77777777" w:rsidR="00FB40DA" w:rsidRPr="00BB0EC1" w:rsidRDefault="00FB40DA" w:rsidP="005F70DE">
            <w:pPr>
              <w:pStyle w:val="TableText0"/>
              <w:keepLines/>
              <w:jc w:val="center"/>
              <w:rPr>
                <w:szCs w:val="20"/>
              </w:rPr>
            </w:pPr>
            <w:r w:rsidRPr="00BB0EC1">
              <w:rPr>
                <w:szCs w:val="20"/>
              </w:rPr>
              <w:t>0.70</w:t>
            </w:r>
          </w:p>
        </w:tc>
        <w:tc>
          <w:tcPr>
            <w:tcW w:w="517" w:type="pct"/>
            <w:tcBorders>
              <w:top w:val="nil"/>
              <w:bottom w:val="single" w:sz="4" w:space="0" w:color="auto"/>
            </w:tcBorders>
          </w:tcPr>
          <w:p w14:paraId="406097FD" w14:textId="73D75F70" w:rsidR="00FB40DA" w:rsidRPr="00BB0EC1" w:rsidRDefault="00FB40DA" w:rsidP="005F70DE">
            <w:pPr>
              <w:pStyle w:val="TableText0"/>
              <w:keepLines/>
              <w:jc w:val="center"/>
              <w:rPr>
                <w:szCs w:val="20"/>
              </w:rPr>
            </w:pPr>
            <w:r w:rsidRPr="00BB0EC1">
              <w:rPr>
                <w:szCs w:val="20"/>
              </w:rPr>
              <w:t>$</w:t>
            </w:r>
            <w:r w:rsidR="00206B77" w:rsidRPr="00381965">
              <w:rPr>
                <w:rFonts w:hint="eastAsia"/>
                <w:color w:val="000000"/>
                <w:w w:val="27"/>
                <w:szCs w:val="20"/>
                <w:shd w:val="solid" w:color="000000" w:fill="000000"/>
                <w:fitText w:val="121" w:id="-1301008882"/>
                <w14:textFill>
                  <w14:solidFill>
                    <w14:srgbClr w14:val="000000">
                      <w14:alpha w14:val="100000"/>
                    </w14:srgbClr>
                  </w14:solidFill>
                </w14:textFill>
              </w:rPr>
              <w:t xml:space="preserve">　</w:t>
            </w:r>
            <w:r w:rsidR="00206B77" w:rsidRPr="00381965">
              <w:rPr>
                <w:color w:val="000000"/>
                <w:w w:val="27"/>
                <w:szCs w:val="20"/>
                <w:shd w:val="solid" w:color="000000" w:fill="000000"/>
                <w:fitText w:val="121" w:id="-1301008882"/>
                <w14:textFill>
                  <w14:solidFill>
                    <w14:srgbClr w14:val="000000">
                      <w14:alpha w14:val="100000"/>
                    </w14:srgbClr>
                  </w14:solidFill>
                </w14:textFill>
              </w:rPr>
              <w:t>|</w:t>
            </w:r>
            <w:r w:rsidR="00206B77" w:rsidRPr="00381965">
              <w:rPr>
                <w:rFonts w:hint="eastAsia"/>
                <w:color w:val="000000"/>
                <w:spacing w:val="3"/>
                <w:w w:val="27"/>
                <w:szCs w:val="20"/>
                <w:shd w:val="solid" w:color="000000" w:fill="000000"/>
                <w:fitText w:val="121" w:id="-1301008882"/>
                <w14:textFill>
                  <w14:solidFill>
                    <w14:srgbClr w14:val="000000">
                      <w14:alpha w14:val="100000"/>
                    </w14:srgbClr>
                  </w14:solidFill>
                </w14:textFill>
              </w:rPr>
              <w:t xml:space="preserve">　</w:t>
            </w:r>
            <w:r w:rsidR="009D3AAC">
              <w:rPr>
                <w:b/>
                <w:szCs w:val="20"/>
                <w:vertAlign w:val="superscript"/>
              </w:rPr>
              <w:t>11</w:t>
            </w:r>
          </w:p>
        </w:tc>
      </w:tr>
      <w:tr w:rsidR="002245F2" w:rsidRPr="00BB0EC1" w14:paraId="31B448D7" w14:textId="77777777" w:rsidTr="002245F2">
        <w:tc>
          <w:tcPr>
            <w:tcW w:w="5000" w:type="pct"/>
            <w:gridSpan w:val="7"/>
            <w:tcBorders>
              <w:top w:val="single" w:sz="4" w:space="0" w:color="auto"/>
              <w:bottom w:val="single" w:sz="4" w:space="0" w:color="auto"/>
            </w:tcBorders>
            <w:vAlign w:val="center"/>
          </w:tcPr>
          <w:p w14:paraId="27E25A70" w14:textId="18F54DEB" w:rsidR="002245F2" w:rsidRPr="00BB0EC1" w:rsidRDefault="002245F2" w:rsidP="005F70DE">
            <w:pPr>
              <w:pStyle w:val="TableText0"/>
              <w:keepLines/>
              <w:rPr>
                <w:b/>
                <w:bCs w:val="0"/>
                <w:szCs w:val="20"/>
              </w:rPr>
            </w:pPr>
            <w:r w:rsidRPr="00BB0EC1">
              <w:rPr>
                <w:b/>
                <w:bCs w:val="0"/>
                <w:szCs w:val="20"/>
              </w:rPr>
              <w:t>Multivariate sensitivity analysis</w:t>
            </w:r>
          </w:p>
        </w:tc>
      </w:tr>
      <w:tr w:rsidR="002245F2" w:rsidRPr="00BB0EC1" w14:paraId="738B2D48" w14:textId="77777777" w:rsidTr="002245F2">
        <w:tc>
          <w:tcPr>
            <w:tcW w:w="1931" w:type="pct"/>
            <w:tcBorders>
              <w:top w:val="single" w:sz="4" w:space="0" w:color="auto"/>
            </w:tcBorders>
            <w:vAlign w:val="center"/>
          </w:tcPr>
          <w:p w14:paraId="0A1FE74B" w14:textId="5FC2BA72" w:rsidR="002245F2" w:rsidRPr="00BB0EC1" w:rsidRDefault="002245F2" w:rsidP="005F70DE">
            <w:pPr>
              <w:pStyle w:val="TableText0"/>
              <w:keepLines/>
              <w:ind w:left="106"/>
              <w:rPr>
                <w:szCs w:val="20"/>
              </w:rPr>
            </w:pPr>
            <w:r w:rsidRPr="00BB0EC1">
              <w:rPr>
                <w:szCs w:val="20"/>
              </w:rPr>
              <w:t>PSCR model + 15 year TH, OS equal in both arms and subsequent therapies equal in both arms</w:t>
            </w:r>
          </w:p>
        </w:tc>
        <w:tc>
          <w:tcPr>
            <w:tcW w:w="510" w:type="pct"/>
            <w:tcBorders>
              <w:top w:val="single" w:sz="4" w:space="0" w:color="auto"/>
            </w:tcBorders>
          </w:tcPr>
          <w:p w14:paraId="04F8EB3C" w14:textId="27B8EF6F" w:rsidR="002245F2" w:rsidRPr="00BB0EC1" w:rsidRDefault="0064556D" w:rsidP="005F70DE">
            <w:pPr>
              <w:pStyle w:val="TableText0"/>
              <w:keepLines/>
              <w:jc w:val="center"/>
              <w:rPr>
                <w:szCs w:val="20"/>
              </w:rPr>
            </w:pPr>
            <w:r w:rsidRPr="00BB0EC1">
              <w:rPr>
                <w:szCs w:val="20"/>
              </w:rPr>
              <w:t>$</w:t>
            </w:r>
            <w:r w:rsidR="00206B77" w:rsidRPr="00381965">
              <w:rPr>
                <w:rFonts w:hint="eastAsia"/>
                <w:color w:val="000000"/>
                <w:w w:val="16"/>
                <w:szCs w:val="20"/>
                <w:shd w:val="solid" w:color="000000" w:fill="000000"/>
                <w:fitText w:val="72" w:id="-1301008640"/>
                <w14:textFill>
                  <w14:solidFill>
                    <w14:srgbClr w14:val="000000">
                      <w14:alpha w14:val="100000"/>
                    </w14:srgbClr>
                  </w14:solidFill>
                </w14:textFill>
              </w:rPr>
              <w:t xml:space="preserve">　</w:t>
            </w:r>
            <w:r w:rsidR="00206B77" w:rsidRPr="00381965">
              <w:rPr>
                <w:color w:val="000000"/>
                <w:w w:val="16"/>
                <w:szCs w:val="20"/>
                <w:shd w:val="solid" w:color="000000" w:fill="000000"/>
                <w:fitText w:val="72" w:id="-1301008640"/>
                <w14:textFill>
                  <w14:solidFill>
                    <w14:srgbClr w14:val="000000">
                      <w14:alpha w14:val="100000"/>
                    </w14:srgbClr>
                  </w14:solidFill>
                </w14:textFill>
              </w:rPr>
              <w:t>|</w:t>
            </w:r>
            <w:r w:rsidR="00206B77" w:rsidRPr="00381965">
              <w:rPr>
                <w:rFonts w:hint="eastAsia"/>
                <w:color w:val="000000"/>
                <w:w w:val="16"/>
                <w:szCs w:val="20"/>
                <w:shd w:val="solid" w:color="000000" w:fill="000000"/>
                <w:fitText w:val="72" w:id="-1301008640"/>
                <w14:textFill>
                  <w14:solidFill>
                    <w14:srgbClr w14:val="000000">
                      <w14:alpha w14:val="100000"/>
                    </w14:srgbClr>
                  </w14:solidFill>
                </w14:textFill>
              </w:rPr>
              <w:t xml:space="preserve">　</w:t>
            </w:r>
          </w:p>
        </w:tc>
        <w:tc>
          <w:tcPr>
            <w:tcW w:w="510" w:type="pct"/>
            <w:tcBorders>
              <w:top w:val="single" w:sz="4" w:space="0" w:color="auto"/>
            </w:tcBorders>
          </w:tcPr>
          <w:p w14:paraId="5C651F1B" w14:textId="344FEB49" w:rsidR="002245F2" w:rsidRPr="00BB0EC1" w:rsidRDefault="0064556D" w:rsidP="005F70DE">
            <w:pPr>
              <w:pStyle w:val="TableText0"/>
              <w:keepLines/>
              <w:jc w:val="center"/>
              <w:rPr>
                <w:szCs w:val="20"/>
              </w:rPr>
            </w:pPr>
            <w:r w:rsidRPr="00BB0EC1">
              <w:rPr>
                <w:szCs w:val="20"/>
              </w:rPr>
              <w:t>0.11</w:t>
            </w:r>
          </w:p>
        </w:tc>
        <w:tc>
          <w:tcPr>
            <w:tcW w:w="512" w:type="pct"/>
            <w:tcBorders>
              <w:top w:val="single" w:sz="4" w:space="0" w:color="auto"/>
            </w:tcBorders>
          </w:tcPr>
          <w:p w14:paraId="2E67457F" w14:textId="2449C58B" w:rsidR="002245F2" w:rsidRPr="00BB0EC1" w:rsidRDefault="002245F2" w:rsidP="005F70DE">
            <w:pPr>
              <w:pStyle w:val="TableText0"/>
              <w:keepLines/>
              <w:jc w:val="center"/>
              <w:rPr>
                <w:szCs w:val="20"/>
              </w:rPr>
            </w:pPr>
            <w:r w:rsidRPr="00BB0EC1">
              <w:rPr>
                <w:szCs w:val="20"/>
              </w:rPr>
              <w:t>$</w:t>
            </w:r>
            <w:r w:rsidR="00206B77" w:rsidRPr="00381965">
              <w:rPr>
                <w:rFonts w:hint="eastAsia"/>
                <w:color w:val="000000"/>
                <w:w w:val="22"/>
                <w:szCs w:val="20"/>
                <w:shd w:val="solid" w:color="000000" w:fill="000000"/>
                <w:fitText w:val="100" w:id="-1301008639"/>
                <w14:textFill>
                  <w14:solidFill>
                    <w14:srgbClr w14:val="000000">
                      <w14:alpha w14:val="100000"/>
                    </w14:srgbClr>
                  </w14:solidFill>
                </w14:textFill>
              </w:rPr>
              <w:t xml:space="preserve">　</w:t>
            </w:r>
            <w:r w:rsidR="00206B77" w:rsidRPr="00381965">
              <w:rPr>
                <w:color w:val="000000"/>
                <w:w w:val="22"/>
                <w:szCs w:val="20"/>
                <w:shd w:val="solid" w:color="000000" w:fill="000000"/>
                <w:fitText w:val="100" w:id="-1301008639"/>
                <w14:textFill>
                  <w14:solidFill>
                    <w14:srgbClr w14:val="000000">
                      <w14:alpha w14:val="100000"/>
                    </w14:srgbClr>
                  </w14:solidFill>
                </w14:textFill>
              </w:rPr>
              <w:t>|</w:t>
            </w:r>
            <w:r w:rsidR="00206B77" w:rsidRPr="00381965">
              <w:rPr>
                <w:rFonts w:hint="eastAsia"/>
                <w:color w:val="000000"/>
                <w:spacing w:val="3"/>
                <w:w w:val="22"/>
                <w:szCs w:val="20"/>
                <w:shd w:val="solid" w:color="000000" w:fill="000000"/>
                <w:fitText w:val="100" w:id="-1301008639"/>
                <w14:textFill>
                  <w14:solidFill>
                    <w14:srgbClr w14:val="000000">
                      <w14:alpha w14:val="100000"/>
                    </w14:srgbClr>
                  </w14:solidFill>
                </w14:textFill>
              </w:rPr>
              <w:t xml:space="preserve">　</w:t>
            </w:r>
            <w:r w:rsidR="000A218F" w:rsidRPr="00BB0EC1">
              <w:rPr>
                <w:b/>
                <w:szCs w:val="20"/>
                <w:vertAlign w:val="superscript"/>
              </w:rPr>
              <w:t>8</w:t>
            </w:r>
          </w:p>
        </w:tc>
        <w:tc>
          <w:tcPr>
            <w:tcW w:w="510" w:type="pct"/>
            <w:tcBorders>
              <w:top w:val="single" w:sz="4" w:space="0" w:color="auto"/>
            </w:tcBorders>
          </w:tcPr>
          <w:p w14:paraId="4AE1E830" w14:textId="7DEFC2FE" w:rsidR="002245F2" w:rsidRPr="00BB0EC1" w:rsidRDefault="002245F2" w:rsidP="005F70DE">
            <w:pPr>
              <w:pStyle w:val="TableText0"/>
              <w:keepLines/>
              <w:jc w:val="center"/>
              <w:rPr>
                <w:szCs w:val="20"/>
              </w:rPr>
            </w:pPr>
            <w:r w:rsidRPr="00BB0EC1">
              <w:rPr>
                <w:szCs w:val="20"/>
              </w:rPr>
              <w:t>-</w:t>
            </w:r>
          </w:p>
        </w:tc>
        <w:tc>
          <w:tcPr>
            <w:tcW w:w="510" w:type="pct"/>
            <w:tcBorders>
              <w:top w:val="single" w:sz="4" w:space="0" w:color="auto"/>
            </w:tcBorders>
          </w:tcPr>
          <w:p w14:paraId="5795451D" w14:textId="72187C3D" w:rsidR="002245F2" w:rsidRPr="00BB0EC1" w:rsidRDefault="002245F2" w:rsidP="005F70DE">
            <w:pPr>
              <w:pStyle w:val="TableText0"/>
              <w:keepLines/>
              <w:jc w:val="center"/>
              <w:rPr>
                <w:szCs w:val="20"/>
              </w:rPr>
            </w:pPr>
            <w:r w:rsidRPr="00BB0EC1">
              <w:rPr>
                <w:szCs w:val="20"/>
              </w:rPr>
              <w:t>-</w:t>
            </w:r>
          </w:p>
        </w:tc>
        <w:tc>
          <w:tcPr>
            <w:tcW w:w="517" w:type="pct"/>
            <w:tcBorders>
              <w:top w:val="single" w:sz="4" w:space="0" w:color="auto"/>
            </w:tcBorders>
          </w:tcPr>
          <w:p w14:paraId="148954E9" w14:textId="306314A4" w:rsidR="002245F2" w:rsidRPr="00BB0EC1" w:rsidRDefault="002245F2" w:rsidP="005F70DE">
            <w:pPr>
              <w:pStyle w:val="TableText0"/>
              <w:keepLines/>
              <w:jc w:val="center"/>
              <w:rPr>
                <w:szCs w:val="20"/>
              </w:rPr>
            </w:pPr>
            <w:r w:rsidRPr="00BB0EC1">
              <w:rPr>
                <w:szCs w:val="20"/>
              </w:rPr>
              <w:t>-</w:t>
            </w:r>
          </w:p>
        </w:tc>
      </w:tr>
    </w:tbl>
    <w:p w14:paraId="1074229F" w14:textId="77777777" w:rsidR="00FB40DA" w:rsidRPr="000B2FEE" w:rsidRDefault="00FB40DA" w:rsidP="005F70DE">
      <w:pPr>
        <w:pStyle w:val="FooterTableFigure"/>
        <w:keepNext/>
        <w:keepLines/>
      </w:pPr>
      <w:r w:rsidRPr="000B2FEE">
        <w:rPr>
          <w:szCs w:val="18"/>
        </w:rPr>
        <w:t xml:space="preserve">Source: Table 3.28, p112 of the submission and </w:t>
      </w:r>
      <w:r w:rsidRPr="000B2FEE">
        <w:t>compiled during the evaluation from Excel files ‘Economic Evaluation_ITT.xlsx’ and ‘Economic Evaluation_IPI 3-5.xlsx’</w:t>
      </w:r>
    </w:p>
    <w:p w14:paraId="5260E9EE" w14:textId="17260BF4" w:rsidR="00FB40DA" w:rsidRDefault="00FB40DA" w:rsidP="00B869EC">
      <w:pPr>
        <w:pStyle w:val="FooterTableFigure"/>
        <w:keepNext/>
        <w:keepLines/>
        <w:contextualSpacing w:val="0"/>
      </w:pPr>
      <w:r w:rsidRPr="000B2FEE">
        <w:t>ICER = incremental cost effectiveness ratio, IPI = International Prognostic Index, ITT = intention to treat, OS= overall survival, PFS = progression free survival, Pola+R-CHP = polatuzumab vedotin in combination with cyclophosphamide, doxorubicin and prednisone, QALY = quality adjusted life year R-CHOP = rituximab in combination with cyclophosphamide, doxorubicin, vincristine and prednisone</w:t>
      </w:r>
      <w:r w:rsidR="007845E3">
        <w:t>, TH = time horizon</w:t>
      </w:r>
    </w:p>
    <w:p w14:paraId="32630B14" w14:textId="77777777" w:rsidR="008131EB" w:rsidRDefault="008131EB" w:rsidP="009361E0">
      <w:pPr>
        <w:rPr>
          <w:rFonts w:ascii="Arial Narrow" w:hAnsi="Arial Narrow"/>
          <w:i/>
          <w:sz w:val="18"/>
          <w:szCs w:val="18"/>
        </w:rPr>
        <w:sectPr w:rsidR="008131EB" w:rsidSect="006C2875">
          <w:type w:val="continuous"/>
          <w:pgSz w:w="11907" w:h="16840" w:code="9"/>
          <w:pgMar w:top="1440" w:right="1440" w:bottom="1440" w:left="1440" w:header="1440" w:footer="1440" w:gutter="0"/>
          <w:cols w:space="708"/>
          <w:docGrid w:linePitch="360"/>
        </w:sectPr>
      </w:pPr>
    </w:p>
    <w:p w14:paraId="6BF413DE" w14:textId="5F21E535" w:rsidR="009361E0" w:rsidRPr="009A6D58" w:rsidRDefault="009361E0" w:rsidP="009361E0">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DAB0ABC" w14:textId="526134D4" w:rsidR="009361E0" w:rsidRPr="009A6D58" w:rsidRDefault="009361E0" w:rsidP="009361E0">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EC4042" w:rsidRPr="00EC4042">
        <w:rPr>
          <w:rFonts w:ascii="Arial Narrow" w:hAnsi="Arial Narrow"/>
          <w:i/>
          <w:sz w:val="18"/>
          <w:szCs w:val="18"/>
        </w:rPr>
        <w:t>$115,000 to &lt; $135,000</w:t>
      </w:r>
    </w:p>
    <w:p w14:paraId="75C7951A" w14:textId="5D3B0414" w:rsidR="009361E0" w:rsidRPr="009A6D58" w:rsidRDefault="009361E0" w:rsidP="009361E0">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EC4042" w:rsidRPr="00EC4042">
        <w:rPr>
          <w:rFonts w:ascii="Arial Narrow" w:hAnsi="Arial Narrow"/>
          <w:i/>
          <w:sz w:val="18"/>
          <w:szCs w:val="18"/>
        </w:rPr>
        <w:t>$55,000 to &lt; $75,000</w:t>
      </w:r>
    </w:p>
    <w:p w14:paraId="04AFF93D" w14:textId="413EDEE5" w:rsidR="009361E0" w:rsidRDefault="009361E0" w:rsidP="009361E0">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EC4042" w:rsidRPr="00EC4042">
        <w:rPr>
          <w:rFonts w:ascii="Arial Narrow" w:hAnsi="Arial Narrow"/>
          <w:i/>
          <w:sz w:val="18"/>
          <w:szCs w:val="18"/>
        </w:rPr>
        <w:t>$75,000 to &lt; $95,000</w:t>
      </w:r>
    </w:p>
    <w:p w14:paraId="6DF95720" w14:textId="506E503E" w:rsidR="009361E0" w:rsidRDefault="009361E0" w:rsidP="009361E0">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EC4042" w:rsidRPr="00EC4042">
        <w:rPr>
          <w:rFonts w:ascii="Arial Narrow" w:hAnsi="Arial Narrow"/>
          <w:i/>
          <w:sz w:val="18"/>
          <w:szCs w:val="18"/>
        </w:rPr>
        <w:t>$95,000 to &lt; $115,000</w:t>
      </w:r>
    </w:p>
    <w:p w14:paraId="119048C9" w14:textId="4735D360" w:rsidR="009361E0" w:rsidRDefault="009361E0" w:rsidP="009361E0">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EC4042" w:rsidRPr="00EC4042">
        <w:rPr>
          <w:rFonts w:ascii="Arial Narrow" w:hAnsi="Arial Narrow"/>
          <w:i/>
          <w:sz w:val="18"/>
          <w:szCs w:val="18"/>
        </w:rPr>
        <w:t>$255,000 to &lt; $355,000</w:t>
      </w:r>
    </w:p>
    <w:p w14:paraId="6744F8B2" w14:textId="54024092" w:rsidR="009361E0" w:rsidRDefault="009361E0" w:rsidP="009361E0">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EC4042" w:rsidRPr="00EC4042">
        <w:rPr>
          <w:rFonts w:ascii="Arial Narrow" w:hAnsi="Arial Narrow"/>
          <w:i/>
          <w:sz w:val="18"/>
          <w:szCs w:val="18"/>
        </w:rPr>
        <w:t>$155,000 to &lt; $255,000</w:t>
      </w:r>
    </w:p>
    <w:p w14:paraId="75740A9C" w14:textId="2C68B218" w:rsidR="00EC4042" w:rsidRDefault="00EC4042" w:rsidP="009361E0">
      <w:pPr>
        <w:rPr>
          <w:rFonts w:ascii="Arial Narrow" w:hAnsi="Arial Narrow"/>
          <w:i/>
          <w:sz w:val="18"/>
          <w:szCs w:val="18"/>
        </w:rPr>
      </w:pPr>
      <w:r w:rsidRPr="00EC4042">
        <w:rPr>
          <w:rFonts w:ascii="Arial Narrow" w:hAnsi="Arial Narrow"/>
          <w:b/>
          <w:sz w:val="18"/>
          <w:szCs w:val="18"/>
          <w:vertAlign w:val="superscript"/>
        </w:rPr>
        <w:t>7</w:t>
      </w:r>
      <w:r w:rsidRPr="00EC4042">
        <w:rPr>
          <w:rFonts w:ascii="Arial Narrow" w:hAnsi="Arial Narrow"/>
          <w:i/>
          <w:sz w:val="18"/>
          <w:szCs w:val="18"/>
        </w:rPr>
        <w:t>$135,000 to &lt; $155,000</w:t>
      </w:r>
    </w:p>
    <w:p w14:paraId="47850E65" w14:textId="5B3D7877" w:rsidR="000A218F" w:rsidRDefault="000A218F" w:rsidP="009361E0">
      <w:pPr>
        <w:rPr>
          <w:rFonts w:ascii="Arial Narrow" w:hAnsi="Arial Narrow"/>
          <w:i/>
          <w:sz w:val="18"/>
          <w:szCs w:val="18"/>
        </w:rPr>
      </w:pPr>
      <w:r>
        <w:rPr>
          <w:rFonts w:ascii="Arial Narrow" w:hAnsi="Arial Narrow"/>
          <w:b/>
          <w:sz w:val="18"/>
          <w:szCs w:val="18"/>
          <w:vertAlign w:val="superscript"/>
        </w:rPr>
        <w:t>8</w:t>
      </w:r>
      <w:r w:rsidRPr="000A218F">
        <w:rPr>
          <w:rFonts w:ascii="Arial Narrow" w:hAnsi="Arial Narrow"/>
          <w:i/>
          <w:sz w:val="18"/>
          <w:szCs w:val="18"/>
        </w:rPr>
        <w:t>$455,000 to &lt; $555,000</w:t>
      </w:r>
    </w:p>
    <w:p w14:paraId="6043486B" w14:textId="07A0F8E6" w:rsidR="000A218F" w:rsidRDefault="000A218F" w:rsidP="009361E0">
      <w:pPr>
        <w:rPr>
          <w:rFonts w:ascii="Arial Narrow" w:hAnsi="Arial Narrow"/>
          <w:i/>
          <w:sz w:val="18"/>
          <w:szCs w:val="18"/>
        </w:rPr>
      </w:pPr>
      <w:r>
        <w:rPr>
          <w:rFonts w:ascii="Arial Narrow" w:hAnsi="Arial Narrow"/>
          <w:b/>
          <w:sz w:val="18"/>
          <w:szCs w:val="18"/>
          <w:vertAlign w:val="superscript"/>
        </w:rPr>
        <w:t>9</w:t>
      </w:r>
      <w:r w:rsidRPr="000A218F">
        <w:rPr>
          <w:rFonts w:ascii="Arial Narrow" w:hAnsi="Arial Narrow"/>
          <w:i/>
          <w:sz w:val="18"/>
          <w:szCs w:val="18"/>
        </w:rPr>
        <w:t>$25,000 to &lt; $35,000</w:t>
      </w:r>
    </w:p>
    <w:p w14:paraId="2C4BCCF9" w14:textId="679F4991" w:rsidR="000A218F" w:rsidRDefault="000A218F" w:rsidP="009361E0">
      <w:pPr>
        <w:rPr>
          <w:rFonts w:ascii="Arial Narrow" w:hAnsi="Arial Narrow"/>
          <w:i/>
          <w:sz w:val="18"/>
          <w:szCs w:val="18"/>
        </w:rPr>
      </w:pPr>
      <w:r>
        <w:rPr>
          <w:rFonts w:ascii="Arial Narrow" w:hAnsi="Arial Narrow"/>
          <w:b/>
          <w:sz w:val="18"/>
          <w:szCs w:val="18"/>
          <w:vertAlign w:val="superscript"/>
        </w:rPr>
        <w:t>10</w:t>
      </w:r>
      <w:r w:rsidRPr="000A218F">
        <w:rPr>
          <w:rFonts w:ascii="Arial Narrow" w:hAnsi="Arial Narrow"/>
          <w:i/>
          <w:sz w:val="18"/>
          <w:szCs w:val="18"/>
        </w:rPr>
        <w:t>$35,000 to &lt; $45,000</w:t>
      </w:r>
    </w:p>
    <w:p w14:paraId="29A53C86" w14:textId="770543FB" w:rsidR="009361E0" w:rsidRPr="000B2FEE" w:rsidRDefault="000A218F" w:rsidP="00B869EC">
      <w:pPr>
        <w:spacing w:after="120"/>
      </w:pPr>
      <w:r>
        <w:rPr>
          <w:rFonts w:ascii="Arial Narrow" w:hAnsi="Arial Narrow"/>
          <w:b/>
          <w:sz w:val="18"/>
          <w:szCs w:val="18"/>
          <w:vertAlign w:val="superscript"/>
        </w:rPr>
        <w:t>11</w:t>
      </w:r>
      <w:r w:rsidRPr="000A218F">
        <w:rPr>
          <w:rFonts w:ascii="Arial Narrow" w:hAnsi="Arial Narrow"/>
          <w:i/>
          <w:sz w:val="18"/>
          <w:szCs w:val="18"/>
        </w:rPr>
        <w:t>$45,000 to &lt; $55,000</w:t>
      </w:r>
    </w:p>
    <w:p w14:paraId="2E94EDDA" w14:textId="77777777" w:rsidR="008131EB" w:rsidRDefault="008131EB" w:rsidP="00E1521D">
      <w:pPr>
        <w:pStyle w:val="3-BodyText"/>
        <w:ind w:left="720"/>
        <w:rPr>
          <w:iCs/>
        </w:rPr>
        <w:sectPr w:rsidR="008131EB" w:rsidSect="006C2875">
          <w:type w:val="continuous"/>
          <w:pgSz w:w="11907" w:h="16840" w:code="9"/>
          <w:pgMar w:top="1440" w:right="1440" w:bottom="1440" w:left="1440" w:header="1440" w:footer="1440" w:gutter="0"/>
          <w:cols w:num="2" w:space="708"/>
          <w:docGrid w:linePitch="360"/>
        </w:sectPr>
      </w:pPr>
      <w:bookmarkStart w:id="64" w:name="_Ref116508250"/>
      <w:bookmarkStart w:id="65" w:name="_Ref104805102"/>
    </w:p>
    <w:p w14:paraId="4F81C946" w14:textId="1CACDC87" w:rsidR="00C2727B" w:rsidRPr="00E1521D" w:rsidRDefault="00111B5E" w:rsidP="00E1521D">
      <w:pPr>
        <w:pStyle w:val="3-BodyText"/>
        <w:ind w:left="720"/>
        <w:rPr>
          <w:iCs/>
        </w:rPr>
      </w:pPr>
      <w:r w:rsidRPr="00E1521D">
        <w:rPr>
          <w:iCs/>
        </w:rPr>
        <w:lastRenderedPageBreak/>
        <w:t>Overall, the ESC considered that the economic analys</w:t>
      </w:r>
      <w:r w:rsidR="002245F2" w:rsidRPr="00E1521D">
        <w:rPr>
          <w:iCs/>
        </w:rPr>
        <w:t>e</w:t>
      </w:r>
      <w:r w:rsidRPr="00E1521D">
        <w:rPr>
          <w:iCs/>
        </w:rPr>
        <w:t xml:space="preserve">s </w:t>
      </w:r>
      <w:r w:rsidR="002245F2" w:rsidRPr="00E1521D">
        <w:rPr>
          <w:iCs/>
        </w:rPr>
        <w:t>presented in the submission and the PSCR were</w:t>
      </w:r>
      <w:r w:rsidRPr="00E1521D">
        <w:rPr>
          <w:iCs/>
        </w:rPr>
        <w:t xml:space="preserve"> optimistic. The ESC considered that the model should reflect the modest benefit in PFS. In addition, the ESC considered that it was uncertain whether the improvement in PFS would lead to an improvement in OS, and if so, </w:t>
      </w:r>
      <w:r w:rsidR="002245F2" w:rsidRPr="00E1521D">
        <w:rPr>
          <w:iCs/>
        </w:rPr>
        <w:t xml:space="preserve">considered that only a small </w:t>
      </w:r>
      <w:r w:rsidRPr="00E1521D">
        <w:rPr>
          <w:iCs/>
        </w:rPr>
        <w:t>magnitude of effect would be clinically plausible, as no difference in OS or complete response was observed in the POLARIX trial.</w:t>
      </w:r>
      <w:r w:rsidR="002245F2" w:rsidRPr="00E1521D">
        <w:rPr>
          <w:iCs/>
        </w:rPr>
        <w:t xml:space="preserve"> The ESC also considered that any future model should reduce the time horizon,</w:t>
      </w:r>
      <w:r w:rsidR="009C22C0">
        <w:rPr>
          <w:iCs/>
        </w:rPr>
        <w:t xml:space="preserve"> </w:t>
      </w:r>
      <w:r w:rsidR="002245F2" w:rsidRPr="00E1521D">
        <w:rPr>
          <w:iCs/>
        </w:rPr>
        <w:t xml:space="preserve">and apply the same </w:t>
      </w:r>
      <w:r w:rsidR="00663C4B" w:rsidRPr="00E1521D">
        <w:rPr>
          <w:iCs/>
        </w:rPr>
        <w:t xml:space="preserve">proportions of </w:t>
      </w:r>
      <w:r w:rsidR="002245F2" w:rsidRPr="00E1521D">
        <w:rPr>
          <w:iCs/>
        </w:rPr>
        <w:t xml:space="preserve">subsequent therapies across both treatment arms. </w:t>
      </w:r>
      <w:bookmarkEnd w:id="64"/>
    </w:p>
    <w:p w14:paraId="658BC2FC" w14:textId="4CD13230" w:rsidR="00111B5E" w:rsidRPr="00E1521D" w:rsidRDefault="00C2727B" w:rsidP="00E1521D">
      <w:pPr>
        <w:pStyle w:val="3-BodyText"/>
        <w:ind w:left="720"/>
        <w:rPr>
          <w:iCs/>
        </w:rPr>
      </w:pPr>
      <w:r w:rsidRPr="00E1521D">
        <w:rPr>
          <w:iCs/>
        </w:rPr>
        <w:t xml:space="preserve">The pre-PBAC response presented a revised model </w:t>
      </w:r>
      <w:r w:rsidR="005E0C9D">
        <w:rPr>
          <w:iCs/>
        </w:rPr>
        <w:t xml:space="preserve">building on the changes presented in the PSCR </w:t>
      </w:r>
      <w:r w:rsidR="00954696">
        <w:rPr>
          <w:iCs/>
        </w:rPr>
        <w:t>(see paragraph</w:t>
      </w:r>
      <w:r w:rsidR="0069626B">
        <w:rPr>
          <w:iCs/>
        </w:rPr>
        <w:t xml:space="preserve"> </w:t>
      </w:r>
      <w:r w:rsidR="0069626B">
        <w:rPr>
          <w:iCs/>
        </w:rPr>
        <w:fldChar w:fldCharType="begin"/>
      </w:r>
      <w:r w:rsidR="0069626B">
        <w:rPr>
          <w:iCs/>
        </w:rPr>
        <w:instrText xml:space="preserve"> REF _Ref120786651 \r \h </w:instrText>
      </w:r>
      <w:r w:rsidR="0069626B">
        <w:rPr>
          <w:iCs/>
        </w:rPr>
      </w:r>
      <w:r w:rsidR="0069626B">
        <w:rPr>
          <w:iCs/>
        </w:rPr>
        <w:fldChar w:fldCharType="separate"/>
      </w:r>
      <w:r w:rsidR="007F2580">
        <w:rPr>
          <w:iCs/>
        </w:rPr>
        <w:t>6.39</w:t>
      </w:r>
      <w:r w:rsidR="0069626B">
        <w:rPr>
          <w:iCs/>
        </w:rPr>
        <w:fldChar w:fldCharType="end"/>
      </w:r>
      <w:r w:rsidR="00954696">
        <w:rPr>
          <w:iCs/>
        </w:rPr>
        <w:t xml:space="preserve">) </w:t>
      </w:r>
      <w:r w:rsidR="005E0C9D">
        <w:rPr>
          <w:iCs/>
        </w:rPr>
        <w:t>which</w:t>
      </w:r>
      <w:r w:rsidRPr="00E1521D">
        <w:rPr>
          <w:iCs/>
        </w:rPr>
        <w:t xml:space="preserve"> removed the half cycle correction from all costs and benefits, applied the same proportions of subsequent therapies across both treatment arms, reduced the time from 25 to 20 years and reduced the </w:t>
      </w:r>
      <w:r w:rsidR="005E0C9D">
        <w:rPr>
          <w:iCs/>
        </w:rPr>
        <w:t xml:space="preserve">effective ex-manufacturer price </w:t>
      </w:r>
      <w:r w:rsidRPr="00E1521D">
        <w:rPr>
          <w:iCs/>
        </w:rPr>
        <w:t xml:space="preserve">of polatuzumab vedotin by </w:t>
      </w:r>
      <w:r w:rsidR="00206B77" w:rsidRPr="007F2580">
        <w:rPr>
          <w:iCs/>
          <w:color w:val="000000"/>
          <w:w w:val="15"/>
          <w:shd w:val="solid" w:color="000000" w:fill="000000"/>
          <w:fitText w:val="-20" w:id="-1301008638"/>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638"/>
          <w14:textFill>
            <w14:solidFill>
              <w14:srgbClr w14:val="000000">
                <w14:alpha w14:val="100000"/>
              </w14:srgbClr>
            </w14:solidFill>
          </w14:textFill>
        </w:rPr>
        <w:t>|</w:t>
      </w:r>
      <w:r w:rsidRPr="0038284B">
        <w:rPr>
          <w:iCs/>
        </w:rPr>
        <w:t>%,</w:t>
      </w:r>
      <w:r w:rsidRPr="00E1521D">
        <w:rPr>
          <w:iCs/>
        </w:rPr>
        <w:t xml:space="preserve"> resulting in an ICER of </w:t>
      </w:r>
      <w:r w:rsidR="008B0087" w:rsidRPr="008B0087">
        <w:rPr>
          <w:iCs/>
        </w:rPr>
        <w:t>$35,000 to &lt; $45,000</w:t>
      </w:r>
      <w:r w:rsidR="0038284B">
        <w:rPr>
          <w:iCs/>
        </w:rPr>
        <w:t xml:space="preserve"> </w:t>
      </w:r>
      <w:r w:rsidRPr="00E1521D">
        <w:rPr>
          <w:iCs/>
        </w:rPr>
        <w:t xml:space="preserve">per QALY gained for the IPI 3-5 model and </w:t>
      </w:r>
      <w:r w:rsidR="008B0087" w:rsidRPr="008B0087">
        <w:rPr>
          <w:iCs/>
        </w:rPr>
        <w:t>$75,000 to &lt; $95,000</w:t>
      </w:r>
      <w:r w:rsidR="0038284B">
        <w:rPr>
          <w:iCs/>
        </w:rPr>
        <w:t xml:space="preserve"> </w:t>
      </w:r>
      <w:r w:rsidRPr="00E1521D">
        <w:rPr>
          <w:iCs/>
        </w:rPr>
        <w:t xml:space="preserve">per QALY gained for the ITT population. </w:t>
      </w:r>
    </w:p>
    <w:p w14:paraId="31604E2B" w14:textId="77946E04" w:rsidR="002245F2" w:rsidRPr="005B024E" w:rsidRDefault="002245F2" w:rsidP="002245F2">
      <w:pPr>
        <w:pStyle w:val="4-SubsectionHeading"/>
      </w:pPr>
      <w:r w:rsidRPr="005B024E">
        <w:t>Pola+R-CHP cost/patient/course (base ITT: $</w:t>
      </w:r>
      <w:r w:rsidR="00206B77" w:rsidRPr="00206B77">
        <w:rPr>
          <w:color w:val="000000"/>
          <w:spacing w:val="0"/>
          <w:w w:val="44"/>
          <w:kern w:val="0"/>
          <w:shd w:val="solid" w:color="000000" w:fill="000000"/>
          <w:fitText w:val="415" w:id="-1301008637"/>
          <w14:textFill>
            <w14:solidFill>
              <w14:srgbClr w14:val="000000">
                <w14:alpha w14:val="100000"/>
              </w14:srgbClr>
            </w14:solidFill>
          </w14:textFill>
        </w:rPr>
        <w:t>|||  ||</w:t>
      </w:r>
      <w:r w:rsidR="00206B77" w:rsidRPr="00206B77">
        <w:rPr>
          <w:color w:val="000000"/>
          <w:spacing w:val="8"/>
          <w:w w:val="44"/>
          <w:kern w:val="0"/>
          <w:shd w:val="solid" w:color="000000" w:fill="000000"/>
          <w:fitText w:val="415" w:id="-1301008637"/>
          <w14:textFill>
            <w14:solidFill>
              <w14:srgbClr w14:val="000000">
                <w14:alpha w14:val="100000"/>
              </w14:srgbClr>
            </w14:solidFill>
          </w14:textFill>
        </w:rPr>
        <w:t>|</w:t>
      </w:r>
      <w:r w:rsidRPr="005B024E">
        <w:t>, IPI 3-5: $</w:t>
      </w:r>
      <w:r w:rsidR="00206B77" w:rsidRPr="00206B77">
        <w:rPr>
          <w:color w:val="000000"/>
          <w:spacing w:val="0"/>
          <w:w w:val="44"/>
          <w:kern w:val="0"/>
          <w:shd w:val="solid" w:color="000000" w:fill="000000"/>
          <w:fitText w:val="415" w:id="-1301008636"/>
          <w14:textFill>
            <w14:solidFill>
              <w14:srgbClr w14:val="000000">
                <w14:alpha w14:val="100000"/>
              </w14:srgbClr>
            </w14:solidFill>
          </w14:textFill>
        </w:rPr>
        <w:t>|||  ||</w:t>
      </w:r>
      <w:r w:rsidR="00206B77" w:rsidRPr="00206B77">
        <w:rPr>
          <w:color w:val="000000"/>
          <w:spacing w:val="8"/>
          <w:w w:val="44"/>
          <w:kern w:val="0"/>
          <w:shd w:val="solid" w:color="000000" w:fill="000000"/>
          <w:fitText w:val="415" w:id="-1301008636"/>
          <w14:textFill>
            <w14:solidFill>
              <w14:srgbClr w14:val="000000">
                <w14:alpha w14:val="100000"/>
              </w14:srgbClr>
            </w14:solidFill>
          </w14:textFill>
        </w:rPr>
        <w:t>|</w:t>
      </w:r>
      <w:r w:rsidR="002C092C">
        <w:t xml:space="preserve"> based on submission price</w:t>
      </w:r>
      <w:r w:rsidRPr="005B024E">
        <w:t>)</w:t>
      </w:r>
    </w:p>
    <w:p w14:paraId="0B2AC76C" w14:textId="73BDC8A4" w:rsidR="00AF6627" w:rsidRPr="00E1521D" w:rsidRDefault="005F3B41" w:rsidP="00E1521D">
      <w:pPr>
        <w:pStyle w:val="3-BodyText"/>
        <w:ind w:left="720"/>
        <w:rPr>
          <w:iCs/>
        </w:rPr>
      </w:pPr>
      <w:r w:rsidRPr="00E1521D">
        <w:rPr>
          <w:iCs/>
        </w:rPr>
        <w:t xml:space="preserve">When the cost of vincristine was corrected </w:t>
      </w:r>
      <w:r w:rsidRPr="00880394">
        <w:rPr>
          <w:iCs/>
        </w:rPr>
        <w:t>to $44.61 for</w:t>
      </w:r>
      <w:r w:rsidRPr="00E1521D">
        <w:rPr>
          <w:iCs/>
        </w:rPr>
        <w:t xml:space="preserve"> 5</w:t>
      </w:r>
      <w:r w:rsidR="004F7140" w:rsidRPr="00E1521D">
        <w:rPr>
          <w:iCs/>
        </w:rPr>
        <w:t xml:space="preserve"> </w:t>
      </w:r>
      <w:r w:rsidRPr="00E1521D">
        <w:rPr>
          <w:iCs/>
        </w:rPr>
        <w:t>x</w:t>
      </w:r>
      <w:r w:rsidR="004F7140" w:rsidRPr="00E1521D">
        <w:rPr>
          <w:iCs/>
        </w:rPr>
        <w:t xml:space="preserve"> </w:t>
      </w:r>
      <w:r w:rsidR="008131EB" w:rsidRPr="00E1521D">
        <w:rPr>
          <w:iCs/>
        </w:rPr>
        <w:t>1</w:t>
      </w:r>
      <w:r w:rsidR="008131EB">
        <w:rPr>
          <w:iCs/>
        </w:rPr>
        <w:t> </w:t>
      </w:r>
      <w:r w:rsidRPr="00E1521D">
        <w:rPr>
          <w:iCs/>
        </w:rPr>
        <w:t>mg vials (rather than $</w:t>
      </w:r>
      <w:r w:rsidRPr="00880394">
        <w:rPr>
          <w:iCs/>
        </w:rPr>
        <w:t>44.61 for 1</w:t>
      </w:r>
      <w:r w:rsidR="004F7140" w:rsidRPr="00E1521D">
        <w:rPr>
          <w:iCs/>
        </w:rPr>
        <w:t xml:space="preserve"> </w:t>
      </w:r>
      <w:r w:rsidRPr="00E1521D">
        <w:rPr>
          <w:iCs/>
        </w:rPr>
        <w:t>x</w:t>
      </w:r>
      <w:r w:rsidR="004F7140" w:rsidRPr="00E1521D">
        <w:rPr>
          <w:iCs/>
        </w:rPr>
        <w:t xml:space="preserve"> </w:t>
      </w:r>
      <w:r w:rsidR="008131EB" w:rsidRPr="00E1521D">
        <w:rPr>
          <w:iCs/>
        </w:rPr>
        <w:t>1</w:t>
      </w:r>
      <w:r w:rsidR="008131EB">
        <w:rPr>
          <w:iCs/>
        </w:rPr>
        <w:t> </w:t>
      </w:r>
      <w:r w:rsidRPr="00E1521D">
        <w:rPr>
          <w:iCs/>
        </w:rPr>
        <w:t xml:space="preserve">mg vial in the submission), </w:t>
      </w:r>
      <w:r w:rsidR="00954696">
        <w:rPr>
          <w:iCs/>
        </w:rPr>
        <w:t xml:space="preserve">based on the price for polatuzumab vedotin proposed in the submission </w:t>
      </w:r>
      <w:r w:rsidRPr="00E1521D">
        <w:rPr>
          <w:iCs/>
        </w:rPr>
        <w:t>t</w:t>
      </w:r>
      <w:r w:rsidR="005E2398" w:rsidRPr="00E1521D">
        <w:rPr>
          <w:iCs/>
        </w:rPr>
        <w:t>he modelled cost per cycle for Pola+R-CHP was $</w:t>
      </w:r>
      <w:r w:rsidR="00206B77" w:rsidRPr="007F2580">
        <w:rPr>
          <w:iCs/>
          <w:color w:val="000000"/>
          <w:w w:val="15"/>
          <w:shd w:val="solid" w:color="000000" w:fill="000000"/>
          <w:fitText w:val="-20" w:id="-1301008635"/>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635"/>
          <w14:textFill>
            <w14:solidFill>
              <w14:srgbClr w14:val="000000">
                <w14:alpha w14:val="100000"/>
              </w14:srgbClr>
            </w14:solidFill>
          </w14:textFill>
        </w:rPr>
        <w:t>|</w:t>
      </w:r>
      <w:r w:rsidR="005E2398" w:rsidRPr="00E1521D">
        <w:rPr>
          <w:iCs/>
        </w:rPr>
        <w:t xml:space="preserve"> for cycles 1-6, and $</w:t>
      </w:r>
      <w:r w:rsidR="00206B77" w:rsidRPr="007F2580">
        <w:rPr>
          <w:iCs/>
          <w:color w:val="000000"/>
          <w:w w:val="15"/>
          <w:shd w:val="solid" w:color="000000" w:fill="000000"/>
          <w:fitText w:val="-20" w:id="-1301008634"/>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634"/>
          <w14:textFill>
            <w14:solidFill>
              <w14:srgbClr w14:val="000000">
                <w14:alpha w14:val="100000"/>
              </w14:srgbClr>
            </w14:solidFill>
          </w14:textFill>
        </w:rPr>
        <w:t>|</w:t>
      </w:r>
      <w:r w:rsidR="005E2398" w:rsidRPr="00E1521D">
        <w:rPr>
          <w:iCs/>
        </w:rPr>
        <w:t xml:space="preserve"> for cycles 7-8, resulting a total cost of $</w:t>
      </w:r>
      <w:r w:rsidR="00206B77" w:rsidRPr="007F2580">
        <w:rPr>
          <w:iCs/>
          <w:color w:val="000000"/>
          <w:w w:val="15"/>
          <w:shd w:val="solid" w:color="000000" w:fill="000000"/>
          <w:fitText w:val="-20" w:id="-1301008633"/>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633"/>
          <w14:textFill>
            <w14:solidFill>
              <w14:srgbClr w14:val="000000">
                <w14:alpha w14:val="100000"/>
              </w14:srgbClr>
            </w14:solidFill>
          </w14:textFill>
        </w:rPr>
        <w:t>|</w:t>
      </w:r>
      <w:r w:rsidR="005E2398" w:rsidRPr="00E1521D">
        <w:rPr>
          <w:iCs/>
        </w:rPr>
        <w:t xml:space="preserve"> per patient in the ITT model and </w:t>
      </w:r>
      <w:r w:rsidR="005E2398" w:rsidRPr="0038284B">
        <w:rPr>
          <w:iCs/>
        </w:rPr>
        <w:t>$</w:t>
      </w:r>
      <w:r w:rsidR="00206B77" w:rsidRPr="007F2580">
        <w:rPr>
          <w:iCs/>
          <w:color w:val="000000"/>
          <w:w w:val="15"/>
          <w:shd w:val="solid" w:color="000000" w:fill="000000"/>
          <w:fitText w:val="-20" w:id="-1301008632"/>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632"/>
          <w14:textFill>
            <w14:solidFill>
              <w14:srgbClr w14:val="000000">
                <w14:alpha w14:val="100000"/>
              </w14:srgbClr>
            </w14:solidFill>
          </w14:textFill>
        </w:rPr>
        <w:t>|</w:t>
      </w:r>
      <w:r w:rsidR="005E2398" w:rsidRPr="00E1521D">
        <w:rPr>
          <w:iCs/>
        </w:rPr>
        <w:t xml:space="preserve"> per patient in the IPI 3-5 model. In comparison the modelled cost per cycle for R-CHOP was $</w:t>
      </w:r>
      <w:r w:rsidR="005E2398" w:rsidRPr="00880394">
        <w:rPr>
          <w:iCs/>
        </w:rPr>
        <w:t>1,022.85 for cycles</w:t>
      </w:r>
      <w:r w:rsidR="005E2398" w:rsidRPr="00E1521D">
        <w:rPr>
          <w:iCs/>
        </w:rPr>
        <w:t xml:space="preserve"> 1-6, and $</w:t>
      </w:r>
      <w:r w:rsidR="005E2398" w:rsidRPr="00880394">
        <w:rPr>
          <w:iCs/>
        </w:rPr>
        <w:t>591.89 for cycles 7-8, resulting a total cost of $6,406 per patient in the ITT model and $6,264 per patient</w:t>
      </w:r>
      <w:r w:rsidR="005E2398" w:rsidRPr="00E1521D">
        <w:rPr>
          <w:iCs/>
        </w:rPr>
        <w:t xml:space="preserve"> in the IPI 3-5 model. As noted in </w:t>
      </w:r>
      <w:r w:rsidR="00E621A2" w:rsidRPr="00E1521D">
        <w:rPr>
          <w:iCs/>
        </w:rPr>
        <w:fldChar w:fldCharType="begin"/>
      </w:r>
      <w:r w:rsidR="00E621A2" w:rsidRPr="00E1521D">
        <w:rPr>
          <w:iCs/>
        </w:rPr>
        <w:instrText xml:space="preserve"> REF _Ref111483185  \* MERGEFORMAT </w:instrText>
      </w:r>
      <w:r w:rsidR="00E621A2" w:rsidRPr="00E1521D">
        <w:rPr>
          <w:iCs/>
        </w:rPr>
        <w:fldChar w:fldCharType="separate"/>
      </w:r>
      <w:r w:rsidR="007F2580" w:rsidRPr="007F2580">
        <w:rPr>
          <w:iCs/>
        </w:rPr>
        <w:t>Table 9</w:t>
      </w:r>
      <w:r w:rsidR="00E621A2" w:rsidRPr="00E1521D">
        <w:rPr>
          <w:iCs/>
        </w:rPr>
        <w:fldChar w:fldCharType="end"/>
      </w:r>
      <w:r w:rsidR="005E2398" w:rsidRPr="00E1521D">
        <w:rPr>
          <w:iCs/>
        </w:rPr>
        <w:t xml:space="preserve">, the </w:t>
      </w:r>
      <w:r w:rsidR="00AF6627" w:rsidRPr="00E1521D">
        <w:rPr>
          <w:iCs/>
        </w:rPr>
        <w:t xml:space="preserve">model </w:t>
      </w:r>
      <w:r w:rsidR="005E2398" w:rsidRPr="00E1521D">
        <w:rPr>
          <w:iCs/>
        </w:rPr>
        <w:t xml:space="preserve">underestimated the mean number of cycles </w:t>
      </w:r>
      <w:r w:rsidR="00AF6627" w:rsidRPr="00E1521D">
        <w:rPr>
          <w:iCs/>
        </w:rPr>
        <w:t>compared to the trial data</w:t>
      </w:r>
      <w:r w:rsidR="005E2398" w:rsidRPr="00E1521D">
        <w:rPr>
          <w:iCs/>
        </w:rPr>
        <w:t xml:space="preserve">. </w:t>
      </w:r>
    </w:p>
    <w:p w14:paraId="3F9A6A16" w14:textId="29D60CA4" w:rsidR="00FB40DA" w:rsidRDefault="005E2398" w:rsidP="00E1521D">
      <w:pPr>
        <w:pStyle w:val="3-BodyText"/>
        <w:ind w:left="720"/>
        <w:rPr>
          <w:iCs/>
        </w:rPr>
      </w:pPr>
      <w:r w:rsidRPr="00E1521D">
        <w:rPr>
          <w:iCs/>
        </w:rPr>
        <w:t>The financial estimates assumed equal costs of rituximab, cyclophosphamide and prednisone across treatment arms, and therefore only costed for polatuzumab vedotin and vincristine</w:t>
      </w:r>
      <w:r w:rsidR="00AF6627" w:rsidRPr="00E1521D">
        <w:rPr>
          <w:iCs/>
        </w:rPr>
        <w:t xml:space="preserve">. </w:t>
      </w:r>
      <w:r w:rsidR="00954696">
        <w:rPr>
          <w:iCs/>
        </w:rPr>
        <w:t>Based on the polatuzumab vedotin price proposed in the submission, t</w:t>
      </w:r>
      <w:r w:rsidR="00AF6627" w:rsidRPr="00E1521D">
        <w:rPr>
          <w:iCs/>
        </w:rPr>
        <w:t>his resulted in an incremental cost/patient/course of $</w:t>
      </w:r>
      <w:r w:rsidR="00206B77" w:rsidRPr="007F2580">
        <w:rPr>
          <w:iCs/>
          <w:color w:val="000000"/>
          <w:w w:val="15"/>
          <w:shd w:val="solid" w:color="000000" w:fill="000000"/>
          <w:fitText w:val="-20" w:id="-1301008631"/>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631"/>
          <w14:textFill>
            <w14:solidFill>
              <w14:srgbClr w14:val="000000">
                <w14:alpha w14:val="100000"/>
              </w14:srgbClr>
            </w14:solidFill>
          </w14:textFill>
        </w:rPr>
        <w:t>|</w:t>
      </w:r>
      <w:r w:rsidR="0090607F" w:rsidRPr="00E1521D">
        <w:rPr>
          <w:iCs/>
        </w:rPr>
        <w:t xml:space="preserve"> (total net cost PBS/RPBS) and $</w:t>
      </w:r>
      <w:r w:rsidR="00206B77" w:rsidRPr="007F2580">
        <w:rPr>
          <w:iCs/>
          <w:color w:val="000000"/>
          <w:w w:val="15"/>
          <w:shd w:val="solid" w:color="000000" w:fill="000000"/>
          <w:fitText w:val="-20" w:id="-1301008630"/>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630"/>
          <w14:textFill>
            <w14:solidFill>
              <w14:srgbClr w14:val="000000">
                <w14:alpha w14:val="100000"/>
              </w14:srgbClr>
            </w14:solidFill>
          </w14:textFill>
        </w:rPr>
        <w:t>|</w:t>
      </w:r>
      <w:r w:rsidR="004F7140" w:rsidRPr="00E1521D">
        <w:rPr>
          <w:iCs/>
        </w:rPr>
        <w:t xml:space="preserve"> </w:t>
      </w:r>
      <w:r w:rsidR="0090607F" w:rsidRPr="00E1521D">
        <w:rPr>
          <w:iCs/>
        </w:rPr>
        <w:t>(total net cost to PBS/RPBS and MBS)</w:t>
      </w:r>
      <w:r w:rsidR="00987BE0" w:rsidRPr="00E1521D">
        <w:rPr>
          <w:iCs/>
        </w:rPr>
        <w:t xml:space="preserve"> </w:t>
      </w:r>
      <w:r w:rsidR="00AF6627" w:rsidRPr="00E1521D">
        <w:rPr>
          <w:iCs/>
        </w:rPr>
        <w:t>compared to $</w:t>
      </w:r>
      <w:r w:rsidR="00206B77" w:rsidRPr="007F2580">
        <w:rPr>
          <w:iCs/>
          <w:color w:val="000000"/>
          <w:w w:val="15"/>
          <w:shd w:val="solid" w:color="000000" w:fill="000000"/>
          <w:fitText w:val="-20" w:id="-1301008629"/>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629"/>
          <w14:textFill>
            <w14:solidFill>
              <w14:srgbClr w14:val="000000">
                <w14:alpha w14:val="100000"/>
              </w14:srgbClr>
            </w14:solidFill>
          </w14:textFill>
        </w:rPr>
        <w:t>|</w:t>
      </w:r>
      <w:r w:rsidR="00AF6627" w:rsidRPr="00E1521D">
        <w:rPr>
          <w:iCs/>
        </w:rPr>
        <w:t xml:space="preserve"> and $</w:t>
      </w:r>
      <w:r w:rsidR="00206B77" w:rsidRPr="007F2580">
        <w:rPr>
          <w:iCs/>
          <w:color w:val="000000"/>
          <w:w w:val="15"/>
          <w:shd w:val="solid" w:color="000000" w:fill="000000"/>
          <w:fitText w:val="-20" w:id="-1301008628"/>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628"/>
          <w14:textFill>
            <w14:solidFill>
              <w14:srgbClr w14:val="000000">
                <w14:alpha w14:val="100000"/>
              </w14:srgbClr>
            </w14:solidFill>
          </w14:textFill>
        </w:rPr>
        <w:t>|</w:t>
      </w:r>
      <w:r w:rsidR="00AF6627" w:rsidRPr="00E1521D">
        <w:rPr>
          <w:iCs/>
        </w:rPr>
        <w:t xml:space="preserve"> in the ITT and IPI 3-5 models respectively. </w:t>
      </w:r>
    </w:p>
    <w:p w14:paraId="01645893" w14:textId="1831A3D3" w:rsidR="00954696" w:rsidRPr="00E1521D" w:rsidRDefault="00954696" w:rsidP="00E1521D">
      <w:pPr>
        <w:pStyle w:val="3-BodyText"/>
        <w:ind w:left="720"/>
        <w:rPr>
          <w:iCs/>
        </w:rPr>
      </w:pPr>
      <w:r>
        <w:rPr>
          <w:iCs/>
        </w:rPr>
        <w:t xml:space="preserve">The pre-PBAC response proposed a </w:t>
      </w:r>
      <w:r w:rsidR="00206B77" w:rsidRPr="00206B77">
        <w:rPr>
          <w:iCs/>
          <w:color w:val="000000"/>
          <w:w w:val="62"/>
          <w:shd w:val="solid" w:color="000000" w:fill="000000"/>
          <w:fitText w:val="343" w:id="-1301008627"/>
          <w14:textFill>
            <w14:solidFill>
              <w14:srgbClr w14:val="000000">
                <w14:alpha w14:val="100000"/>
              </w14:srgbClr>
            </w14:solidFill>
          </w14:textFill>
        </w:rPr>
        <w:t>||  |</w:t>
      </w:r>
      <w:r w:rsidR="00206B77" w:rsidRPr="00206B77">
        <w:rPr>
          <w:iCs/>
          <w:color w:val="000000"/>
          <w:spacing w:val="1"/>
          <w:w w:val="62"/>
          <w:shd w:val="solid" w:color="000000" w:fill="000000"/>
          <w:fitText w:val="343" w:id="-1301008627"/>
          <w14:textFill>
            <w14:solidFill>
              <w14:srgbClr w14:val="000000">
                <w14:alpha w14:val="100000"/>
              </w14:srgbClr>
            </w14:solidFill>
          </w14:textFill>
        </w:rPr>
        <w:t>|</w:t>
      </w:r>
      <w:r w:rsidRPr="0038284B">
        <w:rPr>
          <w:iCs/>
        </w:rPr>
        <w:t>%</w:t>
      </w:r>
      <w:r>
        <w:rPr>
          <w:iCs/>
        </w:rPr>
        <w:t xml:space="preserve"> reduction in the effective ex-manufacturer prices of polatuzumab vedotin (140</w:t>
      </w:r>
      <w:r w:rsidR="008131EB">
        <w:rPr>
          <w:iCs/>
        </w:rPr>
        <w:t> </w:t>
      </w:r>
      <w:r>
        <w:rPr>
          <w:iCs/>
        </w:rPr>
        <w:t>mg = $</w:t>
      </w:r>
      <w:r w:rsidR="00206B77" w:rsidRPr="007F2580">
        <w:rPr>
          <w:iCs/>
          <w:color w:val="000000"/>
          <w:w w:val="15"/>
          <w:shd w:val="solid" w:color="000000" w:fill="000000"/>
          <w:fitText w:val="-20" w:id="-1301008626"/>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626"/>
          <w14:textFill>
            <w14:solidFill>
              <w14:srgbClr w14:val="000000">
                <w14:alpha w14:val="100000"/>
              </w14:srgbClr>
            </w14:solidFill>
          </w14:textFill>
        </w:rPr>
        <w:t>|</w:t>
      </w:r>
      <w:r>
        <w:rPr>
          <w:iCs/>
        </w:rPr>
        <w:t>; 30</w:t>
      </w:r>
      <w:r w:rsidR="008131EB">
        <w:rPr>
          <w:iCs/>
        </w:rPr>
        <w:t> </w:t>
      </w:r>
      <w:r>
        <w:rPr>
          <w:iCs/>
        </w:rPr>
        <w:t>mg = $</w:t>
      </w:r>
      <w:r w:rsidR="00206B77" w:rsidRPr="007F2580">
        <w:rPr>
          <w:iCs/>
          <w:color w:val="000000"/>
          <w:w w:val="15"/>
          <w:shd w:val="solid" w:color="000000" w:fill="000000"/>
          <w:fitText w:val="-20" w:id="-1301008625"/>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625"/>
          <w14:textFill>
            <w14:solidFill>
              <w14:srgbClr w14:val="000000">
                <w14:alpha w14:val="100000"/>
              </w14:srgbClr>
            </w14:solidFill>
          </w14:textFill>
        </w:rPr>
        <w:t>|</w:t>
      </w:r>
      <w:r>
        <w:rPr>
          <w:iCs/>
        </w:rPr>
        <w:t>).</w:t>
      </w:r>
    </w:p>
    <w:p w14:paraId="3C0875BA" w14:textId="0A6E1DCA" w:rsidR="00F811DD" w:rsidRPr="005B024E" w:rsidRDefault="00F811DD" w:rsidP="00F811DD">
      <w:pPr>
        <w:pStyle w:val="4-SubsectionHeading"/>
      </w:pPr>
      <w:bookmarkStart w:id="66" w:name="_Toc22897647"/>
      <w:bookmarkStart w:id="67" w:name="_Toc113975485"/>
      <w:bookmarkEnd w:id="46"/>
      <w:bookmarkEnd w:id="65"/>
      <w:r w:rsidRPr="005B024E">
        <w:t>Estimated PBS usage &amp; financial implications</w:t>
      </w:r>
      <w:bookmarkEnd w:id="66"/>
      <w:bookmarkEnd w:id="67"/>
    </w:p>
    <w:p w14:paraId="113E7EF7" w14:textId="0F60EB62" w:rsidR="005054B1" w:rsidRPr="00E1521D" w:rsidRDefault="005054B1" w:rsidP="00E1521D">
      <w:pPr>
        <w:pStyle w:val="3-BodyText"/>
        <w:ind w:left="720"/>
        <w:rPr>
          <w:iCs/>
        </w:rPr>
      </w:pPr>
      <w:r w:rsidRPr="00E1521D">
        <w:rPr>
          <w:iCs/>
        </w:rPr>
        <w:t>This submission was not considered by DUSC.</w:t>
      </w:r>
    </w:p>
    <w:p w14:paraId="6ECFD47B" w14:textId="45E8116A" w:rsidR="00A228AB" w:rsidRPr="00E1521D" w:rsidRDefault="00A228AB" w:rsidP="00E1521D">
      <w:pPr>
        <w:pStyle w:val="3-BodyText"/>
        <w:ind w:left="720"/>
        <w:rPr>
          <w:iCs/>
        </w:rPr>
      </w:pPr>
      <w:r w:rsidRPr="00E1521D">
        <w:rPr>
          <w:iCs/>
        </w:rPr>
        <w:t>The submission estimated the financial implications of the proposed listing using an epidemiological approach, including only incident patients given the aggressive nature of DLBCL (i.e.</w:t>
      </w:r>
      <w:r w:rsidR="00475849" w:rsidRPr="00E1521D">
        <w:rPr>
          <w:iCs/>
        </w:rPr>
        <w:t>,</w:t>
      </w:r>
      <w:r w:rsidRPr="00E1521D">
        <w:rPr>
          <w:iCs/>
        </w:rPr>
        <w:t xml:space="preserve"> relatively short duration from diagnosis to first-line treatment). The </w:t>
      </w:r>
      <w:r w:rsidRPr="00E1521D">
        <w:rPr>
          <w:iCs/>
        </w:rPr>
        <w:lastRenderedPageBreak/>
        <w:t>submission did not separately estimate the number of grandfathered patients because the proposed epidemiological approach would capture these patients</w:t>
      </w:r>
      <w:r w:rsidR="00206513" w:rsidRPr="00E1521D">
        <w:rPr>
          <w:iCs/>
        </w:rPr>
        <w:t>.</w:t>
      </w:r>
    </w:p>
    <w:p w14:paraId="778E4C4E" w14:textId="16799E39" w:rsidR="00032E8A" w:rsidRPr="005B024E" w:rsidRDefault="00F811DD" w:rsidP="00E43FAB">
      <w:pPr>
        <w:pStyle w:val="Caption"/>
        <w:jc w:val="left"/>
        <w:rPr>
          <w:rStyle w:val="CommentReference"/>
          <w:b/>
          <w:szCs w:val="24"/>
        </w:rPr>
      </w:pPr>
      <w:bookmarkStart w:id="68" w:name="_Ref120787237"/>
      <w:r w:rsidRPr="005B024E">
        <w:t xml:space="preserve">Table </w:t>
      </w:r>
      <w:r w:rsidR="007F2580">
        <w:fldChar w:fldCharType="begin"/>
      </w:r>
      <w:r w:rsidR="007F2580">
        <w:instrText xml:space="preserve"> SEQ Table \* ARABIC </w:instrText>
      </w:r>
      <w:r w:rsidR="007F2580">
        <w:fldChar w:fldCharType="separate"/>
      </w:r>
      <w:r w:rsidR="007F2580">
        <w:rPr>
          <w:noProof/>
        </w:rPr>
        <w:t>13</w:t>
      </w:r>
      <w:r w:rsidR="007F2580">
        <w:rPr>
          <w:noProof/>
        </w:rPr>
        <w:fldChar w:fldCharType="end"/>
      </w:r>
      <w:bookmarkEnd w:id="68"/>
      <w:r w:rsidRPr="005B024E">
        <w:t xml:space="preserve">: </w:t>
      </w:r>
      <w:r w:rsidR="00032E8A" w:rsidRPr="005B024E">
        <w:rPr>
          <w:rStyle w:val="CommentReference"/>
          <w:b/>
          <w:szCs w:val="24"/>
        </w:rPr>
        <w:t>Data sources and parameter values applied in the utilisation and financial estimates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0"/>
        <w:gridCol w:w="1189"/>
        <w:gridCol w:w="2228"/>
        <w:gridCol w:w="4150"/>
      </w:tblGrid>
      <w:tr w:rsidR="00032E8A" w:rsidRPr="000B2FEE" w14:paraId="1843847C" w14:textId="77777777" w:rsidTr="00FF024F">
        <w:trPr>
          <w:tblHeader/>
        </w:trPr>
        <w:tc>
          <w:tcPr>
            <w:tcW w:w="1500" w:type="dxa"/>
            <w:vAlign w:val="center"/>
          </w:tcPr>
          <w:p w14:paraId="29123EE7" w14:textId="77777777" w:rsidR="00032E8A" w:rsidRPr="000B2FEE" w:rsidRDefault="00032E8A" w:rsidP="00550BB3">
            <w:pPr>
              <w:pStyle w:val="In-tableHeading"/>
              <w:keepNext w:val="0"/>
              <w:rPr>
                <w:sz w:val="18"/>
                <w:szCs w:val="18"/>
                <w:lang w:val="en-AU"/>
              </w:rPr>
            </w:pPr>
            <w:r w:rsidRPr="000B2FEE">
              <w:rPr>
                <w:sz w:val="18"/>
                <w:szCs w:val="18"/>
                <w:lang w:val="en-AU"/>
              </w:rPr>
              <w:t>Data</w:t>
            </w:r>
          </w:p>
        </w:tc>
        <w:tc>
          <w:tcPr>
            <w:tcW w:w="1189" w:type="dxa"/>
            <w:vAlign w:val="center"/>
          </w:tcPr>
          <w:p w14:paraId="3C03F36B" w14:textId="77777777" w:rsidR="00032E8A" w:rsidRPr="000B2FEE" w:rsidRDefault="00032E8A" w:rsidP="00550BB3">
            <w:pPr>
              <w:pStyle w:val="In-tableHeading"/>
              <w:keepNext w:val="0"/>
              <w:jc w:val="center"/>
              <w:rPr>
                <w:sz w:val="18"/>
                <w:szCs w:val="18"/>
                <w:lang w:val="en-AU"/>
              </w:rPr>
            </w:pPr>
            <w:r w:rsidRPr="000B2FEE">
              <w:rPr>
                <w:sz w:val="18"/>
                <w:szCs w:val="18"/>
                <w:lang w:val="en-AU"/>
              </w:rPr>
              <w:t>Value</w:t>
            </w:r>
          </w:p>
        </w:tc>
        <w:tc>
          <w:tcPr>
            <w:tcW w:w="2228" w:type="dxa"/>
            <w:vAlign w:val="center"/>
          </w:tcPr>
          <w:p w14:paraId="7E9E1EFE" w14:textId="77777777" w:rsidR="00032E8A" w:rsidRPr="000B2FEE" w:rsidRDefault="00032E8A" w:rsidP="00550BB3">
            <w:pPr>
              <w:pStyle w:val="In-tableHeading"/>
              <w:keepNext w:val="0"/>
              <w:jc w:val="both"/>
              <w:rPr>
                <w:sz w:val="18"/>
                <w:szCs w:val="18"/>
                <w:lang w:val="en-AU"/>
              </w:rPr>
            </w:pPr>
            <w:r w:rsidRPr="000B2FEE">
              <w:rPr>
                <w:sz w:val="18"/>
                <w:szCs w:val="18"/>
                <w:lang w:val="en-AU"/>
              </w:rPr>
              <w:t>Source</w:t>
            </w:r>
          </w:p>
        </w:tc>
        <w:tc>
          <w:tcPr>
            <w:tcW w:w="4150" w:type="dxa"/>
            <w:vAlign w:val="center"/>
          </w:tcPr>
          <w:p w14:paraId="1317EF49" w14:textId="77777777" w:rsidR="00032E8A" w:rsidRPr="000B2FEE" w:rsidRDefault="00032E8A" w:rsidP="00550BB3">
            <w:pPr>
              <w:pStyle w:val="In-tableHeading"/>
              <w:keepNext w:val="0"/>
              <w:jc w:val="both"/>
              <w:rPr>
                <w:sz w:val="18"/>
                <w:szCs w:val="18"/>
                <w:lang w:val="en-AU"/>
              </w:rPr>
            </w:pPr>
            <w:r w:rsidRPr="000B2FEE">
              <w:rPr>
                <w:sz w:val="18"/>
                <w:szCs w:val="18"/>
                <w:lang w:val="en-AU"/>
              </w:rPr>
              <w:t>Comment</w:t>
            </w:r>
          </w:p>
        </w:tc>
      </w:tr>
      <w:tr w:rsidR="00032E8A" w:rsidRPr="000B2FEE" w14:paraId="7E6AB268" w14:textId="77777777" w:rsidTr="00FF024F">
        <w:tc>
          <w:tcPr>
            <w:tcW w:w="9067" w:type="dxa"/>
            <w:gridSpan w:val="4"/>
            <w:vAlign w:val="center"/>
          </w:tcPr>
          <w:p w14:paraId="713E4F07" w14:textId="77777777" w:rsidR="00032E8A" w:rsidRPr="000B2FEE" w:rsidRDefault="00032E8A" w:rsidP="00550BB3">
            <w:pPr>
              <w:pStyle w:val="In-tableHeading"/>
              <w:keepNext w:val="0"/>
              <w:jc w:val="both"/>
              <w:rPr>
                <w:sz w:val="18"/>
                <w:szCs w:val="18"/>
                <w:lang w:val="en-AU"/>
              </w:rPr>
            </w:pPr>
            <w:r w:rsidRPr="000B2FEE">
              <w:rPr>
                <w:sz w:val="18"/>
                <w:szCs w:val="18"/>
                <w:lang w:val="en-AU"/>
              </w:rPr>
              <w:t>Eligible population</w:t>
            </w:r>
          </w:p>
        </w:tc>
      </w:tr>
      <w:tr w:rsidR="00032E8A" w:rsidRPr="000B2FEE" w14:paraId="675B0C5B" w14:textId="77777777" w:rsidTr="00FF024F">
        <w:tc>
          <w:tcPr>
            <w:tcW w:w="1500" w:type="dxa"/>
            <w:vAlign w:val="center"/>
          </w:tcPr>
          <w:p w14:paraId="5E4B2B27" w14:textId="44CEB528" w:rsidR="00032E8A" w:rsidRPr="0069626B" w:rsidRDefault="00032E8A" w:rsidP="003A79DF">
            <w:pPr>
              <w:pStyle w:val="TableText0"/>
              <w:keepNext w:val="0"/>
              <w:rPr>
                <w:sz w:val="18"/>
                <w:szCs w:val="18"/>
              </w:rPr>
            </w:pPr>
            <w:r w:rsidRPr="0069626B">
              <w:rPr>
                <w:sz w:val="18"/>
                <w:szCs w:val="18"/>
              </w:rPr>
              <w:t xml:space="preserve">Number of </w:t>
            </w:r>
            <w:r w:rsidR="0069626B" w:rsidRPr="0069626B">
              <w:rPr>
                <w:sz w:val="18"/>
                <w:szCs w:val="18"/>
              </w:rPr>
              <w:t xml:space="preserve">NHL </w:t>
            </w:r>
            <w:r w:rsidRPr="0069626B">
              <w:rPr>
                <w:sz w:val="18"/>
                <w:szCs w:val="18"/>
              </w:rPr>
              <w:t>patients</w:t>
            </w:r>
          </w:p>
        </w:tc>
        <w:tc>
          <w:tcPr>
            <w:tcW w:w="1189" w:type="dxa"/>
            <w:vAlign w:val="center"/>
          </w:tcPr>
          <w:p w14:paraId="04C35C40" w14:textId="77777777" w:rsidR="00032E8A" w:rsidRPr="0069626B" w:rsidRDefault="00032E8A" w:rsidP="003A79DF">
            <w:pPr>
              <w:pStyle w:val="TableText0"/>
              <w:keepNext w:val="0"/>
              <w:rPr>
                <w:sz w:val="18"/>
                <w:szCs w:val="18"/>
              </w:rPr>
            </w:pPr>
            <w:r w:rsidRPr="0069626B">
              <w:rPr>
                <w:sz w:val="18"/>
                <w:szCs w:val="18"/>
              </w:rPr>
              <w:t>Yr 1: 6,839</w:t>
            </w:r>
          </w:p>
          <w:p w14:paraId="55B6B800" w14:textId="77777777" w:rsidR="00032E8A" w:rsidRPr="0069626B" w:rsidRDefault="00032E8A" w:rsidP="003A79DF">
            <w:pPr>
              <w:pStyle w:val="TableText0"/>
              <w:keepNext w:val="0"/>
              <w:rPr>
                <w:sz w:val="18"/>
                <w:szCs w:val="18"/>
              </w:rPr>
            </w:pPr>
            <w:r w:rsidRPr="0069626B">
              <w:rPr>
                <w:sz w:val="18"/>
                <w:szCs w:val="18"/>
              </w:rPr>
              <w:t>Yr 2: 7,079</w:t>
            </w:r>
          </w:p>
          <w:p w14:paraId="5DBDAD0B" w14:textId="77777777" w:rsidR="00032E8A" w:rsidRPr="0069626B" w:rsidRDefault="00032E8A" w:rsidP="003A79DF">
            <w:pPr>
              <w:pStyle w:val="TableText0"/>
              <w:keepNext w:val="0"/>
              <w:rPr>
                <w:sz w:val="18"/>
                <w:szCs w:val="18"/>
              </w:rPr>
            </w:pPr>
            <w:r w:rsidRPr="0069626B">
              <w:rPr>
                <w:sz w:val="18"/>
                <w:szCs w:val="18"/>
              </w:rPr>
              <w:t>Yr 3: 7,306</w:t>
            </w:r>
          </w:p>
          <w:p w14:paraId="50A45F0E" w14:textId="77777777" w:rsidR="00032E8A" w:rsidRPr="0069626B" w:rsidRDefault="00032E8A" w:rsidP="003A79DF">
            <w:pPr>
              <w:pStyle w:val="TableText0"/>
              <w:keepNext w:val="0"/>
              <w:rPr>
                <w:sz w:val="18"/>
                <w:szCs w:val="18"/>
              </w:rPr>
            </w:pPr>
            <w:r w:rsidRPr="0069626B">
              <w:rPr>
                <w:sz w:val="18"/>
                <w:szCs w:val="18"/>
              </w:rPr>
              <w:t>Yr 4: 7,552</w:t>
            </w:r>
          </w:p>
          <w:p w14:paraId="4CDF70AE" w14:textId="77777777" w:rsidR="00032E8A" w:rsidRPr="0069626B" w:rsidRDefault="00032E8A" w:rsidP="003A79DF">
            <w:pPr>
              <w:pStyle w:val="TableText0"/>
              <w:keepNext w:val="0"/>
              <w:rPr>
                <w:sz w:val="18"/>
                <w:szCs w:val="18"/>
              </w:rPr>
            </w:pPr>
            <w:r w:rsidRPr="0069626B">
              <w:rPr>
                <w:sz w:val="18"/>
                <w:szCs w:val="18"/>
              </w:rPr>
              <w:t>Yr 5: 7,805</w:t>
            </w:r>
          </w:p>
          <w:p w14:paraId="32F29FD3" w14:textId="77777777" w:rsidR="00032E8A" w:rsidRPr="0069626B" w:rsidRDefault="00032E8A" w:rsidP="003A79DF">
            <w:pPr>
              <w:pStyle w:val="TableText0"/>
              <w:keepNext w:val="0"/>
              <w:rPr>
                <w:sz w:val="18"/>
                <w:szCs w:val="18"/>
              </w:rPr>
            </w:pPr>
            <w:r w:rsidRPr="0069626B">
              <w:rPr>
                <w:sz w:val="18"/>
                <w:szCs w:val="18"/>
              </w:rPr>
              <w:t>Yr 6: 8,067</w:t>
            </w:r>
          </w:p>
        </w:tc>
        <w:tc>
          <w:tcPr>
            <w:tcW w:w="2228" w:type="dxa"/>
            <w:vAlign w:val="center"/>
          </w:tcPr>
          <w:p w14:paraId="20EA289D" w14:textId="77777777" w:rsidR="00032E8A" w:rsidRPr="0069626B" w:rsidRDefault="00032E8A" w:rsidP="003A79DF">
            <w:pPr>
              <w:pStyle w:val="TableText0"/>
              <w:keepNext w:val="0"/>
              <w:rPr>
                <w:sz w:val="18"/>
                <w:szCs w:val="18"/>
              </w:rPr>
            </w:pPr>
            <w:r w:rsidRPr="0069626B">
              <w:rPr>
                <w:sz w:val="18"/>
                <w:szCs w:val="18"/>
              </w:rPr>
              <w:t xml:space="preserve">Australian Cancer Incidence and Mortality (ACIM) book for NHL (2021). For the years 2018 to 2028, the submission extrapolated incidence rates using the average annual growth over the last 10 years (2008-2017). Annual growth appeared to be 3.36% for Yr 1 to Yr 6. </w:t>
            </w:r>
          </w:p>
        </w:tc>
        <w:tc>
          <w:tcPr>
            <w:tcW w:w="4150" w:type="dxa"/>
            <w:vAlign w:val="center"/>
          </w:tcPr>
          <w:p w14:paraId="5224C309" w14:textId="3389DBA3" w:rsidR="00032E8A" w:rsidRPr="0069626B" w:rsidRDefault="00032E8A" w:rsidP="003A79DF">
            <w:pPr>
              <w:jc w:val="left"/>
              <w:rPr>
                <w:rFonts w:ascii="Arial Narrow" w:eastAsiaTheme="majorEastAsia" w:hAnsi="Arial Narrow" w:cstheme="majorBidi"/>
                <w:bCs/>
                <w:sz w:val="18"/>
                <w:szCs w:val="18"/>
              </w:rPr>
            </w:pPr>
            <w:r w:rsidRPr="0069626B">
              <w:rPr>
                <w:rFonts w:ascii="Arial Narrow" w:eastAsiaTheme="majorEastAsia" w:hAnsi="Arial Narrow" w:cstheme="majorBidi"/>
                <w:bCs/>
                <w:sz w:val="18"/>
                <w:szCs w:val="18"/>
              </w:rPr>
              <w:t xml:space="preserve">The submission did not provide sufficient detail to verify these estimates. During the evaluation, attempts were made to estimate the number of </w:t>
            </w:r>
            <w:r w:rsidR="0069626B" w:rsidRPr="0069626B">
              <w:rPr>
                <w:rFonts w:ascii="Arial Narrow" w:eastAsiaTheme="majorEastAsia" w:hAnsi="Arial Narrow" w:cstheme="majorBidi"/>
                <w:bCs/>
                <w:sz w:val="18"/>
                <w:szCs w:val="18"/>
              </w:rPr>
              <w:t xml:space="preserve">NHL </w:t>
            </w:r>
            <w:r w:rsidRPr="0069626B">
              <w:rPr>
                <w:rFonts w:ascii="Arial Narrow" w:eastAsiaTheme="majorEastAsia" w:hAnsi="Arial Narrow" w:cstheme="majorBidi"/>
                <w:bCs/>
                <w:sz w:val="18"/>
                <w:szCs w:val="18"/>
              </w:rPr>
              <w:t xml:space="preserve">patients by using linear extrapolation and by assuming an average annual growth of 3.41%. These methods resulted in lower patient numbers (by 6-7%) than the submission’s estimate. </w:t>
            </w:r>
            <w:r w:rsidR="006A50AD" w:rsidRPr="0069626B">
              <w:rPr>
                <w:rFonts w:ascii="Arial Narrow" w:eastAsiaTheme="majorEastAsia" w:hAnsi="Arial Narrow" w:cstheme="majorBidi"/>
                <w:bCs/>
                <w:sz w:val="18"/>
                <w:szCs w:val="18"/>
              </w:rPr>
              <w:t xml:space="preserve">The PSCR </w:t>
            </w:r>
            <w:r w:rsidR="00610067" w:rsidRPr="0069626B">
              <w:rPr>
                <w:rFonts w:ascii="Arial Narrow" w:eastAsiaTheme="majorEastAsia" w:hAnsi="Arial Narrow" w:cstheme="majorBidi"/>
                <w:bCs/>
                <w:sz w:val="18"/>
                <w:szCs w:val="18"/>
              </w:rPr>
              <w:t>confirmed that the annual growth rate applied in the submission was 3.36%.</w:t>
            </w:r>
          </w:p>
        </w:tc>
      </w:tr>
      <w:tr w:rsidR="00032E8A" w:rsidRPr="000B2FEE" w14:paraId="5F14B81F" w14:textId="77777777" w:rsidTr="00FF024F">
        <w:tc>
          <w:tcPr>
            <w:tcW w:w="1500" w:type="dxa"/>
            <w:vAlign w:val="center"/>
          </w:tcPr>
          <w:p w14:paraId="2AF5E1F7" w14:textId="4ABBD6F4" w:rsidR="00032E8A" w:rsidRPr="000B2FEE" w:rsidRDefault="00032E8A" w:rsidP="003A79DF">
            <w:pPr>
              <w:pStyle w:val="TableText0"/>
              <w:keepNext w:val="0"/>
              <w:rPr>
                <w:sz w:val="18"/>
                <w:szCs w:val="18"/>
              </w:rPr>
            </w:pPr>
            <w:r w:rsidRPr="000B2FEE">
              <w:rPr>
                <w:sz w:val="18"/>
                <w:szCs w:val="18"/>
              </w:rPr>
              <w:t xml:space="preserve">% of </w:t>
            </w:r>
            <w:r w:rsidRPr="0069626B">
              <w:rPr>
                <w:sz w:val="18"/>
                <w:szCs w:val="18"/>
              </w:rPr>
              <w:t>NH</w:t>
            </w:r>
            <w:r w:rsidR="0069626B" w:rsidRPr="0069626B">
              <w:rPr>
                <w:sz w:val="18"/>
                <w:szCs w:val="18"/>
              </w:rPr>
              <w:t>L</w:t>
            </w:r>
            <w:r w:rsidRPr="000B2FEE">
              <w:rPr>
                <w:sz w:val="18"/>
                <w:szCs w:val="18"/>
              </w:rPr>
              <w:t xml:space="preserve"> patients with DLBCL</w:t>
            </w:r>
          </w:p>
        </w:tc>
        <w:tc>
          <w:tcPr>
            <w:tcW w:w="1189" w:type="dxa"/>
            <w:vAlign w:val="center"/>
          </w:tcPr>
          <w:p w14:paraId="322E51F5" w14:textId="77777777" w:rsidR="00032E8A" w:rsidRDefault="00032E8A" w:rsidP="003A79DF">
            <w:pPr>
              <w:pStyle w:val="TableText0"/>
              <w:keepNext w:val="0"/>
              <w:rPr>
                <w:sz w:val="18"/>
                <w:szCs w:val="18"/>
              </w:rPr>
            </w:pPr>
            <w:r w:rsidRPr="000B2FEE">
              <w:rPr>
                <w:sz w:val="18"/>
                <w:szCs w:val="18"/>
              </w:rPr>
              <w:t>36%</w:t>
            </w:r>
            <w:r w:rsidR="00FD3847">
              <w:rPr>
                <w:sz w:val="18"/>
                <w:szCs w:val="18"/>
              </w:rPr>
              <w:t>.</w:t>
            </w:r>
          </w:p>
          <w:p w14:paraId="35EA9194" w14:textId="35B90B7A" w:rsidR="00FD3847" w:rsidRPr="00170537" w:rsidRDefault="00FD3847" w:rsidP="003A79DF">
            <w:pPr>
              <w:pStyle w:val="TableText0"/>
              <w:keepNext w:val="0"/>
              <w:rPr>
                <w:sz w:val="18"/>
                <w:szCs w:val="18"/>
              </w:rPr>
            </w:pPr>
            <w:r w:rsidRPr="00170537">
              <w:rPr>
                <w:sz w:val="18"/>
                <w:szCs w:val="18"/>
              </w:rPr>
              <w:t>Reduced to 35% in PSCR.</w:t>
            </w:r>
          </w:p>
        </w:tc>
        <w:tc>
          <w:tcPr>
            <w:tcW w:w="2228" w:type="dxa"/>
            <w:vAlign w:val="center"/>
          </w:tcPr>
          <w:p w14:paraId="02DFB43C" w14:textId="77777777" w:rsidR="00032E8A" w:rsidRPr="000B2FEE" w:rsidRDefault="00032E8A" w:rsidP="003A79DF">
            <w:pPr>
              <w:pStyle w:val="TableText0"/>
              <w:keepNext w:val="0"/>
              <w:rPr>
                <w:sz w:val="18"/>
                <w:szCs w:val="18"/>
              </w:rPr>
            </w:pPr>
            <w:r w:rsidRPr="000B2FEE">
              <w:rPr>
                <w:sz w:val="18"/>
                <w:szCs w:val="18"/>
              </w:rPr>
              <w:t>METIS Healthcare Research (2021). Sponsor-commissioned market research, which interviewed 30 clinicians about the characteristics and treatment of previously untreated DLBCL patients</w:t>
            </w:r>
          </w:p>
        </w:tc>
        <w:tc>
          <w:tcPr>
            <w:tcW w:w="4150" w:type="dxa"/>
            <w:vAlign w:val="center"/>
          </w:tcPr>
          <w:p w14:paraId="5B1210A0" w14:textId="3C2329B5" w:rsidR="00032E8A" w:rsidRPr="000B2FEE" w:rsidRDefault="00032E8A" w:rsidP="003A79DF">
            <w:pPr>
              <w:pStyle w:val="TableText0"/>
              <w:keepNext w:val="0"/>
              <w:rPr>
                <w:sz w:val="18"/>
                <w:szCs w:val="18"/>
              </w:rPr>
            </w:pPr>
            <w:r w:rsidRPr="000B2FEE">
              <w:rPr>
                <w:sz w:val="18"/>
                <w:szCs w:val="18"/>
              </w:rPr>
              <w:t>Likely an overestimate. Other studies/data in Australia (Van Leeuwen et al 2014</w:t>
            </w:r>
            <w:r w:rsidRPr="000B2FEE">
              <w:rPr>
                <w:sz w:val="18"/>
                <w:szCs w:val="18"/>
                <w:vertAlign w:val="superscript"/>
              </w:rPr>
              <w:t>a</w:t>
            </w:r>
            <w:r w:rsidRPr="000B2FEE">
              <w:rPr>
                <w:sz w:val="18"/>
                <w:szCs w:val="18"/>
              </w:rPr>
              <w:t>), Canada (Ye et al 2017</w:t>
            </w:r>
            <w:r w:rsidRPr="000B2FEE">
              <w:rPr>
                <w:sz w:val="18"/>
                <w:szCs w:val="18"/>
                <w:vertAlign w:val="superscript"/>
              </w:rPr>
              <w:t>b</w:t>
            </w:r>
            <w:r w:rsidRPr="000B2FEE">
              <w:rPr>
                <w:sz w:val="18"/>
                <w:szCs w:val="18"/>
              </w:rPr>
              <w:t>) and the US (The Surveillance, Epidemiology and End Results (SEER) fact sheets</w:t>
            </w:r>
            <w:r w:rsidRPr="000B2FEE">
              <w:rPr>
                <w:sz w:val="18"/>
                <w:szCs w:val="18"/>
                <w:vertAlign w:val="superscript"/>
              </w:rPr>
              <w:t>c</w:t>
            </w:r>
            <w:r w:rsidRPr="000B2FEE">
              <w:rPr>
                <w:sz w:val="18"/>
                <w:szCs w:val="18"/>
              </w:rPr>
              <w:t xml:space="preserve">) estimate that a lower proportion of NHL patients have DLBCL, approximately 18%-29%. </w:t>
            </w:r>
            <w:r w:rsidR="007E3F4B" w:rsidRPr="000B2FEE">
              <w:rPr>
                <w:sz w:val="18"/>
                <w:szCs w:val="18"/>
              </w:rPr>
              <w:t>Further, DUSC previously ‘</w:t>
            </w:r>
            <w:r w:rsidRPr="000B2FEE">
              <w:rPr>
                <w:sz w:val="18"/>
                <w:szCs w:val="18"/>
              </w:rPr>
              <w:t>considered that a more accurate proportion of NHL comprised of</w:t>
            </w:r>
            <w:r w:rsidR="007E3F4B" w:rsidRPr="000B2FEE">
              <w:rPr>
                <w:sz w:val="18"/>
                <w:szCs w:val="18"/>
              </w:rPr>
              <w:t xml:space="preserve"> DLBCL may be between 25% - 35%’</w:t>
            </w:r>
            <w:r w:rsidRPr="000B2FEE">
              <w:rPr>
                <w:sz w:val="18"/>
                <w:szCs w:val="18"/>
              </w:rPr>
              <w:t xml:space="preserve"> (p4 of 5.09 DUSC advice for polatuzumab vedotin).</w:t>
            </w:r>
            <w:r w:rsidR="006A50AD">
              <w:rPr>
                <w:sz w:val="18"/>
                <w:szCs w:val="18"/>
              </w:rPr>
              <w:t xml:space="preserve"> </w:t>
            </w:r>
            <w:r w:rsidR="006A50AD" w:rsidRPr="00476211">
              <w:rPr>
                <w:sz w:val="18"/>
                <w:szCs w:val="18"/>
              </w:rPr>
              <w:t xml:space="preserve">The PSCR </w:t>
            </w:r>
            <w:r w:rsidR="00FD3847" w:rsidRPr="00476211">
              <w:rPr>
                <w:sz w:val="18"/>
                <w:szCs w:val="18"/>
              </w:rPr>
              <w:t>reduced the proportion to 35%</w:t>
            </w:r>
            <w:r w:rsidR="00610067" w:rsidRPr="00476211">
              <w:rPr>
                <w:sz w:val="18"/>
                <w:szCs w:val="18"/>
              </w:rPr>
              <w:t xml:space="preserve"> but </w:t>
            </w:r>
            <w:r w:rsidR="006A50AD" w:rsidRPr="00476211">
              <w:rPr>
                <w:sz w:val="18"/>
                <w:szCs w:val="18"/>
              </w:rPr>
              <w:t xml:space="preserve">stated that the application of 36% was appropriate as it was from the most recent Australian specific data and within the range reported by the Leukaemia </w:t>
            </w:r>
            <w:r w:rsidR="00BB54B8" w:rsidRPr="00476211">
              <w:rPr>
                <w:sz w:val="18"/>
                <w:szCs w:val="18"/>
              </w:rPr>
              <w:t>F</w:t>
            </w:r>
            <w:r w:rsidR="006A50AD" w:rsidRPr="00476211">
              <w:rPr>
                <w:sz w:val="18"/>
                <w:szCs w:val="18"/>
              </w:rPr>
              <w:t>oundation of 30-40%.</w:t>
            </w:r>
          </w:p>
        </w:tc>
      </w:tr>
      <w:tr w:rsidR="00032E8A" w:rsidRPr="000B2FEE" w14:paraId="3B19B8CA" w14:textId="77777777" w:rsidTr="00FF024F">
        <w:tc>
          <w:tcPr>
            <w:tcW w:w="1500" w:type="dxa"/>
            <w:vAlign w:val="center"/>
          </w:tcPr>
          <w:p w14:paraId="38E8609E" w14:textId="77777777" w:rsidR="00032E8A" w:rsidRPr="000B2FEE" w:rsidRDefault="00032E8A" w:rsidP="003A79DF">
            <w:pPr>
              <w:pStyle w:val="TableText0"/>
              <w:keepNext w:val="0"/>
              <w:rPr>
                <w:sz w:val="18"/>
                <w:szCs w:val="18"/>
              </w:rPr>
            </w:pPr>
            <w:r w:rsidRPr="000B2FEE">
              <w:rPr>
                <w:sz w:val="18"/>
                <w:szCs w:val="18"/>
              </w:rPr>
              <w:t>% of DLBCL patients who fit enough for treatment</w:t>
            </w:r>
          </w:p>
        </w:tc>
        <w:tc>
          <w:tcPr>
            <w:tcW w:w="1189" w:type="dxa"/>
            <w:vAlign w:val="center"/>
          </w:tcPr>
          <w:p w14:paraId="45CF61B1" w14:textId="64CDF4A5" w:rsidR="00032E8A" w:rsidRPr="000B2FEE" w:rsidRDefault="00032E8A" w:rsidP="003A79DF">
            <w:pPr>
              <w:pStyle w:val="TableText0"/>
              <w:keepNext w:val="0"/>
              <w:rPr>
                <w:sz w:val="18"/>
                <w:szCs w:val="18"/>
              </w:rPr>
            </w:pPr>
            <w:r w:rsidRPr="000B2FEE">
              <w:rPr>
                <w:sz w:val="18"/>
                <w:szCs w:val="18"/>
              </w:rPr>
              <w:t>88%</w:t>
            </w:r>
            <w:r w:rsidR="00610067">
              <w:rPr>
                <w:sz w:val="18"/>
                <w:szCs w:val="18"/>
              </w:rPr>
              <w:t xml:space="preserve">. </w:t>
            </w:r>
            <w:r w:rsidR="00610067">
              <w:rPr>
                <w:sz w:val="18"/>
                <w:szCs w:val="18"/>
              </w:rPr>
              <w:br/>
            </w:r>
            <w:r w:rsidR="00610067" w:rsidRPr="00170537">
              <w:rPr>
                <w:sz w:val="18"/>
                <w:szCs w:val="18"/>
              </w:rPr>
              <w:t>Reduced to 82% in the PSCR.</w:t>
            </w:r>
          </w:p>
        </w:tc>
        <w:tc>
          <w:tcPr>
            <w:tcW w:w="2228" w:type="dxa"/>
            <w:vAlign w:val="center"/>
          </w:tcPr>
          <w:p w14:paraId="3FE3AA67" w14:textId="77777777" w:rsidR="00032E8A" w:rsidRPr="000B2FEE" w:rsidRDefault="00032E8A" w:rsidP="003A79DF">
            <w:pPr>
              <w:pStyle w:val="TableText0"/>
              <w:keepNext w:val="0"/>
              <w:rPr>
                <w:sz w:val="18"/>
                <w:szCs w:val="18"/>
              </w:rPr>
            </w:pPr>
            <w:r w:rsidRPr="000B2FEE">
              <w:rPr>
                <w:sz w:val="18"/>
                <w:szCs w:val="18"/>
              </w:rPr>
              <w:t>Based on METIS Healthcare Research (2021), which estimated that 72% of patients are treated with R-CHOP and 16% with R-mini-CHOP.</w:t>
            </w:r>
          </w:p>
        </w:tc>
        <w:tc>
          <w:tcPr>
            <w:tcW w:w="4150" w:type="dxa"/>
            <w:vAlign w:val="center"/>
          </w:tcPr>
          <w:p w14:paraId="1C0D08DD" w14:textId="2C03D8AD" w:rsidR="00032E8A" w:rsidRPr="000B2FEE" w:rsidRDefault="00032E8A" w:rsidP="003A79DF">
            <w:pPr>
              <w:pStyle w:val="TableText0"/>
              <w:keepNext w:val="0"/>
              <w:rPr>
                <w:sz w:val="18"/>
                <w:szCs w:val="18"/>
              </w:rPr>
            </w:pPr>
            <w:r w:rsidRPr="000B2FEE">
              <w:rPr>
                <w:sz w:val="18"/>
                <w:szCs w:val="18"/>
              </w:rPr>
              <w:t>Likely an overestimate, as R-mini-CHOP patients, who are able unable to manage the toxicities of R-CHOP are unlikely to be fit enough for treatment with Pola+R-CHP.</w:t>
            </w:r>
            <w:r w:rsidR="006A50AD">
              <w:rPr>
                <w:sz w:val="18"/>
                <w:szCs w:val="18"/>
              </w:rPr>
              <w:t xml:space="preserve"> </w:t>
            </w:r>
            <w:r w:rsidR="006A50AD" w:rsidRPr="00476211">
              <w:rPr>
                <w:sz w:val="18"/>
                <w:szCs w:val="18"/>
              </w:rPr>
              <w:t>The PSCR</w:t>
            </w:r>
            <w:r w:rsidR="00712A6F" w:rsidRPr="00476211">
              <w:rPr>
                <w:sz w:val="18"/>
                <w:szCs w:val="18"/>
              </w:rPr>
              <w:t xml:space="preserve"> </w:t>
            </w:r>
            <w:r w:rsidR="00610067" w:rsidRPr="00476211">
              <w:rPr>
                <w:sz w:val="18"/>
                <w:szCs w:val="18"/>
              </w:rPr>
              <w:t xml:space="preserve">reduced the proportion to 82% in the PSCR, but </w:t>
            </w:r>
            <w:r w:rsidR="006A50AD" w:rsidRPr="00476211">
              <w:rPr>
                <w:sz w:val="18"/>
                <w:szCs w:val="18"/>
              </w:rPr>
              <w:t>stated that exclusion of patients receiving R-mini-CHOP was inappropriate unless other intensified regimes were also considered (i.e. patients treated with DA-EPOCH-R or R-CHEOP-14).</w:t>
            </w:r>
          </w:p>
        </w:tc>
      </w:tr>
      <w:tr w:rsidR="00032E8A" w:rsidRPr="000B2FEE" w14:paraId="10F0BCC0" w14:textId="77777777" w:rsidTr="00FF024F">
        <w:tc>
          <w:tcPr>
            <w:tcW w:w="1500" w:type="dxa"/>
            <w:vAlign w:val="center"/>
          </w:tcPr>
          <w:p w14:paraId="64D2E131" w14:textId="77777777" w:rsidR="00032E8A" w:rsidRPr="000B2FEE" w:rsidRDefault="00032E8A" w:rsidP="003A79DF">
            <w:pPr>
              <w:pStyle w:val="TableText0"/>
              <w:keepNext w:val="0"/>
              <w:rPr>
                <w:sz w:val="18"/>
                <w:szCs w:val="18"/>
              </w:rPr>
            </w:pPr>
            <w:r w:rsidRPr="000B2FEE">
              <w:rPr>
                <w:sz w:val="18"/>
                <w:szCs w:val="18"/>
              </w:rPr>
              <w:t>% of DLBCL patients with IPI 3-5</w:t>
            </w:r>
          </w:p>
        </w:tc>
        <w:tc>
          <w:tcPr>
            <w:tcW w:w="1189" w:type="dxa"/>
            <w:vAlign w:val="center"/>
          </w:tcPr>
          <w:p w14:paraId="7053BE71" w14:textId="77777777" w:rsidR="00610067" w:rsidRDefault="00032E8A" w:rsidP="003A79DF">
            <w:pPr>
              <w:pStyle w:val="TableText0"/>
              <w:keepNext w:val="0"/>
              <w:rPr>
                <w:sz w:val="18"/>
                <w:szCs w:val="18"/>
              </w:rPr>
            </w:pPr>
            <w:r w:rsidRPr="000B2FEE">
              <w:rPr>
                <w:sz w:val="18"/>
                <w:szCs w:val="18"/>
              </w:rPr>
              <w:t>30%</w:t>
            </w:r>
            <w:r w:rsidR="00610067">
              <w:rPr>
                <w:sz w:val="18"/>
                <w:szCs w:val="18"/>
              </w:rPr>
              <w:t xml:space="preserve">. </w:t>
            </w:r>
          </w:p>
          <w:p w14:paraId="0915FD68" w14:textId="46D4E4A1" w:rsidR="00032E8A" w:rsidRPr="00170537" w:rsidRDefault="00610067" w:rsidP="003A79DF">
            <w:pPr>
              <w:pStyle w:val="TableText0"/>
              <w:keepNext w:val="0"/>
              <w:rPr>
                <w:sz w:val="18"/>
                <w:szCs w:val="18"/>
              </w:rPr>
            </w:pPr>
            <w:r w:rsidRPr="00170537">
              <w:rPr>
                <w:sz w:val="18"/>
                <w:szCs w:val="18"/>
              </w:rPr>
              <w:t>Increased to 50.9% in the PSCR.</w:t>
            </w:r>
          </w:p>
        </w:tc>
        <w:tc>
          <w:tcPr>
            <w:tcW w:w="2228" w:type="dxa"/>
            <w:vAlign w:val="center"/>
          </w:tcPr>
          <w:p w14:paraId="2BA721C6" w14:textId="77777777" w:rsidR="00032E8A" w:rsidRPr="000B2FEE" w:rsidRDefault="00032E8A" w:rsidP="003A79DF">
            <w:pPr>
              <w:pStyle w:val="TableText0"/>
              <w:keepNext w:val="0"/>
              <w:rPr>
                <w:sz w:val="18"/>
                <w:szCs w:val="18"/>
              </w:rPr>
            </w:pPr>
            <w:r w:rsidRPr="000B2FEE">
              <w:rPr>
                <w:sz w:val="18"/>
                <w:szCs w:val="18"/>
              </w:rPr>
              <w:t>METIS Healthcare Research (2021).</w:t>
            </w:r>
          </w:p>
        </w:tc>
        <w:tc>
          <w:tcPr>
            <w:tcW w:w="4150" w:type="dxa"/>
            <w:vAlign w:val="center"/>
          </w:tcPr>
          <w:p w14:paraId="45C77C1A" w14:textId="2A9C291C" w:rsidR="00032E8A" w:rsidRPr="000B2FEE" w:rsidRDefault="00032E8A" w:rsidP="003A79DF">
            <w:pPr>
              <w:pStyle w:val="TableText0"/>
              <w:keepNext w:val="0"/>
              <w:rPr>
                <w:sz w:val="18"/>
                <w:szCs w:val="18"/>
              </w:rPr>
            </w:pPr>
            <w:r w:rsidRPr="000B2FEE">
              <w:rPr>
                <w:sz w:val="18"/>
                <w:szCs w:val="18"/>
              </w:rPr>
              <w:t>Likely an underestimate. Recent Australian data (2019) form the Lymphoma and Related Diseases Register provided in the submission found 49.3% of newly diagnosed patients have a revised-IPI score 3-5, while an older population-based study by Sehn et al 2007</w:t>
            </w:r>
            <w:r w:rsidRPr="000B2FEE">
              <w:rPr>
                <w:sz w:val="18"/>
                <w:szCs w:val="18"/>
                <w:vertAlign w:val="superscript"/>
              </w:rPr>
              <w:t>d</w:t>
            </w:r>
            <w:r w:rsidRPr="000B2FEE">
              <w:rPr>
                <w:sz w:val="18"/>
                <w:szCs w:val="18"/>
              </w:rPr>
              <w:t xml:space="preserve"> found 46% of patients treated with R-CHOP in Canada had an IPI 3-5.</w:t>
            </w:r>
            <w:r w:rsidR="006A50AD">
              <w:rPr>
                <w:sz w:val="18"/>
                <w:szCs w:val="18"/>
              </w:rPr>
              <w:t xml:space="preserve"> </w:t>
            </w:r>
            <w:r w:rsidR="006A50AD" w:rsidRPr="00476211">
              <w:rPr>
                <w:sz w:val="18"/>
                <w:szCs w:val="18"/>
              </w:rPr>
              <w:t xml:space="preserve">The PSCR agreed with the evaluation, citing an updated estimate from the LaRDR 2022 report, which stated that 50.9% of Australian DLBCL patients have an IPI score of 3 to 5. </w:t>
            </w:r>
          </w:p>
        </w:tc>
      </w:tr>
      <w:tr w:rsidR="00032E8A" w:rsidRPr="000B2FEE" w14:paraId="26FA5980" w14:textId="77777777" w:rsidTr="00FF024F">
        <w:tc>
          <w:tcPr>
            <w:tcW w:w="1500" w:type="dxa"/>
            <w:vAlign w:val="center"/>
          </w:tcPr>
          <w:p w14:paraId="7E85DA47" w14:textId="77777777" w:rsidR="00032E8A" w:rsidRPr="000B2FEE" w:rsidRDefault="00032E8A" w:rsidP="003A79DF">
            <w:pPr>
              <w:pStyle w:val="TableText0"/>
              <w:keepNext w:val="0"/>
              <w:rPr>
                <w:sz w:val="18"/>
                <w:szCs w:val="18"/>
              </w:rPr>
            </w:pPr>
            <w:r w:rsidRPr="000B2FEE">
              <w:rPr>
                <w:sz w:val="18"/>
                <w:szCs w:val="18"/>
              </w:rPr>
              <w:t>Grandfathered patients</w:t>
            </w:r>
          </w:p>
        </w:tc>
        <w:tc>
          <w:tcPr>
            <w:tcW w:w="1189" w:type="dxa"/>
            <w:vAlign w:val="center"/>
          </w:tcPr>
          <w:p w14:paraId="7013CF66" w14:textId="77777777" w:rsidR="00032E8A" w:rsidRPr="000B2FEE" w:rsidRDefault="00032E8A" w:rsidP="003A79DF">
            <w:pPr>
              <w:pStyle w:val="TableText0"/>
              <w:keepNext w:val="0"/>
              <w:rPr>
                <w:sz w:val="18"/>
                <w:szCs w:val="18"/>
              </w:rPr>
            </w:pPr>
            <w:r w:rsidRPr="000B2FEE">
              <w:rPr>
                <w:sz w:val="18"/>
                <w:szCs w:val="18"/>
              </w:rPr>
              <w:t>0</w:t>
            </w:r>
          </w:p>
        </w:tc>
        <w:tc>
          <w:tcPr>
            <w:tcW w:w="2228" w:type="dxa"/>
            <w:vAlign w:val="center"/>
          </w:tcPr>
          <w:p w14:paraId="430874C4" w14:textId="59D8933A" w:rsidR="00032E8A" w:rsidRPr="000B2FEE" w:rsidRDefault="00032E8A" w:rsidP="003A79DF">
            <w:pPr>
              <w:pStyle w:val="TableText0"/>
              <w:keepNext w:val="0"/>
              <w:rPr>
                <w:sz w:val="18"/>
                <w:szCs w:val="18"/>
              </w:rPr>
            </w:pPr>
            <w:r w:rsidRPr="000B2FEE">
              <w:rPr>
                <w:sz w:val="18"/>
                <w:szCs w:val="18"/>
              </w:rPr>
              <w:t xml:space="preserve">The estimated 59 patients currently </w:t>
            </w:r>
            <w:r w:rsidR="00167A54" w:rsidRPr="000B2FEE">
              <w:rPr>
                <w:sz w:val="18"/>
                <w:szCs w:val="18"/>
              </w:rPr>
              <w:t>accessing</w:t>
            </w:r>
            <w:r w:rsidRPr="000B2FEE">
              <w:rPr>
                <w:sz w:val="18"/>
                <w:szCs w:val="18"/>
              </w:rPr>
              <w:t xml:space="preserve"> treatment are assumed to be included by using the above methods </w:t>
            </w:r>
          </w:p>
        </w:tc>
        <w:tc>
          <w:tcPr>
            <w:tcW w:w="4150" w:type="dxa"/>
            <w:vAlign w:val="center"/>
          </w:tcPr>
          <w:p w14:paraId="36744EA8" w14:textId="71F411A2" w:rsidR="00032E8A" w:rsidRPr="000B2FEE" w:rsidRDefault="00050593" w:rsidP="003A79DF">
            <w:pPr>
              <w:pStyle w:val="TableText0"/>
              <w:keepNext w:val="0"/>
              <w:rPr>
                <w:sz w:val="18"/>
                <w:szCs w:val="18"/>
              </w:rPr>
            </w:pPr>
            <w:r>
              <w:rPr>
                <w:sz w:val="18"/>
                <w:szCs w:val="18"/>
              </w:rPr>
              <w:t>-</w:t>
            </w:r>
          </w:p>
        </w:tc>
      </w:tr>
      <w:tr w:rsidR="00032E8A" w:rsidRPr="000B2FEE" w14:paraId="53EFF0AA" w14:textId="77777777" w:rsidTr="00FF024F">
        <w:tc>
          <w:tcPr>
            <w:tcW w:w="1500" w:type="dxa"/>
            <w:vAlign w:val="center"/>
          </w:tcPr>
          <w:p w14:paraId="6D484E80" w14:textId="77777777" w:rsidR="00032E8A" w:rsidRPr="000B2FEE" w:rsidRDefault="00032E8A" w:rsidP="003A79DF">
            <w:pPr>
              <w:pStyle w:val="TableText0"/>
              <w:keepNext w:val="0"/>
              <w:rPr>
                <w:sz w:val="18"/>
                <w:szCs w:val="18"/>
              </w:rPr>
            </w:pPr>
            <w:r w:rsidRPr="000B2FEE">
              <w:rPr>
                <w:sz w:val="18"/>
                <w:szCs w:val="18"/>
              </w:rPr>
              <w:t>Prevalent patients</w:t>
            </w:r>
          </w:p>
        </w:tc>
        <w:tc>
          <w:tcPr>
            <w:tcW w:w="1189" w:type="dxa"/>
            <w:vAlign w:val="center"/>
          </w:tcPr>
          <w:p w14:paraId="09F87DE3" w14:textId="77777777" w:rsidR="00032E8A" w:rsidRPr="000B2FEE" w:rsidRDefault="00032E8A" w:rsidP="003A79DF">
            <w:pPr>
              <w:pStyle w:val="TableText0"/>
              <w:keepNext w:val="0"/>
              <w:rPr>
                <w:sz w:val="18"/>
                <w:szCs w:val="18"/>
              </w:rPr>
            </w:pPr>
            <w:r w:rsidRPr="000B2FEE">
              <w:rPr>
                <w:sz w:val="18"/>
                <w:szCs w:val="18"/>
              </w:rPr>
              <w:t>0</w:t>
            </w:r>
          </w:p>
        </w:tc>
        <w:tc>
          <w:tcPr>
            <w:tcW w:w="2228" w:type="dxa"/>
            <w:vAlign w:val="center"/>
          </w:tcPr>
          <w:p w14:paraId="1D022AD5" w14:textId="77777777" w:rsidR="00032E8A" w:rsidRPr="000B2FEE" w:rsidRDefault="00032E8A" w:rsidP="003A79DF">
            <w:pPr>
              <w:pStyle w:val="TableText0"/>
              <w:keepNext w:val="0"/>
              <w:rPr>
                <w:sz w:val="18"/>
                <w:szCs w:val="18"/>
              </w:rPr>
            </w:pPr>
            <w:r w:rsidRPr="000B2FEE">
              <w:rPr>
                <w:sz w:val="18"/>
                <w:szCs w:val="18"/>
              </w:rPr>
              <w:t xml:space="preserve">Submission does not anticipate a prevalent pool of previously untreated DLBCL patients </w:t>
            </w:r>
          </w:p>
        </w:tc>
        <w:tc>
          <w:tcPr>
            <w:tcW w:w="4150" w:type="dxa"/>
            <w:vAlign w:val="center"/>
          </w:tcPr>
          <w:p w14:paraId="7731FE26" w14:textId="3B557747" w:rsidR="00032E8A" w:rsidRPr="000B2FEE" w:rsidRDefault="00050593" w:rsidP="003A79DF">
            <w:pPr>
              <w:pStyle w:val="TableText0"/>
              <w:keepNext w:val="0"/>
              <w:rPr>
                <w:sz w:val="18"/>
                <w:szCs w:val="18"/>
              </w:rPr>
            </w:pPr>
            <w:r>
              <w:rPr>
                <w:sz w:val="18"/>
                <w:szCs w:val="18"/>
              </w:rPr>
              <w:t>-</w:t>
            </w:r>
          </w:p>
        </w:tc>
      </w:tr>
      <w:tr w:rsidR="00032E8A" w:rsidRPr="000B2FEE" w14:paraId="43E41708" w14:textId="77777777" w:rsidTr="00FF024F">
        <w:tc>
          <w:tcPr>
            <w:tcW w:w="9067" w:type="dxa"/>
            <w:gridSpan w:val="4"/>
            <w:vAlign w:val="center"/>
          </w:tcPr>
          <w:p w14:paraId="36F08326" w14:textId="77777777" w:rsidR="00032E8A" w:rsidRPr="000B2FEE" w:rsidRDefault="00032E8A" w:rsidP="003A79DF">
            <w:pPr>
              <w:pStyle w:val="TableText0"/>
              <w:keepNext w:val="0"/>
              <w:rPr>
                <w:b/>
                <w:bCs w:val="0"/>
                <w:sz w:val="18"/>
                <w:szCs w:val="18"/>
              </w:rPr>
            </w:pPr>
            <w:r w:rsidRPr="000B2FEE">
              <w:rPr>
                <w:b/>
                <w:bCs w:val="0"/>
                <w:sz w:val="18"/>
                <w:szCs w:val="18"/>
              </w:rPr>
              <w:t>Treatment utilisation</w:t>
            </w:r>
          </w:p>
        </w:tc>
      </w:tr>
      <w:tr w:rsidR="00032E8A" w:rsidRPr="000B2FEE" w14:paraId="52240D6C" w14:textId="77777777" w:rsidTr="00FF024F">
        <w:tc>
          <w:tcPr>
            <w:tcW w:w="1500" w:type="dxa"/>
            <w:vAlign w:val="center"/>
          </w:tcPr>
          <w:p w14:paraId="205459A9" w14:textId="77777777" w:rsidR="00032E8A" w:rsidRPr="000B2FEE" w:rsidRDefault="00032E8A" w:rsidP="003A79DF">
            <w:pPr>
              <w:pStyle w:val="TableText0"/>
              <w:keepNext w:val="0"/>
              <w:rPr>
                <w:sz w:val="18"/>
                <w:szCs w:val="18"/>
              </w:rPr>
            </w:pPr>
            <w:r w:rsidRPr="000B2FEE">
              <w:rPr>
                <w:sz w:val="18"/>
                <w:szCs w:val="18"/>
              </w:rPr>
              <w:t>Uptake rate</w:t>
            </w:r>
          </w:p>
        </w:tc>
        <w:tc>
          <w:tcPr>
            <w:tcW w:w="1189" w:type="dxa"/>
            <w:vAlign w:val="center"/>
          </w:tcPr>
          <w:p w14:paraId="5F00745F" w14:textId="739AEBC9" w:rsidR="00032E8A" w:rsidRPr="0069626B" w:rsidRDefault="00032E8A" w:rsidP="003A79DF">
            <w:pPr>
              <w:pStyle w:val="TableText0"/>
              <w:keepNext w:val="0"/>
              <w:rPr>
                <w:sz w:val="18"/>
                <w:szCs w:val="18"/>
              </w:rPr>
            </w:pPr>
            <w:r w:rsidRPr="0069626B">
              <w:rPr>
                <w:sz w:val="18"/>
                <w:szCs w:val="18"/>
              </w:rPr>
              <w:t xml:space="preserve">Yr 1: </w:t>
            </w:r>
            <w:r w:rsidR="00206B77" w:rsidRPr="00206B77">
              <w:rPr>
                <w:color w:val="000000"/>
                <w:spacing w:val="172"/>
                <w:sz w:val="18"/>
                <w:szCs w:val="18"/>
                <w:shd w:val="solid" w:color="000000" w:fill="000000"/>
                <w:fitText w:val="249" w:id="-1301008624"/>
                <w14:textFill>
                  <w14:solidFill>
                    <w14:srgbClr w14:val="000000">
                      <w14:alpha w14:val="100000"/>
                    </w14:srgbClr>
                  </w14:solidFill>
                </w14:textFill>
              </w:rPr>
              <w:t>|</w:t>
            </w:r>
            <w:r w:rsidR="00206B77" w:rsidRPr="00206B77">
              <w:rPr>
                <w:color w:val="000000"/>
                <w:spacing w:val="1"/>
                <w:sz w:val="18"/>
                <w:szCs w:val="18"/>
                <w:shd w:val="solid" w:color="000000" w:fill="000000"/>
                <w:fitText w:val="249" w:id="-1301008624"/>
                <w14:textFill>
                  <w14:solidFill>
                    <w14:srgbClr w14:val="000000">
                      <w14:alpha w14:val="100000"/>
                    </w14:srgbClr>
                  </w14:solidFill>
                </w14:textFill>
              </w:rPr>
              <w:t>|</w:t>
            </w:r>
            <w:r w:rsidRPr="0069626B">
              <w:rPr>
                <w:sz w:val="18"/>
                <w:szCs w:val="18"/>
              </w:rPr>
              <w:t>%</w:t>
            </w:r>
          </w:p>
          <w:p w14:paraId="2F7D4165" w14:textId="5FB3607F" w:rsidR="00032E8A" w:rsidRPr="0069626B" w:rsidRDefault="00032E8A" w:rsidP="003A79DF">
            <w:pPr>
              <w:pStyle w:val="TableText0"/>
              <w:keepNext w:val="0"/>
              <w:rPr>
                <w:sz w:val="18"/>
                <w:szCs w:val="18"/>
              </w:rPr>
            </w:pPr>
            <w:r w:rsidRPr="0069626B">
              <w:rPr>
                <w:sz w:val="18"/>
                <w:szCs w:val="18"/>
              </w:rPr>
              <w:t xml:space="preserve">Yr 2: </w:t>
            </w:r>
            <w:r w:rsidR="00206B77" w:rsidRPr="00206B77">
              <w:rPr>
                <w:color w:val="000000"/>
                <w:spacing w:val="172"/>
                <w:sz w:val="18"/>
                <w:szCs w:val="18"/>
                <w:shd w:val="solid" w:color="000000" w:fill="000000"/>
                <w:fitText w:val="249" w:id="-1301008640"/>
                <w14:textFill>
                  <w14:solidFill>
                    <w14:srgbClr w14:val="000000">
                      <w14:alpha w14:val="100000"/>
                    </w14:srgbClr>
                  </w14:solidFill>
                </w14:textFill>
              </w:rPr>
              <w:t>|</w:t>
            </w:r>
            <w:r w:rsidR="00206B77" w:rsidRPr="00206B77">
              <w:rPr>
                <w:color w:val="000000"/>
                <w:spacing w:val="1"/>
                <w:sz w:val="18"/>
                <w:szCs w:val="18"/>
                <w:shd w:val="solid" w:color="000000" w:fill="000000"/>
                <w:fitText w:val="249" w:id="-1301008640"/>
                <w14:textFill>
                  <w14:solidFill>
                    <w14:srgbClr w14:val="000000">
                      <w14:alpha w14:val="100000"/>
                    </w14:srgbClr>
                  </w14:solidFill>
                </w14:textFill>
              </w:rPr>
              <w:t>|</w:t>
            </w:r>
            <w:r w:rsidRPr="0069626B">
              <w:rPr>
                <w:sz w:val="18"/>
                <w:szCs w:val="18"/>
              </w:rPr>
              <w:t>%</w:t>
            </w:r>
          </w:p>
          <w:p w14:paraId="73429435" w14:textId="4F73352E" w:rsidR="00032E8A" w:rsidRPr="0069626B" w:rsidRDefault="00032E8A" w:rsidP="003A79DF">
            <w:pPr>
              <w:pStyle w:val="TableText0"/>
              <w:keepNext w:val="0"/>
              <w:rPr>
                <w:sz w:val="18"/>
                <w:szCs w:val="18"/>
              </w:rPr>
            </w:pPr>
            <w:r w:rsidRPr="0069626B">
              <w:rPr>
                <w:sz w:val="18"/>
                <w:szCs w:val="18"/>
              </w:rPr>
              <w:t xml:space="preserve">Yr 3: </w:t>
            </w:r>
            <w:r w:rsidR="00206B77" w:rsidRPr="00206B77">
              <w:rPr>
                <w:color w:val="000000"/>
                <w:spacing w:val="172"/>
                <w:sz w:val="18"/>
                <w:szCs w:val="18"/>
                <w:shd w:val="solid" w:color="000000" w:fill="000000"/>
                <w:fitText w:val="249" w:id="-1301008639"/>
                <w14:textFill>
                  <w14:solidFill>
                    <w14:srgbClr w14:val="000000">
                      <w14:alpha w14:val="100000"/>
                    </w14:srgbClr>
                  </w14:solidFill>
                </w14:textFill>
              </w:rPr>
              <w:t>|</w:t>
            </w:r>
            <w:r w:rsidR="00206B77" w:rsidRPr="00206B77">
              <w:rPr>
                <w:color w:val="000000"/>
                <w:spacing w:val="1"/>
                <w:sz w:val="18"/>
                <w:szCs w:val="18"/>
                <w:shd w:val="solid" w:color="000000" w:fill="000000"/>
                <w:fitText w:val="249" w:id="-1301008639"/>
                <w14:textFill>
                  <w14:solidFill>
                    <w14:srgbClr w14:val="000000">
                      <w14:alpha w14:val="100000"/>
                    </w14:srgbClr>
                  </w14:solidFill>
                </w14:textFill>
              </w:rPr>
              <w:t>|</w:t>
            </w:r>
            <w:r w:rsidRPr="0069626B">
              <w:rPr>
                <w:sz w:val="18"/>
                <w:szCs w:val="18"/>
              </w:rPr>
              <w:t>%</w:t>
            </w:r>
          </w:p>
          <w:p w14:paraId="5C3CB142" w14:textId="027BE7CF" w:rsidR="00032E8A" w:rsidRPr="0069626B" w:rsidRDefault="00032E8A" w:rsidP="003A79DF">
            <w:pPr>
              <w:pStyle w:val="TableText0"/>
              <w:keepNext w:val="0"/>
              <w:rPr>
                <w:sz w:val="18"/>
                <w:szCs w:val="18"/>
              </w:rPr>
            </w:pPr>
            <w:r w:rsidRPr="0069626B">
              <w:rPr>
                <w:sz w:val="18"/>
                <w:szCs w:val="18"/>
              </w:rPr>
              <w:t xml:space="preserve">Yrs 4-6: </w:t>
            </w:r>
            <w:r w:rsidR="00206B77" w:rsidRPr="00381965">
              <w:rPr>
                <w:color w:val="000000"/>
                <w:spacing w:val="166"/>
                <w:sz w:val="18"/>
                <w:szCs w:val="18"/>
                <w:shd w:val="solid" w:color="000000" w:fill="000000"/>
                <w:fitText w:val="243" w:id="-1301008638"/>
                <w14:textFill>
                  <w14:solidFill>
                    <w14:srgbClr w14:val="000000">
                      <w14:alpha w14:val="100000"/>
                    </w14:srgbClr>
                  </w14:solidFill>
                </w14:textFill>
              </w:rPr>
              <w:t>|</w:t>
            </w:r>
            <w:r w:rsidR="00206B77" w:rsidRPr="00381965">
              <w:rPr>
                <w:color w:val="000000"/>
                <w:spacing w:val="1"/>
                <w:sz w:val="18"/>
                <w:szCs w:val="18"/>
                <w:shd w:val="solid" w:color="000000" w:fill="000000"/>
                <w:fitText w:val="243" w:id="-1301008638"/>
                <w14:textFill>
                  <w14:solidFill>
                    <w14:srgbClr w14:val="000000">
                      <w14:alpha w14:val="100000"/>
                    </w14:srgbClr>
                  </w14:solidFill>
                </w14:textFill>
              </w:rPr>
              <w:t>|</w:t>
            </w:r>
            <w:r w:rsidRPr="0069626B">
              <w:rPr>
                <w:sz w:val="18"/>
                <w:szCs w:val="18"/>
              </w:rPr>
              <w:t>%</w:t>
            </w:r>
          </w:p>
        </w:tc>
        <w:tc>
          <w:tcPr>
            <w:tcW w:w="2228" w:type="dxa"/>
            <w:vAlign w:val="center"/>
          </w:tcPr>
          <w:p w14:paraId="1F69227F" w14:textId="77777777" w:rsidR="00032E8A" w:rsidRPr="000B2FEE" w:rsidRDefault="00032E8A" w:rsidP="003A79DF">
            <w:pPr>
              <w:pStyle w:val="TableText0"/>
              <w:keepNext w:val="0"/>
              <w:rPr>
                <w:sz w:val="18"/>
                <w:szCs w:val="18"/>
              </w:rPr>
            </w:pPr>
            <w:r w:rsidRPr="000B2FEE">
              <w:rPr>
                <w:sz w:val="18"/>
                <w:szCs w:val="18"/>
              </w:rPr>
              <w:t>Assumption.</w:t>
            </w:r>
          </w:p>
        </w:tc>
        <w:tc>
          <w:tcPr>
            <w:tcW w:w="4150" w:type="dxa"/>
            <w:vAlign w:val="center"/>
          </w:tcPr>
          <w:p w14:paraId="1F5D1CBC" w14:textId="77777777" w:rsidR="00032E8A" w:rsidRPr="000B2FEE" w:rsidRDefault="00032E8A" w:rsidP="003A79DF">
            <w:pPr>
              <w:pStyle w:val="TableText0"/>
              <w:keepNext w:val="0"/>
              <w:rPr>
                <w:sz w:val="18"/>
                <w:szCs w:val="18"/>
              </w:rPr>
            </w:pPr>
            <w:r w:rsidRPr="000B2FEE">
              <w:rPr>
                <w:sz w:val="18"/>
                <w:szCs w:val="18"/>
              </w:rPr>
              <w:t>Potential underestimate, given the claim of superior efficacy and non-inferior safety compared to R-CHOP.</w:t>
            </w:r>
          </w:p>
        </w:tc>
      </w:tr>
      <w:tr w:rsidR="00032E8A" w:rsidRPr="000B2FEE" w14:paraId="60BE0340" w14:textId="77777777" w:rsidTr="00FF024F">
        <w:tc>
          <w:tcPr>
            <w:tcW w:w="1500" w:type="dxa"/>
            <w:vAlign w:val="center"/>
          </w:tcPr>
          <w:p w14:paraId="4C23B9C2" w14:textId="77777777" w:rsidR="00032E8A" w:rsidRPr="000B2FEE" w:rsidRDefault="00032E8A" w:rsidP="003A79DF">
            <w:pPr>
              <w:pStyle w:val="TableText0"/>
              <w:keepNext w:val="0"/>
              <w:rPr>
                <w:sz w:val="18"/>
                <w:szCs w:val="18"/>
              </w:rPr>
            </w:pPr>
            <w:r w:rsidRPr="000B2FEE">
              <w:rPr>
                <w:sz w:val="18"/>
                <w:szCs w:val="18"/>
              </w:rPr>
              <w:t>Mean scripts of polatuzumab vedotin per patient treated with Pola+R-CHP</w:t>
            </w:r>
          </w:p>
        </w:tc>
        <w:tc>
          <w:tcPr>
            <w:tcW w:w="1189" w:type="dxa"/>
            <w:vAlign w:val="center"/>
          </w:tcPr>
          <w:p w14:paraId="119A12EF" w14:textId="5A05EE69" w:rsidR="00032E8A" w:rsidRPr="000B2FEE" w:rsidRDefault="00032E8A" w:rsidP="003A79DF">
            <w:pPr>
              <w:pStyle w:val="TableText0"/>
              <w:keepNext w:val="0"/>
              <w:rPr>
                <w:sz w:val="18"/>
                <w:szCs w:val="18"/>
              </w:rPr>
            </w:pPr>
            <w:r w:rsidRPr="000B2FEE">
              <w:rPr>
                <w:sz w:val="18"/>
                <w:szCs w:val="18"/>
              </w:rPr>
              <w:t>5.8 scripts (140</w:t>
            </w:r>
            <w:r w:rsidR="008131EB">
              <w:rPr>
                <w:sz w:val="18"/>
                <w:szCs w:val="18"/>
              </w:rPr>
              <w:t> </w:t>
            </w:r>
            <w:r w:rsidRPr="000B2FEE">
              <w:rPr>
                <w:sz w:val="18"/>
                <w:szCs w:val="18"/>
              </w:rPr>
              <w:t>mg per script)</w:t>
            </w:r>
            <w:r w:rsidRPr="000B2FEE" w:rsidDel="00A53D57">
              <w:rPr>
                <w:sz w:val="18"/>
                <w:szCs w:val="18"/>
              </w:rPr>
              <w:t xml:space="preserve"> </w:t>
            </w:r>
          </w:p>
        </w:tc>
        <w:tc>
          <w:tcPr>
            <w:tcW w:w="2228" w:type="dxa"/>
            <w:vAlign w:val="center"/>
          </w:tcPr>
          <w:p w14:paraId="5ED50AED" w14:textId="2E667A50" w:rsidR="00032E8A" w:rsidRPr="000B2FEE" w:rsidRDefault="00032E8A" w:rsidP="003A79DF">
            <w:pPr>
              <w:pStyle w:val="TableText0"/>
              <w:keepNext w:val="0"/>
              <w:rPr>
                <w:sz w:val="18"/>
                <w:szCs w:val="18"/>
              </w:rPr>
            </w:pPr>
            <w:r w:rsidRPr="000B2FEE">
              <w:rPr>
                <w:sz w:val="18"/>
                <w:szCs w:val="18"/>
              </w:rPr>
              <w:t xml:space="preserve">Based on the recommended dose in the draft PI, </w:t>
            </w:r>
            <w:r w:rsidR="00C43DC8" w:rsidRPr="000B2FEE">
              <w:rPr>
                <w:sz w:val="18"/>
                <w:szCs w:val="18"/>
              </w:rPr>
              <w:t xml:space="preserve">and </w:t>
            </w:r>
            <w:r w:rsidRPr="000B2FEE">
              <w:rPr>
                <w:sz w:val="18"/>
                <w:szCs w:val="18"/>
              </w:rPr>
              <w:t>the average weight</w:t>
            </w:r>
            <w:r w:rsidR="00C43DC8" w:rsidRPr="000B2FEE">
              <w:rPr>
                <w:sz w:val="18"/>
                <w:szCs w:val="18"/>
              </w:rPr>
              <w:t>/ cycles administered</w:t>
            </w:r>
            <w:r w:rsidRPr="000B2FEE">
              <w:rPr>
                <w:sz w:val="18"/>
                <w:szCs w:val="18"/>
              </w:rPr>
              <w:t xml:space="preserve"> in POLARIX</w:t>
            </w:r>
          </w:p>
        </w:tc>
        <w:tc>
          <w:tcPr>
            <w:tcW w:w="4150" w:type="dxa"/>
            <w:vAlign w:val="center"/>
          </w:tcPr>
          <w:p w14:paraId="2E111777" w14:textId="5BD4D273" w:rsidR="00032E8A" w:rsidRPr="000B2FEE" w:rsidRDefault="00032E8A" w:rsidP="003A79DF">
            <w:pPr>
              <w:pStyle w:val="TableText0"/>
              <w:keepNext w:val="0"/>
              <w:rPr>
                <w:sz w:val="18"/>
                <w:szCs w:val="18"/>
              </w:rPr>
            </w:pPr>
            <w:r w:rsidRPr="000B2FEE">
              <w:rPr>
                <w:sz w:val="18"/>
                <w:szCs w:val="18"/>
              </w:rPr>
              <w:t>Generally reasonable, although it may be more appropriate to cost the scripts based on the number/type of vials required using the distribution of patient weight (i.e. 4x30</w:t>
            </w:r>
            <w:r w:rsidR="008131EB">
              <w:rPr>
                <w:sz w:val="18"/>
                <w:szCs w:val="18"/>
              </w:rPr>
              <w:t> </w:t>
            </w:r>
            <w:r w:rsidRPr="000B2FEE">
              <w:rPr>
                <w:sz w:val="18"/>
                <w:szCs w:val="18"/>
              </w:rPr>
              <w:t xml:space="preserve">mg vials for </w:t>
            </w:r>
            <w:r w:rsidRPr="000B2FEE">
              <w:rPr>
                <w:sz w:val="18"/>
                <w:szCs w:val="18"/>
              </w:rPr>
              <w:lastRenderedPageBreak/>
              <w:t>51-67</w:t>
            </w:r>
            <w:r w:rsidR="008131EB">
              <w:rPr>
                <w:sz w:val="18"/>
                <w:szCs w:val="18"/>
              </w:rPr>
              <w:t> </w:t>
            </w:r>
            <w:r w:rsidRPr="000B2FEE">
              <w:rPr>
                <w:sz w:val="18"/>
                <w:szCs w:val="18"/>
              </w:rPr>
              <w:t>kg; 1x140</w:t>
            </w:r>
            <w:r w:rsidR="008131EB">
              <w:rPr>
                <w:sz w:val="18"/>
                <w:szCs w:val="18"/>
              </w:rPr>
              <w:t> </w:t>
            </w:r>
            <w:r w:rsidRPr="000B2FEE">
              <w:rPr>
                <w:sz w:val="18"/>
                <w:szCs w:val="18"/>
              </w:rPr>
              <w:t>mg vial for 68-78</w:t>
            </w:r>
            <w:r w:rsidR="00050593">
              <w:rPr>
                <w:sz w:val="18"/>
                <w:szCs w:val="18"/>
              </w:rPr>
              <w:t xml:space="preserve"> </w:t>
            </w:r>
            <w:r w:rsidRPr="000B2FEE">
              <w:rPr>
                <w:sz w:val="18"/>
                <w:szCs w:val="18"/>
              </w:rPr>
              <w:t>kg; 5x30</w:t>
            </w:r>
            <w:r w:rsidR="008131EB">
              <w:rPr>
                <w:sz w:val="18"/>
                <w:szCs w:val="18"/>
              </w:rPr>
              <w:t> </w:t>
            </w:r>
            <w:r w:rsidRPr="000B2FEE">
              <w:rPr>
                <w:sz w:val="18"/>
                <w:szCs w:val="18"/>
              </w:rPr>
              <w:t>mg vials for 79-83</w:t>
            </w:r>
            <w:r w:rsidR="008131EB">
              <w:rPr>
                <w:sz w:val="18"/>
                <w:szCs w:val="18"/>
              </w:rPr>
              <w:t> </w:t>
            </w:r>
            <w:r w:rsidRPr="000B2FEE">
              <w:rPr>
                <w:sz w:val="18"/>
                <w:szCs w:val="18"/>
              </w:rPr>
              <w:t xml:space="preserve">kg; etc.). </w:t>
            </w:r>
          </w:p>
        </w:tc>
      </w:tr>
      <w:tr w:rsidR="00032E8A" w:rsidRPr="000B2FEE" w14:paraId="071F8AF8" w14:textId="77777777" w:rsidTr="00FF024F">
        <w:tc>
          <w:tcPr>
            <w:tcW w:w="1500" w:type="dxa"/>
            <w:vAlign w:val="center"/>
          </w:tcPr>
          <w:p w14:paraId="748F91FA" w14:textId="77777777" w:rsidR="00032E8A" w:rsidRPr="000B2FEE" w:rsidRDefault="00032E8A" w:rsidP="003A79DF">
            <w:pPr>
              <w:pStyle w:val="TableText0"/>
              <w:keepNext w:val="0"/>
              <w:rPr>
                <w:sz w:val="18"/>
                <w:szCs w:val="18"/>
              </w:rPr>
            </w:pPr>
            <w:r w:rsidRPr="000B2FEE">
              <w:rPr>
                <w:sz w:val="18"/>
                <w:szCs w:val="18"/>
              </w:rPr>
              <w:lastRenderedPageBreak/>
              <w:t>Mean scripts of vincristine per patient treated with R-CHOP</w:t>
            </w:r>
          </w:p>
        </w:tc>
        <w:tc>
          <w:tcPr>
            <w:tcW w:w="1189" w:type="dxa"/>
            <w:vAlign w:val="center"/>
          </w:tcPr>
          <w:p w14:paraId="42E01AF5" w14:textId="73E4F31A" w:rsidR="00032E8A" w:rsidRPr="000B2FEE" w:rsidRDefault="00032E8A" w:rsidP="003A79DF">
            <w:pPr>
              <w:pStyle w:val="TableText0"/>
              <w:keepNext w:val="0"/>
              <w:rPr>
                <w:sz w:val="18"/>
                <w:szCs w:val="18"/>
              </w:rPr>
            </w:pPr>
            <w:r w:rsidRPr="000B2FEE">
              <w:rPr>
                <w:sz w:val="18"/>
                <w:szCs w:val="18"/>
              </w:rPr>
              <w:t>5.7 scripts (2</w:t>
            </w:r>
            <w:r w:rsidR="008131EB">
              <w:rPr>
                <w:sz w:val="18"/>
                <w:szCs w:val="18"/>
              </w:rPr>
              <w:t> </w:t>
            </w:r>
            <w:r w:rsidRPr="000B2FEE">
              <w:rPr>
                <w:sz w:val="18"/>
                <w:szCs w:val="18"/>
              </w:rPr>
              <w:t>mg per script)</w:t>
            </w:r>
          </w:p>
        </w:tc>
        <w:tc>
          <w:tcPr>
            <w:tcW w:w="2228" w:type="dxa"/>
            <w:vAlign w:val="center"/>
          </w:tcPr>
          <w:p w14:paraId="2A76FBA7" w14:textId="4C8A41B3" w:rsidR="00032E8A" w:rsidRPr="000B2FEE" w:rsidRDefault="00032E8A" w:rsidP="003A79DF">
            <w:pPr>
              <w:pStyle w:val="TableText0"/>
              <w:keepNext w:val="0"/>
              <w:rPr>
                <w:sz w:val="18"/>
                <w:szCs w:val="18"/>
              </w:rPr>
            </w:pPr>
            <w:r w:rsidRPr="000B2FEE">
              <w:rPr>
                <w:sz w:val="18"/>
                <w:szCs w:val="18"/>
              </w:rPr>
              <w:t xml:space="preserve">Based on the recommended dose in the PI, </w:t>
            </w:r>
            <w:r w:rsidR="00C43DC8" w:rsidRPr="000B2FEE">
              <w:rPr>
                <w:sz w:val="18"/>
                <w:szCs w:val="18"/>
              </w:rPr>
              <w:t xml:space="preserve">and </w:t>
            </w:r>
            <w:r w:rsidRPr="000B2FEE">
              <w:rPr>
                <w:sz w:val="18"/>
                <w:szCs w:val="18"/>
              </w:rPr>
              <w:t xml:space="preserve">the body surface area </w:t>
            </w:r>
            <w:r w:rsidR="00C43DC8" w:rsidRPr="000B2FEE">
              <w:rPr>
                <w:sz w:val="18"/>
                <w:szCs w:val="18"/>
              </w:rPr>
              <w:t xml:space="preserve">/ cycles </w:t>
            </w:r>
            <w:r w:rsidRPr="000B2FEE">
              <w:rPr>
                <w:sz w:val="18"/>
                <w:szCs w:val="18"/>
              </w:rPr>
              <w:t>administered in POLARIX.</w:t>
            </w:r>
          </w:p>
        </w:tc>
        <w:tc>
          <w:tcPr>
            <w:tcW w:w="4150" w:type="dxa"/>
            <w:vAlign w:val="center"/>
          </w:tcPr>
          <w:p w14:paraId="31A0F68F" w14:textId="58CDA958" w:rsidR="00032E8A" w:rsidRPr="000B2FEE" w:rsidRDefault="00050593" w:rsidP="003A79DF">
            <w:pPr>
              <w:pStyle w:val="TableText0"/>
              <w:keepNext w:val="0"/>
              <w:rPr>
                <w:sz w:val="18"/>
                <w:szCs w:val="18"/>
                <w:highlight w:val="yellow"/>
              </w:rPr>
            </w:pPr>
            <w:r>
              <w:rPr>
                <w:sz w:val="18"/>
                <w:szCs w:val="18"/>
              </w:rPr>
              <w:t>-</w:t>
            </w:r>
          </w:p>
        </w:tc>
      </w:tr>
      <w:tr w:rsidR="00032E8A" w:rsidRPr="000B2FEE" w14:paraId="3851C59E" w14:textId="77777777" w:rsidTr="00FF024F">
        <w:tc>
          <w:tcPr>
            <w:tcW w:w="9067" w:type="dxa"/>
            <w:gridSpan w:val="4"/>
            <w:vAlign w:val="center"/>
          </w:tcPr>
          <w:p w14:paraId="6022F65A" w14:textId="77777777" w:rsidR="00032E8A" w:rsidRPr="000B2FEE" w:rsidRDefault="00032E8A" w:rsidP="003A79DF">
            <w:pPr>
              <w:pStyle w:val="TableText0"/>
              <w:keepNext w:val="0"/>
              <w:rPr>
                <w:b/>
                <w:sz w:val="18"/>
                <w:szCs w:val="18"/>
              </w:rPr>
            </w:pPr>
            <w:r w:rsidRPr="000B2FEE">
              <w:rPr>
                <w:b/>
                <w:sz w:val="18"/>
                <w:szCs w:val="18"/>
              </w:rPr>
              <w:t>Costs</w:t>
            </w:r>
          </w:p>
        </w:tc>
      </w:tr>
      <w:tr w:rsidR="00032E8A" w:rsidRPr="000B2FEE" w14:paraId="0E6FBA1F" w14:textId="77777777" w:rsidTr="00FF024F">
        <w:tc>
          <w:tcPr>
            <w:tcW w:w="1500" w:type="dxa"/>
            <w:vAlign w:val="center"/>
          </w:tcPr>
          <w:p w14:paraId="73556161" w14:textId="77777777" w:rsidR="00032E8A" w:rsidRPr="000B2FEE" w:rsidRDefault="00032E8A" w:rsidP="003A79DF">
            <w:pPr>
              <w:pStyle w:val="TableText0"/>
              <w:keepNext w:val="0"/>
              <w:rPr>
                <w:sz w:val="18"/>
                <w:szCs w:val="18"/>
              </w:rPr>
            </w:pPr>
            <w:r w:rsidRPr="000B2FEE">
              <w:rPr>
                <w:sz w:val="18"/>
                <w:szCs w:val="18"/>
              </w:rPr>
              <w:t>Polatuzumab vedotin</w:t>
            </w:r>
          </w:p>
        </w:tc>
        <w:tc>
          <w:tcPr>
            <w:tcW w:w="1189" w:type="dxa"/>
            <w:vAlign w:val="center"/>
          </w:tcPr>
          <w:p w14:paraId="2D85B595" w14:textId="0EA3992C" w:rsidR="00032E8A" w:rsidRPr="000B2FEE" w:rsidRDefault="00032E8A" w:rsidP="003A79DF">
            <w:pPr>
              <w:pStyle w:val="TableText0"/>
              <w:keepNext w:val="0"/>
              <w:rPr>
                <w:sz w:val="18"/>
                <w:szCs w:val="18"/>
              </w:rPr>
            </w:pPr>
            <w:r w:rsidRPr="000B2FEE">
              <w:rPr>
                <w:sz w:val="18"/>
                <w:szCs w:val="18"/>
              </w:rPr>
              <w:t>Weighted dispense price per 140</w:t>
            </w:r>
            <w:r w:rsidR="008131EB">
              <w:rPr>
                <w:sz w:val="18"/>
                <w:szCs w:val="18"/>
              </w:rPr>
              <w:t> </w:t>
            </w:r>
            <w:r w:rsidRPr="000B2FEE">
              <w:rPr>
                <w:sz w:val="18"/>
                <w:szCs w:val="18"/>
              </w:rPr>
              <w:t>mg dose: $</w:t>
            </w:r>
            <w:r w:rsidR="00206B77" w:rsidRPr="00381965">
              <w:rPr>
                <w:color w:val="000000"/>
                <w:spacing w:val="172"/>
                <w:sz w:val="18"/>
                <w:szCs w:val="18"/>
                <w:shd w:val="solid" w:color="000000" w:fill="000000"/>
                <w:fitText w:val="249" w:id="-1301008637"/>
                <w14:textFill>
                  <w14:solidFill>
                    <w14:srgbClr w14:val="000000">
                      <w14:alpha w14:val="100000"/>
                    </w14:srgbClr>
                  </w14:solidFill>
                </w14:textFill>
              </w:rPr>
              <w:t>|</w:t>
            </w:r>
            <w:r w:rsidR="00206B77" w:rsidRPr="00381965">
              <w:rPr>
                <w:color w:val="000000"/>
                <w:spacing w:val="1"/>
                <w:sz w:val="18"/>
                <w:szCs w:val="18"/>
                <w:shd w:val="solid" w:color="000000" w:fill="000000"/>
                <w:fitText w:val="249" w:id="-1301008637"/>
                <w14:textFill>
                  <w14:solidFill>
                    <w14:srgbClr w14:val="000000">
                      <w14:alpha w14:val="100000"/>
                    </w14:srgbClr>
                  </w14:solidFill>
                </w14:textFill>
              </w:rPr>
              <w:t>|</w:t>
            </w:r>
            <w:r w:rsidRPr="000B2FEE">
              <w:rPr>
                <w:sz w:val="18"/>
                <w:szCs w:val="18"/>
              </w:rPr>
              <w:t xml:space="preserve"> (effective)</w:t>
            </w:r>
          </w:p>
        </w:tc>
        <w:tc>
          <w:tcPr>
            <w:tcW w:w="2228" w:type="dxa"/>
            <w:vAlign w:val="center"/>
          </w:tcPr>
          <w:p w14:paraId="7D93EBF8" w14:textId="59E233C4" w:rsidR="00032E8A" w:rsidRPr="000B2FEE" w:rsidRDefault="00032E8A" w:rsidP="003A79DF">
            <w:pPr>
              <w:pStyle w:val="TableText0"/>
              <w:keepNext w:val="0"/>
              <w:rPr>
                <w:sz w:val="18"/>
                <w:szCs w:val="18"/>
              </w:rPr>
            </w:pPr>
            <w:r w:rsidRPr="000B2FEE">
              <w:rPr>
                <w:sz w:val="18"/>
                <w:szCs w:val="18"/>
              </w:rPr>
              <w:t>Based on the proposed effective AEMP, proportional use in private and public hospitals and the EFC mark ups in June 202</w:t>
            </w:r>
            <w:r w:rsidR="00F05BDC" w:rsidRPr="000B2FEE">
              <w:rPr>
                <w:sz w:val="18"/>
                <w:szCs w:val="18"/>
              </w:rPr>
              <w:t>2</w:t>
            </w:r>
            <w:r w:rsidRPr="000B2FEE">
              <w:rPr>
                <w:sz w:val="18"/>
                <w:szCs w:val="18"/>
              </w:rPr>
              <w:t>.</w:t>
            </w:r>
          </w:p>
        </w:tc>
        <w:tc>
          <w:tcPr>
            <w:tcW w:w="4150" w:type="dxa"/>
            <w:vAlign w:val="center"/>
          </w:tcPr>
          <w:p w14:paraId="2ED076F1" w14:textId="2695BE24" w:rsidR="00032E8A" w:rsidRPr="000B2FEE" w:rsidRDefault="00032E8A" w:rsidP="003A79DF">
            <w:pPr>
              <w:pStyle w:val="TableText0"/>
              <w:keepNext w:val="0"/>
              <w:rPr>
                <w:sz w:val="18"/>
                <w:szCs w:val="18"/>
              </w:rPr>
            </w:pPr>
            <w:r w:rsidRPr="000B2FEE">
              <w:rPr>
                <w:sz w:val="18"/>
                <w:szCs w:val="18"/>
              </w:rPr>
              <w:t>Consistent with the proposed effective AEMP.</w:t>
            </w:r>
          </w:p>
        </w:tc>
      </w:tr>
      <w:tr w:rsidR="00032E8A" w:rsidRPr="000B2FEE" w14:paraId="46713A87" w14:textId="77777777" w:rsidTr="00FF024F">
        <w:tc>
          <w:tcPr>
            <w:tcW w:w="1500" w:type="dxa"/>
            <w:vAlign w:val="center"/>
          </w:tcPr>
          <w:p w14:paraId="6F43DE12" w14:textId="77777777" w:rsidR="00032E8A" w:rsidRPr="000B2FEE" w:rsidRDefault="00032E8A" w:rsidP="003A79DF">
            <w:pPr>
              <w:pStyle w:val="TableText0"/>
              <w:keepNext w:val="0"/>
              <w:rPr>
                <w:sz w:val="18"/>
                <w:szCs w:val="18"/>
              </w:rPr>
            </w:pPr>
            <w:r w:rsidRPr="000B2FEE">
              <w:rPr>
                <w:sz w:val="18"/>
                <w:szCs w:val="18"/>
              </w:rPr>
              <w:t>Vincristine</w:t>
            </w:r>
          </w:p>
        </w:tc>
        <w:tc>
          <w:tcPr>
            <w:tcW w:w="1189" w:type="dxa"/>
            <w:vAlign w:val="center"/>
          </w:tcPr>
          <w:p w14:paraId="19AB5C31" w14:textId="3537F8F6" w:rsidR="00032E8A" w:rsidRPr="000B2FEE" w:rsidRDefault="00032E8A" w:rsidP="003A79DF">
            <w:pPr>
              <w:pStyle w:val="TableText0"/>
              <w:keepNext w:val="0"/>
              <w:rPr>
                <w:sz w:val="18"/>
                <w:szCs w:val="18"/>
                <w:vertAlign w:val="superscript"/>
              </w:rPr>
            </w:pPr>
            <w:r w:rsidRPr="000B2FEE">
              <w:rPr>
                <w:sz w:val="18"/>
                <w:szCs w:val="18"/>
              </w:rPr>
              <w:t>Weighted dispense price per 2</w:t>
            </w:r>
            <w:r w:rsidR="008131EB">
              <w:rPr>
                <w:sz w:val="18"/>
                <w:szCs w:val="18"/>
              </w:rPr>
              <w:t> </w:t>
            </w:r>
            <w:r w:rsidRPr="000B2FEE">
              <w:rPr>
                <w:sz w:val="18"/>
                <w:szCs w:val="18"/>
              </w:rPr>
              <w:t>mg dose: $202.00</w:t>
            </w:r>
          </w:p>
        </w:tc>
        <w:tc>
          <w:tcPr>
            <w:tcW w:w="2228" w:type="dxa"/>
            <w:vAlign w:val="center"/>
          </w:tcPr>
          <w:p w14:paraId="5DFC7CD2" w14:textId="11BA5529" w:rsidR="00032E8A" w:rsidRPr="000B2FEE" w:rsidRDefault="00032E8A" w:rsidP="003A79DF">
            <w:pPr>
              <w:pStyle w:val="TableText0"/>
              <w:keepNext w:val="0"/>
              <w:rPr>
                <w:sz w:val="18"/>
                <w:szCs w:val="18"/>
              </w:rPr>
            </w:pPr>
            <w:r w:rsidRPr="000B2FEE">
              <w:rPr>
                <w:sz w:val="18"/>
                <w:szCs w:val="18"/>
              </w:rPr>
              <w:t>Based on the published AEMP for vincristine, assumed proportional use in private and public hospitals and the EFC mark ups in June 202</w:t>
            </w:r>
            <w:r w:rsidR="00F05BDC" w:rsidRPr="000B2FEE">
              <w:rPr>
                <w:sz w:val="18"/>
                <w:szCs w:val="18"/>
              </w:rPr>
              <w:t>2</w:t>
            </w:r>
            <w:r w:rsidRPr="000B2FEE">
              <w:rPr>
                <w:sz w:val="18"/>
                <w:szCs w:val="18"/>
              </w:rPr>
              <w:t>.</w:t>
            </w:r>
          </w:p>
        </w:tc>
        <w:tc>
          <w:tcPr>
            <w:tcW w:w="4150" w:type="dxa"/>
            <w:vAlign w:val="center"/>
          </w:tcPr>
          <w:p w14:paraId="3A4D66E5" w14:textId="5C58AA42" w:rsidR="00032E8A" w:rsidRPr="000B2FEE" w:rsidRDefault="00032E8A" w:rsidP="003A79DF">
            <w:pPr>
              <w:pStyle w:val="TableText0"/>
              <w:keepNext w:val="0"/>
              <w:rPr>
                <w:sz w:val="18"/>
                <w:szCs w:val="18"/>
              </w:rPr>
            </w:pPr>
            <w:r w:rsidRPr="000B2FEE">
              <w:rPr>
                <w:sz w:val="18"/>
                <w:szCs w:val="18"/>
              </w:rPr>
              <w:t>The submission incorrectly assumed the AEMP for vincristine corresponded to 1x1</w:t>
            </w:r>
            <w:r w:rsidR="008131EB">
              <w:rPr>
                <w:sz w:val="18"/>
                <w:szCs w:val="18"/>
              </w:rPr>
              <w:t> </w:t>
            </w:r>
            <w:r w:rsidRPr="000B2FEE">
              <w:rPr>
                <w:sz w:val="18"/>
                <w:szCs w:val="18"/>
              </w:rPr>
              <w:t>mg vials rather than 5x1</w:t>
            </w:r>
            <w:r w:rsidR="008131EB">
              <w:rPr>
                <w:sz w:val="18"/>
                <w:szCs w:val="18"/>
              </w:rPr>
              <w:t> </w:t>
            </w:r>
            <w:r w:rsidRPr="000B2FEE">
              <w:rPr>
                <w:sz w:val="18"/>
                <w:szCs w:val="18"/>
              </w:rPr>
              <w:t>mg vials. Based on the correct AEMP per vial (i.e</w:t>
            </w:r>
            <w:r w:rsidRPr="00880394">
              <w:rPr>
                <w:sz w:val="18"/>
                <w:szCs w:val="18"/>
              </w:rPr>
              <w:t>. $44.61 / 5</w:t>
            </w:r>
            <w:r w:rsidRPr="000B2FEE">
              <w:rPr>
                <w:sz w:val="18"/>
                <w:szCs w:val="18"/>
              </w:rPr>
              <w:t xml:space="preserve"> = approx</w:t>
            </w:r>
            <w:r w:rsidRPr="00880394">
              <w:rPr>
                <w:sz w:val="18"/>
                <w:szCs w:val="18"/>
              </w:rPr>
              <w:t>. $8.92),</w:t>
            </w:r>
            <w:r w:rsidRPr="000B2FEE">
              <w:rPr>
                <w:sz w:val="18"/>
                <w:szCs w:val="18"/>
              </w:rPr>
              <w:t xml:space="preserve"> the weighted dispense price for 2</w:t>
            </w:r>
            <w:r w:rsidR="008131EB">
              <w:rPr>
                <w:sz w:val="18"/>
                <w:szCs w:val="18"/>
              </w:rPr>
              <w:t> </w:t>
            </w:r>
            <w:r w:rsidRPr="000B2FEE">
              <w:rPr>
                <w:sz w:val="18"/>
                <w:szCs w:val="18"/>
              </w:rPr>
              <w:t xml:space="preserve">mg vincristine equals </w:t>
            </w:r>
            <w:r w:rsidRPr="00C55676">
              <w:rPr>
                <w:sz w:val="18"/>
                <w:szCs w:val="18"/>
              </w:rPr>
              <w:t>$</w:t>
            </w:r>
            <w:r w:rsidRPr="00880394">
              <w:rPr>
                <w:sz w:val="18"/>
                <w:szCs w:val="18"/>
              </w:rPr>
              <w:t>130.00. Overall, this error had minimal impacts on the net financial estimates</w:t>
            </w:r>
            <w:r w:rsidRPr="000B2FEE">
              <w:rPr>
                <w:sz w:val="18"/>
                <w:szCs w:val="18"/>
              </w:rPr>
              <w:t xml:space="preserve"> and results were subsequently not updated during the evaluation. </w:t>
            </w:r>
          </w:p>
        </w:tc>
      </w:tr>
      <w:tr w:rsidR="00032E8A" w:rsidRPr="000B2FEE" w14:paraId="0562C0D3" w14:textId="77777777" w:rsidTr="00FF024F">
        <w:tc>
          <w:tcPr>
            <w:tcW w:w="1500" w:type="dxa"/>
            <w:vAlign w:val="center"/>
          </w:tcPr>
          <w:p w14:paraId="38F2D867" w14:textId="77777777" w:rsidR="00032E8A" w:rsidRPr="000B2FEE" w:rsidRDefault="00032E8A" w:rsidP="003A79DF">
            <w:pPr>
              <w:pStyle w:val="TableText0"/>
              <w:keepNext w:val="0"/>
              <w:rPr>
                <w:sz w:val="18"/>
                <w:szCs w:val="18"/>
              </w:rPr>
            </w:pPr>
            <w:r w:rsidRPr="000B2FEE">
              <w:rPr>
                <w:sz w:val="18"/>
                <w:szCs w:val="18"/>
              </w:rPr>
              <w:t>Reduction in patients requiring an ASCT due to Pola + R-CHP</w:t>
            </w:r>
          </w:p>
        </w:tc>
        <w:tc>
          <w:tcPr>
            <w:tcW w:w="1189" w:type="dxa"/>
            <w:vAlign w:val="center"/>
          </w:tcPr>
          <w:p w14:paraId="5764AF20" w14:textId="77777777" w:rsidR="00032E8A" w:rsidRPr="000B2FEE" w:rsidRDefault="00032E8A" w:rsidP="003A79DF">
            <w:pPr>
              <w:pStyle w:val="TableText0"/>
              <w:keepNext w:val="0"/>
              <w:rPr>
                <w:sz w:val="18"/>
                <w:szCs w:val="18"/>
              </w:rPr>
            </w:pPr>
            <w:r w:rsidRPr="000B2FEE">
              <w:rPr>
                <w:sz w:val="18"/>
                <w:szCs w:val="18"/>
              </w:rPr>
              <w:t>4%</w:t>
            </w:r>
          </w:p>
        </w:tc>
        <w:tc>
          <w:tcPr>
            <w:tcW w:w="2228" w:type="dxa"/>
            <w:vAlign w:val="center"/>
          </w:tcPr>
          <w:p w14:paraId="4C9F31F2" w14:textId="77777777" w:rsidR="00032E8A" w:rsidRPr="000B2FEE" w:rsidRDefault="00032E8A" w:rsidP="003A79DF">
            <w:pPr>
              <w:pStyle w:val="TableText0"/>
              <w:keepNext w:val="0"/>
              <w:rPr>
                <w:sz w:val="18"/>
                <w:szCs w:val="18"/>
              </w:rPr>
            </w:pPr>
            <w:r w:rsidRPr="000B2FEE">
              <w:rPr>
                <w:sz w:val="18"/>
                <w:szCs w:val="18"/>
              </w:rPr>
              <w:t xml:space="preserve">Assumption. </w:t>
            </w:r>
          </w:p>
        </w:tc>
        <w:tc>
          <w:tcPr>
            <w:tcW w:w="4150" w:type="dxa"/>
            <w:vAlign w:val="center"/>
          </w:tcPr>
          <w:p w14:paraId="124BEA28" w14:textId="53E0E53D" w:rsidR="00032E8A" w:rsidRPr="000B2FEE" w:rsidRDefault="00032E8A" w:rsidP="003A79DF">
            <w:pPr>
              <w:pStyle w:val="TableText0"/>
              <w:keepNext w:val="0"/>
              <w:rPr>
                <w:sz w:val="18"/>
                <w:szCs w:val="18"/>
              </w:rPr>
            </w:pPr>
            <w:r w:rsidRPr="000B2FEE">
              <w:rPr>
                <w:sz w:val="18"/>
                <w:szCs w:val="18"/>
              </w:rPr>
              <w:t>Uncertain. In the ITT population of POLARIX, 3.2% fewer patients in the Pola+R-CHP arm had received a stem cell transplant compared to R-CHOP at the end of the trial follow-up. It was unknown whether the trial follow-up period would capture all subsequent therapy or whether the use of treatments in the global trial would reflect use of treatments in Australia.</w:t>
            </w:r>
          </w:p>
        </w:tc>
      </w:tr>
      <w:tr w:rsidR="00032E8A" w:rsidRPr="000B2FEE" w14:paraId="0D9BA3BB" w14:textId="77777777" w:rsidTr="00FF024F">
        <w:tc>
          <w:tcPr>
            <w:tcW w:w="1500" w:type="dxa"/>
            <w:vAlign w:val="center"/>
          </w:tcPr>
          <w:p w14:paraId="388C0C49" w14:textId="77777777" w:rsidR="00032E8A" w:rsidRPr="000B2FEE" w:rsidRDefault="00032E8A" w:rsidP="003A79DF">
            <w:pPr>
              <w:pStyle w:val="TableText0"/>
              <w:keepNext w:val="0"/>
              <w:rPr>
                <w:sz w:val="18"/>
                <w:szCs w:val="18"/>
              </w:rPr>
            </w:pPr>
            <w:r w:rsidRPr="000B2FEE">
              <w:rPr>
                <w:sz w:val="18"/>
                <w:szCs w:val="18"/>
              </w:rPr>
              <w:t>MBS costs for ASCT</w:t>
            </w:r>
          </w:p>
        </w:tc>
        <w:tc>
          <w:tcPr>
            <w:tcW w:w="1189" w:type="dxa"/>
            <w:vAlign w:val="center"/>
          </w:tcPr>
          <w:p w14:paraId="6FC017BF" w14:textId="77777777" w:rsidR="00032E8A" w:rsidRPr="000B2FEE" w:rsidRDefault="00032E8A" w:rsidP="003A79DF">
            <w:pPr>
              <w:pStyle w:val="TableText0"/>
              <w:keepNext w:val="0"/>
              <w:rPr>
                <w:sz w:val="18"/>
                <w:szCs w:val="18"/>
              </w:rPr>
            </w:pPr>
            <w:r w:rsidRPr="000B2FEE">
              <w:rPr>
                <w:sz w:val="18"/>
                <w:szCs w:val="18"/>
              </w:rPr>
              <w:t>$910.25</w:t>
            </w:r>
          </w:p>
        </w:tc>
        <w:tc>
          <w:tcPr>
            <w:tcW w:w="2228" w:type="dxa"/>
            <w:vAlign w:val="center"/>
          </w:tcPr>
          <w:p w14:paraId="375BE250" w14:textId="77777777" w:rsidR="00032E8A" w:rsidRPr="000B2FEE" w:rsidRDefault="00032E8A" w:rsidP="003A79DF">
            <w:pPr>
              <w:pStyle w:val="TableText0"/>
              <w:keepNext w:val="0"/>
              <w:rPr>
                <w:color w:val="000000"/>
                <w:sz w:val="18"/>
                <w:szCs w:val="18"/>
              </w:rPr>
            </w:pPr>
            <w:r w:rsidRPr="000B2FEE">
              <w:rPr>
                <w:sz w:val="18"/>
                <w:szCs w:val="18"/>
              </w:rPr>
              <w:t xml:space="preserve">MBS items: 71146 and </w:t>
            </w:r>
            <w:r w:rsidRPr="000B2FEE">
              <w:rPr>
                <w:rFonts w:cs="Arial"/>
                <w:color w:val="000000"/>
                <w:sz w:val="18"/>
                <w:szCs w:val="18"/>
              </w:rPr>
              <w:t>13760.</w:t>
            </w:r>
          </w:p>
        </w:tc>
        <w:tc>
          <w:tcPr>
            <w:tcW w:w="4150" w:type="dxa"/>
            <w:vAlign w:val="center"/>
          </w:tcPr>
          <w:p w14:paraId="5B05EE81" w14:textId="64E68AE7" w:rsidR="00032E8A" w:rsidRPr="000B2FEE" w:rsidRDefault="00050593" w:rsidP="003A79DF">
            <w:pPr>
              <w:pStyle w:val="TableText0"/>
              <w:keepNext w:val="0"/>
              <w:rPr>
                <w:sz w:val="18"/>
                <w:szCs w:val="18"/>
              </w:rPr>
            </w:pPr>
            <w:r>
              <w:rPr>
                <w:sz w:val="18"/>
                <w:szCs w:val="18"/>
              </w:rPr>
              <w:t>-</w:t>
            </w:r>
          </w:p>
        </w:tc>
      </w:tr>
      <w:tr w:rsidR="00032E8A" w:rsidRPr="000B2FEE" w14:paraId="3C8E39DD" w14:textId="77777777" w:rsidTr="00FF024F">
        <w:tc>
          <w:tcPr>
            <w:tcW w:w="1500" w:type="dxa"/>
            <w:vAlign w:val="center"/>
          </w:tcPr>
          <w:p w14:paraId="26E500BF" w14:textId="77777777" w:rsidR="00032E8A" w:rsidRPr="000B2FEE" w:rsidRDefault="00032E8A" w:rsidP="003A79DF">
            <w:pPr>
              <w:pStyle w:val="TableText0"/>
              <w:keepNext w:val="0"/>
              <w:rPr>
                <w:sz w:val="18"/>
                <w:szCs w:val="18"/>
              </w:rPr>
            </w:pPr>
            <w:r w:rsidRPr="000B2FEE">
              <w:rPr>
                <w:sz w:val="18"/>
                <w:szCs w:val="18"/>
              </w:rPr>
              <w:t xml:space="preserve">MBS benefit </w:t>
            </w:r>
          </w:p>
        </w:tc>
        <w:tc>
          <w:tcPr>
            <w:tcW w:w="1189" w:type="dxa"/>
            <w:vAlign w:val="center"/>
          </w:tcPr>
          <w:p w14:paraId="3A5A61A0" w14:textId="77777777" w:rsidR="00032E8A" w:rsidRPr="000B2FEE" w:rsidRDefault="00032E8A" w:rsidP="003A79DF">
            <w:pPr>
              <w:pStyle w:val="TableText0"/>
              <w:keepNext w:val="0"/>
              <w:rPr>
                <w:sz w:val="18"/>
                <w:szCs w:val="18"/>
              </w:rPr>
            </w:pPr>
            <w:r w:rsidRPr="000B2FEE">
              <w:rPr>
                <w:sz w:val="18"/>
                <w:szCs w:val="18"/>
              </w:rPr>
              <w:t>80%</w:t>
            </w:r>
          </w:p>
        </w:tc>
        <w:tc>
          <w:tcPr>
            <w:tcW w:w="2228" w:type="dxa"/>
            <w:vAlign w:val="center"/>
          </w:tcPr>
          <w:p w14:paraId="3860007B" w14:textId="77777777" w:rsidR="00032E8A" w:rsidRPr="000B2FEE" w:rsidRDefault="00032E8A" w:rsidP="003A79DF">
            <w:pPr>
              <w:pStyle w:val="TableText0"/>
              <w:keepNext w:val="0"/>
              <w:rPr>
                <w:sz w:val="18"/>
                <w:szCs w:val="18"/>
              </w:rPr>
            </w:pPr>
            <w:r w:rsidRPr="000B2FEE">
              <w:rPr>
                <w:sz w:val="18"/>
                <w:szCs w:val="18"/>
              </w:rPr>
              <w:t>Assumption</w:t>
            </w:r>
          </w:p>
        </w:tc>
        <w:tc>
          <w:tcPr>
            <w:tcW w:w="4150" w:type="dxa"/>
            <w:vAlign w:val="center"/>
          </w:tcPr>
          <w:p w14:paraId="55FF41DA" w14:textId="5B9D4996" w:rsidR="00032E8A" w:rsidRPr="000B2FEE" w:rsidRDefault="002C092C" w:rsidP="003A79DF">
            <w:pPr>
              <w:pStyle w:val="TableText0"/>
              <w:keepNext w:val="0"/>
              <w:rPr>
                <w:sz w:val="18"/>
                <w:szCs w:val="18"/>
              </w:rPr>
            </w:pPr>
            <w:r>
              <w:rPr>
                <w:sz w:val="18"/>
                <w:szCs w:val="18"/>
              </w:rPr>
              <w:t>-</w:t>
            </w:r>
          </w:p>
        </w:tc>
      </w:tr>
    </w:tbl>
    <w:p w14:paraId="78D49587" w14:textId="77777777" w:rsidR="00032E8A" w:rsidRPr="000B2FEE" w:rsidRDefault="00032E8A" w:rsidP="00032E8A">
      <w:pPr>
        <w:pStyle w:val="TableFigureFooter"/>
        <w:rPr>
          <w:szCs w:val="18"/>
        </w:rPr>
      </w:pPr>
      <w:r w:rsidRPr="000B2FEE">
        <w:rPr>
          <w:szCs w:val="18"/>
        </w:rPr>
        <w:t xml:space="preserve">Source: Tables 4.2, p120 of the submission and the financial model </w:t>
      </w:r>
    </w:p>
    <w:p w14:paraId="0E794492" w14:textId="4AA4C97E" w:rsidR="00032E8A" w:rsidRPr="000B2FEE" w:rsidRDefault="00032E8A" w:rsidP="00032E8A">
      <w:pPr>
        <w:pStyle w:val="TableFigureFooter"/>
        <w:rPr>
          <w:szCs w:val="18"/>
        </w:rPr>
      </w:pPr>
      <w:r w:rsidRPr="000B2FEE">
        <w:rPr>
          <w:szCs w:val="18"/>
        </w:rPr>
        <w:t xml:space="preserve">ASCT = autologous stem cell transplant; BSA = body surface area; CART = Chimeric antigen receptor T cells; </w:t>
      </w:r>
      <w:r w:rsidR="00BB54B8">
        <w:rPr>
          <w:szCs w:val="18"/>
        </w:rPr>
        <w:t xml:space="preserve">DA-EPCOH-R = dose-adjusted rituximab, etoposide, prednisolone, vincristine, cyclophosphamide and doxorubicin; </w:t>
      </w:r>
      <w:r w:rsidRPr="000B2FEE">
        <w:rPr>
          <w:szCs w:val="18"/>
        </w:rPr>
        <w:t xml:space="preserve">DLBC = Diffuse large B cell lymphoma; IPI = international prognostic indicator; </w:t>
      </w:r>
      <w:r w:rsidR="00BB54B8">
        <w:rPr>
          <w:szCs w:val="18"/>
        </w:rPr>
        <w:t xml:space="preserve">LaRDR = Lymphoma and related diseases registry; </w:t>
      </w:r>
      <w:r w:rsidRPr="000B2FEE">
        <w:rPr>
          <w:szCs w:val="18"/>
        </w:rPr>
        <w:t xml:space="preserve">NHL = non-Hodgkin’s lymphoma; </w:t>
      </w:r>
      <w:r w:rsidR="00BB54B8">
        <w:rPr>
          <w:szCs w:val="18"/>
        </w:rPr>
        <w:t xml:space="preserve">R-CHEOP-14 = biweekly rituximab, cyclophosphamide, hydroxydaunorubicin hydrochloride (doxorubicin hydrochloride), etoposide, vincristine (Oncovin) and prednisone; </w:t>
      </w:r>
      <w:r w:rsidRPr="000B2FEE">
        <w:rPr>
          <w:szCs w:val="18"/>
        </w:rPr>
        <w:t>R-CHOP = rituximab, cyclophosphamide, hydroxydaunorubicin hydrochloride (doxorubicin hydrochloride), vincristine (Oncovin) and prednisone; WAC = weighted average cost</w:t>
      </w:r>
    </w:p>
    <w:p w14:paraId="5D485780" w14:textId="77777777" w:rsidR="00032E8A" w:rsidRPr="000B2FEE" w:rsidRDefault="00032E8A" w:rsidP="00032E8A">
      <w:pPr>
        <w:pStyle w:val="TableFigureFooter"/>
        <w:ind w:left="165" w:hanging="165"/>
        <w:rPr>
          <w:szCs w:val="18"/>
        </w:rPr>
      </w:pPr>
      <w:r w:rsidRPr="000B2FEE">
        <w:rPr>
          <w:szCs w:val="18"/>
          <w:vertAlign w:val="superscript"/>
        </w:rPr>
        <w:t>a</w:t>
      </w:r>
      <w:r w:rsidRPr="000B2FEE">
        <w:rPr>
          <w:szCs w:val="18"/>
          <w:vertAlign w:val="superscript"/>
        </w:rPr>
        <w:tab/>
      </w:r>
      <w:r w:rsidRPr="000B2FEE">
        <w:rPr>
          <w:szCs w:val="18"/>
        </w:rPr>
        <w:t>Van Leeuwen, et al. (2014). Lymphoid Neoplasm Incidence by Who Subtype in Australia 1982–2006. International journal of cancer 135(9): 2146-2156</w:t>
      </w:r>
    </w:p>
    <w:p w14:paraId="3B51A7C3" w14:textId="77777777" w:rsidR="00032E8A" w:rsidRPr="000B2FEE" w:rsidRDefault="00032E8A" w:rsidP="00032E8A">
      <w:pPr>
        <w:pStyle w:val="TableFigureFooter"/>
        <w:ind w:left="165" w:hanging="165"/>
        <w:rPr>
          <w:szCs w:val="18"/>
        </w:rPr>
      </w:pPr>
      <w:r w:rsidRPr="000B2FEE">
        <w:rPr>
          <w:szCs w:val="18"/>
          <w:vertAlign w:val="superscript"/>
        </w:rPr>
        <w:t>b</w:t>
      </w:r>
      <w:r w:rsidRPr="000B2FEE">
        <w:rPr>
          <w:szCs w:val="18"/>
          <w:vertAlign w:val="superscript"/>
        </w:rPr>
        <w:tab/>
      </w:r>
      <w:r w:rsidRPr="000B2FEE">
        <w:rPr>
          <w:szCs w:val="18"/>
        </w:rPr>
        <w:t>Ye et al. (2017). Long-Term Time Trends in Incidence, Survival and Mortality of Lymphomas by Subtype among Adults in Manitoba, Canada: A Population-Based Study Using Cancer Registry Data. BMJ Open 7(7)</w:t>
      </w:r>
    </w:p>
    <w:p w14:paraId="469DAAA6" w14:textId="77777777" w:rsidR="00032E8A" w:rsidRPr="005B024E" w:rsidRDefault="00032E8A" w:rsidP="00032E8A">
      <w:pPr>
        <w:pStyle w:val="TableFigureFooter"/>
        <w:ind w:left="165" w:hanging="165"/>
        <w:rPr>
          <w:rFonts w:eastAsiaTheme="majorEastAsia" w:cstheme="majorBidi"/>
          <w:bCs/>
          <w:szCs w:val="18"/>
        </w:rPr>
      </w:pPr>
      <w:r w:rsidRPr="005B024E">
        <w:rPr>
          <w:szCs w:val="18"/>
          <w:vertAlign w:val="superscript"/>
        </w:rPr>
        <w:t>c</w:t>
      </w:r>
      <w:r w:rsidRPr="005B024E">
        <w:rPr>
          <w:szCs w:val="18"/>
          <w:vertAlign w:val="superscript"/>
        </w:rPr>
        <w:tab/>
      </w:r>
      <w:r w:rsidRPr="005B024E">
        <w:rPr>
          <w:rFonts w:eastAsiaTheme="majorEastAsia" w:cstheme="majorBidi"/>
          <w:bCs/>
          <w:szCs w:val="18"/>
        </w:rPr>
        <w:t>SEER. (2022). Cancer Stat Facts from https://seer.cancer.gov (incidence: NHL = 19.0 per 100,000, DLBCL = 5.6 per 100,000).</w:t>
      </w:r>
    </w:p>
    <w:p w14:paraId="29A86EBC" w14:textId="77777777" w:rsidR="00032E8A" w:rsidRPr="005B024E" w:rsidRDefault="00032E8A" w:rsidP="00032E8A">
      <w:pPr>
        <w:pStyle w:val="TableFigureFooter"/>
        <w:ind w:left="165" w:hanging="165"/>
        <w:rPr>
          <w:rFonts w:eastAsiaTheme="majorEastAsia" w:cstheme="majorBidi"/>
          <w:bCs/>
          <w:szCs w:val="18"/>
        </w:rPr>
      </w:pPr>
      <w:r w:rsidRPr="005B024E">
        <w:rPr>
          <w:rFonts w:eastAsiaTheme="majorEastAsia" w:cstheme="majorBidi"/>
          <w:bCs/>
          <w:szCs w:val="18"/>
          <w:vertAlign w:val="superscript"/>
        </w:rPr>
        <w:t>d</w:t>
      </w:r>
      <w:r w:rsidRPr="005B024E">
        <w:rPr>
          <w:rFonts w:eastAsiaTheme="majorEastAsia" w:cstheme="majorBidi"/>
          <w:bCs/>
          <w:szCs w:val="18"/>
        </w:rPr>
        <w:tab/>
        <w:t>Sehn et al (2007). The revised International Prognostic Index (R-IPI) is a better predictor of outcome than the standard IPI for patients with diffuse large B-cell lymphoma treated with R-CHOP. Blood. 107:5.</w:t>
      </w:r>
    </w:p>
    <w:bookmarkStart w:id="69" w:name="_Ref104805295"/>
    <w:p w14:paraId="7C88EF1D" w14:textId="17F0B498" w:rsidR="00A228AB" w:rsidRPr="00E1521D" w:rsidRDefault="00B13C08" w:rsidP="00E1521D">
      <w:pPr>
        <w:pStyle w:val="3-BodyText"/>
        <w:ind w:left="720"/>
        <w:rPr>
          <w:iCs/>
        </w:rPr>
      </w:pPr>
      <w:r w:rsidRPr="00E1521D">
        <w:rPr>
          <w:iCs/>
        </w:rPr>
        <w:fldChar w:fldCharType="begin"/>
      </w:r>
      <w:r w:rsidRPr="00E1521D">
        <w:rPr>
          <w:iCs/>
        </w:rPr>
        <w:instrText xml:space="preserve"> REF _Ref111736337 </w:instrText>
      </w:r>
      <w:r w:rsidR="00E1521D">
        <w:rPr>
          <w:iCs/>
        </w:rPr>
        <w:instrText xml:space="preserve"> \* MERGEFORMAT </w:instrText>
      </w:r>
      <w:r w:rsidRPr="00E1521D">
        <w:rPr>
          <w:iCs/>
        </w:rPr>
        <w:fldChar w:fldCharType="separate"/>
      </w:r>
      <w:r w:rsidR="007F2580" w:rsidRPr="007F2580">
        <w:rPr>
          <w:iCs/>
        </w:rPr>
        <w:t>Table 14</w:t>
      </w:r>
      <w:r w:rsidRPr="00E1521D">
        <w:rPr>
          <w:iCs/>
        </w:rPr>
        <w:fldChar w:fldCharType="end"/>
      </w:r>
      <w:r w:rsidRPr="00E1521D">
        <w:rPr>
          <w:iCs/>
        </w:rPr>
        <w:t xml:space="preserve"> </w:t>
      </w:r>
      <w:r w:rsidR="00A228AB" w:rsidRPr="00E1521D">
        <w:rPr>
          <w:iCs/>
        </w:rPr>
        <w:t>summarises the estimated net financial implications to the PBS/RPBS and the MBS for the proposed listing of polatuzumab vedotin over the first six years (assumed as 2023 to 2028).</w:t>
      </w:r>
      <w:r w:rsidR="002D3DBA" w:rsidRPr="00E1521D">
        <w:rPr>
          <w:iCs/>
        </w:rPr>
        <w:t xml:space="preserve"> </w:t>
      </w:r>
      <w:r w:rsidR="004F7140" w:rsidRPr="00E1521D">
        <w:rPr>
          <w:iCs/>
        </w:rPr>
        <w:t xml:space="preserve">Updated </w:t>
      </w:r>
      <w:r w:rsidR="00FA2A83" w:rsidRPr="00E1521D">
        <w:rPr>
          <w:iCs/>
        </w:rPr>
        <w:t xml:space="preserve">utilisation and </w:t>
      </w:r>
      <w:r w:rsidR="00D913D2" w:rsidRPr="00E1521D">
        <w:rPr>
          <w:iCs/>
        </w:rPr>
        <w:t xml:space="preserve">financial impact </w:t>
      </w:r>
      <w:r w:rsidR="004F7140" w:rsidRPr="00E1521D">
        <w:rPr>
          <w:iCs/>
        </w:rPr>
        <w:t xml:space="preserve">estimates </w:t>
      </w:r>
      <w:r w:rsidR="00D913D2" w:rsidRPr="00E1521D">
        <w:rPr>
          <w:iCs/>
        </w:rPr>
        <w:t xml:space="preserve">from the PSCR are included, as are financial impact estimates </w:t>
      </w:r>
      <w:r w:rsidR="004F7140" w:rsidRPr="00AB0C56">
        <w:rPr>
          <w:iCs/>
        </w:rPr>
        <w:t xml:space="preserve">incorporating the </w:t>
      </w:r>
      <w:r w:rsidR="00206B77" w:rsidRPr="007F2580">
        <w:rPr>
          <w:iCs/>
          <w:color w:val="000000"/>
          <w:w w:val="15"/>
          <w:shd w:val="solid" w:color="000000" w:fill="000000"/>
          <w:fitText w:val="-20" w:id="-1301008636"/>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636"/>
          <w14:textFill>
            <w14:solidFill>
              <w14:srgbClr w14:val="000000">
                <w14:alpha w14:val="100000"/>
              </w14:srgbClr>
            </w14:solidFill>
          </w14:textFill>
        </w:rPr>
        <w:t>|</w:t>
      </w:r>
      <w:r w:rsidR="004F7140" w:rsidRPr="0069626B">
        <w:rPr>
          <w:iCs/>
        </w:rPr>
        <w:t>%</w:t>
      </w:r>
      <w:r w:rsidR="004F7140" w:rsidRPr="00AB0C56">
        <w:rPr>
          <w:iCs/>
        </w:rPr>
        <w:t xml:space="preserve"> price reduction</w:t>
      </w:r>
      <w:r w:rsidR="004F7140" w:rsidRPr="00E1521D">
        <w:rPr>
          <w:iCs/>
        </w:rPr>
        <w:t xml:space="preserve"> proposed in the pre-PBAC response.</w:t>
      </w:r>
    </w:p>
    <w:p w14:paraId="3936FC55" w14:textId="4E807ED1" w:rsidR="00F811DD" w:rsidRPr="005B024E" w:rsidRDefault="00F811DD" w:rsidP="005F70DE">
      <w:pPr>
        <w:pStyle w:val="Caption"/>
      </w:pPr>
      <w:bookmarkStart w:id="70" w:name="_Ref111736337"/>
      <w:r w:rsidRPr="005B024E">
        <w:lastRenderedPageBreak/>
        <w:t xml:space="preserve">Table </w:t>
      </w:r>
      <w:r w:rsidR="007F2580">
        <w:fldChar w:fldCharType="begin"/>
      </w:r>
      <w:r w:rsidR="007F2580">
        <w:instrText xml:space="preserve"> SEQ Table \* ARABIC </w:instrText>
      </w:r>
      <w:r w:rsidR="007F2580">
        <w:fldChar w:fldCharType="separate"/>
      </w:r>
      <w:r w:rsidR="007F2580">
        <w:rPr>
          <w:noProof/>
        </w:rPr>
        <w:t>14</w:t>
      </w:r>
      <w:r w:rsidR="007F2580">
        <w:rPr>
          <w:noProof/>
        </w:rPr>
        <w:fldChar w:fldCharType="end"/>
      </w:r>
      <w:bookmarkEnd w:id="69"/>
      <w:bookmarkEnd w:id="70"/>
      <w:r w:rsidRPr="005B024E">
        <w:t>:</w:t>
      </w:r>
      <w:r w:rsidRPr="005B024E">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F811DD" w:rsidRPr="005B024E" w14:paraId="6223A857" w14:textId="77777777" w:rsidTr="00F811DD">
        <w:trPr>
          <w:tblHeader/>
        </w:trPr>
        <w:tc>
          <w:tcPr>
            <w:tcW w:w="1334" w:type="pct"/>
            <w:shd w:val="clear" w:color="auto" w:fill="auto"/>
            <w:vAlign w:val="center"/>
          </w:tcPr>
          <w:p w14:paraId="0D7B1349" w14:textId="77777777" w:rsidR="00F811DD" w:rsidRPr="005B024E" w:rsidRDefault="00F811DD" w:rsidP="005F70DE">
            <w:pPr>
              <w:pStyle w:val="In-tableHeading"/>
              <w:keepLines/>
              <w:jc w:val="center"/>
              <w:rPr>
                <w:lang w:val="en-AU"/>
              </w:rPr>
            </w:pPr>
          </w:p>
        </w:tc>
        <w:tc>
          <w:tcPr>
            <w:tcW w:w="611" w:type="pct"/>
            <w:shd w:val="clear" w:color="auto" w:fill="auto"/>
            <w:vAlign w:val="center"/>
          </w:tcPr>
          <w:p w14:paraId="459F9928" w14:textId="77777777" w:rsidR="00F811DD" w:rsidRPr="005B024E" w:rsidRDefault="00F811DD" w:rsidP="005F70DE">
            <w:pPr>
              <w:pStyle w:val="In-tableHeading"/>
              <w:keepLines/>
              <w:jc w:val="center"/>
              <w:rPr>
                <w:lang w:val="en-AU"/>
              </w:rPr>
            </w:pPr>
            <w:r w:rsidRPr="005B024E">
              <w:rPr>
                <w:lang w:val="en-AU"/>
              </w:rPr>
              <w:t>Year 1</w:t>
            </w:r>
          </w:p>
        </w:tc>
        <w:tc>
          <w:tcPr>
            <w:tcW w:w="611" w:type="pct"/>
            <w:shd w:val="clear" w:color="auto" w:fill="auto"/>
            <w:vAlign w:val="center"/>
          </w:tcPr>
          <w:p w14:paraId="16C371DE" w14:textId="77777777" w:rsidR="00F811DD" w:rsidRPr="005B024E" w:rsidRDefault="00F811DD" w:rsidP="005F70DE">
            <w:pPr>
              <w:pStyle w:val="In-tableHeading"/>
              <w:keepLines/>
              <w:jc w:val="center"/>
              <w:rPr>
                <w:lang w:val="en-AU"/>
              </w:rPr>
            </w:pPr>
            <w:r w:rsidRPr="005B024E">
              <w:rPr>
                <w:lang w:val="en-AU"/>
              </w:rPr>
              <w:t>Year 2</w:t>
            </w:r>
          </w:p>
        </w:tc>
        <w:tc>
          <w:tcPr>
            <w:tcW w:w="611" w:type="pct"/>
            <w:shd w:val="clear" w:color="auto" w:fill="auto"/>
            <w:vAlign w:val="center"/>
          </w:tcPr>
          <w:p w14:paraId="62F41F6C" w14:textId="77777777" w:rsidR="00F811DD" w:rsidRPr="005B024E" w:rsidRDefault="00F811DD" w:rsidP="005F70DE">
            <w:pPr>
              <w:pStyle w:val="In-tableHeading"/>
              <w:keepLines/>
              <w:jc w:val="center"/>
              <w:rPr>
                <w:lang w:val="en-AU"/>
              </w:rPr>
            </w:pPr>
            <w:r w:rsidRPr="005B024E">
              <w:rPr>
                <w:lang w:val="en-AU"/>
              </w:rPr>
              <w:t>Year 3</w:t>
            </w:r>
          </w:p>
        </w:tc>
        <w:tc>
          <w:tcPr>
            <w:tcW w:w="611" w:type="pct"/>
            <w:shd w:val="clear" w:color="auto" w:fill="auto"/>
            <w:vAlign w:val="center"/>
          </w:tcPr>
          <w:p w14:paraId="4A6660E7" w14:textId="77777777" w:rsidR="00F811DD" w:rsidRPr="005B024E" w:rsidRDefault="00F811DD" w:rsidP="005F70DE">
            <w:pPr>
              <w:pStyle w:val="In-tableHeading"/>
              <w:keepLines/>
              <w:jc w:val="center"/>
              <w:rPr>
                <w:lang w:val="en-AU"/>
              </w:rPr>
            </w:pPr>
            <w:r w:rsidRPr="005B024E">
              <w:rPr>
                <w:lang w:val="en-AU"/>
              </w:rPr>
              <w:t>Year 4</w:t>
            </w:r>
          </w:p>
        </w:tc>
        <w:tc>
          <w:tcPr>
            <w:tcW w:w="611" w:type="pct"/>
            <w:shd w:val="clear" w:color="auto" w:fill="auto"/>
            <w:vAlign w:val="center"/>
          </w:tcPr>
          <w:p w14:paraId="54A0629F" w14:textId="77777777" w:rsidR="00F811DD" w:rsidRPr="005B024E" w:rsidRDefault="00F811DD" w:rsidP="005F70DE">
            <w:pPr>
              <w:pStyle w:val="In-tableHeading"/>
              <w:keepLines/>
              <w:jc w:val="center"/>
              <w:rPr>
                <w:lang w:val="en-AU"/>
              </w:rPr>
            </w:pPr>
            <w:r w:rsidRPr="005B024E">
              <w:rPr>
                <w:lang w:val="en-AU"/>
              </w:rPr>
              <w:t>Year 5</w:t>
            </w:r>
          </w:p>
        </w:tc>
        <w:tc>
          <w:tcPr>
            <w:tcW w:w="611" w:type="pct"/>
          </w:tcPr>
          <w:p w14:paraId="27F44C66" w14:textId="77777777" w:rsidR="00F811DD" w:rsidRPr="005B024E" w:rsidRDefault="00F811DD" w:rsidP="005F70DE">
            <w:pPr>
              <w:pStyle w:val="In-tableHeading"/>
              <w:keepLines/>
              <w:jc w:val="center"/>
              <w:rPr>
                <w:lang w:val="en-AU"/>
              </w:rPr>
            </w:pPr>
            <w:r w:rsidRPr="005B024E">
              <w:rPr>
                <w:lang w:val="en-AU"/>
              </w:rPr>
              <w:t>Year 6</w:t>
            </w:r>
          </w:p>
        </w:tc>
      </w:tr>
      <w:tr w:rsidR="00F811DD" w:rsidRPr="005B024E" w14:paraId="04E4FE97" w14:textId="77777777" w:rsidTr="00F811DD">
        <w:tc>
          <w:tcPr>
            <w:tcW w:w="5000" w:type="pct"/>
            <w:gridSpan w:val="7"/>
            <w:shd w:val="clear" w:color="auto" w:fill="auto"/>
            <w:vAlign w:val="center"/>
          </w:tcPr>
          <w:p w14:paraId="0CFDEFCB" w14:textId="77777777" w:rsidR="00F811DD" w:rsidRPr="005B024E" w:rsidRDefault="00F811DD" w:rsidP="005F70DE">
            <w:pPr>
              <w:pStyle w:val="In-tableHeading"/>
              <w:keepLines/>
              <w:rPr>
                <w:bCs/>
                <w:color w:val="000000"/>
                <w:lang w:val="en-AU"/>
              </w:rPr>
            </w:pPr>
            <w:r w:rsidRPr="005B024E">
              <w:rPr>
                <w:bCs/>
                <w:color w:val="000000"/>
                <w:lang w:val="en-AU"/>
              </w:rPr>
              <w:t>Estimated extent of use</w:t>
            </w:r>
          </w:p>
        </w:tc>
      </w:tr>
      <w:tr w:rsidR="00434995" w:rsidRPr="005B024E" w14:paraId="7F184EE9" w14:textId="77777777" w:rsidTr="00A228AB">
        <w:tc>
          <w:tcPr>
            <w:tcW w:w="1334" w:type="pct"/>
            <w:shd w:val="clear" w:color="auto" w:fill="auto"/>
            <w:vAlign w:val="center"/>
          </w:tcPr>
          <w:p w14:paraId="6007910A" w14:textId="77777777" w:rsidR="00434995" w:rsidRPr="005B024E" w:rsidRDefault="00434995" w:rsidP="005F70DE">
            <w:pPr>
              <w:pStyle w:val="TableText0"/>
              <w:keepLines/>
              <w:rPr>
                <w:rFonts w:ascii="Times" w:hAnsi="Times"/>
              </w:rPr>
            </w:pPr>
            <w:r w:rsidRPr="005B024E">
              <w:t>Number of patients treated</w:t>
            </w:r>
          </w:p>
        </w:tc>
        <w:tc>
          <w:tcPr>
            <w:tcW w:w="611" w:type="pct"/>
            <w:shd w:val="clear" w:color="auto" w:fill="auto"/>
          </w:tcPr>
          <w:p w14:paraId="1D541097" w14:textId="72E22CF5" w:rsidR="00434995" w:rsidRPr="00A80549" w:rsidRDefault="00206B77" w:rsidP="005F70DE">
            <w:pPr>
              <w:pStyle w:val="TableText0"/>
              <w:keepLines/>
              <w:jc w:val="center"/>
              <w:rPr>
                <w:color w:val="000000"/>
                <w:highlight w:val="darkGray"/>
              </w:rPr>
            </w:pPr>
            <w:r w:rsidRPr="00206B77">
              <w:rPr>
                <w:color w:val="000000"/>
                <w:shd w:val="solid" w:color="000000" w:fill="000000"/>
                <w14:textFill>
                  <w14:solidFill>
                    <w14:srgbClr w14:val="000000">
                      <w14:alpha w14:val="100000"/>
                    </w14:srgbClr>
                  </w14:solidFill>
                </w14:textFill>
              </w:rPr>
              <w:t>|</w:t>
            </w:r>
            <w:r w:rsidR="00A80549" w:rsidRPr="00A80549">
              <w:rPr>
                <w:vertAlign w:val="superscript"/>
              </w:rPr>
              <w:t>1</w:t>
            </w:r>
          </w:p>
        </w:tc>
        <w:tc>
          <w:tcPr>
            <w:tcW w:w="611" w:type="pct"/>
            <w:shd w:val="clear" w:color="auto" w:fill="auto"/>
          </w:tcPr>
          <w:p w14:paraId="3D0D302C" w14:textId="44D194D0" w:rsidR="00434995" w:rsidRPr="00A80549" w:rsidRDefault="00206B77" w:rsidP="005F70DE">
            <w:pPr>
              <w:pStyle w:val="TableText0"/>
              <w:keepLines/>
              <w:jc w:val="center"/>
              <w:rPr>
                <w:color w:val="000000"/>
                <w:highlight w:val="darkGray"/>
              </w:rPr>
            </w:pPr>
            <w:r w:rsidRPr="00206B77">
              <w:rPr>
                <w:color w:val="000000"/>
                <w:shd w:val="solid" w:color="000000" w:fill="000000"/>
                <w14:textFill>
                  <w14:solidFill>
                    <w14:srgbClr w14:val="000000">
                      <w14:alpha w14:val="100000"/>
                    </w14:srgbClr>
                  </w14:solidFill>
                </w14:textFill>
              </w:rPr>
              <w:t>|</w:t>
            </w:r>
            <w:r w:rsidR="00681EE0" w:rsidRPr="00A80549">
              <w:rPr>
                <w:vertAlign w:val="superscript"/>
              </w:rPr>
              <w:t>1</w:t>
            </w:r>
          </w:p>
        </w:tc>
        <w:tc>
          <w:tcPr>
            <w:tcW w:w="611" w:type="pct"/>
            <w:shd w:val="clear" w:color="auto" w:fill="auto"/>
          </w:tcPr>
          <w:p w14:paraId="3DFDCE1E" w14:textId="65146CBF" w:rsidR="00434995" w:rsidRPr="00A80549" w:rsidRDefault="00206B77" w:rsidP="005F70DE">
            <w:pPr>
              <w:pStyle w:val="TableText0"/>
              <w:keepLines/>
              <w:jc w:val="center"/>
              <w:rPr>
                <w:color w:val="000000"/>
                <w:highlight w:val="darkGray"/>
              </w:rPr>
            </w:pPr>
            <w:r w:rsidRPr="00206B77">
              <w:rPr>
                <w:color w:val="000000"/>
                <w:shd w:val="solid" w:color="000000" w:fill="000000"/>
                <w14:textFill>
                  <w14:solidFill>
                    <w14:srgbClr w14:val="000000">
                      <w14:alpha w14:val="100000"/>
                    </w14:srgbClr>
                  </w14:solidFill>
                </w14:textFill>
              </w:rPr>
              <w:t>|</w:t>
            </w:r>
            <w:r w:rsidR="00681EE0" w:rsidRPr="00A80549">
              <w:rPr>
                <w:vertAlign w:val="superscript"/>
              </w:rPr>
              <w:t>1</w:t>
            </w:r>
          </w:p>
        </w:tc>
        <w:tc>
          <w:tcPr>
            <w:tcW w:w="611" w:type="pct"/>
            <w:shd w:val="clear" w:color="auto" w:fill="auto"/>
          </w:tcPr>
          <w:p w14:paraId="4CD92F56" w14:textId="309E4487" w:rsidR="00434995" w:rsidRPr="00A80549" w:rsidRDefault="00206B77" w:rsidP="005F70DE">
            <w:pPr>
              <w:pStyle w:val="TableText0"/>
              <w:keepLines/>
              <w:jc w:val="center"/>
              <w:rPr>
                <w:color w:val="000000"/>
                <w:highlight w:val="darkGray"/>
              </w:rPr>
            </w:pPr>
            <w:r w:rsidRPr="00206B77">
              <w:rPr>
                <w:color w:val="000000"/>
                <w:shd w:val="solid" w:color="000000" w:fill="000000"/>
                <w14:textFill>
                  <w14:solidFill>
                    <w14:srgbClr w14:val="000000">
                      <w14:alpha w14:val="100000"/>
                    </w14:srgbClr>
                  </w14:solidFill>
                </w14:textFill>
              </w:rPr>
              <w:t>|</w:t>
            </w:r>
            <w:r w:rsidR="00681EE0" w:rsidRPr="00A80549">
              <w:rPr>
                <w:vertAlign w:val="superscript"/>
              </w:rPr>
              <w:t>1</w:t>
            </w:r>
          </w:p>
        </w:tc>
        <w:tc>
          <w:tcPr>
            <w:tcW w:w="611" w:type="pct"/>
            <w:shd w:val="clear" w:color="auto" w:fill="auto"/>
          </w:tcPr>
          <w:p w14:paraId="42F9D94C" w14:textId="2AB43AED" w:rsidR="00434995" w:rsidRPr="00A80549" w:rsidRDefault="00206B77" w:rsidP="005F70DE">
            <w:pPr>
              <w:pStyle w:val="TableText0"/>
              <w:keepLines/>
              <w:jc w:val="center"/>
              <w:rPr>
                <w:color w:val="000000"/>
                <w:highlight w:val="darkGray"/>
              </w:rPr>
            </w:pPr>
            <w:r w:rsidRPr="00206B77">
              <w:rPr>
                <w:color w:val="000000"/>
                <w:shd w:val="solid" w:color="000000" w:fill="000000"/>
                <w14:textFill>
                  <w14:solidFill>
                    <w14:srgbClr w14:val="000000">
                      <w14:alpha w14:val="100000"/>
                    </w14:srgbClr>
                  </w14:solidFill>
                </w14:textFill>
              </w:rPr>
              <w:t>|</w:t>
            </w:r>
            <w:r w:rsidR="00681EE0" w:rsidRPr="00A80549">
              <w:rPr>
                <w:vertAlign w:val="superscript"/>
              </w:rPr>
              <w:t>1</w:t>
            </w:r>
          </w:p>
        </w:tc>
        <w:tc>
          <w:tcPr>
            <w:tcW w:w="611" w:type="pct"/>
          </w:tcPr>
          <w:p w14:paraId="06121766" w14:textId="2C598D5C" w:rsidR="00434995" w:rsidRPr="00A80549" w:rsidRDefault="00206B77" w:rsidP="005F70DE">
            <w:pPr>
              <w:pStyle w:val="TableText0"/>
              <w:keepLines/>
              <w:jc w:val="center"/>
              <w:rPr>
                <w:color w:val="000000"/>
                <w:highlight w:val="darkGray"/>
              </w:rPr>
            </w:pPr>
            <w:r w:rsidRPr="00206B77">
              <w:rPr>
                <w:color w:val="000000"/>
                <w:shd w:val="solid" w:color="000000" w:fill="000000"/>
                <w14:textFill>
                  <w14:solidFill>
                    <w14:srgbClr w14:val="000000">
                      <w14:alpha w14:val="100000"/>
                    </w14:srgbClr>
                  </w14:solidFill>
                </w14:textFill>
              </w:rPr>
              <w:t>|</w:t>
            </w:r>
            <w:r w:rsidR="00681EE0" w:rsidRPr="00A80549">
              <w:rPr>
                <w:vertAlign w:val="superscript"/>
              </w:rPr>
              <w:t>1</w:t>
            </w:r>
          </w:p>
        </w:tc>
      </w:tr>
      <w:tr w:rsidR="00434995" w:rsidRPr="005B024E" w14:paraId="55D8F64E" w14:textId="77777777" w:rsidTr="00A228AB">
        <w:tc>
          <w:tcPr>
            <w:tcW w:w="1334" w:type="pct"/>
            <w:shd w:val="clear" w:color="auto" w:fill="auto"/>
            <w:vAlign w:val="center"/>
          </w:tcPr>
          <w:p w14:paraId="62983CF3" w14:textId="77777777" w:rsidR="00434995" w:rsidRPr="005B024E" w:rsidRDefault="00434995" w:rsidP="005F70DE">
            <w:pPr>
              <w:pStyle w:val="TableText0"/>
              <w:keepLines/>
              <w:rPr>
                <w:rFonts w:ascii="Times" w:hAnsi="Times"/>
              </w:rPr>
            </w:pPr>
            <w:r w:rsidRPr="005B024E">
              <w:t>Number of scripts dispensed</w:t>
            </w:r>
            <w:r w:rsidRPr="005B024E">
              <w:rPr>
                <w:vertAlign w:val="superscript"/>
              </w:rPr>
              <w:t>a</w:t>
            </w:r>
          </w:p>
        </w:tc>
        <w:tc>
          <w:tcPr>
            <w:tcW w:w="611" w:type="pct"/>
            <w:shd w:val="clear" w:color="auto" w:fill="auto"/>
          </w:tcPr>
          <w:p w14:paraId="05671D4F" w14:textId="19D7324B" w:rsidR="00434995" w:rsidRPr="00A80549" w:rsidRDefault="00206B77" w:rsidP="005F70DE">
            <w:pPr>
              <w:pStyle w:val="TableText0"/>
              <w:keepLines/>
              <w:jc w:val="center"/>
              <w:rPr>
                <w:color w:val="000000"/>
                <w:highlight w:val="darkGray"/>
              </w:rPr>
            </w:pPr>
            <w:r w:rsidRPr="00206B77">
              <w:rPr>
                <w:color w:val="000000"/>
                <w:shd w:val="solid" w:color="000000" w:fill="000000"/>
                <w14:textFill>
                  <w14:solidFill>
                    <w14:srgbClr w14:val="000000">
                      <w14:alpha w14:val="100000"/>
                    </w14:srgbClr>
                  </w14:solidFill>
                </w14:textFill>
              </w:rPr>
              <w:t>|</w:t>
            </w:r>
            <w:r w:rsidR="00A80549" w:rsidRPr="00A80549">
              <w:rPr>
                <w:vertAlign w:val="superscript"/>
              </w:rPr>
              <w:t>1</w:t>
            </w:r>
          </w:p>
        </w:tc>
        <w:tc>
          <w:tcPr>
            <w:tcW w:w="611" w:type="pct"/>
            <w:shd w:val="clear" w:color="auto" w:fill="auto"/>
          </w:tcPr>
          <w:p w14:paraId="5FDC09CF" w14:textId="41C0DD8B" w:rsidR="00434995" w:rsidRPr="00A80549" w:rsidRDefault="00206B77" w:rsidP="005F70DE">
            <w:pPr>
              <w:pStyle w:val="TableText0"/>
              <w:keepLines/>
              <w:jc w:val="center"/>
              <w:rPr>
                <w:color w:val="000000"/>
                <w:highlight w:val="darkGray"/>
              </w:rPr>
            </w:pPr>
            <w:r w:rsidRPr="00206B77">
              <w:rPr>
                <w:color w:val="000000"/>
                <w:shd w:val="solid" w:color="000000" w:fill="000000"/>
                <w14:textFill>
                  <w14:solidFill>
                    <w14:srgbClr w14:val="000000">
                      <w14:alpha w14:val="100000"/>
                    </w14:srgbClr>
                  </w14:solidFill>
                </w14:textFill>
              </w:rPr>
              <w:t>|</w:t>
            </w:r>
            <w:r w:rsidR="00681EE0" w:rsidRPr="00A80549">
              <w:rPr>
                <w:vertAlign w:val="superscript"/>
              </w:rPr>
              <w:t>1</w:t>
            </w:r>
          </w:p>
        </w:tc>
        <w:tc>
          <w:tcPr>
            <w:tcW w:w="611" w:type="pct"/>
            <w:shd w:val="clear" w:color="auto" w:fill="auto"/>
          </w:tcPr>
          <w:p w14:paraId="17712730" w14:textId="3DB14971" w:rsidR="00434995" w:rsidRPr="00A80549" w:rsidRDefault="00206B77" w:rsidP="005F70DE">
            <w:pPr>
              <w:pStyle w:val="TableText0"/>
              <w:keepLines/>
              <w:jc w:val="center"/>
              <w:rPr>
                <w:color w:val="000000"/>
                <w:highlight w:val="darkGray"/>
              </w:rPr>
            </w:pPr>
            <w:r w:rsidRPr="00206B77">
              <w:rPr>
                <w:color w:val="000000"/>
                <w:shd w:val="solid" w:color="000000" w:fill="000000"/>
                <w14:textFill>
                  <w14:solidFill>
                    <w14:srgbClr w14:val="000000">
                      <w14:alpha w14:val="100000"/>
                    </w14:srgbClr>
                  </w14:solidFill>
                </w14:textFill>
              </w:rPr>
              <w:t>|</w:t>
            </w:r>
            <w:r w:rsidR="00681EE0" w:rsidRPr="00A80549">
              <w:rPr>
                <w:vertAlign w:val="superscript"/>
              </w:rPr>
              <w:t>1</w:t>
            </w:r>
          </w:p>
        </w:tc>
        <w:tc>
          <w:tcPr>
            <w:tcW w:w="611" w:type="pct"/>
            <w:shd w:val="clear" w:color="auto" w:fill="auto"/>
          </w:tcPr>
          <w:p w14:paraId="6AF91FDF" w14:textId="0598D052" w:rsidR="00434995" w:rsidRPr="00A80549" w:rsidRDefault="00206B77" w:rsidP="005F70DE">
            <w:pPr>
              <w:pStyle w:val="TableText0"/>
              <w:keepLines/>
              <w:jc w:val="center"/>
              <w:rPr>
                <w:color w:val="000000"/>
                <w:highlight w:val="darkGray"/>
              </w:rPr>
            </w:pPr>
            <w:r w:rsidRPr="00206B77">
              <w:rPr>
                <w:color w:val="000000"/>
                <w:shd w:val="solid" w:color="000000" w:fill="000000"/>
                <w14:textFill>
                  <w14:solidFill>
                    <w14:srgbClr w14:val="000000">
                      <w14:alpha w14:val="100000"/>
                    </w14:srgbClr>
                  </w14:solidFill>
                </w14:textFill>
              </w:rPr>
              <w:t>|</w:t>
            </w:r>
            <w:r w:rsidR="00681EE0" w:rsidRPr="00A80549">
              <w:rPr>
                <w:vertAlign w:val="superscript"/>
              </w:rPr>
              <w:t>1</w:t>
            </w:r>
          </w:p>
        </w:tc>
        <w:tc>
          <w:tcPr>
            <w:tcW w:w="611" w:type="pct"/>
            <w:shd w:val="clear" w:color="auto" w:fill="auto"/>
          </w:tcPr>
          <w:p w14:paraId="72489A21" w14:textId="73F4BC21" w:rsidR="00434995" w:rsidRPr="00A80549" w:rsidRDefault="00206B77" w:rsidP="005F70DE">
            <w:pPr>
              <w:pStyle w:val="TableText0"/>
              <w:keepLines/>
              <w:jc w:val="center"/>
              <w:rPr>
                <w:color w:val="000000"/>
                <w:highlight w:val="darkGray"/>
              </w:rPr>
            </w:pPr>
            <w:r w:rsidRPr="00206B77">
              <w:rPr>
                <w:color w:val="000000"/>
                <w:shd w:val="solid" w:color="000000" w:fill="000000"/>
                <w14:textFill>
                  <w14:solidFill>
                    <w14:srgbClr w14:val="000000">
                      <w14:alpha w14:val="100000"/>
                    </w14:srgbClr>
                  </w14:solidFill>
                </w14:textFill>
              </w:rPr>
              <w:t>|</w:t>
            </w:r>
            <w:r w:rsidR="00681EE0" w:rsidRPr="00A80549">
              <w:rPr>
                <w:vertAlign w:val="superscript"/>
              </w:rPr>
              <w:t>1</w:t>
            </w:r>
          </w:p>
        </w:tc>
        <w:tc>
          <w:tcPr>
            <w:tcW w:w="611" w:type="pct"/>
          </w:tcPr>
          <w:p w14:paraId="664DE862" w14:textId="394B81FD" w:rsidR="00434995" w:rsidRPr="00A80549" w:rsidRDefault="00206B77" w:rsidP="005F70DE">
            <w:pPr>
              <w:pStyle w:val="TableText0"/>
              <w:keepLines/>
              <w:jc w:val="center"/>
              <w:rPr>
                <w:color w:val="000000"/>
                <w:highlight w:val="darkGray"/>
              </w:rPr>
            </w:pPr>
            <w:r w:rsidRPr="00206B77">
              <w:rPr>
                <w:color w:val="000000"/>
                <w:shd w:val="solid" w:color="000000" w:fill="000000"/>
                <w14:textFill>
                  <w14:solidFill>
                    <w14:srgbClr w14:val="000000">
                      <w14:alpha w14:val="100000"/>
                    </w14:srgbClr>
                  </w14:solidFill>
                </w14:textFill>
              </w:rPr>
              <w:t>|</w:t>
            </w:r>
            <w:r w:rsidR="00681EE0" w:rsidRPr="00A80549">
              <w:rPr>
                <w:vertAlign w:val="superscript"/>
              </w:rPr>
              <w:t>1</w:t>
            </w:r>
          </w:p>
        </w:tc>
      </w:tr>
      <w:tr w:rsidR="00F811DD" w:rsidRPr="005B024E" w14:paraId="3753EDCE" w14:textId="77777777" w:rsidTr="00F811DD">
        <w:tc>
          <w:tcPr>
            <w:tcW w:w="5000" w:type="pct"/>
            <w:gridSpan w:val="7"/>
            <w:shd w:val="clear" w:color="auto" w:fill="auto"/>
            <w:vAlign w:val="center"/>
          </w:tcPr>
          <w:p w14:paraId="7F6DEE17" w14:textId="44F2D540" w:rsidR="00F811DD" w:rsidRPr="005B024E" w:rsidRDefault="00F811DD" w:rsidP="005F70DE">
            <w:pPr>
              <w:pStyle w:val="In-tableHeading"/>
              <w:keepLines/>
              <w:rPr>
                <w:lang w:val="en-AU"/>
              </w:rPr>
            </w:pPr>
            <w:r w:rsidRPr="005B024E">
              <w:rPr>
                <w:lang w:val="en-AU"/>
              </w:rPr>
              <w:t xml:space="preserve">Estimated financial implications of </w:t>
            </w:r>
            <w:r w:rsidR="009279B7" w:rsidRPr="005B024E">
              <w:rPr>
                <w:lang w:val="en-AU"/>
              </w:rPr>
              <w:t>polatuzumab vedotin</w:t>
            </w:r>
          </w:p>
        </w:tc>
      </w:tr>
      <w:tr w:rsidR="009279B7" w:rsidRPr="005B024E" w14:paraId="25363135" w14:textId="77777777" w:rsidTr="009279B7">
        <w:tc>
          <w:tcPr>
            <w:tcW w:w="1334" w:type="pct"/>
            <w:shd w:val="clear" w:color="auto" w:fill="auto"/>
            <w:vAlign w:val="center"/>
          </w:tcPr>
          <w:p w14:paraId="29D6BEA5" w14:textId="1591BC60" w:rsidR="009279B7" w:rsidRPr="005B024E" w:rsidRDefault="009279B7" w:rsidP="005F70DE">
            <w:pPr>
              <w:pStyle w:val="TableText0"/>
              <w:keepLines/>
              <w:rPr>
                <w:sz w:val="19"/>
                <w:szCs w:val="19"/>
                <w:vertAlign w:val="superscript"/>
              </w:rPr>
            </w:pPr>
            <w:r w:rsidRPr="005B024E">
              <w:rPr>
                <w:sz w:val="19"/>
                <w:szCs w:val="19"/>
              </w:rPr>
              <w:t>Cost to PBS/RPBS less copayments</w:t>
            </w:r>
            <w:r w:rsidR="0090607F" w:rsidRPr="005B024E">
              <w:rPr>
                <w:sz w:val="19"/>
                <w:szCs w:val="19"/>
                <w:vertAlign w:val="superscript"/>
              </w:rPr>
              <w:t>b</w:t>
            </w:r>
          </w:p>
        </w:tc>
        <w:tc>
          <w:tcPr>
            <w:tcW w:w="611" w:type="pct"/>
            <w:shd w:val="clear" w:color="auto" w:fill="auto"/>
            <w:vAlign w:val="center"/>
          </w:tcPr>
          <w:p w14:paraId="2E5C8C5F" w14:textId="6A1F3525" w:rsidR="009279B7" w:rsidRPr="005B024E" w:rsidRDefault="009279B7" w:rsidP="005F70DE">
            <w:pPr>
              <w:pStyle w:val="TableText0"/>
              <w:keepLines/>
              <w:jc w:val="center"/>
            </w:pPr>
            <w:r w:rsidRPr="005B024E">
              <w:t>$</w:t>
            </w:r>
            <w:r w:rsidR="00206B77" w:rsidRPr="007F2580">
              <w:rPr>
                <w:rFonts w:hint="eastAsia"/>
                <w:color w:val="000000"/>
                <w:w w:val="15"/>
                <w:shd w:val="solid" w:color="000000" w:fill="000000"/>
                <w:fitText w:val="7" w:id="-1301008635"/>
                <w14:textFill>
                  <w14:solidFill>
                    <w14:srgbClr w14:val="000000">
                      <w14:alpha w14:val="100000"/>
                    </w14:srgbClr>
                  </w14:solidFill>
                </w14:textFill>
              </w:rPr>
              <w:t xml:space="preserve">　</w:t>
            </w:r>
            <w:r w:rsidR="00206B77" w:rsidRPr="007F2580">
              <w:rPr>
                <w:color w:val="000000"/>
                <w:w w:val="15"/>
                <w:shd w:val="solid" w:color="000000" w:fill="000000"/>
                <w:fitText w:val="7" w:id="-1301008635"/>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5"/>
                <w14:textFill>
                  <w14:solidFill>
                    <w14:srgbClr w14:val="000000">
                      <w14:alpha w14:val="100000"/>
                    </w14:srgbClr>
                  </w14:solidFill>
                </w14:textFill>
              </w:rPr>
              <w:t xml:space="preserve">　</w:t>
            </w:r>
            <w:r w:rsidR="00A80549" w:rsidRPr="00C34E74">
              <w:rPr>
                <w:vertAlign w:val="superscript"/>
              </w:rPr>
              <w:t>2</w:t>
            </w:r>
          </w:p>
        </w:tc>
        <w:tc>
          <w:tcPr>
            <w:tcW w:w="611" w:type="pct"/>
            <w:shd w:val="clear" w:color="auto" w:fill="auto"/>
            <w:vAlign w:val="center"/>
          </w:tcPr>
          <w:p w14:paraId="2F81D67B" w14:textId="48CE6B2C" w:rsidR="009279B7" w:rsidRPr="005B024E" w:rsidRDefault="009279B7" w:rsidP="005F70DE">
            <w:pPr>
              <w:pStyle w:val="TableText0"/>
              <w:keepLines/>
              <w:jc w:val="center"/>
            </w:pPr>
            <w:r w:rsidRPr="005B024E">
              <w:t>$</w:t>
            </w:r>
            <w:r w:rsidR="00206B77" w:rsidRPr="007F2580">
              <w:rPr>
                <w:rFonts w:hint="eastAsia"/>
                <w:color w:val="000000"/>
                <w:w w:val="15"/>
                <w:shd w:val="solid" w:color="000000" w:fill="000000"/>
                <w:fitText w:val="7" w:id="-1301008634"/>
                <w14:textFill>
                  <w14:solidFill>
                    <w14:srgbClr w14:val="000000">
                      <w14:alpha w14:val="100000"/>
                    </w14:srgbClr>
                  </w14:solidFill>
                </w14:textFill>
              </w:rPr>
              <w:t xml:space="preserve">　</w:t>
            </w:r>
            <w:r w:rsidR="00206B77" w:rsidRPr="007F2580">
              <w:rPr>
                <w:color w:val="000000"/>
                <w:w w:val="15"/>
                <w:shd w:val="solid" w:color="000000" w:fill="000000"/>
                <w:fitText w:val="7" w:id="-1301008634"/>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4"/>
                <w14:textFill>
                  <w14:solidFill>
                    <w14:srgbClr w14:val="000000">
                      <w14:alpha w14:val="100000"/>
                    </w14:srgbClr>
                  </w14:solidFill>
                </w14:textFill>
              </w:rPr>
              <w:t xml:space="preserve">　</w:t>
            </w:r>
            <w:r w:rsidR="00681EE0">
              <w:rPr>
                <w:vertAlign w:val="superscript"/>
              </w:rPr>
              <w:t>2</w:t>
            </w:r>
          </w:p>
        </w:tc>
        <w:tc>
          <w:tcPr>
            <w:tcW w:w="611" w:type="pct"/>
            <w:shd w:val="clear" w:color="auto" w:fill="auto"/>
            <w:vAlign w:val="center"/>
          </w:tcPr>
          <w:p w14:paraId="230DE87A" w14:textId="13D4E032" w:rsidR="009279B7" w:rsidRPr="005B024E" w:rsidRDefault="009279B7" w:rsidP="005F70DE">
            <w:pPr>
              <w:pStyle w:val="TableText0"/>
              <w:keepLines/>
              <w:jc w:val="center"/>
            </w:pPr>
            <w:r w:rsidRPr="005B024E">
              <w:t>$</w:t>
            </w:r>
            <w:r w:rsidR="00206B77" w:rsidRPr="007F2580">
              <w:rPr>
                <w:rFonts w:hint="eastAsia"/>
                <w:color w:val="000000"/>
                <w:w w:val="15"/>
                <w:shd w:val="solid" w:color="000000" w:fill="000000"/>
                <w:fitText w:val="7" w:id="-1301008633"/>
                <w14:textFill>
                  <w14:solidFill>
                    <w14:srgbClr w14:val="000000">
                      <w14:alpha w14:val="100000"/>
                    </w14:srgbClr>
                  </w14:solidFill>
                </w14:textFill>
              </w:rPr>
              <w:t xml:space="preserve">　</w:t>
            </w:r>
            <w:r w:rsidR="00206B77" w:rsidRPr="007F2580">
              <w:rPr>
                <w:color w:val="000000"/>
                <w:w w:val="15"/>
                <w:shd w:val="solid" w:color="000000" w:fill="000000"/>
                <w:fitText w:val="7" w:id="-1301008633"/>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3"/>
                <w14:textFill>
                  <w14:solidFill>
                    <w14:srgbClr w14:val="000000">
                      <w14:alpha w14:val="100000"/>
                    </w14:srgbClr>
                  </w14:solidFill>
                </w14:textFill>
              </w:rPr>
              <w:t xml:space="preserve">　</w:t>
            </w:r>
            <w:r w:rsidR="00E44E27">
              <w:rPr>
                <w:vertAlign w:val="superscript"/>
              </w:rPr>
              <w:t>4</w:t>
            </w:r>
          </w:p>
        </w:tc>
        <w:tc>
          <w:tcPr>
            <w:tcW w:w="611" w:type="pct"/>
            <w:shd w:val="clear" w:color="auto" w:fill="auto"/>
            <w:vAlign w:val="center"/>
          </w:tcPr>
          <w:p w14:paraId="679C6836" w14:textId="4C513F26" w:rsidR="009279B7" w:rsidRPr="005B024E" w:rsidRDefault="009279B7" w:rsidP="005F70DE">
            <w:pPr>
              <w:pStyle w:val="TableText0"/>
              <w:keepLines/>
              <w:jc w:val="center"/>
            </w:pPr>
            <w:r w:rsidRPr="005B024E">
              <w:t>$</w:t>
            </w:r>
            <w:r w:rsidR="00206B77" w:rsidRPr="007F2580">
              <w:rPr>
                <w:rFonts w:hint="eastAsia"/>
                <w:color w:val="000000"/>
                <w:w w:val="15"/>
                <w:shd w:val="solid" w:color="000000" w:fill="000000"/>
                <w:fitText w:val="7" w:id="-1301008632"/>
                <w14:textFill>
                  <w14:solidFill>
                    <w14:srgbClr w14:val="000000">
                      <w14:alpha w14:val="100000"/>
                    </w14:srgbClr>
                  </w14:solidFill>
                </w14:textFill>
              </w:rPr>
              <w:t xml:space="preserve">　</w:t>
            </w:r>
            <w:r w:rsidR="00206B77" w:rsidRPr="007F2580">
              <w:rPr>
                <w:color w:val="000000"/>
                <w:w w:val="15"/>
                <w:shd w:val="solid" w:color="000000" w:fill="000000"/>
                <w:fitText w:val="7" w:id="-1301008632"/>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2"/>
                <w14:textFill>
                  <w14:solidFill>
                    <w14:srgbClr w14:val="000000">
                      <w14:alpha w14:val="100000"/>
                    </w14:srgbClr>
                  </w14:solidFill>
                </w14:textFill>
              </w:rPr>
              <w:t xml:space="preserve">　</w:t>
            </w:r>
            <w:r w:rsidR="00E44E27">
              <w:rPr>
                <w:vertAlign w:val="superscript"/>
              </w:rPr>
              <w:t>4</w:t>
            </w:r>
          </w:p>
        </w:tc>
        <w:tc>
          <w:tcPr>
            <w:tcW w:w="611" w:type="pct"/>
            <w:shd w:val="clear" w:color="auto" w:fill="auto"/>
            <w:vAlign w:val="center"/>
          </w:tcPr>
          <w:p w14:paraId="7656BBED" w14:textId="48974218" w:rsidR="009279B7" w:rsidRPr="005B024E" w:rsidRDefault="009279B7" w:rsidP="005F70DE">
            <w:pPr>
              <w:pStyle w:val="TableText0"/>
              <w:keepLines/>
              <w:jc w:val="center"/>
            </w:pPr>
            <w:r w:rsidRPr="005B024E">
              <w:t>$</w:t>
            </w:r>
            <w:r w:rsidR="00206B77" w:rsidRPr="007F2580">
              <w:rPr>
                <w:rFonts w:hint="eastAsia"/>
                <w:color w:val="000000"/>
                <w:w w:val="15"/>
                <w:shd w:val="solid" w:color="000000" w:fill="000000"/>
                <w:fitText w:val="7" w:id="-1301008631"/>
                <w14:textFill>
                  <w14:solidFill>
                    <w14:srgbClr w14:val="000000">
                      <w14:alpha w14:val="100000"/>
                    </w14:srgbClr>
                  </w14:solidFill>
                </w14:textFill>
              </w:rPr>
              <w:t xml:space="preserve">　</w:t>
            </w:r>
            <w:r w:rsidR="00206B77" w:rsidRPr="007F2580">
              <w:rPr>
                <w:color w:val="000000"/>
                <w:w w:val="15"/>
                <w:shd w:val="solid" w:color="000000" w:fill="000000"/>
                <w:fitText w:val="7" w:id="-1301008631"/>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1"/>
                <w14:textFill>
                  <w14:solidFill>
                    <w14:srgbClr w14:val="000000">
                      <w14:alpha w14:val="100000"/>
                    </w14:srgbClr>
                  </w14:solidFill>
                </w14:textFill>
              </w:rPr>
              <w:t xml:space="preserve">　</w:t>
            </w:r>
            <w:r w:rsidR="00E44E27">
              <w:rPr>
                <w:vertAlign w:val="superscript"/>
              </w:rPr>
              <w:t>4</w:t>
            </w:r>
          </w:p>
        </w:tc>
        <w:tc>
          <w:tcPr>
            <w:tcW w:w="611" w:type="pct"/>
            <w:vAlign w:val="center"/>
          </w:tcPr>
          <w:p w14:paraId="78746AE8" w14:textId="0B10D4B7" w:rsidR="009279B7" w:rsidRPr="005B024E" w:rsidRDefault="009279B7" w:rsidP="005F70DE">
            <w:pPr>
              <w:pStyle w:val="TableText0"/>
              <w:keepLines/>
              <w:jc w:val="center"/>
            </w:pPr>
            <w:r w:rsidRPr="005B024E">
              <w:t>$</w:t>
            </w:r>
            <w:r w:rsidR="00206B77" w:rsidRPr="007F2580">
              <w:rPr>
                <w:rFonts w:hint="eastAsia"/>
                <w:color w:val="000000"/>
                <w:w w:val="15"/>
                <w:shd w:val="solid" w:color="000000" w:fill="000000"/>
                <w:fitText w:val="7" w:id="-1301008630"/>
                <w14:textFill>
                  <w14:solidFill>
                    <w14:srgbClr w14:val="000000">
                      <w14:alpha w14:val="100000"/>
                    </w14:srgbClr>
                  </w14:solidFill>
                </w14:textFill>
              </w:rPr>
              <w:t xml:space="preserve">　</w:t>
            </w:r>
            <w:r w:rsidR="00206B77" w:rsidRPr="007F2580">
              <w:rPr>
                <w:color w:val="000000"/>
                <w:w w:val="15"/>
                <w:shd w:val="solid" w:color="000000" w:fill="000000"/>
                <w:fitText w:val="7" w:id="-1301008630"/>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0"/>
                <w14:textFill>
                  <w14:solidFill>
                    <w14:srgbClr w14:val="000000">
                      <w14:alpha w14:val="100000"/>
                    </w14:srgbClr>
                  </w14:solidFill>
                </w14:textFill>
              </w:rPr>
              <w:t xml:space="preserve">　</w:t>
            </w:r>
            <w:r w:rsidR="00E44E27">
              <w:rPr>
                <w:vertAlign w:val="superscript"/>
              </w:rPr>
              <w:t>4</w:t>
            </w:r>
          </w:p>
        </w:tc>
      </w:tr>
      <w:tr w:rsidR="00F811DD" w:rsidRPr="005B024E" w14:paraId="4BE4D728" w14:textId="77777777" w:rsidTr="00F811DD">
        <w:tc>
          <w:tcPr>
            <w:tcW w:w="5000" w:type="pct"/>
            <w:gridSpan w:val="7"/>
            <w:shd w:val="clear" w:color="auto" w:fill="auto"/>
            <w:vAlign w:val="center"/>
          </w:tcPr>
          <w:p w14:paraId="2B0A7986" w14:textId="0E342BE7" w:rsidR="00F811DD" w:rsidRPr="005B024E" w:rsidRDefault="00F811DD" w:rsidP="005F70DE">
            <w:pPr>
              <w:pStyle w:val="TableText0"/>
              <w:keepLines/>
              <w:rPr>
                <w:b/>
                <w:szCs w:val="20"/>
              </w:rPr>
            </w:pPr>
            <w:r w:rsidRPr="005B024E">
              <w:rPr>
                <w:b/>
                <w:szCs w:val="20"/>
              </w:rPr>
              <w:t xml:space="preserve">Estimated financial implications for </w:t>
            </w:r>
            <w:r w:rsidR="009279B7" w:rsidRPr="005B024E">
              <w:rPr>
                <w:b/>
                <w:szCs w:val="20"/>
              </w:rPr>
              <w:t>vincristine</w:t>
            </w:r>
          </w:p>
        </w:tc>
      </w:tr>
      <w:tr w:rsidR="009279B7" w:rsidRPr="005B024E" w14:paraId="4952F66D" w14:textId="77777777" w:rsidTr="009279B7">
        <w:tc>
          <w:tcPr>
            <w:tcW w:w="1334" w:type="pct"/>
            <w:shd w:val="clear" w:color="auto" w:fill="auto"/>
            <w:vAlign w:val="center"/>
          </w:tcPr>
          <w:p w14:paraId="251EEC54" w14:textId="552F8181" w:rsidR="009279B7" w:rsidRPr="005B024E" w:rsidRDefault="009279B7" w:rsidP="005F70DE">
            <w:pPr>
              <w:pStyle w:val="TableText0"/>
              <w:keepLines/>
              <w:rPr>
                <w:sz w:val="19"/>
                <w:szCs w:val="19"/>
                <w:vertAlign w:val="superscript"/>
              </w:rPr>
            </w:pPr>
            <w:r w:rsidRPr="005B024E">
              <w:rPr>
                <w:sz w:val="19"/>
                <w:szCs w:val="19"/>
              </w:rPr>
              <w:t>Cost to PBS/RPBS less copayments</w:t>
            </w:r>
            <w:r w:rsidR="0090607F" w:rsidRPr="005B024E">
              <w:rPr>
                <w:sz w:val="19"/>
                <w:szCs w:val="19"/>
                <w:vertAlign w:val="superscript"/>
              </w:rPr>
              <w:t>c</w:t>
            </w:r>
          </w:p>
        </w:tc>
        <w:tc>
          <w:tcPr>
            <w:tcW w:w="611" w:type="pct"/>
            <w:shd w:val="clear" w:color="auto" w:fill="auto"/>
            <w:vAlign w:val="center"/>
          </w:tcPr>
          <w:p w14:paraId="2E5D2157" w14:textId="7279246C" w:rsidR="009279B7" w:rsidRPr="005B024E" w:rsidRDefault="00206B77" w:rsidP="005F70DE">
            <w:pPr>
              <w:pStyle w:val="TableText0"/>
              <w:keepLines/>
              <w:jc w:val="center"/>
            </w:pPr>
            <w:r w:rsidRPr="00206B77">
              <w:rPr>
                <w:color w:val="000000"/>
                <w:shd w:val="solid" w:color="000000" w:fill="000000"/>
                <w14:textFill>
                  <w14:solidFill>
                    <w14:srgbClr w14:val="000000">
                      <w14:alpha w14:val="100000"/>
                    </w14:srgbClr>
                  </w14:solidFill>
                </w14:textFill>
              </w:rPr>
              <w:t>|</w:t>
            </w:r>
            <w:r w:rsidR="00AF5A9B">
              <w:rPr>
                <w:vertAlign w:val="superscript"/>
              </w:rPr>
              <w:t>3</w:t>
            </w:r>
          </w:p>
        </w:tc>
        <w:tc>
          <w:tcPr>
            <w:tcW w:w="611" w:type="pct"/>
            <w:shd w:val="clear" w:color="auto" w:fill="auto"/>
            <w:vAlign w:val="center"/>
          </w:tcPr>
          <w:p w14:paraId="45D4E3BE" w14:textId="63724F14" w:rsidR="009279B7" w:rsidRPr="00C34E74" w:rsidRDefault="00206B77" w:rsidP="005F70DE">
            <w:pPr>
              <w:pStyle w:val="TableText0"/>
              <w:keepLines/>
              <w:jc w:val="center"/>
              <w:rPr>
                <w:highlight w:val="darkGray"/>
              </w:rPr>
            </w:pPr>
            <w:r w:rsidRPr="00206B77">
              <w:rPr>
                <w:color w:val="000000"/>
                <w:shd w:val="solid" w:color="000000" w:fill="000000"/>
                <w14:textFill>
                  <w14:solidFill>
                    <w14:srgbClr w14:val="000000">
                      <w14:alpha w14:val="100000"/>
                    </w14:srgbClr>
                  </w14:solidFill>
                </w14:textFill>
              </w:rPr>
              <w:t>|</w:t>
            </w:r>
            <w:r w:rsidR="00E44E27">
              <w:rPr>
                <w:vertAlign w:val="superscript"/>
              </w:rPr>
              <w:t>3</w:t>
            </w:r>
          </w:p>
        </w:tc>
        <w:tc>
          <w:tcPr>
            <w:tcW w:w="611" w:type="pct"/>
            <w:shd w:val="clear" w:color="auto" w:fill="auto"/>
            <w:vAlign w:val="center"/>
          </w:tcPr>
          <w:p w14:paraId="1331C166" w14:textId="14C74F80" w:rsidR="009279B7" w:rsidRPr="00C34E74" w:rsidRDefault="00206B77" w:rsidP="005F70DE">
            <w:pPr>
              <w:pStyle w:val="TableText0"/>
              <w:keepLines/>
              <w:jc w:val="center"/>
              <w:rPr>
                <w:highlight w:val="darkGray"/>
              </w:rPr>
            </w:pPr>
            <w:r w:rsidRPr="00206B77">
              <w:rPr>
                <w:color w:val="000000"/>
                <w:shd w:val="solid" w:color="000000" w:fill="000000"/>
                <w14:textFill>
                  <w14:solidFill>
                    <w14:srgbClr w14:val="000000">
                      <w14:alpha w14:val="100000"/>
                    </w14:srgbClr>
                  </w14:solidFill>
                </w14:textFill>
              </w:rPr>
              <w:t>|</w:t>
            </w:r>
            <w:r w:rsidR="00E44E27">
              <w:rPr>
                <w:vertAlign w:val="superscript"/>
              </w:rPr>
              <w:t>3</w:t>
            </w:r>
          </w:p>
        </w:tc>
        <w:tc>
          <w:tcPr>
            <w:tcW w:w="611" w:type="pct"/>
            <w:shd w:val="clear" w:color="auto" w:fill="auto"/>
            <w:vAlign w:val="center"/>
          </w:tcPr>
          <w:p w14:paraId="76D52391" w14:textId="3AB04F41" w:rsidR="009279B7" w:rsidRPr="00C34E74" w:rsidRDefault="00206B77" w:rsidP="005F70DE">
            <w:pPr>
              <w:pStyle w:val="TableText0"/>
              <w:keepLines/>
              <w:jc w:val="center"/>
              <w:rPr>
                <w:highlight w:val="darkGray"/>
              </w:rPr>
            </w:pPr>
            <w:r w:rsidRPr="00206B77">
              <w:rPr>
                <w:color w:val="000000"/>
                <w:shd w:val="solid" w:color="000000" w:fill="000000"/>
                <w14:textFill>
                  <w14:solidFill>
                    <w14:srgbClr w14:val="000000">
                      <w14:alpha w14:val="100000"/>
                    </w14:srgbClr>
                  </w14:solidFill>
                </w14:textFill>
              </w:rPr>
              <w:t>|</w:t>
            </w:r>
            <w:r w:rsidR="00E44E27">
              <w:rPr>
                <w:vertAlign w:val="superscript"/>
              </w:rPr>
              <w:t>3</w:t>
            </w:r>
          </w:p>
        </w:tc>
        <w:tc>
          <w:tcPr>
            <w:tcW w:w="611" w:type="pct"/>
            <w:shd w:val="clear" w:color="auto" w:fill="auto"/>
            <w:vAlign w:val="center"/>
          </w:tcPr>
          <w:p w14:paraId="69C276BF" w14:textId="6277ACA5" w:rsidR="009279B7" w:rsidRPr="00C34E74" w:rsidRDefault="00206B77" w:rsidP="005F70DE">
            <w:pPr>
              <w:pStyle w:val="TableText0"/>
              <w:keepLines/>
              <w:jc w:val="center"/>
              <w:rPr>
                <w:highlight w:val="darkGray"/>
              </w:rPr>
            </w:pPr>
            <w:r w:rsidRPr="00206B77">
              <w:rPr>
                <w:color w:val="000000"/>
                <w:shd w:val="solid" w:color="000000" w:fill="000000"/>
                <w14:textFill>
                  <w14:solidFill>
                    <w14:srgbClr w14:val="000000">
                      <w14:alpha w14:val="100000"/>
                    </w14:srgbClr>
                  </w14:solidFill>
                </w14:textFill>
              </w:rPr>
              <w:t>|</w:t>
            </w:r>
            <w:r w:rsidR="00E44E27">
              <w:rPr>
                <w:vertAlign w:val="superscript"/>
              </w:rPr>
              <w:t>3</w:t>
            </w:r>
          </w:p>
        </w:tc>
        <w:tc>
          <w:tcPr>
            <w:tcW w:w="611" w:type="pct"/>
            <w:vAlign w:val="center"/>
          </w:tcPr>
          <w:p w14:paraId="64526E01" w14:textId="2474F60B" w:rsidR="009279B7" w:rsidRPr="00C34E74" w:rsidRDefault="00206B77" w:rsidP="005F70DE">
            <w:pPr>
              <w:pStyle w:val="TableText0"/>
              <w:keepLines/>
              <w:jc w:val="center"/>
              <w:rPr>
                <w:highlight w:val="darkGray"/>
              </w:rPr>
            </w:pPr>
            <w:r w:rsidRPr="00206B77">
              <w:rPr>
                <w:color w:val="000000"/>
                <w:shd w:val="solid" w:color="000000" w:fill="000000"/>
                <w14:textFill>
                  <w14:solidFill>
                    <w14:srgbClr w14:val="000000">
                      <w14:alpha w14:val="100000"/>
                    </w14:srgbClr>
                  </w14:solidFill>
                </w14:textFill>
              </w:rPr>
              <w:t>|</w:t>
            </w:r>
            <w:r w:rsidR="00E44E27">
              <w:rPr>
                <w:vertAlign w:val="superscript"/>
              </w:rPr>
              <w:t>3</w:t>
            </w:r>
          </w:p>
        </w:tc>
      </w:tr>
      <w:tr w:rsidR="00F811DD" w:rsidRPr="005B024E" w14:paraId="275B7D60" w14:textId="77777777" w:rsidTr="00F811DD">
        <w:tc>
          <w:tcPr>
            <w:tcW w:w="5000" w:type="pct"/>
            <w:gridSpan w:val="7"/>
            <w:shd w:val="clear" w:color="auto" w:fill="auto"/>
            <w:vAlign w:val="center"/>
          </w:tcPr>
          <w:p w14:paraId="0EC49A2E" w14:textId="363CB07C" w:rsidR="00F811DD" w:rsidRPr="005B024E" w:rsidRDefault="00F811DD" w:rsidP="005F70DE">
            <w:pPr>
              <w:pStyle w:val="In-tableHeading"/>
              <w:keepLines/>
              <w:rPr>
                <w:lang w:val="en-AU"/>
              </w:rPr>
            </w:pPr>
            <w:r w:rsidRPr="005B024E">
              <w:rPr>
                <w:lang w:val="en-AU"/>
              </w:rPr>
              <w:t>Net financial implications</w:t>
            </w:r>
            <w:r w:rsidRPr="005B024E">
              <w:rPr>
                <w:color w:val="4BACC6" w:themeColor="accent5"/>
                <w:lang w:val="en-AU"/>
              </w:rPr>
              <w:t xml:space="preserve"> </w:t>
            </w:r>
            <w:r w:rsidR="009279B7" w:rsidRPr="005B024E">
              <w:rPr>
                <w:lang w:val="en-AU"/>
              </w:rPr>
              <w:t>to the PBS/RPBS and MBS for the proposed listing of polatuzumab vedotin</w:t>
            </w:r>
          </w:p>
        </w:tc>
      </w:tr>
      <w:tr w:rsidR="00380BE4" w:rsidRPr="005B024E" w14:paraId="10A43300" w14:textId="77777777" w:rsidTr="009C4EDF">
        <w:tc>
          <w:tcPr>
            <w:tcW w:w="1334" w:type="pct"/>
            <w:shd w:val="clear" w:color="auto" w:fill="auto"/>
            <w:vAlign w:val="center"/>
          </w:tcPr>
          <w:p w14:paraId="7BE59B39" w14:textId="5F951991" w:rsidR="00380BE4" w:rsidRPr="005B024E" w:rsidRDefault="00380BE4" w:rsidP="005F70DE">
            <w:pPr>
              <w:pStyle w:val="TableText0"/>
              <w:keepLines/>
              <w:rPr>
                <w:sz w:val="19"/>
                <w:szCs w:val="19"/>
                <w:vertAlign w:val="superscript"/>
              </w:rPr>
            </w:pPr>
            <w:r w:rsidRPr="005B024E">
              <w:rPr>
                <w:sz w:val="19"/>
                <w:szCs w:val="19"/>
              </w:rPr>
              <w:t>Net cost to PBS/RPBS</w:t>
            </w:r>
            <w:r w:rsidR="006D6B26" w:rsidRPr="005B024E">
              <w:rPr>
                <w:sz w:val="19"/>
                <w:szCs w:val="19"/>
                <w:vertAlign w:val="superscript"/>
              </w:rPr>
              <w:t>b,</w:t>
            </w:r>
            <w:r w:rsidR="0090607F" w:rsidRPr="005B024E">
              <w:rPr>
                <w:sz w:val="19"/>
                <w:szCs w:val="19"/>
                <w:vertAlign w:val="superscript"/>
              </w:rPr>
              <w:t>c</w:t>
            </w:r>
          </w:p>
        </w:tc>
        <w:tc>
          <w:tcPr>
            <w:tcW w:w="611" w:type="pct"/>
            <w:shd w:val="clear" w:color="auto" w:fill="auto"/>
          </w:tcPr>
          <w:p w14:paraId="3280C142" w14:textId="3CBDBD1F" w:rsidR="00380BE4" w:rsidRPr="005B024E" w:rsidRDefault="00380BE4" w:rsidP="005F70DE">
            <w:pPr>
              <w:pStyle w:val="TableText0"/>
              <w:keepLines/>
              <w:jc w:val="center"/>
            </w:pPr>
            <w:r w:rsidRPr="005B024E">
              <w:t>$</w:t>
            </w:r>
            <w:r w:rsidR="00206B77" w:rsidRPr="007F2580">
              <w:rPr>
                <w:rFonts w:hint="eastAsia"/>
                <w:color w:val="000000"/>
                <w:w w:val="15"/>
                <w:shd w:val="solid" w:color="000000" w:fill="000000"/>
                <w:fitText w:val="7" w:id="-1301008629"/>
                <w14:textFill>
                  <w14:solidFill>
                    <w14:srgbClr w14:val="000000">
                      <w14:alpha w14:val="100000"/>
                    </w14:srgbClr>
                  </w14:solidFill>
                </w14:textFill>
              </w:rPr>
              <w:t xml:space="preserve">　</w:t>
            </w:r>
            <w:r w:rsidR="00206B77" w:rsidRPr="007F2580">
              <w:rPr>
                <w:color w:val="000000"/>
                <w:w w:val="15"/>
                <w:shd w:val="solid" w:color="000000" w:fill="000000"/>
                <w:fitText w:val="7" w:id="-1301008629"/>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29"/>
                <w14:textFill>
                  <w14:solidFill>
                    <w14:srgbClr w14:val="000000">
                      <w14:alpha w14:val="100000"/>
                    </w14:srgbClr>
                  </w14:solidFill>
                </w14:textFill>
              </w:rPr>
              <w:t xml:space="preserve">　</w:t>
            </w:r>
            <w:r w:rsidR="00AF5A9B">
              <w:rPr>
                <w:vertAlign w:val="superscript"/>
              </w:rPr>
              <w:t>2</w:t>
            </w:r>
          </w:p>
        </w:tc>
        <w:tc>
          <w:tcPr>
            <w:tcW w:w="611" w:type="pct"/>
            <w:shd w:val="clear" w:color="auto" w:fill="auto"/>
          </w:tcPr>
          <w:p w14:paraId="1082DC05" w14:textId="29F93E05" w:rsidR="00380BE4" w:rsidRPr="005B024E" w:rsidRDefault="00380BE4" w:rsidP="005F70DE">
            <w:pPr>
              <w:pStyle w:val="TableText0"/>
              <w:keepLines/>
              <w:jc w:val="center"/>
            </w:pPr>
            <w:r w:rsidRPr="005B024E">
              <w:t>$</w:t>
            </w:r>
            <w:r w:rsidR="00206B77" w:rsidRPr="007F2580">
              <w:rPr>
                <w:rFonts w:hint="eastAsia"/>
                <w:color w:val="000000"/>
                <w:w w:val="15"/>
                <w:shd w:val="solid" w:color="000000" w:fill="000000"/>
                <w:fitText w:val="7" w:id="-1301008628"/>
                <w14:textFill>
                  <w14:solidFill>
                    <w14:srgbClr w14:val="000000">
                      <w14:alpha w14:val="100000"/>
                    </w14:srgbClr>
                  </w14:solidFill>
                </w14:textFill>
              </w:rPr>
              <w:t xml:space="preserve">　</w:t>
            </w:r>
            <w:r w:rsidR="00206B77" w:rsidRPr="007F2580">
              <w:rPr>
                <w:color w:val="000000"/>
                <w:w w:val="15"/>
                <w:shd w:val="solid" w:color="000000" w:fill="000000"/>
                <w:fitText w:val="7" w:id="-1301008628"/>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28"/>
                <w14:textFill>
                  <w14:solidFill>
                    <w14:srgbClr w14:val="000000">
                      <w14:alpha w14:val="100000"/>
                    </w14:srgbClr>
                  </w14:solidFill>
                </w14:textFill>
              </w:rPr>
              <w:t xml:space="preserve">　</w:t>
            </w:r>
            <w:r w:rsidR="00681EE0">
              <w:rPr>
                <w:vertAlign w:val="superscript"/>
              </w:rPr>
              <w:t>2</w:t>
            </w:r>
          </w:p>
        </w:tc>
        <w:tc>
          <w:tcPr>
            <w:tcW w:w="611" w:type="pct"/>
            <w:shd w:val="clear" w:color="auto" w:fill="auto"/>
          </w:tcPr>
          <w:p w14:paraId="073F5388" w14:textId="15D018A3" w:rsidR="00380BE4" w:rsidRPr="005B024E" w:rsidRDefault="00380BE4" w:rsidP="005F70DE">
            <w:pPr>
              <w:pStyle w:val="TableText0"/>
              <w:keepLines/>
              <w:jc w:val="center"/>
            </w:pPr>
            <w:r w:rsidRPr="005B024E">
              <w:t>$</w:t>
            </w:r>
            <w:r w:rsidR="00206B77" w:rsidRPr="007F2580">
              <w:rPr>
                <w:rFonts w:hint="eastAsia"/>
                <w:color w:val="000000"/>
                <w:w w:val="15"/>
                <w:shd w:val="solid" w:color="000000" w:fill="000000"/>
                <w:fitText w:val="7" w:id="-1301008627"/>
                <w14:textFill>
                  <w14:solidFill>
                    <w14:srgbClr w14:val="000000">
                      <w14:alpha w14:val="100000"/>
                    </w14:srgbClr>
                  </w14:solidFill>
                </w14:textFill>
              </w:rPr>
              <w:t xml:space="preserve">　</w:t>
            </w:r>
            <w:r w:rsidR="00206B77" w:rsidRPr="007F2580">
              <w:rPr>
                <w:color w:val="000000"/>
                <w:w w:val="15"/>
                <w:shd w:val="solid" w:color="000000" w:fill="000000"/>
                <w:fitText w:val="7" w:id="-1301008627"/>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27"/>
                <w14:textFill>
                  <w14:solidFill>
                    <w14:srgbClr w14:val="000000">
                      <w14:alpha w14:val="100000"/>
                    </w14:srgbClr>
                  </w14:solidFill>
                </w14:textFill>
              </w:rPr>
              <w:t xml:space="preserve">　</w:t>
            </w:r>
            <w:r w:rsidR="00E44E27">
              <w:rPr>
                <w:vertAlign w:val="superscript"/>
              </w:rPr>
              <w:t>4</w:t>
            </w:r>
          </w:p>
        </w:tc>
        <w:tc>
          <w:tcPr>
            <w:tcW w:w="611" w:type="pct"/>
            <w:shd w:val="clear" w:color="auto" w:fill="auto"/>
          </w:tcPr>
          <w:p w14:paraId="23744639" w14:textId="4917BC99" w:rsidR="00380BE4" w:rsidRPr="005B024E" w:rsidRDefault="00380BE4" w:rsidP="005F70DE">
            <w:pPr>
              <w:pStyle w:val="TableText0"/>
              <w:keepLines/>
              <w:jc w:val="center"/>
            </w:pPr>
            <w:r w:rsidRPr="005B024E">
              <w:t>$</w:t>
            </w:r>
            <w:r w:rsidR="00206B77" w:rsidRPr="007F2580">
              <w:rPr>
                <w:rFonts w:hint="eastAsia"/>
                <w:color w:val="000000"/>
                <w:w w:val="15"/>
                <w:shd w:val="solid" w:color="000000" w:fill="000000"/>
                <w:fitText w:val="7" w:id="-1301008626"/>
                <w14:textFill>
                  <w14:solidFill>
                    <w14:srgbClr w14:val="000000">
                      <w14:alpha w14:val="100000"/>
                    </w14:srgbClr>
                  </w14:solidFill>
                </w14:textFill>
              </w:rPr>
              <w:t xml:space="preserve">　</w:t>
            </w:r>
            <w:r w:rsidR="00206B77" w:rsidRPr="007F2580">
              <w:rPr>
                <w:color w:val="000000"/>
                <w:w w:val="15"/>
                <w:shd w:val="solid" w:color="000000" w:fill="000000"/>
                <w:fitText w:val="7" w:id="-1301008626"/>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26"/>
                <w14:textFill>
                  <w14:solidFill>
                    <w14:srgbClr w14:val="000000">
                      <w14:alpha w14:val="100000"/>
                    </w14:srgbClr>
                  </w14:solidFill>
                </w14:textFill>
              </w:rPr>
              <w:t xml:space="preserve">　</w:t>
            </w:r>
            <w:r w:rsidR="00E44E27">
              <w:rPr>
                <w:vertAlign w:val="superscript"/>
              </w:rPr>
              <w:t>4</w:t>
            </w:r>
          </w:p>
        </w:tc>
        <w:tc>
          <w:tcPr>
            <w:tcW w:w="611" w:type="pct"/>
            <w:shd w:val="clear" w:color="auto" w:fill="auto"/>
          </w:tcPr>
          <w:p w14:paraId="3EB6CCED" w14:textId="423FABB8" w:rsidR="00380BE4" w:rsidRPr="005B024E" w:rsidRDefault="00380BE4" w:rsidP="005F70DE">
            <w:pPr>
              <w:pStyle w:val="TableText0"/>
              <w:keepLines/>
              <w:jc w:val="center"/>
            </w:pPr>
            <w:r w:rsidRPr="005B024E">
              <w:t>$</w:t>
            </w:r>
            <w:r w:rsidR="00206B77" w:rsidRPr="007F2580">
              <w:rPr>
                <w:rFonts w:hint="eastAsia"/>
                <w:color w:val="000000"/>
                <w:w w:val="15"/>
                <w:shd w:val="solid" w:color="000000" w:fill="000000"/>
                <w:fitText w:val="7" w:id="-1301008625"/>
                <w14:textFill>
                  <w14:solidFill>
                    <w14:srgbClr w14:val="000000">
                      <w14:alpha w14:val="100000"/>
                    </w14:srgbClr>
                  </w14:solidFill>
                </w14:textFill>
              </w:rPr>
              <w:t xml:space="preserve">　</w:t>
            </w:r>
            <w:r w:rsidR="00206B77" w:rsidRPr="007F2580">
              <w:rPr>
                <w:color w:val="000000"/>
                <w:w w:val="15"/>
                <w:shd w:val="solid" w:color="000000" w:fill="000000"/>
                <w:fitText w:val="7" w:id="-1301008625"/>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25"/>
                <w14:textFill>
                  <w14:solidFill>
                    <w14:srgbClr w14:val="000000">
                      <w14:alpha w14:val="100000"/>
                    </w14:srgbClr>
                  </w14:solidFill>
                </w14:textFill>
              </w:rPr>
              <w:t xml:space="preserve">　</w:t>
            </w:r>
            <w:r w:rsidR="00E44E27">
              <w:rPr>
                <w:vertAlign w:val="superscript"/>
              </w:rPr>
              <w:t>4</w:t>
            </w:r>
          </w:p>
        </w:tc>
        <w:tc>
          <w:tcPr>
            <w:tcW w:w="611" w:type="pct"/>
          </w:tcPr>
          <w:p w14:paraId="05E0803C" w14:textId="7500C94C" w:rsidR="00380BE4" w:rsidRPr="005B024E" w:rsidRDefault="00380BE4" w:rsidP="005F70DE">
            <w:pPr>
              <w:pStyle w:val="TableText0"/>
              <w:keepLines/>
              <w:jc w:val="center"/>
            </w:pPr>
            <w:r w:rsidRPr="005B024E">
              <w:t>$</w:t>
            </w:r>
            <w:r w:rsidR="00206B77" w:rsidRPr="007F2580">
              <w:rPr>
                <w:rFonts w:hint="eastAsia"/>
                <w:color w:val="000000"/>
                <w:w w:val="15"/>
                <w:shd w:val="solid" w:color="000000" w:fill="000000"/>
                <w:fitText w:val="7" w:id="-1301008624"/>
                <w14:textFill>
                  <w14:solidFill>
                    <w14:srgbClr w14:val="000000">
                      <w14:alpha w14:val="100000"/>
                    </w14:srgbClr>
                  </w14:solidFill>
                </w14:textFill>
              </w:rPr>
              <w:t xml:space="preserve">　</w:t>
            </w:r>
            <w:r w:rsidR="00206B77" w:rsidRPr="007F2580">
              <w:rPr>
                <w:color w:val="000000"/>
                <w:w w:val="15"/>
                <w:shd w:val="solid" w:color="000000" w:fill="000000"/>
                <w:fitText w:val="7" w:id="-1301008624"/>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24"/>
                <w14:textFill>
                  <w14:solidFill>
                    <w14:srgbClr w14:val="000000">
                      <w14:alpha w14:val="100000"/>
                    </w14:srgbClr>
                  </w14:solidFill>
                </w14:textFill>
              </w:rPr>
              <w:t xml:space="preserve">　</w:t>
            </w:r>
            <w:r w:rsidR="00E44E27">
              <w:rPr>
                <w:vertAlign w:val="superscript"/>
              </w:rPr>
              <w:t>4</w:t>
            </w:r>
          </w:p>
        </w:tc>
      </w:tr>
      <w:tr w:rsidR="00380BE4" w:rsidRPr="005B024E" w14:paraId="3A8F76CC" w14:textId="77777777" w:rsidTr="009C4EDF">
        <w:tc>
          <w:tcPr>
            <w:tcW w:w="1334" w:type="pct"/>
            <w:shd w:val="clear" w:color="auto" w:fill="auto"/>
            <w:vAlign w:val="center"/>
          </w:tcPr>
          <w:p w14:paraId="06453922" w14:textId="1338B00B" w:rsidR="00380BE4" w:rsidRPr="005B024E" w:rsidRDefault="00380BE4" w:rsidP="005F70DE">
            <w:pPr>
              <w:pStyle w:val="TableText0"/>
              <w:keepLines/>
              <w:rPr>
                <w:rFonts w:ascii="Times" w:hAnsi="Times"/>
              </w:rPr>
            </w:pPr>
            <w:r w:rsidRPr="005B024E">
              <w:rPr>
                <w:sz w:val="19"/>
                <w:szCs w:val="19"/>
              </w:rPr>
              <w:t>Net cost to MBS</w:t>
            </w:r>
          </w:p>
        </w:tc>
        <w:tc>
          <w:tcPr>
            <w:tcW w:w="611" w:type="pct"/>
            <w:shd w:val="clear" w:color="auto" w:fill="auto"/>
          </w:tcPr>
          <w:p w14:paraId="28AD6E52" w14:textId="7E22F810" w:rsidR="00380BE4" w:rsidRPr="005B024E" w:rsidRDefault="00206B77" w:rsidP="005F70DE">
            <w:pPr>
              <w:pStyle w:val="TableText0"/>
              <w:keepLines/>
              <w:jc w:val="center"/>
            </w:pPr>
            <w:r w:rsidRPr="00206B77">
              <w:rPr>
                <w:color w:val="000000"/>
                <w:shd w:val="solid" w:color="000000" w:fill="000000"/>
                <w14:textFill>
                  <w14:solidFill>
                    <w14:srgbClr w14:val="000000">
                      <w14:alpha w14:val="100000"/>
                    </w14:srgbClr>
                  </w14:solidFill>
                </w14:textFill>
              </w:rPr>
              <w:t>|</w:t>
            </w:r>
            <w:r w:rsidR="00AF5A9B">
              <w:rPr>
                <w:vertAlign w:val="superscript"/>
              </w:rPr>
              <w:t>3</w:t>
            </w:r>
          </w:p>
        </w:tc>
        <w:tc>
          <w:tcPr>
            <w:tcW w:w="611" w:type="pct"/>
            <w:shd w:val="clear" w:color="auto" w:fill="auto"/>
          </w:tcPr>
          <w:p w14:paraId="206E16A2" w14:textId="07A9C675" w:rsidR="00380BE4" w:rsidRPr="00C34E74" w:rsidRDefault="00206B77" w:rsidP="005F70DE">
            <w:pPr>
              <w:pStyle w:val="TableText0"/>
              <w:keepLines/>
              <w:jc w:val="center"/>
              <w:rPr>
                <w:highlight w:val="darkGray"/>
              </w:rPr>
            </w:pPr>
            <w:r w:rsidRPr="00206B77">
              <w:rPr>
                <w:color w:val="000000"/>
                <w:shd w:val="solid" w:color="000000" w:fill="000000"/>
                <w14:textFill>
                  <w14:solidFill>
                    <w14:srgbClr w14:val="000000">
                      <w14:alpha w14:val="100000"/>
                    </w14:srgbClr>
                  </w14:solidFill>
                </w14:textFill>
              </w:rPr>
              <w:t>|</w:t>
            </w:r>
            <w:r w:rsidR="00E44E27">
              <w:rPr>
                <w:vertAlign w:val="superscript"/>
              </w:rPr>
              <w:t>3</w:t>
            </w:r>
          </w:p>
        </w:tc>
        <w:tc>
          <w:tcPr>
            <w:tcW w:w="611" w:type="pct"/>
            <w:shd w:val="clear" w:color="auto" w:fill="auto"/>
          </w:tcPr>
          <w:p w14:paraId="3A670C55" w14:textId="3587BD1F" w:rsidR="00380BE4" w:rsidRPr="00C34E74" w:rsidRDefault="00206B77" w:rsidP="005F70DE">
            <w:pPr>
              <w:pStyle w:val="TableText0"/>
              <w:keepLines/>
              <w:jc w:val="center"/>
              <w:rPr>
                <w:highlight w:val="darkGray"/>
              </w:rPr>
            </w:pPr>
            <w:r w:rsidRPr="00206B77">
              <w:rPr>
                <w:color w:val="000000"/>
                <w:shd w:val="solid" w:color="000000" w:fill="000000"/>
                <w14:textFill>
                  <w14:solidFill>
                    <w14:srgbClr w14:val="000000">
                      <w14:alpha w14:val="100000"/>
                    </w14:srgbClr>
                  </w14:solidFill>
                </w14:textFill>
              </w:rPr>
              <w:t>|</w:t>
            </w:r>
            <w:r w:rsidR="00E44E27">
              <w:rPr>
                <w:vertAlign w:val="superscript"/>
              </w:rPr>
              <w:t>3</w:t>
            </w:r>
          </w:p>
        </w:tc>
        <w:tc>
          <w:tcPr>
            <w:tcW w:w="611" w:type="pct"/>
            <w:shd w:val="clear" w:color="auto" w:fill="auto"/>
          </w:tcPr>
          <w:p w14:paraId="1E50FDA9" w14:textId="49BA0D9F" w:rsidR="00380BE4" w:rsidRPr="00C34E74" w:rsidRDefault="00206B77" w:rsidP="005F70DE">
            <w:pPr>
              <w:pStyle w:val="TableText0"/>
              <w:keepLines/>
              <w:jc w:val="center"/>
              <w:rPr>
                <w:highlight w:val="darkGray"/>
              </w:rPr>
            </w:pPr>
            <w:r w:rsidRPr="00206B77">
              <w:rPr>
                <w:color w:val="000000"/>
                <w:shd w:val="solid" w:color="000000" w:fill="000000"/>
                <w14:textFill>
                  <w14:solidFill>
                    <w14:srgbClr w14:val="000000">
                      <w14:alpha w14:val="100000"/>
                    </w14:srgbClr>
                  </w14:solidFill>
                </w14:textFill>
              </w:rPr>
              <w:t>|</w:t>
            </w:r>
            <w:r w:rsidR="00E44E27">
              <w:rPr>
                <w:vertAlign w:val="superscript"/>
              </w:rPr>
              <w:t>3</w:t>
            </w:r>
          </w:p>
        </w:tc>
        <w:tc>
          <w:tcPr>
            <w:tcW w:w="611" w:type="pct"/>
            <w:shd w:val="clear" w:color="auto" w:fill="auto"/>
          </w:tcPr>
          <w:p w14:paraId="241FFBA3" w14:textId="7161FFBC" w:rsidR="00380BE4" w:rsidRPr="00C34E74" w:rsidRDefault="00206B77" w:rsidP="005F70DE">
            <w:pPr>
              <w:pStyle w:val="TableText0"/>
              <w:keepLines/>
              <w:jc w:val="center"/>
              <w:rPr>
                <w:highlight w:val="darkGray"/>
              </w:rPr>
            </w:pPr>
            <w:r w:rsidRPr="00206B77">
              <w:rPr>
                <w:color w:val="000000"/>
                <w:shd w:val="solid" w:color="000000" w:fill="000000"/>
                <w14:textFill>
                  <w14:solidFill>
                    <w14:srgbClr w14:val="000000">
                      <w14:alpha w14:val="100000"/>
                    </w14:srgbClr>
                  </w14:solidFill>
                </w14:textFill>
              </w:rPr>
              <w:t>|</w:t>
            </w:r>
            <w:r w:rsidR="00E44E27">
              <w:rPr>
                <w:vertAlign w:val="superscript"/>
              </w:rPr>
              <w:t>3</w:t>
            </w:r>
          </w:p>
        </w:tc>
        <w:tc>
          <w:tcPr>
            <w:tcW w:w="611" w:type="pct"/>
          </w:tcPr>
          <w:p w14:paraId="7A055B60" w14:textId="0F38D789" w:rsidR="00380BE4" w:rsidRPr="00C34E74" w:rsidRDefault="00206B77" w:rsidP="005F70DE">
            <w:pPr>
              <w:pStyle w:val="TableText0"/>
              <w:keepLines/>
              <w:jc w:val="center"/>
              <w:rPr>
                <w:highlight w:val="darkGray"/>
              </w:rPr>
            </w:pPr>
            <w:r w:rsidRPr="00206B77">
              <w:rPr>
                <w:color w:val="000000"/>
                <w:shd w:val="solid" w:color="000000" w:fill="000000"/>
                <w14:textFill>
                  <w14:solidFill>
                    <w14:srgbClr w14:val="000000">
                      <w14:alpha w14:val="100000"/>
                    </w14:srgbClr>
                  </w14:solidFill>
                </w14:textFill>
              </w:rPr>
              <w:t>|</w:t>
            </w:r>
            <w:r w:rsidR="00E44E27">
              <w:rPr>
                <w:vertAlign w:val="superscript"/>
              </w:rPr>
              <w:t>3</w:t>
            </w:r>
          </w:p>
        </w:tc>
      </w:tr>
      <w:tr w:rsidR="00380BE4" w:rsidRPr="005B024E" w14:paraId="62B8B427" w14:textId="77777777" w:rsidTr="009C4EDF">
        <w:tc>
          <w:tcPr>
            <w:tcW w:w="1334" w:type="pct"/>
            <w:shd w:val="clear" w:color="auto" w:fill="auto"/>
            <w:vAlign w:val="center"/>
          </w:tcPr>
          <w:p w14:paraId="2CCD52F1" w14:textId="48DDF62D" w:rsidR="00380BE4" w:rsidRPr="005B024E" w:rsidRDefault="00380BE4" w:rsidP="005F70DE">
            <w:pPr>
              <w:pStyle w:val="TableText0"/>
              <w:keepLines/>
              <w:rPr>
                <w:sz w:val="19"/>
                <w:szCs w:val="19"/>
              </w:rPr>
            </w:pPr>
            <w:r w:rsidRPr="005B024E">
              <w:rPr>
                <w:sz w:val="19"/>
                <w:szCs w:val="19"/>
              </w:rPr>
              <w:t>Net cost to PBS/RPBS and MBS</w:t>
            </w:r>
          </w:p>
        </w:tc>
        <w:tc>
          <w:tcPr>
            <w:tcW w:w="611" w:type="pct"/>
            <w:shd w:val="clear" w:color="auto" w:fill="auto"/>
          </w:tcPr>
          <w:p w14:paraId="5BF3B16E" w14:textId="60B97059" w:rsidR="00380BE4" w:rsidRPr="005B024E" w:rsidRDefault="00380BE4" w:rsidP="005F70DE">
            <w:pPr>
              <w:pStyle w:val="TableText0"/>
              <w:keepLines/>
              <w:jc w:val="center"/>
            </w:pPr>
            <w:r w:rsidRPr="005B024E">
              <w:t>$</w:t>
            </w:r>
            <w:r w:rsidR="00206B77" w:rsidRPr="007F2580">
              <w:rPr>
                <w:rFonts w:hint="eastAsia"/>
                <w:color w:val="000000"/>
                <w:w w:val="15"/>
                <w:shd w:val="solid" w:color="000000" w:fill="000000"/>
                <w:fitText w:val="7" w:id="-1301008640"/>
                <w14:textFill>
                  <w14:solidFill>
                    <w14:srgbClr w14:val="000000">
                      <w14:alpha w14:val="100000"/>
                    </w14:srgbClr>
                  </w14:solidFill>
                </w14:textFill>
              </w:rPr>
              <w:t xml:space="preserve">　</w:t>
            </w:r>
            <w:r w:rsidR="00206B77" w:rsidRPr="007F2580">
              <w:rPr>
                <w:color w:val="000000"/>
                <w:w w:val="15"/>
                <w:shd w:val="solid" w:color="000000" w:fill="000000"/>
                <w:fitText w:val="7" w:id="-1301008640"/>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40"/>
                <w14:textFill>
                  <w14:solidFill>
                    <w14:srgbClr w14:val="000000">
                      <w14:alpha w14:val="100000"/>
                    </w14:srgbClr>
                  </w14:solidFill>
                </w14:textFill>
              </w:rPr>
              <w:t xml:space="preserve">　</w:t>
            </w:r>
            <w:r w:rsidR="00AF5A9B">
              <w:rPr>
                <w:vertAlign w:val="superscript"/>
              </w:rPr>
              <w:t>2</w:t>
            </w:r>
          </w:p>
        </w:tc>
        <w:tc>
          <w:tcPr>
            <w:tcW w:w="611" w:type="pct"/>
            <w:shd w:val="clear" w:color="auto" w:fill="auto"/>
          </w:tcPr>
          <w:p w14:paraId="2EEAA68C" w14:textId="6A72757F" w:rsidR="00380BE4" w:rsidRPr="005B024E" w:rsidRDefault="00380BE4" w:rsidP="005F70DE">
            <w:pPr>
              <w:pStyle w:val="TableText0"/>
              <w:keepLines/>
              <w:jc w:val="center"/>
            </w:pPr>
            <w:r w:rsidRPr="005B024E">
              <w:t>$</w:t>
            </w:r>
            <w:r w:rsidR="00206B77" w:rsidRPr="007F2580">
              <w:rPr>
                <w:rFonts w:hint="eastAsia"/>
                <w:color w:val="000000"/>
                <w:w w:val="15"/>
                <w:shd w:val="solid" w:color="000000" w:fill="000000"/>
                <w:fitText w:val="7" w:id="-1301008639"/>
                <w14:textFill>
                  <w14:solidFill>
                    <w14:srgbClr w14:val="000000">
                      <w14:alpha w14:val="100000"/>
                    </w14:srgbClr>
                  </w14:solidFill>
                </w14:textFill>
              </w:rPr>
              <w:t xml:space="preserve">　</w:t>
            </w:r>
            <w:r w:rsidR="00206B77" w:rsidRPr="007F2580">
              <w:rPr>
                <w:color w:val="000000"/>
                <w:w w:val="15"/>
                <w:shd w:val="solid" w:color="000000" w:fill="000000"/>
                <w:fitText w:val="7" w:id="-1301008639"/>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9"/>
                <w14:textFill>
                  <w14:solidFill>
                    <w14:srgbClr w14:val="000000">
                      <w14:alpha w14:val="100000"/>
                    </w14:srgbClr>
                  </w14:solidFill>
                </w14:textFill>
              </w:rPr>
              <w:t xml:space="preserve">　</w:t>
            </w:r>
            <w:r w:rsidR="00681EE0">
              <w:rPr>
                <w:vertAlign w:val="superscript"/>
              </w:rPr>
              <w:t>2</w:t>
            </w:r>
          </w:p>
        </w:tc>
        <w:tc>
          <w:tcPr>
            <w:tcW w:w="611" w:type="pct"/>
            <w:shd w:val="clear" w:color="auto" w:fill="auto"/>
          </w:tcPr>
          <w:p w14:paraId="7B041DAD" w14:textId="1708528A" w:rsidR="00380BE4" w:rsidRPr="005B024E" w:rsidRDefault="00380BE4" w:rsidP="005F70DE">
            <w:pPr>
              <w:pStyle w:val="TableText0"/>
              <w:keepLines/>
              <w:jc w:val="center"/>
            </w:pPr>
            <w:r w:rsidRPr="005B024E">
              <w:t>$</w:t>
            </w:r>
            <w:r w:rsidR="00206B77" w:rsidRPr="007F2580">
              <w:rPr>
                <w:rFonts w:hint="eastAsia"/>
                <w:color w:val="000000"/>
                <w:w w:val="15"/>
                <w:shd w:val="solid" w:color="000000" w:fill="000000"/>
                <w:fitText w:val="7" w:id="-1301008638"/>
                <w14:textFill>
                  <w14:solidFill>
                    <w14:srgbClr w14:val="000000">
                      <w14:alpha w14:val="100000"/>
                    </w14:srgbClr>
                  </w14:solidFill>
                </w14:textFill>
              </w:rPr>
              <w:t xml:space="preserve">　</w:t>
            </w:r>
            <w:r w:rsidR="00206B77" w:rsidRPr="007F2580">
              <w:rPr>
                <w:color w:val="000000"/>
                <w:w w:val="15"/>
                <w:shd w:val="solid" w:color="000000" w:fill="000000"/>
                <w:fitText w:val="7" w:id="-1301008638"/>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8"/>
                <w14:textFill>
                  <w14:solidFill>
                    <w14:srgbClr w14:val="000000">
                      <w14:alpha w14:val="100000"/>
                    </w14:srgbClr>
                  </w14:solidFill>
                </w14:textFill>
              </w:rPr>
              <w:t xml:space="preserve">　</w:t>
            </w:r>
            <w:r w:rsidR="00E44E27">
              <w:rPr>
                <w:vertAlign w:val="superscript"/>
              </w:rPr>
              <w:t>4</w:t>
            </w:r>
          </w:p>
        </w:tc>
        <w:tc>
          <w:tcPr>
            <w:tcW w:w="611" w:type="pct"/>
            <w:shd w:val="clear" w:color="auto" w:fill="auto"/>
          </w:tcPr>
          <w:p w14:paraId="67F3675D" w14:textId="091DA35C" w:rsidR="00380BE4" w:rsidRPr="005B024E" w:rsidRDefault="00380BE4" w:rsidP="005F70DE">
            <w:pPr>
              <w:pStyle w:val="TableText0"/>
              <w:keepLines/>
              <w:jc w:val="center"/>
            </w:pPr>
            <w:r w:rsidRPr="005B024E">
              <w:t>$</w:t>
            </w:r>
            <w:r w:rsidR="00206B77" w:rsidRPr="007F2580">
              <w:rPr>
                <w:rFonts w:hint="eastAsia"/>
                <w:color w:val="000000"/>
                <w:w w:val="15"/>
                <w:shd w:val="solid" w:color="000000" w:fill="000000"/>
                <w:fitText w:val="7" w:id="-1301008637"/>
                <w14:textFill>
                  <w14:solidFill>
                    <w14:srgbClr w14:val="000000">
                      <w14:alpha w14:val="100000"/>
                    </w14:srgbClr>
                  </w14:solidFill>
                </w14:textFill>
              </w:rPr>
              <w:t xml:space="preserve">　</w:t>
            </w:r>
            <w:r w:rsidR="00206B77" w:rsidRPr="007F2580">
              <w:rPr>
                <w:color w:val="000000"/>
                <w:w w:val="15"/>
                <w:shd w:val="solid" w:color="000000" w:fill="000000"/>
                <w:fitText w:val="7" w:id="-1301008637"/>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7"/>
                <w14:textFill>
                  <w14:solidFill>
                    <w14:srgbClr w14:val="000000">
                      <w14:alpha w14:val="100000"/>
                    </w14:srgbClr>
                  </w14:solidFill>
                </w14:textFill>
              </w:rPr>
              <w:t xml:space="preserve">　</w:t>
            </w:r>
            <w:r w:rsidR="00E44E27">
              <w:rPr>
                <w:vertAlign w:val="superscript"/>
              </w:rPr>
              <w:t>4</w:t>
            </w:r>
          </w:p>
        </w:tc>
        <w:tc>
          <w:tcPr>
            <w:tcW w:w="611" w:type="pct"/>
            <w:shd w:val="clear" w:color="auto" w:fill="auto"/>
          </w:tcPr>
          <w:p w14:paraId="7FD13BD0" w14:textId="42407145" w:rsidR="00380BE4" w:rsidRPr="005B024E" w:rsidRDefault="00380BE4" w:rsidP="005F70DE">
            <w:pPr>
              <w:pStyle w:val="TableText0"/>
              <w:keepLines/>
              <w:jc w:val="center"/>
            </w:pPr>
            <w:r w:rsidRPr="005B024E">
              <w:t>$</w:t>
            </w:r>
            <w:r w:rsidR="00206B77" w:rsidRPr="007F2580">
              <w:rPr>
                <w:rFonts w:hint="eastAsia"/>
                <w:color w:val="000000"/>
                <w:w w:val="15"/>
                <w:shd w:val="solid" w:color="000000" w:fill="000000"/>
                <w:fitText w:val="7" w:id="-1301008636"/>
                <w14:textFill>
                  <w14:solidFill>
                    <w14:srgbClr w14:val="000000">
                      <w14:alpha w14:val="100000"/>
                    </w14:srgbClr>
                  </w14:solidFill>
                </w14:textFill>
              </w:rPr>
              <w:t xml:space="preserve">　</w:t>
            </w:r>
            <w:r w:rsidR="00206B77" w:rsidRPr="007F2580">
              <w:rPr>
                <w:color w:val="000000"/>
                <w:w w:val="15"/>
                <w:shd w:val="solid" w:color="000000" w:fill="000000"/>
                <w:fitText w:val="7" w:id="-1301008636"/>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6"/>
                <w14:textFill>
                  <w14:solidFill>
                    <w14:srgbClr w14:val="000000">
                      <w14:alpha w14:val="100000"/>
                    </w14:srgbClr>
                  </w14:solidFill>
                </w14:textFill>
              </w:rPr>
              <w:t xml:space="preserve">　</w:t>
            </w:r>
            <w:r w:rsidR="00E44E27">
              <w:rPr>
                <w:vertAlign w:val="superscript"/>
              </w:rPr>
              <w:t>4</w:t>
            </w:r>
          </w:p>
        </w:tc>
        <w:tc>
          <w:tcPr>
            <w:tcW w:w="611" w:type="pct"/>
          </w:tcPr>
          <w:p w14:paraId="18F0A362" w14:textId="0170231A" w:rsidR="00380BE4" w:rsidRPr="005B024E" w:rsidRDefault="00380BE4" w:rsidP="005F70DE">
            <w:pPr>
              <w:pStyle w:val="TableText0"/>
              <w:keepLines/>
              <w:jc w:val="center"/>
            </w:pPr>
            <w:r w:rsidRPr="005B024E">
              <w:t>$</w:t>
            </w:r>
            <w:r w:rsidR="00206B77" w:rsidRPr="007F2580">
              <w:rPr>
                <w:rFonts w:hint="eastAsia"/>
                <w:color w:val="000000"/>
                <w:w w:val="15"/>
                <w:shd w:val="solid" w:color="000000" w:fill="000000"/>
                <w:fitText w:val="7" w:id="-1301008635"/>
                <w14:textFill>
                  <w14:solidFill>
                    <w14:srgbClr w14:val="000000">
                      <w14:alpha w14:val="100000"/>
                    </w14:srgbClr>
                  </w14:solidFill>
                </w14:textFill>
              </w:rPr>
              <w:t xml:space="preserve">　</w:t>
            </w:r>
            <w:r w:rsidR="00206B77" w:rsidRPr="007F2580">
              <w:rPr>
                <w:color w:val="000000"/>
                <w:w w:val="15"/>
                <w:shd w:val="solid" w:color="000000" w:fill="000000"/>
                <w:fitText w:val="7" w:id="-1301008635"/>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5"/>
                <w14:textFill>
                  <w14:solidFill>
                    <w14:srgbClr w14:val="000000">
                      <w14:alpha w14:val="100000"/>
                    </w14:srgbClr>
                  </w14:solidFill>
                </w14:textFill>
              </w:rPr>
              <w:t xml:space="preserve">　</w:t>
            </w:r>
            <w:r w:rsidR="00E44E27">
              <w:rPr>
                <w:vertAlign w:val="superscript"/>
              </w:rPr>
              <w:t>4</w:t>
            </w:r>
          </w:p>
        </w:tc>
      </w:tr>
      <w:tr w:rsidR="00610067" w:rsidRPr="0047142A" w14:paraId="3B92DFC2" w14:textId="77777777" w:rsidTr="00610067">
        <w:tc>
          <w:tcPr>
            <w:tcW w:w="5000" w:type="pct"/>
            <w:gridSpan w:val="7"/>
            <w:shd w:val="clear" w:color="auto" w:fill="auto"/>
            <w:vAlign w:val="center"/>
          </w:tcPr>
          <w:p w14:paraId="7702A578" w14:textId="0E4D0AB6" w:rsidR="00610067" w:rsidRPr="00476211" w:rsidRDefault="00610067" w:rsidP="005F70DE">
            <w:pPr>
              <w:pStyle w:val="TableText0"/>
              <w:keepLines/>
              <w:rPr>
                <w:b/>
                <w:bCs w:val="0"/>
              </w:rPr>
            </w:pPr>
            <w:r w:rsidRPr="00476211">
              <w:rPr>
                <w:b/>
                <w:bCs w:val="0"/>
              </w:rPr>
              <w:t>Revised estimates provided in the PSCR</w:t>
            </w:r>
          </w:p>
        </w:tc>
      </w:tr>
      <w:tr w:rsidR="00610067" w:rsidRPr="0047142A" w14:paraId="69827FB1" w14:textId="77777777" w:rsidTr="00347AFB">
        <w:tc>
          <w:tcPr>
            <w:tcW w:w="5000" w:type="pct"/>
            <w:gridSpan w:val="7"/>
            <w:shd w:val="clear" w:color="auto" w:fill="auto"/>
            <w:vAlign w:val="center"/>
          </w:tcPr>
          <w:p w14:paraId="436735A9" w14:textId="77777777" w:rsidR="00610067" w:rsidRPr="00476211" w:rsidRDefault="00610067" w:rsidP="005F70DE">
            <w:pPr>
              <w:pStyle w:val="In-tableHeading"/>
              <w:keepLines/>
              <w:rPr>
                <w:bCs/>
                <w:color w:val="000000"/>
                <w:lang w:val="en-AU"/>
              </w:rPr>
            </w:pPr>
            <w:r w:rsidRPr="00476211">
              <w:rPr>
                <w:bCs/>
                <w:color w:val="000000"/>
                <w:lang w:val="en-AU"/>
              </w:rPr>
              <w:t>Estimated extent of use</w:t>
            </w:r>
          </w:p>
        </w:tc>
      </w:tr>
      <w:tr w:rsidR="00610067" w:rsidRPr="0047142A" w14:paraId="197DDF0E" w14:textId="77777777" w:rsidTr="00347AFB">
        <w:tc>
          <w:tcPr>
            <w:tcW w:w="1334" w:type="pct"/>
            <w:shd w:val="clear" w:color="auto" w:fill="auto"/>
            <w:vAlign w:val="center"/>
          </w:tcPr>
          <w:p w14:paraId="4E698756" w14:textId="77777777" w:rsidR="00610067" w:rsidRPr="00476211" w:rsidRDefault="00610067" w:rsidP="005F70DE">
            <w:pPr>
              <w:pStyle w:val="TableText0"/>
              <w:keepLines/>
              <w:rPr>
                <w:rFonts w:ascii="Times" w:hAnsi="Times"/>
              </w:rPr>
            </w:pPr>
            <w:r w:rsidRPr="00476211">
              <w:t>Number of patients treated</w:t>
            </w:r>
          </w:p>
        </w:tc>
        <w:tc>
          <w:tcPr>
            <w:tcW w:w="611" w:type="pct"/>
            <w:shd w:val="clear" w:color="auto" w:fill="auto"/>
          </w:tcPr>
          <w:p w14:paraId="4179C682" w14:textId="24A99FAC" w:rsidR="00610067" w:rsidRPr="00476211" w:rsidRDefault="00206B77" w:rsidP="005F70DE">
            <w:pPr>
              <w:pStyle w:val="TableText0"/>
              <w:keepLines/>
              <w:jc w:val="center"/>
              <w:rPr>
                <w:color w:val="000000"/>
              </w:rPr>
            </w:pPr>
            <w:r w:rsidRPr="00206B77">
              <w:rPr>
                <w:color w:val="000000"/>
                <w:shd w:val="solid" w:color="000000" w:fill="000000"/>
                <w14:textFill>
                  <w14:solidFill>
                    <w14:srgbClr w14:val="000000">
                      <w14:alpha w14:val="100000"/>
                    </w14:srgbClr>
                  </w14:solidFill>
                </w14:textFill>
              </w:rPr>
              <w:t>|</w:t>
            </w:r>
            <w:r w:rsidR="00AF5A9B" w:rsidRPr="00A80549">
              <w:rPr>
                <w:vertAlign w:val="superscript"/>
              </w:rPr>
              <w:t>1</w:t>
            </w:r>
          </w:p>
        </w:tc>
        <w:tc>
          <w:tcPr>
            <w:tcW w:w="611" w:type="pct"/>
            <w:shd w:val="clear" w:color="auto" w:fill="auto"/>
          </w:tcPr>
          <w:p w14:paraId="77C14203" w14:textId="6F666670" w:rsidR="00610067" w:rsidRPr="00681EE0" w:rsidRDefault="00206B77" w:rsidP="005F70DE">
            <w:pPr>
              <w:pStyle w:val="TableText0"/>
              <w:keepLines/>
              <w:jc w:val="center"/>
              <w:rPr>
                <w:color w:val="000000"/>
                <w:highlight w:val="darkGray"/>
              </w:rPr>
            </w:pPr>
            <w:r w:rsidRPr="00206B77">
              <w:rPr>
                <w:color w:val="000000"/>
                <w:shd w:val="solid" w:color="000000" w:fill="000000"/>
                <w14:textFill>
                  <w14:solidFill>
                    <w14:srgbClr w14:val="000000">
                      <w14:alpha w14:val="100000"/>
                    </w14:srgbClr>
                  </w14:solidFill>
                </w14:textFill>
              </w:rPr>
              <w:t>|</w:t>
            </w:r>
            <w:r w:rsidR="00681EE0" w:rsidRPr="00A80549">
              <w:rPr>
                <w:vertAlign w:val="superscript"/>
              </w:rPr>
              <w:t>1</w:t>
            </w:r>
          </w:p>
        </w:tc>
        <w:tc>
          <w:tcPr>
            <w:tcW w:w="611" w:type="pct"/>
            <w:shd w:val="clear" w:color="auto" w:fill="auto"/>
          </w:tcPr>
          <w:p w14:paraId="4C0E76A8" w14:textId="3F26A2E0" w:rsidR="00610067" w:rsidRPr="00681EE0" w:rsidRDefault="00206B77" w:rsidP="005F70DE">
            <w:pPr>
              <w:pStyle w:val="TableText0"/>
              <w:keepLines/>
              <w:jc w:val="center"/>
              <w:rPr>
                <w:color w:val="000000"/>
                <w:highlight w:val="darkGray"/>
              </w:rPr>
            </w:pPr>
            <w:r w:rsidRPr="00206B77">
              <w:rPr>
                <w:color w:val="000000"/>
                <w:shd w:val="solid" w:color="000000" w:fill="000000"/>
                <w14:textFill>
                  <w14:solidFill>
                    <w14:srgbClr w14:val="000000">
                      <w14:alpha w14:val="100000"/>
                    </w14:srgbClr>
                  </w14:solidFill>
                </w14:textFill>
              </w:rPr>
              <w:t>|</w:t>
            </w:r>
            <w:r w:rsidR="00681EE0" w:rsidRPr="00A80549">
              <w:rPr>
                <w:vertAlign w:val="superscript"/>
              </w:rPr>
              <w:t>1</w:t>
            </w:r>
          </w:p>
        </w:tc>
        <w:tc>
          <w:tcPr>
            <w:tcW w:w="611" w:type="pct"/>
            <w:shd w:val="clear" w:color="auto" w:fill="auto"/>
          </w:tcPr>
          <w:p w14:paraId="61EAF7C0" w14:textId="24D11B50" w:rsidR="00610067" w:rsidRPr="00681EE0" w:rsidRDefault="00206B77" w:rsidP="005F70DE">
            <w:pPr>
              <w:pStyle w:val="TableText0"/>
              <w:keepLines/>
              <w:jc w:val="center"/>
              <w:rPr>
                <w:color w:val="000000"/>
                <w:highlight w:val="darkGray"/>
              </w:rPr>
            </w:pPr>
            <w:r w:rsidRPr="00206B77">
              <w:rPr>
                <w:color w:val="000000"/>
                <w:shd w:val="solid" w:color="000000" w:fill="000000"/>
                <w14:textFill>
                  <w14:solidFill>
                    <w14:srgbClr w14:val="000000">
                      <w14:alpha w14:val="100000"/>
                    </w14:srgbClr>
                  </w14:solidFill>
                </w14:textFill>
              </w:rPr>
              <w:t>|</w:t>
            </w:r>
            <w:r w:rsidR="00681EE0" w:rsidRPr="00A80549">
              <w:rPr>
                <w:vertAlign w:val="superscript"/>
              </w:rPr>
              <w:t>1</w:t>
            </w:r>
          </w:p>
        </w:tc>
        <w:tc>
          <w:tcPr>
            <w:tcW w:w="611" w:type="pct"/>
            <w:shd w:val="clear" w:color="auto" w:fill="auto"/>
          </w:tcPr>
          <w:p w14:paraId="0E2F7019" w14:textId="092F886A" w:rsidR="00610067" w:rsidRPr="00681EE0" w:rsidRDefault="00206B77" w:rsidP="005F70DE">
            <w:pPr>
              <w:pStyle w:val="TableText0"/>
              <w:keepLines/>
              <w:jc w:val="center"/>
              <w:rPr>
                <w:color w:val="000000"/>
                <w:highlight w:val="darkGray"/>
              </w:rPr>
            </w:pPr>
            <w:r w:rsidRPr="00206B77">
              <w:rPr>
                <w:color w:val="000000"/>
                <w:shd w:val="solid" w:color="000000" w:fill="000000"/>
                <w14:textFill>
                  <w14:solidFill>
                    <w14:srgbClr w14:val="000000">
                      <w14:alpha w14:val="100000"/>
                    </w14:srgbClr>
                  </w14:solidFill>
                </w14:textFill>
              </w:rPr>
              <w:t>|</w:t>
            </w:r>
            <w:r w:rsidR="00681EE0" w:rsidRPr="00A80549">
              <w:rPr>
                <w:vertAlign w:val="superscript"/>
              </w:rPr>
              <w:t>1</w:t>
            </w:r>
          </w:p>
        </w:tc>
        <w:tc>
          <w:tcPr>
            <w:tcW w:w="611" w:type="pct"/>
          </w:tcPr>
          <w:p w14:paraId="4CEC1F69" w14:textId="556939A6" w:rsidR="00610067" w:rsidRPr="00681EE0" w:rsidRDefault="00206B77" w:rsidP="005F70DE">
            <w:pPr>
              <w:pStyle w:val="TableText0"/>
              <w:keepLines/>
              <w:jc w:val="center"/>
              <w:rPr>
                <w:color w:val="000000"/>
                <w:highlight w:val="darkGray"/>
              </w:rPr>
            </w:pPr>
            <w:r w:rsidRPr="00206B77">
              <w:rPr>
                <w:color w:val="000000"/>
                <w:shd w:val="solid" w:color="000000" w:fill="000000"/>
                <w14:textFill>
                  <w14:solidFill>
                    <w14:srgbClr w14:val="000000">
                      <w14:alpha w14:val="100000"/>
                    </w14:srgbClr>
                  </w14:solidFill>
                </w14:textFill>
              </w:rPr>
              <w:t>|</w:t>
            </w:r>
            <w:r w:rsidR="00681EE0" w:rsidRPr="00A80549">
              <w:rPr>
                <w:vertAlign w:val="superscript"/>
              </w:rPr>
              <w:t>1</w:t>
            </w:r>
          </w:p>
        </w:tc>
      </w:tr>
      <w:tr w:rsidR="00610067" w:rsidRPr="0047142A" w14:paraId="54E667E7" w14:textId="77777777" w:rsidTr="00347AFB">
        <w:tc>
          <w:tcPr>
            <w:tcW w:w="1334" w:type="pct"/>
            <w:shd w:val="clear" w:color="auto" w:fill="auto"/>
            <w:vAlign w:val="center"/>
          </w:tcPr>
          <w:p w14:paraId="0CE2E2BF" w14:textId="77777777" w:rsidR="00610067" w:rsidRPr="00476211" w:rsidRDefault="00610067" w:rsidP="005F70DE">
            <w:pPr>
              <w:pStyle w:val="TableText0"/>
              <w:keepLines/>
              <w:rPr>
                <w:rFonts w:ascii="Times" w:hAnsi="Times"/>
              </w:rPr>
            </w:pPr>
            <w:r w:rsidRPr="00476211">
              <w:t>Number of scripts dispensed</w:t>
            </w:r>
            <w:r w:rsidRPr="00476211">
              <w:rPr>
                <w:vertAlign w:val="superscript"/>
              </w:rPr>
              <w:t>a</w:t>
            </w:r>
          </w:p>
        </w:tc>
        <w:tc>
          <w:tcPr>
            <w:tcW w:w="611" w:type="pct"/>
            <w:shd w:val="clear" w:color="auto" w:fill="auto"/>
          </w:tcPr>
          <w:p w14:paraId="772177E0" w14:textId="3C4648EF" w:rsidR="00610067" w:rsidRPr="00476211" w:rsidRDefault="00206B77" w:rsidP="005F70DE">
            <w:pPr>
              <w:pStyle w:val="TableText0"/>
              <w:keepLines/>
              <w:jc w:val="center"/>
              <w:rPr>
                <w:color w:val="000000"/>
              </w:rPr>
            </w:pPr>
            <w:r w:rsidRPr="00206B77">
              <w:rPr>
                <w:color w:val="000000"/>
                <w:shd w:val="solid" w:color="000000" w:fill="000000"/>
                <w14:textFill>
                  <w14:solidFill>
                    <w14:srgbClr w14:val="000000">
                      <w14:alpha w14:val="100000"/>
                    </w14:srgbClr>
                  </w14:solidFill>
                </w14:textFill>
              </w:rPr>
              <w:t>|</w:t>
            </w:r>
            <w:r w:rsidR="00AF5A9B" w:rsidRPr="00A80549">
              <w:rPr>
                <w:vertAlign w:val="superscript"/>
              </w:rPr>
              <w:t>1</w:t>
            </w:r>
          </w:p>
        </w:tc>
        <w:tc>
          <w:tcPr>
            <w:tcW w:w="611" w:type="pct"/>
            <w:shd w:val="clear" w:color="auto" w:fill="auto"/>
          </w:tcPr>
          <w:p w14:paraId="5A00B8F2" w14:textId="30AF2824" w:rsidR="00610067" w:rsidRPr="00681EE0" w:rsidRDefault="00206B77" w:rsidP="005F70DE">
            <w:pPr>
              <w:pStyle w:val="TableText0"/>
              <w:keepLines/>
              <w:jc w:val="center"/>
              <w:rPr>
                <w:color w:val="000000"/>
                <w:highlight w:val="darkGray"/>
              </w:rPr>
            </w:pPr>
            <w:r w:rsidRPr="00206B77">
              <w:rPr>
                <w:color w:val="000000"/>
                <w:shd w:val="solid" w:color="000000" w:fill="000000"/>
                <w14:textFill>
                  <w14:solidFill>
                    <w14:srgbClr w14:val="000000">
                      <w14:alpha w14:val="100000"/>
                    </w14:srgbClr>
                  </w14:solidFill>
                </w14:textFill>
              </w:rPr>
              <w:t>|</w:t>
            </w:r>
            <w:r w:rsidR="00681EE0" w:rsidRPr="00A80549">
              <w:rPr>
                <w:vertAlign w:val="superscript"/>
              </w:rPr>
              <w:t>1</w:t>
            </w:r>
          </w:p>
        </w:tc>
        <w:tc>
          <w:tcPr>
            <w:tcW w:w="611" w:type="pct"/>
            <w:shd w:val="clear" w:color="auto" w:fill="auto"/>
          </w:tcPr>
          <w:p w14:paraId="68C3FD65" w14:textId="419342EF" w:rsidR="00610067" w:rsidRPr="00681EE0" w:rsidRDefault="00206B77" w:rsidP="005F70DE">
            <w:pPr>
              <w:pStyle w:val="TableText0"/>
              <w:keepLines/>
              <w:jc w:val="center"/>
              <w:rPr>
                <w:color w:val="000000"/>
                <w:highlight w:val="darkGray"/>
              </w:rPr>
            </w:pPr>
            <w:r w:rsidRPr="00206B77">
              <w:rPr>
                <w:color w:val="000000"/>
                <w:shd w:val="solid" w:color="000000" w:fill="000000"/>
                <w14:textFill>
                  <w14:solidFill>
                    <w14:srgbClr w14:val="000000">
                      <w14:alpha w14:val="100000"/>
                    </w14:srgbClr>
                  </w14:solidFill>
                </w14:textFill>
              </w:rPr>
              <w:t>|</w:t>
            </w:r>
            <w:r w:rsidR="00681EE0" w:rsidRPr="00A80549">
              <w:rPr>
                <w:vertAlign w:val="superscript"/>
              </w:rPr>
              <w:t>1</w:t>
            </w:r>
          </w:p>
        </w:tc>
        <w:tc>
          <w:tcPr>
            <w:tcW w:w="611" w:type="pct"/>
            <w:shd w:val="clear" w:color="auto" w:fill="auto"/>
          </w:tcPr>
          <w:p w14:paraId="41DCF198" w14:textId="226AEC9E" w:rsidR="00610067" w:rsidRPr="00681EE0" w:rsidRDefault="00206B77" w:rsidP="005F70DE">
            <w:pPr>
              <w:pStyle w:val="TableText0"/>
              <w:keepLines/>
              <w:jc w:val="center"/>
              <w:rPr>
                <w:color w:val="000000"/>
                <w:highlight w:val="darkGray"/>
              </w:rPr>
            </w:pPr>
            <w:r w:rsidRPr="00206B77">
              <w:rPr>
                <w:color w:val="000000"/>
                <w:shd w:val="solid" w:color="000000" w:fill="000000"/>
                <w14:textFill>
                  <w14:solidFill>
                    <w14:srgbClr w14:val="000000">
                      <w14:alpha w14:val="100000"/>
                    </w14:srgbClr>
                  </w14:solidFill>
                </w14:textFill>
              </w:rPr>
              <w:t>|</w:t>
            </w:r>
            <w:r w:rsidR="00681EE0" w:rsidRPr="00A80549">
              <w:rPr>
                <w:vertAlign w:val="superscript"/>
              </w:rPr>
              <w:t>1</w:t>
            </w:r>
          </w:p>
        </w:tc>
        <w:tc>
          <w:tcPr>
            <w:tcW w:w="611" w:type="pct"/>
            <w:shd w:val="clear" w:color="auto" w:fill="auto"/>
          </w:tcPr>
          <w:p w14:paraId="542D2F41" w14:textId="683B1B1F" w:rsidR="00610067" w:rsidRPr="00681EE0" w:rsidRDefault="00206B77" w:rsidP="005F70DE">
            <w:pPr>
              <w:pStyle w:val="TableText0"/>
              <w:keepLines/>
              <w:jc w:val="center"/>
              <w:rPr>
                <w:color w:val="000000"/>
                <w:highlight w:val="darkGray"/>
              </w:rPr>
            </w:pPr>
            <w:r w:rsidRPr="00206B77">
              <w:rPr>
                <w:color w:val="000000"/>
                <w:shd w:val="solid" w:color="000000" w:fill="000000"/>
                <w14:textFill>
                  <w14:solidFill>
                    <w14:srgbClr w14:val="000000">
                      <w14:alpha w14:val="100000"/>
                    </w14:srgbClr>
                  </w14:solidFill>
                </w14:textFill>
              </w:rPr>
              <w:t>|</w:t>
            </w:r>
            <w:r w:rsidR="00681EE0" w:rsidRPr="00A80549">
              <w:rPr>
                <w:vertAlign w:val="superscript"/>
              </w:rPr>
              <w:t>1</w:t>
            </w:r>
          </w:p>
        </w:tc>
        <w:tc>
          <w:tcPr>
            <w:tcW w:w="611" w:type="pct"/>
          </w:tcPr>
          <w:p w14:paraId="647AC50D" w14:textId="4DA15121" w:rsidR="00610067" w:rsidRPr="00681EE0" w:rsidRDefault="00206B77" w:rsidP="005F70DE">
            <w:pPr>
              <w:pStyle w:val="TableText0"/>
              <w:keepLines/>
              <w:jc w:val="center"/>
              <w:rPr>
                <w:color w:val="000000"/>
                <w:highlight w:val="darkGray"/>
              </w:rPr>
            </w:pPr>
            <w:r w:rsidRPr="00206B77">
              <w:rPr>
                <w:color w:val="000000"/>
                <w:shd w:val="solid" w:color="000000" w:fill="000000"/>
                <w14:textFill>
                  <w14:solidFill>
                    <w14:srgbClr w14:val="000000">
                      <w14:alpha w14:val="100000"/>
                    </w14:srgbClr>
                  </w14:solidFill>
                </w14:textFill>
              </w:rPr>
              <w:t>|</w:t>
            </w:r>
            <w:r w:rsidR="000F7295">
              <w:rPr>
                <w:vertAlign w:val="superscript"/>
              </w:rPr>
              <w:t>7</w:t>
            </w:r>
          </w:p>
        </w:tc>
      </w:tr>
      <w:tr w:rsidR="00610067" w:rsidRPr="0047142A" w14:paraId="32FB3014" w14:textId="77777777" w:rsidTr="00347AFB">
        <w:tc>
          <w:tcPr>
            <w:tcW w:w="5000" w:type="pct"/>
            <w:gridSpan w:val="7"/>
            <w:shd w:val="clear" w:color="auto" w:fill="auto"/>
            <w:vAlign w:val="center"/>
          </w:tcPr>
          <w:p w14:paraId="6B3D8A9A" w14:textId="77777777" w:rsidR="00610067" w:rsidRPr="00476211" w:rsidRDefault="00610067" w:rsidP="005F70DE">
            <w:pPr>
              <w:pStyle w:val="In-tableHeading"/>
              <w:keepLines/>
              <w:rPr>
                <w:lang w:val="en-AU"/>
              </w:rPr>
            </w:pPr>
            <w:r w:rsidRPr="00476211">
              <w:rPr>
                <w:lang w:val="en-AU"/>
              </w:rPr>
              <w:t>Net financial implications</w:t>
            </w:r>
            <w:r w:rsidRPr="00476211">
              <w:rPr>
                <w:color w:val="4BACC6" w:themeColor="accent5"/>
                <w:lang w:val="en-AU"/>
              </w:rPr>
              <w:t xml:space="preserve"> </w:t>
            </w:r>
            <w:r w:rsidRPr="00476211">
              <w:rPr>
                <w:lang w:val="en-AU"/>
              </w:rPr>
              <w:t>to the PBS/RPBS and MBS for the proposed listing of polatuzumab vedotin</w:t>
            </w:r>
          </w:p>
        </w:tc>
      </w:tr>
      <w:tr w:rsidR="00610067" w:rsidRPr="0047142A" w14:paraId="41A8868C" w14:textId="77777777" w:rsidTr="00347AFB">
        <w:tc>
          <w:tcPr>
            <w:tcW w:w="1334" w:type="pct"/>
            <w:shd w:val="clear" w:color="auto" w:fill="auto"/>
            <w:vAlign w:val="center"/>
          </w:tcPr>
          <w:p w14:paraId="69704C19" w14:textId="77777777" w:rsidR="00610067" w:rsidRPr="00476211" w:rsidRDefault="00610067" w:rsidP="005F70DE">
            <w:pPr>
              <w:pStyle w:val="TableText0"/>
              <w:keepLines/>
              <w:rPr>
                <w:sz w:val="19"/>
                <w:szCs w:val="19"/>
                <w:vertAlign w:val="superscript"/>
              </w:rPr>
            </w:pPr>
            <w:r w:rsidRPr="00476211">
              <w:rPr>
                <w:sz w:val="19"/>
                <w:szCs w:val="19"/>
              </w:rPr>
              <w:t>Net cost to PBS/RPBS</w:t>
            </w:r>
            <w:r w:rsidRPr="00476211">
              <w:rPr>
                <w:sz w:val="19"/>
                <w:szCs w:val="19"/>
                <w:vertAlign w:val="superscript"/>
              </w:rPr>
              <w:t>b,c</w:t>
            </w:r>
          </w:p>
        </w:tc>
        <w:tc>
          <w:tcPr>
            <w:tcW w:w="611" w:type="pct"/>
            <w:shd w:val="clear" w:color="auto" w:fill="auto"/>
          </w:tcPr>
          <w:p w14:paraId="14245D4F" w14:textId="73C82836" w:rsidR="00610067" w:rsidRPr="00476211" w:rsidRDefault="00610067" w:rsidP="005F70DE">
            <w:pPr>
              <w:pStyle w:val="TableText0"/>
              <w:keepLines/>
              <w:jc w:val="center"/>
            </w:pPr>
            <w:r w:rsidRPr="00476211">
              <w:t>$</w:t>
            </w:r>
            <w:r w:rsidR="00206B77" w:rsidRPr="007F2580">
              <w:rPr>
                <w:rFonts w:hint="eastAsia"/>
                <w:color w:val="000000"/>
                <w:w w:val="15"/>
                <w:shd w:val="solid" w:color="000000" w:fill="000000"/>
                <w:fitText w:val="7" w:id="-1301008634"/>
                <w14:textFill>
                  <w14:solidFill>
                    <w14:srgbClr w14:val="000000">
                      <w14:alpha w14:val="100000"/>
                    </w14:srgbClr>
                  </w14:solidFill>
                </w14:textFill>
              </w:rPr>
              <w:t xml:space="preserve">　</w:t>
            </w:r>
            <w:r w:rsidR="00206B77" w:rsidRPr="007F2580">
              <w:rPr>
                <w:color w:val="000000"/>
                <w:w w:val="15"/>
                <w:shd w:val="solid" w:color="000000" w:fill="000000"/>
                <w:fitText w:val="7" w:id="-1301008634"/>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4"/>
                <w14:textFill>
                  <w14:solidFill>
                    <w14:srgbClr w14:val="000000">
                      <w14:alpha w14:val="100000"/>
                    </w14:srgbClr>
                  </w14:solidFill>
                </w14:textFill>
              </w:rPr>
              <w:t xml:space="preserve">　</w:t>
            </w:r>
            <w:r w:rsidR="00AF5A9B">
              <w:rPr>
                <w:vertAlign w:val="superscript"/>
              </w:rPr>
              <w:t>4</w:t>
            </w:r>
          </w:p>
        </w:tc>
        <w:tc>
          <w:tcPr>
            <w:tcW w:w="611" w:type="pct"/>
            <w:shd w:val="clear" w:color="auto" w:fill="auto"/>
          </w:tcPr>
          <w:p w14:paraId="521C6DB3" w14:textId="620E1DEF" w:rsidR="00610067" w:rsidRPr="00476211" w:rsidRDefault="00610067" w:rsidP="005F70DE">
            <w:pPr>
              <w:pStyle w:val="TableText0"/>
              <w:keepLines/>
              <w:jc w:val="center"/>
            </w:pPr>
            <w:r w:rsidRPr="00476211">
              <w:t>$</w:t>
            </w:r>
            <w:r w:rsidR="00206B77" w:rsidRPr="007F2580">
              <w:rPr>
                <w:rFonts w:hint="eastAsia"/>
                <w:color w:val="000000"/>
                <w:w w:val="15"/>
                <w:shd w:val="solid" w:color="000000" w:fill="000000"/>
                <w:fitText w:val="7" w:id="-1301008633"/>
                <w14:textFill>
                  <w14:solidFill>
                    <w14:srgbClr w14:val="000000">
                      <w14:alpha w14:val="100000"/>
                    </w14:srgbClr>
                  </w14:solidFill>
                </w14:textFill>
              </w:rPr>
              <w:t xml:space="preserve">　</w:t>
            </w:r>
            <w:r w:rsidR="00206B77" w:rsidRPr="007F2580">
              <w:rPr>
                <w:color w:val="000000"/>
                <w:w w:val="15"/>
                <w:shd w:val="solid" w:color="000000" w:fill="000000"/>
                <w:fitText w:val="7" w:id="-1301008633"/>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3"/>
                <w14:textFill>
                  <w14:solidFill>
                    <w14:srgbClr w14:val="000000">
                      <w14:alpha w14:val="100000"/>
                    </w14:srgbClr>
                  </w14:solidFill>
                </w14:textFill>
              </w:rPr>
              <w:t xml:space="preserve">　</w:t>
            </w:r>
            <w:r w:rsidR="00E44E27">
              <w:rPr>
                <w:vertAlign w:val="superscript"/>
              </w:rPr>
              <w:t>5</w:t>
            </w:r>
          </w:p>
        </w:tc>
        <w:tc>
          <w:tcPr>
            <w:tcW w:w="611" w:type="pct"/>
            <w:shd w:val="clear" w:color="auto" w:fill="auto"/>
          </w:tcPr>
          <w:p w14:paraId="27A9493D" w14:textId="1D6495E7" w:rsidR="00610067" w:rsidRPr="00476211" w:rsidRDefault="00610067" w:rsidP="005F70DE">
            <w:pPr>
              <w:pStyle w:val="TableText0"/>
              <w:keepLines/>
              <w:jc w:val="center"/>
            </w:pPr>
            <w:r w:rsidRPr="00476211">
              <w:t>$</w:t>
            </w:r>
            <w:r w:rsidR="00206B77" w:rsidRPr="007F2580">
              <w:rPr>
                <w:rFonts w:hint="eastAsia"/>
                <w:color w:val="000000"/>
                <w:w w:val="15"/>
                <w:shd w:val="solid" w:color="000000" w:fill="000000"/>
                <w:fitText w:val="7" w:id="-1301008632"/>
                <w14:textFill>
                  <w14:solidFill>
                    <w14:srgbClr w14:val="000000">
                      <w14:alpha w14:val="100000"/>
                    </w14:srgbClr>
                  </w14:solidFill>
                </w14:textFill>
              </w:rPr>
              <w:t xml:space="preserve">　</w:t>
            </w:r>
            <w:r w:rsidR="00206B77" w:rsidRPr="007F2580">
              <w:rPr>
                <w:color w:val="000000"/>
                <w:w w:val="15"/>
                <w:shd w:val="solid" w:color="000000" w:fill="000000"/>
                <w:fitText w:val="7" w:id="-1301008632"/>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2"/>
                <w14:textFill>
                  <w14:solidFill>
                    <w14:srgbClr w14:val="000000">
                      <w14:alpha w14:val="100000"/>
                    </w14:srgbClr>
                  </w14:solidFill>
                </w14:textFill>
              </w:rPr>
              <w:t xml:space="preserve">　</w:t>
            </w:r>
            <w:r w:rsidR="00E44E27">
              <w:rPr>
                <w:vertAlign w:val="superscript"/>
              </w:rPr>
              <w:t>5</w:t>
            </w:r>
          </w:p>
        </w:tc>
        <w:tc>
          <w:tcPr>
            <w:tcW w:w="611" w:type="pct"/>
            <w:shd w:val="clear" w:color="auto" w:fill="auto"/>
          </w:tcPr>
          <w:p w14:paraId="246B8181" w14:textId="7B2EADE1" w:rsidR="00610067" w:rsidRPr="00476211" w:rsidRDefault="00610067" w:rsidP="005F70DE">
            <w:pPr>
              <w:pStyle w:val="TableText0"/>
              <w:keepLines/>
              <w:jc w:val="center"/>
            </w:pPr>
            <w:r w:rsidRPr="00476211">
              <w:t>$</w:t>
            </w:r>
            <w:r w:rsidR="00206B77" w:rsidRPr="00206B77">
              <w:rPr>
                <w:color w:val="000000"/>
                <w:shd w:val="solid" w:color="000000" w:fill="000000"/>
                <w14:textFill>
                  <w14:solidFill>
                    <w14:srgbClr w14:val="000000">
                      <w14:alpha w14:val="100000"/>
                    </w14:srgbClr>
                  </w14:solidFill>
                </w14:textFill>
              </w:rPr>
              <w:t>|</w:t>
            </w:r>
          </w:p>
        </w:tc>
        <w:tc>
          <w:tcPr>
            <w:tcW w:w="611" w:type="pct"/>
            <w:shd w:val="clear" w:color="auto" w:fill="auto"/>
          </w:tcPr>
          <w:p w14:paraId="4B53EB42" w14:textId="4FB956EE" w:rsidR="00610067" w:rsidRPr="00476211" w:rsidRDefault="00610067" w:rsidP="005F70DE">
            <w:pPr>
              <w:pStyle w:val="TableText0"/>
              <w:keepLines/>
              <w:jc w:val="center"/>
            </w:pPr>
            <w:r w:rsidRPr="00476211">
              <w:t>$</w:t>
            </w:r>
            <w:r w:rsidR="00206B77" w:rsidRPr="00206B77">
              <w:rPr>
                <w:color w:val="000000"/>
                <w:shd w:val="solid" w:color="000000" w:fill="000000"/>
                <w14:textFill>
                  <w14:solidFill>
                    <w14:srgbClr w14:val="000000">
                      <w14:alpha w14:val="100000"/>
                    </w14:srgbClr>
                  </w14:solidFill>
                </w14:textFill>
              </w:rPr>
              <w:t>|</w:t>
            </w:r>
          </w:p>
        </w:tc>
        <w:tc>
          <w:tcPr>
            <w:tcW w:w="611" w:type="pct"/>
          </w:tcPr>
          <w:p w14:paraId="6D75220F" w14:textId="04B4C28A" w:rsidR="00610067" w:rsidRPr="00476211" w:rsidRDefault="00610067" w:rsidP="005F70DE">
            <w:pPr>
              <w:pStyle w:val="TableText0"/>
              <w:keepLines/>
              <w:jc w:val="center"/>
            </w:pPr>
            <w:r w:rsidRPr="00476211">
              <w:t>$</w:t>
            </w:r>
            <w:r w:rsidR="00206B77" w:rsidRPr="007F2580">
              <w:rPr>
                <w:rFonts w:hint="eastAsia"/>
                <w:color w:val="000000"/>
                <w:w w:val="15"/>
                <w:shd w:val="solid" w:color="000000" w:fill="000000"/>
                <w:fitText w:val="7" w:id="-1301008631"/>
                <w14:textFill>
                  <w14:solidFill>
                    <w14:srgbClr w14:val="000000">
                      <w14:alpha w14:val="100000"/>
                    </w14:srgbClr>
                  </w14:solidFill>
                </w14:textFill>
              </w:rPr>
              <w:t xml:space="preserve">　</w:t>
            </w:r>
            <w:r w:rsidR="00206B77" w:rsidRPr="007F2580">
              <w:rPr>
                <w:color w:val="000000"/>
                <w:w w:val="15"/>
                <w:shd w:val="solid" w:color="000000" w:fill="000000"/>
                <w:fitText w:val="7" w:id="-1301008631"/>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1"/>
                <w14:textFill>
                  <w14:solidFill>
                    <w14:srgbClr w14:val="000000">
                      <w14:alpha w14:val="100000"/>
                    </w14:srgbClr>
                  </w14:solidFill>
                </w14:textFill>
              </w:rPr>
              <w:t xml:space="preserve">　</w:t>
            </w:r>
            <w:r w:rsidR="000F7295">
              <w:rPr>
                <w:vertAlign w:val="superscript"/>
              </w:rPr>
              <w:t>6</w:t>
            </w:r>
          </w:p>
        </w:tc>
      </w:tr>
      <w:tr w:rsidR="00610067" w:rsidRPr="0047142A" w14:paraId="71ABC52F" w14:textId="77777777" w:rsidTr="00347AFB">
        <w:tc>
          <w:tcPr>
            <w:tcW w:w="1334" w:type="pct"/>
            <w:shd w:val="clear" w:color="auto" w:fill="auto"/>
            <w:vAlign w:val="center"/>
          </w:tcPr>
          <w:p w14:paraId="793E6E51" w14:textId="77777777" w:rsidR="00610067" w:rsidRPr="00476211" w:rsidRDefault="00610067" w:rsidP="005F70DE">
            <w:pPr>
              <w:pStyle w:val="TableText0"/>
              <w:keepLines/>
              <w:rPr>
                <w:rFonts w:ascii="Times" w:hAnsi="Times"/>
              </w:rPr>
            </w:pPr>
            <w:r w:rsidRPr="00476211">
              <w:rPr>
                <w:sz w:val="19"/>
                <w:szCs w:val="19"/>
              </w:rPr>
              <w:t>Net cost to MBS</w:t>
            </w:r>
          </w:p>
        </w:tc>
        <w:tc>
          <w:tcPr>
            <w:tcW w:w="611" w:type="pct"/>
            <w:shd w:val="clear" w:color="auto" w:fill="auto"/>
          </w:tcPr>
          <w:p w14:paraId="6B1B01E0" w14:textId="4C267CBA" w:rsidR="00610067" w:rsidRPr="00476211" w:rsidRDefault="00206B77" w:rsidP="005F70DE">
            <w:pPr>
              <w:pStyle w:val="TableText0"/>
              <w:keepLines/>
              <w:jc w:val="center"/>
            </w:pPr>
            <w:r w:rsidRPr="00206B77">
              <w:rPr>
                <w:color w:val="000000"/>
                <w:shd w:val="solid" w:color="000000" w:fill="000000"/>
                <w14:textFill>
                  <w14:solidFill>
                    <w14:srgbClr w14:val="000000">
                      <w14:alpha w14:val="100000"/>
                    </w14:srgbClr>
                  </w14:solidFill>
                </w14:textFill>
              </w:rPr>
              <w:t>|</w:t>
            </w:r>
            <w:r w:rsidR="00AF5A9B">
              <w:rPr>
                <w:vertAlign w:val="superscript"/>
              </w:rPr>
              <w:t>3</w:t>
            </w:r>
          </w:p>
        </w:tc>
        <w:tc>
          <w:tcPr>
            <w:tcW w:w="611" w:type="pct"/>
            <w:shd w:val="clear" w:color="auto" w:fill="auto"/>
          </w:tcPr>
          <w:p w14:paraId="0623D04F" w14:textId="7B4B4F88" w:rsidR="00610067" w:rsidRPr="00476211" w:rsidRDefault="00206B77" w:rsidP="005F70DE">
            <w:pPr>
              <w:pStyle w:val="TableText0"/>
              <w:keepLines/>
              <w:jc w:val="center"/>
            </w:pPr>
            <w:r w:rsidRPr="00206B77">
              <w:rPr>
                <w:color w:val="000000"/>
                <w:shd w:val="solid" w:color="000000" w:fill="000000"/>
                <w14:textFill>
                  <w14:solidFill>
                    <w14:srgbClr w14:val="000000">
                      <w14:alpha w14:val="100000"/>
                    </w14:srgbClr>
                  </w14:solidFill>
                </w14:textFill>
              </w:rPr>
              <w:t>|</w:t>
            </w:r>
            <w:r w:rsidR="00E44E27">
              <w:rPr>
                <w:vertAlign w:val="superscript"/>
              </w:rPr>
              <w:t>3</w:t>
            </w:r>
          </w:p>
        </w:tc>
        <w:tc>
          <w:tcPr>
            <w:tcW w:w="611" w:type="pct"/>
            <w:shd w:val="clear" w:color="auto" w:fill="auto"/>
          </w:tcPr>
          <w:p w14:paraId="26FB29C3" w14:textId="5F1D392E" w:rsidR="00610067" w:rsidRPr="00476211" w:rsidRDefault="00206B77" w:rsidP="005F70DE">
            <w:pPr>
              <w:pStyle w:val="TableText0"/>
              <w:keepLines/>
              <w:jc w:val="center"/>
            </w:pPr>
            <w:r w:rsidRPr="00206B77">
              <w:rPr>
                <w:color w:val="000000"/>
                <w:shd w:val="solid" w:color="000000" w:fill="000000"/>
                <w14:textFill>
                  <w14:solidFill>
                    <w14:srgbClr w14:val="000000">
                      <w14:alpha w14:val="100000"/>
                    </w14:srgbClr>
                  </w14:solidFill>
                </w14:textFill>
              </w:rPr>
              <w:t>|</w:t>
            </w:r>
            <w:r w:rsidR="00E44E27">
              <w:rPr>
                <w:vertAlign w:val="superscript"/>
              </w:rPr>
              <w:t>3</w:t>
            </w:r>
          </w:p>
        </w:tc>
        <w:tc>
          <w:tcPr>
            <w:tcW w:w="611" w:type="pct"/>
            <w:shd w:val="clear" w:color="auto" w:fill="auto"/>
          </w:tcPr>
          <w:p w14:paraId="0C7DE720" w14:textId="52E13B70" w:rsidR="00610067" w:rsidRPr="00476211" w:rsidRDefault="00206B77" w:rsidP="005F70DE">
            <w:pPr>
              <w:pStyle w:val="TableText0"/>
              <w:keepLines/>
              <w:jc w:val="center"/>
            </w:pPr>
            <w:r w:rsidRPr="00206B77">
              <w:rPr>
                <w:color w:val="000000"/>
                <w:shd w:val="solid" w:color="000000" w:fill="000000"/>
                <w14:textFill>
                  <w14:solidFill>
                    <w14:srgbClr w14:val="000000">
                      <w14:alpha w14:val="100000"/>
                    </w14:srgbClr>
                  </w14:solidFill>
                </w14:textFill>
              </w:rPr>
              <w:t>|</w:t>
            </w:r>
            <w:r w:rsidR="00E44E27">
              <w:rPr>
                <w:vertAlign w:val="superscript"/>
              </w:rPr>
              <w:t>3</w:t>
            </w:r>
          </w:p>
        </w:tc>
        <w:tc>
          <w:tcPr>
            <w:tcW w:w="611" w:type="pct"/>
            <w:shd w:val="clear" w:color="auto" w:fill="auto"/>
          </w:tcPr>
          <w:p w14:paraId="55185C76" w14:textId="5C1481B8" w:rsidR="00610067" w:rsidRPr="00681EE0" w:rsidRDefault="00206B77" w:rsidP="005F70DE">
            <w:pPr>
              <w:pStyle w:val="TableText0"/>
              <w:keepLines/>
              <w:jc w:val="center"/>
              <w:rPr>
                <w:highlight w:val="darkGray"/>
              </w:rPr>
            </w:pPr>
            <w:r w:rsidRPr="00206B77">
              <w:rPr>
                <w:color w:val="000000"/>
                <w:shd w:val="solid" w:color="000000" w:fill="000000"/>
                <w14:textFill>
                  <w14:solidFill>
                    <w14:srgbClr w14:val="000000">
                      <w14:alpha w14:val="100000"/>
                    </w14:srgbClr>
                  </w14:solidFill>
                </w14:textFill>
              </w:rPr>
              <w:t>|</w:t>
            </w:r>
            <w:r w:rsidR="00E44E27">
              <w:rPr>
                <w:vertAlign w:val="superscript"/>
              </w:rPr>
              <w:t>3</w:t>
            </w:r>
          </w:p>
        </w:tc>
        <w:tc>
          <w:tcPr>
            <w:tcW w:w="611" w:type="pct"/>
          </w:tcPr>
          <w:p w14:paraId="22A010A8" w14:textId="63FED1C2" w:rsidR="00610067" w:rsidRPr="00681EE0" w:rsidRDefault="00206B77" w:rsidP="005F70DE">
            <w:pPr>
              <w:pStyle w:val="TableText0"/>
              <w:keepLines/>
              <w:jc w:val="center"/>
              <w:rPr>
                <w:highlight w:val="darkGray"/>
              </w:rPr>
            </w:pPr>
            <w:r w:rsidRPr="00206B77">
              <w:rPr>
                <w:color w:val="000000"/>
                <w:shd w:val="solid" w:color="000000" w:fill="000000"/>
                <w14:textFill>
                  <w14:solidFill>
                    <w14:srgbClr w14:val="000000">
                      <w14:alpha w14:val="100000"/>
                    </w14:srgbClr>
                  </w14:solidFill>
                </w14:textFill>
              </w:rPr>
              <w:t>|</w:t>
            </w:r>
            <w:r w:rsidR="00E44E27">
              <w:rPr>
                <w:vertAlign w:val="superscript"/>
              </w:rPr>
              <w:t>3</w:t>
            </w:r>
          </w:p>
        </w:tc>
      </w:tr>
      <w:tr w:rsidR="00610067" w:rsidRPr="0047142A" w14:paraId="2AB7656E" w14:textId="77777777" w:rsidTr="00347AFB">
        <w:tc>
          <w:tcPr>
            <w:tcW w:w="1334" w:type="pct"/>
            <w:shd w:val="clear" w:color="auto" w:fill="auto"/>
            <w:vAlign w:val="center"/>
          </w:tcPr>
          <w:p w14:paraId="65B89934" w14:textId="0639EEEC" w:rsidR="00610067" w:rsidRPr="00476211" w:rsidRDefault="00610067" w:rsidP="005F70DE">
            <w:pPr>
              <w:pStyle w:val="TableText0"/>
              <w:keepLines/>
              <w:rPr>
                <w:sz w:val="19"/>
                <w:szCs w:val="19"/>
              </w:rPr>
            </w:pPr>
            <w:r w:rsidRPr="00476211">
              <w:rPr>
                <w:sz w:val="19"/>
                <w:szCs w:val="19"/>
              </w:rPr>
              <w:t>Net cost to PBS/RPBS and MBS</w:t>
            </w:r>
          </w:p>
        </w:tc>
        <w:tc>
          <w:tcPr>
            <w:tcW w:w="611" w:type="pct"/>
            <w:shd w:val="clear" w:color="auto" w:fill="auto"/>
          </w:tcPr>
          <w:p w14:paraId="75DA46EA" w14:textId="795803C0" w:rsidR="00610067" w:rsidRPr="00476211" w:rsidRDefault="0047142A" w:rsidP="005F70DE">
            <w:pPr>
              <w:pStyle w:val="TableText0"/>
              <w:keepLines/>
              <w:jc w:val="center"/>
            </w:pPr>
            <w:r w:rsidRPr="00476211">
              <w:t>$</w:t>
            </w:r>
            <w:r w:rsidR="00206B77" w:rsidRPr="007F2580">
              <w:rPr>
                <w:rFonts w:hint="eastAsia"/>
                <w:color w:val="000000"/>
                <w:w w:val="15"/>
                <w:shd w:val="solid" w:color="000000" w:fill="000000"/>
                <w:fitText w:val="7" w:id="-1301008630"/>
                <w14:textFill>
                  <w14:solidFill>
                    <w14:srgbClr w14:val="000000">
                      <w14:alpha w14:val="100000"/>
                    </w14:srgbClr>
                  </w14:solidFill>
                </w14:textFill>
              </w:rPr>
              <w:t xml:space="preserve">　</w:t>
            </w:r>
            <w:r w:rsidR="00206B77" w:rsidRPr="007F2580">
              <w:rPr>
                <w:color w:val="000000"/>
                <w:w w:val="15"/>
                <w:shd w:val="solid" w:color="000000" w:fill="000000"/>
                <w:fitText w:val="7" w:id="-1301008630"/>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0"/>
                <w14:textFill>
                  <w14:solidFill>
                    <w14:srgbClr w14:val="000000">
                      <w14:alpha w14:val="100000"/>
                    </w14:srgbClr>
                  </w14:solidFill>
                </w14:textFill>
              </w:rPr>
              <w:t xml:space="preserve">　</w:t>
            </w:r>
            <w:r w:rsidR="00AF5A9B">
              <w:rPr>
                <w:vertAlign w:val="superscript"/>
              </w:rPr>
              <w:t>4</w:t>
            </w:r>
          </w:p>
        </w:tc>
        <w:tc>
          <w:tcPr>
            <w:tcW w:w="611" w:type="pct"/>
            <w:shd w:val="clear" w:color="auto" w:fill="auto"/>
          </w:tcPr>
          <w:p w14:paraId="51DF75D8" w14:textId="4D01BDE0" w:rsidR="00610067" w:rsidRPr="00476211" w:rsidRDefault="0047142A" w:rsidP="005F70DE">
            <w:pPr>
              <w:pStyle w:val="TableText0"/>
              <w:keepLines/>
              <w:jc w:val="center"/>
            </w:pPr>
            <w:r w:rsidRPr="00476211">
              <w:t>$</w:t>
            </w:r>
            <w:r w:rsidR="00206B77" w:rsidRPr="007F2580">
              <w:rPr>
                <w:rFonts w:hint="eastAsia"/>
                <w:color w:val="000000"/>
                <w:w w:val="15"/>
                <w:shd w:val="solid" w:color="000000" w:fill="000000"/>
                <w:fitText w:val="7" w:id="-1301008629"/>
                <w14:textFill>
                  <w14:solidFill>
                    <w14:srgbClr w14:val="000000">
                      <w14:alpha w14:val="100000"/>
                    </w14:srgbClr>
                  </w14:solidFill>
                </w14:textFill>
              </w:rPr>
              <w:t xml:space="preserve">　</w:t>
            </w:r>
            <w:r w:rsidR="00206B77" w:rsidRPr="007F2580">
              <w:rPr>
                <w:color w:val="000000"/>
                <w:w w:val="15"/>
                <w:shd w:val="solid" w:color="000000" w:fill="000000"/>
                <w:fitText w:val="7" w:id="-1301008629"/>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29"/>
                <w14:textFill>
                  <w14:solidFill>
                    <w14:srgbClr w14:val="000000">
                      <w14:alpha w14:val="100000"/>
                    </w14:srgbClr>
                  </w14:solidFill>
                </w14:textFill>
              </w:rPr>
              <w:t xml:space="preserve">　</w:t>
            </w:r>
            <w:r w:rsidR="00E44E27">
              <w:rPr>
                <w:vertAlign w:val="superscript"/>
              </w:rPr>
              <w:t>5</w:t>
            </w:r>
          </w:p>
        </w:tc>
        <w:tc>
          <w:tcPr>
            <w:tcW w:w="611" w:type="pct"/>
            <w:shd w:val="clear" w:color="auto" w:fill="auto"/>
          </w:tcPr>
          <w:p w14:paraId="04B8BC9C" w14:textId="5D235038" w:rsidR="00610067" w:rsidRPr="00476211" w:rsidRDefault="0047142A" w:rsidP="005F70DE">
            <w:pPr>
              <w:pStyle w:val="TableText0"/>
              <w:keepLines/>
              <w:jc w:val="center"/>
            </w:pPr>
            <w:r w:rsidRPr="00476211">
              <w:t>$</w:t>
            </w:r>
            <w:r w:rsidR="00206B77" w:rsidRPr="007F2580">
              <w:rPr>
                <w:rFonts w:hint="eastAsia"/>
                <w:color w:val="000000"/>
                <w:w w:val="15"/>
                <w:shd w:val="solid" w:color="000000" w:fill="000000"/>
                <w:fitText w:val="7" w:id="-1301008628"/>
                <w14:textFill>
                  <w14:solidFill>
                    <w14:srgbClr w14:val="000000">
                      <w14:alpha w14:val="100000"/>
                    </w14:srgbClr>
                  </w14:solidFill>
                </w14:textFill>
              </w:rPr>
              <w:t xml:space="preserve">　</w:t>
            </w:r>
            <w:r w:rsidR="00206B77" w:rsidRPr="007F2580">
              <w:rPr>
                <w:color w:val="000000"/>
                <w:w w:val="15"/>
                <w:shd w:val="solid" w:color="000000" w:fill="000000"/>
                <w:fitText w:val="7" w:id="-1301008628"/>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28"/>
                <w14:textFill>
                  <w14:solidFill>
                    <w14:srgbClr w14:val="000000">
                      <w14:alpha w14:val="100000"/>
                    </w14:srgbClr>
                  </w14:solidFill>
                </w14:textFill>
              </w:rPr>
              <w:t xml:space="preserve">　</w:t>
            </w:r>
            <w:r w:rsidR="00E44E27">
              <w:rPr>
                <w:vertAlign w:val="superscript"/>
              </w:rPr>
              <w:t>5</w:t>
            </w:r>
          </w:p>
        </w:tc>
        <w:tc>
          <w:tcPr>
            <w:tcW w:w="611" w:type="pct"/>
            <w:shd w:val="clear" w:color="auto" w:fill="auto"/>
          </w:tcPr>
          <w:p w14:paraId="3E2857AE" w14:textId="0B2EBF0B" w:rsidR="00610067" w:rsidRPr="00476211" w:rsidRDefault="0047142A" w:rsidP="005F70DE">
            <w:pPr>
              <w:pStyle w:val="TableText0"/>
              <w:keepLines/>
              <w:jc w:val="center"/>
            </w:pPr>
            <w:r w:rsidRPr="00476211">
              <w:t>$</w:t>
            </w:r>
            <w:r w:rsidR="00206B77" w:rsidRPr="007F2580">
              <w:rPr>
                <w:rFonts w:hint="eastAsia"/>
                <w:color w:val="000000"/>
                <w:w w:val="15"/>
                <w:shd w:val="solid" w:color="000000" w:fill="000000"/>
                <w:fitText w:val="7" w:id="-1301008627"/>
                <w14:textFill>
                  <w14:solidFill>
                    <w14:srgbClr w14:val="000000">
                      <w14:alpha w14:val="100000"/>
                    </w14:srgbClr>
                  </w14:solidFill>
                </w14:textFill>
              </w:rPr>
              <w:t xml:space="preserve">　</w:t>
            </w:r>
            <w:r w:rsidR="00206B77" w:rsidRPr="007F2580">
              <w:rPr>
                <w:color w:val="000000"/>
                <w:w w:val="15"/>
                <w:shd w:val="solid" w:color="000000" w:fill="000000"/>
                <w:fitText w:val="7" w:id="-1301008627"/>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27"/>
                <w14:textFill>
                  <w14:solidFill>
                    <w14:srgbClr w14:val="000000">
                      <w14:alpha w14:val="100000"/>
                    </w14:srgbClr>
                  </w14:solidFill>
                </w14:textFill>
              </w:rPr>
              <w:t xml:space="preserve">　</w:t>
            </w:r>
            <w:r w:rsidR="000F7295">
              <w:rPr>
                <w:vertAlign w:val="superscript"/>
              </w:rPr>
              <w:t>6</w:t>
            </w:r>
          </w:p>
        </w:tc>
        <w:tc>
          <w:tcPr>
            <w:tcW w:w="611" w:type="pct"/>
            <w:shd w:val="clear" w:color="auto" w:fill="auto"/>
          </w:tcPr>
          <w:p w14:paraId="2CB89218" w14:textId="39481D9B" w:rsidR="00610067" w:rsidRPr="00476211" w:rsidRDefault="0047142A" w:rsidP="005F70DE">
            <w:pPr>
              <w:pStyle w:val="TableText0"/>
              <w:keepLines/>
              <w:jc w:val="center"/>
            </w:pPr>
            <w:r w:rsidRPr="00476211">
              <w:t>$</w:t>
            </w:r>
            <w:r w:rsidR="00206B77" w:rsidRPr="007F2580">
              <w:rPr>
                <w:rFonts w:hint="eastAsia"/>
                <w:color w:val="000000"/>
                <w:w w:val="15"/>
                <w:shd w:val="solid" w:color="000000" w:fill="000000"/>
                <w:fitText w:val="7" w:id="-1301008626"/>
                <w14:textFill>
                  <w14:solidFill>
                    <w14:srgbClr w14:val="000000">
                      <w14:alpha w14:val="100000"/>
                    </w14:srgbClr>
                  </w14:solidFill>
                </w14:textFill>
              </w:rPr>
              <w:t xml:space="preserve">　</w:t>
            </w:r>
            <w:r w:rsidR="00206B77" w:rsidRPr="007F2580">
              <w:rPr>
                <w:color w:val="000000"/>
                <w:w w:val="15"/>
                <w:shd w:val="solid" w:color="000000" w:fill="000000"/>
                <w:fitText w:val="7" w:id="-1301008626"/>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26"/>
                <w14:textFill>
                  <w14:solidFill>
                    <w14:srgbClr w14:val="000000">
                      <w14:alpha w14:val="100000"/>
                    </w14:srgbClr>
                  </w14:solidFill>
                </w14:textFill>
              </w:rPr>
              <w:t xml:space="preserve">　</w:t>
            </w:r>
            <w:r w:rsidR="000F7295">
              <w:rPr>
                <w:vertAlign w:val="superscript"/>
              </w:rPr>
              <w:t>6</w:t>
            </w:r>
          </w:p>
        </w:tc>
        <w:tc>
          <w:tcPr>
            <w:tcW w:w="611" w:type="pct"/>
          </w:tcPr>
          <w:p w14:paraId="3FC95B11" w14:textId="0D62D073" w:rsidR="00610067" w:rsidRPr="00476211" w:rsidRDefault="0047142A" w:rsidP="005F70DE">
            <w:pPr>
              <w:pStyle w:val="TableText0"/>
              <w:keepLines/>
              <w:jc w:val="center"/>
            </w:pPr>
            <w:r w:rsidRPr="00476211">
              <w:t>$</w:t>
            </w:r>
            <w:r w:rsidR="00206B77" w:rsidRPr="007F2580">
              <w:rPr>
                <w:rFonts w:hint="eastAsia"/>
                <w:color w:val="000000"/>
                <w:w w:val="15"/>
                <w:shd w:val="solid" w:color="000000" w:fill="000000"/>
                <w:fitText w:val="7" w:id="-1301008625"/>
                <w14:textFill>
                  <w14:solidFill>
                    <w14:srgbClr w14:val="000000">
                      <w14:alpha w14:val="100000"/>
                    </w14:srgbClr>
                  </w14:solidFill>
                </w14:textFill>
              </w:rPr>
              <w:t xml:space="preserve">　</w:t>
            </w:r>
            <w:r w:rsidR="00206B77" w:rsidRPr="007F2580">
              <w:rPr>
                <w:color w:val="000000"/>
                <w:w w:val="15"/>
                <w:shd w:val="solid" w:color="000000" w:fill="000000"/>
                <w:fitText w:val="7" w:id="-1301008625"/>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25"/>
                <w14:textFill>
                  <w14:solidFill>
                    <w14:srgbClr w14:val="000000">
                      <w14:alpha w14:val="100000"/>
                    </w14:srgbClr>
                  </w14:solidFill>
                </w14:textFill>
              </w:rPr>
              <w:t xml:space="preserve">　</w:t>
            </w:r>
            <w:r w:rsidR="000F7295">
              <w:rPr>
                <w:vertAlign w:val="superscript"/>
              </w:rPr>
              <w:t>6</w:t>
            </w:r>
          </w:p>
        </w:tc>
      </w:tr>
      <w:tr w:rsidR="00AB0C56" w:rsidRPr="0047142A" w14:paraId="290F7522" w14:textId="77777777" w:rsidTr="00AB0C56">
        <w:tc>
          <w:tcPr>
            <w:tcW w:w="5000" w:type="pct"/>
            <w:gridSpan w:val="7"/>
            <w:shd w:val="clear" w:color="auto" w:fill="auto"/>
            <w:vAlign w:val="center"/>
          </w:tcPr>
          <w:p w14:paraId="6152302F" w14:textId="2A7CC974" w:rsidR="00AB0C56" w:rsidRPr="00AB0C56" w:rsidRDefault="00AB0C56" w:rsidP="005F70DE">
            <w:pPr>
              <w:pStyle w:val="TableText0"/>
              <w:keepLines/>
              <w:rPr>
                <w:b/>
                <w:bCs w:val="0"/>
              </w:rPr>
            </w:pPr>
            <w:r w:rsidRPr="00AB0C56">
              <w:rPr>
                <w:b/>
                <w:bCs w:val="0"/>
              </w:rPr>
              <w:t>Revised estimates provided in the pre-PBAC response</w:t>
            </w:r>
          </w:p>
        </w:tc>
      </w:tr>
      <w:tr w:rsidR="004F7140" w:rsidRPr="0047142A" w14:paraId="04B04EE3" w14:textId="77777777" w:rsidTr="00347AFB">
        <w:tc>
          <w:tcPr>
            <w:tcW w:w="5000" w:type="pct"/>
            <w:gridSpan w:val="7"/>
            <w:shd w:val="clear" w:color="auto" w:fill="auto"/>
            <w:vAlign w:val="center"/>
          </w:tcPr>
          <w:p w14:paraId="4B61DEE2" w14:textId="778F8DA7" w:rsidR="004F7140" w:rsidRPr="00476211" w:rsidRDefault="004F7140" w:rsidP="005F70DE">
            <w:pPr>
              <w:pStyle w:val="In-tableHeading"/>
              <w:keepLines/>
              <w:rPr>
                <w:lang w:val="en-AU"/>
              </w:rPr>
            </w:pPr>
            <w:r w:rsidRPr="00476211">
              <w:rPr>
                <w:lang w:val="en-AU"/>
              </w:rPr>
              <w:t>Net financial implications</w:t>
            </w:r>
            <w:r w:rsidRPr="00476211">
              <w:rPr>
                <w:color w:val="4BACC6" w:themeColor="accent5"/>
                <w:lang w:val="en-AU"/>
              </w:rPr>
              <w:t xml:space="preserve"> </w:t>
            </w:r>
            <w:r w:rsidRPr="00476211">
              <w:rPr>
                <w:lang w:val="en-AU"/>
              </w:rPr>
              <w:t>to the PBS/RPBS and MBS for the proposed listing of polatuzumab vedotin</w:t>
            </w:r>
          </w:p>
        </w:tc>
      </w:tr>
      <w:tr w:rsidR="004F7140" w:rsidRPr="0047142A" w14:paraId="16721114" w14:textId="77777777" w:rsidTr="00347AFB">
        <w:tc>
          <w:tcPr>
            <w:tcW w:w="1334" w:type="pct"/>
            <w:shd w:val="clear" w:color="auto" w:fill="auto"/>
            <w:vAlign w:val="center"/>
          </w:tcPr>
          <w:p w14:paraId="7ACF0938" w14:textId="77777777" w:rsidR="004F7140" w:rsidRPr="00476211" w:rsidRDefault="004F7140" w:rsidP="005F70DE">
            <w:pPr>
              <w:pStyle w:val="TableText0"/>
              <w:keepLines/>
              <w:rPr>
                <w:sz w:val="19"/>
                <w:szCs w:val="19"/>
                <w:vertAlign w:val="superscript"/>
              </w:rPr>
            </w:pPr>
            <w:r w:rsidRPr="00476211">
              <w:rPr>
                <w:sz w:val="19"/>
                <w:szCs w:val="19"/>
              </w:rPr>
              <w:t>Net cost to PBS/RPBS</w:t>
            </w:r>
            <w:r w:rsidRPr="00476211">
              <w:rPr>
                <w:sz w:val="19"/>
                <w:szCs w:val="19"/>
                <w:vertAlign w:val="superscript"/>
              </w:rPr>
              <w:t>b,c</w:t>
            </w:r>
          </w:p>
        </w:tc>
        <w:tc>
          <w:tcPr>
            <w:tcW w:w="611" w:type="pct"/>
            <w:shd w:val="clear" w:color="auto" w:fill="auto"/>
          </w:tcPr>
          <w:p w14:paraId="73A1905E" w14:textId="53168A06" w:rsidR="004F7140" w:rsidRPr="00476211" w:rsidRDefault="004F7140" w:rsidP="005F70DE">
            <w:pPr>
              <w:pStyle w:val="TableText0"/>
              <w:keepLines/>
              <w:jc w:val="center"/>
            </w:pPr>
            <w:r>
              <w:t>$</w:t>
            </w:r>
            <w:r w:rsidR="00206B77" w:rsidRPr="007F2580">
              <w:rPr>
                <w:rFonts w:hint="eastAsia"/>
                <w:color w:val="000000"/>
                <w:w w:val="15"/>
                <w:shd w:val="solid" w:color="000000" w:fill="000000"/>
                <w:fitText w:val="7" w:id="-1301008624"/>
                <w14:textFill>
                  <w14:solidFill>
                    <w14:srgbClr w14:val="000000">
                      <w14:alpha w14:val="100000"/>
                    </w14:srgbClr>
                  </w14:solidFill>
                </w14:textFill>
              </w:rPr>
              <w:t xml:space="preserve">　</w:t>
            </w:r>
            <w:r w:rsidR="00206B77" w:rsidRPr="007F2580">
              <w:rPr>
                <w:color w:val="000000"/>
                <w:w w:val="15"/>
                <w:shd w:val="solid" w:color="000000" w:fill="000000"/>
                <w:fitText w:val="7" w:id="-1301008624"/>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24"/>
                <w14:textFill>
                  <w14:solidFill>
                    <w14:srgbClr w14:val="000000">
                      <w14:alpha w14:val="100000"/>
                    </w14:srgbClr>
                  </w14:solidFill>
                </w14:textFill>
              </w:rPr>
              <w:t xml:space="preserve">　</w:t>
            </w:r>
            <w:r w:rsidR="00AF5A9B">
              <w:rPr>
                <w:vertAlign w:val="superscript"/>
              </w:rPr>
              <w:t>2</w:t>
            </w:r>
          </w:p>
        </w:tc>
        <w:tc>
          <w:tcPr>
            <w:tcW w:w="611" w:type="pct"/>
            <w:shd w:val="clear" w:color="auto" w:fill="auto"/>
          </w:tcPr>
          <w:p w14:paraId="182C5D10" w14:textId="188FDF89" w:rsidR="004F7140" w:rsidRPr="00476211" w:rsidRDefault="004F7140" w:rsidP="005F70DE">
            <w:pPr>
              <w:pStyle w:val="TableText0"/>
              <w:keepLines/>
              <w:jc w:val="center"/>
            </w:pPr>
            <w:r>
              <w:t>$</w:t>
            </w:r>
            <w:r w:rsidR="00206B77" w:rsidRPr="007F2580">
              <w:rPr>
                <w:rFonts w:hint="eastAsia"/>
                <w:color w:val="000000"/>
                <w:w w:val="15"/>
                <w:shd w:val="solid" w:color="000000" w:fill="000000"/>
                <w:fitText w:val="7" w:id="-1301008640"/>
                <w14:textFill>
                  <w14:solidFill>
                    <w14:srgbClr w14:val="000000">
                      <w14:alpha w14:val="100000"/>
                    </w14:srgbClr>
                  </w14:solidFill>
                </w14:textFill>
              </w:rPr>
              <w:t xml:space="preserve">　</w:t>
            </w:r>
            <w:r w:rsidR="00206B77" w:rsidRPr="007F2580">
              <w:rPr>
                <w:color w:val="000000"/>
                <w:w w:val="15"/>
                <w:shd w:val="solid" w:color="000000" w:fill="000000"/>
                <w:fitText w:val="7" w:id="-1301008640"/>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40"/>
                <w14:textFill>
                  <w14:solidFill>
                    <w14:srgbClr w14:val="000000">
                      <w14:alpha w14:val="100000"/>
                    </w14:srgbClr>
                  </w14:solidFill>
                </w14:textFill>
              </w:rPr>
              <w:t xml:space="preserve">　</w:t>
            </w:r>
            <w:r w:rsidR="00681EE0">
              <w:rPr>
                <w:vertAlign w:val="superscript"/>
              </w:rPr>
              <w:t>2</w:t>
            </w:r>
          </w:p>
        </w:tc>
        <w:tc>
          <w:tcPr>
            <w:tcW w:w="611" w:type="pct"/>
            <w:shd w:val="clear" w:color="auto" w:fill="auto"/>
          </w:tcPr>
          <w:p w14:paraId="78FAEC7A" w14:textId="64599E7F" w:rsidR="004F7140" w:rsidRPr="00476211" w:rsidRDefault="004F7140" w:rsidP="005F70DE">
            <w:pPr>
              <w:pStyle w:val="TableText0"/>
              <w:keepLines/>
              <w:jc w:val="center"/>
            </w:pPr>
            <w:r>
              <w:t>$</w:t>
            </w:r>
            <w:r w:rsidR="00206B77" w:rsidRPr="007F2580">
              <w:rPr>
                <w:rFonts w:hint="eastAsia"/>
                <w:color w:val="000000"/>
                <w:w w:val="15"/>
                <w:shd w:val="solid" w:color="000000" w:fill="000000"/>
                <w:fitText w:val="7" w:id="-1301008639"/>
                <w14:textFill>
                  <w14:solidFill>
                    <w14:srgbClr w14:val="000000">
                      <w14:alpha w14:val="100000"/>
                    </w14:srgbClr>
                  </w14:solidFill>
                </w14:textFill>
              </w:rPr>
              <w:t xml:space="preserve">　</w:t>
            </w:r>
            <w:r w:rsidR="00206B77" w:rsidRPr="007F2580">
              <w:rPr>
                <w:color w:val="000000"/>
                <w:w w:val="15"/>
                <w:shd w:val="solid" w:color="000000" w:fill="000000"/>
                <w:fitText w:val="7" w:id="-1301008639"/>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9"/>
                <w14:textFill>
                  <w14:solidFill>
                    <w14:srgbClr w14:val="000000">
                      <w14:alpha w14:val="100000"/>
                    </w14:srgbClr>
                  </w14:solidFill>
                </w14:textFill>
              </w:rPr>
              <w:t xml:space="preserve">　</w:t>
            </w:r>
            <w:r w:rsidR="00681EE0">
              <w:rPr>
                <w:vertAlign w:val="superscript"/>
              </w:rPr>
              <w:t>2</w:t>
            </w:r>
          </w:p>
        </w:tc>
        <w:tc>
          <w:tcPr>
            <w:tcW w:w="611" w:type="pct"/>
            <w:shd w:val="clear" w:color="auto" w:fill="auto"/>
          </w:tcPr>
          <w:p w14:paraId="4D4EF0F7" w14:textId="30A8820B" w:rsidR="004F7140" w:rsidRPr="00476211" w:rsidRDefault="004F7140" w:rsidP="005F70DE">
            <w:pPr>
              <w:pStyle w:val="TableText0"/>
              <w:keepLines/>
              <w:jc w:val="center"/>
            </w:pPr>
            <w:r>
              <w:t>$</w:t>
            </w:r>
            <w:r w:rsidR="00206B77" w:rsidRPr="007F2580">
              <w:rPr>
                <w:rFonts w:hint="eastAsia"/>
                <w:color w:val="000000"/>
                <w:w w:val="15"/>
                <w:shd w:val="solid" w:color="000000" w:fill="000000"/>
                <w:fitText w:val="7" w:id="-1301008638"/>
                <w14:textFill>
                  <w14:solidFill>
                    <w14:srgbClr w14:val="000000">
                      <w14:alpha w14:val="100000"/>
                    </w14:srgbClr>
                  </w14:solidFill>
                </w14:textFill>
              </w:rPr>
              <w:t xml:space="preserve">　</w:t>
            </w:r>
            <w:r w:rsidR="00206B77" w:rsidRPr="007F2580">
              <w:rPr>
                <w:color w:val="000000"/>
                <w:w w:val="15"/>
                <w:shd w:val="solid" w:color="000000" w:fill="000000"/>
                <w:fitText w:val="7" w:id="-1301008638"/>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8"/>
                <w14:textFill>
                  <w14:solidFill>
                    <w14:srgbClr w14:val="000000">
                      <w14:alpha w14:val="100000"/>
                    </w14:srgbClr>
                  </w14:solidFill>
                </w14:textFill>
              </w:rPr>
              <w:t xml:space="preserve">　</w:t>
            </w:r>
            <w:r w:rsidR="00E44E27">
              <w:rPr>
                <w:vertAlign w:val="superscript"/>
              </w:rPr>
              <w:t>4</w:t>
            </w:r>
          </w:p>
        </w:tc>
        <w:tc>
          <w:tcPr>
            <w:tcW w:w="611" w:type="pct"/>
            <w:shd w:val="clear" w:color="auto" w:fill="auto"/>
          </w:tcPr>
          <w:p w14:paraId="687F1C41" w14:textId="19E965F5" w:rsidR="004F7140" w:rsidRPr="00476211" w:rsidRDefault="004F7140" w:rsidP="005F70DE">
            <w:pPr>
              <w:pStyle w:val="TableText0"/>
              <w:keepLines/>
              <w:jc w:val="center"/>
            </w:pPr>
            <w:r>
              <w:t>$</w:t>
            </w:r>
            <w:r w:rsidR="00206B77" w:rsidRPr="007F2580">
              <w:rPr>
                <w:rFonts w:hint="eastAsia"/>
                <w:color w:val="000000"/>
                <w:w w:val="15"/>
                <w:shd w:val="solid" w:color="000000" w:fill="000000"/>
                <w:fitText w:val="7" w:id="-1301008637"/>
                <w14:textFill>
                  <w14:solidFill>
                    <w14:srgbClr w14:val="000000">
                      <w14:alpha w14:val="100000"/>
                    </w14:srgbClr>
                  </w14:solidFill>
                </w14:textFill>
              </w:rPr>
              <w:t xml:space="preserve">　</w:t>
            </w:r>
            <w:r w:rsidR="00206B77" w:rsidRPr="007F2580">
              <w:rPr>
                <w:color w:val="000000"/>
                <w:w w:val="15"/>
                <w:shd w:val="solid" w:color="000000" w:fill="000000"/>
                <w:fitText w:val="7" w:id="-1301008637"/>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7"/>
                <w14:textFill>
                  <w14:solidFill>
                    <w14:srgbClr w14:val="000000">
                      <w14:alpha w14:val="100000"/>
                    </w14:srgbClr>
                  </w14:solidFill>
                </w14:textFill>
              </w:rPr>
              <w:t xml:space="preserve">　</w:t>
            </w:r>
            <w:r w:rsidR="00E44E27">
              <w:rPr>
                <w:vertAlign w:val="superscript"/>
              </w:rPr>
              <w:t>4</w:t>
            </w:r>
          </w:p>
        </w:tc>
        <w:tc>
          <w:tcPr>
            <w:tcW w:w="611" w:type="pct"/>
          </w:tcPr>
          <w:p w14:paraId="6F6BD25C" w14:textId="6F071D58" w:rsidR="004F7140" w:rsidRPr="00476211" w:rsidRDefault="004F7140" w:rsidP="005F70DE">
            <w:pPr>
              <w:pStyle w:val="TableText0"/>
              <w:keepLines/>
              <w:jc w:val="center"/>
            </w:pPr>
            <w:r>
              <w:t>$</w:t>
            </w:r>
            <w:r w:rsidR="00206B77" w:rsidRPr="007F2580">
              <w:rPr>
                <w:rFonts w:hint="eastAsia"/>
                <w:color w:val="000000"/>
                <w:w w:val="15"/>
                <w:shd w:val="solid" w:color="000000" w:fill="000000"/>
                <w:fitText w:val="7" w:id="-1301008636"/>
                <w14:textFill>
                  <w14:solidFill>
                    <w14:srgbClr w14:val="000000">
                      <w14:alpha w14:val="100000"/>
                    </w14:srgbClr>
                  </w14:solidFill>
                </w14:textFill>
              </w:rPr>
              <w:t xml:space="preserve">　</w:t>
            </w:r>
            <w:r w:rsidR="00206B77" w:rsidRPr="007F2580">
              <w:rPr>
                <w:color w:val="000000"/>
                <w:w w:val="15"/>
                <w:shd w:val="solid" w:color="000000" w:fill="000000"/>
                <w:fitText w:val="7" w:id="-1301008636"/>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6"/>
                <w14:textFill>
                  <w14:solidFill>
                    <w14:srgbClr w14:val="000000">
                      <w14:alpha w14:val="100000"/>
                    </w14:srgbClr>
                  </w14:solidFill>
                </w14:textFill>
              </w:rPr>
              <w:t xml:space="preserve">　</w:t>
            </w:r>
            <w:r w:rsidR="00E44E27">
              <w:rPr>
                <w:vertAlign w:val="superscript"/>
              </w:rPr>
              <w:t>4</w:t>
            </w:r>
          </w:p>
        </w:tc>
      </w:tr>
      <w:tr w:rsidR="004F7140" w:rsidRPr="0047142A" w14:paraId="0DB143DA" w14:textId="77777777" w:rsidTr="00347AFB">
        <w:tc>
          <w:tcPr>
            <w:tcW w:w="1334" w:type="pct"/>
            <w:shd w:val="clear" w:color="auto" w:fill="auto"/>
            <w:vAlign w:val="center"/>
          </w:tcPr>
          <w:p w14:paraId="3105F745" w14:textId="77777777" w:rsidR="004F7140" w:rsidRPr="00681EE0" w:rsidRDefault="004F7140" w:rsidP="005F70DE">
            <w:pPr>
              <w:pStyle w:val="TableText0"/>
              <w:keepLines/>
              <w:rPr>
                <w:rFonts w:ascii="Times" w:hAnsi="Times"/>
                <w:highlight w:val="darkGray"/>
              </w:rPr>
            </w:pPr>
            <w:r w:rsidRPr="00681EE0">
              <w:rPr>
                <w:sz w:val="19"/>
                <w:szCs w:val="19"/>
              </w:rPr>
              <w:t>Net cost to MBS</w:t>
            </w:r>
          </w:p>
        </w:tc>
        <w:tc>
          <w:tcPr>
            <w:tcW w:w="611" w:type="pct"/>
            <w:shd w:val="clear" w:color="auto" w:fill="auto"/>
          </w:tcPr>
          <w:p w14:paraId="4CEBE516" w14:textId="3DC96685" w:rsidR="004F7140" w:rsidRPr="00681EE0" w:rsidRDefault="00206B77" w:rsidP="005F70DE">
            <w:pPr>
              <w:pStyle w:val="TableText0"/>
              <w:keepLines/>
              <w:jc w:val="center"/>
              <w:rPr>
                <w:highlight w:val="darkGray"/>
              </w:rPr>
            </w:pPr>
            <w:r w:rsidRPr="00206B77">
              <w:rPr>
                <w:color w:val="000000"/>
                <w:shd w:val="solid" w:color="000000" w:fill="000000"/>
                <w14:textFill>
                  <w14:solidFill>
                    <w14:srgbClr w14:val="000000">
                      <w14:alpha w14:val="100000"/>
                    </w14:srgbClr>
                  </w14:solidFill>
                </w14:textFill>
              </w:rPr>
              <w:t>|</w:t>
            </w:r>
            <w:r w:rsidR="00AF5A9B" w:rsidRPr="00681EE0">
              <w:rPr>
                <w:vertAlign w:val="superscript"/>
              </w:rPr>
              <w:t>3</w:t>
            </w:r>
          </w:p>
        </w:tc>
        <w:tc>
          <w:tcPr>
            <w:tcW w:w="611" w:type="pct"/>
            <w:shd w:val="clear" w:color="auto" w:fill="auto"/>
          </w:tcPr>
          <w:p w14:paraId="10C060BA" w14:textId="129F4412" w:rsidR="004F7140" w:rsidRPr="00681EE0" w:rsidRDefault="00206B77" w:rsidP="005F70DE">
            <w:pPr>
              <w:pStyle w:val="TableText0"/>
              <w:keepLines/>
              <w:jc w:val="center"/>
              <w:rPr>
                <w:highlight w:val="darkGray"/>
              </w:rPr>
            </w:pPr>
            <w:r w:rsidRPr="00206B77">
              <w:rPr>
                <w:color w:val="000000"/>
                <w:shd w:val="solid" w:color="000000" w:fill="000000"/>
                <w14:textFill>
                  <w14:solidFill>
                    <w14:srgbClr w14:val="000000">
                      <w14:alpha w14:val="100000"/>
                    </w14:srgbClr>
                  </w14:solidFill>
                </w14:textFill>
              </w:rPr>
              <w:t>|</w:t>
            </w:r>
            <w:r w:rsidR="00E44E27">
              <w:rPr>
                <w:vertAlign w:val="superscript"/>
              </w:rPr>
              <w:t>3</w:t>
            </w:r>
          </w:p>
        </w:tc>
        <w:tc>
          <w:tcPr>
            <w:tcW w:w="611" w:type="pct"/>
            <w:shd w:val="clear" w:color="auto" w:fill="auto"/>
          </w:tcPr>
          <w:p w14:paraId="3F4B69FB" w14:textId="277119CA" w:rsidR="004F7140" w:rsidRPr="00681EE0" w:rsidRDefault="00206B77" w:rsidP="005F70DE">
            <w:pPr>
              <w:pStyle w:val="TableText0"/>
              <w:keepLines/>
              <w:jc w:val="center"/>
              <w:rPr>
                <w:highlight w:val="darkGray"/>
              </w:rPr>
            </w:pPr>
            <w:r w:rsidRPr="00206B77">
              <w:rPr>
                <w:color w:val="000000"/>
                <w:shd w:val="solid" w:color="000000" w:fill="000000"/>
                <w14:textFill>
                  <w14:solidFill>
                    <w14:srgbClr w14:val="000000">
                      <w14:alpha w14:val="100000"/>
                    </w14:srgbClr>
                  </w14:solidFill>
                </w14:textFill>
              </w:rPr>
              <w:t>|</w:t>
            </w:r>
            <w:r w:rsidR="00E44E27">
              <w:rPr>
                <w:vertAlign w:val="superscript"/>
              </w:rPr>
              <w:t>3</w:t>
            </w:r>
          </w:p>
        </w:tc>
        <w:tc>
          <w:tcPr>
            <w:tcW w:w="611" w:type="pct"/>
            <w:shd w:val="clear" w:color="auto" w:fill="auto"/>
          </w:tcPr>
          <w:p w14:paraId="4B2D94AE" w14:textId="0184CD60" w:rsidR="004F7140" w:rsidRPr="00681EE0" w:rsidRDefault="00206B77" w:rsidP="005F70DE">
            <w:pPr>
              <w:pStyle w:val="TableText0"/>
              <w:keepLines/>
              <w:jc w:val="center"/>
              <w:rPr>
                <w:highlight w:val="darkGray"/>
              </w:rPr>
            </w:pPr>
            <w:r w:rsidRPr="00206B77">
              <w:rPr>
                <w:color w:val="000000"/>
                <w:shd w:val="solid" w:color="000000" w:fill="000000"/>
                <w14:textFill>
                  <w14:solidFill>
                    <w14:srgbClr w14:val="000000">
                      <w14:alpha w14:val="100000"/>
                    </w14:srgbClr>
                  </w14:solidFill>
                </w14:textFill>
              </w:rPr>
              <w:t>|</w:t>
            </w:r>
            <w:r w:rsidR="00E44E27">
              <w:rPr>
                <w:vertAlign w:val="superscript"/>
              </w:rPr>
              <w:t>3</w:t>
            </w:r>
          </w:p>
        </w:tc>
        <w:tc>
          <w:tcPr>
            <w:tcW w:w="611" w:type="pct"/>
            <w:shd w:val="clear" w:color="auto" w:fill="auto"/>
          </w:tcPr>
          <w:p w14:paraId="2EADB087" w14:textId="0D36DE3D" w:rsidR="004F7140" w:rsidRPr="00681EE0" w:rsidRDefault="00206B77" w:rsidP="005F70DE">
            <w:pPr>
              <w:pStyle w:val="TableText0"/>
              <w:keepLines/>
              <w:jc w:val="center"/>
              <w:rPr>
                <w:highlight w:val="darkGray"/>
              </w:rPr>
            </w:pPr>
            <w:r w:rsidRPr="00206B77">
              <w:rPr>
                <w:color w:val="000000"/>
                <w:shd w:val="solid" w:color="000000" w:fill="000000"/>
                <w14:textFill>
                  <w14:solidFill>
                    <w14:srgbClr w14:val="000000">
                      <w14:alpha w14:val="100000"/>
                    </w14:srgbClr>
                  </w14:solidFill>
                </w14:textFill>
              </w:rPr>
              <w:t>|</w:t>
            </w:r>
            <w:r w:rsidR="00E44E27">
              <w:rPr>
                <w:vertAlign w:val="superscript"/>
              </w:rPr>
              <w:t>3</w:t>
            </w:r>
          </w:p>
        </w:tc>
        <w:tc>
          <w:tcPr>
            <w:tcW w:w="611" w:type="pct"/>
          </w:tcPr>
          <w:p w14:paraId="5859F24C" w14:textId="09B8E0F6" w:rsidR="004F7140" w:rsidRPr="00476211" w:rsidRDefault="00206B77" w:rsidP="005F70DE">
            <w:pPr>
              <w:pStyle w:val="TableText0"/>
              <w:keepLines/>
              <w:jc w:val="center"/>
            </w:pPr>
            <w:r w:rsidRPr="00206B77">
              <w:rPr>
                <w:color w:val="000000"/>
                <w:shd w:val="solid" w:color="000000" w:fill="000000"/>
                <w14:textFill>
                  <w14:solidFill>
                    <w14:srgbClr w14:val="000000">
                      <w14:alpha w14:val="100000"/>
                    </w14:srgbClr>
                  </w14:solidFill>
                </w14:textFill>
              </w:rPr>
              <w:t>|</w:t>
            </w:r>
            <w:r w:rsidR="00E44E27">
              <w:rPr>
                <w:vertAlign w:val="superscript"/>
              </w:rPr>
              <w:t>3</w:t>
            </w:r>
          </w:p>
        </w:tc>
      </w:tr>
      <w:tr w:rsidR="004F7140" w:rsidRPr="0047142A" w14:paraId="3940D120" w14:textId="77777777" w:rsidTr="00347AFB">
        <w:tc>
          <w:tcPr>
            <w:tcW w:w="1334" w:type="pct"/>
            <w:shd w:val="clear" w:color="auto" w:fill="auto"/>
            <w:vAlign w:val="center"/>
          </w:tcPr>
          <w:p w14:paraId="6484A76F" w14:textId="748F4ADE" w:rsidR="004F7140" w:rsidRPr="00476211" w:rsidRDefault="004F7140" w:rsidP="005F70DE">
            <w:pPr>
              <w:pStyle w:val="TableText0"/>
              <w:keepLines/>
              <w:rPr>
                <w:sz w:val="19"/>
                <w:szCs w:val="19"/>
              </w:rPr>
            </w:pPr>
            <w:r w:rsidRPr="00476211">
              <w:rPr>
                <w:sz w:val="19"/>
                <w:szCs w:val="19"/>
              </w:rPr>
              <w:t>Net cost to PBS/RPBS and MBS</w:t>
            </w:r>
          </w:p>
        </w:tc>
        <w:tc>
          <w:tcPr>
            <w:tcW w:w="611" w:type="pct"/>
            <w:shd w:val="clear" w:color="auto" w:fill="auto"/>
          </w:tcPr>
          <w:p w14:paraId="501831BA" w14:textId="5F0D29A8" w:rsidR="004F7140" w:rsidRPr="00476211" w:rsidRDefault="004F7140" w:rsidP="005F70DE">
            <w:pPr>
              <w:pStyle w:val="TableText0"/>
              <w:keepLines/>
              <w:jc w:val="center"/>
            </w:pPr>
            <w:r>
              <w:t>$</w:t>
            </w:r>
            <w:r w:rsidR="00206B77" w:rsidRPr="007F2580">
              <w:rPr>
                <w:rFonts w:hint="eastAsia"/>
                <w:color w:val="000000"/>
                <w:w w:val="15"/>
                <w:shd w:val="solid" w:color="000000" w:fill="000000"/>
                <w:fitText w:val="7" w:id="-1301008635"/>
                <w14:textFill>
                  <w14:solidFill>
                    <w14:srgbClr w14:val="000000">
                      <w14:alpha w14:val="100000"/>
                    </w14:srgbClr>
                  </w14:solidFill>
                </w14:textFill>
              </w:rPr>
              <w:t xml:space="preserve">　</w:t>
            </w:r>
            <w:r w:rsidR="00206B77" w:rsidRPr="007F2580">
              <w:rPr>
                <w:color w:val="000000"/>
                <w:w w:val="15"/>
                <w:shd w:val="solid" w:color="000000" w:fill="000000"/>
                <w:fitText w:val="7" w:id="-1301008635"/>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5"/>
                <w14:textFill>
                  <w14:solidFill>
                    <w14:srgbClr w14:val="000000">
                      <w14:alpha w14:val="100000"/>
                    </w14:srgbClr>
                  </w14:solidFill>
                </w14:textFill>
              </w:rPr>
              <w:t xml:space="preserve">　</w:t>
            </w:r>
            <w:r w:rsidR="00AF5A9B">
              <w:rPr>
                <w:vertAlign w:val="superscript"/>
              </w:rPr>
              <w:t>2</w:t>
            </w:r>
          </w:p>
        </w:tc>
        <w:tc>
          <w:tcPr>
            <w:tcW w:w="611" w:type="pct"/>
            <w:shd w:val="clear" w:color="auto" w:fill="auto"/>
          </w:tcPr>
          <w:p w14:paraId="4B3895B2" w14:textId="09B64679" w:rsidR="004F7140" w:rsidRPr="00476211" w:rsidRDefault="004F7140" w:rsidP="005F70DE">
            <w:pPr>
              <w:pStyle w:val="TableText0"/>
              <w:keepLines/>
              <w:jc w:val="center"/>
            </w:pPr>
            <w:r>
              <w:t>$</w:t>
            </w:r>
            <w:r w:rsidR="00206B77" w:rsidRPr="007F2580">
              <w:rPr>
                <w:rFonts w:hint="eastAsia"/>
                <w:color w:val="000000"/>
                <w:w w:val="15"/>
                <w:shd w:val="solid" w:color="000000" w:fill="000000"/>
                <w:fitText w:val="7" w:id="-1301008634"/>
                <w14:textFill>
                  <w14:solidFill>
                    <w14:srgbClr w14:val="000000">
                      <w14:alpha w14:val="100000"/>
                    </w14:srgbClr>
                  </w14:solidFill>
                </w14:textFill>
              </w:rPr>
              <w:t xml:space="preserve">　</w:t>
            </w:r>
            <w:r w:rsidR="00206B77" w:rsidRPr="007F2580">
              <w:rPr>
                <w:color w:val="000000"/>
                <w:w w:val="15"/>
                <w:shd w:val="solid" w:color="000000" w:fill="000000"/>
                <w:fitText w:val="7" w:id="-1301008634"/>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4"/>
                <w14:textFill>
                  <w14:solidFill>
                    <w14:srgbClr w14:val="000000">
                      <w14:alpha w14:val="100000"/>
                    </w14:srgbClr>
                  </w14:solidFill>
                </w14:textFill>
              </w:rPr>
              <w:t xml:space="preserve">　</w:t>
            </w:r>
            <w:r w:rsidR="00681EE0">
              <w:rPr>
                <w:vertAlign w:val="superscript"/>
              </w:rPr>
              <w:t>2</w:t>
            </w:r>
          </w:p>
        </w:tc>
        <w:tc>
          <w:tcPr>
            <w:tcW w:w="611" w:type="pct"/>
            <w:shd w:val="clear" w:color="auto" w:fill="auto"/>
          </w:tcPr>
          <w:p w14:paraId="54D3A16F" w14:textId="65BA5F1D" w:rsidR="004F7140" w:rsidRPr="00476211" w:rsidRDefault="004F7140" w:rsidP="005F70DE">
            <w:pPr>
              <w:pStyle w:val="TableText0"/>
              <w:keepLines/>
              <w:jc w:val="center"/>
            </w:pPr>
            <w:r>
              <w:t>$</w:t>
            </w:r>
            <w:r w:rsidR="00206B77" w:rsidRPr="007F2580">
              <w:rPr>
                <w:rFonts w:hint="eastAsia"/>
                <w:color w:val="000000"/>
                <w:w w:val="15"/>
                <w:shd w:val="solid" w:color="000000" w:fill="000000"/>
                <w:fitText w:val="7" w:id="-1301008633"/>
                <w14:textFill>
                  <w14:solidFill>
                    <w14:srgbClr w14:val="000000">
                      <w14:alpha w14:val="100000"/>
                    </w14:srgbClr>
                  </w14:solidFill>
                </w14:textFill>
              </w:rPr>
              <w:t xml:space="preserve">　</w:t>
            </w:r>
            <w:r w:rsidR="00206B77" w:rsidRPr="007F2580">
              <w:rPr>
                <w:color w:val="000000"/>
                <w:w w:val="15"/>
                <w:shd w:val="solid" w:color="000000" w:fill="000000"/>
                <w:fitText w:val="7" w:id="-1301008633"/>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3"/>
                <w14:textFill>
                  <w14:solidFill>
                    <w14:srgbClr w14:val="000000">
                      <w14:alpha w14:val="100000"/>
                    </w14:srgbClr>
                  </w14:solidFill>
                </w14:textFill>
              </w:rPr>
              <w:t xml:space="preserve">　</w:t>
            </w:r>
            <w:r w:rsidR="00681EE0">
              <w:rPr>
                <w:vertAlign w:val="superscript"/>
              </w:rPr>
              <w:t>2</w:t>
            </w:r>
          </w:p>
        </w:tc>
        <w:tc>
          <w:tcPr>
            <w:tcW w:w="611" w:type="pct"/>
            <w:shd w:val="clear" w:color="auto" w:fill="auto"/>
          </w:tcPr>
          <w:p w14:paraId="55E4FC02" w14:textId="49140C97" w:rsidR="004F7140" w:rsidRPr="00476211" w:rsidRDefault="004F7140" w:rsidP="005F70DE">
            <w:pPr>
              <w:pStyle w:val="TableText0"/>
              <w:keepLines/>
              <w:jc w:val="center"/>
            </w:pPr>
            <w:r>
              <w:t>$</w:t>
            </w:r>
            <w:r w:rsidR="00206B77" w:rsidRPr="007F2580">
              <w:rPr>
                <w:rFonts w:hint="eastAsia"/>
                <w:color w:val="000000"/>
                <w:w w:val="15"/>
                <w:shd w:val="solid" w:color="000000" w:fill="000000"/>
                <w:fitText w:val="7" w:id="-1301008632"/>
                <w14:textFill>
                  <w14:solidFill>
                    <w14:srgbClr w14:val="000000">
                      <w14:alpha w14:val="100000"/>
                    </w14:srgbClr>
                  </w14:solidFill>
                </w14:textFill>
              </w:rPr>
              <w:t xml:space="preserve">　</w:t>
            </w:r>
            <w:r w:rsidR="00206B77" w:rsidRPr="007F2580">
              <w:rPr>
                <w:color w:val="000000"/>
                <w:w w:val="15"/>
                <w:shd w:val="solid" w:color="000000" w:fill="000000"/>
                <w:fitText w:val="7" w:id="-1301008632"/>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2"/>
                <w14:textFill>
                  <w14:solidFill>
                    <w14:srgbClr w14:val="000000">
                      <w14:alpha w14:val="100000"/>
                    </w14:srgbClr>
                  </w14:solidFill>
                </w14:textFill>
              </w:rPr>
              <w:t xml:space="preserve">　</w:t>
            </w:r>
            <w:r w:rsidR="00E44E27">
              <w:rPr>
                <w:vertAlign w:val="superscript"/>
              </w:rPr>
              <w:t>4</w:t>
            </w:r>
          </w:p>
        </w:tc>
        <w:tc>
          <w:tcPr>
            <w:tcW w:w="611" w:type="pct"/>
            <w:shd w:val="clear" w:color="auto" w:fill="auto"/>
          </w:tcPr>
          <w:p w14:paraId="4CA4CD04" w14:textId="6CAB213C" w:rsidR="004F7140" w:rsidRPr="00476211" w:rsidRDefault="004F7140" w:rsidP="005F70DE">
            <w:pPr>
              <w:pStyle w:val="TableText0"/>
              <w:keepLines/>
              <w:jc w:val="center"/>
            </w:pPr>
            <w:r>
              <w:t>$</w:t>
            </w:r>
            <w:r w:rsidR="00206B77" w:rsidRPr="007F2580">
              <w:rPr>
                <w:rFonts w:hint="eastAsia"/>
                <w:color w:val="000000"/>
                <w:w w:val="15"/>
                <w:shd w:val="solid" w:color="000000" w:fill="000000"/>
                <w:fitText w:val="7" w:id="-1301008631"/>
                <w14:textFill>
                  <w14:solidFill>
                    <w14:srgbClr w14:val="000000">
                      <w14:alpha w14:val="100000"/>
                    </w14:srgbClr>
                  </w14:solidFill>
                </w14:textFill>
              </w:rPr>
              <w:t xml:space="preserve">　</w:t>
            </w:r>
            <w:r w:rsidR="00206B77" w:rsidRPr="007F2580">
              <w:rPr>
                <w:color w:val="000000"/>
                <w:w w:val="15"/>
                <w:shd w:val="solid" w:color="000000" w:fill="000000"/>
                <w:fitText w:val="7" w:id="-1301008631"/>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1"/>
                <w14:textFill>
                  <w14:solidFill>
                    <w14:srgbClr w14:val="000000">
                      <w14:alpha w14:val="100000"/>
                    </w14:srgbClr>
                  </w14:solidFill>
                </w14:textFill>
              </w:rPr>
              <w:t xml:space="preserve">　</w:t>
            </w:r>
            <w:r w:rsidR="00E44E27">
              <w:rPr>
                <w:vertAlign w:val="superscript"/>
              </w:rPr>
              <w:t>4</w:t>
            </w:r>
          </w:p>
        </w:tc>
        <w:tc>
          <w:tcPr>
            <w:tcW w:w="611" w:type="pct"/>
          </w:tcPr>
          <w:p w14:paraId="6959E8B2" w14:textId="579C23A0" w:rsidR="004F7140" w:rsidRPr="00476211" w:rsidRDefault="004F7140" w:rsidP="005F70DE">
            <w:pPr>
              <w:pStyle w:val="TableText0"/>
              <w:keepLines/>
              <w:jc w:val="center"/>
            </w:pPr>
            <w:r>
              <w:t>$</w:t>
            </w:r>
            <w:r w:rsidR="00206B77" w:rsidRPr="007F2580">
              <w:rPr>
                <w:rFonts w:hint="eastAsia"/>
                <w:color w:val="000000"/>
                <w:w w:val="15"/>
                <w:shd w:val="solid" w:color="000000" w:fill="000000"/>
                <w:fitText w:val="7" w:id="-1301008630"/>
                <w14:textFill>
                  <w14:solidFill>
                    <w14:srgbClr w14:val="000000">
                      <w14:alpha w14:val="100000"/>
                    </w14:srgbClr>
                  </w14:solidFill>
                </w14:textFill>
              </w:rPr>
              <w:t xml:space="preserve">　</w:t>
            </w:r>
            <w:r w:rsidR="00206B77" w:rsidRPr="007F2580">
              <w:rPr>
                <w:color w:val="000000"/>
                <w:w w:val="15"/>
                <w:shd w:val="solid" w:color="000000" w:fill="000000"/>
                <w:fitText w:val="7" w:id="-1301008630"/>
                <w14:textFill>
                  <w14:solidFill>
                    <w14:srgbClr w14:val="000000">
                      <w14:alpha w14:val="100000"/>
                    </w14:srgbClr>
                  </w14:solidFill>
                </w14:textFill>
              </w:rPr>
              <w:t>|</w:t>
            </w:r>
            <w:r w:rsidR="00206B77" w:rsidRPr="007F2580">
              <w:rPr>
                <w:rFonts w:hint="eastAsia"/>
                <w:color w:val="000000"/>
                <w:spacing w:val="-58"/>
                <w:w w:val="15"/>
                <w:shd w:val="solid" w:color="000000" w:fill="000000"/>
                <w:fitText w:val="7" w:id="-1301008630"/>
                <w14:textFill>
                  <w14:solidFill>
                    <w14:srgbClr w14:val="000000">
                      <w14:alpha w14:val="100000"/>
                    </w14:srgbClr>
                  </w14:solidFill>
                </w14:textFill>
              </w:rPr>
              <w:t xml:space="preserve">　</w:t>
            </w:r>
            <w:r w:rsidR="00E44E27">
              <w:rPr>
                <w:vertAlign w:val="superscript"/>
              </w:rPr>
              <w:t>4</w:t>
            </w:r>
          </w:p>
        </w:tc>
      </w:tr>
    </w:tbl>
    <w:p w14:paraId="4E7600E9" w14:textId="47B0C584" w:rsidR="00380BE4" w:rsidRPr="002849B0" w:rsidRDefault="00380BE4" w:rsidP="005F70DE">
      <w:pPr>
        <w:keepNext/>
        <w:keepLines/>
        <w:rPr>
          <w:rFonts w:ascii="Arial Narrow" w:hAnsi="Arial Narrow"/>
          <w:sz w:val="18"/>
          <w:szCs w:val="18"/>
        </w:rPr>
      </w:pPr>
      <w:r w:rsidRPr="005B024E">
        <w:rPr>
          <w:rFonts w:ascii="Arial Narrow" w:hAnsi="Arial Narrow"/>
          <w:sz w:val="18"/>
          <w:szCs w:val="18"/>
        </w:rPr>
        <w:t>Source: Tables 4.3 to 4.21, pp121-132 of the submission</w:t>
      </w:r>
      <w:r w:rsidR="005B216B">
        <w:rPr>
          <w:rFonts w:ascii="Arial Narrow" w:hAnsi="Arial Narrow"/>
          <w:sz w:val="18"/>
          <w:szCs w:val="18"/>
        </w:rPr>
        <w:t xml:space="preserve">, </w:t>
      </w:r>
      <w:r w:rsidRPr="005B024E">
        <w:rPr>
          <w:rFonts w:ascii="Arial Narrow" w:hAnsi="Arial Narrow"/>
          <w:sz w:val="18"/>
          <w:szCs w:val="18"/>
        </w:rPr>
        <w:t>the financial model</w:t>
      </w:r>
      <w:r w:rsidR="005B216B">
        <w:rPr>
          <w:rFonts w:ascii="Arial Narrow" w:hAnsi="Arial Narrow"/>
          <w:sz w:val="18"/>
          <w:szCs w:val="18"/>
        </w:rPr>
        <w:t xml:space="preserve">, the </w:t>
      </w:r>
      <w:r w:rsidR="002849B0" w:rsidRPr="002849B0">
        <w:rPr>
          <w:rFonts w:ascii="Arial Narrow" w:hAnsi="Arial Narrow"/>
          <w:sz w:val="18"/>
          <w:szCs w:val="18"/>
        </w:rPr>
        <w:t>POLIVY_DLBCL_Section 4 Workbook_PSCR.xlsx</w:t>
      </w:r>
      <w:r w:rsidR="005B216B">
        <w:rPr>
          <w:rFonts w:ascii="Arial Narrow" w:hAnsi="Arial Narrow"/>
          <w:sz w:val="18"/>
          <w:szCs w:val="18"/>
        </w:rPr>
        <w:t xml:space="preserve"> and Table 1, p2 of the pre-PBAC response</w:t>
      </w:r>
      <w:r w:rsidR="00AB0C56">
        <w:rPr>
          <w:rFonts w:ascii="Arial Narrow" w:hAnsi="Arial Narrow"/>
          <w:sz w:val="18"/>
          <w:szCs w:val="18"/>
        </w:rPr>
        <w:t xml:space="preserve">, </w:t>
      </w:r>
    </w:p>
    <w:p w14:paraId="6591A03B" w14:textId="0AD2C33D" w:rsidR="00380BE4" w:rsidRPr="005B024E" w:rsidRDefault="00380BE4" w:rsidP="005F70DE">
      <w:pPr>
        <w:pStyle w:val="TableFigureFooter"/>
        <w:keepNext/>
        <w:keepLines/>
      </w:pPr>
      <w:r w:rsidRPr="005B024E">
        <w:t>DLBC = Diffuse large B cell lymphoma</w:t>
      </w:r>
      <w:r w:rsidR="004F7140">
        <w:t xml:space="preserve"> and Table 1, p2 of the pre-PBAC response </w:t>
      </w:r>
    </w:p>
    <w:p w14:paraId="64DA16D5" w14:textId="6F322643" w:rsidR="00F811DD" w:rsidRPr="005B024E" w:rsidRDefault="00F811DD" w:rsidP="005F70DE">
      <w:pPr>
        <w:pStyle w:val="TableFigureFooter"/>
        <w:keepNext/>
        <w:keepLines/>
      </w:pPr>
      <w:r w:rsidRPr="005B024E">
        <w:rPr>
          <w:vertAlign w:val="superscript"/>
        </w:rPr>
        <w:t>a</w:t>
      </w:r>
      <w:r w:rsidR="004E3E15" w:rsidRPr="005B024E">
        <w:tab/>
      </w:r>
      <w:r w:rsidRPr="005B024E">
        <w:t xml:space="preserve">Assuming </w:t>
      </w:r>
      <w:r w:rsidR="00434995" w:rsidRPr="005B024E">
        <w:t>5.8</w:t>
      </w:r>
      <w:r w:rsidRPr="005B024E">
        <w:t xml:space="preserve"> per year as estimated by the submission.</w:t>
      </w:r>
    </w:p>
    <w:p w14:paraId="5C11DC18" w14:textId="46CECC15" w:rsidR="0090607F" w:rsidRPr="005B024E" w:rsidRDefault="0090607F" w:rsidP="005F70DE">
      <w:pPr>
        <w:pStyle w:val="TableFigureFooter"/>
        <w:keepNext/>
        <w:keepLines/>
        <w:ind w:left="165" w:hanging="165"/>
      </w:pPr>
      <w:r w:rsidRPr="005B024E">
        <w:rPr>
          <w:vertAlign w:val="superscript"/>
        </w:rPr>
        <w:t>b</w:t>
      </w:r>
      <w:r w:rsidR="004E3E15" w:rsidRPr="005B024E">
        <w:rPr>
          <w:vertAlign w:val="superscript"/>
        </w:rPr>
        <w:tab/>
      </w:r>
      <w:r w:rsidRPr="005B024E">
        <w:t xml:space="preserve">The submission only applied the patient co-payment ($20.92) once per patient for </w:t>
      </w:r>
      <w:r w:rsidR="006D6B26" w:rsidRPr="005B024E">
        <w:t>polatuzumab vedotin</w:t>
      </w:r>
      <w:r w:rsidRPr="005B024E">
        <w:t>. Overall, this error had minimal impact on the net financial estimates and results were subsequently not updated during the evaluation</w:t>
      </w:r>
    </w:p>
    <w:p w14:paraId="7E6D0090" w14:textId="43E1DCDB" w:rsidR="00880394" w:rsidRPr="005B024E" w:rsidRDefault="0090607F" w:rsidP="00B869EC">
      <w:pPr>
        <w:pStyle w:val="TableFigureFooter"/>
        <w:keepNext/>
        <w:keepLines/>
        <w:ind w:left="164" w:hanging="164"/>
        <w:contextualSpacing w:val="0"/>
      </w:pPr>
      <w:r w:rsidRPr="005B024E">
        <w:rPr>
          <w:vertAlign w:val="superscript"/>
        </w:rPr>
        <w:t xml:space="preserve">c </w:t>
      </w:r>
      <w:r w:rsidR="004E3E15" w:rsidRPr="005B024E">
        <w:rPr>
          <w:vertAlign w:val="superscript"/>
        </w:rPr>
        <w:tab/>
      </w:r>
      <w:r w:rsidRPr="005B024E">
        <w:t xml:space="preserve">The submission incorrectly assumed the AEMP for vincristine corresponded to 1x1mg vials rather than 5x1mg vials. Based on the correct AEMP per vial </w:t>
      </w:r>
      <w:r w:rsidRPr="00880394">
        <w:t>(i.e. $44.61 / 5 = approx. $8.92), the</w:t>
      </w:r>
      <w:r w:rsidRPr="005B024E">
        <w:t xml:space="preserve"> weighted dispense price for 2mg vincristine equals $130.00. Overall, this error had minimal impacts impact on the net financial estimates and the results were subsequently not updated during the evaluation</w:t>
      </w:r>
    </w:p>
    <w:p w14:paraId="124E4D1C" w14:textId="77777777" w:rsidR="0060517A" w:rsidRPr="00880394" w:rsidRDefault="0060517A" w:rsidP="00330744">
      <w:pPr>
        <w:pStyle w:val="TableFigureFooter"/>
        <w:keepNext/>
        <w:spacing w:before="120" w:after="0"/>
        <w:contextualSpacing w:val="0"/>
        <w:rPr>
          <w:i/>
        </w:rPr>
      </w:pPr>
      <w:r w:rsidRPr="00880394">
        <w:rPr>
          <w:i/>
        </w:rPr>
        <w:t>The redacted values correspond to the following ranges:</w:t>
      </w:r>
    </w:p>
    <w:p w14:paraId="44341962" w14:textId="2012F504" w:rsidR="0060517A" w:rsidRPr="00880394" w:rsidRDefault="0060517A" w:rsidP="0060517A">
      <w:pPr>
        <w:pStyle w:val="TableFigureFooter"/>
        <w:keepNext/>
        <w:spacing w:after="0"/>
        <w:contextualSpacing w:val="0"/>
        <w:rPr>
          <w:i/>
        </w:rPr>
      </w:pPr>
      <w:r w:rsidRPr="00880394">
        <w:rPr>
          <w:i/>
          <w:szCs w:val="18"/>
          <w:vertAlign w:val="superscript"/>
        </w:rPr>
        <w:t>1</w:t>
      </w:r>
      <w:r w:rsidRPr="00880394">
        <w:rPr>
          <w:i/>
          <w:szCs w:val="18"/>
        </w:rPr>
        <w:t xml:space="preserve"> 500 &lt;5,000</w:t>
      </w:r>
    </w:p>
    <w:p w14:paraId="3D26090E" w14:textId="77777777" w:rsidR="00AF5A9B" w:rsidRPr="00880394" w:rsidRDefault="0060517A" w:rsidP="0060517A">
      <w:pPr>
        <w:rPr>
          <w:rFonts w:ascii="Arial Narrow" w:hAnsi="Arial Narrow"/>
          <w:i/>
          <w:sz w:val="18"/>
          <w:szCs w:val="18"/>
        </w:rPr>
      </w:pPr>
      <w:r w:rsidRPr="00880394">
        <w:rPr>
          <w:rFonts w:ascii="Arial Narrow" w:hAnsi="Arial Narrow"/>
          <w:i/>
          <w:sz w:val="18"/>
          <w:szCs w:val="18"/>
          <w:vertAlign w:val="superscript"/>
        </w:rPr>
        <w:t>2</w:t>
      </w:r>
      <w:r w:rsidRPr="00880394">
        <w:rPr>
          <w:rFonts w:ascii="Arial Narrow" w:hAnsi="Arial Narrow"/>
          <w:i/>
          <w:sz w:val="18"/>
          <w:szCs w:val="18"/>
        </w:rPr>
        <w:t xml:space="preserve"> </w:t>
      </w:r>
      <w:r w:rsidR="00AF5A9B" w:rsidRPr="00880394">
        <w:rPr>
          <w:rFonts w:ascii="Arial Narrow" w:hAnsi="Arial Narrow"/>
          <w:i/>
          <w:sz w:val="18"/>
          <w:szCs w:val="18"/>
        </w:rPr>
        <w:t xml:space="preserve">$20 million to &lt;$30 million </w:t>
      </w:r>
    </w:p>
    <w:p w14:paraId="34724AFE" w14:textId="7D326219" w:rsidR="0060517A" w:rsidRPr="00880394" w:rsidRDefault="0060517A" w:rsidP="0060517A">
      <w:pPr>
        <w:rPr>
          <w:rFonts w:ascii="Arial Narrow" w:hAnsi="Arial Narrow"/>
          <w:i/>
          <w:sz w:val="18"/>
          <w:szCs w:val="18"/>
        </w:rPr>
      </w:pPr>
      <w:r w:rsidRPr="00880394">
        <w:rPr>
          <w:rFonts w:ascii="Arial Narrow" w:hAnsi="Arial Narrow"/>
          <w:i/>
          <w:sz w:val="18"/>
          <w:szCs w:val="18"/>
          <w:vertAlign w:val="superscript"/>
        </w:rPr>
        <w:t xml:space="preserve">3 </w:t>
      </w:r>
      <w:r w:rsidR="00AF5A9B" w:rsidRPr="00880394">
        <w:rPr>
          <w:rFonts w:ascii="Arial Narrow" w:hAnsi="Arial Narrow"/>
          <w:i/>
          <w:sz w:val="18"/>
          <w:szCs w:val="18"/>
        </w:rPr>
        <w:t>net cost saving</w:t>
      </w:r>
    </w:p>
    <w:p w14:paraId="702211DD" w14:textId="5D7041F5" w:rsidR="00AF5A9B" w:rsidRPr="00880394" w:rsidRDefault="0060517A" w:rsidP="0060517A">
      <w:pPr>
        <w:rPr>
          <w:rFonts w:ascii="Arial Narrow" w:hAnsi="Arial Narrow"/>
          <w:i/>
          <w:sz w:val="18"/>
          <w:szCs w:val="18"/>
          <w:vertAlign w:val="superscript"/>
        </w:rPr>
      </w:pPr>
      <w:r w:rsidRPr="00880394">
        <w:rPr>
          <w:rFonts w:ascii="Arial Narrow" w:hAnsi="Arial Narrow"/>
          <w:i/>
          <w:sz w:val="18"/>
          <w:szCs w:val="18"/>
          <w:vertAlign w:val="superscript"/>
        </w:rPr>
        <w:t>4</w:t>
      </w:r>
      <w:r w:rsidR="00AF5A9B" w:rsidRPr="00880394">
        <w:rPr>
          <w:rFonts w:ascii="Arial Narrow" w:hAnsi="Arial Narrow"/>
          <w:i/>
          <w:sz w:val="18"/>
          <w:szCs w:val="18"/>
        </w:rPr>
        <w:t>$30 million to &lt;$40 million</w:t>
      </w:r>
      <w:r w:rsidRPr="00880394">
        <w:rPr>
          <w:rFonts w:ascii="Arial Narrow" w:hAnsi="Arial Narrow"/>
          <w:i/>
          <w:sz w:val="18"/>
          <w:szCs w:val="18"/>
          <w:vertAlign w:val="superscript"/>
        </w:rPr>
        <w:t xml:space="preserve"> </w:t>
      </w:r>
    </w:p>
    <w:p w14:paraId="5805A527" w14:textId="77777777" w:rsidR="00E44E27" w:rsidRPr="00880394" w:rsidRDefault="0060517A" w:rsidP="0060517A">
      <w:pPr>
        <w:rPr>
          <w:rFonts w:ascii="Arial Narrow" w:hAnsi="Arial Narrow"/>
          <w:i/>
          <w:sz w:val="18"/>
          <w:szCs w:val="18"/>
        </w:rPr>
      </w:pPr>
      <w:r w:rsidRPr="00880394">
        <w:rPr>
          <w:rFonts w:ascii="Arial Narrow" w:hAnsi="Arial Narrow"/>
          <w:i/>
          <w:sz w:val="18"/>
          <w:szCs w:val="18"/>
          <w:vertAlign w:val="superscript"/>
        </w:rPr>
        <w:t>5</w:t>
      </w:r>
      <w:r w:rsidR="00E44E27" w:rsidRPr="00880394">
        <w:rPr>
          <w:rFonts w:ascii="Arial Narrow" w:hAnsi="Arial Narrow"/>
          <w:i/>
          <w:sz w:val="18"/>
          <w:szCs w:val="18"/>
        </w:rPr>
        <w:t>$40 million to &lt;$50 million</w:t>
      </w:r>
    </w:p>
    <w:p w14:paraId="6CC8AC3A" w14:textId="785944E7" w:rsidR="00E44E27" w:rsidRPr="00880394" w:rsidRDefault="0060517A" w:rsidP="00E44E27">
      <w:pPr>
        <w:rPr>
          <w:rFonts w:ascii="Arial Narrow" w:hAnsi="Arial Narrow"/>
          <w:i/>
          <w:sz w:val="18"/>
          <w:szCs w:val="18"/>
        </w:rPr>
      </w:pPr>
      <w:r w:rsidRPr="00880394">
        <w:rPr>
          <w:rFonts w:ascii="Arial Narrow" w:hAnsi="Arial Narrow"/>
          <w:i/>
          <w:sz w:val="18"/>
          <w:szCs w:val="18"/>
          <w:vertAlign w:val="superscript"/>
        </w:rPr>
        <w:t xml:space="preserve">6 </w:t>
      </w:r>
      <w:r w:rsidR="00E44E27" w:rsidRPr="00880394">
        <w:rPr>
          <w:rFonts w:ascii="Arial Narrow" w:hAnsi="Arial Narrow"/>
          <w:i/>
          <w:sz w:val="18"/>
          <w:szCs w:val="18"/>
        </w:rPr>
        <w:t>$50 million to &lt;$60 million</w:t>
      </w:r>
      <w:r w:rsidR="000F7295" w:rsidRPr="00880394">
        <w:rPr>
          <w:rFonts w:ascii="Arial Narrow" w:hAnsi="Arial Narrow"/>
          <w:i/>
          <w:sz w:val="18"/>
          <w:szCs w:val="18"/>
        </w:rPr>
        <w:t xml:space="preserve"> </w:t>
      </w:r>
    </w:p>
    <w:p w14:paraId="6FCEFFB4" w14:textId="50888309" w:rsidR="0060517A" w:rsidRDefault="0060517A" w:rsidP="00B869EC">
      <w:pPr>
        <w:spacing w:after="120"/>
        <w:ind w:right="147"/>
        <w:rPr>
          <w:rFonts w:ascii="Arial Narrow" w:hAnsi="Arial Narrow"/>
          <w:i/>
          <w:color w:val="FF0000"/>
          <w:sz w:val="18"/>
          <w:szCs w:val="18"/>
          <w:vertAlign w:val="superscript"/>
        </w:rPr>
      </w:pPr>
      <w:r w:rsidRPr="00880394">
        <w:rPr>
          <w:rFonts w:ascii="Arial Narrow" w:hAnsi="Arial Narrow"/>
          <w:i/>
          <w:sz w:val="18"/>
          <w:szCs w:val="18"/>
          <w:vertAlign w:val="superscript"/>
        </w:rPr>
        <w:t xml:space="preserve">7 </w:t>
      </w:r>
      <w:r w:rsidR="000F7295" w:rsidRPr="00880394">
        <w:rPr>
          <w:rFonts w:ascii="Arial Narrow" w:hAnsi="Arial Narrow"/>
          <w:i/>
          <w:iCs/>
          <w:sz w:val="18"/>
          <w:szCs w:val="18"/>
        </w:rPr>
        <w:t>5,000 to &lt; 10,000</w:t>
      </w:r>
    </w:p>
    <w:p w14:paraId="51802632" w14:textId="1FA82153" w:rsidR="00EF0584" w:rsidRPr="00E1521D" w:rsidRDefault="00F811DD" w:rsidP="00E1521D">
      <w:pPr>
        <w:pStyle w:val="3-BodyText"/>
        <w:ind w:left="720"/>
        <w:rPr>
          <w:iCs/>
        </w:rPr>
      </w:pPr>
      <w:r w:rsidRPr="00E1521D">
        <w:rPr>
          <w:iCs/>
        </w:rPr>
        <w:t xml:space="preserve">The </w:t>
      </w:r>
      <w:r w:rsidR="00E43FAB" w:rsidRPr="00E1521D">
        <w:rPr>
          <w:iCs/>
        </w:rPr>
        <w:t xml:space="preserve">submission estimated a </w:t>
      </w:r>
      <w:r w:rsidRPr="00E1521D">
        <w:rPr>
          <w:iCs/>
        </w:rPr>
        <w:t xml:space="preserve">total cost to the PBS/RPBS of </w:t>
      </w:r>
      <w:r w:rsidR="00454D50" w:rsidRPr="00454D50">
        <w:rPr>
          <w:iCs/>
        </w:rPr>
        <w:t>$30 million to &lt;</w:t>
      </w:r>
      <w:r w:rsidR="0026298F">
        <w:rPr>
          <w:iCs/>
        </w:rPr>
        <w:t> </w:t>
      </w:r>
      <w:r w:rsidR="00454D50" w:rsidRPr="00454D50">
        <w:rPr>
          <w:iCs/>
        </w:rPr>
        <w:t>$40</w:t>
      </w:r>
      <w:r w:rsidR="0026298F">
        <w:rPr>
          <w:iCs/>
        </w:rPr>
        <w:t> </w:t>
      </w:r>
      <w:r w:rsidR="00454D50" w:rsidRPr="00454D50">
        <w:rPr>
          <w:iCs/>
        </w:rPr>
        <w:t>million</w:t>
      </w:r>
      <w:r w:rsidR="00880394">
        <w:rPr>
          <w:iCs/>
        </w:rPr>
        <w:t xml:space="preserve"> </w:t>
      </w:r>
      <w:r w:rsidRPr="00E1521D">
        <w:rPr>
          <w:iCs/>
        </w:rPr>
        <w:t>in Year 6</w:t>
      </w:r>
      <w:r w:rsidR="00E43FAB" w:rsidRPr="00E1521D">
        <w:rPr>
          <w:iCs/>
        </w:rPr>
        <w:t xml:space="preserve"> and </w:t>
      </w:r>
      <w:r w:rsidR="00454D50" w:rsidRPr="00454D50">
        <w:rPr>
          <w:iCs/>
        </w:rPr>
        <w:t>$100 million to &lt; $200 million</w:t>
      </w:r>
      <w:r w:rsidRPr="00E1521D">
        <w:rPr>
          <w:iCs/>
        </w:rPr>
        <w:t xml:space="preserve"> </w:t>
      </w:r>
      <w:r w:rsidR="00E43FAB" w:rsidRPr="00E1521D">
        <w:rPr>
          <w:iCs/>
        </w:rPr>
        <w:t>over</w:t>
      </w:r>
      <w:r w:rsidRPr="00E1521D">
        <w:rPr>
          <w:iCs/>
        </w:rPr>
        <w:t xml:space="preserve"> the first </w:t>
      </w:r>
      <w:r w:rsidR="00E43FAB" w:rsidRPr="00E1521D">
        <w:rPr>
          <w:iCs/>
        </w:rPr>
        <w:t>six</w:t>
      </w:r>
      <w:r w:rsidRPr="00E1521D">
        <w:rPr>
          <w:iCs/>
        </w:rPr>
        <w:t xml:space="preserve"> years of listing</w:t>
      </w:r>
      <w:r w:rsidR="00E43FAB" w:rsidRPr="00E1521D">
        <w:rPr>
          <w:iCs/>
        </w:rPr>
        <w:t xml:space="preserve">. </w:t>
      </w:r>
      <w:r w:rsidR="00FF024F" w:rsidRPr="00E1521D">
        <w:rPr>
          <w:iCs/>
        </w:rPr>
        <w:t xml:space="preserve">The PSCR updated the total cost to the PBS/RPBS to </w:t>
      </w:r>
      <w:r w:rsidR="00454D50" w:rsidRPr="00454D50">
        <w:rPr>
          <w:iCs/>
        </w:rPr>
        <w:t>$50 million to &lt; $60 million</w:t>
      </w:r>
      <w:r w:rsidR="00880394">
        <w:rPr>
          <w:iCs/>
        </w:rPr>
        <w:t xml:space="preserve"> </w:t>
      </w:r>
      <w:r w:rsidR="00FF024F" w:rsidRPr="00E1521D">
        <w:rPr>
          <w:iCs/>
        </w:rPr>
        <w:t xml:space="preserve">in Year 6 and </w:t>
      </w:r>
      <w:r w:rsidR="00454D50" w:rsidRPr="00454D50">
        <w:rPr>
          <w:iCs/>
        </w:rPr>
        <w:t>$200 million to &lt; $300 million</w:t>
      </w:r>
      <w:r w:rsidR="00880394">
        <w:rPr>
          <w:iCs/>
        </w:rPr>
        <w:t xml:space="preserve"> </w:t>
      </w:r>
      <w:r w:rsidR="00FF024F" w:rsidRPr="00E1521D">
        <w:rPr>
          <w:iCs/>
        </w:rPr>
        <w:t>over the first 6 years of listing.</w:t>
      </w:r>
      <w:r w:rsidR="00D913D2" w:rsidRPr="00E1521D">
        <w:rPr>
          <w:iCs/>
        </w:rPr>
        <w:t xml:space="preserve"> </w:t>
      </w:r>
      <w:r w:rsidR="00FF024F" w:rsidRPr="00E1521D">
        <w:rPr>
          <w:iCs/>
        </w:rPr>
        <w:t xml:space="preserve">The ESC considered that the financial implications of listing polatuzumab </w:t>
      </w:r>
      <w:r w:rsidR="00C93D4F" w:rsidRPr="00E1521D">
        <w:rPr>
          <w:iCs/>
        </w:rPr>
        <w:t xml:space="preserve">vedotin </w:t>
      </w:r>
      <w:r w:rsidR="00FF024F" w:rsidRPr="00E1521D">
        <w:rPr>
          <w:iCs/>
        </w:rPr>
        <w:t xml:space="preserve">were high, particularly as the proposed estimates were for the IPI 3-5 subgroup only and noted that there was a </w:t>
      </w:r>
      <w:r w:rsidR="006603B8" w:rsidRPr="00E1521D">
        <w:rPr>
          <w:iCs/>
        </w:rPr>
        <w:t>considerable financial risk to the government should polatuzumab vedotin be used in the broader DLBCL population with lower IPI scores.</w:t>
      </w:r>
      <w:r w:rsidR="003F3B85" w:rsidRPr="00E1521D">
        <w:rPr>
          <w:iCs/>
        </w:rPr>
        <w:t xml:space="preserve"> In addition, the ESC considered </w:t>
      </w:r>
      <w:r w:rsidR="003F3B85" w:rsidRPr="00E1521D">
        <w:rPr>
          <w:iCs/>
        </w:rPr>
        <w:lastRenderedPageBreak/>
        <w:t>the updated estimates would also have implications for the thresholds of the proposed Risk Sharing Arrangement (RSA).</w:t>
      </w:r>
      <w:r w:rsidR="00AB0C56">
        <w:rPr>
          <w:iCs/>
        </w:rPr>
        <w:t xml:space="preserve"> </w:t>
      </w:r>
      <w:r w:rsidR="00AB0C56" w:rsidRPr="00E1521D">
        <w:rPr>
          <w:iCs/>
        </w:rPr>
        <w:t xml:space="preserve">The financial impact was reduced in the pre-PBAC response to </w:t>
      </w:r>
      <w:r w:rsidR="00FC43FC" w:rsidRPr="00FC43FC">
        <w:rPr>
          <w:iCs/>
        </w:rPr>
        <w:t>$30 million to &lt; $40 million</w:t>
      </w:r>
      <w:r w:rsidR="00436D6C">
        <w:rPr>
          <w:iCs/>
        </w:rPr>
        <w:t xml:space="preserve"> </w:t>
      </w:r>
      <w:r w:rsidR="00AB0C56" w:rsidRPr="00E1521D">
        <w:rPr>
          <w:iCs/>
        </w:rPr>
        <w:t xml:space="preserve">in Year 6 and </w:t>
      </w:r>
      <w:r w:rsidR="00FC43FC" w:rsidRPr="00FC43FC">
        <w:rPr>
          <w:iCs/>
        </w:rPr>
        <w:t>$100 million to &lt; $200 million</w:t>
      </w:r>
      <w:r w:rsidR="00436D6C">
        <w:rPr>
          <w:iCs/>
        </w:rPr>
        <w:t xml:space="preserve"> </w:t>
      </w:r>
      <w:r w:rsidR="00AB0C56" w:rsidRPr="00E1521D">
        <w:rPr>
          <w:iCs/>
        </w:rPr>
        <w:t>over the first 6 years.</w:t>
      </w:r>
    </w:p>
    <w:p w14:paraId="252EC2FB" w14:textId="5647F5D3" w:rsidR="00F811DD" w:rsidRPr="005B024E" w:rsidRDefault="00F811DD" w:rsidP="00F811DD">
      <w:pPr>
        <w:pStyle w:val="4-SubsectionHeading"/>
      </w:pPr>
      <w:bookmarkStart w:id="71" w:name="_Toc22897649"/>
      <w:bookmarkStart w:id="72" w:name="_Toc113975487"/>
      <w:r w:rsidRPr="005B024E">
        <w:t>Financial Management – Risk Sharing Arrangements</w:t>
      </w:r>
      <w:bookmarkEnd w:id="71"/>
      <w:bookmarkEnd w:id="72"/>
    </w:p>
    <w:p w14:paraId="1D59DABC" w14:textId="1A3AB6E9" w:rsidR="00380BE4" w:rsidRPr="00E1521D" w:rsidRDefault="00380BE4" w:rsidP="00E1521D">
      <w:pPr>
        <w:pStyle w:val="3-BodyText"/>
        <w:ind w:left="720"/>
        <w:rPr>
          <w:iCs/>
        </w:rPr>
      </w:pPr>
      <w:bookmarkStart w:id="73" w:name="_Toc22897650"/>
      <w:r w:rsidRPr="005B024E">
        <w:t xml:space="preserve">The Sponsor proposed a RSA to mitigate the financial risks to government should </w:t>
      </w:r>
      <w:r w:rsidRPr="00E1521D">
        <w:rPr>
          <w:iCs/>
        </w:rPr>
        <w:t xml:space="preserve">doctors prescribe polatuzumab vedotin to patients that do not meet the proposed IPI 3-5 criteria. </w:t>
      </w:r>
      <w:r w:rsidR="003F2FE8" w:rsidRPr="00E1521D">
        <w:rPr>
          <w:iCs/>
        </w:rPr>
        <w:t xml:space="preserve">The submission stated that the proposed effective ex-manufacturer price would be ‘implemented as </w:t>
      </w:r>
      <w:r w:rsidR="003F2FE8" w:rsidRPr="00FC43FC">
        <w:rPr>
          <w:iCs/>
        </w:rPr>
        <w:t xml:space="preserve">a </w:t>
      </w:r>
      <w:r w:rsidR="00206B77" w:rsidRPr="007F2580">
        <w:rPr>
          <w:iCs/>
          <w:color w:val="000000"/>
          <w:w w:val="15"/>
          <w:shd w:val="solid" w:color="000000" w:fill="000000"/>
          <w:fitText w:val="-20" w:id="-1301008629"/>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629"/>
          <w14:textFill>
            <w14:solidFill>
              <w14:srgbClr w14:val="000000">
                <w14:alpha w14:val="100000"/>
              </w14:srgbClr>
            </w14:solidFill>
          </w14:textFill>
        </w:rPr>
        <w:t>|</w:t>
      </w:r>
      <w:r w:rsidR="003F2FE8" w:rsidRPr="00E1521D">
        <w:rPr>
          <w:iCs/>
        </w:rPr>
        <w:t xml:space="preserve">% rebate’ on the proposed published ex-manufacturer price. </w:t>
      </w:r>
      <w:r w:rsidR="002E42DE" w:rsidRPr="00E1521D">
        <w:rPr>
          <w:iCs/>
        </w:rPr>
        <w:t xml:space="preserve">The submission then proposed to increase this rebate from </w:t>
      </w:r>
      <w:r w:rsidR="00206B77" w:rsidRPr="007F2580">
        <w:rPr>
          <w:iCs/>
          <w:color w:val="000000"/>
          <w:w w:val="15"/>
          <w:shd w:val="solid" w:color="000000" w:fill="000000"/>
          <w:fitText w:val="-20" w:id="-1301008628"/>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628"/>
          <w14:textFill>
            <w14:solidFill>
              <w14:srgbClr w14:val="000000">
                <w14:alpha w14:val="100000"/>
              </w14:srgbClr>
            </w14:solidFill>
          </w14:textFill>
        </w:rPr>
        <w:t>|</w:t>
      </w:r>
      <w:r w:rsidR="002E42DE" w:rsidRPr="00E1521D">
        <w:rPr>
          <w:iCs/>
        </w:rPr>
        <w:t xml:space="preserve">% to </w:t>
      </w:r>
      <w:r w:rsidR="00206B77" w:rsidRPr="007F2580">
        <w:rPr>
          <w:iCs/>
          <w:color w:val="000000"/>
          <w:w w:val="15"/>
          <w:shd w:val="solid" w:color="000000" w:fill="000000"/>
          <w:fitText w:val="-20" w:id="-1301008627"/>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627"/>
          <w14:textFill>
            <w14:solidFill>
              <w14:srgbClr w14:val="000000">
                <w14:alpha w14:val="100000"/>
              </w14:srgbClr>
            </w14:solidFill>
          </w14:textFill>
        </w:rPr>
        <w:t>|</w:t>
      </w:r>
      <w:r w:rsidRPr="00E1521D">
        <w:rPr>
          <w:iCs/>
        </w:rPr>
        <w:t xml:space="preserve">% between threshold 1 (IPI 3-5 base case estimate) and threshold 2 (IPI 2-5 sensitivity analysis), and to </w:t>
      </w:r>
      <w:r w:rsidR="00206B77" w:rsidRPr="007F2580">
        <w:rPr>
          <w:iCs/>
          <w:color w:val="000000"/>
          <w:w w:val="15"/>
          <w:shd w:val="solid" w:color="000000" w:fill="000000"/>
          <w:fitText w:val="-20" w:id="-1301008626"/>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626"/>
          <w14:textFill>
            <w14:solidFill>
              <w14:srgbClr w14:val="000000">
                <w14:alpha w14:val="100000"/>
              </w14:srgbClr>
            </w14:solidFill>
          </w14:textFill>
        </w:rPr>
        <w:t>|</w:t>
      </w:r>
      <w:r w:rsidRPr="00E1521D">
        <w:rPr>
          <w:iCs/>
        </w:rPr>
        <w:t xml:space="preserve">% above threshold 2. The submission stated that </w:t>
      </w:r>
      <w:r w:rsidRPr="00436D6C">
        <w:rPr>
          <w:iCs/>
        </w:rPr>
        <w:t xml:space="preserve">a </w:t>
      </w:r>
      <w:r w:rsidR="00206B77" w:rsidRPr="007F2580">
        <w:rPr>
          <w:iCs/>
          <w:color w:val="000000"/>
          <w:w w:val="15"/>
          <w:shd w:val="solid" w:color="000000" w:fill="000000"/>
          <w:fitText w:val="-20" w:id="-1301008625"/>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625"/>
          <w14:textFill>
            <w14:solidFill>
              <w14:srgbClr w14:val="000000">
                <w14:alpha w14:val="100000"/>
              </w14:srgbClr>
            </w14:solidFill>
          </w14:textFill>
        </w:rPr>
        <w:t>|</w:t>
      </w:r>
      <w:r w:rsidRPr="00330744">
        <w:rPr>
          <w:iCs/>
        </w:rPr>
        <w:t>%</w:t>
      </w:r>
      <w:r w:rsidRPr="00E1521D">
        <w:rPr>
          <w:iCs/>
        </w:rPr>
        <w:t xml:space="preserve"> discount is required to achieve the same cost-effectiveness in the ITT population (IPI 2-5) as the PBS subgroup (IPI 3-5). Both thresholds assume the same proposed effective price </w:t>
      </w:r>
      <w:r w:rsidR="002E42DE" w:rsidRPr="00E1521D">
        <w:rPr>
          <w:iCs/>
        </w:rPr>
        <w:t xml:space="preserve">incorporating the proposed </w:t>
      </w:r>
      <w:r w:rsidR="00206B77" w:rsidRPr="007F2580">
        <w:rPr>
          <w:iCs/>
          <w:color w:val="000000"/>
          <w:w w:val="15"/>
          <w:shd w:val="solid" w:color="000000" w:fill="000000"/>
          <w:fitText w:val="-20" w:id="-1301008624"/>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624"/>
          <w14:textFill>
            <w14:solidFill>
              <w14:srgbClr w14:val="000000">
                <w14:alpha w14:val="100000"/>
              </w14:srgbClr>
            </w14:solidFill>
          </w14:textFill>
        </w:rPr>
        <w:t>|</w:t>
      </w:r>
      <w:r w:rsidR="002E42DE" w:rsidRPr="00E1521D">
        <w:rPr>
          <w:iCs/>
        </w:rPr>
        <w:t xml:space="preserve">% rebate </w:t>
      </w:r>
      <w:r w:rsidRPr="00E1521D">
        <w:rPr>
          <w:iCs/>
        </w:rPr>
        <w:t>(i.e. $</w:t>
      </w:r>
      <w:r w:rsidR="00206B77" w:rsidRPr="007F2580">
        <w:rPr>
          <w:iCs/>
          <w:color w:val="000000"/>
          <w:w w:val="15"/>
          <w:shd w:val="solid" w:color="000000" w:fill="000000"/>
          <w:fitText w:val="-20" w:id="-1301008640"/>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640"/>
          <w14:textFill>
            <w14:solidFill>
              <w14:srgbClr w14:val="000000">
                <w14:alpha w14:val="100000"/>
              </w14:srgbClr>
            </w14:solidFill>
          </w14:textFill>
        </w:rPr>
        <w:t>|</w:t>
      </w:r>
      <w:r w:rsidRPr="00E1521D">
        <w:rPr>
          <w:iCs/>
        </w:rPr>
        <w:t xml:space="preserve"> weighted average dispense price per script) but threshold 2 assumes </w:t>
      </w:r>
      <w:r w:rsidR="00206B77" w:rsidRPr="007F2580">
        <w:rPr>
          <w:iCs/>
          <w:color w:val="000000"/>
          <w:w w:val="15"/>
          <w:shd w:val="solid" w:color="000000" w:fill="000000"/>
          <w:fitText w:val="-20" w:id="-1301008639"/>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639"/>
          <w14:textFill>
            <w14:solidFill>
              <w14:srgbClr w14:val="000000">
                <w14:alpha w14:val="100000"/>
              </w14:srgbClr>
            </w14:solidFill>
          </w14:textFill>
        </w:rPr>
        <w:t>|</w:t>
      </w:r>
      <w:r w:rsidRPr="00330744">
        <w:rPr>
          <w:iCs/>
        </w:rPr>
        <w:t>%</w:t>
      </w:r>
      <w:r w:rsidRPr="00E1521D">
        <w:rPr>
          <w:iCs/>
        </w:rPr>
        <w:t xml:space="preserve"> (absolute) lower uptake rate each year than threshold 1.</w:t>
      </w:r>
    </w:p>
    <w:p w14:paraId="1B292315" w14:textId="62A8BF74" w:rsidR="00380BE4" w:rsidRPr="005B024E" w:rsidRDefault="00380BE4" w:rsidP="00380BE4">
      <w:pPr>
        <w:pStyle w:val="TableFigureHeading"/>
      </w:pPr>
      <w:r w:rsidRPr="005B024E">
        <w:t xml:space="preserve">Table </w:t>
      </w:r>
      <w:r w:rsidR="007F2580">
        <w:fldChar w:fldCharType="begin"/>
      </w:r>
      <w:r w:rsidR="007F2580">
        <w:instrText xml:space="preserve"> SEQ Table \* ARABIC </w:instrText>
      </w:r>
      <w:r w:rsidR="007F2580">
        <w:fldChar w:fldCharType="separate"/>
      </w:r>
      <w:r w:rsidR="007F2580">
        <w:rPr>
          <w:noProof/>
        </w:rPr>
        <w:t>15</w:t>
      </w:r>
      <w:r w:rsidR="007F2580">
        <w:rPr>
          <w:noProof/>
        </w:rPr>
        <w:fldChar w:fldCharType="end"/>
      </w:r>
      <w:r w:rsidRPr="005B024E">
        <w:t>: Risk Share agreement thresholds (Cost to PBS/RPBS)</w:t>
      </w:r>
    </w:p>
    <w:tbl>
      <w:tblPr>
        <w:tblStyle w:val="TableGrid"/>
        <w:tblW w:w="5000" w:type="pct"/>
        <w:tblCellMar>
          <w:left w:w="28" w:type="dxa"/>
          <w:right w:w="28" w:type="dxa"/>
        </w:tblCellMar>
        <w:tblLook w:val="04A0" w:firstRow="1" w:lastRow="0" w:firstColumn="1" w:lastColumn="0" w:noHBand="0" w:noVBand="1"/>
      </w:tblPr>
      <w:tblGrid>
        <w:gridCol w:w="2493"/>
        <w:gridCol w:w="969"/>
        <w:gridCol w:w="1111"/>
        <w:gridCol w:w="1111"/>
        <w:gridCol w:w="1111"/>
        <w:gridCol w:w="1111"/>
        <w:gridCol w:w="1111"/>
      </w:tblGrid>
      <w:tr w:rsidR="00380BE4" w:rsidRPr="005B024E" w14:paraId="3BCDC723" w14:textId="77777777" w:rsidTr="00206B77">
        <w:trPr>
          <w:trHeight w:val="20"/>
        </w:trPr>
        <w:tc>
          <w:tcPr>
            <w:tcW w:w="1382" w:type="pct"/>
            <w:shd w:val="clear" w:color="auto" w:fill="auto"/>
            <w:tcMar>
              <w:left w:w="28" w:type="dxa"/>
              <w:right w:w="28" w:type="dxa"/>
            </w:tcMar>
          </w:tcPr>
          <w:p w14:paraId="1433ACBB" w14:textId="77777777" w:rsidR="00380BE4" w:rsidRPr="005B024E" w:rsidRDefault="00380BE4" w:rsidP="009C4EDF">
            <w:pPr>
              <w:pStyle w:val="TableText0"/>
              <w:keepNext w:val="0"/>
            </w:pPr>
          </w:p>
        </w:tc>
        <w:tc>
          <w:tcPr>
            <w:tcW w:w="537" w:type="pct"/>
            <w:tcBorders>
              <w:bottom w:val="single" w:sz="4" w:space="0" w:color="auto"/>
            </w:tcBorders>
            <w:shd w:val="clear" w:color="auto" w:fill="auto"/>
            <w:tcMar>
              <w:left w:w="28" w:type="dxa"/>
              <w:right w:w="28" w:type="dxa"/>
            </w:tcMar>
          </w:tcPr>
          <w:p w14:paraId="1D763C15" w14:textId="08A278B4" w:rsidR="00380BE4" w:rsidRPr="005B024E" w:rsidRDefault="00380BE4" w:rsidP="009C4EDF">
            <w:pPr>
              <w:pStyle w:val="TableText0"/>
              <w:keepNext w:val="0"/>
              <w:jc w:val="center"/>
              <w:rPr>
                <w:b/>
              </w:rPr>
            </w:pPr>
            <w:r w:rsidRPr="005B024E">
              <w:rPr>
                <w:b/>
              </w:rPr>
              <w:t>2023</w:t>
            </w:r>
            <w:r w:rsidR="00FC43FC">
              <w:rPr>
                <w:b/>
              </w:rPr>
              <w:t xml:space="preserve"> </w:t>
            </w:r>
            <w:r w:rsidR="00FC43FC" w:rsidRPr="005B024E">
              <w:t>$</w:t>
            </w:r>
          </w:p>
        </w:tc>
        <w:tc>
          <w:tcPr>
            <w:tcW w:w="616" w:type="pct"/>
            <w:tcBorders>
              <w:bottom w:val="single" w:sz="4" w:space="0" w:color="auto"/>
            </w:tcBorders>
            <w:shd w:val="clear" w:color="auto" w:fill="auto"/>
            <w:tcMar>
              <w:left w:w="28" w:type="dxa"/>
              <w:right w:w="28" w:type="dxa"/>
            </w:tcMar>
          </w:tcPr>
          <w:p w14:paraId="5BEBA34E" w14:textId="1C847EA0" w:rsidR="00380BE4" w:rsidRPr="005B024E" w:rsidRDefault="00380BE4" w:rsidP="009C4EDF">
            <w:pPr>
              <w:pStyle w:val="TableText0"/>
              <w:keepNext w:val="0"/>
              <w:jc w:val="center"/>
              <w:rPr>
                <w:b/>
              </w:rPr>
            </w:pPr>
            <w:r w:rsidRPr="005B024E">
              <w:rPr>
                <w:b/>
              </w:rPr>
              <w:t>2024</w:t>
            </w:r>
            <w:r w:rsidR="00FC43FC">
              <w:rPr>
                <w:b/>
              </w:rPr>
              <w:t xml:space="preserve"> </w:t>
            </w:r>
            <w:r w:rsidR="00FC43FC" w:rsidRPr="005B024E">
              <w:t>$</w:t>
            </w:r>
          </w:p>
        </w:tc>
        <w:tc>
          <w:tcPr>
            <w:tcW w:w="616" w:type="pct"/>
            <w:tcBorders>
              <w:bottom w:val="single" w:sz="4" w:space="0" w:color="auto"/>
            </w:tcBorders>
            <w:shd w:val="clear" w:color="auto" w:fill="auto"/>
            <w:tcMar>
              <w:left w:w="28" w:type="dxa"/>
              <w:right w:w="28" w:type="dxa"/>
            </w:tcMar>
          </w:tcPr>
          <w:p w14:paraId="79E4D195" w14:textId="2519D41B" w:rsidR="00380BE4" w:rsidRPr="005B024E" w:rsidRDefault="00380BE4" w:rsidP="009C4EDF">
            <w:pPr>
              <w:pStyle w:val="TableText0"/>
              <w:keepNext w:val="0"/>
              <w:jc w:val="center"/>
              <w:rPr>
                <w:b/>
              </w:rPr>
            </w:pPr>
            <w:r w:rsidRPr="005B024E">
              <w:rPr>
                <w:b/>
              </w:rPr>
              <w:t>2025</w:t>
            </w:r>
            <w:r w:rsidR="00FC43FC">
              <w:rPr>
                <w:b/>
              </w:rPr>
              <w:t xml:space="preserve"> </w:t>
            </w:r>
            <w:r w:rsidR="00FC43FC" w:rsidRPr="005B024E">
              <w:t>$</w:t>
            </w:r>
          </w:p>
        </w:tc>
        <w:tc>
          <w:tcPr>
            <w:tcW w:w="616" w:type="pct"/>
            <w:tcBorders>
              <w:bottom w:val="single" w:sz="4" w:space="0" w:color="auto"/>
            </w:tcBorders>
            <w:shd w:val="clear" w:color="auto" w:fill="auto"/>
            <w:tcMar>
              <w:left w:w="28" w:type="dxa"/>
              <w:right w:w="28" w:type="dxa"/>
            </w:tcMar>
          </w:tcPr>
          <w:p w14:paraId="5A4930B2" w14:textId="4B94B637" w:rsidR="00380BE4" w:rsidRPr="005B024E" w:rsidRDefault="00380BE4" w:rsidP="009C4EDF">
            <w:pPr>
              <w:pStyle w:val="TableText0"/>
              <w:keepNext w:val="0"/>
              <w:jc w:val="center"/>
              <w:rPr>
                <w:b/>
              </w:rPr>
            </w:pPr>
            <w:r w:rsidRPr="005B024E">
              <w:rPr>
                <w:b/>
              </w:rPr>
              <w:t>2026</w:t>
            </w:r>
            <w:r w:rsidR="00FC43FC">
              <w:rPr>
                <w:b/>
              </w:rPr>
              <w:t xml:space="preserve"> </w:t>
            </w:r>
            <w:r w:rsidR="00FC43FC" w:rsidRPr="005B024E">
              <w:t>$</w:t>
            </w:r>
          </w:p>
        </w:tc>
        <w:tc>
          <w:tcPr>
            <w:tcW w:w="616" w:type="pct"/>
            <w:tcBorders>
              <w:bottom w:val="single" w:sz="4" w:space="0" w:color="auto"/>
            </w:tcBorders>
            <w:shd w:val="clear" w:color="auto" w:fill="auto"/>
            <w:tcMar>
              <w:left w:w="28" w:type="dxa"/>
              <w:right w:w="28" w:type="dxa"/>
            </w:tcMar>
          </w:tcPr>
          <w:p w14:paraId="44DE0856" w14:textId="025D2890" w:rsidR="00380BE4" w:rsidRPr="005B024E" w:rsidRDefault="00380BE4" w:rsidP="009C4EDF">
            <w:pPr>
              <w:pStyle w:val="TableText0"/>
              <w:keepNext w:val="0"/>
              <w:jc w:val="center"/>
              <w:rPr>
                <w:b/>
              </w:rPr>
            </w:pPr>
            <w:r w:rsidRPr="005B024E">
              <w:rPr>
                <w:b/>
              </w:rPr>
              <w:t>2027</w:t>
            </w:r>
            <w:r w:rsidR="00FC43FC">
              <w:rPr>
                <w:b/>
              </w:rPr>
              <w:t xml:space="preserve"> </w:t>
            </w:r>
            <w:r w:rsidR="00FC43FC" w:rsidRPr="005B024E">
              <w:t>$</w:t>
            </w:r>
          </w:p>
        </w:tc>
        <w:tc>
          <w:tcPr>
            <w:tcW w:w="616" w:type="pct"/>
            <w:tcBorders>
              <w:bottom w:val="single" w:sz="4" w:space="0" w:color="auto"/>
            </w:tcBorders>
            <w:shd w:val="clear" w:color="auto" w:fill="auto"/>
            <w:tcMar>
              <w:left w:w="28" w:type="dxa"/>
              <w:right w:w="28" w:type="dxa"/>
            </w:tcMar>
          </w:tcPr>
          <w:p w14:paraId="14F2A5C2" w14:textId="0936AEA5" w:rsidR="00380BE4" w:rsidRPr="005B024E" w:rsidRDefault="00380BE4" w:rsidP="009C4EDF">
            <w:pPr>
              <w:pStyle w:val="TableText0"/>
              <w:keepNext w:val="0"/>
              <w:jc w:val="center"/>
              <w:rPr>
                <w:b/>
              </w:rPr>
            </w:pPr>
            <w:r w:rsidRPr="005B024E">
              <w:rPr>
                <w:b/>
              </w:rPr>
              <w:t>2028</w:t>
            </w:r>
            <w:r w:rsidR="00FC43FC">
              <w:rPr>
                <w:b/>
              </w:rPr>
              <w:t xml:space="preserve"> </w:t>
            </w:r>
            <w:r w:rsidR="00FC43FC" w:rsidRPr="005B024E">
              <w:t>$</w:t>
            </w:r>
          </w:p>
        </w:tc>
      </w:tr>
      <w:tr w:rsidR="00206B77" w:rsidRPr="005B024E" w14:paraId="51FE9835" w14:textId="77777777" w:rsidTr="00206B77">
        <w:trPr>
          <w:trHeight w:val="20"/>
        </w:trPr>
        <w:tc>
          <w:tcPr>
            <w:tcW w:w="1382" w:type="pct"/>
            <w:tcMar>
              <w:left w:w="28" w:type="dxa"/>
              <w:right w:w="28" w:type="dxa"/>
            </w:tcMar>
          </w:tcPr>
          <w:p w14:paraId="605D6460" w14:textId="77777777" w:rsidR="00380BE4" w:rsidRPr="005B024E" w:rsidRDefault="00380BE4" w:rsidP="009C4EDF">
            <w:pPr>
              <w:pStyle w:val="TableText0"/>
              <w:keepNext w:val="0"/>
            </w:pPr>
            <w:r w:rsidRPr="005B024E">
              <w:t>Threshold 1 (IPI 3-5 base case)</w:t>
            </w:r>
          </w:p>
        </w:tc>
        <w:tc>
          <w:tcPr>
            <w:tcW w:w="537" w:type="pct"/>
            <w:tcBorders>
              <w:bottom w:val="single" w:sz="4" w:space="0" w:color="auto"/>
            </w:tcBorders>
            <w:shd w:val="solid" w:color="000000" w:fill="000000"/>
            <w:tcMar>
              <w:left w:w="28" w:type="dxa"/>
              <w:right w:w="28" w:type="dxa"/>
            </w:tcMar>
          </w:tcPr>
          <w:p w14:paraId="79E0AED5" w14:textId="205C4807" w:rsidR="00380BE4" w:rsidRPr="00FC43FC" w:rsidRDefault="00206B77" w:rsidP="009C4EDF">
            <w:pPr>
              <w:pStyle w:val="TableText0"/>
              <w:keepNext w:val="0"/>
              <w:jc w:val="center"/>
              <w:rPr>
                <w:highlight w:val="darkGray"/>
              </w:rPr>
            </w:pPr>
            <w:r w:rsidRPr="007F2580">
              <w:rPr>
                <w:rFonts w:hint="eastAsia"/>
                <w:color w:val="000000"/>
                <w:w w:val="15"/>
                <w:fitText w:val="7" w:id="-1301008638"/>
                <w14:textFill>
                  <w14:solidFill>
                    <w14:srgbClr w14:val="000000">
                      <w14:alpha w14:val="100000"/>
                    </w14:srgbClr>
                  </w14:solidFill>
                </w14:textFill>
              </w:rPr>
              <w:t xml:space="preserve">　</w:t>
            </w:r>
            <w:r w:rsidRPr="007F2580">
              <w:rPr>
                <w:color w:val="000000"/>
                <w:w w:val="15"/>
                <w:fitText w:val="7" w:id="-1301008638"/>
                <w14:textFill>
                  <w14:solidFill>
                    <w14:srgbClr w14:val="000000">
                      <w14:alpha w14:val="100000"/>
                    </w14:srgbClr>
                  </w14:solidFill>
                </w14:textFill>
              </w:rPr>
              <w:t>|</w:t>
            </w:r>
            <w:r w:rsidRPr="007F2580">
              <w:rPr>
                <w:rFonts w:hint="eastAsia"/>
                <w:color w:val="000000"/>
                <w:spacing w:val="-58"/>
                <w:w w:val="15"/>
                <w:fitText w:val="7" w:id="-1301008638"/>
                <w14:textFill>
                  <w14:solidFill>
                    <w14:srgbClr w14:val="000000">
                      <w14:alpha w14:val="100000"/>
                    </w14:srgbClr>
                  </w14:solidFill>
                </w14:textFill>
              </w:rPr>
              <w:t xml:space="preserve">　</w:t>
            </w:r>
          </w:p>
        </w:tc>
        <w:tc>
          <w:tcPr>
            <w:tcW w:w="616" w:type="pct"/>
            <w:tcBorders>
              <w:bottom w:val="single" w:sz="4" w:space="0" w:color="auto"/>
            </w:tcBorders>
            <w:shd w:val="solid" w:color="000000" w:fill="000000"/>
            <w:tcMar>
              <w:left w:w="28" w:type="dxa"/>
              <w:right w:w="28" w:type="dxa"/>
            </w:tcMar>
          </w:tcPr>
          <w:p w14:paraId="3BA01A2A" w14:textId="7DD449D2" w:rsidR="00380BE4" w:rsidRPr="00FC43FC" w:rsidRDefault="00206B77" w:rsidP="009C4EDF">
            <w:pPr>
              <w:pStyle w:val="TableText0"/>
              <w:keepNext w:val="0"/>
              <w:jc w:val="center"/>
              <w:rPr>
                <w:highlight w:val="darkGray"/>
              </w:rPr>
            </w:pPr>
            <w:r w:rsidRPr="00206B77">
              <w:rPr>
                <w:color w:val="000000"/>
                <w14:textFill>
                  <w14:solidFill>
                    <w14:srgbClr w14:val="000000">
                      <w14:alpha w14:val="100000"/>
                    </w14:srgbClr>
                  </w14:solidFill>
                </w14:textFill>
              </w:rPr>
              <w:t>|</w:t>
            </w:r>
          </w:p>
        </w:tc>
        <w:tc>
          <w:tcPr>
            <w:tcW w:w="616" w:type="pct"/>
            <w:tcBorders>
              <w:bottom w:val="single" w:sz="4" w:space="0" w:color="auto"/>
            </w:tcBorders>
            <w:shd w:val="solid" w:color="000000" w:fill="000000"/>
            <w:tcMar>
              <w:left w:w="28" w:type="dxa"/>
              <w:right w:w="28" w:type="dxa"/>
            </w:tcMar>
          </w:tcPr>
          <w:p w14:paraId="08188F9C" w14:textId="2E662230" w:rsidR="00380BE4" w:rsidRPr="00FC43FC" w:rsidRDefault="00206B77" w:rsidP="009C4EDF">
            <w:pPr>
              <w:pStyle w:val="TableText0"/>
              <w:keepNext w:val="0"/>
              <w:jc w:val="center"/>
              <w:rPr>
                <w:highlight w:val="darkGray"/>
              </w:rPr>
            </w:pPr>
            <w:r w:rsidRPr="00206B77">
              <w:rPr>
                <w:color w:val="000000"/>
                <w14:textFill>
                  <w14:solidFill>
                    <w14:srgbClr w14:val="000000">
                      <w14:alpha w14:val="100000"/>
                    </w14:srgbClr>
                  </w14:solidFill>
                </w14:textFill>
              </w:rPr>
              <w:t>|</w:t>
            </w:r>
          </w:p>
        </w:tc>
        <w:tc>
          <w:tcPr>
            <w:tcW w:w="616" w:type="pct"/>
            <w:tcBorders>
              <w:bottom w:val="single" w:sz="4" w:space="0" w:color="auto"/>
            </w:tcBorders>
            <w:shd w:val="solid" w:color="000000" w:fill="000000"/>
            <w:tcMar>
              <w:left w:w="28" w:type="dxa"/>
              <w:right w:w="28" w:type="dxa"/>
            </w:tcMar>
          </w:tcPr>
          <w:p w14:paraId="3149F8B0" w14:textId="1CAF0B68" w:rsidR="00380BE4" w:rsidRPr="00FC43FC" w:rsidRDefault="00206B77" w:rsidP="009C4EDF">
            <w:pPr>
              <w:pStyle w:val="TableText0"/>
              <w:keepNext w:val="0"/>
              <w:jc w:val="center"/>
              <w:rPr>
                <w:highlight w:val="darkGray"/>
              </w:rPr>
            </w:pPr>
            <w:r w:rsidRPr="00206B77">
              <w:rPr>
                <w:color w:val="000000"/>
                <w14:textFill>
                  <w14:solidFill>
                    <w14:srgbClr w14:val="000000">
                      <w14:alpha w14:val="100000"/>
                    </w14:srgbClr>
                  </w14:solidFill>
                </w14:textFill>
              </w:rPr>
              <w:t>|</w:t>
            </w:r>
          </w:p>
        </w:tc>
        <w:tc>
          <w:tcPr>
            <w:tcW w:w="616" w:type="pct"/>
            <w:tcBorders>
              <w:bottom w:val="single" w:sz="4" w:space="0" w:color="auto"/>
            </w:tcBorders>
            <w:shd w:val="solid" w:color="000000" w:fill="000000"/>
            <w:tcMar>
              <w:left w:w="28" w:type="dxa"/>
              <w:right w:w="28" w:type="dxa"/>
            </w:tcMar>
          </w:tcPr>
          <w:p w14:paraId="7DD6476F" w14:textId="56F19986" w:rsidR="00380BE4" w:rsidRPr="00FC43FC" w:rsidRDefault="00206B77" w:rsidP="009C4EDF">
            <w:pPr>
              <w:pStyle w:val="TableText0"/>
              <w:keepNext w:val="0"/>
              <w:jc w:val="center"/>
              <w:rPr>
                <w:highlight w:val="darkGray"/>
              </w:rPr>
            </w:pPr>
            <w:r w:rsidRPr="00206B77">
              <w:rPr>
                <w:color w:val="000000"/>
                <w14:textFill>
                  <w14:solidFill>
                    <w14:srgbClr w14:val="000000">
                      <w14:alpha w14:val="100000"/>
                    </w14:srgbClr>
                  </w14:solidFill>
                </w14:textFill>
              </w:rPr>
              <w:t>|</w:t>
            </w:r>
          </w:p>
        </w:tc>
        <w:tc>
          <w:tcPr>
            <w:tcW w:w="616" w:type="pct"/>
            <w:tcBorders>
              <w:bottom w:val="single" w:sz="4" w:space="0" w:color="auto"/>
            </w:tcBorders>
            <w:shd w:val="solid" w:color="000000" w:fill="000000"/>
            <w:tcMar>
              <w:left w:w="28" w:type="dxa"/>
              <w:right w:w="28" w:type="dxa"/>
            </w:tcMar>
          </w:tcPr>
          <w:p w14:paraId="207F62D0" w14:textId="53DC42DF" w:rsidR="00380BE4" w:rsidRPr="00FC43FC" w:rsidRDefault="00206B77" w:rsidP="009C4EDF">
            <w:pPr>
              <w:pStyle w:val="TableText0"/>
              <w:keepNext w:val="0"/>
              <w:jc w:val="center"/>
              <w:rPr>
                <w:highlight w:val="darkGray"/>
              </w:rPr>
            </w:pPr>
            <w:r w:rsidRPr="00206B77">
              <w:rPr>
                <w:color w:val="000000"/>
                <w14:textFill>
                  <w14:solidFill>
                    <w14:srgbClr w14:val="000000">
                      <w14:alpha w14:val="100000"/>
                    </w14:srgbClr>
                  </w14:solidFill>
                </w14:textFill>
              </w:rPr>
              <w:t>|</w:t>
            </w:r>
          </w:p>
        </w:tc>
      </w:tr>
      <w:tr w:rsidR="00206B77" w:rsidRPr="005B024E" w14:paraId="16A4BF9D" w14:textId="77777777" w:rsidTr="00206B77">
        <w:trPr>
          <w:trHeight w:val="20"/>
        </w:trPr>
        <w:tc>
          <w:tcPr>
            <w:tcW w:w="1382" w:type="pct"/>
            <w:tcMar>
              <w:left w:w="28" w:type="dxa"/>
              <w:right w:w="28" w:type="dxa"/>
            </w:tcMar>
          </w:tcPr>
          <w:p w14:paraId="2F221082" w14:textId="77777777" w:rsidR="00380BE4" w:rsidRPr="005B024E" w:rsidRDefault="00380BE4" w:rsidP="009C4EDF">
            <w:pPr>
              <w:pStyle w:val="TableText0"/>
              <w:keepNext w:val="0"/>
              <w:rPr>
                <w:vertAlign w:val="superscript"/>
              </w:rPr>
            </w:pPr>
            <w:r w:rsidRPr="005B024E">
              <w:t>Threshold 2 (IPI 2-5 sensitivity)</w:t>
            </w:r>
            <w:r w:rsidRPr="005B024E">
              <w:rPr>
                <w:vertAlign w:val="superscript"/>
              </w:rPr>
              <w:t>a</w:t>
            </w:r>
          </w:p>
        </w:tc>
        <w:tc>
          <w:tcPr>
            <w:tcW w:w="537" w:type="pct"/>
            <w:tcBorders>
              <w:bottom w:val="single" w:sz="4" w:space="0" w:color="auto"/>
            </w:tcBorders>
            <w:shd w:val="solid" w:color="000000" w:fill="000000"/>
            <w:tcMar>
              <w:left w:w="28" w:type="dxa"/>
              <w:right w:w="28" w:type="dxa"/>
            </w:tcMar>
            <w:vAlign w:val="center"/>
          </w:tcPr>
          <w:p w14:paraId="48E00A3E" w14:textId="7A006851" w:rsidR="00380BE4" w:rsidRPr="00FC43FC" w:rsidRDefault="00206B77" w:rsidP="009C4EDF">
            <w:pPr>
              <w:pStyle w:val="TableText0"/>
              <w:keepNext w:val="0"/>
              <w:jc w:val="center"/>
              <w:rPr>
                <w:highlight w:val="darkGray"/>
              </w:rPr>
            </w:pPr>
            <w:r w:rsidRPr="007F2580">
              <w:rPr>
                <w:rFonts w:hint="eastAsia"/>
                <w:color w:val="000000"/>
                <w:w w:val="15"/>
                <w:fitText w:val="7" w:id="-1301008637"/>
                <w14:textFill>
                  <w14:solidFill>
                    <w14:srgbClr w14:val="000000">
                      <w14:alpha w14:val="100000"/>
                    </w14:srgbClr>
                  </w14:solidFill>
                </w14:textFill>
              </w:rPr>
              <w:t xml:space="preserve">　</w:t>
            </w:r>
            <w:r w:rsidRPr="007F2580">
              <w:rPr>
                <w:color w:val="000000"/>
                <w:w w:val="15"/>
                <w:fitText w:val="7" w:id="-1301008637"/>
                <w14:textFill>
                  <w14:solidFill>
                    <w14:srgbClr w14:val="000000">
                      <w14:alpha w14:val="100000"/>
                    </w14:srgbClr>
                  </w14:solidFill>
                </w14:textFill>
              </w:rPr>
              <w:t>|</w:t>
            </w:r>
            <w:r w:rsidRPr="007F2580">
              <w:rPr>
                <w:rFonts w:hint="eastAsia"/>
                <w:color w:val="000000"/>
                <w:spacing w:val="-58"/>
                <w:w w:val="15"/>
                <w:fitText w:val="7" w:id="-1301008637"/>
                <w14:textFill>
                  <w14:solidFill>
                    <w14:srgbClr w14:val="000000">
                      <w14:alpha w14:val="100000"/>
                    </w14:srgbClr>
                  </w14:solidFill>
                </w14:textFill>
              </w:rPr>
              <w:t xml:space="preserve">　</w:t>
            </w:r>
          </w:p>
        </w:tc>
        <w:tc>
          <w:tcPr>
            <w:tcW w:w="616" w:type="pct"/>
            <w:tcBorders>
              <w:bottom w:val="single" w:sz="4" w:space="0" w:color="auto"/>
            </w:tcBorders>
            <w:shd w:val="solid" w:color="000000" w:fill="000000"/>
            <w:tcMar>
              <w:left w:w="28" w:type="dxa"/>
              <w:right w:w="28" w:type="dxa"/>
            </w:tcMar>
            <w:vAlign w:val="center"/>
          </w:tcPr>
          <w:p w14:paraId="55F5BD25" w14:textId="4A9E118E" w:rsidR="00380BE4" w:rsidRPr="00FC43FC" w:rsidRDefault="00206B77" w:rsidP="009C4EDF">
            <w:pPr>
              <w:pStyle w:val="TableText0"/>
              <w:keepNext w:val="0"/>
              <w:jc w:val="center"/>
              <w:rPr>
                <w:highlight w:val="darkGray"/>
              </w:rPr>
            </w:pPr>
            <w:r w:rsidRPr="00206B77">
              <w:rPr>
                <w:color w:val="000000"/>
                <w14:textFill>
                  <w14:solidFill>
                    <w14:srgbClr w14:val="000000">
                      <w14:alpha w14:val="100000"/>
                    </w14:srgbClr>
                  </w14:solidFill>
                </w14:textFill>
              </w:rPr>
              <w:t>|</w:t>
            </w:r>
          </w:p>
        </w:tc>
        <w:tc>
          <w:tcPr>
            <w:tcW w:w="616" w:type="pct"/>
            <w:tcBorders>
              <w:bottom w:val="single" w:sz="4" w:space="0" w:color="auto"/>
            </w:tcBorders>
            <w:shd w:val="solid" w:color="000000" w:fill="000000"/>
            <w:tcMar>
              <w:left w:w="28" w:type="dxa"/>
              <w:right w:w="28" w:type="dxa"/>
            </w:tcMar>
            <w:vAlign w:val="center"/>
          </w:tcPr>
          <w:p w14:paraId="4F661F5D" w14:textId="4C420623" w:rsidR="00380BE4" w:rsidRPr="00FC43FC" w:rsidRDefault="00206B77" w:rsidP="009C4EDF">
            <w:pPr>
              <w:pStyle w:val="TableText0"/>
              <w:keepNext w:val="0"/>
              <w:jc w:val="center"/>
              <w:rPr>
                <w:highlight w:val="darkGray"/>
              </w:rPr>
            </w:pPr>
            <w:r w:rsidRPr="00206B77">
              <w:rPr>
                <w:color w:val="000000"/>
                <w14:textFill>
                  <w14:solidFill>
                    <w14:srgbClr w14:val="000000">
                      <w14:alpha w14:val="100000"/>
                    </w14:srgbClr>
                  </w14:solidFill>
                </w14:textFill>
              </w:rPr>
              <w:t>|</w:t>
            </w:r>
          </w:p>
        </w:tc>
        <w:tc>
          <w:tcPr>
            <w:tcW w:w="616" w:type="pct"/>
            <w:tcBorders>
              <w:bottom w:val="single" w:sz="4" w:space="0" w:color="auto"/>
            </w:tcBorders>
            <w:shd w:val="solid" w:color="000000" w:fill="000000"/>
            <w:tcMar>
              <w:left w:w="28" w:type="dxa"/>
              <w:right w:w="28" w:type="dxa"/>
            </w:tcMar>
            <w:vAlign w:val="center"/>
          </w:tcPr>
          <w:p w14:paraId="1BCE1458" w14:textId="5BBCFCCB" w:rsidR="00380BE4" w:rsidRPr="00FC43FC" w:rsidRDefault="00206B77" w:rsidP="009C4EDF">
            <w:pPr>
              <w:pStyle w:val="TableText0"/>
              <w:keepNext w:val="0"/>
              <w:jc w:val="center"/>
              <w:rPr>
                <w:highlight w:val="darkGray"/>
              </w:rPr>
            </w:pPr>
            <w:r w:rsidRPr="00206B77">
              <w:rPr>
                <w:color w:val="000000"/>
                <w14:textFill>
                  <w14:solidFill>
                    <w14:srgbClr w14:val="000000">
                      <w14:alpha w14:val="100000"/>
                    </w14:srgbClr>
                  </w14:solidFill>
                </w14:textFill>
              </w:rPr>
              <w:t>|</w:t>
            </w:r>
          </w:p>
        </w:tc>
        <w:tc>
          <w:tcPr>
            <w:tcW w:w="616" w:type="pct"/>
            <w:tcBorders>
              <w:bottom w:val="single" w:sz="4" w:space="0" w:color="auto"/>
            </w:tcBorders>
            <w:shd w:val="solid" w:color="000000" w:fill="000000"/>
            <w:tcMar>
              <w:left w:w="28" w:type="dxa"/>
              <w:right w:w="28" w:type="dxa"/>
            </w:tcMar>
            <w:vAlign w:val="center"/>
          </w:tcPr>
          <w:p w14:paraId="4BEF3A7A" w14:textId="36E9260F" w:rsidR="00380BE4" w:rsidRPr="00FC43FC" w:rsidRDefault="00206B77" w:rsidP="009C4EDF">
            <w:pPr>
              <w:pStyle w:val="TableText0"/>
              <w:keepNext w:val="0"/>
              <w:jc w:val="center"/>
              <w:rPr>
                <w:highlight w:val="darkGray"/>
              </w:rPr>
            </w:pPr>
            <w:r w:rsidRPr="00206B77">
              <w:rPr>
                <w:color w:val="000000"/>
                <w14:textFill>
                  <w14:solidFill>
                    <w14:srgbClr w14:val="000000">
                      <w14:alpha w14:val="100000"/>
                    </w14:srgbClr>
                  </w14:solidFill>
                </w14:textFill>
              </w:rPr>
              <w:t>|</w:t>
            </w:r>
          </w:p>
        </w:tc>
        <w:tc>
          <w:tcPr>
            <w:tcW w:w="616" w:type="pct"/>
            <w:tcBorders>
              <w:bottom w:val="single" w:sz="4" w:space="0" w:color="auto"/>
            </w:tcBorders>
            <w:shd w:val="solid" w:color="000000" w:fill="000000"/>
            <w:tcMar>
              <w:left w:w="28" w:type="dxa"/>
              <w:right w:w="28" w:type="dxa"/>
            </w:tcMar>
            <w:vAlign w:val="center"/>
          </w:tcPr>
          <w:p w14:paraId="33A3313D" w14:textId="20F68A2A" w:rsidR="00380BE4" w:rsidRPr="00FC43FC" w:rsidRDefault="00206B77" w:rsidP="009C4EDF">
            <w:pPr>
              <w:pStyle w:val="TableText0"/>
              <w:keepNext w:val="0"/>
              <w:jc w:val="center"/>
              <w:rPr>
                <w:highlight w:val="darkGray"/>
              </w:rPr>
            </w:pPr>
            <w:r w:rsidRPr="00206B77">
              <w:rPr>
                <w:color w:val="000000"/>
                <w14:textFill>
                  <w14:solidFill>
                    <w14:srgbClr w14:val="000000">
                      <w14:alpha w14:val="100000"/>
                    </w14:srgbClr>
                  </w14:solidFill>
                </w14:textFill>
              </w:rPr>
              <w:t>|</w:t>
            </w:r>
          </w:p>
        </w:tc>
      </w:tr>
      <w:tr w:rsidR="00583C18" w:rsidRPr="005B024E" w14:paraId="51C228A7" w14:textId="77777777" w:rsidTr="00206B77">
        <w:tblPrEx>
          <w:tblCellMar>
            <w:left w:w="108" w:type="dxa"/>
            <w:right w:w="108" w:type="dxa"/>
          </w:tblCellMar>
        </w:tblPrEx>
        <w:trPr>
          <w:trHeight w:val="20"/>
        </w:trPr>
        <w:tc>
          <w:tcPr>
            <w:tcW w:w="1382" w:type="pct"/>
            <w:tcMar>
              <w:left w:w="28" w:type="dxa"/>
              <w:right w:w="28" w:type="dxa"/>
            </w:tcMar>
          </w:tcPr>
          <w:p w14:paraId="0C5460F0" w14:textId="0A96650F" w:rsidR="00583C18" w:rsidRPr="005B024E" w:rsidRDefault="00583C18" w:rsidP="00347AFB">
            <w:pPr>
              <w:pStyle w:val="TableText0"/>
              <w:keepNext w:val="0"/>
            </w:pPr>
            <w:r>
              <w:t>Pre-PBAC response</w:t>
            </w:r>
          </w:p>
        </w:tc>
        <w:tc>
          <w:tcPr>
            <w:tcW w:w="537" w:type="pct"/>
            <w:shd w:val="solid" w:color="000000" w:fill="000000"/>
            <w:tcMar>
              <w:left w:w="28" w:type="dxa"/>
              <w:right w:w="28" w:type="dxa"/>
            </w:tcMar>
          </w:tcPr>
          <w:p w14:paraId="1C1785B8" w14:textId="14638F99" w:rsidR="00583C18" w:rsidRPr="00FC43FC" w:rsidRDefault="00206B77" w:rsidP="00347AFB">
            <w:pPr>
              <w:pStyle w:val="TableText0"/>
              <w:keepNext w:val="0"/>
              <w:jc w:val="center"/>
              <w:rPr>
                <w:highlight w:val="darkGray"/>
              </w:rPr>
            </w:pPr>
            <w:r w:rsidRPr="007F2580">
              <w:rPr>
                <w:rFonts w:hint="eastAsia"/>
                <w:color w:val="000000"/>
                <w:w w:val="15"/>
                <w:fitText w:val="7" w:id="-1301008636"/>
                <w14:textFill>
                  <w14:solidFill>
                    <w14:srgbClr w14:val="000000">
                      <w14:alpha w14:val="100000"/>
                    </w14:srgbClr>
                  </w14:solidFill>
                </w14:textFill>
              </w:rPr>
              <w:t xml:space="preserve">　</w:t>
            </w:r>
            <w:r w:rsidRPr="007F2580">
              <w:rPr>
                <w:color w:val="000000"/>
                <w:w w:val="15"/>
                <w:fitText w:val="7" w:id="-1301008636"/>
                <w14:textFill>
                  <w14:solidFill>
                    <w14:srgbClr w14:val="000000">
                      <w14:alpha w14:val="100000"/>
                    </w14:srgbClr>
                  </w14:solidFill>
                </w14:textFill>
              </w:rPr>
              <w:t>|</w:t>
            </w:r>
            <w:r w:rsidRPr="007F2580">
              <w:rPr>
                <w:rFonts w:hint="eastAsia"/>
                <w:color w:val="000000"/>
                <w:spacing w:val="-58"/>
                <w:w w:val="15"/>
                <w:fitText w:val="7" w:id="-1301008636"/>
                <w14:textFill>
                  <w14:solidFill>
                    <w14:srgbClr w14:val="000000">
                      <w14:alpha w14:val="100000"/>
                    </w14:srgbClr>
                  </w14:solidFill>
                </w14:textFill>
              </w:rPr>
              <w:t xml:space="preserve">　</w:t>
            </w:r>
          </w:p>
        </w:tc>
        <w:tc>
          <w:tcPr>
            <w:tcW w:w="616" w:type="pct"/>
            <w:shd w:val="solid" w:color="000000" w:fill="000000"/>
            <w:tcMar>
              <w:left w:w="28" w:type="dxa"/>
              <w:right w:w="28" w:type="dxa"/>
            </w:tcMar>
          </w:tcPr>
          <w:p w14:paraId="4D71B5F7" w14:textId="1EA4C577" w:rsidR="00583C18" w:rsidRPr="00FC43FC" w:rsidRDefault="00206B77" w:rsidP="00347AFB">
            <w:pPr>
              <w:pStyle w:val="TableText0"/>
              <w:keepNext w:val="0"/>
              <w:jc w:val="center"/>
              <w:rPr>
                <w:highlight w:val="darkGray"/>
              </w:rPr>
            </w:pPr>
            <w:r w:rsidRPr="00206B77">
              <w:rPr>
                <w:color w:val="000000"/>
                <w14:textFill>
                  <w14:solidFill>
                    <w14:srgbClr w14:val="000000">
                      <w14:alpha w14:val="100000"/>
                    </w14:srgbClr>
                  </w14:solidFill>
                </w14:textFill>
              </w:rPr>
              <w:t>|</w:t>
            </w:r>
          </w:p>
        </w:tc>
        <w:tc>
          <w:tcPr>
            <w:tcW w:w="616" w:type="pct"/>
            <w:shd w:val="solid" w:color="000000" w:fill="000000"/>
            <w:tcMar>
              <w:left w:w="28" w:type="dxa"/>
              <w:right w:w="28" w:type="dxa"/>
            </w:tcMar>
          </w:tcPr>
          <w:p w14:paraId="1E5EA192" w14:textId="18DF4FDE" w:rsidR="00583C18" w:rsidRPr="00FC43FC" w:rsidRDefault="00206B77" w:rsidP="00347AFB">
            <w:pPr>
              <w:pStyle w:val="TableText0"/>
              <w:keepNext w:val="0"/>
              <w:jc w:val="center"/>
              <w:rPr>
                <w:highlight w:val="darkGray"/>
              </w:rPr>
            </w:pPr>
            <w:r w:rsidRPr="00206B77">
              <w:rPr>
                <w:color w:val="000000"/>
                <w14:textFill>
                  <w14:solidFill>
                    <w14:srgbClr w14:val="000000">
                      <w14:alpha w14:val="100000"/>
                    </w14:srgbClr>
                  </w14:solidFill>
                </w14:textFill>
              </w:rPr>
              <w:t>|</w:t>
            </w:r>
          </w:p>
        </w:tc>
        <w:tc>
          <w:tcPr>
            <w:tcW w:w="616" w:type="pct"/>
            <w:shd w:val="solid" w:color="000000" w:fill="000000"/>
            <w:tcMar>
              <w:left w:w="28" w:type="dxa"/>
              <w:right w:w="28" w:type="dxa"/>
            </w:tcMar>
          </w:tcPr>
          <w:p w14:paraId="2F69138A" w14:textId="10895B1F" w:rsidR="00583C18" w:rsidRPr="00FC43FC" w:rsidRDefault="00206B77" w:rsidP="00347AFB">
            <w:pPr>
              <w:pStyle w:val="TableText0"/>
              <w:keepNext w:val="0"/>
              <w:jc w:val="center"/>
              <w:rPr>
                <w:highlight w:val="darkGray"/>
              </w:rPr>
            </w:pPr>
            <w:r w:rsidRPr="00206B77">
              <w:rPr>
                <w:color w:val="000000"/>
                <w14:textFill>
                  <w14:solidFill>
                    <w14:srgbClr w14:val="000000">
                      <w14:alpha w14:val="100000"/>
                    </w14:srgbClr>
                  </w14:solidFill>
                </w14:textFill>
              </w:rPr>
              <w:t>|</w:t>
            </w:r>
          </w:p>
        </w:tc>
        <w:tc>
          <w:tcPr>
            <w:tcW w:w="616" w:type="pct"/>
            <w:shd w:val="solid" w:color="000000" w:fill="000000"/>
            <w:tcMar>
              <w:left w:w="28" w:type="dxa"/>
              <w:right w:w="28" w:type="dxa"/>
            </w:tcMar>
          </w:tcPr>
          <w:p w14:paraId="6D1F6321" w14:textId="78AFF15E" w:rsidR="00583C18" w:rsidRPr="00FC43FC" w:rsidRDefault="00206B77" w:rsidP="00347AFB">
            <w:pPr>
              <w:pStyle w:val="TableText0"/>
              <w:keepNext w:val="0"/>
              <w:jc w:val="center"/>
              <w:rPr>
                <w:highlight w:val="darkGray"/>
              </w:rPr>
            </w:pPr>
            <w:r w:rsidRPr="00206B77">
              <w:rPr>
                <w:color w:val="000000"/>
                <w14:textFill>
                  <w14:solidFill>
                    <w14:srgbClr w14:val="000000">
                      <w14:alpha w14:val="100000"/>
                    </w14:srgbClr>
                  </w14:solidFill>
                </w14:textFill>
              </w:rPr>
              <w:t>|</w:t>
            </w:r>
          </w:p>
        </w:tc>
        <w:tc>
          <w:tcPr>
            <w:tcW w:w="616" w:type="pct"/>
            <w:shd w:val="solid" w:color="000000" w:fill="000000"/>
            <w:tcMar>
              <w:left w:w="28" w:type="dxa"/>
              <w:right w:w="28" w:type="dxa"/>
            </w:tcMar>
          </w:tcPr>
          <w:p w14:paraId="682AEC8F" w14:textId="0B991273" w:rsidR="00583C18" w:rsidRPr="00FC43FC" w:rsidRDefault="00206B77" w:rsidP="00347AFB">
            <w:pPr>
              <w:pStyle w:val="TableText0"/>
              <w:keepNext w:val="0"/>
              <w:jc w:val="center"/>
              <w:rPr>
                <w:highlight w:val="darkGray"/>
              </w:rPr>
            </w:pPr>
            <w:r w:rsidRPr="00206B77">
              <w:rPr>
                <w:color w:val="000000"/>
                <w14:textFill>
                  <w14:solidFill>
                    <w14:srgbClr w14:val="000000">
                      <w14:alpha w14:val="100000"/>
                    </w14:srgbClr>
                  </w14:solidFill>
                </w14:textFill>
              </w:rPr>
              <w:t>|</w:t>
            </w:r>
          </w:p>
        </w:tc>
      </w:tr>
    </w:tbl>
    <w:p w14:paraId="4957A454" w14:textId="32F68DEE" w:rsidR="00380BE4" w:rsidRPr="005B024E" w:rsidRDefault="00380BE4" w:rsidP="00380BE4">
      <w:pPr>
        <w:pStyle w:val="TableFigureFooter"/>
      </w:pPr>
      <w:r w:rsidRPr="005B024E">
        <w:t>Source: Table 4.24, p135 of the submission</w:t>
      </w:r>
      <w:r w:rsidR="00BD7D2D">
        <w:t xml:space="preserve"> and Table 2, p2 of the pre-PBAC response</w:t>
      </w:r>
    </w:p>
    <w:p w14:paraId="4248107E" w14:textId="470D96B6" w:rsidR="00380BE4" w:rsidRPr="005B024E" w:rsidRDefault="00380BE4" w:rsidP="00380BE4">
      <w:pPr>
        <w:pStyle w:val="TableFigureFooter"/>
      </w:pPr>
      <w:r w:rsidRPr="005B024E">
        <w:t xml:space="preserve">RSA = Risk Share Agreement </w:t>
      </w:r>
    </w:p>
    <w:p w14:paraId="7EB760C6" w14:textId="10879E52" w:rsidR="00FC43FC" w:rsidRPr="005B024E" w:rsidRDefault="00380BE4" w:rsidP="009C5BFA">
      <w:pPr>
        <w:pStyle w:val="TableFigureFooter"/>
      </w:pPr>
      <w:r w:rsidRPr="005B024E">
        <w:rPr>
          <w:vertAlign w:val="superscript"/>
        </w:rPr>
        <w:t>a</w:t>
      </w:r>
      <w:r w:rsidRPr="005B024E">
        <w:t xml:space="preserve"> The submission assumed </w:t>
      </w:r>
      <w:r w:rsidR="009C5BFA" w:rsidRPr="005B024E">
        <w:t xml:space="preserve">67% of patients meet the IPI 2-5 criteria (from 30% in the base case) and </w:t>
      </w:r>
      <w:r w:rsidRPr="005B024E">
        <w:t xml:space="preserve">uptake </w:t>
      </w:r>
      <w:r w:rsidR="009C5BFA" w:rsidRPr="005B024E">
        <w:t xml:space="preserve">in patients with IPI 2-5 </w:t>
      </w:r>
      <w:r w:rsidRPr="005B024E">
        <w:t xml:space="preserve">would </w:t>
      </w:r>
      <w:r w:rsidR="009C5BFA" w:rsidRPr="005B024E">
        <w:t xml:space="preserve">be </w:t>
      </w:r>
      <w:r w:rsidR="009D3D7C" w:rsidRPr="009D3D7C">
        <w:rPr>
          <w:color w:val="000000"/>
          <w:w w:val="37"/>
          <w:shd w:val="solid" w:color="000000" w:fill="000000"/>
          <w:fitText w:val="60" w:id="-1290566400"/>
          <w14:textFill>
            <w14:solidFill>
              <w14:srgbClr w14:val="000000">
                <w14:alpha w14:val="100000"/>
              </w14:srgbClr>
            </w14:solidFill>
          </w14:textFill>
        </w:rPr>
        <w:t>|  |</w:t>
      </w:r>
      <w:r w:rsidR="009C5BFA" w:rsidRPr="00B869EC">
        <w:t>-</w:t>
      </w:r>
      <w:r w:rsidR="009D3D7C" w:rsidRPr="009D3D7C">
        <w:rPr>
          <w:color w:val="000000"/>
          <w:w w:val="37"/>
          <w:shd w:val="solid" w:color="000000" w:fill="000000"/>
          <w:fitText w:val="60" w:id="-1290566399"/>
          <w14:textFill>
            <w14:solidFill>
              <w14:srgbClr w14:val="000000">
                <w14:alpha w14:val="100000"/>
              </w14:srgbClr>
            </w14:solidFill>
          </w14:textFill>
        </w:rPr>
        <w:t>|  |</w:t>
      </w:r>
      <w:r w:rsidR="009C5BFA" w:rsidRPr="005B024E">
        <w:t xml:space="preserve">% (from </w:t>
      </w:r>
      <w:r w:rsidR="009D3D7C" w:rsidRPr="009D3D7C">
        <w:rPr>
          <w:color w:val="000000"/>
          <w:w w:val="37"/>
          <w:shd w:val="solid" w:color="000000" w:fill="000000"/>
          <w:fitText w:val="60" w:id="-1290566144"/>
          <w14:textFill>
            <w14:solidFill>
              <w14:srgbClr w14:val="000000">
                <w14:alpha w14:val="100000"/>
              </w14:srgbClr>
            </w14:solidFill>
          </w14:textFill>
        </w:rPr>
        <w:t>|  |</w:t>
      </w:r>
      <w:r w:rsidR="009C5BFA" w:rsidRPr="00B869EC">
        <w:t>-</w:t>
      </w:r>
      <w:r w:rsidR="009D3D7C" w:rsidRPr="009D3D7C">
        <w:rPr>
          <w:color w:val="000000"/>
          <w:w w:val="37"/>
          <w:shd w:val="solid" w:color="000000" w:fill="000000"/>
          <w:fitText w:val="60" w:id="-1290566143"/>
          <w14:textFill>
            <w14:solidFill>
              <w14:srgbClr w14:val="000000">
                <w14:alpha w14:val="100000"/>
              </w14:srgbClr>
            </w14:solidFill>
          </w14:textFill>
        </w:rPr>
        <w:t>|  |</w:t>
      </w:r>
      <w:r w:rsidR="009C5BFA" w:rsidRPr="005B024E">
        <w:t>% in the base case)</w:t>
      </w:r>
    </w:p>
    <w:p w14:paraId="5B0B299C" w14:textId="28C27CA9" w:rsidR="00380BE4" w:rsidRDefault="006603B8" w:rsidP="00E1521D">
      <w:pPr>
        <w:pStyle w:val="3-BodyText"/>
        <w:ind w:left="720"/>
        <w:rPr>
          <w:iCs/>
        </w:rPr>
      </w:pPr>
      <w:r w:rsidRPr="000B2FEE">
        <w:rPr>
          <w:iCs/>
        </w:rPr>
        <w:t xml:space="preserve">Irrespective of the </w:t>
      </w:r>
      <w:r w:rsidR="009C5BFA" w:rsidRPr="000B2FEE">
        <w:rPr>
          <w:iCs/>
        </w:rPr>
        <w:t xml:space="preserve">actual </w:t>
      </w:r>
      <w:r w:rsidRPr="000B2FEE">
        <w:rPr>
          <w:iCs/>
        </w:rPr>
        <w:t>thresholds</w:t>
      </w:r>
      <w:r w:rsidR="009C5BFA" w:rsidRPr="000B2FEE">
        <w:rPr>
          <w:iCs/>
        </w:rPr>
        <w:t xml:space="preserve"> </w:t>
      </w:r>
      <w:r w:rsidR="009C5BFA" w:rsidRPr="00476211">
        <w:rPr>
          <w:iCs/>
        </w:rPr>
        <w:t>and corresponding assumptions</w:t>
      </w:r>
      <w:r w:rsidRPr="00476211">
        <w:rPr>
          <w:iCs/>
        </w:rPr>
        <w:t>, t</w:t>
      </w:r>
      <w:r w:rsidR="00380BE4" w:rsidRPr="00476211">
        <w:rPr>
          <w:iCs/>
        </w:rPr>
        <w:t xml:space="preserve">he </w:t>
      </w:r>
      <w:r w:rsidR="00FF024F" w:rsidRPr="00476211">
        <w:rPr>
          <w:iCs/>
        </w:rPr>
        <w:t xml:space="preserve">ESC considered that the </w:t>
      </w:r>
      <w:r w:rsidR="00380BE4" w:rsidRPr="00476211">
        <w:rPr>
          <w:iCs/>
        </w:rPr>
        <w:t>rationale for the proposed rebate betwee</w:t>
      </w:r>
      <w:r w:rsidR="00380BE4" w:rsidRPr="000B2FEE">
        <w:rPr>
          <w:iCs/>
        </w:rPr>
        <w:t xml:space="preserve">n threshold 1 and 2 was flawed. As the use of polatuzumab vedotin below threshold 1 captures patients with an IPI of 3-5 and use between threshold 1 and 2 captures patients with an IPI of 2, then the proposed rebate between threshold 1 and 2 should be based on the cost-effectiveness of treatment in the IPI 2 subgroup rather than the ITT population (IPI 2-5). A rebate of </w:t>
      </w:r>
      <w:r w:rsidR="00206B77" w:rsidRPr="007F2580">
        <w:rPr>
          <w:iCs/>
          <w:color w:val="000000"/>
          <w:w w:val="15"/>
          <w:shd w:val="solid" w:color="000000" w:fill="000000"/>
          <w:fitText w:val="-20" w:id="-1301008635"/>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635"/>
          <w14:textFill>
            <w14:solidFill>
              <w14:srgbClr w14:val="000000">
                <w14:alpha w14:val="100000"/>
              </w14:srgbClr>
            </w14:solidFill>
          </w14:textFill>
        </w:rPr>
        <w:t>|</w:t>
      </w:r>
      <w:r w:rsidR="00380BE4" w:rsidRPr="000B2FEE">
        <w:rPr>
          <w:iCs/>
        </w:rPr>
        <w:t xml:space="preserve">% above threshold 2 was appropriate, given there is no evidence for use in previously untreated patients with an IPI of 0-1 and potential leakage into the relapsed </w:t>
      </w:r>
      <w:r w:rsidR="00050593">
        <w:rPr>
          <w:iCs/>
        </w:rPr>
        <w:t>and</w:t>
      </w:r>
      <w:r w:rsidR="00380BE4" w:rsidRPr="000B2FEE">
        <w:rPr>
          <w:iCs/>
        </w:rPr>
        <w:t>/</w:t>
      </w:r>
      <w:r w:rsidR="00050593">
        <w:rPr>
          <w:iCs/>
        </w:rPr>
        <w:t xml:space="preserve">or </w:t>
      </w:r>
      <w:r w:rsidR="00380BE4" w:rsidRPr="000B2FEE">
        <w:rPr>
          <w:iCs/>
        </w:rPr>
        <w:t>refractory setting.</w:t>
      </w:r>
      <w:r w:rsidR="003F3B85">
        <w:rPr>
          <w:iCs/>
        </w:rPr>
        <w:t xml:space="preserve"> </w:t>
      </w:r>
    </w:p>
    <w:p w14:paraId="2207A55E" w14:textId="16B3592C" w:rsidR="006943B1" w:rsidRPr="006943B1" w:rsidRDefault="006943B1" w:rsidP="006943B1">
      <w:pPr>
        <w:pStyle w:val="3-BodyText"/>
        <w:ind w:left="720"/>
        <w:rPr>
          <w:iCs/>
        </w:rPr>
      </w:pPr>
      <w:r w:rsidRPr="00E1521D">
        <w:rPr>
          <w:iCs/>
        </w:rPr>
        <w:t>The pre-PBAC response</w:t>
      </w:r>
      <w:r w:rsidR="0083236B">
        <w:rPr>
          <w:iCs/>
        </w:rPr>
        <w:t xml:space="preserve"> </w:t>
      </w:r>
      <w:r w:rsidRPr="00E1521D">
        <w:rPr>
          <w:iCs/>
        </w:rPr>
        <w:t>proposed a single expenditure threshold</w:t>
      </w:r>
      <w:r w:rsidR="00C772FA">
        <w:rPr>
          <w:iCs/>
        </w:rPr>
        <w:t xml:space="preserve"> based on the net cost of polatuzumab vedotin to the PBS/RPBS (less copayment) proposed in the pre-PBAC response</w:t>
      </w:r>
      <w:r w:rsidRPr="00E1521D">
        <w:rPr>
          <w:iCs/>
        </w:rPr>
        <w:t xml:space="preserve">, beyond which a </w:t>
      </w:r>
      <w:r w:rsidR="00206B77" w:rsidRPr="007F2580">
        <w:rPr>
          <w:iCs/>
          <w:color w:val="000000"/>
          <w:w w:val="15"/>
          <w:shd w:val="solid" w:color="000000" w:fill="000000"/>
          <w:fitText w:val="-20" w:id="-1301008634"/>
          <w14:textFill>
            <w14:solidFill>
              <w14:srgbClr w14:val="000000">
                <w14:alpha w14:val="100000"/>
              </w14:srgbClr>
            </w14:solidFill>
          </w14:textFill>
        </w:rPr>
        <w:t xml:space="preserve">|  </w:t>
      </w:r>
      <w:r w:rsidR="00206B77" w:rsidRPr="007F2580">
        <w:rPr>
          <w:iCs/>
          <w:color w:val="000000"/>
          <w:spacing w:val="-69"/>
          <w:w w:val="15"/>
          <w:shd w:val="solid" w:color="000000" w:fill="000000"/>
          <w:fitText w:val="-20" w:id="-1301008634"/>
          <w14:textFill>
            <w14:solidFill>
              <w14:srgbClr w14:val="000000">
                <w14:alpha w14:val="100000"/>
              </w14:srgbClr>
            </w14:solidFill>
          </w14:textFill>
        </w:rPr>
        <w:t>|</w:t>
      </w:r>
      <w:r w:rsidRPr="00330744">
        <w:rPr>
          <w:iCs/>
        </w:rPr>
        <w:t>%</w:t>
      </w:r>
      <w:r w:rsidRPr="00E1521D">
        <w:rPr>
          <w:iCs/>
        </w:rPr>
        <w:t xml:space="preserve"> rebate would apply.</w:t>
      </w:r>
    </w:p>
    <w:bookmarkEnd w:id="73"/>
    <w:p w14:paraId="05F00B58" w14:textId="0ED7F119" w:rsidR="008131EB" w:rsidRDefault="00FF7E35" w:rsidP="00FF7E35">
      <w:pPr>
        <w:pStyle w:val="3-BodyText"/>
        <w:numPr>
          <w:ilvl w:val="0"/>
          <w:numId w:val="0"/>
        </w:numPr>
        <w:ind w:left="720"/>
        <w:rPr>
          <w:i/>
          <w:iCs/>
        </w:rPr>
      </w:pPr>
      <w:r w:rsidRPr="00FF7E35">
        <w:rPr>
          <w:i/>
          <w:iCs/>
        </w:rPr>
        <w:t>For more detail on PBAC’s view, see section 7 PBAC outcome.</w:t>
      </w:r>
    </w:p>
    <w:p w14:paraId="0D48F72B" w14:textId="77777777" w:rsidR="008131EB" w:rsidRDefault="008131EB">
      <w:pPr>
        <w:jc w:val="left"/>
        <w:rPr>
          <w:rFonts w:asciiTheme="minorHAnsi" w:hAnsiTheme="minorHAnsi"/>
          <w:i/>
          <w:iCs/>
          <w:snapToGrid w:val="0"/>
        </w:rPr>
      </w:pPr>
      <w:r>
        <w:rPr>
          <w:i/>
          <w:iCs/>
        </w:rPr>
        <w:br w:type="page"/>
      </w:r>
    </w:p>
    <w:p w14:paraId="2034B888" w14:textId="77777777" w:rsidR="00FF7E35" w:rsidRPr="00FF7E35" w:rsidRDefault="00FF7E35" w:rsidP="00C85DCF">
      <w:pPr>
        <w:pStyle w:val="2-SectionHeading"/>
      </w:pPr>
      <w:bookmarkStart w:id="74" w:name="_Hlk76381249"/>
      <w:bookmarkStart w:id="75" w:name="_Hlk76377955"/>
      <w:r w:rsidRPr="00FF7E35">
        <w:lastRenderedPageBreak/>
        <w:t>PBAC Outcome</w:t>
      </w:r>
    </w:p>
    <w:p w14:paraId="1EB00BF4" w14:textId="7F74A4AB" w:rsidR="00C85DCF" w:rsidRPr="00E1521D" w:rsidRDefault="00C85DCF" w:rsidP="00E1521D">
      <w:pPr>
        <w:pStyle w:val="3-BodyText"/>
        <w:ind w:left="720"/>
        <w:rPr>
          <w:iCs/>
        </w:rPr>
      </w:pPr>
      <w:bookmarkStart w:id="76" w:name="_Hlk111543188"/>
      <w:r w:rsidRPr="00E1521D">
        <w:rPr>
          <w:iCs/>
        </w:rPr>
        <w:t xml:space="preserve">The PBAC did not recommend the listing of polatuzumab vedotin in combination with </w:t>
      </w:r>
      <w:r w:rsidR="003F4513" w:rsidRPr="00E1521D">
        <w:rPr>
          <w:iCs/>
        </w:rPr>
        <w:t>rituximab plus cyclophosphamide, doxorubicin and prednisone (Pola</w:t>
      </w:r>
      <w:r w:rsidR="00BC0F9C">
        <w:rPr>
          <w:iCs/>
        </w:rPr>
        <w:t>+</w:t>
      </w:r>
      <w:r w:rsidR="003F4513" w:rsidRPr="00E1521D">
        <w:rPr>
          <w:iCs/>
        </w:rPr>
        <w:t xml:space="preserve">R-CHP) for the treatment of diffuse large B cell lymphoma (DLBCL) in previously untreated patients with an international prognostic index (IPI) score of 3-5. </w:t>
      </w:r>
      <w:r w:rsidR="00AB3F10" w:rsidRPr="00E1521D">
        <w:rPr>
          <w:iCs/>
        </w:rPr>
        <w:t xml:space="preserve">The PBAC considered that </w:t>
      </w:r>
      <w:r w:rsidR="00AD0D91" w:rsidRPr="00E1521D">
        <w:rPr>
          <w:iCs/>
        </w:rPr>
        <w:t>Pola</w:t>
      </w:r>
      <w:r w:rsidR="00BC0F9C">
        <w:rPr>
          <w:iCs/>
        </w:rPr>
        <w:t>+</w:t>
      </w:r>
      <w:r w:rsidR="00AD0D91" w:rsidRPr="00E1521D">
        <w:rPr>
          <w:iCs/>
        </w:rPr>
        <w:t>R-CHP</w:t>
      </w:r>
      <w:r w:rsidR="00AB3F10" w:rsidRPr="00E1521D">
        <w:rPr>
          <w:iCs/>
        </w:rPr>
        <w:t xml:space="preserve"> did not provide a benefit compared to the comparator, rituximab plus cyclophosphamide, doxorubicin, vincristine and prednisone (R-CHOP), in terms of overall survival</w:t>
      </w:r>
      <w:r w:rsidR="00050593" w:rsidRPr="00E1521D">
        <w:rPr>
          <w:iCs/>
        </w:rPr>
        <w:t xml:space="preserve"> (OS)</w:t>
      </w:r>
      <w:r w:rsidR="00AB3F10" w:rsidRPr="00E1521D">
        <w:rPr>
          <w:iCs/>
        </w:rPr>
        <w:t>. In addition, the PBAC considered that the estimated incremental cost effectiveness ratio (ICER) was optimistic and the financial impact of listing pol</w:t>
      </w:r>
      <w:r w:rsidR="00AD0D91" w:rsidRPr="00E1521D">
        <w:rPr>
          <w:iCs/>
        </w:rPr>
        <w:t>a</w:t>
      </w:r>
      <w:r w:rsidR="00AB3F10" w:rsidRPr="00E1521D">
        <w:rPr>
          <w:iCs/>
        </w:rPr>
        <w:t xml:space="preserve">tuzumab </w:t>
      </w:r>
      <w:r w:rsidR="00C93D4F" w:rsidRPr="00E1521D">
        <w:rPr>
          <w:iCs/>
        </w:rPr>
        <w:t xml:space="preserve">vedotin </w:t>
      </w:r>
      <w:r w:rsidR="00AB3F10" w:rsidRPr="00E1521D">
        <w:rPr>
          <w:iCs/>
        </w:rPr>
        <w:t>was high.</w:t>
      </w:r>
    </w:p>
    <w:p w14:paraId="71723BA4" w14:textId="20957F92" w:rsidR="00AB3F10" w:rsidRPr="002447D3" w:rsidRDefault="00AB3F10" w:rsidP="002447D3">
      <w:pPr>
        <w:pStyle w:val="3-BodyText"/>
        <w:ind w:left="720"/>
        <w:rPr>
          <w:iCs/>
        </w:rPr>
      </w:pPr>
      <w:r w:rsidRPr="00E1521D">
        <w:rPr>
          <w:iCs/>
        </w:rPr>
        <w:t>The PBAC noted the input from the organisations which highlighted the need for new treatment options for patients with DLBCL.</w:t>
      </w:r>
      <w:r w:rsidR="002447D3">
        <w:rPr>
          <w:iCs/>
        </w:rPr>
        <w:t xml:space="preserve"> </w:t>
      </w:r>
      <w:r w:rsidRPr="002447D3">
        <w:rPr>
          <w:iCs/>
        </w:rPr>
        <w:t xml:space="preserve">The PBAC accepted that the </w:t>
      </w:r>
      <w:r w:rsidR="00583C18" w:rsidRPr="002447D3">
        <w:rPr>
          <w:iCs/>
        </w:rPr>
        <w:t>highest clinical</w:t>
      </w:r>
      <w:r w:rsidRPr="002447D3">
        <w:rPr>
          <w:iCs/>
        </w:rPr>
        <w:t xml:space="preserve"> need was </w:t>
      </w:r>
      <w:r w:rsidR="00AD0D91" w:rsidRPr="002447D3">
        <w:rPr>
          <w:iCs/>
        </w:rPr>
        <w:t>in</w:t>
      </w:r>
      <w:r w:rsidRPr="002447D3">
        <w:rPr>
          <w:iCs/>
        </w:rPr>
        <w:t xml:space="preserve"> patients with an IPI score of 3-5.</w:t>
      </w:r>
    </w:p>
    <w:p w14:paraId="6B374170" w14:textId="77777777" w:rsidR="00AB3F10" w:rsidRPr="00E1521D" w:rsidRDefault="00AB3F10" w:rsidP="00E1521D">
      <w:pPr>
        <w:pStyle w:val="3-BodyText"/>
        <w:ind w:left="720"/>
        <w:rPr>
          <w:iCs/>
        </w:rPr>
      </w:pPr>
      <w:r w:rsidRPr="00E1521D">
        <w:rPr>
          <w:iCs/>
        </w:rPr>
        <w:t>The PBAC considered that R-CHOP was the appropriate comparator.</w:t>
      </w:r>
    </w:p>
    <w:p w14:paraId="3C70F30B" w14:textId="219CDE78" w:rsidR="00AB3F10" w:rsidRPr="00E1521D" w:rsidRDefault="00AB3F10" w:rsidP="00E1521D">
      <w:pPr>
        <w:pStyle w:val="3-BodyText"/>
        <w:ind w:left="720"/>
        <w:rPr>
          <w:iCs/>
        </w:rPr>
      </w:pPr>
      <w:bookmarkStart w:id="77" w:name="_Hlk120787444"/>
      <w:r w:rsidRPr="00E1521D">
        <w:rPr>
          <w:iCs/>
        </w:rPr>
        <w:t>The PBAC noted the results from the randomised controlled trial, POLARIX, which compared Pola</w:t>
      </w:r>
      <w:r w:rsidR="00BC0F9C">
        <w:rPr>
          <w:iCs/>
        </w:rPr>
        <w:t>+</w:t>
      </w:r>
      <w:r w:rsidRPr="00E1521D">
        <w:rPr>
          <w:iCs/>
        </w:rPr>
        <w:t>R-CHP with R-CHOP</w:t>
      </w:r>
      <w:r w:rsidR="00FE0408" w:rsidRPr="00E1521D">
        <w:rPr>
          <w:iCs/>
        </w:rPr>
        <w:t xml:space="preserve"> at a median follow up of 28.2 months. The PBAC noted that in terms of progression free survival</w:t>
      </w:r>
      <w:r w:rsidR="00050593" w:rsidRPr="00E1521D">
        <w:rPr>
          <w:iCs/>
        </w:rPr>
        <w:t xml:space="preserve"> (PFS)</w:t>
      </w:r>
      <w:r w:rsidR="00FE0408" w:rsidRPr="00E1521D">
        <w:rPr>
          <w:iCs/>
        </w:rPr>
        <w:t>, Pola</w:t>
      </w:r>
      <w:r w:rsidR="00BC0F9C">
        <w:rPr>
          <w:iCs/>
        </w:rPr>
        <w:t>+</w:t>
      </w:r>
      <w:r w:rsidR="00FE0408" w:rsidRPr="00E1521D">
        <w:rPr>
          <w:iCs/>
        </w:rPr>
        <w:t xml:space="preserve">R-CHP demonstrated a modest </w:t>
      </w:r>
      <w:r w:rsidR="00E50B25">
        <w:rPr>
          <w:iCs/>
        </w:rPr>
        <w:t>improvement in PFS, as measured in the trial,</w:t>
      </w:r>
      <w:r w:rsidR="00FE0408" w:rsidRPr="00E1521D">
        <w:rPr>
          <w:iCs/>
        </w:rPr>
        <w:t xml:space="preserve"> in the intention to treat (ITT) population (HR = 0.73; 95% CI: 0.57, 0.95) and the subgroup of patients with an IPI score of 3-5 (HR = 0.65; 95% CI: 0.47, 0.88), but not in patients with an IPI score of 2 (HR = 0.99; 95% CI: 0.63, 1.56). The PBAC noted that POLARIX did not demonstrate a clinically significant benefit in terms of </w:t>
      </w:r>
      <w:r w:rsidR="00050593" w:rsidRPr="00E1521D">
        <w:rPr>
          <w:iCs/>
        </w:rPr>
        <w:t>OS</w:t>
      </w:r>
      <w:r w:rsidR="00FE0408" w:rsidRPr="00E1521D">
        <w:rPr>
          <w:iCs/>
        </w:rPr>
        <w:t xml:space="preserve"> in either the ITT population (HR = 0.94; 95% CI: 0.65, 1.37) or the IPI 3-5 subgroup (HR = 0.93; 95% CI: 0.60, 1.43). The PBAC noted that Pola</w:t>
      </w:r>
      <w:r w:rsidR="00BC0F9C">
        <w:rPr>
          <w:iCs/>
        </w:rPr>
        <w:t>+</w:t>
      </w:r>
      <w:r w:rsidR="00FE0408" w:rsidRPr="00E1521D">
        <w:rPr>
          <w:iCs/>
        </w:rPr>
        <w:t xml:space="preserve">R-CHP did not result in a statistically significant benefit compared to R-CHOP in terms of the proportion of patients who achieved a complete and/or partial response or </w:t>
      </w:r>
      <w:r w:rsidR="00C634FD" w:rsidRPr="00E1521D">
        <w:rPr>
          <w:iCs/>
        </w:rPr>
        <w:t>best overall response.</w:t>
      </w:r>
      <w:r w:rsidR="00F40484" w:rsidRPr="00E1521D">
        <w:rPr>
          <w:iCs/>
        </w:rPr>
        <w:t xml:space="preserve"> The PBAC also noted updated OS data provided to the TGA which, at a median follow up of 39.7 months, did not demonstrate a statistically significant difference (HR = 0.94; 95% CI: 0.67, 1.33).</w:t>
      </w:r>
      <w:r w:rsidR="00E50B25">
        <w:rPr>
          <w:iCs/>
        </w:rPr>
        <w:t xml:space="preserve"> </w:t>
      </w:r>
    </w:p>
    <w:bookmarkEnd w:id="77"/>
    <w:p w14:paraId="0EA7C0A5" w14:textId="45362491" w:rsidR="00AD0D91" w:rsidRPr="00E1521D" w:rsidRDefault="00AD0D91" w:rsidP="00E1521D">
      <w:pPr>
        <w:pStyle w:val="3-BodyText"/>
        <w:ind w:left="720"/>
        <w:rPr>
          <w:iCs/>
        </w:rPr>
      </w:pPr>
      <w:r w:rsidRPr="00E1521D">
        <w:rPr>
          <w:iCs/>
        </w:rPr>
        <w:t>Overall, the PBAC considered that POLA</w:t>
      </w:r>
      <w:r w:rsidR="00BC0F9C">
        <w:rPr>
          <w:iCs/>
        </w:rPr>
        <w:t>+</w:t>
      </w:r>
      <w:r w:rsidRPr="00E1521D">
        <w:rPr>
          <w:iCs/>
        </w:rPr>
        <w:t xml:space="preserve">R-CHP resulted in </w:t>
      </w:r>
      <w:r w:rsidR="0035205B">
        <w:rPr>
          <w:iCs/>
        </w:rPr>
        <w:t xml:space="preserve">no more than </w:t>
      </w:r>
      <w:r w:rsidRPr="00E1521D">
        <w:rPr>
          <w:iCs/>
        </w:rPr>
        <w:t xml:space="preserve">a modest benefit compared to R-CHOP in patients with an IPI score of 3-5 in terms of </w:t>
      </w:r>
      <w:r w:rsidR="00050593" w:rsidRPr="00E1521D">
        <w:rPr>
          <w:iCs/>
        </w:rPr>
        <w:t>PFS</w:t>
      </w:r>
      <w:r w:rsidRPr="00E1521D">
        <w:rPr>
          <w:iCs/>
        </w:rPr>
        <w:t xml:space="preserve"> </w:t>
      </w:r>
      <w:r w:rsidR="00E15E98" w:rsidRPr="00E1521D">
        <w:rPr>
          <w:iCs/>
        </w:rPr>
        <w:t xml:space="preserve">and considered the claim of superior comparative effectiveness for these patients was </w:t>
      </w:r>
      <w:r w:rsidR="0035205B">
        <w:rPr>
          <w:iCs/>
        </w:rPr>
        <w:t xml:space="preserve">potentially </w:t>
      </w:r>
      <w:r w:rsidR="00E15E98" w:rsidRPr="00E1521D">
        <w:rPr>
          <w:iCs/>
        </w:rPr>
        <w:t>reasonable for this outcome only</w:t>
      </w:r>
      <w:r w:rsidRPr="00E1521D">
        <w:rPr>
          <w:iCs/>
        </w:rPr>
        <w:t xml:space="preserve">. </w:t>
      </w:r>
      <w:r w:rsidR="00631116">
        <w:rPr>
          <w:iCs/>
        </w:rPr>
        <w:t>T</w:t>
      </w:r>
      <w:r w:rsidRPr="00E1521D">
        <w:rPr>
          <w:iCs/>
        </w:rPr>
        <w:t>he PBAC considered</w:t>
      </w:r>
      <w:r w:rsidR="00D91C15" w:rsidRPr="00E1521D">
        <w:rPr>
          <w:iCs/>
        </w:rPr>
        <w:t xml:space="preserve"> that although Pola</w:t>
      </w:r>
      <w:r w:rsidR="00BC0F9C">
        <w:rPr>
          <w:iCs/>
        </w:rPr>
        <w:t>+</w:t>
      </w:r>
      <w:r w:rsidR="00D91C15" w:rsidRPr="00E1521D">
        <w:rPr>
          <w:iCs/>
        </w:rPr>
        <w:t xml:space="preserve">R-CHP increased the duration of response, </w:t>
      </w:r>
      <w:r w:rsidRPr="00E1521D">
        <w:rPr>
          <w:iCs/>
        </w:rPr>
        <w:t>based on the evidence provided in POLARIX, Pola</w:t>
      </w:r>
      <w:r w:rsidR="00BC0F9C">
        <w:rPr>
          <w:iCs/>
        </w:rPr>
        <w:t>+</w:t>
      </w:r>
      <w:r w:rsidRPr="00E1521D">
        <w:rPr>
          <w:iCs/>
        </w:rPr>
        <w:t xml:space="preserve">R-CHP resulted in no benefit in terms of </w:t>
      </w:r>
      <w:r w:rsidR="00050593" w:rsidRPr="00E1521D">
        <w:rPr>
          <w:iCs/>
        </w:rPr>
        <w:t>OS</w:t>
      </w:r>
      <w:r w:rsidRPr="00E1521D">
        <w:rPr>
          <w:iCs/>
        </w:rPr>
        <w:t xml:space="preserve"> or the proportion of patients who achieved a complete and/or partial response.</w:t>
      </w:r>
      <w:r w:rsidR="00F94978" w:rsidRPr="00E1521D">
        <w:rPr>
          <w:iCs/>
        </w:rPr>
        <w:t xml:space="preserve"> </w:t>
      </w:r>
    </w:p>
    <w:p w14:paraId="49B106E6" w14:textId="16A54296" w:rsidR="00C634FD" w:rsidRPr="00E1521D" w:rsidRDefault="00C634FD" w:rsidP="00E1521D">
      <w:pPr>
        <w:pStyle w:val="3-BodyText"/>
        <w:ind w:left="720"/>
        <w:rPr>
          <w:iCs/>
        </w:rPr>
      </w:pPr>
      <w:r w:rsidRPr="00E1521D">
        <w:rPr>
          <w:iCs/>
        </w:rPr>
        <w:t>The PBAC noted that Pola</w:t>
      </w:r>
      <w:r w:rsidR="00BC0F9C">
        <w:rPr>
          <w:iCs/>
        </w:rPr>
        <w:t>+</w:t>
      </w:r>
      <w:r w:rsidRPr="00E1521D">
        <w:rPr>
          <w:iCs/>
        </w:rPr>
        <w:t>R-CHP was associated with a similar incidence of any adverse events (AEs), Grade 3-5 AEs, serious AEs, AEs leading to treatment discontinuation and AEs leading to dose interruption compared to R-CHOP.</w:t>
      </w:r>
      <w:r w:rsidR="00697F36" w:rsidRPr="00E1521D">
        <w:rPr>
          <w:iCs/>
        </w:rPr>
        <w:t xml:space="preserve"> The PBAC noted that Pola</w:t>
      </w:r>
      <w:r w:rsidR="00BC0F9C">
        <w:rPr>
          <w:iCs/>
        </w:rPr>
        <w:t>+</w:t>
      </w:r>
      <w:r w:rsidR="00697F36" w:rsidRPr="00E1521D">
        <w:rPr>
          <w:iCs/>
        </w:rPr>
        <w:t>R-CHP was associated with a higher rate of febrile neutropenia</w:t>
      </w:r>
      <w:r w:rsidR="00AD0D91" w:rsidRPr="00E1521D">
        <w:rPr>
          <w:iCs/>
        </w:rPr>
        <w:t xml:space="preserve"> compared to R-CHOP.</w:t>
      </w:r>
    </w:p>
    <w:p w14:paraId="584C6F87" w14:textId="35643C09" w:rsidR="00697F36" w:rsidRPr="00E1521D" w:rsidRDefault="00AD0D91" w:rsidP="00E1521D">
      <w:pPr>
        <w:pStyle w:val="3-BodyText"/>
        <w:ind w:left="720"/>
        <w:rPr>
          <w:iCs/>
        </w:rPr>
      </w:pPr>
      <w:r w:rsidRPr="00E1521D">
        <w:rPr>
          <w:iCs/>
        </w:rPr>
        <w:lastRenderedPageBreak/>
        <w:t>Overall, t</w:t>
      </w:r>
      <w:r w:rsidR="00697F36" w:rsidRPr="00E1521D">
        <w:rPr>
          <w:iCs/>
        </w:rPr>
        <w:t>he PBAC considered that the claim that Pola</w:t>
      </w:r>
      <w:r w:rsidR="00BC0F9C">
        <w:rPr>
          <w:iCs/>
        </w:rPr>
        <w:t>+</w:t>
      </w:r>
      <w:r w:rsidR="00697F36" w:rsidRPr="00E1521D">
        <w:rPr>
          <w:iCs/>
        </w:rPr>
        <w:t xml:space="preserve">R-CHP was non-inferior compared to R-CHOP in terms of safety </w:t>
      </w:r>
      <w:r w:rsidR="0035205B">
        <w:rPr>
          <w:iCs/>
        </w:rPr>
        <w:t>may not be</w:t>
      </w:r>
      <w:r w:rsidR="0035205B" w:rsidRPr="00E1521D">
        <w:rPr>
          <w:iCs/>
        </w:rPr>
        <w:t xml:space="preserve"> </w:t>
      </w:r>
      <w:r w:rsidR="00697F36" w:rsidRPr="00E1521D">
        <w:rPr>
          <w:iCs/>
        </w:rPr>
        <w:t>reasonable</w:t>
      </w:r>
      <w:r w:rsidR="0035205B">
        <w:rPr>
          <w:iCs/>
        </w:rPr>
        <w:t xml:space="preserve"> given the increased incidence of febrile neutropenia with Pola</w:t>
      </w:r>
      <w:r w:rsidR="00BC0F9C">
        <w:rPr>
          <w:iCs/>
        </w:rPr>
        <w:t>+</w:t>
      </w:r>
      <w:r w:rsidR="0035205B">
        <w:rPr>
          <w:iCs/>
        </w:rPr>
        <w:t>R-CHP, although noted</w:t>
      </w:r>
      <w:r w:rsidRPr="00E1521D">
        <w:rPr>
          <w:iCs/>
        </w:rPr>
        <w:t xml:space="preserve"> that the AEs </w:t>
      </w:r>
      <w:r w:rsidR="0035205B">
        <w:rPr>
          <w:iCs/>
        </w:rPr>
        <w:t>appeared</w:t>
      </w:r>
      <w:r w:rsidR="0035205B" w:rsidRPr="00E1521D">
        <w:rPr>
          <w:iCs/>
        </w:rPr>
        <w:t xml:space="preserve"> </w:t>
      </w:r>
      <w:r w:rsidRPr="00E1521D">
        <w:rPr>
          <w:iCs/>
        </w:rPr>
        <w:t>manageable</w:t>
      </w:r>
      <w:r w:rsidR="0035205B">
        <w:rPr>
          <w:iCs/>
        </w:rPr>
        <w:t xml:space="preserve"> in the context of a clinical trial</w:t>
      </w:r>
      <w:r w:rsidRPr="00E1521D">
        <w:rPr>
          <w:iCs/>
        </w:rPr>
        <w:t>.</w:t>
      </w:r>
    </w:p>
    <w:p w14:paraId="27168A42" w14:textId="606401D0" w:rsidR="00AD0D91" w:rsidRPr="00E1521D" w:rsidRDefault="00C578CC" w:rsidP="00E1521D">
      <w:pPr>
        <w:pStyle w:val="3-BodyText"/>
        <w:ind w:left="720"/>
        <w:rPr>
          <w:iCs/>
        </w:rPr>
      </w:pPr>
      <w:r w:rsidRPr="00E1521D">
        <w:rPr>
          <w:iCs/>
        </w:rPr>
        <w:t xml:space="preserve">In terms of the economic evaluation, the PBAC noted that the submission presented a cost utility analysis </w:t>
      </w:r>
      <w:r w:rsidR="0035205B">
        <w:rPr>
          <w:iCs/>
        </w:rPr>
        <w:t>based on</w:t>
      </w:r>
      <w:r w:rsidR="005E7652" w:rsidRPr="00E1521D">
        <w:rPr>
          <w:iCs/>
        </w:rPr>
        <w:t xml:space="preserve"> a partition survival model</w:t>
      </w:r>
      <w:r w:rsidR="0035205B">
        <w:rPr>
          <w:iCs/>
        </w:rPr>
        <w:t>. Kaplan-Meier data were used</w:t>
      </w:r>
      <w:r w:rsidR="005E7652" w:rsidRPr="00E1521D">
        <w:rPr>
          <w:iCs/>
        </w:rPr>
        <w:t xml:space="preserve"> up to 28.2 months</w:t>
      </w:r>
      <w:r w:rsidR="0035205B">
        <w:rPr>
          <w:iCs/>
        </w:rPr>
        <w:t>, after which</w:t>
      </w:r>
      <w:r w:rsidR="005E7652" w:rsidRPr="00E1521D">
        <w:rPr>
          <w:iCs/>
        </w:rPr>
        <w:t xml:space="preserve"> </w:t>
      </w:r>
      <w:r w:rsidR="0035205B">
        <w:rPr>
          <w:iCs/>
        </w:rPr>
        <w:t>e</w:t>
      </w:r>
      <w:r w:rsidR="005E7652" w:rsidRPr="00E1521D">
        <w:rPr>
          <w:iCs/>
        </w:rPr>
        <w:t>xtrapolation was based on a mixture</w:t>
      </w:r>
      <w:r w:rsidR="00874BD2" w:rsidRPr="00E1521D">
        <w:rPr>
          <w:iCs/>
        </w:rPr>
        <w:t>-</w:t>
      </w:r>
      <w:r w:rsidR="005E7652" w:rsidRPr="00E1521D">
        <w:rPr>
          <w:iCs/>
        </w:rPr>
        <w:t>cure</w:t>
      </w:r>
      <w:r w:rsidRPr="00E1521D">
        <w:rPr>
          <w:iCs/>
        </w:rPr>
        <w:t xml:space="preserve"> model</w:t>
      </w:r>
      <w:r w:rsidR="00A42E76" w:rsidRPr="00E1521D">
        <w:rPr>
          <w:iCs/>
        </w:rPr>
        <w:t xml:space="preserve">. The PBAC noted that the model assumed patients were cured if they remained progression free at two years. The PBAC considered that this was </w:t>
      </w:r>
      <w:r w:rsidR="0035205B">
        <w:rPr>
          <w:iCs/>
        </w:rPr>
        <w:t>generally accepted in clinical practice</w:t>
      </w:r>
      <w:r w:rsidR="00A42E76" w:rsidRPr="00E1521D">
        <w:rPr>
          <w:iCs/>
        </w:rPr>
        <w:t xml:space="preserve">, </w:t>
      </w:r>
      <w:r w:rsidR="0035205B">
        <w:rPr>
          <w:iCs/>
        </w:rPr>
        <w:t xml:space="preserve">although </w:t>
      </w:r>
      <w:r w:rsidR="00A42E76" w:rsidRPr="00E1521D">
        <w:rPr>
          <w:iCs/>
        </w:rPr>
        <w:t>not</w:t>
      </w:r>
      <w:r w:rsidR="0035205B">
        <w:rPr>
          <w:iCs/>
        </w:rPr>
        <w:t>ed</w:t>
      </w:r>
      <w:r w:rsidR="00A42E76" w:rsidRPr="00E1521D">
        <w:rPr>
          <w:iCs/>
        </w:rPr>
        <w:t xml:space="preserve"> that relapses </w:t>
      </w:r>
      <w:r w:rsidR="00874BD2" w:rsidRPr="00E1521D">
        <w:rPr>
          <w:iCs/>
        </w:rPr>
        <w:t>can</w:t>
      </w:r>
      <w:r w:rsidR="00A42E76" w:rsidRPr="00E1521D">
        <w:rPr>
          <w:iCs/>
        </w:rPr>
        <w:t xml:space="preserve"> occur in patients who have remained progression free for two years.</w:t>
      </w:r>
    </w:p>
    <w:p w14:paraId="2C08DBA6" w14:textId="06E849C1" w:rsidR="00A42E76" w:rsidRPr="00E1521D" w:rsidRDefault="0070265A" w:rsidP="00E1521D">
      <w:pPr>
        <w:pStyle w:val="3-BodyText"/>
        <w:ind w:left="720"/>
        <w:rPr>
          <w:iCs/>
        </w:rPr>
      </w:pPr>
      <w:r w:rsidRPr="00E1521D">
        <w:rPr>
          <w:iCs/>
        </w:rPr>
        <w:t xml:space="preserve">The PBAC noted that despite there being no difference in </w:t>
      </w:r>
      <w:r w:rsidR="00050593" w:rsidRPr="00E1521D">
        <w:rPr>
          <w:iCs/>
        </w:rPr>
        <w:t>OS</w:t>
      </w:r>
      <w:r w:rsidRPr="00E1521D">
        <w:rPr>
          <w:iCs/>
        </w:rPr>
        <w:t xml:space="preserve"> during the </w:t>
      </w:r>
      <w:r w:rsidR="00B741E9">
        <w:rPr>
          <w:iCs/>
        </w:rPr>
        <w:t xml:space="preserve">POLARIX </w:t>
      </w:r>
      <w:r w:rsidRPr="00E1521D">
        <w:rPr>
          <w:iCs/>
        </w:rPr>
        <w:t>trial period (</w:t>
      </w:r>
      <w:r w:rsidR="000B42F3">
        <w:rPr>
          <w:iCs/>
        </w:rPr>
        <w:t>39.7</w:t>
      </w:r>
      <w:r w:rsidRPr="00E1521D">
        <w:rPr>
          <w:iCs/>
        </w:rPr>
        <w:t xml:space="preserve"> months), the mixture-cure model predicted a large survival benefit for Pola</w:t>
      </w:r>
      <w:r w:rsidR="00BC0F9C">
        <w:rPr>
          <w:iCs/>
        </w:rPr>
        <w:t>+</w:t>
      </w:r>
      <w:r w:rsidRPr="00E1521D">
        <w:rPr>
          <w:iCs/>
        </w:rPr>
        <w:t xml:space="preserve">R-CHP patients beyond the trial period. The PBAC noted that </w:t>
      </w:r>
      <w:r w:rsidR="00A42E76" w:rsidRPr="00E1521D">
        <w:rPr>
          <w:iCs/>
        </w:rPr>
        <w:t xml:space="preserve">the differences in </w:t>
      </w:r>
      <w:r w:rsidR="00050593" w:rsidRPr="00E1521D">
        <w:rPr>
          <w:iCs/>
        </w:rPr>
        <w:t>OS</w:t>
      </w:r>
      <w:r w:rsidR="00A42E76" w:rsidRPr="00E1521D">
        <w:rPr>
          <w:iCs/>
        </w:rPr>
        <w:t xml:space="preserve"> were driven by the proportions assumed cured in each arm</w:t>
      </w:r>
      <w:r w:rsidR="00874BD2" w:rsidRPr="00E1521D">
        <w:rPr>
          <w:iCs/>
        </w:rPr>
        <w:t xml:space="preserve"> which were determined</w:t>
      </w:r>
      <w:r w:rsidR="00A42E76" w:rsidRPr="00E1521D">
        <w:rPr>
          <w:iCs/>
        </w:rPr>
        <w:t xml:space="preserve"> using data from the </w:t>
      </w:r>
      <w:r w:rsidR="00050593" w:rsidRPr="00E1521D">
        <w:rPr>
          <w:iCs/>
        </w:rPr>
        <w:t>PFS</w:t>
      </w:r>
      <w:r w:rsidR="005E7652" w:rsidRPr="00E1521D">
        <w:rPr>
          <w:iCs/>
        </w:rPr>
        <w:t xml:space="preserve"> Kaplan Meier curves</w:t>
      </w:r>
      <w:r w:rsidR="00A42E76" w:rsidRPr="00E1521D">
        <w:rPr>
          <w:iCs/>
        </w:rPr>
        <w:t xml:space="preserve"> </w:t>
      </w:r>
      <w:r w:rsidR="005E7652" w:rsidRPr="00E1521D">
        <w:rPr>
          <w:iCs/>
        </w:rPr>
        <w:t xml:space="preserve">at two years. </w:t>
      </w:r>
      <w:r w:rsidRPr="00E1521D">
        <w:rPr>
          <w:iCs/>
        </w:rPr>
        <w:t xml:space="preserve">The PBAC considered that the model was optimistic as (i) </w:t>
      </w:r>
      <w:r w:rsidR="005E7652" w:rsidRPr="00E1521D">
        <w:rPr>
          <w:iCs/>
        </w:rPr>
        <w:t xml:space="preserve">the </w:t>
      </w:r>
      <w:r w:rsidRPr="00E1521D">
        <w:rPr>
          <w:iCs/>
        </w:rPr>
        <w:t xml:space="preserve">extrapolated functions did not fit the trial data, with the </w:t>
      </w:r>
      <w:r w:rsidR="005E7652" w:rsidRPr="00E1521D">
        <w:rPr>
          <w:iCs/>
        </w:rPr>
        <w:t>estimated cure fraction for the Pola</w:t>
      </w:r>
      <w:r w:rsidR="00BC0F9C">
        <w:rPr>
          <w:iCs/>
        </w:rPr>
        <w:t>+</w:t>
      </w:r>
      <w:r w:rsidR="005E7652" w:rsidRPr="00E1521D">
        <w:rPr>
          <w:iCs/>
        </w:rPr>
        <w:t xml:space="preserve">R-CHP arm </w:t>
      </w:r>
      <w:r w:rsidRPr="00E1521D">
        <w:rPr>
          <w:iCs/>
        </w:rPr>
        <w:t xml:space="preserve">overestimated </w:t>
      </w:r>
      <w:r w:rsidR="005E7652" w:rsidRPr="00E1521D">
        <w:rPr>
          <w:iCs/>
        </w:rPr>
        <w:t>(77.1% in the model compared to 75.2% of patients remaining progression free in the POLARIX trial) and underestimated for the R-CHOP arm (62.7% in the model compared to 65.1% in the POLARIX trial)</w:t>
      </w:r>
      <w:r w:rsidRPr="00E1521D">
        <w:rPr>
          <w:iCs/>
        </w:rPr>
        <w:t xml:space="preserve">, and (ii) the model </w:t>
      </w:r>
      <w:r w:rsidR="009A3F1D" w:rsidRPr="00E1521D">
        <w:rPr>
          <w:iCs/>
        </w:rPr>
        <w:t xml:space="preserve">did not </w:t>
      </w:r>
      <w:r w:rsidRPr="00E1521D">
        <w:rPr>
          <w:iCs/>
        </w:rPr>
        <w:t>adjust for patients who would be cured from subsequent therapies</w:t>
      </w:r>
    </w:p>
    <w:p w14:paraId="20472989" w14:textId="2122D25B" w:rsidR="00486E09" w:rsidRPr="007E1D0D" w:rsidRDefault="005E7652" w:rsidP="007E1D0D">
      <w:pPr>
        <w:pStyle w:val="3-BodyText"/>
        <w:ind w:left="720"/>
        <w:rPr>
          <w:iCs/>
        </w:rPr>
      </w:pPr>
      <w:r w:rsidRPr="00E1521D">
        <w:rPr>
          <w:iCs/>
        </w:rPr>
        <w:t xml:space="preserve">The PBAC noted that the base case ICER in the </w:t>
      </w:r>
      <w:r w:rsidR="009A3F1D" w:rsidRPr="00E1521D">
        <w:rPr>
          <w:iCs/>
        </w:rPr>
        <w:t xml:space="preserve">submission for patients with an IPI score of 3-5 was </w:t>
      </w:r>
      <w:r w:rsidR="004C7B13" w:rsidRPr="004C7B13">
        <w:rPr>
          <w:iCs/>
        </w:rPr>
        <w:t xml:space="preserve">$55,000 to &lt; $75,000 </w:t>
      </w:r>
      <w:r w:rsidR="009A3F1D" w:rsidRPr="00E1521D">
        <w:rPr>
          <w:iCs/>
        </w:rPr>
        <w:t xml:space="preserve">per quality adjusted life year (QALY) gained. The PBAC noted that the pre-PBAC response presented a revised base case which corrected for the errors identified during evaluation </w:t>
      </w:r>
      <w:r w:rsidR="0070265A" w:rsidRPr="00E1521D">
        <w:rPr>
          <w:iCs/>
        </w:rPr>
        <w:t>(see paragraph</w:t>
      </w:r>
      <w:r w:rsidR="00330744">
        <w:rPr>
          <w:iCs/>
        </w:rPr>
        <w:t xml:space="preserve"> </w:t>
      </w:r>
      <w:r w:rsidR="00330744">
        <w:rPr>
          <w:iCs/>
        </w:rPr>
        <w:fldChar w:fldCharType="begin"/>
      </w:r>
      <w:r w:rsidR="00330744">
        <w:rPr>
          <w:iCs/>
        </w:rPr>
        <w:instrText xml:space="preserve"> REF _Ref120786651 \r \h </w:instrText>
      </w:r>
      <w:r w:rsidR="00330744">
        <w:rPr>
          <w:iCs/>
        </w:rPr>
      </w:r>
      <w:r w:rsidR="00330744">
        <w:rPr>
          <w:iCs/>
        </w:rPr>
        <w:fldChar w:fldCharType="separate"/>
      </w:r>
      <w:r w:rsidR="007F2580">
        <w:rPr>
          <w:iCs/>
        </w:rPr>
        <w:t>6.39</w:t>
      </w:r>
      <w:r w:rsidR="00330744">
        <w:rPr>
          <w:iCs/>
        </w:rPr>
        <w:fldChar w:fldCharType="end"/>
      </w:r>
      <w:r w:rsidR="00330744">
        <w:rPr>
          <w:iCs/>
        </w:rPr>
        <w:t>)</w:t>
      </w:r>
      <w:r w:rsidR="00486E09">
        <w:rPr>
          <w:iCs/>
        </w:rPr>
        <w:t>, reduced the time horizon</w:t>
      </w:r>
      <w:r w:rsidR="007E1D0D">
        <w:rPr>
          <w:iCs/>
        </w:rPr>
        <w:t>, applied the same proportion of subsequent therapies across both treatment arms and included a price reduction for</w:t>
      </w:r>
      <w:r w:rsidR="009A3F1D" w:rsidRPr="00E1521D">
        <w:rPr>
          <w:iCs/>
        </w:rPr>
        <w:t xml:space="preserve"> polatuzumab</w:t>
      </w:r>
      <w:r w:rsidR="00C93D4F" w:rsidRPr="00E1521D">
        <w:rPr>
          <w:iCs/>
        </w:rPr>
        <w:t xml:space="preserve"> vedotin</w:t>
      </w:r>
      <w:r w:rsidR="009A3F1D" w:rsidRPr="00E1521D">
        <w:rPr>
          <w:iCs/>
        </w:rPr>
        <w:t xml:space="preserve">. These changes resulted in an ICER of </w:t>
      </w:r>
      <w:r w:rsidR="004C7B13" w:rsidRPr="004C7B13">
        <w:rPr>
          <w:iCs/>
        </w:rPr>
        <w:t>$35,000 to &lt; $45,000</w:t>
      </w:r>
      <w:r w:rsidR="0038284B">
        <w:rPr>
          <w:iCs/>
        </w:rPr>
        <w:t xml:space="preserve"> </w:t>
      </w:r>
      <w:r w:rsidR="009A3F1D" w:rsidRPr="00E1521D">
        <w:rPr>
          <w:iCs/>
        </w:rPr>
        <w:t xml:space="preserve">per QALY for patients with an IPI score of 3-5. </w:t>
      </w:r>
      <w:r w:rsidR="007E1D0D">
        <w:rPr>
          <w:iCs/>
        </w:rPr>
        <w:t>However, t</w:t>
      </w:r>
      <w:r w:rsidR="009A3F1D" w:rsidRPr="007E1D0D">
        <w:rPr>
          <w:iCs/>
        </w:rPr>
        <w:t xml:space="preserve">he PBAC considered that the revised base case ICER remained optimistic as </w:t>
      </w:r>
      <w:r w:rsidR="00FA2A83" w:rsidRPr="007E1D0D">
        <w:rPr>
          <w:iCs/>
        </w:rPr>
        <w:t>it</w:t>
      </w:r>
      <w:r w:rsidR="00B80D22" w:rsidRPr="007E1D0D">
        <w:rPr>
          <w:iCs/>
        </w:rPr>
        <w:t xml:space="preserve"> was uncertain whether the modest benefit in </w:t>
      </w:r>
      <w:r w:rsidR="00050593" w:rsidRPr="007E1D0D">
        <w:rPr>
          <w:iCs/>
        </w:rPr>
        <w:t>PFS</w:t>
      </w:r>
      <w:r w:rsidR="00B80D22" w:rsidRPr="007E1D0D">
        <w:rPr>
          <w:iCs/>
        </w:rPr>
        <w:t xml:space="preserve"> would lead </w:t>
      </w:r>
      <w:r w:rsidR="00FA2A83" w:rsidRPr="007E1D0D">
        <w:rPr>
          <w:iCs/>
        </w:rPr>
        <w:t xml:space="preserve">to </w:t>
      </w:r>
      <w:r w:rsidR="00B80D22" w:rsidRPr="007E1D0D">
        <w:rPr>
          <w:iCs/>
        </w:rPr>
        <w:t xml:space="preserve">the modelled improvement in </w:t>
      </w:r>
      <w:r w:rsidR="00050593" w:rsidRPr="007E1D0D">
        <w:rPr>
          <w:iCs/>
        </w:rPr>
        <w:t>OS</w:t>
      </w:r>
      <w:r w:rsidR="00874BD2" w:rsidRPr="007E1D0D">
        <w:rPr>
          <w:iCs/>
        </w:rPr>
        <w:t>, which was not observed in the POLARIX trial</w:t>
      </w:r>
      <w:r w:rsidR="00B80D22" w:rsidRPr="007E1D0D">
        <w:rPr>
          <w:iCs/>
        </w:rPr>
        <w:t>.</w:t>
      </w:r>
    </w:p>
    <w:p w14:paraId="5C173342" w14:textId="5E903D3A" w:rsidR="00063B0F" w:rsidRDefault="00FA2A83" w:rsidP="00063B0F">
      <w:pPr>
        <w:pStyle w:val="3-BodyText"/>
        <w:ind w:left="720"/>
        <w:rPr>
          <w:iCs/>
        </w:rPr>
      </w:pPr>
      <w:r w:rsidRPr="00E1521D">
        <w:rPr>
          <w:iCs/>
        </w:rPr>
        <w:t xml:space="preserve">The PBAC considered that the estimated financial impact of listing polatuzumab </w:t>
      </w:r>
      <w:r w:rsidR="00C93D4F" w:rsidRPr="00E1521D">
        <w:rPr>
          <w:iCs/>
        </w:rPr>
        <w:t xml:space="preserve">vedotin </w:t>
      </w:r>
      <w:r w:rsidRPr="00E1521D">
        <w:rPr>
          <w:iCs/>
        </w:rPr>
        <w:t>was high</w:t>
      </w:r>
      <w:r w:rsidR="00D913D2" w:rsidRPr="00E1521D">
        <w:rPr>
          <w:iCs/>
        </w:rPr>
        <w:t xml:space="preserve"> (approximately </w:t>
      </w:r>
      <w:r w:rsidR="004C7B13" w:rsidRPr="004C7B13">
        <w:rPr>
          <w:iCs/>
        </w:rPr>
        <w:t>$100 million to &lt; $200 million</w:t>
      </w:r>
      <w:r w:rsidR="00436D6C">
        <w:rPr>
          <w:iCs/>
        </w:rPr>
        <w:t xml:space="preserve"> </w:t>
      </w:r>
      <w:r w:rsidR="00D913D2" w:rsidRPr="00E1521D">
        <w:rPr>
          <w:iCs/>
        </w:rPr>
        <w:t>over the first six years when using the estimates provided in the pre-PBAC response)</w:t>
      </w:r>
      <w:r w:rsidRPr="00E1521D">
        <w:rPr>
          <w:iCs/>
        </w:rPr>
        <w:t xml:space="preserve">, particularly when considered in the context of the </w:t>
      </w:r>
      <w:r w:rsidR="00827C94">
        <w:rPr>
          <w:iCs/>
        </w:rPr>
        <w:t xml:space="preserve">modest PFS benefit and </w:t>
      </w:r>
      <w:r w:rsidRPr="00E1521D">
        <w:rPr>
          <w:iCs/>
        </w:rPr>
        <w:t xml:space="preserve">lack of benefit in terms of </w:t>
      </w:r>
      <w:r w:rsidR="00050593" w:rsidRPr="00E1521D">
        <w:rPr>
          <w:iCs/>
        </w:rPr>
        <w:t>OS</w:t>
      </w:r>
      <w:r w:rsidRPr="00E1521D">
        <w:rPr>
          <w:iCs/>
        </w:rPr>
        <w:t>.</w:t>
      </w:r>
      <w:r w:rsidR="00063B0F">
        <w:rPr>
          <w:iCs/>
        </w:rPr>
        <w:t xml:space="preserve"> The PBAC noted the uncertainty with respect to the uptake rate and some of the parameters for defining the patient population as outlined in </w:t>
      </w:r>
      <w:r w:rsidR="00063B0F">
        <w:rPr>
          <w:iCs/>
        </w:rPr>
        <w:fldChar w:fldCharType="begin"/>
      </w:r>
      <w:r w:rsidR="00063B0F">
        <w:rPr>
          <w:iCs/>
        </w:rPr>
        <w:instrText xml:space="preserve"> REF _Ref120787237 \h </w:instrText>
      </w:r>
      <w:r w:rsidR="00063B0F">
        <w:rPr>
          <w:iCs/>
        </w:rPr>
      </w:r>
      <w:r w:rsidR="00063B0F">
        <w:rPr>
          <w:iCs/>
        </w:rPr>
        <w:fldChar w:fldCharType="separate"/>
      </w:r>
      <w:r w:rsidR="007F2580" w:rsidRPr="005B024E">
        <w:t xml:space="preserve">Table </w:t>
      </w:r>
      <w:r w:rsidR="007F2580">
        <w:rPr>
          <w:noProof/>
        </w:rPr>
        <w:t>13</w:t>
      </w:r>
      <w:r w:rsidR="00063B0F">
        <w:rPr>
          <w:iCs/>
        </w:rPr>
        <w:fldChar w:fldCharType="end"/>
      </w:r>
      <w:r w:rsidR="00063B0F">
        <w:rPr>
          <w:iCs/>
        </w:rPr>
        <w:t>.</w:t>
      </w:r>
      <w:r w:rsidR="00D913D2" w:rsidRPr="00E1521D">
        <w:rPr>
          <w:iCs/>
        </w:rPr>
        <w:t xml:space="preserve"> The PBAC also considered that there was a considerable financial risk should polatuzumab vedotin be used in the broader DLBCL population with lower IPI scores.</w:t>
      </w:r>
      <w:r w:rsidR="00583C18" w:rsidRPr="00E1521D">
        <w:rPr>
          <w:iCs/>
        </w:rPr>
        <w:t xml:space="preserve"> </w:t>
      </w:r>
      <w:bookmarkEnd w:id="76"/>
    </w:p>
    <w:p w14:paraId="0A01FA56" w14:textId="22B3858D" w:rsidR="006323A5" w:rsidRPr="00063B0F" w:rsidRDefault="006323A5" w:rsidP="00063B0F">
      <w:pPr>
        <w:pStyle w:val="3-BodyText"/>
        <w:ind w:left="720"/>
        <w:rPr>
          <w:iCs/>
        </w:rPr>
      </w:pPr>
      <w:r w:rsidRPr="00063B0F">
        <w:rPr>
          <w:bCs/>
          <w:lang w:val="en-GB" w:eastAsia="en-US"/>
        </w:rPr>
        <w:lastRenderedPageBreak/>
        <w:t>The resubmission may be lodged at any future standard due date for PBAC submissions using the standard re-entry pathway.</w:t>
      </w:r>
    </w:p>
    <w:p w14:paraId="4EABE98C" w14:textId="77777777" w:rsidR="00C93D4F" w:rsidRPr="00E1521D" w:rsidRDefault="00FF7E35" w:rsidP="00E1521D">
      <w:pPr>
        <w:pStyle w:val="3-BodyText"/>
        <w:ind w:left="720"/>
        <w:rPr>
          <w:iCs/>
        </w:rPr>
      </w:pPr>
      <w:r w:rsidRPr="00E1521D">
        <w:rPr>
          <w:iCs/>
        </w:rPr>
        <w:t xml:space="preserve">The PBAC noted that this submission is eligible for an Independent Review. </w:t>
      </w:r>
    </w:p>
    <w:p w14:paraId="4FFC7062" w14:textId="77777777" w:rsidR="00FF7E35" w:rsidRPr="00FF7E35" w:rsidRDefault="00FF7E35" w:rsidP="00FF7E35">
      <w:pPr>
        <w:spacing w:before="240"/>
        <w:rPr>
          <w:rFonts w:asciiTheme="minorHAnsi" w:hAnsiTheme="minorHAnsi"/>
          <w:b/>
          <w:bCs/>
          <w:snapToGrid w:val="0"/>
          <w:lang w:val="en-GB" w:eastAsia="en-US"/>
        </w:rPr>
      </w:pPr>
      <w:r w:rsidRPr="00FF7E35">
        <w:rPr>
          <w:rFonts w:asciiTheme="minorHAnsi" w:hAnsiTheme="minorHAnsi"/>
          <w:b/>
          <w:bCs/>
          <w:snapToGrid w:val="0"/>
          <w:lang w:val="en-GB" w:eastAsia="en-US"/>
        </w:rPr>
        <w:t>Outcome:</w:t>
      </w:r>
    </w:p>
    <w:p w14:paraId="227036D2" w14:textId="4E186851" w:rsidR="00FF7E35" w:rsidRDefault="00FF7E35" w:rsidP="00FF7E35">
      <w:pPr>
        <w:spacing w:after="120"/>
        <w:rPr>
          <w:rFonts w:asciiTheme="minorHAnsi" w:hAnsiTheme="minorHAnsi"/>
          <w:bCs/>
          <w:snapToGrid w:val="0"/>
          <w:lang w:val="en-GB" w:eastAsia="en-US"/>
        </w:rPr>
      </w:pPr>
      <w:r w:rsidRPr="00FF7E35">
        <w:rPr>
          <w:rFonts w:asciiTheme="minorHAnsi" w:hAnsiTheme="minorHAnsi"/>
          <w:bCs/>
          <w:snapToGrid w:val="0"/>
          <w:lang w:val="en-GB" w:eastAsia="en-US"/>
        </w:rPr>
        <w:t xml:space="preserve">Not recommended </w:t>
      </w:r>
    </w:p>
    <w:p w14:paraId="1966BCCD" w14:textId="7C5E17E1" w:rsidR="004E315A" w:rsidRDefault="004E315A" w:rsidP="00FF7E35">
      <w:pPr>
        <w:spacing w:after="120"/>
        <w:rPr>
          <w:rFonts w:asciiTheme="minorHAnsi" w:hAnsiTheme="minorHAnsi"/>
          <w:bCs/>
          <w:snapToGrid w:val="0"/>
          <w:lang w:val="en-GB" w:eastAsia="en-US"/>
        </w:rPr>
      </w:pPr>
    </w:p>
    <w:p w14:paraId="19D4E7A5" w14:textId="05FE83D4" w:rsidR="004E315A" w:rsidRPr="004E315A" w:rsidRDefault="004E315A" w:rsidP="004E315A">
      <w:pPr>
        <w:pStyle w:val="2-SectionHeading"/>
      </w:pPr>
      <w:r w:rsidRPr="00C07617">
        <w:t>Context for Decision</w:t>
      </w:r>
    </w:p>
    <w:p w14:paraId="17C76575" w14:textId="77777777" w:rsidR="004E315A" w:rsidRPr="007129F2" w:rsidRDefault="004E315A" w:rsidP="004E315A">
      <w:pPr>
        <w:spacing w:after="120"/>
        <w:ind w:left="680"/>
        <w:rPr>
          <w:rFonts w:asciiTheme="minorHAnsi" w:hAnsiTheme="minorHAnsi"/>
          <w:bCs/>
          <w:lang w:val="en-GB"/>
        </w:rPr>
      </w:pPr>
      <w:r w:rsidRPr="004E315A">
        <w:rPr>
          <w:rFonts w:asciiTheme="minorHAnsi" w:hAnsiTheme="minorHAnsi"/>
          <w:iCs/>
          <w:snapToGrid w:val="0"/>
        </w:rPr>
        <w:t>The PBAC helps decide</w:t>
      </w:r>
      <w:r w:rsidRPr="007129F2">
        <w:rPr>
          <w:rFonts w:asciiTheme="minorHAnsi" w:hAnsiTheme="minorHAnsi"/>
          <w:bCs/>
          <w:lang w:val="en-GB"/>
        </w:rPr>
        <w:t xml:space="preserv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78C078A" w14:textId="73972995" w:rsidR="004E315A" w:rsidRPr="004E315A" w:rsidRDefault="004E315A" w:rsidP="004E315A">
      <w:pPr>
        <w:pStyle w:val="2-SectionHeading"/>
      </w:pPr>
      <w:r>
        <w:t>Sponsor’s Comment</w:t>
      </w:r>
    </w:p>
    <w:p w14:paraId="4B6D8F3A" w14:textId="77777777" w:rsidR="004E315A" w:rsidRPr="001179AC" w:rsidRDefault="004E315A" w:rsidP="00742C06">
      <w:pPr>
        <w:spacing w:after="120"/>
        <w:ind w:left="596" w:firstLine="84"/>
        <w:rPr>
          <w:rFonts w:asciiTheme="minorHAnsi" w:hAnsiTheme="minorHAnsi"/>
          <w:bCs/>
        </w:rPr>
      </w:pPr>
      <w:r w:rsidRPr="00C07617">
        <w:rPr>
          <w:rFonts w:asciiTheme="minorHAnsi" w:hAnsiTheme="minorHAnsi"/>
          <w:bCs/>
        </w:rPr>
        <w:t>The sponsor had no comment.</w:t>
      </w:r>
    </w:p>
    <w:bookmarkEnd w:id="2"/>
    <w:bookmarkEnd w:id="74"/>
    <w:bookmarkEnd w:id="75"/>
    <w:p w14:paraId="40C71FD4" w14:textId="77777777" w:rsidR="004E315A" w:rsidRPr="00FF7E35" w:rsidRDefault="004E315A" w:rsidP="00FF7E35">
      <w:pPr>
        <w:spacing w:after="120"/>
        <w:rPr>
          <w:rFonts w:asciiTheme="minorHAnsi" w:hAnsiTheme="minorHAnsi"/>
          <w:bCs/>
          <w:snapToGrid w:val="0"/>
          <w:lang w:val="en-GB" w:eastAsia="en-US"/>
        </w:rPr>
      </w:pPr>
    </w:p>
    <w:sectPr w:rsidR="004E315A" w:rsidRPr="00FF7E35" w:rsidSect="006C2875">
      <w:type w:val="continuous"/>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E8B76" w14:textId="77777777" w:rsidR="00B224AA" w:rsidRDefault="00B224AA" w:rsidP="00124A51">
      <w:r>
        <w:separator/>
      </w:r>
    </w:p>
    <w:p w14:paraId="23390B61" w14:textId="77777777" w:rsidR="00B224AA" w:rsidRDefault="00B224AA"/>
  </w:endnote>
  <w:endnote w:type="continuationSeparator" w:id="0">
    <w:p w14:paraId="7CD17FA0" w14:textId="77777777" w:rsidR="00B224AA" w:rsidRDefault="00B224AA" w:rsidP="00124A51">
      <w:r>
        <w:continuationSeparator/>
      </w:r>
    </w:p>
    <w:p w14:paraId="0C1A2413" w14:textId="77777777" w:rsidR="00B224AA" w:rsidRDefault="00B22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6C0A7" w14:textId="77777777" w:rsidR="00C47EAF" w:rsidRDefault="00C47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34479" w14:textId="77777777" w:rsidR="00B224AA" w:rsidRDefault="00B224AA" w:rsidP="00753B29">
    <w:pPr>
      <w:pStyle w:val="Footer"/>
      <w:jc w:val="center"/>
    </w:pPr>
  </w:p>
  <w:p w14:paraId="0226CF0C" w14:textId="09C6C514" w:rsidR="00B224AA" w:rsidRPr="007C1CD9" w:rsidRDefault="007F2580" w:rsidP="00753B29">
    <w:pPr>
      <w:pStyle w:val="Footer"/>
      <w:jc w:val="center"/>
    </w:pPr>
    <w:sdt>
      <w:sdtPr>
        <w:id w:val="1199202865"/>
        <w:docPartObj>
          <w:docPartGallery w:val="Page Numbers (Bottom of Page)"/>
          <w:docPartUnique/>
        </w:docPartObj>
      </w:sdtPr>
      <w:sdtEndPr>
        <w:rPr>
          <w:noProof/>
        </w:rPr>
      </w:sdtEndPr>
      <w:sdtContent>
        <w:r w:rsidR="00B224AA" w:rsidRPr="003C0896">
          <w:rPr>
            <w:b/>
            <w:bCs/>
          </w:rPr>
          <w:fldChar w:fldCharType="begin"/>
        </w:r>
        <w:r w:rsidR="00B224AA" w:rsidRPr="003C0896">
          <w:rPr>
            <w:b/>
            <w:bCs/>
          </w:rPr>
          <w:instrText xml:space="preserve"> PAGE   \* MERGEFORMAT </w:instrText>
        </w:r>
        <w:r w:rsidR="00B224AA" w:rsidRPr="003C0896">
          <w:rPr>
            <w:b/>
            <w:bCs/>
          </w:rPr>
          <w:fldChar w:fldCharType="separate"/>
        </w:r>
        <w:r w:rsidR="00B01B81">
          <w:rPr>
            <w:b/>
            <w:bCs/>
            <w:noProof/>
          </w:rPr>
          <w:t>2</w:t>
        </w:r>
        <w:r w:rsidR="00B224AA" w:rsidRPr="003C0896">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0F43" w14:textId="77777777" w:rsidR="00C47EAF" w:rsidRDefault="00C47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1A8A9" w14:textId="77777777" w:rsidR="00B224AA" w:rsidRDefault="00B224AA" w:rsidP="00124A51">
      <w:r>
        <w:separator/>
      </w:r>
    </w:p>
    <w:p w14:paraId="04001E16" w14:textId="77777777" w:rsidR="00B224AA" w:rsidRDefault="00B224AA"/>
  </w:footnote>
  <w:footnote w:type="continuationSeparator" w:id="0">
    <w:p w14:paraId="6A11D4C4" w14:textId="77777777" w:rsidR="00B224AA" w:rsidRDefault="00B224AA" w:rsidP="00124A51">
      <w:r>
        <w:continuationSeparator/>
      </w:r>
    </w:p>
    <w:p w14:paraId="491C571E" w14:textId="77777777" w:rsidR="00B224AA" w:rsidRDefault="00B224AA"/>
  </w:footnote>
  <w:footnote w:id="1">
    <w:p w14:paraId="2AD543E2" w14:textId="7F95EECE" w:rsidR="00B224AA" w:rsidRPr="00456E51" w:rsidRDefault="00B224AA">
      <w:pPr>
        <w:pStyle w:val="FootnoteText"/>
        <w:rPr>
          <w:i/>
          <w:iCs/>
        </w:rPr>
      </w:pPr>
      <w:r w:rsidRPr="00456E51">
        <w:rPr>
          <w:rStyle w:val="FootnoteReference"/>
          <w:i/>
          <w:iCs/>
        </w:rPr>
        <w:footnoteRef/>
      </w:r>
      <w:r w:rsidRPr="00456E51">
        <w:rPr>
          <w:i/>
          <w:iCs/>
        </w:rPr>
        <w:t xml:space="preserve"> Note:</w:t>
      </w:r>
      <w:r>
        <w:rPr>
          <w:i/>
          <w:iCs/>
        </w:rPr>
        <w:t xml:space="preserve"> The indication</w:t>
      </w:r>
      <w:r w:rsidRPr="00456E51">
        <w:rPr>
          <w:i/>
          <w:iCs/>
        </w:rPr>
        <w:t xml:space="preserve"> has </w:t>
      </w:r>
      <w:r>
        <w:rPr>
          <w:i/>
          <w:iCs/>
        </w:rPr>
        <w:t xml:space="preserve">subsequently been </w:t>
      </w:r>
      <w:r w:rsidRPr="00456E51">
        <w:rPr>
          <w:i/>
          <w:iCs/>
        </w:rPr>
        <w:t xml:space="preserve">approved </w:t>
      </w:r>
      <w:r>
        <w:rPr>
          <w:i/>
          <w:iCs/>
        </w:rPr>
        <w:t>and</w:t>
      </w:r>
      <w:r w:rsidRPr="00456E51">
        <w:rPr>
          <w:i/>
          <w:iCs/>
        </w:rPr>
        <w:t xml:space="preserve"> is </w:t>
      </w:r>
      <w:r w:rsidRPr="00626FF0">
        <w:rPr>
          <w:i/>
          <w:iCs/>
        </w:rPr>
        <w:t xml:space="preserve">now </w:t>
      </w:r>
      <w:r w:rsidR="00B01B81" w:rsidRPr="00626FF0">
        <w:rPr>
          <w:i/>
          <w:iCs/>
        </w:rPr>
        <w:t>registered on the</w:t>
      </w:r>
      <w:r w:rsidRPr="00626FF0">
        <w:rPr>
          <w:i/>
          <w:iCs/>
        </w:rPr>
        <w:t xml:space="preserve"> ARTG</w:t>
      </w:r>
      <w:r w:rsidR="00B01B81" w:rsidRPr="00626FF0">
        <w:rPr>
          <w:i/>
          <w:iCs/>
        </w:rPr>
        <w:t>.</w:t>
      </w:r>
    </w:p>
  </w:footnote>
  <w:footnote w:id="2">
    <w:p w14:paraId="5F18A805" w14:textId="77777777" w:rsidR="00B224AA" w:rsidRDefault="00B224AA" w:rsidP="00245D75">
      <w:pPr>
        <w:pStyle w:val="TableText0"/>
      </w:pPr>
      <w:r>
        <w:rPr>
          <w:rStyle w:val="FootnoteReference"/>
        </w:rPr>
        <w:footnoteRef/>
      </w:r>
      <w:r w:rsidRPr="00DB2288">
        <w:t>Tilly, H., et al. "Diffuse large B-cell lymphoma (DLBCL): ESMO Clinical Practice Guidelines for diagnosis, treatment and follow-up." Annals of oncology 26 (2015): v116-v125.</w:t>
      </w:r>
    </w:p>
  </w:footnote>
  <w:footnote w:id="3">
    <w:p w14:paraId="5F0AF919" w14:textId="77777777" w:rsidR="00B224AA" w:rsidRDefault="00B224AA" w:rsidP="00651A7E">
      <w:pPr>
        <w:pStyle w:val="TableText0"/>
        <w:keepNext w:val="0"/>
      </w:pPr>
      <w:r>
        <w:rPr>
          <w:rStyle w:val="FootnoteReference"/>
        </w:rPr>
        <w:footnoteRef/>
      </w:r>
      <w:r>
        <w:t xml:space="preserve"> Duhrsen, U., S. Muller, B. Hertenstein, et al. 2018. "Positron Emission Tomography-Guided Therapy of Aggressive Non-Hodgkin Lymphomas (PETAL): A Multicenter, Randomized Phase III Trial." J Clin Oncol 36(20):2024-2034.</w:t>
      </w:r>
    </w:p>
  </w:footnote>
  <w:footnote w:id="4">
    <w:p w14:paraId="3B41D328" w14:textId="77777777" w:rsidR="00B224AA" w:rsidRDefault="00B224AA" w:rsidP="001E0434">
      <w:pPr>
        <w:pStyle w:val="TableText0"/>
      </w:pPr>
      <w:r>
        <w:rPr>
          <w:rStyle w:val="FootnoteReference"/>
        </w:rPr>
        <w:footnoteRef/>
      </w:r>
      <w:r>
        <w:t xml:space="preserve"> Rosenwald, Wright, et al. (2002). "The Use of Molecular Profiling to Predict Survival after Chemotherapy for Diffuse Large-B-Cell Lymphoma." N Engl J Med 346(25): 1937-1947.</w:t>
      </w:r>
    </w:p>
  </w:footnote>
  <w:footnote w:id="5">
    <w:p w14:paraId="71D9821E" w14:textId="77777777" w:rsidR="00B224AA" w:rsidRDefault="00B224AA" w:rsidP="001E0434">
      <w:pPr>
        <w:pStyle w:val="TableText0"/>
      </w:pPr>
      <w:r>
        <w:rPr>
          <w:rStyle w:val="FootnoteReference"/>
        </w:rPr>
        <w:footnoteRef/>
      </w:r>
      <w:r>
        <w:t xml:space="preserve"> Rutherford and Leonard (2018). "Dlbcl Cell of Origin: What Role Should It Play in Care Today?" Oncology 32(9): 445-449</w:t>
      </w:r>
    </w:p>
  </w:footnote>
  <w:footnote w:id="6">
    <w:p w14:paraId="2B2786D7" w14:textId="77777777" w:rsidR="00B224AA" w:rsidRPr="004A12DE" w:rsidRDefault="00B224AA" w:rsidP="0069020A">
      <w:pPr>
        <w:pStyle w:val="TableText0"/>
        <w:rPr>
          <w:noProof/>
        </w:rPr>
      </w:pPr>
      <w:r>
        <w:rPr>
          <w:rStyle w:val="FootnoteReference"/>
        </w:rPr>
        <w:footnoteRef/>
      </w:r>
      <w:r>
        <w:t xml:space="preserve"> </w:t>
      </w:r>
      <w:r>
        <w:fldChar w:fldCharType="begin"/>
      </w:r>
      <w:r>
        <w:instrText xml:space="preserve"> ADDIN EN.REFLIST </w:instrText>
      </w:r>
      <w:r>
        <w:fldChar w:fldCharType="separate"/>
      </w:r>
      <w:r w:rsidRPr="004A12DE">
        <w:rPr>
          <w:noProof/>
        </w:rPr>
        <w:t>Assouline, Wiesinger</w:t>
      </w:r>
      <w:r w:rsidRPr="004A12DE">
        <w:rPr>
          <w:i/>
          <w:noProof/>
        </w:rPr>
        <w:t>, et al.</w:t>
      </w:r>
      <w:r w:rsidRPr="004A12DE">
        <w:rPr>
          <w:noProof/>
        </w:rPr>
        <w:t xml:space="preserve"> (2022). "Validity of Event-Free Survival as a Surrogate Endpoint in Haematological Malignancy: Review of the Literature and Health Technology Assessments." </w:t>
      </w:r>
      <w:r w:rsidRPr="004A12DE">
        <w:rPr>
          <w:noProof/>
          <w:u w:val="single"/>
        </w:rPr>
        <w:t>Critical Reviews in Oncology/Hematology</w:t>
      </w:r>
      <w:r w:rsidRPr="004A12DE">
        <w:rPr>
          <w:noProof/>
        </w:rPr>
        <w:t>: 103711.</w:t>
      </w:r>
    </w:p>
    <w:p w14:paraId="266CB635" w14:textId="77777777" w:rsidR="00B224AA" w:rsidRPr="004A12DE" w:rsidRDefault="00B224AA" w:rsidP="0069020A">
      <w:pPr>
        <w:pStyle w:val="TableText0"/>
        <w:rPr>
          <w:noProof/>
        </w:rPr>
      </w:pPr>
      <w:r w:rsidRPr="004A12DE">
        <w:rPr>
          <w:noProof/>
        </w:rPr>
        <w:t>Maurer, Ghesquières</w:t>
      </w:r>
      <w:r w:rsidRPr="004A12DE">
        <w:rPr>
          <w:i/>
          <w:noProof/>
        </w:rPr>
        <w:t>, et al.</w:t>
      </w:r>
      <w:r w:rsidRPr="004A12DE">
        <w:rPr>
          <w:noProof/>
        </w:rPr>
        <w:t xml:space="preserve"> (2014). "Event-Free Survival at 24 Months Is a Robust End Point for Disease-Related Outcome in Diffuse Large B-Cell Lymphoma Treated with Immunochemotherapy." </w:t>
      </w:r>
      <w:r w:rsidRPr="004A12DE">
        <w:rPr>
          <w:noProof/>
          <w:u w:val="single"/>
        </w:rPr>
        <w:t>Journal of Clinical Oncology</w:t>
      </w:r>
      <w:r w:rsidRPr="004A12DE">
        <w:rPr>
          <w:noProof/>
        </w:rPr>
        <w:t xml:space="preserve"> </w:t>
      </w:r>
      <w:r w:rsidRPr="004A12DE">
        <w:rPr>
          <w:b/>
          <w:noProof/>
        </w:rPr>
        <w:t>32</w:t>
      </w:r>
      <w:r w:rsidRPr="004A12DE">
        <w:rPr>
          <w:noProof/>
        </w:rPr>
        <w:t>(10): 1066.</w:t>
      </w:r>
    </w:p>
    <w:p w14:paraId="3396C966" w14:textId="77777777" w:rsidR="00B224AA" w:rsidRDefault="00B224AA" w:rsidP="0069020A">
      <w:pPr>
        <w:pStyle w:val="TableText0"/>
      </w:pPr>
      <w:r w:rsidRPr="004A12DE">
        <w:rPr>
          <w:noProof/>
        </w:rPr>
        <w:t>Witzig, LaPlant</w:t>
      </w:r>
      <w:r w:rsidRPr="004A12DE">
        <w:rPr>
          <w:i/>
          <w:noProof/>
        </w:rPr>
        <w:t>, et al.</w:t>
      </w:r>
      <w:r w:rsidRPr="004A12DE">
        <w:rPr>
          <w:noProof/>
        </w:rPr>
        <w:t xml:space="preserve"> (2017). "High Rate of Event-Free Survival at 24 Months with Everolimus/Rchop for Untreated Diffuse Large B-Cell Lymphoma: Updated Results from Ncctg N1085 (Alliance)." </w:t>
      </w:r>
      <w:r w:rsidRPr="004A12DE">
        <w:rPr>
          <w:noProof/>
          <w:u w:val="single"/>
        </w:rPr>
        <w:t>Blood cancer journal</w:t>
      </w:r>
      <w:r w:rsidRPr="004A12DE">
        <w:rPr>
          <w:noProof/>
        </w:rPr>
        <w:t xml:space="preserve"> </w:t>
      </w:r>
      <w:r w:rsidRPr="004A12DE">
        <w:rPr>
          <w:b/>
          <w:noProof/>
        </w:rPr>
        <w:t>7</w:t>
      </w:r>
      <w:r w:rsidRPr="004A12DE">
        <w:rPr>
          <w:noProof/>
        </w:rPr>
        <w:t>(6): e576-e576.</w:t>
      </w:r>
      <w:r>
        <w:fldChar w:fldCharType="end"/>
      </w:r>
    </w:p>
  </w:footnote>
  <w:footnote w:id="7">
    <w:p w14:paraId="69592B6D" w14:textId="77777777" w:rsidR="00B224AA" w:rsidRDefault="00B224AA" w:rsidP="009E18F6">
      <w:pPr>
        <w:pStyle w:val="TableText0"/>
        <w:rPr>
          <w:noProof/>
        </w:rPr>
      </w:pPr>
      <w:r>
        <w:rPr>
          <w:rStyle w:val="FootnoteReference"/>
        </w:rPr>
        <w:footnoteRef/>
      </w:r>
      <w:r>
        <w:t xml:space="preserve"> </w:t>
      </w:r>
      <w:r w:rsidRPr="00F934F2">
        <w:rPr>
          <w:noProof/>
        </w:rPr>
        <w:t>Maurer, Ghesquieres</w:t>
      </w:r>
      <w:r w:rsidRPr="00F934F2">
        <w:rPr>
          <w:i/>
          <w:noProof/>
        </w:rPr>
        <w:t>, et al.</w:t>
      </w:r>
      <w:r w:rsidRPr="00F934F2">
        <w:rPr>
          <w:noProof/>
        </w:rPr>
        <w:t xml:space="preserve"> (2014). "Event-Free Survival at 24 Months Is a Robust End Point for Disease-Related Outcome in Diffuse Large B-Cell Lymphoma Treated with Immunochemotherapy." </w:t>
      </w:r>
      <w:r w:rsidRPr="00F934F2">
        <w:rPr>
          <w:noProof/>
          <w:u w:val="single"/>
        </w:rPr>
        <w:t>J Clin Oncol</w:t>
      </w:r>
      <w:r w:rsidRPr="00F934F2">
        <w:rPr>
          <w:noProof/>
        </w:rPr>
        <w:t xml:space="preserve"> </w:t>
      </w:r>
      <w:r w:rsidRPr="00F934F2">
        <w:rPr>
          <w:b/>
          <w:noProof/>
        </w:rPr>
        <w:t>32</w:t>
      </w:r>
      <w:r w:rsidRPr="00F934F2">
        <w:rPr>
          <w:noProof/>
        </w:rPr>
        <w:t>(10): 1066-1073.</w:t>
      </w:r>
    </w:p>
  </w:footnote>
  <w:footnote w:id="8">
    <w:p w14:paraId="2756D5C5" w14:textId="77777777" w:rsidR="00B224AA" w:rsidRDefault="00B224AA" w:rsidP="009E18F6">
      <w:pPr>
        <w:pStyle w:val="TableText0"/>
        <w:rPr>
          <w:noProof/>
        </w:rPr>
      </w:pPr>
      <w:r>
        <w:rPr>
          <w:rStyle w:val="FootnoteReference"/>
        </w:rPr>
        <w:footnoteRef/>
      </w:r>
      <w:r>
        <w:t xml:space="preserve"> </w:t>
      </w:r>
      <w:r w:rsidRPr="00F934F2">
        <w:rPr>
          <w:noProof/>
        </w:rPr>
        <w:t>Maurer, Habermann</w:t>
      </w:r>
      <w:r w:rsidRPr="00F934F2">
        <w:rPr>
          <w:i/>
          <w:noProof/>
        </w:rPr>
        <w:t>, et al.</w:t>
      </w:r>
      <w:r w:rsidRPr="00F934F2">
        <w:rPr>
          <w:noProof/>
        </w:rPr>
        <w:t xml:space="preserve"> (2018). "Progression-Free Survival at 24 Months (Pfs24) and Subsequent Outcome for Patients with Diffuse Large B-Cell Lymphoma (Dlbcl) Enrolled on Randomized Clinical Trials." </w:t>
      </w:r>
      <w:r w:rsidRPr="00F934F2">
        <w:rPr>
          <w:noProof/>
          <w:u w:val="single"/>
        </w:rPr>
        <w:t>Ann Oncol</w:t>
      </w:r>
      <w:r w:rsidRPr="00F934F2">
        <w:rPr>
          <w:noProof/>
        </w:rPr>
        <w:t xml:space="preserve"> </w:t>
      </w:r>
      <w:r w:rsidRPr="00F934F2">
        <w:rPr>
          <w:b/>
          <w:noProof/>
        </w:rPr>
        <w:t>29</w:t>
      </w:r>
      <w:r w:rsidRPr="00F934F2">
        <w:rPr>
          <w:noProof/>
        </w:rPr>
        <w:t>(8): 1822-1827.</w:t>
      </w:r>
    </w:p>
  </w:footnote>
  <w:footnote w:id="9">
    <w:p w14:paraId="2C46BD64" w14:textId="77777777" w:rsidR="00B224AA" w:rsidRDefault="00B224AA" w:rsidP="003864EF">
      <w:pPr>
        <w:pStyle w:val="TableText0"/>
      </w:pPr>
      <w:r w:rsidRPr="00732BD0">
        <w:rPr>
          <w:rStyle w:val="FootnoteReference"/>
        </w:rPr>
        <w:footnoteRef/>
      </w:r>
      <w:r w:rsidRPr="00732BD0">
        <w:rPr>
          <w:noProof/>
        </w:rPr>
        <w:t>Srour, Zheng</w:t>
      </w:r>
      <w:r w:rsidRPr="00732BD0">
        <w:rPr>
          <w:i/>
          <w:noProof/>
        </w:rPr>
        <w:t>, et al.</w:t>
      </w:r>
      <w:r w:rsidRPr="00732BD0">
        <w:rPr>
          <w:noProof/>
        </w:rPr>
        <w:t xml:space="preserve"> (2016). Efs24 as a Predictor of Outcome in a Population-Based Cohort of Patients with Dlbcl in British Columbia (Bc), American Society of Clinical Oncology.</w:t>
      </w:r>
      <w:r w:rsidRPr="0069020A">
        <w:t xml:space="preserve"> </w:t>
      </w:r>
    </w:p>
    <w:p w14:paraId="30DC658B" w14:textId="77777777" w:rsidR="00B224AA" w:rsidRDefault="00B224AA" w:rsidP="003864EF">
      <w:pPr>
        <w:pStyle w:val="TableText0"/>
        <w:rPr>
          <w:noProof/>
        </w:rPr>
      </w:pPr>
      <w:r>
        <w:rPr>
          <w:noProof/>
        </w:rPr>
        <w:t>Jakobsen, Bøgsted, et al. (2017). "Minimal Loss of Lifetime for Patients with Diffuse Large B-Cell Lymphoma in Remission and Event Free 24 Months after Treatment: A Danish Population-Based Study." J Clin Oncol 35(7): 778-784.</w:t>
      </w:r>
    </w:p>
    <w:p w14:paraId="12305287" w14:textId="77777777" w:rsidR="00B224AA" w:rsidRPr="00732BD0" w:rsidRDefault="00B224AA" w:rsidP="003864EF">
      <w:pPr>
        <w:pStyle w:val="TableText0"/>
        <w:rPr>
          <w:noProof/>
        </w:rPr>
      </w:pPr>
      <w:r>
        <w:rPr>
          <w:noProof/>
        </w:rPr>
        <w:t>Abu Sabaa, Mörth, et al. (2021). "Age Is the Most Important Predictor of Survival in Diffuse Large B-Cell Lymphoma Patients Achieving Event-Free Survival at 24 Months: A Swedish Population-Based Study." British Journal of Haematology 193(5): 906-914.</w:t>
      </w:r>
    </w:p>
  </w:footnote>
  <w:footnote w:id="10">
    <w:p w14:paraId="64E0C422" w14:textId="77777777" w:rsidR="00B224AA" w:rsidRPr="009C54DB" w:rsidRDefault="00B224AA" w:rsidP="00255F9A">
      <w:pPr>
        <w:pStyle w:val="FootnoteText"/>
        <w:rPr>
          <w:lang w:val="en-US"/>
        </w:rPr>
      </w:pPr>
      <w:r>
        <w:rPr>
          <w:rStyle w:val="FootnoteReference"/>
        </w:rPr>
        <w:footnoteRef/>
      </w:r>
      <w:r>
        <w:t xml:space="preserve"> </w:t>
      </w:r>
      <w:r w:rsidRPr="009C54DB">
        <w:t>Australian Institute of Health and Welfare (AIHW) 2022 Cancer Data in Australia; Canberra: AIHW. &lt;https://www.aihw.gov.au/reports/cancer/cancer-data-in-australia/&gt;.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9EFB" w14:textId="77777777" w:rsidR="00C47EAF" w:rsidRDefault="00C47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7A2AA" w14:textId="38389191" w:rsidR="00B224AA" w:rsidRPr="00195452" w:rsidRDefault="00B224AA" w:rsidP="00F811DD">
    <w:pPr>
      <w:pStyle w:val="Header"/>
      <w:rPr>
        <w:rFonts w:asciiTheme="minorHAnsi" w:hAnsiTheme="minorHAnsi"/>
        <w:i/>
        <w:color w:val="808080"/>
      </w:rPr>
    </w:pPr>
    <w:r>
      <w:rPr>
        <w:rFonts w:asciiTheme="minorHAnsi" w:hAnsiTheme="minorHAnsi" w:cstheme="minorHAnsi"/>
        <w:i/>
        <w:color w:val="808080"/>
      </w:rPr>
      <w:t>Public Summary Document</w:t>
    </w:r>
    <w:r>
      <w:rPr>
        <w:rFonts w:asciiTheme="minorHAnsi" w:hAnsiTheme="minorHAnsi"/>
        <w:i/>
        <w:color w:val="808080"/>
      </w:rPr>
      <w:t xml:space="preserve"> - November 2022 </w:t>
    </w:r>
    <w:r w:rsidRPr="00195452">
      <w:rPr>
        <w:rFonts w:asciiTheme="minorHAnsi" w:hAnsiTheme="minorHAnsi"/>
        <w:i/>
        <w:color w:val="808080"/>
      </w:rPr>
      <w:t>PBAC Meeting</w:t>
    </w:r>
  </w:p>
  <w:p w14:paraId="6F59A66D" w14:textId="77777777" w:rsidR="00B224AA" w:rsidRPr="008C7ECB" w:rsidRDefault="00B224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13F36" w14:textId="77777777" w:rsidR="00C47EAF" w:rsidRDefault="00C47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D5CAC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C50BFF"/>
    <w:multiLevelType w:val="hybridMultilevel"/>
    <w:tmpl w:val="6380AA68"/>
    <w:lvl w:ilvl="0" w:tplc="A9BE7B7A">
      <w:start w:val="1"/>
      <w:numFmt w:val="bullet"/>
      <w:pStyle w:val="EndNoteBibliography"/>
      <w:lvlText w:val=""/>
      <w:lvlJc w:val="left"/>
      <w:pPr>
        <w:ind w:left="149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1F795B"/>
    <w:multiLevelType w:val="multilevel"/>
    <w:tmpl w:val="B00656D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304334C"/>
    <w:multiLevelType w:val="hybridMultilevel"/>
    <w:tmpl w:val="314A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8D67A6"/>
    <w:multiLevelType w:val="hybridMultilevel"/>
    <w:tmpl w:val="D9981F30"/>
    <w:lvl w:ilvl="0" w:tplc="E72E7D28">
      <w:start w:val="1"/>
      <w:numFmt w:val="bullet"/>
      <w:pStyle w:val="ListParagraph"/>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145"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D283CAC"/>
    <w:multiLevelType w:val="hybridMultilevel"/>
    <w:tmpl w:val="C1CC5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0"/>
  </w:num>
  <w:num w:numId="5">
    <w:abstractNumId w:val="8"/>
  </w:num>
  <w:num w:numId="6">
    <w:abstractNumId w:val="7"/>
  </w:num>
  <w:num w:numId="7">
    <w:abstractNumId w:val="1"/>
  </w:num>
  <w:num w:numId="8">
    <w:abstractNumId w:val="9"/>
  </w:num>
  <w:num w:numId="9">
    <w:abstractNumId w:val="6"/>
  </w:num>
  <w:num w:numId="10">
    <w:abstractNumId w:val="2"/>
  </w:num>
  <w:num w:numId="11">
    <w:abstractNumId w:val="8"/>
  </w:num>
  <w:num w:numId="12">
    <w:abstractNumId w:val="8"/>
  </w:num>
  <w:num w:numId="1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zM1NzG2NDMzsrBQ0lEKTi0uzszPAykwrAUAExmfzCwAAAA="/>
    <w:docVar w:name="EN.InstantFormat" w:val="&lt;ENInstantFormat&gt;&lt;Enabled&gt;1&lt;/Enabled&gt;&lt;ScanUnformatted&gt;1&lt;/ScanUnformatted&gt;&lt;ScanChanges&gt;1&lt;/ScanChanges&gt;&lt;Suspended&gt;1&lt;/Suspended&gt;&lt;/ENInstantFormat&gt;"/>
    <w:docVar w:name="EN.Layout" w:val="&lt;ENLayout&gt;&lt;Style&gt;Author-Date_PBAC&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x5ftdv2g2era9e9zz4v5e5fdztw5xfr5dwv&quot;&gt;POLATUZUMAB VEDOTIN&lt;record-ids&gt;&lt;item&gt;131&lt;/item&gt;&lt;item&gt;133&lt;/item&gt;&lt;/record-ids&gt;&lt;/item&gt;&lt;/Libraries&gt;"/>
  </w:docVars>
  <w:rsids>
    <w:rsidRoot w:val="00E65E79"/>
    <w:rsid w:val="00000790"/>
    <w:rsid w:val="00000B9C"/>
    <w:rsid w:val="0000110B"/>
    <w:rsid w:val="00003499"/>
    <w:rsid w:val="000039B7"/>
    <w:rsid w:val="000056B9"/>
    <w:rsid w:val="0000639A"/>
    <w:rsid w:val="000071FC"/>
    <w:rsid w:val="00007911"/>
    <w:rsid w:val="000079D2"/>
    <w:rsid w:val="00013247"/>
    <w:rsid w:val="0001357A"/>
    <w:rsid w:val="00014CD9"/>
    <w:rsid w:val="00015886"/>
    <w:rsid w:val="000160B2"/>
    <w:rsid w:val="00016176"/>
    <w:rsid w:val="000162EF"/>
    <w:rsid w:val="000207C9"/>
    <w:rsid w:val="0002225F"/>
    <w:rsid w:val="00023763"/>
    <w:rsid w:val="00024EB5"/>
    <w:rsid w:val="00025D7A"/>
    <w:rsid w:val="000274B8"/>
    <w:rsid w:val="00027A30"/>
    <w:rsid w:val="0003079F"/>
    <w:rsid w:val="00032E8A"/>
    <w:rsid w:val="00033863"/>
    <w:rsid w:val="00033B51"/>
    <w:rsid w:val="00035DC0"/>
    <w:rsid w:val="000362B2"/>
    <w:rsid w:val="00036829"/>
    <w:rsid w:val="00037A0A"/>
    <w:rsid w:val="00040895"/>
    <w:rsid w:val="000410A0"/>
    <w:rsid w:val="00042BAB"/>
    <w:rsid w:val="000435EE"/>
    <w:rsid w:val="00043C37"/>
    <w:rsid w:val="00044E81"/>
    <w:rsid w:val="00045017"/>
    <w:rsid w:val="0004558C"/>
    <w:rsid w:val="00045A2B"/>
    <w:rsid w:val="00046155"/>
    <w:rsid w:val="00046488"/>
    <w:rsid w:val="0004698F"/>
    <w:rsid w:val="00046D64"/>
    <w:rsid w:val="00047295"/>
    <w:rsid w:val="00047AC0"/>
    <w:rsid w:val="00050593"/>
    <w:rsid w:val="000508C2"/>
    <w:rsid w:val="00050D0B"/>
    <w:rsid w:val="00051425"/>
    <w:rsid w:val="0005174E"/>
    <w:rsid w:val="000526D7"/>
    <w:rsid w:val="000539D0"/>
    <w:rsid w:val="00053D05"/>
    <w:rsid w:val="00054621"/>
    <w:rsid w:val="000546D7"/>
    <w:rsid w:val="00054A8D"/>
    <w:rsid w:val="00055AB2"/>
    <w:rsid w:val="00056ECF"/>
    <w:rsid w:val="000604DF"/>
    <w:rsid w:val="0006162B"/>
    <w:rsid w:val="00062CEA"/>
    <w:rsid w:val="00063B0F"/>
    <w:rsid w:val="0006422A"/>
    <w:rsid w:val="000645E7"/>
    <w:rsid w:val="000653B5"/>
    <w:rsid w:val="0006593E"/>
    <w:rsid w:val="00066360"/>
    <w:rsid w:val="00066AF8"/>
    <w:rsid w:val="00066F10"/>
    <w:rsid w:val="00071248"/>
    <w:rsid w:val="000720B9"/>
    <w:rsid w:val="00072CCC"/>
    <w:rsid w:val="000734B8"/>
    <w:rsid w:val="000736EA"/>
    <w:rsid w:val="000737F7"/>
    <w:rsid w:val="00075966"/>
    <w:rsid w:val="00076657"/>
    <w:rsid w:val="0007672F"/>
    <w:rsid w:val="00076B54"/>
    <w:rsid w:val="000774F0"/>
    <w:rsid w:val="00080909"/>
    <w:rsid w:val="000812CA"/>
    <w:rsid w:val="00081E63"/>
    <w:rsid w:val="0008258D"/>
    <w:rsid w:val="0008289F"/>
    <w:rsid w:val="000829DD"/>
    <w:rsid w:val="00083C2B"/>
    <w:rsid w:val="00083E99"/>
    <w:rsid w:val="00084FA8"/>
    <w:rsid w:val="000856C5"/>
    <w:rsid w:val="00085925"/>
    <w:rsid w:val="00085C31"/>
    <w:rsid w:val="000869B0"/>
    <w:rsid w:val="000902D9"/>
    <w:rsid w:val="00090C7E"/>
    <w:rsid w:val="000911AC"/>
    <w:rsid w:val="00092600"/>
    <w:rsid w:val="0009262B"/>
    <w:rsid w:val="00093310"/>
    <w:rsid w:val="00093E39"/>
    <w:rsid w:val="0009445C"/>
    <w:rsid w:val="00095200"/>
    <w:rsid w:val="00095FE5"/>
    <w:rsid w:val="00096284"/>
    <w:rsid w:val="0009780B"/>
    <w:rsid w:val="00097FCD"/>
    <w:rsid w:val="000A0AAB"/>
    <w:rsid w:val="000A1506"/>
    <w:rsid w:val="000A1BC0"/>
    <w:rsid w:val="000A218F"/>
    <w:rsid w:val="000A2F9E"/>
    <w:rsid w:val="000A3E47"/>
    <w:rsid w:val="000A4A48"/>
    <w:rsid w:val="000A51C8"/>
    <w:rsid w:val="000A522B"/>
    <w:rsid w:val="000A6039"/>
    <w:rsid w:val="000A689F"/>
    <w:rsid w:val="000A7453"/>
    <w:rsid w:val="000A7D08"/>
    <w:rsid w:val="000B0121"/>
    <w:rsid w:val="000B0670"/>
    <w:rsid w:val="000B0E75"/>
    <w:rsid w:val="000B267B"/>
    <w:rsid w:val="000B2DCB"/>
    <w:rsid w:val="000B2FEE"/>
    <w:rsid w:val="000B42F3"/>
    <w:rsid w:val="000B5CE0"/>
    <w:rsid w:val="000B6CAC"/>
    <w:rsid w:val="000B7612"/>
    <w:rsid w:val="000B78AE"/>
    <w:rsid w:val="000C0917"/>
    <w:rsid w:val="000C1578"/>
    <w:rsid w:val="000C255A"/>
    <w:rsid w:val="000C3DF9"/>
    <w:rsid w:val="000C4BDC"/>
    <w:rsid w:val="000C4CF2"/>
    <w:rsid w:val="000C6205"/>
    <w:rsid w:val="000C62E9"/>
    <w:rsid w:val="000C6713"/>
    <w:rsid w:val="000D0EDE"/>
    <w:rsid w:val="000D1BFC"/>
    <w:rsid w:val="000D1D5D"/>
    <w:rsid w:val="000D281A"/>
    <w:rsid w:val="000D2848"/>
    <w:rsid w:val="000D320A"/>
    <w:rsid w:val="000D326A"/>
    <w:rsid w:val="000D3ABF"/>
    <w:rsid w:val="000D3C96"/>
    <w:rsid w:val="000D4D8A"/>
    <w:rsid w:val="000D51FB"/>
    <w:rsid w:val="000D7790"/>
    <w:rsid w:val="000E0640"/>
    <w:rsid w:val="000E135D"/>
    <w:rsid w:val="000E36F6"/>
    <w:rsid w:val="000E641B"/>
    <w:rsid w:val="000E6451"/>
    <w:rsid w:val="000F00BA"/>
    <w:rsid w:val="000F0A3C"/>
    <w:rsid w:val="000F23C2"/>
    <w:rsid w:val="000F316A"/>
    <w:rsid w:val="000F3C74"/>
    <w:rsid w:val="000F4BB8"/>
    <w:rsid w:val="000F4FA9"/>
    <w:rsid w:val="000F53FB"/>
    <w:rsid w:val="000F60F9"/>
    <w:rsid w:val="000F7127"/>
    <w:rsid w:val="000F7295"/>
    <w:rsid w:val="000F7B54"/>
    <w:rsid w:val="001000B3"/>
    <w:rsid w:val="00100F8A"/>
    <w:rsid w:val="00101022"/>
    <w:rsid w:val="00101935"/>
    <w:rsid w:val="00103300"/>
    <w:rsid w:val="0010452E"/>
    <w:rsid w:val="00105AE2"/>
    <w:rsid w:val="001060C6"/>
    <w:rsid w:val="00106B80"/>
    <w:rsid w:val="0011032E"/>
    <w:rsid w:val="00111104"/>
    <w:rsid w:val="0011131E"/>
    <w:rsid w:val="00111B5E"/>
    <w:rsid w:val="001124C8"/>
    <w:rsid w:val="00112519"/>
    <w:rsid w:val="00112DB6"/>
    <w:rsid w:val="0011348B"/>
    <w:rsid w:val="001135AF"/>
    <w:rsid w:val="0011375C"/>
    <w:rsid w:val="00115982"/>
    <w:rsid w:val="001161E9"/>
    <w:rsid w:val="00116C53"/>
    <w:rsid w:val="001208EA"/>
    <w:rsid w:val="0012148A"/>
    <w:rsid w:val="00121799"/>
    <w:rsid w:val="001221D0"/>
    <w:rsid w:val="001222FC"/>
    <w:rsid w:val="00123902"/>
    <w:rsid w:val="0012485F"/>
    <w:rsid w:val="00124A51"/>
    <w:rsid w:val="00126567"/>
    <w:rsid w:val="00126621"/>
    <w:rsid w:val="00126B1D"/>
    <w:rsid w:val="00126BE7"/>
    <w:rsid w:val="00127026"/>
    <w:rsid w:val="00127F97"/>
    <w:rsid w:val="001301E9"/>
    <w:rsid w:val="00130E65"/>
    <w:rsid w:val="00131D82"/>
    <w:rsid w:val="00132B22"/>
    <w:rsid w:val="00133D36"/>
    <w:rsid w:val="001343AA"/>
    <w:rsid w:val="00134D5C"/>
    <w:rsid w:val="00137645"/>
    <w:rsid w:val="0014015A"/>
    <w:rsid w:val="00140E99"/>
    <w:rsid w:val="0014149F"/>
    <w:rsid w:val="00143F67"/>
    <w:rsid w:val="00145234"/>
    <w:rsid w:val="00145540"/>
    <w:rsid w:val="001456B0"/>
    <w:rsid w:val="00145A67"/>
    <w:rsid w:val="001537CC"/>
    <w:rsid w:val="00153A52"/>
    <w:rsid w:val="001547AB"/>
    <w:rsid w:val="00156F8F"/>
    <w:rsid w:val="00157130"/>
    <w:rsid w:val="001576B1"/>
    <w:rsid w:val="00157B3F"/>
    <w:rsid w:val="0016047B"/>
    <w:rsid w:val="00160A4C"/>
    <w:rsid w:val="00161BDB"/>
    <w:rsid w:val="00162913"/>
    <w:rsid w:val="001639CD"/>
    <w:rsid w:val="00163D3A"/>
    <w:rsid w:val="00163EFF"/>
    <w:rsid w:val="00163F66"/>
    <w:rsid w:val="0016478E"/>
    <w:rsid w:val="00165EC4"/>
    <w:rsid w:val="001661FB"/>
    <w:rsid w:val="001671A0"/>
    <w:rsid w:val="0016767F"/>
    <w:rsid w:val="00167A54"/>
    <w:rsid w:val="00170537"/>
    <w:rsid w:val="00172204"/>
    <w:rsid w:val="00173565"/>
    <w:rsid w:val="00173B07"/>
    <w:rsid w:val="00174500"/>
    <w:rsid w:val="001751FA"/>
    <w:rsid w:val="00176F8E"/>
    <w:rsid w:val="00177887"/>
    <w:rsid w:val="00180A0F"/>
    <w:rsid w:val="001814A1"/>
    <w:rsid w:val="00181C10"/>
    <w:rsid w:val="00181D6F"/>
    <w:rsid w:val="00181D9C"/>
    <w:rsid w:val="00182E9C"/>
    <w:rsid w:val="001837FF"/>
    <w:rsid w:val="00184B0E"/>
    <w:rsid w:val="00184F1A"/>
    <w:rsid w:val="001867AE"/>
    <w:rsid w:val="0018752F"/>
    <w:rsid w:val="00190093"/>
    <w:rsid w:val="001922E5"/>
    <w:rsid w:val="00193838"/>
    <w:rsid w:val="00193A83"/>
    <w:rsid w:val="00194308"/>
    <w:rsid w:val="001947B2"/>
    <w:rsid w:val="0019481C"/>
    <w:rsid w:val="00194AD8"/>
    <w:rsid w:val="00195222"/>
    <w:rsid w:val="00195452"/>
    <w:rsid w:val="00195CB0"/>
    <w:rsid w:val="001975D8"/>
    <w:rsid w:val="001A02C9"/>
    <w:rsid w:val="001A11B3"/>
    <w:rsid w:val="001A13C7"/>
    <w:rsid w:val="001A178E"/>
    <w:rsid w:val="001A1BAB"/>
    <w:rsid w:val="001A2C91"/>
    <w:rsid w:val="001A38FA"/>
    <w:rsid w:val="001A43FA"/>
    <w:rsid w:val="001A47C5"/>
    <w:rsid w:val="001A59FB"/>
    <w:rsid w:val="001A5E9E"/>
    <w:rsid w:val="001A6354"/>
    <w:rsid w:val="001A6366"/>
    <w:rsid w:val="001A7AE8"/>
    <w:rsid w:val="001B204E"/>
    <w:rsid w:val="001B2372"/>
    <w:rsid w:val="001B2843"/>
    <w:rsid w:val="001B2E6A"/>
    <w:rsid w:val="001B3443"/>
    <w:rsid w:val="001B4D20"/>
    <w:rsid w:val="001B7F84"/>
    <w:rsid w:val="001C2A9B"/>
    <w:rsid w:val="001C3DD6"/>
    <w:rsid w:val="001C4299"/>
    <w:rsid w:val="001C4874"/>
    <w:rsid w:val="001C5806"/>
    <w:rsid w:val="001C5F94"/>
    <w:rsid w:val="001C6E66"/>
    <w:rsid w:val="001D09A8"/>
    <w:rsid w:val="001D1100"/>
    <w:rsid w:val="001D1391"/>
    <w:rsid w:val="001D1A40"/>
    <w:rsid w:val="001D1ABB"/>
    <w:rsid w:val="001D25D7"/>
    <w:rsid w:val="001D30A5"/>
    <w:rsid w:val="001D34F7"/>
    <w:rsid w:val="001D50B2"/>
    <w:rsid w:val="001D614E"/>
    <w:rsid w:val="001D6996"/>
    <w:rsid w:val="001D71F4"/>
    <w:rsid w:val="001D7645"/>
    <w:rsid w:val="001D7743"/>
    <w:rsid w:val="001E02EA"/>
    <w:rsid w:val="001E0434"/>
    <w:rsid w:val="001E080D"/>
    <w:rsid w:val="001E1E86"/>
    <w:rsid w:val="001E238E"/>
    <w:rsid w:val="001E2483"/>
    <w:rsid w:val="001E2B1E"/>
    <w:rsid w:val="001E2CFF"/>
    <w:rsid w:val="001E2F24"/>
    <w:rsid w:val="001E30D4"/>
    <w:rsid w:val="001E34DF"/>
    <w:rsid w:val="001E52EB"/>
    <w:rsid w:val="001E61D2"/>
    <w:rsid w:val="001E6866"/>
    <w:rsid w:val="001E6A9E"/>
    <w:rsid w:val="001E6D8F"/>
    <w:rsid w:val="001E740C"/>
    <w:rsid w:val="001F0D23"/>
    <w:rsid w:val="001F0FD5"/>
    <w:rsid w:val="001F1235"/>
    <w:rsid w:val="001F1CB3"/>
    <w:rsid w:val="001F1CB9"/>
    <w:rsid w:val="001F25E0"/>
    <w:rsid w:val="001F2D3C"/>
    <w:rsid w:val="001F38B5"/>
    <w:rsid w:val="001F4081"/>
    <w:rsid w:val="001F65EE"/>
    <w:rsid w:val="001F7361"/>
    <w:rsid w:val="001F7AC4"/>
    <w:rsid w:val="002011B0"/>
    <w:rsid w:val="00203181"/>
    <w:rsid w:val="00203783"/>
    <w:rsid w:val="0020385F"/>
    <w:rsid w:val="00203E74"/>
    <w:rsid w:val="00206513"/>
    <w:rsid w:val="002068A0"/>
    <w:rsid w:val="00206B77"/>
    <w:rsid w:val="00207021"/>
    <w:rsid w:val="0020732F"/>
    <w:rsid w:val="00207D00"/>
    <w:rsid w:val="002105C1"/>
    <w:rsid w:val="00211331"/>
    <w:rsid w:val="002116FD"/>
    <w:rsid w:val="00212725"/>
    <w:rsid w:val="002139FD"/>
    <w:rsid w:val="00213EF5"/>
    <w:rsid w:val="00216BF5"/>
    <w:rsid w:val="0021761D"/>
    <w:rsid w:val="00220DA2"/>
    <w:rsid w:val="00223B49"/>
    <w:rsid w:val="00223D5A"/>
    <w:rsid w:val="002245F2"/>
    <w:rsid w:val="00224DD4"/>
    <w:rsid w:val="002278A0"/>
    <w:rsid w:val="002309CC"/>
    <w:rsid w:val="00230A5B"/>
    <w:rsid w:val="00231BA9"/>
    <w:rsid w:val="00231E74"/>
    <w:rsid w:val="0023209F"/>
    <w:rsid w:val="00233C01"/>
    <w:rsid w:val="0023413C"/>
    <w:rsid w:val="002346F0"/>
    <w:rsid w:val="0023475A"/>
    <w:rsid w:val="00234BEF"/>
    <w:rsid w:val="00235250"/>
    <w:rsid w:val="002354AB"/>
    <w:rsid w:val="0023629D"/>
    <w:rsid w:val="00237255"/>
    <w:rsid w:val="002416B1"/>
    <w:rsid w:val="002421C4"/>
    <w:rsid w:val="002424AF"/>
    <w:rsid w:val="00243417"/>
    <w:rsid w:val="002439DC"/>
    <w:rsid w:val="002441D2"/>
    <w:rsid w:val="002447D3"/>
    <w:rsid w:val="00244DC8"/>
    <w:rsid w:val="002458BA"/>
    <w:rsid w:val="00245CE9"/>
    <w:rsid w:val="00245D75"/>
    <w:rsid w:val="0024636C"/>
    <w:rsid w:val="00247925"/>
    <w:rsid w:val="00251006"/>
    <w:rsid w:val="002524D5"/>
    <w:rsid w:val="00252E28"/>
    <w:rsid w:val="00253B1D"/>
    <w:rsid w:val="00254DCF"/>
    <w:rsid w:val="0025534B"/>
    <w:rsid w:val="00255BB7"/>
    <w:rsid w:val="00255F9A"/>
    <w:rsid w:val="0025640E"/>
    <w:rsid w:val="00257541"/>
    <w:rsid w:val="00257A39"/>
    <w:rsid w:val="00257AC4"/>
    <w:rsid w:val="00257BBE"/>
    <w:rsid w:val="00257FC1"/>
    <w:rsid w:val="00260DB3"/>
    <w:rsid w:val="00261EEF"/>
    <w:rsid w:val="00261FDE"/>
    <w:rsid w:val="0026298F"/>
    <w:rsid w:val="00262A1A"/>
    <w:rsid w:val="00262A87"/>
    <w:rsid w:val="0026368E"/>
    <w:rsid w:val="00264D26"/>
    <w:rsid w:val="00266074"/>
    <w:rsid w:val="002672A7"/>
    <w:rsid w:val="0026758A"/>
    <w:rsid w:val="00267642"/>
    <w:rsid w:val="00267AEA"/>
    <w:rsid w:val="002700E6"/>
    <w:rsid w:val="00271011"/>
    <w:rsid w:val="00271325"/>
    <w:rsid w:val="0027294B"/>
    <w:rsid w:val="00273021"/>
    <w:rsid w:val="00273EB4"/>
    <w:rsid w:val="00274682"/>
    <w:rsid w:val="00275158"/>
    <w:rsid w:val="00275C5A"/>
    <w:rsid w:val="0027634D"/>
    <w:rsid w:val="00276AFA"/>
    <w:rsid w:val="00277735"/>
    <w:rsid w:val="00281014"/>
    <w:rsid w:val="002827B4"/>
    <w:rsid w:val="002849B0"/>
    <w:rsid w:val="00285BCE"/>
    <w:rsid w:val="0028665D"/>
    <w:rsid w:val="002875AD"/>
    <w:rsid w:val="00287BE4"/>
    <w:rsid w:val="00290BE9"/>
    <w:rsid w:val="00292DC6"/>
    <w:rsid w:val="00293C01"/>
    <w:rsid w:val="00294876"/>
    <w:rsid w:val="002954FB"/>
    <w:rsid w:val="00297DCF"/>
    <w:rsid w:val="002A0DAB"/>
    <w:rsid w:val="002A14AB"/>
    <w:rsid w:val="002A2ADE"/>
    <w:rsid w:val="002A2F50"/>
    <w:rsid w:val="002A3129"/>
    <w:rsid w:val="002A3C8F"/>
    <w:rsid w:val="002A67D8"/>
    <w:rsid w:val="002A7943"/>
    <w:rsid w:val="002B05A1"/>
    <w:rsid w:val="002B09A4"/>
    <w:rsid w:val="002B1C1F"/>
    <w:rsid w:val="002B211B"/>
    <w:rsid w:val="002B2232"/>
    <w:rsid w:val="002B3A51"/>
    <w:rsid w:val="002B432F"/>
    <w:rsid w:val="002B5CD8"/>
    <w:rsid w:val="002B604B"/>
    <w:rsid w:val="002B62B3"/>
    <w:rsid w:val="002B6754"/>
    <w:rsid w:val="002B6CCE"/>
    <w:rsid w:val="002C092C"/>
    <w:rsid w:val="002C2510"/>
    <w:rsid w:val="002C25CD"/>
    <w:rsid w:val="002C2775"/>
    <w:rsid w:val="002C27C1"/>
    <w:rsid w:val="002C36E3"/>
    <w:rsid w:val="002C3836"/>
    <w:rsid w:val="002C3C3D"/>
    <w:rsid w:val="002C5098"/>
    <w:rsid w:val="002C5099"/>
    <w:rsid w:val="002C518C"/>
    <w:rsid w:val="002C5232"/>
    <w:rsid w:val="002C5889"/>
    <w:rsid w:val="002C71CE"/>
    <w:rsid w:val="002D08F8"/>
    <w:rsid w:val="002D0C92"/>
    <w:rsid w:val="002D183E"/>
    <w:rsid w:val="002D18B5"/>
    <w:rsid w:val="002D2D80"/>
    <w:rsid w:val="002D3C2A"/>
    <w:rsid w:val="002D3DBA"/>
    <w:rsid w:val="002D577C"/>
    <w:rsid w:val="002D7832"/>
    <w:rsid w:val="002D7A3A"/>
    <w:rsid w:val="002E1071"/>
    <w:rsid w:val="002E1126"/>
    <w:rsid w:val="002E15B9"/>
    <w:rsid w:val="002E2158"/>
    <w:rsid w:val="002E2AC6"/>
    <w:rsid w:val="002E3776"/>
    <w:rsid w:val="002E3B9E"/>
    <w:rsid w:val="002E42DE"/>
    <w:rsid w:val="002E4F02"/>
    <w:rsid w:val="002E4F99"/>
    <w:rsid w:val="002E5A9B"/>
    <w:rsid w:val="002E616F"/>
    <w:rsid w:val="002E7722"/>
    <w:rsid w:val="002E7C67"/>
    <w:rsid w:val="002F07BA"/>
    <w:rsid w:val="002F0DA9"/>
    <w:rsid w:val="002F1014"/>
    <w:rsid w:val="002F1E3B"/>
    <w:rsid w:val="002F643C"/>
    <w:rsid w:val="002F71C0"/>
    <w:rsid w:val="002F74F1"/>
    <w:rsid w:val="003003E5"/>
    <w:rsid w:val="00300D1E"/>
    <w:rsid w:val="00300FFC"/>
    <w:rsid w:val="00301017"/>
    <w:rsid w:val="0030155F"/>
    <w:rsid w:val="00302610"/>
    <w:rsid w:val="00304A29"/>
    <w:rsid w:val="0030587B"/>
    <w:rsid w:val="0030631E"/>
    <w:rsid w:val="00306D98"/>
    <w:rsid w:val="0030786C"/>
    <w:rsid w:val="00307F7C"/>
    <w:rsid w:val="0031031A"/>
    <w:rsid w:val="00310628"/>
    <w:rsid w:val="00310981"/>
    <w:rsid w:val="00310C14"/>
    <w:rsid w:val="00311D9B"/>
    <w:rsid w:val="003124D9"/>
    <w:rsid w:val="00312594"/>
    <w:rsid w:val="00312D80"/>
    <w:rsid w:val="0031525E"/>
    <w:rsid w:val="00315498"/>
    <w:rsid w:val="00315894"/>
    <w:rsid w:val="00316131"/>
    <w:rsid w:val="003162EF"/>
    <w:rsid w:val="00316474"/>
    <w:rsid w:val="003203A6"/>
    <w:rsid w:val="00322107"/>
    <w:rsid w:val="00322355"/>
    <w:rsid w:val="00322846"/>
    <w:rsid w:val="00322BAE"/>
    <w:rsid w:val="00324E4C"/>
    <w:rsid w:val="00326197"/>
    <w:rsid w:val="0032674D"/>
    <w:rsid w:val="00326DA7"/>
    <w:rsid w:val="003270E4"/>
    <w:rsid w:val="00330744"/>
    <w:rsid w:val="00330DAA"/>
    <w:rsid w:val="00330F5C"/>
    <w:rsid w:val="003335F8"/>
    <w:rsid w:val="003338C0"/>
    <w:rsid w:val="00334470"/>
    <w:rsid w:val="0033589B"/>
    <w:rsid w:val="003366C9"/>
    <w:rsid w:val="003371B0"/>
    <w:rsid w:val="00340539"/>
    <w:rsid w:val="00340DF1"/>
    <w:rsid w:val="003414E1"/>
    <w:rsid w:val="00342BCA"/>
    <w:rsid w:val="00343DAB"/>
    <w:rsid w:val="00344283"/>
    <w:rsid w:val="003463E9"/>
    <w:rsid w:val="00347110"/>
    <w:rsid w:val="00347AFB"/>
    <w:rsid w:val="003507AD"/>
    <w:rsid w:val="003516A7"/>
    <w:rsid w:val="003517F9"/>
    <w:rsid w:val="00351BA9"/>
    <w:rsid w:val="00351BBD"/>
    <w:rsid w:val="00351C25"/>
    <w:rsid w:val="0035205B"/>
    <w:rsid w:val="0035260C"/>
    <w:rsid w:val="00352EB7"/>
    <w:rsid w:val="00352F09"/>
    <w:rsid w:val="003535FD"/>
    <w:rsid w:val="00354158"/>
    <w:rsid w:val="00354F64"/>
    <w:rsid w:val="0035620E"/>
    <w:rsid w:val="003574D7"/>
    <w:rsid w:val="003575BE"/>
    <w:rsid w:val="00360345"/>
    <w:rsid w:val="00361A05"/>
    <w:rsid w:val="003624C4"/>
    <w:rsid w:val="00363411"/>
    <w:rsid w:val="00363B00"/>
    <w:rsid w:val="003647DF"/>
    <w:rsid w:val="0036494A"/>
    <w:rsid w:val="003654AC"/>
    <w:rsid w:val="003654CE"/>
    <w:rsid w:val="003659FD"/>
    <w:rsid w:val="00367A3E"/>
    <w:rsid w:val="00367C70"/>
    <w:rsid w:val="003710CF"/>
    <w:rsid w:val="0037358A"/>
    <w:rsid w:val="003747C0"/>
    <w:rsid w:val="00374BB2"/>
    <w:rsid w:val="00374EE2"/>
    <w:rsid w:val="003750F6"/>
    <w:rsid w:val="003760FC"/>
    <w:rsid w:val="0037624A"/>
    <w:rsid w:val="00376B5A"/>
    <w:rsid w:val="00380BE4"/>
    <w:rsid w:val="00380DC9"/>
    <w:rsid w:val="00381965"/>
    <w:rsid w:val="003820EA"/>
    <w:rsid w:val="0038284B"/>
    <w:rsid w:val="00382854"/>
    <w:rsid w:val="00382B5B"/>
    <w:rsid w:val="0038365C"/>
    <w:rsid w:val="0038369B"/>
    <w:rsid w:val="00383B78"/>
    <w:rsid w:val="00385A9D"/>
    <w:rsid w:val="00385C75"/>
    <w:rsid w:val="003864EF"/>
    <w:rsid w:val="00387121"/>
    <w:rsid w:val="003902B1"/>
    <w:rsid w:val="0039179C"/>
    <w:rsid w:val="00392420"/>
    <w:rsid w:val="00393069"/>
    <w:rsid w:val="003932AA"/>
    <w:rsid w:val="00396896"/>
    <w:rsid w:val="00396FD0"/>
    <w:rsid w:val="00397355"/>
    <w:rsid w:val="00397BA7"/>
    <w:rsid w:val="003A05D3"/>
    <w:rsid w:val="003A07D2"/>
    <w:rsid w:val="003A1537"/>
    <w:rsid w:val="003A1A7A"/>
    <w:rsid w:val="003A2392"/>
    <w:rsid w:val="003A2831"/>
    <w:rsid w:val="003A3CB6"/>
    <w:rsid w:val="003A3ED1"/>
    <w:rsid w:val="003A44DB"/>
    <w:rsid w:val="003A49FE"/>
    <w:rsid w:val="003A4C14"/>
    <w:rsid w:val="003A5163"/>
    <w:rsid w:val="003A652E"/>
    <w:rsid w:val="003A6D82"/>
    <w:rsid w:val="003A79DF"/>
    <w:rsid w:val="003A7F4E"/>
    <w:rsid w:val="003B2DCB"/>
    <w:rsid w:val="003B3971"/>
    <w:rsid w:val="003B55D1"/>
    <w:rsid w:val="003B5B61"/>
    <w:rsid w:val="003B774C"/>
    <w:rsid w:val="003B7CDA"/>
    <w:rsid w:val="003C0896"/>
    <w:rsid w:val="003C1654"/>
    <w:rsid w:val="003C5444"/>
    <w:rsid w:val="003C5542"/>
    <w:rsid w:val="003C7B80"/>
    <w:rsid w:val="003C7C15"/>
    <w:rsid w:val="003C7D19"/>
    <w:rsid w:val="003C7D2F"/>
    <w:rsid w:val="003D06AC"/>
    <w:rsid w:val="003D0C5A"/>
    <w:rsid w:val="003D1828"/>
    <w:rsid w:val="003D1DE4"/>
    <w:rsid w:val="003D1E9A"/>
    <w:rsid w:val="003D2422"/>
    <w:rsid w:val="003D39A1"/>
    <w:rsid w:val="003D3FBF"/>
    <w:rsid w:val="003D49F6"/>
    <w:rsid w:val="003D4A30"/>
    <w:rsid w:val="003D68F2"/>
    <w:rsid w:val="003D7452"/>
    <w:rsid w:val="003D7485"/>
    <w:rsid w:val="003D778C"/>
    <w:rsid w:val="003D79BB"/>
    <w:rsid w:val="003D7C98"/>
    <w:rsid w:val="003D7D9D"/>
    <w:rsid w:val="003D7EEA"/>
    <w:rsid w:val="003E01FC"/>
    <w:rsid w:val="003E0543"/>
    <w:rsid w:val="003E1E60"/>
    <w:rsid w:val="003E4AED"/>
    <w:rsid w:val="003E5603"/>
    <w:rsid w:val="003E749E"/>
    <w:rsid w:val="003F2FE8"/>
    <w:rsid w:val="003F3B85"/>
    <w:rsid w:val="003F3DC8"/>
    <w:rsid w:val="003F4156"/>
    <w:rsid w:val="003F4436"/>
    <w:rsid w:val="003F4513"/>
    <w:rsid w:val="003F5ADF"/>
    <w:rsid w:val="003F70EA"/>
    <w:rsid w:val="003F720D"/>
    <w:rsid w:val="004003A9"/>
    <w:rsid w:val="00400618"/>
    <w:rsid w:val="00400B29"/>
    <w:rsid w:val="004023EF"/>
    <w:rsid w:val="00402812"/>
    <w:rsid w:val="00402C18"/>
    <w:rsid w:val="0040504B"/>
    <w:rsid w:val="004052EC"/>
    <w:rsid w:val="00405931"/>
    <w:rsid w:val="004059F4"/>
    <w:rsid w:val="00407FE5"/>
    <w:rsid w:val="004101B0"/>
    <w:rsid w:val="00410326"/>
    <w:rsid w:val="00410708"/>
    <w:rsid w:val="00410EC7"/>
    <w:rsid w:val="00411992"/>
    <w:rsid w:val="00411B39"/>
    <w:rsid w:val="004127A7"/>
    <w:rsid w:val="00413A1E"/>
    <w:rsid w:val="00414476"/>
    <w:rsid w:val="00414C2E"/>
    <w:rsid w:val="004151CF"/>
    <w:rsid w:val="004161F1"/>
    <w:rsid w:val="00416364"/>
    <w:rsid w:val="00417998"/>
    <w:rsid w:val="0042047F"/>
    <w:rsid w:val="004206C7"/>
    <w:rsid w:val="00420AA6"/>
    <w:rsid w:val="00420B9F"/>
    <w:rsid w:val="0042192C"/>
    <w:rsid w:val="00422260"/>
    <w:rsid w:val="0042413F"/>
    <w:rsid w:val="004278DA"/>
    <w:rsid w:val="0043059E"/>
    <w:rsid w:val="004319F8"/>
    <w:rsid w:val="00431E55"/>
    <w:rsid w:val="004321F6"/>
    <w:rsid w:val="00432FD6"/>
    <w:rsid w:val="00433044"/>
    <w:rsid w:val="00434088"/>
    <w:rsid w:val="00434562"/>
    <w:rsid w:val="00434995"/>
    <w:rsid w:val="004354A4"/>
    <w:rsid w:val="00436D6C"/>
    <w:rsid w:val="004375B9"/>
    <w:rsid w:val="00440A6D"/>
    <w:rsid w:val="004428B7"/>
    <w:rsid w:val="004428D0"/>
    <w:rsid w:val="004431D4"/>
    <w:rsid w:val="00443614"/>
    <w:rsid w:val="00443996"/>
    <w:rsid w:val="00444185"/>
    <w:rsid w:val="0044425A"/>
    <w:rsid w:val="004443A7"/>
    <w:rsid w:val="0044442C"/>
    <w:rsid w:val="00445941"/>
    <w:rsid w:val="00445FDF"/>
    <w:rsid w:val="004464EB"/>
    <w:rsid w:val="0044686B"/>
    <w:rsid w:val="00447D26"/>
    <w:rsid w:val="00447DFC"/>
    <w:rsid w:val="004509D7"/>
    <w:rsid w:val="004544F0"/>
    <w:rsid w:val="004548F7"/>
    <w:rsid w:val="00454D50"/>
    <w:rsid w:val="004556F2"/>
    <w:rsid w:val="004558DB"/>
    <w:rsid w:val="00455D45"/>
    <w:rsid w:val="00456B26"/>
    <w:rsid w:val="00456E51"/>
    <w:rsid w:val="00460F11"/>
    <w:rsid w:val="004613AD"/>
    <w:rsid w:val="00461B82"/>
    <w:rsid w:val="00462903"/>
    <w:rsid w:val="00464595"/>
    <w:rsid w:val="004658B5"/>
    <w:rsid w:val="004661A8"/>
    <w:rsid w:val="0047142A"/>
    <w:rsid w:val="00471EA5"/>
    <w:rsid w:val="00472A79"/>
    <w:rsid w:val="00473F19"/>
    <w:rsid w:val="00475849"/>
    <w:rsid w:val="00475E22"/>
    <w:rsid w:val="00476211"/>
    <w:rsid w:val="0048026C"/>
    <w:rsid w:val="0048088E"/>
    <w:rsid w:val="00480F2B"/>
    <w:rsid w:val="004814A7"/>
    <w:rsid w:val="00482720"/>
    <w:rsid w:val="004835E7"/>
    <w:rsid w:val="004859E1"/>
    <w:rsid w:val="004864F7"/>
    <w:rsid w:val="004867E2"/>
    <w:rsid w:val="00486E09"/>
    <w:rsid w:val="0049067D"/>
    <w:rsid w:val="00490A02"/>
    <w:rsid w:val="00490B17"/>
    <w:rsid w:val="0049125B"/>
    <w:rsid w:val="00491788"/>
    <w:rsid w:val="00491B3A"/>
    <w:rsid w:val="00491B84"/>
    <w:rsid w:val="00492CFD"/>
    <w:rsid w:val="00494207"/>
    <w:rsid w:val="00494DD5"/>
    <w:rsid w:val="004962D2"/>
    <w:rsid w:val="0049715A"/>
    <w:rsid w:val="00497320"/>
    <w:rsid w:val="004A0DA1"/>
    <w:rsid w:val="004A13D6"/>
    <w:rsid w:val="004A32D4"/>
    <w:rsid w:val="004A486C"/>
    <w:rsid w:val="004A48C2"/>
    <w:rsid w:val="004A5219"/>
    <w:rsid w:val="004A52E9"/>
    <w:rsid w:val="004A5E27"/>
    <w:rsid w:val="004A6040"/>
    <w:rsid w:val="004A6597"/>
    <w:rsid w:val="004A7848"/>
    <w:rsid w:val="004A793B"/>
    <w:rsid w:val="004B0DA4"/>
    <w:rsid w:val="004B1CB4"/>
    <w:rsid w:val="004B2F18"/>
    <w:rsid w:val="004B3DDB"/>
    <w:rsid w:val="004B4440"/>
    <w:rsid w:val="004B44FD"/>
    <w:rsid w:val="004B4BAC"/>
    <w:rsid w:val="004B54D1"/>
    <w:rsid w:val="004B5CFC"/>
    <w:rsid w:val="004B6F79"/>
    <w:rsid w:val="004B73D7"/>
    <w:rsid w:val="004B774D"/>
    <w:rsid w:val="004C2AC2"/>
    <w:rsid w:val="004C4AED"/>
    <w:rsid w:val="004C69A4"/>
    <w:rsid w:val="004C7220"/>
    <w:rsid w:val="004C780F"/>
    <w:rsid w:val="004C7B13"/>
    <w:rsid w:val="004D002E"/>
    <w:rsid w:val="004D267F"/>
    <w:rsid w:val="004D2C2D"/>
    <w:rsid w:val="004D374C"/>
    <w:rsid w:val="004D57C2"/>
    <w:rsid w:val="004D5FD7"/>
    <w:rsid w:val="004D6747"/>
    <w:rsid w:val="004D69B5"/>
    <w:rsid w:val="004D7227"/>
    <w:rsid w:val="004D77E7"/>
    <w:rsid w:val="004D7B5E"/>
    <w:rsid w:val="004E0E7F"/>
    <w:rsid w:val="004E0EB8"/>
    <w:rsid w:val="004E18E9"/>
    <w:rsid w:val="004E2ADC"/>
    <w:rsid w:val="004E315A"/>
    <w:rsid w:val="004E34D0"/>
    <w:rsid w:val="004E3E15"/>
    <w:rsid w:val="004E43B2"/>
    <w:rsid w:val="004E4C34"/>
    <w:rsid w:val="004E6B87"/>
    <w:rsid w:val="004F1D02"/>
    <w:rsid w:val="004F2679"/>
    <w:rsid w:val="004F2A26"/>
    <w:rsid w:val="004F2F21"/>
    <w:rsid w:val="004F3A6D"/>
    <w:rsid w:val="004F3DE5"/>
    <w:rsid w:val="004F4360"/>
    <w:rsid w:val="004F5377"/>
    <w:rsid w:val="004F6913"/>
    <w:rsid w:val="004F7121"/>
    <w:rsid w:val="004F7140"/>
    <w:rsid w:val="004F7865"/>
    <w:rsid w:val="00500206"/>
    <w:rsid w:val="0050174E"/>
    <w:rsid w:val="00501854"/>
    <w:rsid w:val="0050219B"/>
    <w:rsid w:val="00503F17"/>
    <w:rsid w:val="00503F3A"/>
    <w:rsid w:val="00504139"/>
    <w:rsid w:val="0050460C"/>
    <w:rsid w:val="005054B1"/>
    <w:rsid w:val="00506928"/>
    <w:rsid w:val="00506FFE"/>
    <w:rsid w:val="005077EF"/>
    <w:rsid w:val="00510562"/>
    <w:rsid w:val="00510C04"/>
    <w:rsid w:val="00511AD5"/>
    <w:rsid w:val="00511D15"/>
    <w:rsid w:val="00511DC7"/>
    <w:rsid w:val="00511E45"/>
    <w:rsid w:val="00513680"/>
    <w:rsid w:val="005142C5"/>
    <w:rsid w:val="00514FE9"/>
    <w:rsid w:val="0051501B"/>
    <w:rsid w:val="005152B5"/>
    <w:rsid w:val="00515886"/>
    <w:rsid w:val="00515B17"/>
    <w:rsid w:val="00516452"/>
    <w:rsid w:val="00516874"/>
    <w:rsid w:val="0052123C"/>
    <w:rsid w:val="00521319"/>
    <w:rsid w:val="00521E79"/>
    <w:rsid w:val="00522B52"/>
    <w:rsid w:val="00522BC8"/>
    <w:rsid w:val="005231D9"/>
    <w:rsid w:val="00523C28"/>
    <w:rsid w:val="00524988"/>
    <w:rsid w:val="00525429"/>
    <w:rsid w:val="0052749E"/>
    <w:rsid w:val="00527DCF"/>
    <w:rsid w:val="0053018A"/>
    <w:rsid w:val="00530264"/>
    <w:rsid w:val="0053176B"/>
    <w:rsid w:val="00531B7E"/>
    <w:rsid w:val="00531E06"/>
    <w:rsid w:val="00532F43"/>
    <w:rsid w:val="005341B3"/>
    <w:rsid w:val="00534F09"/>
    <w:rsid w:val="00536F42"/>
    <w:rsid w:val="00537182"/>
    <w:rsid w:val="00540B89"/>
    <w:rsid w:val="00540D4F"/>
    <w:rsid w:val="00541EDD"/>
    <w:rsid w:val="00542743"/>
    <w:rsid w:val="00542C2D"/>
    <w:rsid w:val="00542EB6"/>
    <w:rsid w:val="005458DE"/>
    <w:rsid w:val="005478BD"/>
    <w:rsid w:val="005479E3"/>
    <w:rsid w:val="00550BB3"/>
    <w:rsid w:val="00551985"/>
    <w:rsid w:val="00552BD3"/>
    <w:rsid w:val="005532A0"/>
    <w:rsid w:val="00554312"/>
    <w:rsid w:val="00555109"/>
    <w:rsid w:val="00556347"/>
    <w:rsid w:val="005566BC"/>
    <w:rsid w:val="0055689B"/>
    <w:rsid w:val="00556B35"/>
    <w:rsid w:val="00556BFF"/>
    <w:rsid w:val="0055741A"/>
    <w:rsid w:val="00557455"/>
    <w:rsid w:val="00560C2A"/>
    <w:rsid w:val="00560DBA"/>
    <w:rsid w:val="005611B7"/>
    <w:rsid w:val="005618D4"/>
    <w:rsid w:val="005643EC"/>
    <w:rsid w:val="00564867"/>
    <w:rsid w:val="005653C9"/>
    <w:rsid w:val="00565C79"/>
    <w:rsid w:val="00565DF0"/>
    <w:rsid w:val="00565F0E"/>
    <w:rsid w:val="00566380"/>
    <w:rsid w:val="0056696F"/>
    <w:rsid w:val="00566DDB"/>
    <w:rsid w:val="00566FB6"/>
    <w:rsid w:val="00572269"/>
    <w:rsid w:val="0057244A"/>
    <w:rsid w:val="00572D7F"/>
    <w:rsid w:val="00572F26"/>
    <w:rsid w:val="005750C5"/>
    <w:rsid w:val="005752DE"/>
    <w:rsid w:val="00575D60"/>
    <w:rsid w:val="00575D8D"/>
    <w:rsid w:val="00576972"/>
    <w:rsid w:val="00577248"/>
    <w:rsid w:val="00580B0B"/>
    <w:rsid w:val="00583699"/>
    <w:rsid w:val="005837A6"/>
    <w:rsid w:val="00583C18"/>
    <w:rsid w:val="00583C60"/>
    <w:rsid w:val="00585CDD"/>
    <w:rsid w:val="00587058"/>
    <w:rsid w:val="0058722B"/>
    <w:rsid w:val="00591277"/>
    <w:rsid w:val="00591957"/>
    <w:rsid w:val="005937F6"/>
    <w:rsid w:val="00596CB1"/>
    <w:rsid w:val="00597BF9"/>
    <w:rsid w:val="00597DF6"/>
    <w:rsid w:val="005A0AD5"/>
    <w:rsid w:val="005A0B48"/>
    <w:rsid w:val="005A0C11"/>
    <w:rsid w:val="005A1877"/>
    <w:rsid w:val="005A1FAC"/>
    <w:rsid w:val="005A29C1"/>
    <w:rsid w:val="005A2C3E"/>
    <w:rsid w:val="005A309A"/>
    <w:rsid w:val="005A373D"/>
    <w:rsid w:val="005A5255"/>
    <w:rsid w:val="005A6CEB"/>
    <w:rsid w:val="005B024E"/>
    <w:rsid w:val="005B0B58"/>
    <w:rsid w:val="005B1014"/>
    <w:rsid w:val="005B216B"/>
    <w:rsid w:val="005B271D"/>
    <w:rsid w:val="005B29E0"/>
    <w:rsid w:val="005B4E53"/>
    <w:rsid w:val="005B5857"/>
    <w:rsid w:val="005C19C4"/>
    <w:rsid w:val="005C1B4C"/>
    <w:rsid w:val="005C1B83"/>
    <w:rsid w:val="005C25FF"/>
    <w:rsid w:val="005C2D55"/>
    <w:rsid w:val="005C3136"/>
    <w:rsid w:val="005C346B"/>
    <w:rsid w:val="005C428D"/>
    <w:rsid w:val="005C53B9"/>
    <w:rsid w:val="005C5ABC"/>
    <w:rsid w:val="005C7314"/>
    <w:rsid w:val="005C79B1"/>
    <w:rsid w:val="005D044D"/>
    <w:rsid w:val="005D0ABD"/>
    <w:rsid w:val="005D18AD"/>
    <w:rsid w:val="005D26B4"/>
    <w:rsid w:val="005D3653"/>
    <w:rsid w:val="005D7BCF"/>
    <w:rsid w:val="005E0C9D"/>
    <w:rsid w:val="005E1048"/>
    <w:rsid w:val="005E1995"/>
    <w:rsid w:val="005E2398"/>
    <w:rsid w:val="005E2DB4"/>
    <w:rsid w:val="005E607E"/>
    <w:rsid w:val="005E6CBC"/>
    <w:rsid w:val="005E72FF"/>
    <w:rsid w:val="005E73C0"/>
    <w:rsid w:val="005E7652"/>
    <w:rsid w:val="005F07ED"/>
    <w:rsid w:val="005F11BB"/>
    <w:rsid w:val="005F1244"/>
    <w:rsid w:val="005F2706"/>
    <w:rsid w:val="005F3B41"/>
    <w:rsid w:val="005F564E"/>
    <w:rsid w:val="005F5779"/>
    <w:rsid w:val="005F6A8F"/>
    <w:rsid w:val="005F6BB7"/>
    <w:rsid w:val="005F70DE"/>
    <w:rsid w:val="005F7588"/>
    <w:rsid w:val="005F7AE8"/>
    <w:rsid w:val="006005E0"/>
    <w:rsid w:val="00601F24"/>
    <w:rsid w:val="00602769"/>
    <w:rsid w:val="00603DB9"/>
    <w:rsid w:val="0060517A"/>
    <w:rsid w:val="006064FB"/>
    <w:rsid w:val="00606D75"/>
    <w:rsid w:val="00606FBA"/>
    <w:rsid w:val="00607447"/>
    <w:rsid w:val="00607669"/>
    <w:rsid w:val="006076F4"/>
    <w:rsid w:val="00607AFD"/>
    <w:rsid w:val="00610067"/>
    <w:rsid w:val="00611B12"/>
    <w:rsid w:val="00612822"/>
    <w:rsid w:val="00612F97"/>
    <w:rsid w:val="0061345D"/>
    <w:rsid w:val="00613899"/>
    <w:rsid w:val="0061428A"/>
    <w:rsid w:val="0061520F"/>
    <w:rsid w:val="006153C0"/>
    <w:rsid w:val="0061549B"/>
    <w:rsid w:val="00616802"/>
    <w:rsid w:val="006176AA"/>
    <w:rsid w:val="00617E12"/>
    <w:rsid w:val="00620C25"/>
    <w:rsid w:val="00621477"/>
    <w:rsid w:val="0062158F"/>
    <w:rsid w:val="00621964"/>
    <w:rsid w:val="00621ADA"/>
    <w:rsid w:val="00623F7B"/>
    <w:rsid w:val="00624631"/>
    <w:rsid w:val="00624BD4"/>
    <w:rsid w:val="00624C01"/>
    <w:rsid w:val="006268B0"/>
    <w:rsid w:val="00626EA1"/>
    <w:rsid w:val="00626FF0"/>
    <w:rsid w:val="00631116"/>
    <w:rsid w:val="0063158F"/>
    <w:rsid w:val="00631D6B"/>
    <w:rsid w:val="00632183"/>
    <w:rsid w:val="006323A5"/>
    <w:rsid w:val="006330A1"/>
    <w:rsid w:val="006334C1"/>
    <w:rsid w:val="006337D3"/>
    <w:rsid w:val="00634323"/>
    <w:rsid w:val="0063479F"/>
    <w:rsid w:val="00635154"/>
    <w:rsid w:val="006353F0"/>
    <w:rsid w:val="006357B5"/>
    <w:rsid w:val="006364A1"/>
    <w:rsid w:val="0063678E"/>
    <w:rsid w:val="00637BFD"/>
    <w:rsid w:val="00637C5C"/>
    <w:rsid w:val="00641AE8"/>
    <w:rsid w:val="00641C4E"/>
    <w:rsid w:val="00641FB3"/>
    <w:rsid w:val="006434CF"/>
    <w:rsid w:val="00643627"/>
    <w:rsid w:val="0064434C"/>
    <w:rsid w:val="0064531F"/>
    <w:rsid w:val="006453ED"/>
    <w:rsid w:val="0064556D"/>
    <w:rsid w:val="00645E12"/>
    <w:rsid w:val="006471CC"/>
    <w:rsid w:val="006472FE"/>
    <w:rsid w:val="00647A29"/>
    <w:rsid w:val="0065079F"/>
    <w:rsid w:val="00650A9D"/>
    <w:rsid w:val="006516C4"/>
    <w:rsid w:val="00651909"/>
    <w:rsid w:val="00651A7E"/>
    <w:rsid w:val="006528E7"/>
    <w:rsid w:val="00652A28"/>
    <w:rsid w:val="00652E2A"/>
    <w:rsid w:val="0065312C"/>
    <w:rsid w:val="0065379F"/>
    <w:rsid w:val="00656188"/>
    <w:rsid w:val="0065715A"/>
    <w:rsid w:val="006603B8"/>
    <w:rsid w:val="006610F1"/>
    <w:rsid w:val="00661C6B"/>
    <w:rsid w:val="00662D3E"/>
    <w:rsid w:val="00663C4B"/>
    <w:rsid w:val="00667BE3"/>
    <w:rsid w:val="00671004"/>
    <w:rsid w:val="00671787"/>
    <w:rsid w:val="00672646"/>
    <w:rsid w:val="00672BDD"/>
    <w:rsid w:val="00673E26"/>
    <w:rsid w:val="00674987"/>
    <w:rsid w:val="00674E42"/>
    <w:rsid w:val="00676563"/>
    <w:rsid w:val="00677527"/>
    <w:rsid w:val="0068066F"/>
    <w:rsid w:val="006813F8"/>
    <w:rsid w:val="00681EE0"/>
    <w:rsid w:val="00682112"/>
    <w:rsid w:val="00682BA6"/>
    <w:rsid w:val="006855B2"/>
    <w:rsid w:val="00686957"/>
    <w:rsid w:val="006872BA"/>
    <w:rsid w:val="0069020A"/>
    <w:rsid w:val="00690795"/>
    <w:rsid w:val="00691491"/>
    <w:rsid w:val="00691648"/>
    <w:rsid w:val="006917D7"/>
    <w:rsid w:val="00692819"/>
    <w:rsid w:val="0069434C"/>
    <w:rsid w:val="006943B1"/>
    <w:rsid w:val="006949F0"/>
    <w:rsid w:val="00694F44"/>
    <w:rsid w:val="0069568F"/>
    <w:rsid w:val="0069626B"/>
    <w:rsid w:val="00696EF9"/>
    <w:rsid w:val="00696F51"/>
    <w:rsid w:val="006973F9"/>
    <w:rsid w:val="006979A5"/>
    <w:rsid w:val="00697F36"/>
    <w:rsid w:val="006A016F"/>
    <w:rsid w:val="006A0DF7"/>
    <w:rsid w:val="006A162D"/>
    <w:rsid w:val="006A4321"/>
    <w:rsid w:val="006A43D9"/>
    <w:rsid w:val="006A50AD"/>
    <w:rsid w:val="006A699B"/>
    <w:rsid w:val="006A6B99"/>
    <w:rsid w:val="006A6EB3"/>
    <w:rsid w:val="006A7E5F"/>
    <w:rsid w:val="006B11A8"/>
    <w:rsid w:val="006B1CFD"/>
    <w:rsid w:val="006B261B"/>
    <w:rsid w:val="006B2C90"/>
    <w:rsid w:val="006B35E6"/>
    <w:rsid w:val="006B465A"/>
    <w:rsid w:val="006B6CAB"/>
    <w:rsid w:val="006B6DD0"/>
    <w:rsid w:val="006C0399"/>
    <w:rsid w:val="006C1AD1"/>
    <w:rsid w:val="006C2875"/>
    <w:rsid w:val="006C2A8E"/>
    <w:rsid w:val="006C3186"/>
    <w:rsid w:val="006C3255"/>
    <w:rsid w:val="006C3F26"/>
    <w:rsid w:val="006C4967"/>
    <w:rsid w:val="006C4A46"/>
    <w:rsid w:val="006C6C9E"/>
    <w:rsid w:val="006D0D17"/>
    <w:rsid w:val="006D2B02"/>
    <w:rsid w:val="006D3196"/>
    <w:rsid w:val="006D3562"/>
    <w:rsid w:val="006D3C7D"/>
    <w:rsid w:val="006D4659"/>
    <w:rsid w:val="006D4938"/>
    <w:rsid w:val="006D5D5C"/>
    <w:rsid w:val="006D5D5F"/>
    <w:rsid w:val="006D68FB"/>
    <w:rsid w:val="006D6B26"/>
    <w:rsid w:val="006D779D"/>
    <w:rsid w:val="006E2868"/>
    <w:rsid w:val="006E46EB"/>
    <w:rsid w:val="006E5869"/>
    <w:rsid w:val="006E6753"/>
    <w:rsid w:val="006F10C9"/>
    <w:rsid w:val="006F1287"/>
    <w:rsid w:val="006F2145"/>
    <w:rsid w:val="006F2CCF"/>
    <w:rsid w:val="006F306C"/>
    <w:rsid w:val="006F5615"/>
    <w:rsid w:val="006F58A2"/>
    <w:rsid w:val="006F63A5"/>
    <w:rsid w:val="00700315"/>
    <w:rsid w:val="0070089D"/>
    <w:rsid w:val="0070142B"/>
    <w:rsid w:val="00702390"/>
    <w:rsid w:val="0070265A"/>
    <w:rsid w:val="0070276E"/>
    <w:rsid w:val="00702F8F"/>
    <w:rsid w:val="007079FC"/>
    <w:rsid w:val="00710CE0"/>
    <w:rsid w:val="007111B9"/>
    <w:rsid w:val="00711A36"/>
    <w:rsid w:val="007125D3"/>
    <w:rsid w:val="00712A6F"/>
    <w:rsid w:val="007132CB"/>
    <w:rsid w:val="0071451E"/>
    <w:rsid w:val="00714C26"/>
    <w:rsid w:val="00714D45"/>
    <w:rsid w:val="0071525A"/>
    <w:rsid w:val="0071529C"/>
    <w:rsid w:val="007155A4"/>
    <w:rsid w:val="007160E7"/>
    <w:rsid w:val="0071699C"/>
    <w:rsid w:val="007170DA"/>
    <w:rsid w:val="007172AD"/>
    <w:rsid w:val="00717546"/>
    <w:rsid w:val="00720801"/>
    <w:rsid w:val="0072193B"/>
    <w:rsid w:val="00722106"/>
    <w:rsid w:val="00722B1B"/>
    <w:rsid w:val="00723A20"/>
    <w:rsid w:val="0072416F"/>
    <w:rsid w:val="00725358"/>
    <w:rsid w:val="00725470"/>
    <w:rsid w:val="007255B7"/>
    <w:rsid w:val="00726190"/>
    <w:rsid w:val="00727C94"/>
    <w:rsid w:val="00731230"/>
    <w:rsid w:val="00731B0A"/>
    <w:rsid w:val="00731EAE"/>
    <w:rsid w:val="00731FF2"/>
    <w:rsid w:val="00732BD0"/>
    <w:rsid w:val="00733073"/>
    <w:rsid w:val="0073343C"/>
    <w:rsid w:val="00734555"/>
    <w:rsid w:val="0073457D"/>
    <w:rsid w:val="00735033"/>
    <w:rsid w:val="0073525C"/>
    <w:rsid w:val="00735328"/>
    <w:rsid w:val="0073685B"/>
    <w:rsid w:val="00737901"/>
    <w:rsid w:val="0074044C"/>
    <w:rsid w:val="007420DF"/>
    <w:rsid w:val="00742C06"/>
    <w:rsid w:val="00744151"/>
    <w:rsid w:val="007449BF"/>
    <w:rsid w:val="00745789"/>
    <w:rsid w:val="00745E46"/>
    <w:rsid w:val="007463FE"/>
    <w:rsid w:val="00746654"/>
    <w:rsid w:val="00746BC0"/>
    <w:rsid w:val="007510B4"/>
    <w:rsid w:val="007512F2"/>
    <w:rsid w:val="00752142"/>
    <w:rsid w:val="007523F9"/>
    <w:rsid w:val="00752406"/>
    <w:rsid w:val="0075297B"/>
    <w:rsid w:val="0075327C"/>
    <w:rsid w:val="0075357E"/>
    <w:rsid w:val="00753B29"/>
    <w:rsid w:val="00755687"/>
    <w:rsid w:val="00756D78"/>
    <w:rsid w:val="00756DE3"/>
    <w:rsid w:val="007570ED"/>
    <w:rsid w:val="007573E8"/>
    <w:rsid w:val="00757E5C"/>
    <w:rsid w:val="00760C4E"/>
    <w:rsid w:val="00760F9E"/>
    <w:rsid w:val="0076130A"/>
    <w:rsid w:val="007616E6"/>
    <w:rsid w:val="007627BE"/>
    <w:rsid w:val="00763054"/>
    <w:rsid w:val="00763322"/>
    <w:rsid w:val="00763469"/>
    <w:rsid w:val="007646F4"/>
    <w:rsid w:val="00764F03"/>
    <w:rsid w:val="00765B1A"/>
    <w:rsid w:val="00765CAB"/>
    <w:rsid w:val="00765DC1"/>
    <w:rsid w:val="00766F70"/>
    <w:rsid w:val="00772395"/>
    <w:rsid w:val="00773FD4"/>
    <w:rsid w:val="00777335"/>
    <w:rsid w:val="00777C46"/>
    <w:rsid w:val="00777D79"/>
    <w:rsid w:val="00780A44"/>
    <w:rsid w:val="00781316"/>
    <w:rsid w:val="00781679"/>
    <w:rsid w:val="00781928"/>
    <w:rsid w:val="007824B6"/>
    <w:rsid w:val="00782D36"/>
    <w:rsid w:val="007833D7"/>
    <w:rsid w:val="00783BF3"/>
    <w:rsid w:val="007843F2"/>
    <w:rsid w:val="007845E3"/>
    <w:rsid w:val="007846FA"/>
    <w:rsid w:val="00785A9F"/>
    <w:rsid w:val="00791006"/>
    <w:rsid w:val="0079256E"/>
    <w:rsid w:val="007925DF"/>
    <w:rsid w:val="007936F0"/>
    <w:rsid w:val="00796483"/>
    <w:rsid w:val="00796A45"/>
    <w:rsid w:val="00797286"/>
    <w:rsid w:val="00797DEE"/>
    <w:rsid w:val="007A02A7"/>
    <w:rsid w:val="007A08AA"/>
    <w:rsid w:val="007A0A12"/>
    <w:rsid w:val="007A132D"/>
    <w:rsid w:val="007A1345"/>
    <w:rsid w:val="007A24D2"/>
    <w:rsid w:val="007A2539"/>
    <w:rsid w:val="007A2DDB"/>
    <w:rsid w:val="007A323F"/>
    <w:rsid w:val="007A4051"/>
    <w:rsid w:val="007A4431"/>
    <w:rsid w:val="007A70BA"/>
    <w:rsid w:val="007B032B"/>
    <w:rsid w:val="007B0D68"/>
    <w:rsid w:val="007B13E9"/>
    <w:rsid w:val="007B251D"/>
    <w:rsid w:val="007B2F6D"/>
    <w:rsid w:val="007B3533"/>
    <w:rsid w:val="007B3A42"/>
    <w:rsid w:val="007B4F58"/>
    <w:rsid w:val="007B528D"/>
    <w:rsid w:val="007B5C42"/>
    <w:rsid w:val="007B63CA"/>
    <w:rsid w:val="007B77D1"/>
    <w:rsid w:val="007C07C7"/>
    <w:rsid w:val="007C1CD9"/>
    <w:rsid w:val="007C32EF"/>
    <w:rsid w:val="007C361D"/>
    <w:rsid w:val="007C3C28"/>
    <w:rsid w:val="007C3CE1"/>
    <w:rsid w:val="007C4B84"/>
    <w:rsid w:val="007C56F9"/>
    <w:rsid w:val="007C70FF"/>
    <w:rsid w:val="007C7C25"/>
    <w:rsid w:val="007D004F"/>
    <w:rsid w:val="007D035F"/>
    <w:rsid w:val="007D06B2"/>
    <w:rsid w:val="007D0730"/>
    <w:rsid w:val="007D08A4"/>
    <w:rsid w:val="007D0B38"/>
    <w:rsid w:val="007D34EA"/>
    <w:rsid w:val="007D5440"/>
    <w:rsid w:val="007D69EB"/>
    <w:rsid w:val="007E128F"/>
    <w:rsid w:val="007E1B49"/>
    <w:rsid w:val="007E1D0D"/>
    <w:rsid w:val="007E1F4E"/>
    <w:rsid w:val="007E1F70"/>
    <w:rsid w:val="007E3F4B"/>
    <w:rsid w:val="007E4D96"/>
    <w:rsid w:val="007E4F95"/>
    <w:rsid w:val="007E5A7F"/>
    <w:rsid w:val="007E721E"/>
    <w:rsid w:val="007E732C"/>
    <w:rsid w:val="007F0C53"/>
    <w:rsid w:val="007F1017"/>
    <w:rsid w:val="007F2580"/>
    <w:rsid w:val="007F4A3F"/>
    <w:rsid w:val="007F4A61"/>
    <w:rsid w:val="007F5186"/>
    <w:rsid w:val="007F5255"/>
    <w:rsid w:val="007F56CC"/>
    <w:rsid w:val="007F61C2"/>
    <w:rsid w:val="007F7521"/>
    <w:rsid w:val="00801222"/>
    <w:rsid w:val="00801A86"/>
    <w:rsid w:val="00805142"/>
    <w:rsid w:val="00805FCE"/>
    <w:rsid w:val="00807A8B"/>
    <w:rsid w:val="00807A95"/>
    <w:rsid w:val="008103B8"/>
    <w:rsid w:val="00811383"/>
    <w:rsid w:val="00812149"/>
    <w:rsid w:val="008123F0"/>
    <w:rsid w:val="00812CAC"/>
    <w:rsid w:val="008131EB"/>
    <w:rsid w:val="00813698"/>
    <w:rsid w:val="00813D44"/>
    <w:rsid w:val="00814CD9"/>
    <w:rsid w:val="00814D9F"/>
    <w:rsid w:val="008152D5"/>
    <w:rsid w:val="00816361"/>
    <w:rsid w:val="008166EF"/>
    <w:rsid w:val="00816FEF"/>
    <w:rsid w:val="00817242"/>
    <w:rsid w:val="00820A8C"/>
    <w:rsid w:val="0082111C"/>
    <w:rsid w:val="008215FB"/>
    <w:rsid w:val="008220CC"/>
    <w:rsid w:val="00823174"/>
    <w:rsid w:val="008235CA"/>
    <w:rsid w:val="00825751"/>
    <w:rsid w:val="008264EB"/>
    <w:rsid w:val="008268CE"/>
    <w:rsid w:val="00827C23"/>
    <w:rsid w:val="00827C94"/>
    <w:rsid w:val="0083236B"/>
    <w:rsid w:val="008337B6"/>
    <w:rsid w:val="00833B05"/>
    <w:rsid w:val="008362B4"/>
    <w:rsid w:val="008365A9"/>
    <w:rsid w:val="008403A7"/>
    <w:rsid w:val="00840CA2"/>
    <w:rsid w:val="00841061"/>
    <w:rsid w:val="00842520"/>
    <w:rsid w:val="00842F65"/>
    <w:rsid w:val="008433B5"/>
    <w:rsid w:val="0084374F"/>
    <w:rsid w:val="00843FB4"/>
    <w:rsid w:val="00844A22"/>
    <w:rsid w:val="00846F73"/>
    <w:rsid w:val="00847411"/>
    <w:rsid w:val="00847703"/>
    <w:rsid w:val="00847DF5"/>
    <w:rsid w:val="00847F90"/>
    <w:rsid w:val="00850C10"/>
    <w:rsid w:val="00850C56"/>
    <w:rsid w:val="00851F72"/>
    <w:rsid w:val="0085299B"/>
    <w:rsid w:val="0085309D"/>
    <w:rsid w:val="0085454C"/>
    <w:rsid w:val="00856897"/>
    <w:rsid w:val="00856D5F"/>
    <w:rsid w:val="00856E9A"/>
    <w:rsid w:val="00860405"/>
    <w:rsid w:val="0086075D"/>
    <w:rsid w:val="00860F48"/>
    <w:rsid w:val="008612AC"/>
    <w:rsid w:val="008619BB"/>
    <w:rsid w:val="00862502"/>
    <w:rsid w:val="00862CC1"/>
    <w:rsid w:val="008637F5"/>
    <w:rsid w:val="008642A7"/>
    <w:rsid w:val="008660D4"/>
    <w:rsid w:val="00866948"/>
    <w:rsid w:val="00866A91"/>
    <w:rsid w:val="00866C26"/>
    <w:rsid w:val="00867808"/>
    <w:rsid w:val="008717E4"/>
    <w:rsid w:val="00871FA9"/>
    <w:rsid w:val="008728E9"/>
    <w:rsid w:val="008736EB"/>
    <w:rsid w:val="00874BD2"/>
    <w:rsid w:val="00875767"/>
    <w:rsid w:val="0087593A"/>
    <w:rsid w:val="008774D1"/>
    <w:rsid w:val="00880394"/>
    <w:rsid w:val="00880F13"/>
    <w:rsid w:val="008815F6"/>
    <w:rsid w:val="008826BB"/>
    <w:rsid w:val="0088270A"/>
    <w:rsid w:val="00882874"/>
    <w:rsid w:val="00882E3C"/>
    <w:rsid w:val="0088308A"/>
    <w:rsid w:val="00883787"/>
    <w:rsid w:val="008855E4"/>
    <w:rsid w:val="0088635E"/>
    <w:rsid w:val="00886CD2"/>
    <w:rsid w:val="00890DA5"/>
    <w:rsid w:val="0089146A"/>
    <w:rsid w:val="00891E6F"/>
    <w:rsid w:val="0089275D"/>
    <w:rsid w:val="00892A36"/>
    <w:rsid w:val="00893239"/>
    <w:rsid w:val="00894489"/>
    <w:rsid w:val="00894CD6"/>
    <w:rsid w:val="008963A5"/>
    <w:rsid w:val="00896D5D"/>
    <w:rsid w:val="008A2550"/>
    <w:rsid w:val="008A3158"/>
    <w:rsid w:val="008A3363"/>
    <w:rsid w:val="008A3371"/>
    <w:rsid w:val="008A3C3E"/>
    <w:rsid w:val="008A5309"/>
    <w:rsid w:val="008A5F7C"/>
    <w:rsid w:val="008A61F5"/>
    <w:rsid w:val="008A79DE"/>
    <w:rsid w:val="008A7BC8"/>
    <w:rsid w:val="008A7D44"/>
    <w:rsid w:val="008B0055"/>
    <w:rsid w:val="008B0087"/>
    <w:rsid w:val="008B0E3F"/>
    <w:rsid w:val="008B146F"/>
    <w:rsid w:val="008B1757"/>
    <w:rsid w:val="008B1C33"/>
    <w:rsid w:val="008B337B"/>
    <w:rsid w:val="008B4A29"/>
    <w:rsid w:val="008B4B6F"/>
    <w:rsid w:val="008B57B6"/>
    <w:rsid w:val="008B735B"/>
    <w:rsid w:val="008B7992"/>
    <w:rsid w:val="008B7D7E"/>
    <w:rsid w:val="008C1295"/>
    <w:rsid w:val="008C339A"/>
    <w:rsid w:val="008C345C"/>
    <w:rsid w:val="008C3C3D"/>
    <w:rsid w:val="008C4499"/>
    <w:rsid w:val="008C44B3"/>
    <w:rsid w:val="008C5610"/>
    <w:rsid w:val="008C5739"/>
    <w:rsid w:val="008C7282"/>
    <w:rsid w:val="008C7ECB"/>
    <w:rsid w:val="008D0AE7"/>
    <w:rsid w:val="008D26BE"/>
    <w:rsid w:val="008D29E8"/>
    <w:rsid w:val="008D3B86"/>
    <w:rsid w:val="008D4063"/>
    <w:rsid w:val="008D4094"/>
    <w:rsid w:val="008D432E"/>
    <w:rsid w:val="008D43FD"/>
    <w:rsid w:val="008D4755"/>
    <w:rsid w:val="008D4C3D"/>
    <w:rsid w:val="008D743C"/>
    <w:rsid w:val="008E08B0"/>
    <w:rsid w:val="008E0D3C"/>
    <w:rsid w:val="008E1B9E"/>
    <w:rsid w:val="008E24C8"/>
    <w:rsid w:val="008E27B7"/>
    <w:rsid w:val="008E3DAA"/>
    <w:rsid w:val="008E55AB"/>
    <w:rsid w:val="008E561F"/>
    <w:rsid w:val="008E5CC4"/>
    <w:rsid w:val="008F120A"/>
    <w:rsid w:val="008F19B7"/>
    <w:rsid w:val="008F27E0"/>
    <w:rsid w:val="008F32F4"/>
    <w:rsid w:val="008F48EB"/>
    <w:rsid w:val="008F4F0B"/>
    <w:rsid w:val="008F5049"/>
    <w:rsid w:val="008F6E2F"/>
    <w:rsid w:val="009046C4"/>
    <w:rsid w:val="00905F67"/>
    <w:rsid w:val="0090607F"/>
    <w:rsid w:val="009062A5"/>
    <w:rsid w:val="00907699"/>
    <w:rsid w:val="00910A83"/>
    <w:rsid w:val="00910FA7"/>
    <w:rsid w:val="00911272"/>
    <w:rsid w:val="00911339"/>
    <w:rsid w:val="00912699"/>
    <w:rsid w:val="009135D6"/>
    <w:rsid w:val="00914C77"/>
    <w:rsid w:val="00915F97"/>
    <w:rsid w:val="009162D5"/>
    <w:rsid w:val="00917BA7"/>
    <w:rsid w:val="00921ACB"/>
    <w:rsid w:val="0092369B"/>
    <w:rsid w:val="009265A1"/>
    <w:rsid w:val="00926F3A"/>
    <w:rsid w:val="00927240"/>
    <w:rsid w:val="009279B7"/>
    <w:rsid w:val="00933485"/>
    <w:rsid w:val="00934988"/>
    <w:rsid w:val="0093557B"/>
    <w:rsid w:val="009361E0"/>
    <w:rsid w:val="00937089"/>
    <w:rsid w:val="00940BA4"/>
    <w:rsid w:val="00942129"/>
    <w:rsid w:val="0094301A"/>
    <w:rsid w:val="00943F91"/>
    <w:rsid w:val="00944F8A"/>
    <w:rsid w:val="0094559B"/>
    <w:rsid w:val="00946E4C"/>
    <w:rsid w:val="0094701F"/>
    <w:rsid w:val="00947313"/>
    <w:rsid w:val="00947660"/>
    <w:rsid w:val="009510A2"/>
    <w:rsid w:val="00952131"/>
    <w:rsid w:val="00953257"/>
    <w:rsid w:val="00953AE5"/>
    <w:rsid w:val="00953D31"/>
    <w:rsid w:val="00954696"/>
    <w:rsid w:val="0095474C"/>
    <w:rsid w:val="00954B4A"/>
    <w:rsid w:val="00955CBA"/>
    <w:rsid w:val="00957667"/>
    <w:rsid w:val="00957930"/>
    <w:rsid w:val="00957D92"/>
    <w:rsid w:val="009611B4"/>
    <w:rsid w:val="00961BE8"/>
    <w:rsid w:val="00962CB9"/>
    <w:rsid w:val="0096391E"/>
    <w:rsid w:val="00964312"/>
    <w:rsid w:val="00965B8A"/>
    <w:rsid w:val="0096627A"/>
    <w:rsid w:val="0097071F"/>
    <w:rsid w:val="009717AC"/>
    <w:rsid w:val="009751C1"/>
    <w:rsid w:val="0097585C"/>
    <w:rsid w:val="00977181"/>
    <w:rsid w:val="009809C8"/>
    <w:rsid w:val="009811F1"/>
    <w:rsid w:val="00981652"/>
    <w:rsid w:val="00981C7B"/>
    <w:rsid w:val="00982C5F"/>
    <w:rsid w:val="00982D8E"/>
    <w:rsid w:val="00983E57"/>
    <w:rsid w:val="00985DE2"/>
    <w:rsid w:val="009861EE"/>
    <w:rsid w:val="0098675D"/>
    <w:rsid w:val="00986A7B"/>
    <w:rsid w:val="00987BA4"/>
    <w:rsid w:val="00987BE0"/>
    <w:rsid w:val="009926E0"/>
    <w:rsid w:val="0099451E"/>
    <w:rsid w:val="00994A4C"/>
    <w:rsid w:val="00996127"/>
    <w:rsid w:val="00996A62"/>
    <w:rsid w:val="00996B1A"/>
    <w:rsid w:val="009974B6"/>
    <w:rsid w:val="009A05AB"/>
    <w:rsid w:val="009A113F"/>
    <w:rsid w:val="009A18F6"/>
    <w:rsid w:val="009A1C53"/>
    <w:rsid w:val="009A2DCC"/>
    <w:rsid w:val="009A3F1D"/>
    <w:rsid w:val="009A5ABC"/>
    <w:rsid w:val="009A7C5A"/>
    <w:rsid w:val="009A7D58"/>
    <w:rsid w:val="009A7EC5"/>
    <w:rsid w:val="009A7F10"/>
    <w:rsid w:val="009B006F"/>
    <w:rsid w:val="009B26C2"/>
    <w:rsid w:val="009B39E6"/>
    <w:rsid w:val="009B3C71"/>
    <w:rsid w:val="009B3E26"/>
    <w:rsid w:val="009B445C"/>
    <w:rsid w:val="009B5839"/>
    <w:rsid w:val="009B5974"/>
    <w:rsid w:val="009C027E"/>
    <w:rsid w:val="009C1271"/>
    <w:rsid w:val="009C22C0"/>
    <w:rsid w:val="009C2533"/>
    <w:rsid w:val="009C36C0"/>
    <w:rsid w:val="009C3706"/>
    <w:rsid w:val="009C3A3A"/>
    <w:rsid w:val="009C3F3A"/>
    <w:rsid w:val="009C4EC9"/>
    <w:rsid w:val="009C4EDF"/>
    <w:rsid w:val="009C5BFA"/>
    <w:rsid w:val="009C6357"/>
    <w:rsid w:val="009C6CEA"/>
    <w:rsid w:val="009C7B20"/>
    <w:rsid w:val="009C7B52"/>
    <w:rsid w:val="009C7B85"/>
    <w:rsid w:val="009D0254"/>
    <w:rsid w:val="009D0808"/>
    <w:rsid w:val="009D1A64"/>
    <w:rsid w:val="009D2883"/>
    <w:rsid w:val="009D3AAC"/>
    <w:rsid w:val="009D3D7C"/>
    <w:rsid w:val="009D5B91"/>
    <w:rsid w:val="009D6E6A"/>
    <w:rsid w:val="009D792E"/>
    <w:rsid w:val="009E0360"/>
    <w:rsid w:val="009E06AA"/>
    <w:rsid w:val="009E08CD"/>
    <w:rsid w:val="009E0DFE"/>
    <w:rsid w:val="009E18F6"/>
    <w:rsid w:val="009E31F6"/>
    <w:rsid w:val="009E4C07"/>
    <w:rsid w:val="009E62F4"/>
    <w:rsid w:val="009E777F"/>
    <w:rsid w:val="009F0659"/>
    <w:rsid w:val="009F2CCC"/>
    <w:rsid w:val="009F35F1"/>
    <w:rsid w:val="009F521B"/>
    <w:rsid w:val="009F5AF2"/>
    <w:rsid w:val="009F6120"/>
    <w:rsid w:val="009F71BB"/>
    <w:rsid w:val="00A00D76"/>
    <w:rsid w:val="00A01119"/>
    <w:rsid w:val="00A01184"/>
    <w:rsid w:val="00A01449"/>
    <w:rsid w:val="00A037C2"/>
    <w:rsid w:val="00A03D43"/>
    <w:rsid w:val="00A04380"/>
    <w:rsid w:val="00A04786"/>
    <w:rsid w:val="00A05472"/>
    <w:rsid w:val="00A05C32"/>
    <w:rsid w:val="00A063E3"/>
    <w:rsid w:val="00A0653F"/>
    <w:rsid w:val="00A0756C"/>
    <w:rsid w:val="00A1138C"/>
    <w:rsid w:val="00A11CD0"/>
    <w:rsid w:val="00A12BCD"/>
    <w:rsid w:val="00A13948"/>
    <w:rsid w:val="00A153D7"/>
    <w:rsid w:val="00A1555B"/>
    <w:rsid w:val="00A155C5"/>
    <w:rsid w:val="00A1573F"/>
    <w:rsid w:val="00A169B4"/>
    <w:rsid w:val="00A16AD8"/>
    <w:rsid w:val="00A17806"/>
    <w:rsid w:val="00A2021E"/>
    <w:rsid w:val="00A21A7D"/>
    <w:rsid w:val="00A21C6C"/>
    <w:rsid w:val="00A21C95"/>
    <w:rsid w:val="00A21CF3"/>
    <w:rsid w:val="00A228AB"/>
    <w:rsid w:val="00A22FED"/>
    <w:rsid w:val="00A23F46"/>
    <w:rsid w:val="00A24813"/>
    <w:rsid w:val="00A27AEC"/>
    <w:rsid w:val="00A320DB"/>
    <w:rsid w:val="00A35396"/>
    <w:rsid w:val="00A35D16"/>
    <w:rsid w:val="00A3660D"/>
    <w:rsid w:val="00A37BCD"/>
    <w:rsid w:val="00A41689"/>
    <w:rsid w:val="00A42592"/>
    <w:rsid w:val="00A42E76"/>
    <w:rsid w:val="00A43C59"/>
    <w:rsid w:val="00A445D2"/>
    <w:rsid w:val="00A44C0D"/>
    <w:rsid w:val="00A45909"/>
    <w:rsid w:val="00A45B38"/>
    <w:rsid w:val="00A47F9E"/>
    <w:rsid w:val="00A50B9F"/>
    <w:rsid w:val="00A50E4A"/>
    <w:rsid w:val="00A50ECD"/>
    <w:rsid w:val="00A518F3"/>
    <w:rsid w:val="00A52729"/>
    <w:rsid w:val="00A529D1"/>
    <w:rsid w:val="00A53675"/>
    <w:rsid w:val="00A53BC0"/>
    <w:rsid w:val="00A53FF7"/>
    <w:rsid w:val="00A564D7"/>
    <w:rsid w:val="00A56B6A"/>
    <w:rsid w:val="00A578DC"/>
    <w:rsid w:val="00A63B41"/>
    <w:rsid w:val="00A640E2"/>
    <w:rsid w:val="00A64597"/>
    <w:rsid w:val="00A648DC"/>
    <w:rsid w:val="00A64960"/>
    <w:rsid w:val="00A64D65"/>
    <w:rsid w:val="00A66950"/>
    <w:rsid w:val="00A6725B"/>
    <w:rsid w:val="00A70605"/>
    <w:rsid w:val="00A71B9D"/>
    <w:rsid w:val="00A72862"/>
    <w:rsid w:val="00A73134"/>
    <w:rsid w:val="00A7365A"/>
    <w:rsid w:val="00A743AD"/>
    <w:rsid w:val="00A75B88"/>
    <w:rsid w:val="00A76001"/>
    <w:rsid w:val="00A77597"/>
    <w:rsid w:val="00A777B2"/>
    <w:rsid w:val="00A80549"/>
    <w:rsid w:val="00A8160A"/>
    <w:rsid w:val="00A81CFA"/>
    <w:rsid w:val="00A821EB"/>
    <w:rsid w:val="00A8225F"/>
    <w:rsid w:val="00A825D4"/>
    <w:rsid w:val="00A828F6"/>
    <w:rsid w:val="00A82B73"/>
    <w:rsid w:val="00A83F04"/>
    <w:rsid w:val="00A86E8B"/>
    <w:rsid w:val="00A87164"/>
    <w:rsid w:val="00A87AC2"/>
    <w:rsid w:val="00A90F57"/>
    <w:rsid w:val="00A93072"/>
    <w:rsid w:val="00A938BD"/>
    <w:rsid w:val="00A93953"/>
    <w:rsid w:val="00A959D8"/>
    <w:rsid w:val="00A96549"/>
    <w:rsid w:val="00A97171"/>
    <w:rsid w:val="00A9778E"/>
    <w:rsid w:val="00A97858"/>
    <w:rsid w:val="00AA0A26"/>
    <w:rsid w:val="00AA113D"/>
    <w:rsid w:val="00AA14BD"/>
    <w:rsid w:val="00AA2FCA"/>
    <w:rsid w:val="00AA3B05"/>
    <w:rsid w:val="00AA42C6"/>
    <w:rsid w:val="00AA5813"/>
    <w:rsid w:val="00AA5ADF"/>
    <w:rsid w:val="00AA6922"/>
    <w:rsid w:val="00AA6BD5"/>
    <w:rsid w:val="00AA6BD8"/>
    <w:rsid w:val="00AA6C7D"/>
    <w:rsid w:val="00AA7FD6"/>
    <w:rsid w:val="00AB042A"/>
    <w:rsid w:val="00AB0C56"/>
    <w:rsid w:val="00AB11AD"/>
    <w:rsid w:val="00AB17E3"/>
    <w:rsid w:val="00AB19EF"/>
    <w:rsid w:val="00AB2495"/>
    <w:rsid w:val="00AB2D34"/>
    <w:rsid w:val="00AB3430"/>
    <w:rsid w:val="00AB37B9"/>
    <w:rsid w:val="00AB3F10"/>
    <w:rsid w:val="00AB4813"/>
    <w:rsid w:val="00AB4AD1"/>
    <w:rsid w:val="00AB5E07"/>
    <w:rsid w:val="00AB7CFA"/>
    <w:rsid w:val="00AC0DE9"/>
    <w:rsid w:val="00AC1136"/>
    <w:rsid w:val="00AC30B7"/>
    <w:rsid w:val="00AC4028"/>
    <w:rsid w:val="00AC4E55"/>
    <w:rsid w:val="00AC5644"/>
    <w:rsid w:val="00AC5B42"/>
    <w:rsid w:val="00AC5B48"/>
    <w:rsid w:val="00AC65A2"/>
    <w:rsid w:val="00AC6DED"/>
    <w:rsid w:val="00AC7583"/>
    <w:rsid w:val="00AD0D91"/>
    <w:rsid w:val="00AD1450"/>
    <w:rsid w:val="00AD15E8"/>
    <w:rsid w:val="00AD2CE5"/>
    <w:rsid w:val="00AD3103"/>
    <w:rsid w:val="00AD356D"/>
    <w:rsid w:val="00AD4763"/>
    <w:rsid w:val="00AD6502"/>
    <w:rsid w:val="00AD6BD6"/>
    <w:rsid w:val="00AD742C"/>
    <w:rsid w:val="00AE0695"/>
    <w:rsid w:val="00AE26D3"/>
    <w:rsid w:val="00AE3E7E"/>
    <w:rsid w:val="00AE406D"/>
    <w:rsid w:val="00AE40A5"/>
    <w:rsid w:val="00AE53D6"/>
    <w:rsid w:val="00AE7E53"/>
    <w:rsid w:val="00AF1315"/>
    <w:rsid w:val="00AF14E6"/>
    <w:rsid w:val="00AF19BF"/>
    <w:rsid w:val="00AF2C44"/>
    <w:rsid w:val="00AF2DC3"/>
    <w:rsid w:val="00AF5A9B"/>
    <w:rsid w:val="00AF5BE9"/>
    <w:rsid w:val="00AF6627"/>
    <w:rsid w:val="00AF6F07"/>
    <w:rsid w:val="00AF7323"/>
    <w:rsid w:val="00AF7516"/>
    <w:rsid w:val="00B01B81"/>
    <w:rsid w:val="00B033E5"/>
    <w:rsid w:val="00B03A63"/>
    <w:rsid w:val="00B069F6"/>
    <w:rsid w:val="00B0755C"/>
    <w:rsid w:val="00B10095"/>
    <w:rsid w:val="00B10AD5"/>
    <w:rsid w:val="00B129A4"/>
    <w:rsid w:val="00B137EB"/>
    <w:rsid w:val="00B13A03"/>
    <w:rsid w:val="00B13A6A"/>
    <w:rsid w:val="00B13C08"/>
    <w:rsid w:val="00B14701"/>
    <w:rsid w:val="00B1593F"/>
    <w:rsid w:val="00B201A4"/>
    <w:rsid w:val="00B201D1"/>
    <w:rsid w:val="00B20F7B"/>
    <w:rsid w:val="00B213A6"/>
    <w:rsid w:val="00B2159E"/>
    <w:rsid w:val="00B224AA"/>
    <w:rsid w:val="00B235B0"/>
    <w:rsid w:val="00B23E1E"/>
    <w:rsid w:val="00B24DF6"/>
    <w:rsid w:val="00B26CC1"/>
    <w:rsid w:val="00B27A61"/>
    <w:rsid w:val="00B3168E"/>
    <w:rsid w:val="00B3456F"/>
    <w:rsid w:val="00B34FE2"/>
    <w:rsid w:val="00B35166"/>
    <w:rsid w:val="00B354B5"/>
    <w:rsid w:val="00B357D8"/>
    <w:rsid w:val="00B3587B"/>
    <w:rsid w:val="00B360F4"/>
    <w:rsid w:val="00B36A00"/>
    <w:rsid w:val="00B37288"/>
    <w:rsid w:val="00B3792B"/>
    <w:rsid w:val="00B37BFC"/>
    <w:rsid w:val="00B40358"/>
    <w:rsid w:val="00B41614"/>
    <w:rsid w:val="00B42674"/>
    <w:rsid w:val="00B42851"/>
    <w:rsid w:val="00B42F80"/>
    <w:rsid w:val="00B435CB"/>
    <w:rsid w:val="00B465EC"/>
    <w:rsid w:val="00B46FBC"/>
    <w:rsid w:val="00B505C5"/>
    <w:rsid w:val="00B505C8"/>
    <w:rsid w:val="00B50DB8"/>
    <w:rsid w:val="00B53654"/>
    <w:rsid w:val="00B53905"/>
    <w:rsid w:val="00B546DB"/>
    <w:rsid w:val="00B547B7"/>
    <w:rsid w:val="00B54B5B"/>
    <w:rsid w:val="00B5562E"/>
    <w:rsid w:val="00B55862"/>
    <w:rsid w:val="00B55D65"/>
    <w:rsid w:val="00B56305"/>
    <w:rsid w:val="00B567DF"/>
    <w:rsid w:val="00B56804"/>
    <w:rsid w:val="00B5693B"/>
    <w:rsid w:val="00B57000"/>
    <w:rsid w:val="00B60939"/>
    <w:rsid w:val="00B60A8E"/>
    <w:rsid w:val="00B60AFD"/>
    <w:rsid w:val="00B62715"/>
    <w:rsid w:val="00B6285A"/>
    <w:rsid w:val="00B636B8"/>
    <w:rsid w:val="00B64773"/>
    <w:rsid w:val="00B65611"/>
    <w:rsid w:val="00B70750"/>
    <w:rsid w:val="00B70E8E"/>
    <w:rsid w:val="00B72F53"/>
    <w:rsid w:val="00B73C05"/>
    <w:rsid w:val="00B741E9"/>
    <w:rsid w:val="00B75A9D"/>
    <w:rsid w:val="00B76915"/>
    <w:rsid w:val="00B76C92"/>
    <w:rsid w:val="00B76D5F"/>
    <w:rsid w:val="00B80D22"/>
    <w:rsid w:val="00B80EFD"/>
    <w:rsid w:val="00B81747"/>
    <w:rsid w:val="00B818A4"/>
    <w:rsid w:val="00B82A60"/>
    <w:rsid w:val="00B83739"/>
    <w:rsid w:val="00B84117"/>
    <w:rsid w:val="00B858F0"/>
    <w:rsid w:val="00B85AA2"/>
    <w:rsid w:val="00B85F01"/>
    <w:rsid w:val="00B8649C"/>
    <w:rsid w:val="00B8695D"/>
    <w:rsid w:val="00B869EC"/>
    <w:rsid w:val="00B86B5C"/>
    <w:rsid w:val="00B87F0A"/>
    <w:rsid w:val="00B87FCF"/>
    <w:rsid w:val="00B90ECE"/>
    <w:rsid w:val="00B92D0B"/>
    <w:rsid w:val="00B93762"/>
    <w:rsid w:val="00B94016"/>
    <w:rsid w:val="00B946EE"/>
    <w:rsid w:val="00B94945"/>
    <w:rsid w:val="00B94DD6"/>
    <w:rsid w:val="00B95218"/>
    <w:rsid w:val="00B95A3B"/>
    <w:rsid w:val="00B97D87"/>
    <w:rsid w:val="00BA037D"/>
    <w:rsid w:val="00BA1693"/>
    <w:rsid w:val="00BA1A97"/>
    <w:rsid w:val="00BA28BD"/>
    <w:rsid w:val="00BA2FC5"/>
    <w:rsid w:val="00BA322D"/>
    <w:rsid w:val="00BA63FA"/>
    <w:rsid w:val="00BA77B6"/>
    <w:rsid w:val="00BB00B3"/>
    <w:rsid w:val="00BB0BDD"/>
    <w:rsid w:val="00BB0EC1"/>
    <w:rsid w:val="00BB1474"/>
    <w:rsid w:val="00BB176C"/>
    <w:rsid w:val="00BB1CFA"/>
    <w:rsid w:val="00BB2A73"/>
    <w:rsid w:val="00BB3A45"/>
    <w:rsid w:val="00BB4ACC"/>
    <w:rsid w:val="00BB4E51"/>
    <w:rsid w:val="00BB54B8"/>
    <w:rsid w:val="00BB703E"/>
    <w:rsid w:val="00BB732D"/>
    <w:rsid w:val="00BB7405"/>
    <w:rsid w:val="00BC0F9C"/>
    <w:rsid w:val="00BC1AEA"/>
    <w:rsid w:val="00BC2416"/>
    <w:rsid w:val="00BC3314"/>
    <w:rsid w:val="00BC3631"/>
    <w:rsid w:val="00BC51D8"/>
    <w:rsid w:val="00BC591F"/>
    <w:rsid w:val="00BC76C1"/>
    <w:rsid w:val="00BC7D6D"/>
    <w:rsid w:val="00BD1569"/>
    <w:rsid w:val="00BD2108"/>
    <w:rsid w:val="00BD3168"/>
    <w:rsid w:val="00BD40C4"/>
    <w:rsid w:val="00BD4232"/>
    <w:rsid w:val="00BD68A3"/>
    <w:rsid w:val="00BD6938"/>
    <w:rsid w:val="00BD69B7"/>
    <w:rsid w:val="00BD6CF3"/>
    <w:rsid w:val="00BD7D2D"/>
    <w:rsid w:val="00BD7F72"/>
    <w:rsid w:val="00BE043C"/>
    <w:rsid w:val="00BE0ECA"/>
    <w:rsid w:val="00BE2180"/>
    <w:rsid w:val="00BE21F2"/>
    <w:rsid w:val="00BE4275"/>
    <w:rsid w:val="00BE4BF5"/>
    <w:rsid w:val="00BE5364"/>
    <w:rsid w:val="00BE6EB5"/>
    <w:rsid w:val="00BF06AE"/>
    <w:rsid w:val="00BF09A6"/>
    <w:rsid w:val="00BF0F95"/>
    <w:rsid w:val="00BF1794"/>
    <w:rsid w:val="00BF1C21"/>
    <w:rsid w:val="00BF216B"/>
    <w:rsid w:val="00BF2433"/>
    <w:rsid w:val="00BF2866"/>
    <w:rsid w:val="00BF2E6E"/>
    <w:rsid w:val="00BF4CC1"/>
    <w:rsid w:val="00BF61C9"/>
    <w:rsid w:val="00BF6C94"/>
    <w:rsid w:val="00C0021B"/>
    <w:rsid w:val="00C00424"/>
    <w:rsid w:val="00C00BB0"/>
    <w:rsid w:val="00C04863"/>
    <w:rsid w:val="00C04B61"/>
    <w:rsid w:val="00C04D40"/>
    <w:rsid w:val="00C070E8"/>
    <w:rsid w:val="00C10373"/>
    <w:rsid w:val="00C10A0C"/>
    <w:rsid w:val="00C1179F"/>
    <w:rsid w:val="00C127B9"/>
    <w:rsid w:val="00C128FA"/>
    <w:rsid w:val="00C12C14"/>
    <w:rsid w:val="00C15F04"/>
    <w:rsid w:val="00C17059"/>
    <w:rsid w:val="00C1790C"/>
    <w:rsid w:val="00C179B3"/>
    <w:rsid w:val="00C17E3F"/>
    <w:rsid w:val="00C200AA"/>
    <w:rsid w:val="00C203D8"/>
    <w:rsid w:val="00C20D83"/>
    <w:rsid w:val="00C21FA8"/>
    <w:rsid w:val="00C222AA"/>
    <w:rsid w:val="00C22CC4"/>
    <w:rsid w:val="00C237ED"/>
    <w:rsid w:val="00C24441"/>
    <w:rsid w:val="00C24632"/>
    <w:rsid w:val="00C24730"/>
    <w:rsid w:val="00C25154"/>
    <w:rsid w:val="00C25418"/>
    <w:rsid w:val="00C25D9C"/>
    <w:rsid w:val="00C2727B"/>
    <w:rsid w:val="00C2778B"/>
    <w:rsid w:val="00C27F98"/>
    <w:rsid w:val="00C31649"/>
    <w:rsid w:val="00C33613"/>
    <w:rsid w:val="00C33B5F"/>
    <w:rsid w:val="00C3434C"/>
    <w:rsid w:val="00C34E74"/>
    <w:rsid w:val="00C36247"/>
    <w:rsid w:val="00C3673D"/>
    <w:rsid w:val="00C40385"/>
    <w:rsid w:val="00C403D9"/>
    <w:rsid w:val="00C413B5"/>
    <w:rsid w:val="00C41768"/>
    <w:rsid w:val="00C431F7"/>
    <w:rsid w:val="00C43DC8"/>
    <w:rsid w:val="00C44145"/>
    <w:rsid w:val="00C44FD4"/>
    <w:rsid w:val="00C45635"/>
    <w:rsid w:val="00C46C70"/>
    <w:rsid w:val="00C475AA"/>
    <w:rsid w:val="00C47EAF"/>
    <w:rsid w:val="00C517E9"/>
    <w:rsid w:val="00C527C7"/>
    <w:rsid w:val="00C52915"/>
    <w:rsid w:val="00C53826"/>
    <w:rsid w:val="00C53C98"/>
    <w:rsid w:val="00C55676"/>
    <w:rsid w:val="00C56FCF"/>
    <w:rsid w:val="00C578CC"/>
    <w:rsid w:val="00C57B6C"/>
    <w:rsid w:val="00C60411"/>
    <w:rsid w:val="00C608CB"/>
    <w:rsid w:val="00C61A59"/>
    <w:rsid w:val="00C61C08"/>
    <w:rsid w:val="00C620F9"/>
    <w:rsid w:val="00C628A6"/>
    <w:rsid w:val="00C62960"/>
    <w:rsid w:val="00C634FD"/>
    <w:rsid w:val="00C637D7"/>
    <w:rsid w:val="00C64344"/>
    <w:rsid w:val="00C65108"/>
    <w:rsid w:val="00C65576"/>
    <w:rsid w:val="00C66165"/>
    <w:rsid w:val="00C67583"/>
    <w:rsid w:val="00C7060A"/>
    <w:rsid w:val="00C7151A"/>
    <w:rsid w:val="00C7166A"/>
    <w:rsid w:val="00C717E3"/>
    <w:rsid w:val="00C71F60"/>
    <w:rsid w:val="00C72241"/>
    <w:rsid w:val="00C72551"/>
    <w:rsid w:val="00C72A7F"/>
    <w:rsid w:val="00C73E96"/>
    <w:rsid w:val="00C742FB"/>
    <w:rsid w:val="00C750C8"/>
    <w:rsid w:val="00C7560F"/>
    <w:rsid w:val="00C772FA"/>
    <w:rsid w:val="00C80A0E"/>
    <w:rsid w:val="00C80A9B"/>
    <w:rsid w:val="00C81364"/>
    <w:rsid w:val="00C8213F"/>
    <w:rsid w:val="00C8303F"/>
    <w:rsid w:val="00C834ED"/>
    <w:rsid w:val="00C83DAA"/>
    <w:rsid w:val="00C84284"/>
    <w:rsid w:val="00C85005"/>
    <w:rsid w:val="00C85154"/>
    <w:rsid w:val="00C85504"/>
    <w:rsid w:val="00C85A70"/>
    <w:rsid w:val="00C85DCF"/>
    <w:rsid w:val="00C85EFA"/>
    <w:rsid w:val="00C8618D"/>
    <w:rsid w:val="00C8765E"/>
    <w:rsid w:val="00C8797A"/>
    <w:rsid w:val="00C900B8"/>
    <w:rsid w:val="00C90197"/>
    <w:rsid w:val="00C90C71"/>
    <w:rsid w:val="00C91DCD"/>
    <w:rsid w:val="00C91FD1"/>
    <w:rsid w:val="00C92081"/>
    <w:rsid w:val="00C931CF"/>
    <w:rsid w:val="00C931FE"/>
    <w:rsid w:val="00C938CF"/>
    <w:rsid w:val="00C93D4F"/>
    <w:rsid w:val="00C94053"/>
    <w:rsid w:val="00C9624D"/>
    <w:rsid w:val="00C969DA"/>
    <w:rsid w:val="00C96E05"/>
    <w:rsid w:val="00C978C4"/>
    <w:rsid w:val="00C97D93"/>
    <w:rsid w:val="00CA1123"/>
    <w:rsid w:val="00CA2C77"/>
    <w:rsid w:val="00CA444F"/>
    <w:rsid w:val="00CA4798"/>
    <w:rsid w:val="00CA4AE0"/>
    <w:rsid w:val="00CA4B58"/>
    <w:rsid w:val="00CA5245"/>
    <w:rsid w:val="00CA7034"/>
    <w:rsid w:val="00CA71F4"/>
    <w:rsid w:val="00CA7B09"/>
    <w:rsid w:val="00CB0E76"/>
    <w:rsid w:val="00CB12A5"/>
    <w:rsid w:val="00CB1CAC"/>
    <w:rsid w:val="00CB2959"/>
    <w:rsid w:val="00CB2F2A"/>
    <w:rsid w:val="00CB582E"/>
    <w:rsid w:val="00CB5B1A"/>
    <w:rsid w:val="00CB647C"/>
    <w:rsid w:val="00CB6B22"/>
    <w:rsid w:val="00CB798A"/>
    <w:rsid w:val="00CB7F5F"/>
    <w:rsid w:val="00CC041E"/>
    <w:rsid w:val="00CC044A"/>
    <w:rsid w:val="00CC0E00"/>
    <w:rsid w:val="00CC1B39"/>
    <w:rsid w:val="00CC1BFA"/>
    <w:rsid w:val="00CC2E9F"/>
    <w:rsid w:val="00CC35EA"/>
    <w:rsid w:val="00CC3848"/>
    <w:rsid w:val="00CC66C4"/>
    <w:rsid w:val="00CC6D5E"/>
    <w:rsid w:val="00CC73C1"/>
    <w:rsid w:val="00CD0200"/>
    <w:rsid w:val="00CD3DE3"/>
    <w:rsid w:val="00CD3F77"/>
    <w:rsid w:val="00CD6ADC"/>
    <w:rsid w:val="00CD7193"/>
    <w:rsid w:val="00CD7E7B"/>
    <w:rsid w:val="00CE1B68"/>
    <w:rsid w:val="00CE38C8"/>
    <w:rsid w:val="00CE4B6C"/>
    <w:rsid w:val="00CE524F"/>
    <w:rsid w:val="00CE58CC"/>
    <w:rsid w:val="00CE5F13"/>
    <w:rsid w:val="00CE6182"/>
    <w:rsid w:val="00CE6274"/>
    <w:rsid w:val="00CE77B6"/>
    <w:rsid w:val="00CF14A4"/>
    <w:rsid w:val="00CF2B8D"/>
    <w:rsid w:val="00CF2F0B"/>
    <w:rsid w:val="00CF3A1B"/>
    <w:rsid w:val="00CF456B"/>
    <w:rsid w:val="00CF5A22"/>
    <w:rsid w:val="00CF5EA3"/>
    <w:rsid w:val="00CF74BD"/>
    <w:rsid w:val="00D00304"/>
    <w:rsid w:val="00D0262E"/>
    <w:rsid w:val="00D03679"/>
    <w:rsid w:val="00D05E3D"/>
    <w:rsid w:val="00D06139"/>
    <w:rsid w:val="00D110BD"/>
    <w:rsid w:val="00D11902"/>
    <w:rsid w:val="00D11B1F"/>
    <w:rsid w:val="00D128A6"/>
    <w:rsid w:val="00D13675"/>
    <w:rsid w:val="00D141E1"/>
    <w:rsid w:val="00D14288"/>
    <w:rsid w:val="00D14F8B"/>
    <w:rsid w:val="00D15314"/>
    <w:rsid w:val="00D15B48"/>
    <w:rsid w:val="00D1612E"/>
    <w:rsid w:val="00D17D6C"/>
    <w:rsid w:val="00D17E74"/>
    <w:rsid w:val="00D20777"/>
    <w:rsid w:val="00D2155B"/>
    <w:rsid w:val="00D23D11"/>
    <w:rsid w:val="00D244B6"/>
    <w:rsid w:val="00D2745B"/>
    <w:rsid w:val="00D2754D"/>
    <w:rsid w:val="00D27B27"/>
    <w:rsid w:val="00D30D5B"/>
    <w:rsid w:val="00D31306"/>
    <w:rsid w:val="00D33BE9"/>
    <w:rsid w:val="00D33F93"/>
    <w:rsid w:val="00D3400D"/>
    <w:rsid w:val="00D34326"/>
    <w:rsid w:val="00D352F9"/>
    <w:rsid w:val="00D357FF"/>
    <w:rsid w:val="00D36102"/>
    <w:rsid w:val="00D36306"/>
    <w:rsid w:val="00D4020B"/>
    <w:rsid w:val="00D40435"/>
    <w:rsid w:val="00D424C7"/>
    <w:rsid w:val="00D43B2A"/>
    <w:rsid w:val="00D43CF1"/>
    <w:rsid w:val="00D43D83"/>
    <w:rsid w:val="00D47575"/>
    <w:rsid w:val="00D50479"/>
    <w:rsid w:val="00D51805"/>
    <w:rsid w:val="00D5204F"/>
    <w:rsid w:val="00D52089"/>
    <w:rsid w:val="00D5243B"/>
    <w:rsid w:val="00D52E2E"/>
    <w:rsid w:val="00D533EC"/>
    <w:rsid w:val="00D53D11"/>
    <w:rsid w:val="00D54AF1"/>
    <w:rsid w:val="00D55938"/>
    <w:rsid w:val="00D55E6D"/>
    <w:rsid w:val="00D56A95"/>
    <w:rsid w:val="00D5773A"/>
    <w:rsid w:val="00D606C4"/>
    <w:rsid w:val="00D6076E"/>
    <w:rsid w:val="00D608E6"/>
    <w:rsid w:val="00D60D64"/>
    <w:rsid w:val="00D6358D"/>
    <w:rsid w:val="00D652A8"/>
    <w:rsid w:val="00D6598C"/>
    <w:rsid w:val="00D67C13"/>
    <w:rsid w:val="00D7051C"/>
    <w:rsid w:val="00D70F16"/>
    <w:rsid w:val="00D71EC3"/>
    <w:rsid w:val="00D7239E"/>
    <w:rsid w:val="00D72617"/>
    <w:rsid w:val="00D72F57"/>
    <w:rsid w:val="00D7319A"/>
    <w:rsid w:val="00D75B8C"/>
    <w:rsid w:val="00D76A44"/>
    <w:rsid w:val="00D77C45"/>
    <w:rsid w:val="00D815EF"/>
    <w:rsid w:val="00D81684"/>
    <w:rsid w:val="00D81949"/>
    <w:rsid w:val="00D81F26"/>
    <w:rsid w:val="00D822E2"/>
    <w:rsid w:val="00D82F96"/>
    <w:rsid w:val="00D843F2"/>
    <w:rsid w:val="00D86231"/>
    <w:rsid w:val="00D87DF6"/>
    <w:rsid w:val="00D912AB"/>
    <w:rsid w:val="00D913D2"/>
    <w:rsid w:val="00D91923"/>
    <w:rsid w:val="00D91C15"/>
    <w:rsid w:val="00D92862"/>
    <w:rsid w:val="00D93753"/>
    <w:rsid w:val="00D96564"/>
    <w:rsid w:val="00D96DAC"/>
    <w:rsid w:val="00D97A34"/>
    <w:rsid w:val="00DA0F14"/>
    <w:rsid w:val="00DA1B2F"/>
    <w:rsid w:val="00DA26B4"/>
    <w:rsid w:val="00DA3167"/>
    <w:rsid w:val="00DA4185"/>
    <w:rsid w:val="00DA4DC3"/>
    <w:rsid w:val="00DA64D5"/>
    <w:rsid w:val="00DA69CB"/>
    <w:rsid w:val="00DA6BEE"/>
    <w:rsid w:val="00DA77A5"/>
    <w:rsid w:val="00DB0E36"/>
    <w:rsid w:val="00DB158D"/>
    <w:rsid w:val="00DB2288"/>
    <w:rsid w:val="00DB3DBF"/>
    <w:rsid w:val="00DB484F"/>
    <w:rsid w:val="00DB4A3B"/>
    <w:rsid w:val="00DB574E"/>
    <w:rsid w:val="00DC04F6"/>
    <w:rsid w:val="00DC0690"/>
    <w:rsid w:val="00DC1CC6"/>
    <w:rsid w:val="00DC1D65"/>
    <w:rsid w:val="00DC246A"/>
    <w:rsid w:val="00DC3C57"/>
    <w:rsid w:val="00DC4468"/>
    <w:rsid w:val="00DC4D8C"/>
    <w:rsid w:val="00DC5501"/>
    <w:rsid w:val="00DC5DE4"/>
    <w:rsid w:val="00DC7154"/>
    <w:rsid w:val="00DC7B1D"/>
    <w:rsid w:val="00DC7E8A"/>
    <w:rsid w:val="00DD0F78"/>
    <w:rsid w:val="00DD1966"/>
    <w:rsid w:val="00DD273C"/>
    <w:rsid w:val="00DD310D"/>
    <w:rsid w:val="00DD3F28"/>
    <w:rsid w:val="00DD4446"/>
    <w:rsid w:val="00DD4537"/>
    <w:rsid w:val="00DD4E15"/>
    <w:rsid w:val="00DD569E"/>
    <w:rsid w:val="00DD7FC0"/>
    <w:rsid w:val="00DE159D"/>
    <w:rsid w:val="00DE19B1"/>
    <w:rsid w:val="00DE2304"/>
    <w:rsid w:val="00DE249C"/>
    <w:rsid w:val="00DE3038"/>
    <w:rsid w:val="00DE3138"/>
    <w:rsid w:val="00DE31F4"/>
    <w:rsid w:val="00DE36CC"/>
    <w:rsid w:val="00DE37F8"/>
    <w:rsid w:val="00DE4273"/>
    <w:rsid w:val="00DE44BD"/>
    <w:rsid w:val="00DE493F"/>
    <w:rsid w:val="00DE4FCB"/>
    <w:rsid w:val="00DE5D07"/>
    <w:rsid w:val="00DE72A7"/>
    <w:rsid w:val="00DE7832"/>
    <w:rsid w:val="00DF18FC"/>
    <w:rsid w:val="00DF1EE1"/>
    <w:rsid w:val="00DF27BF"/>
    <w:rsid w:val="00DF2B1A"/>
    <w:rsid w:val="00DF488A"/>
    <w:rsid w:val="00DF4E3C"/>
    <w:rsid w:val="00DF5D2B"/>
    <w:rsid w:val="00DF6341"/>
    <w:rsid w:val="00DF6ADF"/>
    <w:rsid w:val="00E0052E"/>
    <w:rsid w:val="00E006BA"/>
    <w:rsid w:val="00E00E8E"/>
    <w:rsid w:val="00E04742"/>
    <w:rsid w:val="00E05630"/>
    <w:rsid w:val="00E06673"/>
    <w:rsid w:val="00E06DBB"/>
    <w:rsid w:val="00E07640"/>
    <w:rsid w:val="00E10149"/>
    <w:rsid w:val="00E11340"/>
    <w:rsid w:val="00E1173C"/>
    <w:rsid w:val="00E11D88"/>
    <w:rsid w:val="00E122A1"/>
    <w:rsid w:val="00E12DBC"/>
    <w:rsid w:val="00E13456"/>
    <w:rsid w:val="00E1472C"/>
    <w:rsid w:val="00E1521D"/>
    <w:rsid w:val="00E15E98"/>
    <w:rsid w:val="00E16372"/>
    <w:rsid w:val="00E16AD8"/>
    <w:rsid w:val="00E1771F"/>
    <w:rsid w:val="00E17C4E"/>
    <w:rsid w:val="00E17FFA"/>
    <w:rsid w:val="00E202A1"/>
    <w:rsid w:val="00E2047B"/>
    <w:rsid w:val="00E206BB"/>
    <w:rsid w:val="00E20E4D"/>
    <w:rsid w:val="00E20ED6"/>
    <w:rsid w:val="00E21358"/>
    <w:rsid w:val="00E21CFD"/>
    <w:rsid w:val="00E2249B"/>
    <w:rsid w:val="00E22A0D"/>
    <w:rsid w:val="00E22C1B"/>
    <w:rsid w:val="00E2326C"/>
    <w:rsid w:val="00E244F6"/>
    <w:rsid w:val="00E258DB"/>
    <w:rsid w:val="00E2771E"/>
    <w:rsid w:val="00E3084B"/>
    <w:rsid w:val="00E311EF"/>
    <w:rsid w:val="00E32180"/>
    <w:rsid w:val="00E326D2"/>
    <w:rsid w:val="00E34948"/>
    <w:rsid w:val="00E3689C"/>
    <w:rsid w:val="00E37569"/>
    <w:rsid w:val="00E401B2"/>
    <w:rsid w:val="00E417C6"/>
    <w:rsid w:val="00E41E30"/>
    <w:rsid w:val="00E4268E"/>
    <w:rsid w:val="00E42F73"/>
    <w:rsid w:val="00E43D70"/>
    <w:rsid w:val="00E43FAB"/>
    <w:rsid w:val="00E44E27"/>
    <w:rsid w:val="00E44FF3"/>
    <w:rsid w:val="00E466F3"/>
    <w:rsid w:val="00E47B2C"/>
    <w:rsid w:val="00E50B25"/>
    <w:rsid w:val="00E51560"/>
    <w:rsid w:val="00E51821"/>
    <w:rsid w:val="00E5223A"/>
    <w:rsid w:val="00E528B1"/>
    <w:rsid w:val="00E529A7"/>
    <w:rsid w:val="00E53FC8"/>
    <w:rsid w:val="00E54347"/>
    <w:rsid w:val="00E5487E"/>
    <w:rsid w:val="00E55424"/>
    <w:rsid w:val="00E55915"/>
    <w:rsid w:val="00E55BB5"/>
    <w:rsid w:val="00E5649D"/>
    <w:rsid w:val="00E57984"/>
    <w:rsid w:val="00E60043"/>
    <w:rsid w:val="00E60D65"/>
    <w:rsid w:val="00E611DF"/>
    <w:rsid w:val="00E621A2"/>
    <w:rsid w:val="00E6383D"/>
    <w:rsid w:val="00E6421E"/>
    <w:rsid w:val="00E64B53"/>
    <w:rsid w:val="00E65362"/>
    <w:rsid w:val="00E65E79"/>
    <w:rsid w:val="00E66A6C"/>
    <w:rsid w:val="00E66BA2"/>
    <w:rsid w:val="00E670FB"/>
    <w:rsid w:val="00E67416"/>
    <w:rsid w:val="00E70AE4"/>
    <w:rsid w:val="00E70FD1"/>
    <w:rsid w:val="00E718B6"/>
    <w:rsid w:val="00E723BA"/>
    <w:rsid w:val="00E73581"/>
    <w:rsid w:val="00E73DAA"/>
    <w:rsid w:val="00E76659"/>
    <w:rsid w:val="00E76F73"/>
    <w:rsid w:val="00E80535"/>
    <w:rsid w:val="00E81E89"/>
    <w:rsid w:val="00E82E6A"/>
    <w:rsid w:val="00E833F7"/>
    <w:rsid w:val="00E83BBE"/>
    <w:rsid w:val="00E83BDF"/>
    <w:rsid w:val="00E859E5"/>
    <w:rsid w:val="00E86FCC"/>
    <w:rsid w:val="00E87882"/>
    <w:rsid w:val="00E87A1D"/>
    <w:rsid w:val="00E90390"/>
    <w:rsid w:val="00E9094A"/>
    <w:rsid w:val="00E91D35"/>
    <w:rsid w:val="00E926A5"/>
    <w:rsid w:val="00E92A71"/>
    <w:rsid w:val="00E9547E"/>
    <w:rsid w:val="00E95E2A"/>
    <w:rsid w:val="00E962CC"/>
    <w:rsid w:val="00E9791F"/>
    <w:rsid w:val="00EA17C3"/>
    <w:rsid w:val="00EA26CF"/>
    <w:rsid w:val="00EA2CAA"/>
    <w:rsid w:val="00EA3864"/>
    <w:rsid w:val="00EA7F1C"/>
    <w:rsid w:val="00EB1110"/>
    <w:rsid w:val="00EB15B6"/>
    <w:rsid w:val="00EB18A1"/>
    <w:rsid w:val="00EB1AA3"/>
    <w:rsid w:val="00EB2278"/>
    <w:rsid w:val="00EB3880"/>
    <w:rsid w:val="00EB3D06"/>
    <w:rsid w:val="00EB4916"/>
    <w:rsid w:val="00EC00C9"/>
    <w:rsid w:val="00EC0DD9"/>
    <w:rsid w:val="00EC2424"/>
    <w:rsid w:val="00EC2649"/>
    <w:rsid w:val="00EC2FED"/>
    <w:rsid w:val="00EC31ED"/>
    <w:rsid w:val="00EC3FA5"/>
    <w:rsid w:val="00EC4042"/>
    <w:rsid w:val="00EC503E"/>
    <w:rsid w:val="00EC5836"/>
    <w:rsid w:val="00EC5A86"/>
    <w:rsid w:val="00EC688C"/>
    <w:rsid w:val="00EC7883"/>
    <w:rsid w:val="00ED083A"/>
    <w:rsid w:val="00ED12E3"/>
    <w:rsid w:val="00ED12E6"/>
    <w:rsid w:val="00ED1CA2"/>
    <w:rsid w:val="00ED2968"/>
    <w:rsid w:val="00ED4B04"/>
    <w:rsid w:val="00ED57EA"/>
    <w:rsid w:val="00ED5BD4"/>
    <w:rsid w:val="00ED7D5D"/>
    <w:rsid w:val="00EE07D3"/>
    <w:rsid w:val="00EE0B12"/>
    <w:rsid w:val="00EE0D61"/>
    <w:rsid w:val="00EE1996"/>
    <w:rsid w:val="00EE1C01"/>
    <w:rsid w:val="00EE22AF"/>
    <w:rsid w:val="00EE278C"/>
    <w:rsid w:val="00EE42E9"/>
    <w:rsid w:val="00EE6A52"/>
    <w:rsid w:val="00EE7528"/>
    <w:rsid w:val="00EF0171"/>
    <w:rsid w:val="00EF0584"/>
    <w:rsid w:val="00EF088B"/>
    <w:rsid w:val="00EF0DD2"/>
    <w:rsid w:val="00EF1693"/>
    <w:rsid w:val="00EF1B25"/>
    <w:rsid w:val="00EF1DA0"/>
    <w:rsid w:val="00EF39B8"/>
    <w:rsid w:val="00EF3A0C"/>
    <w:rsid w:val="00EF4747"/>
    <w:rsid w:val="00EF4BF8"/>
    <w:rsid w:val="00EF5DF1"/>
    <w:rsid w:val="00EF5EA3"/>
    <w:rsid w:val="00EF6B11"/>
    <w:rsid w:val="00EF6E60"/>
    <w:rsid w:val="00EF7072"/>
    <w:rsid w:val="00EF7158"/>
    <w:rsid w:val="00F002BF"/>
    <w:rsid w:val="00F01475"/>
    <w:rsid w:val="00F02253"/>
    <w:rsid w:val="00F02B17"/>
    <w:rsid w:val="00F038B0"/>
    <w:rsid w:val="00F03C2E"/>
    <w:rsid w:val="00F04A66"/>
    <w:rsid w:val="00F04B4B"/>
    <w:rsid w:val="00F0516C"/>
    <w:rsid w:val="00F05BDC"/>
    <w:rsid w:val="00F067A2"/>
    <w:rsid w:val="00F07B9E"/>
    <w:rsid w:val="00F07C4C"/>
    <w:rsid w:val="00F10A58"/>
    <w:rsid w:val="00F1116F"/>
    <w:rsid w:val="00F11D89"/>
    <w:rsid w:val="00F1263A"/>
    <w:rsid w:val="00F13038"/>
    <w:rsid w:val="00F134AC"/>
    <w:rsid w:val="00F1392E"/>
    <w:rsid w:val="00F139C5"/>
    <w:rsid w:val="00F14219"/>
    <w:rsid w:val="00F1444C"/>
    <w:rsid w:val="00F155D9"/>
    <w:rsid w:val="00F15B77"/>
    <w:rsid w:val="00F21236"/>
    <w:rsid w:val="00F21376"/>
    <w:rsid w:val="00F21453"/>
    <w:rsid w:val="00F21CB9"/>
    <w:rsid w:val="00F243DF"/>
    <w:rsid w:val="00F24837"/>
    <w:rsid w:val="00F24A2E"/>
    <w:rsid w:val="00F24A3D"/>
    <w:rsid w:val="00F2575F"/>
    <w:rsid w:val="00F273A6"/>
    <w:rsid w:val="00F27565"/>
    <w:rsid w:val="00F27D54"/>
    <w:rsid w:val="00F310D4"/>
    <w:rsid w:val="00F31CC0"/>
    <w:rsid w:val="00F31D5A"/>
    <w:rsid w:val="00F33975"/>
    <w:rsid w:val="00F33DE9"/>
    <w:rsid w:val="00F35E6D"/>
    <w:rsid w:val="00F35EF4"/>
    <w:rsid w:val="00F3619A"/>
    <w:rsid w:val="00F36BFC"/>
    <w:rsid w:val="00F40484"/>
    <w:rsid w:val="00F40AAA"/>
    <w:rsid w:val="00F40BA7"/>
    <w:rsid w:val="00F40F9D"/>
    <w:rsid w:val="00F41ACD"/>
    <w:rsid w:val="00F45391"/>
    <w:rsid w:val="00F4564E"/>
    <w:rsid w:val="00F46A76"/>
    <w:rsid w:val="00F46BA0"/>
    <w:rsid w:val="00F46CB6"/>
    <w:rsid w:val="00F4756D"/>
    <w:rsid w:val="00F47DE8"/>
    <w:rsid w:val="00F50398"/>
    <w:rsid w:val="00F50D2F"/>
    <w:rsid w:val="00F5189E"/>
    <w:rsid w:val="00F51A36"/>
    <w:rsid w:val="00F51D7C"/>
    <w:rsid w:val="00F5422B"/>
    <w:rsid w:val="00F54249"/>
    <w:rsid w:val="00F542C1"/>
    <w:rsid w:val="00F54740"/>
    <w:rsid w:val="00F54D68"/>
    <w:rsid w:val="00F550E3"/>
    <w:rsid w:val="00F5575E"/>
    <w:rsid w:val="00F55E73"/>
    <w:rsid w:val="00F55EDA"/>
    <w:rsid w:val="00F5640C"/>
    <w:rsid w:val="00F56C80"/>
    <w:rsid w:val="00F5710E"/>
    <w:rsid w:val="00F577CC"/>
    <w:rsid w:val="00F5783A"/>
    <w:rsid w:val="00F60092"/>
    <w:rsid w:val="00F607E8"/>
    <w:rsid w:val="00F6093C"/>
    <w:rsid w:val="00F617E2"/>
    <w:rsid w:val="00F61C18"/>
    <w:rsid w:val="00F6276E"/>
    <w:rsid w:val="00F6425D"/>
    <w:rsid w:val="00F65F4B"/>
    <w:rsid w:val="00F66108"/>
    <w:rsid w:val="00F6632F"/>
    <w:rsid w:val="00F666A4"/>
    <w:rsid w:val="00F67254"/>
    <w:rsid w:val="00F67A69"/>
    <w:rsid w:val="00F70BFF"/>
    <w:rsid w:val="00F70C9D"/>
    <w:rsid w:val="00F73E08"/>
    <w:rsid w:val="00F74CD9"/>
    <w:rsid w:val="00F80A7B"/>
    <w:rsid w:val="00F80E5D"/>
    <w:rsid w:val="00F811DD"/>
    <w:rsid w:val="00F81E78"/>
    <w:rsid w:val="00F82427"/>
    <w:rsid w:val="00F83916"/>
    <w:rsid w:val="00F84821"/>
    <w:rsid w:val="00F848A1"/>
    <w:rsid w:val="00F851CE"/>
    <w:rsid w:val="00F87D4E"/>
    <w:rsid w:val="00F91219"/>
    <w:rsid w:val="00F919C4"/>
    <w:rsid w:val="00F92444"/>
    <w:rsid w:val="00F934F2"/>
    <w:rsid w:val="00F9393E"/>
    <w:rsid w:val="00F94978"/>
    <w:rsid w:val="00F958E4"/>
    <w:rsid w:val="00F96FD0"/>
    <w:rsid w:val="00F97A0F"/>
    <w:rsid w:val="00F97A78"/>
    <w:rsid w:val="00FA0B20"/>
    <w:rsid w:val="00FA0D96"/>
    <w:rsid w:val="00FA24E7"/>
    <w:rsid w:val="00FA2A83"/>
    <w:rsid w:val="00FA2CFD"/>
    <w:rsid w:val="00FA2F7F"/>
    <w:rsid w:val="00FA4128"/>
    <w:rsid w:val="00FA5221"/>
    <w:rsid w:val="00FA533A"/>
    <w:rsid w:val="00FA56CF"/>
    <w:rsid w:val="00FA5EE6"/>
    <w:rsid w:val="00FA7956"/>
    <w:rsid w:val="00FB0824"/>
    <w:rsid w:val="00FB08E3"/>
    <w:rsid w:val="00FB0A27"/>
    <w:rsid w:val="00FB2FCB"/>
    <w:rsid w:val="00FB40DA"/>
    <w:rsid w:val="00FB4C9C"/>
    <w:rsid w:val="00FB7C55"/>
    <w:rsid w:val="00FC1074"/>
    <w:rsid w:val="00FC1702"/>
    <w:rsid w:val="00FC1884"/>
    <w:rsid w:val="00FC371D"/>
    <w:rsid w:val="00FC43FC"/>
    <w:rsid w:val="00FC5220"/>
    <w:rsid w:val="00FC5EDF"/>
    <w:rsid w:val="00FC5F0B"/>
    <w:rsid w:val="00FC606F"/>
    <w:rsid w:val="00FC7956"/>
    <w:rsid w:val="00FD0E1B"/>
    <w:rsid w:val="00FD2046"/>
    <w:rsid w:val="00FD2100"/>
    <w:rsid w:val="00FD2C12"/>
    <w:rsid w:val="00FD3847"/>
    <w:rsid w:val="00FD436C"/>
    <w:rsid w:val="00FD446D"/>
    <w:rsid w:val="00FD4F2C"/>
    <w:rsid w:val="00FD5C2D"/>
    <w:rsid w:val="00FD6394"/>
    <w:rsid w:val="00FE0408"/>
    <w:rsid w:val="00FE0E6C"/>
    <w:rsid w:val="00FE1CDC"/>
    <w:rsid w:val="00FE2390"/>
    <w:rsid w:val="00FE309C"/>
    <w:rsid w:val="00FE4077"/>
    <w:rsid w:val="00FE53EC"/>
    <w:rsid w:val="00FE56CA"/>
    <w:rsid w:val="00FE5FBB"/>
    <w:rsid w:val="00FE6714"/>
    <w:rsid w:val="00FE70C3"/>
    <w:rsid w:val="00FE728C"/>
    <w:rsid w:val="00FE73FE"/>
    <w:rsid w:val="00FF024F"/>
    <w:rsid w:val="00FF1A8B"/>
    <w:rsid w:val="00FF1DAF"/>
    <w:rsid w:val="00FF1FD1"/>
    <w:rsid w:val="00FF2AD9"/>
    <w:rsid w:val="00FF359F"/>
    <w:rsid w:val="00FF3DCF"/>
    <w:rsid w:val="00FF492C"/>
    <w:rsid w:val="00FF4939"/>
    <w:rsid w:val="00FF4A21"/>
    <w:rsid w:val="00FF4AD5"/>
    <w:rsid w:val="00FF5AA3"/>
    <w:rsid w:val="00FF5AD8"/>
    <w:rsid w:val="00FF6AB6"/>
    <w:rsid w:val="00FF7C87"/>
    <w:rsid w:val="00FF7E3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C1B"/>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L,Bullet Point,Bulletr List Paragraph,Content descriptions,FooterText,List Bullet 1,List Paragraph2"/>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L Char,Bullet Point Char,Content descriptions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Dossier table,Summary Table,Source table_,NICE instructions,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093E39"/>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093E39"/>
    <w:rPr>
      <w:rFonts w:ascii="Arial Narrow" w:hAnsi="Arial Narrow" w:cs="Arial"/>
      <w:snapToGrid w:val="0"/>
      <w:sz w:val="18"/>
      <w:szCs w:val="22"/>
    </w:rPr>
  </w:style>
  <w:style w:type="paragraph" w:customStyle="1" w:styleId="TableNotes">
    <w:name w:val="TableNotes"/>
    <w:basedOn w:val="Normal"/>
    <w:next w:val="Normal"/>
    <w:link w:val="TableNotesChar"/>
    <w:uiPriority w:val="3"/>
    <w:qFormat/>
    <w:rsid w:val="00DF4E3C"/>
    <w:pPr>
      <w:tabs>
        <w:tab w:val="left" w:pos="1134"/>
      </w:tabs>
      <w:ind w:left="1134" w:hanging="1134"/>
    </w:pPr>
    <w:rPr>
      <w:rFonts w:eastAsiaTheme="minorEastAsia" w:cstheme="minorBidi"/>
      <w:sz w:val="18"/>
      <w:szCs w:val="18"/>
      <w:lang w:eastAsia="zh-CN"/>
    </w:rPr>
  </w:style>
  <w:style w:type="paragraph" w:customStyle="1" w:styleId="TableText1">
    <w:name w:val="TableText"/>
    <w:basedOn w:val="Normal"/>
    <w:link w:val="TableTextChar1"/>
    <w:uiPriority w:val="3"/>
    <w:qFormat/>
    <w:rsid w:val="00DF4E3C"/>
    <w:pPr>
      <w:spacing w:before="20" w:after="20"/>
      <w:jc w:val="left"/>
    </w:pPr>
    <w:rPr>
      <w:rFonts w:cs="Calibri"/>
      <w:bCs/>
      <w:sz w:val="20"/>
      <w:szCs w:val="20"/>
      <w:lang w:eastAsia="zh-CN"/>
    </w:rPr>
  </w:style>
  <w:style w:type="character" w:customStyle="1" w:styleId="TableTextChar1">
    <w:name w:val="TableText Char"/>
    <w:basedOn w:val="DefaultParagraphFont"/>
    <w:link w:val="TableText1"/>
    <w:uiPriority w:val="3"/>
    <w:rsid w:val="00DF4E3C"/>
    <w:rPr>
      <w:rFonts w:ascii="Calibri" w:hAnsi="Calibri" w:cs="Calibri"/>
      <w:bCs/>
      <w:lang w:eastAsia="zh-CN"/>
    </w:rPr>
  </w:style>
  <w:style w:type="character" w:customStyle="1" w:styleId="TableNotesChar">
    <w:name w:val="TableNotes Char"/>
    <w:basedOn w:val="DefaultParagraphFont"/>
    <w:link w:val="TableNotes"/>
    <w:uiPriority w:val="3"/>
    <w:rsid w:val="00DF4E3C"/>
    <w:rPr>
      <w:rFonts w:ascii="Calibri" w:eastAsiaTheme="minorEastAsia" w:hAnsi="Calibri" w:cstheme="minorBidi"/>
      <w:sz w:val="18"/>
      <w:szCs w:val="18"/>
      <w:lang w:eastAsia="zh-CN"/>
    </w:rPr>
  </w:style>
  <w:style w:type="character" w:customStyle="1" w:styleId="UnresolvedMention1">
    <w:name w:val="Unresolved Mention1"/>
    <w:basedOn w:val="DefaultParagraphFont"/>
    <w:uiPriority w:val="99"/>
    <w:semiHidden/>
    <w:unhideWhenUsed/>
    <w:rsid w:val="000B267B"/>
    <w:rPr>
      <w:color w:val="605E5C"/>
      <w:shd w:val="clear" w:color="auto" w:fill="E1DFDD"/>
    </w:rPr>
  </w:style>
  <w:style w:type="paragraph" w:customStyle="1" w:styleId="EndNoteBibliographyTitle">
    <w:name w:val="EndNote Bibliography Title"/>
    <w:basedOn w:val="Normal"/>
    <w:link w:val="EndNoteBibliographyTitleChar"/>
    <w:rsid w:val="00500206"/>
    <w:pPr>
      <w:jc w:val="center"/>
    </w:pPr>
    <w:rPr>
      <w:rFonts w:cs="Calibri"/>
      <w:noProof/>
    </w:rPr>
  </w:style>
  <w:style w:type="character" w:customStyle="1" w:styleId="EndNoteBibliographyTitleChar">
    <w:name w:val="EndNote Bibliography Title Char"/>
    <w:basedOn w:val="ListParagraphChar"/>
    <w:link w:val="EndNoteBibliographyTitle"/>
    <w:rsid w:val="00500206"/>
    <w:rPr>
      <w:rFonts w:ascii="Calibri" w:hAnsi="Calibri" w:cs="Calibri"/>
      <w:noProof/>
      <w:snapToGrid/>
      <w:sz w:val="24"/>
      <w:szCs w:val="24"/>
    </w:rPr>
  </w:style>
  <w:style w:type="paragraph" w:customStyle="1" w:styleId="EndNoteBibliography">
    <w:name w:val="EndNote Bibliography"/>
    <w:basedOn w:val="Normal"/>
    <w:link w:val="EndNoteBibliographyChar"/>
    <w:rsid w:val="00500206"/>
    <w:pPr>
      <w:numPr>
        <w:numId w:val="7"/>
      </w:numPr>
      <w:ind w:left="720"/>
    </w:pPr>
    <w:rPr>
      <w:rFonts w:cs="Calibri"/>
      <w:noProof/>
    </w:rPr>
  </w:style>
  <w:style w:type="character" w:customStyle="1" w:styleId="EndNoteBibliographyChar">
    <w:name w:val="EndNote Bibliography Char"/>
    <w:basedOn w:val="ListParagraphChar"/>
    <w:link w:val="EndNoteBibliography"/>
    <w:rsid w:val="00500206"/>
    <w:rPr>
      <w:rFonts w:ascii="Calibri" w:hAnsi="Calibri" w:cs="Calibri"/>
      <w:noProof/>
      <w:snapToGrid/>
      <w:sz w:val="24"/>
      <w:szCs w:val="24"/>
    </w:rPr>
  </w:style>
  <w:style w:type="paragraph" w:customStyle="1" w:styleId="TableHeadingRow">
    <w:name w:val="TableHeadingRow"/>
    <w:basedOn w:val="TableText1"/>
    <w:uiPriority w:val="3"/>
    <w:qFormat/>
    <w:rsid w:val="00522B52"/>
    <w:pPr>
      <w:keepNext/>
      <w:spacing w:before="40" w:after="40"/>
      <w:jc w:val="center"/>
    </w:pPr>
    <w:rPr>
      <w:b/>
      <w:bCs w:val="0"/>
    </w:rPr>
  </w:style>
  <w:style w:type="paragraph" w:customStyle="1" w:styleId="SourceNotes">
    <w:name w:val="SourceNotes"/>
    <w:basedOn w:val="Normal"/>
    <w:next w:val="Normal"/>
    <w:link w:val="SourceNotesChar"/>
    <w:uiPriority w:val="2"/>
    <w:qFormat/>
    <w:rsid w:val="00522B52"/>
    <w:pPr>
      <w:tabs>
        <w:tab w:val="left" w:pos="1100"/>
      </w:tabs>
      <w:ind w:left="1100" w:hanging="1100"/>
      <w:jc w:val="left"/>
    </w:pPr>
    <w:rPr>
      <w:rFonts w:eastAsiaTheme="minorEastAsia" w:cstheme="minorBidi"/>
      <w:sz w:val="18"/>
      <w:szCs w:val="18"/>
      <w:lang w:eastAsia="en-US"/>
    </w:rPr>
  </w:style>
  <w:style w:type="character" w:customStyle="1" w:styleId="SourceNotesChar">
    <w:name w:val="SourceNotes Char"/>
    <w:basedOn w:val="TableNotesChar"/>
    <w:link w:val="SourceNotes"/>
    <w:uiPriority w:val="2"/>
    <w:rsid w:val="00522B52"/>
    <w:rPr>
      <w:rFonts w:ascii="Calibri" w:eastAsiaTheme="minorEastAsia" w:hAnsi="Calibri" w:cstheme="minorBidi"/>
      <w:sz w:val="18"/>
      <w:szCs w:val="18"/>
      <w:lang w:eastAsia="en-US"/>
    </w:rPr>
  </w:style>
  <w:style w:type="paragraph" w:styleId="FootnoteText">
    <w:name w:val="footnote text"/>
    <w:basedOn w:val="Normal"/>
    <w:link w:val="FootnoteTextChar"/>
    <w:uiPriority w:val="99"/>
    <w:semiHidden/>
    <w:unhideWhenUsed/>
    <w:rsid w:val="00FA533A"/>
    <w:rPr>
      <w:sz w:val="20"/>
      <w:szCs w:val="20"/>
    </w:rPr>
  </w:style>
  <w:style w:type="character" w:customStyle="1" w:styleId="FootnoteTextChar">
    <w:name w:val="Footnote Text Char"/>
    <w:basedOn w:val="DefaultParagraphFont"/>
    <w:link w:val="FootnoteText"/>
    <w:uiPriority w:val="99"/>
    <w:semiHidden/>
    <w:rsid w:val="00FA533A"/>
    <w:rPr>
      <w:rFonts w:ascii="Calibri" w:hAnsi="Calibri" w:cs="Arial"/>
    </w:rPr>
  </w:style>
  <w:style w:type="character" w:styleId="FootnoteReference">
    <w:name w:val="footnote reference"/>
    <w:basedOn w:val="DefaultParagraphFont"/>
    <w:uiPriority w:val="99"/>
    <w:semiHidden/>
    <w:unhideWhenUsed/>
    <w:rsid w:val="00FA533A"/>
    <w:rPr>
      <w:vertAlign w:val="superscript"/>
    </w:rPr>
  </w:style>
  <w:style w:type="character" w:customStyle="1" w:styleId="UnresolvedMention2">
    <w:name w:val="Unresolved Mention2"/>
    <w:basedOn w:val="DefaultParagraphFont"/>
    <w:uiPriority w:val="99"/>
    <w:semiHidden/>
    <w:unhideWhenUsed/>
    <w:rsid w:val="00E83BBE"/>
    <w:rPr>
      <w:color w:val="605E5C"/>
      <w:shd w:val="clear" w:color="auto" w:fill="E1DFDD"/>
    </w:rPr>
  </w:style>
  <w:style w:type="character" w:styleId="Emphasis">
    <w:name w:val="Emphasis"/>
    <w:basedOn w:val="DefaultParagraphFont"/>
    <w:uiPriority w:val="20"/>
    <w:qFormat/>
    <w:rsid w:val="00E83BBE"/>
    <w:rPr>
      <w:i/>
      <w:iCs/>
    </w:rPr>
  </w:style>
  <w:style w:type="paragraph" w:styleId="EndnoteText">
    <w:name w:val="endnote text"/>
    <w:basedOn w:val="Normal"/>
    <w:link w:val="EndnoteTextChar"/>
    <w:semiHidden/>
    <w:unhideWhenUsed/>
    <w:rsid w:val="00CB798A"/>
    <w:rPr>
      <w:sz w:val="20"/>
      <w:szCs w:val="20"/>
    </w:rPr>
  </w:style>
  <w:style w:type="character" w:customStyle="1" w:styleId="EndnoteTextChar">
    <w:name w:val="Endnote Text Char"/>
    <w:basedOn w:val="DefaultParagraphFont"/>
    <w:link w:val="EndnoteText"/>
    <w:semiHidden/>
    <w:rsid w:val="00CB798A"/>
    <w:rPr>
      <w:rFonts w:ascii="Calibri" w:hAnsi="Calibri" w:cs="Arial"/>
    </w:rPr>
  </w:style>
  <w:style w:type="character" w:styleId="EndnoteReference">
    <w:name w:val="endnote reference"/>
    <w:basedOn w:val="DefaultParagraphFont"/>
    <w:semiHidden/>
    <w:unhideWhenUsed/>
    <w:rsid w:val="00CB798A"/>
    <w:rPr>
      <w:vertAlign w:val="superscript"/>
    </w:rPr>
  </w:style>
  <w:style w:type="character" w:customStyle="1" w:styleId="UnresolvedMention21">
    <w:name w:val="Unresolved Mention21"/>
    <w:basedOn w:val="DefaultParagraphFont"/>
    <w:uiPriority w:val="99"/>
    <w:semiHidden/>
    <w:unhideWhenUsed/>
    <w:rsid w:val="00FD2046"/>
    <w:rPr>
      <w:color w:val="605E5C"/>
      <w:shd w:val="clear" w:color="auto" w:fill="E1DFDD"/>
    </w:rPr>
  </w:style>
  <w:style w:type="paragraph" w:customStyle="1" w:styleId="3-SubsectionHeading">
    <w:name w:val="3-Subsection Heading"/>
    <w:basedOn w:val="Heading2"/>
    <w:next w:val="Normal"/>
    <w:link w:val="3-SubsectionHeadingChar"/>
    <w:qFormat/>
    <w:rsid w:val="00FF7E35"/>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FF7E35"/>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2739">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6060509">
      <w:bodyDiv w:val="1"/>
      <w:marLeft w:val="0"/>
      <w:marRight w:val="0"/>
      <w:marTop w:val="0"/>
      <w:marBottom w:val="0"/>
      <w:divBdr>
        <w:top w:val="none" w:sz="0" w:space="0" w:color="auto"/>
        <w:left w:val="none" w:sz="0" w:space="0" w:color="auto"/>
        <w:bottom w:val="none" w:sz="0" w:space="0" w:color="auto"/>
        <w:right w:val="none" w:sz="0" w:space="0" w:color="auto"/>
      </w:divBdr>
    </w:div>
    <w:div w:id="532881975">
      <w:bodyDiv w:val="1"/>
      <w:marLeft w:val="0"/>
      <w:marRight w:val="0"/>
      <w:marTop w:val="0"/>
      <w:marBottom w:val="0"/>
      <w:divBdr>
        <w:top w:val="none" w:sz="0" w:space="0" w:color="auto"/>
        <w:left w:val="none" w:sz="0" w:space="0" w:color="auto"/>
        <w:bottom w:val="none" w:sz="0" w:space="0" w:color="auto"/>
        <w:right w:val="none" w:sz="0" w:space="0" w:color="auto"/>
      </w:divBdr>
    </w:div>
    <w:div w:id="535192480">
      <w:bodyDiv w:val="1"/>
      <w:marLeft w:val="0"/>
      <w:marRight w:val="0"/>
      <w:marTop w:val="0"/>
      <w:marBottom w:val="0"/>
      <w:divBdr>
        <w:top w:val="none" w:sz="0" w:space="0" w:color="auto"/>
        <w:left w:val="none" w:sz="0" w:space="0" w:color="auto"/>
        <w:bottom w:val="none" w:sz="0" w:space="0" w:color="auto"/>
        <w:right w:val="none" w:sz="0" w:space="0" w:color="auto"/>
      </w:divBdr>
    </w:div>
    <w:div w:id="825515225">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82242612">
      <w:bodyDiv w:val="1"/>
      <w:marLeft w:val="0"/>
      <w:marRight w:val="0"/>
      <w:marTop w:val="0"/>
      <w:marBottom w:val="0"/>
      <w:divBdr>
        <w:top w:val="none" w:sz="0" w:space="0" w:color="auto"/>
        <w:left w:val="none" w:sz="0" w:space="0" w:color="auto"/>
        <w:bottom w:val="none" w:sz="0" w:space="0" w:color="auto"/>
        <w:right w:val="none" w:sz="0" w:space="0" w:color="auto"/>
      </w:divBdr>
    </w:div>
    <w:div w:id="1400203715">
      <w:bodyDiv w:val="1"/>
      <w:marLeft w:val="0"/>
      <w:marRight w:val="0"/>
      <w:marTop w:val="0"/>
      <w:marBottom w:val="0"/>
      <w:divBdr>
        <w:top w:val="none" w:sz="0" w:space="0" w:color="auto"/>
        <w:left w:val="none" w:sz="0" w:space="0" w:color="auto"/>
        <w:bottom w:val="none" w:sz="0" w:space="0" w:color="auto"/>
        <w:right w:val="none" w:sz="0" w:space="0" w:color="auto"/>
      </w:divBdr>
    </w:div>
    <w:div w:id="1423337619">
      <w:bodyDiv w:val="1"/>
      <w:marLeft w:val="0"/>
      <w:marRight w:val="0"/>
      <w:marTop w:val="0"/>
      <w:marBottom w:val="0"/>
      <w:divBdr>
        <w:top w:val="none" w:sz="0" w:space="0" w:color="auto"/>
        <w:left w:val="none" w:sz="0" w:space="0" w:color="auto"/>
        <w:bottom w:val="none" w:sz="0" w:space="0" w:color="auto"/>
        <w:right w:val="none" w:sz="0" w:space="0" w:color="auto"/>
      </w:divBdr>
    </w:div>
    <w:div w:id="1488980620">
      <w:bodyDiv w:val="1"/>
      <w:marLeft w:val="0"/>
      <w:marRight w:val="0"/>
      <w:marTop w:val="0"/>
      <w:marBottom w:val="0"/>
      <w:divBdr>
        <w:top w:val="none" w:sz="0" w:space="0" w:color="auto"/>
        <w:left w:val="none" w:sz="0" w:space="0" w:color="auto"/>
        <w:bottom w:val="none" w:sz="0" w:space="0" w:color="auto"/>
        <w:right w:val="none" w:sz="0" w:space="0" w:color="auto"/>
      </w:divBdr>
    </w:div>
    <w:div w:id="1783301895">
      <w:bodyDiv w:val="1"/>
      <w:marLeft w:val="0"/>
      <w:marRight w:val="0"/>
      <w:marTop w:val="0"/>
      <w:marBottom w:val="0"/>
      <w:divBdr>
        <w:top w:val="none" w:sz="0" w:space="0" w:color="auto"/>
        <w:left w:val="none" w:sz="0" w:space="0" w:color="auto"/>
        <w:bottom w:val="none" w:sz="0" w:space="0" w:color="auto"/>
        <w:right w:val="none" w:sz="0" w:space="0" w:color="auto"/>
      </w:divBdr>
    </w:div>
    <w:div w:id="1825464233">
      <w:bodyDiv w:val="1"/>
      <w:marLeft w:val="0"/>
      <w:marRight w:val="0"/>
      <w:marTop w:val="0"/>
      <w:marBottom w:val="0"/>
      <w:divBdr>
        <w:top w:val="none" w:sz="0" w:space="0" w:color="auto"/>
        <w:left w:val="none" w:sz="0" w:space="0" w:color="auto"/>
        <w:bottom w:val="none" w:sz="0" w:space="0" w:color="auto"/>
        <w:right w:val="none" w:sz="0" w:space="0" w:color="auto"/>
      </w:divBdr>
    </w:div>
    <w:div w:id="189596564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8165722">
      <w:bodyDiv w:val="1"/>
      <w:marLeft w:val="0"/>
      <w:marRight w:val="0"/>
      <w:marTop w:val="0"/>
      <w:marBottom w:val="0"/>
      <w:divBdr>
        <w:top w:val="none" w:sz="0" w:space="0" w:color="auto"/>
        <w:left w:val="none" w:sz="0" w:space="0" w:color="auto"/>
        <w:bottom w:val="none" w:sz="0" w:space="0" w:color="auto"/>
        <w:right w:val="none" w:sz="0" w:space="0" w:color="auto"/>
      </w:divBdr>
    </w:div>
    <w:div w:id="2025130675">
      <w:bodyDiv w:val="1"/>
      <w:marLeft w:val="0"/>
      <w:marRight w:val="0"/>
      <w:marTop w:val="0"/>
      <w:marBottom w:val="0"/>
      <w:divBdr>
        <w:top w:val="none" w:sz="0" w:space="0" w:color="auto"/>
        <w:left w:val="none" w:sz="0" w:space="0" w:color="auto"/>
        <w:bottom w:val="none" w:sz="0" w:space="0" w:color="auto"/>
        <w:right w:val="none" w:sz="0" w:space="0" w:color="auto"/>
      </w:divBdr>
    </w:div>
    <w:div w:id="205233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F7145-16EA-4328-8609-48565ABB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15772</Words>
  <Characters>84691</Characters>
  <Application>Microsoft Office Word</Application>
  <DocSecurity>0</DocSecurity>
  <Lines>705</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2023-03-07T04:11:00Z</dcterms:created>
  <dcterms:modified xsi:type="dcterms:W3CDTF">2023-03-07T04:17:00Z</dcterms:modified>
</cp:coreProperties>
</file>