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7A20" w14:textId="67024290" w:rsidR="003F0181" w:rsidRDefault="00D84430" w:rsidP="00DB6537">
      <w:pPr>
        <w:pStyle w:val="1MainTitle"/>
        <w:jc w:val="left"/>
      </w:pPr>
      <w:r>
        <w:t>6</w:t>
      </w:r>
      <w:r w:rsidR="70971A32">
        <w:t>.</w:t>
      </w:r>
      <w:r>
        <w:t>15</w:t>
      </w:r>
      <w:r w:rsidR="00872E8F">
        <w:tab/>
      </w:r>
      <w:r>
        <w:t>PEMBROLIZUMAB</w:t>
      </w:r>
      <w:r w:rsidR="70971A32">
        <w:t xml:space="preserve">, </w:t>
      </w:r>
    </w:p>
    <w:p w14:paraId="181DB627" w14:textId="60A17097" w:rsidR="00872E8F" w:rsidRPr="007A5C88" w:rsidRDefault="003F0181" w:rsidP="00DB6537">
      <w:pPr>
        <w:pStyle w:val="1MainTitle"/>
        <w:ind w:firstLine="0"/>
        <w:jc w:val="left"/>
      </w:pPr>
      <w:r>
        <w:t>Solution concentrate for I.V. infusion 100 mg in 4</w:t>
      </w:r>
      <w:r w:rsidR="00564A2B">
        <w:t> </w:t>
      </w:r>
      <w:r>
        <w:t>mL</w:t>
      </w:r>
      <w:r w:rsidR="70971A32">
        <w:t>,</w:t>
      </w:r>
      <w:r w:rsidR="00872E8F">
        <w:br/>
      </w:r>
      <w:r>
        <w:t>Keytruda</w:t>
      </w:r>
      <w:r w:rsidR="70971A32">
        <w:t>®,</w:t>
      </w:r>
      <w:r w:rsidR="00872E8F">
        <w:br/>
      </w:r>
      <w:r>
        <w:t>Merck Sharp &amp; Dohme (Australia) Pty Ltd</w:t>
      </w:r>
    </w:p>
    <w:p w14:paraId="5F4D54C1" w14:textId="0664966A" w:rsidR="00E11F44" w:rsidRPr="00E11F44" w:rsidRDefault="007E490F" w:rsidP="00DB6537">
      <w:pPr>
        <w:pStyle w:val="2-SectionHeading"/>
        <w:keepNext w:val="0"/>
        <w:rPr>
          <w:rFonts w:cstheme="minorHAnsi"/>
          <w:color w:val="FF0000"/>
        </w:rPr>
      </w:pPr>
      <w:r w:rsidRPr="0033263D">
        <w:t xml:space="preserve">Purpose of </w:t>
      </w:r>
      <w:r w:rsidR="00FA0B04">
        <w:t>Submission</w:t>
      </w:r>
      <w:r>
        <w:t xml:space="preserve"> </w:t>
      </w:r>
    </w:p>
    <w:p w14:paraId="58406233" w14:textId="1DB8C9C3" w:rsidR="0017693F" w:rsidRPr="001C39F1" w:rsidRDefault="006C6C10" w:rsidP="00DB6537">
      <w:pPr>
        <w:pStyle w:val="ListParagraph"/>
        <w:numPr>
          <w:ilvl w:val="1"/>
          <w:numId w:val="2"/>
        </w:numPr>
        <w:spacing w:after="160"/>
      </w:pPr>
      <w:r w:rsidRPr="001C39F1">
        <w:t>The Category</w:t>
      </w:r>
      <w:r w:rsidR="00102F5C" w:rsidRPr="001C39F1">
        <w:t xml:space="preserve"> 3</w:t>
      </w:r>
      <w:r w:rsidR="00C96EC0" w:rsidRPr="001C39F1">
        <w:t xml:space="preserve"> </w:t>
      </w:r>
      <w:r w:rsidRPr="001C39F1">
        <w:t xml:space="preserve">submission </w:t>
      </w:r>
      <w:r w:rsidR="00102F5C" w:rsidRPr="001C39F1">
        <w:t xml:space="preserve">requested </w:t>
      </w:r>
      <w:r w:rsidR="0017693F" w:rsidRPr="001C39F1">
        <w:t>the PBAC consider the following</w:t>
      </w:r>
      <w:r w:rsidR="00F453BB" w:rsidRPr="001C39F1">
        <w:t xml:space="preserve"> for pembrolizumab (Keytruda®) for locally advanced </w:t>
      </w:r>
      <w:r w:rsidR="001C28D3" w:rsidRPr="001C39F1">
        <w:t xml:space="preserve">(Stage III) </w:t>
      </w:r>
      <w:r w:rsidR="00F453BB" w:rsidRPr="001C39F1">
        <w:t>or metastatic</w:t>
      </w:r>
      <w:r w:rsidR="001C28D3" w:rsidRPr="001C39F1">
        <w:t xml:space="preserve"> (Stage IV)</w:t>
      </w:r>
      <w:r w:rsidR="00F453BB" w:rsidRPr="001C39F1">
        <w:t xml:space="preserve"> urothelial cancer</w:t>
      </w:r>
      <w:r w:rsidR="0017693F" w:rsidRPr="001C39F1">
        <w:t>:</w:t>
      </w:r>
    </w:p>
    <w:p w14:paraId="54D6562E" w14:textId="4CBF4320" w:rsidR="00E11F44" w:rsidRDefault="0017693F" w:rsidP="00DB6537">
      <w:pPr>
        <w:pStyle w:val="3Bodytext"/>
        <w:numPr>
          <w:ilvl w:val="0"/>
          <w:numId w:val="44"/>
        </w:numPr>
        <w:jc w:val="both"/>
        <w:rPr>
          <w:rFonts w:cstheme="minorHAnsi"/>
          <w:szCs w:val="24"/>
        </w:rPr>
      </w:pPr>
      <w:r>
        <w:rPr>
          <w:rFonts w:cstheme="minorHAnsi"/>
          <w:szCs w:val="24"/>
        </w:rPr>
        <w:t>To</w:t>
      </w:r>
      <w:r w:rsidR="00102F5C">
        <w:rPr>
          <w:rFonts w:cstheme="minorHAnsi"/>
          <w:szCs w:val="24"/>
        </w:rPr>
        <w:t xml:space="preserve"> increase the </w:t>
      </w:r>
      <w:r w:rsidR="005163E8">
        <w:rPr>
          <w:rFonts w:cstheme="minorHAnsi"/>
          <w:szCs w:val="24"/>
        </w:rPr>
        <w:t>subsidisation</w:t>
      </w:r>
      <w:r w:rsidR="00102F5C">
        <w:rPr>
          <w:rFonts w:cstheme="minorHAnsi"/>
          <w:szCs w:val="24"/>
        </w:rPr>
        <w:t xml:space="preserve"> caps</w:t>
      </w:r>
      <w:r w:rsidR="00F453BB">
        <w:rPr>
          <w:rFonts w:cstheme="minorHAnsi"/>
          <w:szCs w:val="24"/>
        </w:rPr>
        <w:t xml:space="preserve"> </w:t>
      </w:r>
      <w:r w:rsidR="00FF0095">
        <w:rPr>
          <w:rFonts w:cstheme="minorHAnsi"/>
          <w:szCs w:val="24"/>
        </w:rPr>
        <w:t>from $</w:t>
      </w:r>
      <w:r w:rsidR="00E41BF3" w:rsidRPr="003129AC">
        <w:rPr>
          <w:rFonts w:cstheme="minorHAnsi"/>
          <w:color w:val="000000"/>
          <w:w w:val="15"/>
          <w:szCs w:val="24"/>
          <w:shd w:val="solid" w:color="000000" w:fill="000000"/>
          <w:fitText w:val="-20" w:id="-1304780032"/>
          <w14:textFill>
            <w14:solidFill>
              <w14:srgbClr w14:val="000000">
                <w14:alpha w14:val="100000"/>
              </w14:srgbClr>
            </w14:solidFill>
          </w14:textFill>
        </w:rPr>
        <w:t xml:space="preserve">|################  </w:t>
      </w:r>
      <w:r w:rsidR="00E41BF3" w:rsidRPr="003129AC">
        <w:rPr>
          <w:rFonts w:cstheme="minorHAnsi"/>
          <w:color w:val="000000"/>
          <w:spacing w:val="-356"/>
          <w:w w:val="15"/>
          <w:szCs w:val="24"/>
          <w:shd w:val="solid" w:color="000000" w:fill="000000"/>
          <w:fitText w:val="-20" w:id="-1304780032"/>
          <w14:textFill>
            <w14:solidFill>
              <w14:srgbClr w14:val="000000">
                <w14:alpha w14:val="100000"/>
              </w14:srgbClr>
            </w14:solidFill>
          </w14:textFill>
        </w:rPr>
        <w:t>|</w:t>
      </w:r>
      <w:r w:rsidR="00FF0095">
        <w:rPr>
          <w:rFonts w:cstheme="minorHAnsi"/>
          <w:szCs w:val="24"/>
        </w:rPr>
        <w:t>M to</w:t>
      </w:r>
      <w:r w:rsidR="005163E8">
        <w:rPr>
          <w:rFonts w:cstheme="minorHAnsi"/>
          <w:szCs w:val="24"/>
        </w:rPr>
        <w:t xml:space="preserve"> $</w:t>
      </w:r>
      <w:r w:rsidR="00E41BF3" w:rsidRPr="003129AC">
        <w:rPr>
          <w:rFonts w:cstheme="minorHAnsi"/>
          <w:color w:val="000000"/>
          <w:w w:val="15"/>
          <w:szCs w:val="24"/>
          <w:shd w:val="solid" w:color="000000" w:fill="000000"/>
          <w:fitText w:val="-20" w:id="-1304780031"/>
          <w14:textFill>
            <w14:solidFill>
              <w14:srgbClr w14:val="000000">
                <w14:alpha w14:val="100000"/>
              </w14:srgbClr>
            </w14:solidFill>
          </w14:textFill>
        </w:rPr>
        <w:t xml:space="preserve">| ################## </w:t>
      </w:r>
      <w:r w:rsidR="00E41BF3" w:rsidRPr="003129AC">
        <w:rPr>
          <w:rFonts w:cstheme="minorHAnsi"/>
          <w:color w:val="000000"/>
          <w:spacing w:val="-391"/>
          <w:w w:val="15"/>
          <w:szCs w:val="24"/>
          <w:shd w:val="solid" w:color="000000" w:fill="000000"/>
          <w:fitText w:val="-20" w:id="-1304780031"/>
          <w14:textFill>
            <w14:solidFill>
              <w14:srgbClr w14:val="000000">
                <w14:alpha w14:val="100000"/>
              </w14:srgbClr>
            </w14:solidFill>
          </w14:textFill>
        </w:rPr>
        <w:t>|</w:t>
      </w:r>
      <w:r w:rsidR="005163E8">
        <w:rPr>
          <w:rFonts w:cstheme="minorHAnsi"/>
          <w:szCs w:val="24"/>
        </w:rPr>
        <w:t xml:space="preserve">M </w:t>
      </w:r>
      <w:r w:rsidR="00FF0095">
        <w:rPr>
          <w:rFonts w:cstheme="minorHAnsi"/>
          <w:szCs w:val="24"/>
        </w:rPr>
        <w:t xml:space="preserve">for Year 4 </w:t>
      </w:r>
      <w:r w:rsidR="005163E8">
        <w:rPr>
          <w:rFonts w:cstheme="minorHAnsi"/>
          <w:szCs w:val="24"/>
        </w:rPr>
        <w:t xml:space="preserve">and </w:t>
      </w:r>
      <w:r w:rsidR="00FF0095">
        <w:rPr>
          <w:rFonts w:cstheme="minorHAnsi"/>
          <w:szCs w:val="24"/>
        </w:rPr>
        <w:t>$</w:t>
      </w:r>
      <w:r w:rsidR="00E41BF3" w:rsidRPr="003129AC">
        <w:rPr>
          <w:rFonts w:cstheme="minorHAnsi"/>
          <w:color w:val="000000"/>
          <w:w w:val="15"/>
          <w:szCs w:val="24"/>
          <w:shd w:val="solid" w:color="000000" w:fill="000000"/>
          <w:fitText w:val="-20" w:id="-1304780030"/>
          <w14:textFill>
            <w14:solidFill>
              <w14:srgbClr w14:val="000000">
                <w14:alpha w14:val="100000"/>
              </w14:srgbClr>
            </w14:solidFill>
          </w14:textFill>
        </w:rPr>
        <w:t xml:space="preserve">|#############  </w:t>
      </w:r>
      <w:r w:rsidR="00E41BF3" w:rsidRPr="003129AC">
        <w:rPr>
          <w:rFonts w:cstheme="minorHAnsi"/>
          <w:color w:val="000000"/>
          <w:spacing w:val="-302"/>
          <w:w w:val="15"/>
          <w:szCs w:val="24"/>
          <w:shd w:val="solid" w:color="000000" w:fill="000000"/>
          <w:fitText w:val="-20" w:id="-1304780030"/>
          <w14:textFill>
            <w14:solidFill>
              <w14:srgbClr w14:val="000000">
                <w14:alpha w14:val="100000"/>
              </w14:srgbClr>
            </w14:solidFill>
          </w14:textFill>
        </w:rPr>
        <w:t>|</w:t>
      </w:r>
      <w:r w:rsidR="00FF0095">
        <w:rPr>
          <w:rFonts w:cstheme="minorHAnsi"/>
          <w:szCs w:val="24"/>
        </w:rPr>
        <w:t xml:space="preserve">M to </w:t>
      </w:r>
      <w:r w:rsidR="005163E8">
        <w:rPr>
          <w:rFonts w:cstheme="minorHAnsi"/>
          <w:szCs w:val="24"/>
        </w:rPr>
        <w:t>$</w:t>
      </w:r>
      <w:r w:rsidR="00E41BF3" w:rsidRPr="003129AC">
        <w:rPr>
          <w:rFonts w:cstheme="minorHAnsi"/>
          <w:color w:val="000000"/>
          <w:w w:val="15"/>
          <w:szCs w:val="24"/>
          <w:shd w:val="solid" w:color="000000" w:fill="000000"/>
          <w:fitText w:val="-20" w:id="-1304780029"/>
          <w14:textFill>
            <w14:solidFill>
              <w14:srgbClr w14:val="000000">
                <w14:alpha w14:val="100000"/>
              </w14:srgbClr>
            </w14:solidFill>
          </w14:textFill>
        </w:rPr>
        <w:t xml:space="preserve">|##################  </w:t>
      </w:r>
      <w:r w:rsidR="00E41BF3" w:rsidRPr="003129AC">
        <w:rPr>
          <w:rFonts w:cstheme="minorHAnsi"/>
          <w:color w:val="000000"/>
          <w:spacing w:val="-391"/>
          <w:w w:val="15"/>
          <w:szCs w:val="24"/>
          <w:shd w:val="solid" w:color="000000" w:fill="000000"/>
          <w:fitText w:val="-20" w:id="-1304780029"/>
          <w14:textFill>
            <w14:solidFill>
              <w14:srgbClr w14:val="000000">
                <w14:alpha w14:val="100000"/>
              </w14:srgbClr>
            </w14:solidFill>
          </w14:textFill>
        </w:rPr>
        <w:t>|</w:t>
      </w:r>
      <w:r w:rsidR="005163E8">
        <w:rPr>
          <w:rFonts w:cstheme="minorHAnsi"/>
          <w:szCs w:val="24"/>
        </w:rPr>
        <w:t xml:space="preserve">M for </w:t>
      </w:r>
      <w:r w:rsidR="00FF0095">
        <w:rPr>
          <w:rFonts w:cstheme="minorHAnsi"/>
          <w:szCs w:val="24"/>
        </w:rPr>
        <w:t>Year</w:t>
      </w:r>
      <w:r w:rsidR="005163E8">
        <w:rPr>
          <w:rFonts w:cstheme="minorHAnsi"/>
          <w:szCs w:val="24"/>
        </w:rPr>
        <w:t xml:space="preserve"> 5 to</w:t>
      </w:r>
      <w:r w:rsidR="00102F5C">
        <w:rPr>
          <w:rFonts w:cstheme="minorHAnsi"/>
          <w:szCs w:val="24"/>
        </w:rPr>
        <w:t xml:space="preserve"> reflect the </w:t>
      </w:r>
      <w:r w:rsidR="005163E8">
        <w:rPr>
          <w:rFonts w:cstheme="minorHAnsi"/>
          <w:szCs w:val="24"/>
        </w:rPr>
        <w:t>increasing trend in actual scripts for Year 1,2 and 3</w:t>
      </w:r>
      <w:r w:rsidR="00102F5C">
        <w:rPr>
          <w:rFonts w:cstheme="minorHAnsi"/>
          <w:szCs w:val="24"/>
        </w:rPr>
        <w:t xml:space="preserve"> </w:t>
      </w:r>
      <w:r w:rsidR="00F453BB">
        <w:rPr>
          <w:rFonts w:cstheme="minorHAnsi"/>
          <w:szCs w:val="24"/>
        </w:rPr>
        <w:t xml:space="preserve">since </w:t>
      </w:r>
      <w:r w:rsidR="00102F5C">
        <w:rPr>
          <w:rFonts w:cstheme="minorHAnsi"/>
          <w:szCs w:val="24"/>
        </w:rPr>
        <w:t xml:space="preserve">listing on 1 March 2019. </w:t>
      </w:r>
    </w:p>
    <w:p w14:paraId="549B6955" w14:textId="2C253958" w:rsidR="0017693F" w:rsidRDefault="0017693F" w:rsidP="00DB6537">
      <w:pPr>
        <w:pStyle w:val="3Bodytext"/>
        <w:numPr>
          <w:ilvl w:val="0"/>
          <w:numId w:val="44"/>
        </w:numPr>
        <w:jc w:val="both"/>
        <w:rPr>
          <w:rFonts w:cstheme="minorHAnsi"/>
          <w:szCs w:val="24"/>
        </w:rPr>
      </w:pPr>
      <w:r>
        <w:rPr>
          <w:rFonts w:cstheme="minorHAnsi"/>
          <w:szCs w:val="24"/>
        </w:rPr>
        <w:t xml:space="preserve">To lower the current subsidisation cap rebate level of </w:t>
      </w:r>
      <w:r w:rsidR="00E41BF3" w:rsidRPr="003129AC">
        <w:rPr>
          <w:rFonts w:cstheme="minorHAnsi"/>
          <w:color w:val="000000"/>
          <w:w w:val="15"/>
          <w:szCs w:val="24"/>
          <w:shd w:val="solid" w:color="000000" w:fill="000000"/>
          <w:fitText w:val="-20" w:id="-1304780028"/>
          <w14:textFill>
            <w14:solidFill>
              <w14:srgbClr w14:val="000000">
                <w14:alpha w14:val="100000"/>
              </w14:srgbClr>
            </w14:solidFill>
          </w14:textFill>
        </w:rPr>
        <w:t xml:space="preserve">|##################  </w:t>
      </w:r>
      <w:r w:rsidR="00E41BF3" w:rsidRPr="003129AC">
        <w:rPr>
          <w:rFonts w:cstheme="minorHAnsi"/>
          <w:color w:val="000000"/>
          <w:spacing w:val="-391"/>
          <w:w w:val="15"/>
          <w:szCs w:val="24"/>
          <w:shd w:val="solid" w:color="000000" w:fill="000000"/>
          <w:fitText w:val="-20" w:id="-1304780028"/>
          <w14:textFill>
            <w14:solidFill>
              <w14:srgbClr w14:val="000000">
                <w14:alpha w14:val="100000"/>
              </w14:srgbClr>
            </w14:solidFill>
          </w14:textFill>
        </w:rPr>
        <w:t>|</w:t>
      </w:r>
      <w:r>
        <w:rPr>
          <w:rFonts w:cstheme="minorHAnsi"/>
          <w:szCs w:val="24"/>
        </w:rPr>
        <w:t xml:space="preserve">% to </w:t>
      </w:r>
      <w:r w:rsidR="00E41BF3" w:rsidRPr="003129AC">
        <w:rPr>
          <w:rFonts w:cstheme="minorHAnsi"/>
          <w:color w:val="000000"/>
          <w:w w:val="15"/>
          <w:szCs w:val="24"/>
          <w:shd w:val="solid" w:color="000000" w:fill="000000"/>
          <w:fitText w:val="-20" w:id="-1304780027"/>
          <w14:textFill>
            <w14:solidFill>
              <w14:srgbClr w14:val="000000">
                <w14:alpha w14:val="100000"/>
              </w14:srgbClr>
            </w14:solidFill>
          </w14:textFill>
        </w:rPr>
        <w:t xml:space="preserve">|##################  </w:t>
      </w:r>
      <w:r w:rsidR="00E41BF3" w:rsidRPr="003129AC">
        <w:rPr>
          <w:rFonts w:cstheme="minorHAnsi"/>
          <w:color w:val="000000"/>
          <w:spacing w:val="-391"/>
          <w:w w:val="15"/>
          <w:szCs w:val="24"/>
          <w:shd w:val="solid" w:color="000000" w:fill="000000"/>
          <w:fitText w:val="-20" w:id="-1304780027"/>
          <w14:textFill>
            <w14:solidFill>
              <w14:srgbClr w14:val="000000">
                <w14:alpha w14:val="100000"/>
              </w14:srgbClr>
            </w14:solidFill>
          </w14:textFill>
        </w:rPr>
        <w:t>|</w:t>
      </w:r>
      <w:r>
        <w:rPr>
          <w:rFonts w:cstheme="minorHAnsi"/>
          <w:szCs w:val="24"/>
        </w:rPr>
        <w:t>% consistent with the pembrolizumab colorectal cancer Deed of Agreement which was negotiated in 2021.</w:t>
      </w:r>
    </w:p>
    <w:p w14:paraId="14FE15C6" w14:textId="2EAC5FD3" w:rsidR="00453553" w:rsidRDefault="00C774FC" w:rsidP="00DB6537">
      <w:pPr>
        <w:pStyle w:val="3Bodytext"/>
        <w:numPr>
          <w:ilvl w:val="0"/>
          <w:numId w:val="44"/>
        </w:numPr>
        <w:jc w:val="both"/>
        <w:rPr>
          <w:rFonts w:cstheme="minorHAnsi"/>
          <w:szCs w:val="24"/>
        </w:rPr>
      </w:pPr>
      <w:r>
        <w:rPr>
          <w:rFonts w:cstheme="minorHAnsi"/>
          <w:szCs w:val="24"/>
        </w:rPr>
        <w:t>S</w:t>
      </w:r>
      <w:r w:rsidR="00AA334B">
        <w:rPr>
          <w:rFonts w:cstheme="minorHAnsi"/>
          <w:szCs w:val="24"/>
        </w:rPr>
        <w:t xml:space="preserve">hould avelumab join the current Risk Sharing Arrangement subsidisation caps for pembrolizumab for urothelial carcinoma, </w:t>
      </w:r>
      <w:r>
        <w:rPr>
          <w:rFonts w:cstheme="minorHAnsi"/>
          <w:szCs w:val="24"/>
        </w:rPr>
        <w:t xml:space="preserve">that </w:t>
      </w:r>
      <w:r w:rsidR="00AA334B">
        <w:rPr>
          <w:rFonts w:cstheme="minorHAnsi"/>
          <w:szCs w:val="24"/>
        </w:rPr>
        <w:t>they be amended to</w:t>
      </w:r>
      <w:r w:rsidR="0017693F">
        <w:rPr>
          <w:rFonts w:cstheme="minorHAnsi"/>
          <w:szCs w:val="24"/>
        </w:rPr>
        <w:t xml:space="preserve"> cover all cost-effective patients for maintenance treatment and </w:t>
      </w:r>
      <w:r w:rsidR="00E12D96">
        <w:rPr>
          <w:rFonts w:cstheme="minorHAnsi"/>
          <w:szCs w:val="24"/>
        </w:rPr>
        <w:t>second-line (</w:t>
      </w:r>
      <w:r w:rsidR="0017693F">
        <w:rPr>
          <w:rFonts w:cstheme="minorHAnsi"/>
          <w:szCs w:val="24"/>
        </w:rPr>
        <w:t>2L</w:t>
      </w:r>
      <w:r w:rsidR="00E12D96">
        <w:rPr>
          <w:rFonts w:cstheme="minorHAnsi"/>
          <w:szCs w:val="24"/>
        </w:rPr>
        <w:t>)</w:t>
      </w:r>
      <w:r w:rsidR="0017693F">
        <w:rPr>
          <w:rFonts w:cstheme="minorHAnsi"/>
          <w:szCs w:val="24"/>
        </w:rPr>
        <w:t xml:space="preserve"> treatment </w:t>
      </w:r>
      <w:r w:rsidR="00AA334B">
        <w:rPr>
          <w:rFonts w:cstheme="minorHAnsi"/>
          <w:szCs w:val="24"/>
        </w:rPr>
        <w:t>of Stage III or IV urothelial cancer</w:t>
      </w:r>
      <w:r w:rsidR="0017693F">
        <w:rPr>
          <w:rFonts w:cstheme="minorHAnsi"/>
          <w:szCs w:val="24"/>
        </w:rPr>
        <w:t xml:space="preserve">. </w:t>
      </w:r>
    </w:p>
    <w:p w14:paraId="38AE686B" w14:textId="77777777" w:rsidR="00C232D3" w:rsidRDefault="00C232D3" w:rsidP="00DB6537">
      <w:pPr>
        <w:pStyle w:val="2-SectionHeading"/>
        <w:keepNext w:val="0"/>
      </w:pPr>
      <w:r w:rsidRPr="009D507A">
        <w:t xml:space="preserve">Requested listing </w:t>
      </w:r>
    </w:p>
    <w:p w14:paraId="7DF84650" w14:textId="001876F7" w:rsidR="00C232D3" w:rsidRDefault="00C232D3" w:rsidP="00DB6537">
      <w:pPr>
        <w:pStyle w:val="ListParagraph"/>
        <w:numPr>
          <w:ilvl w:val="1"/>
          <w:numId w:val="2"/>
        </w:numPr>
        <w:spacing w:after="160"/>
      </w:pPr>
      <w:r w:rsidRPr="00E0207E">
        <w:t>The submission</w:t>
      </w:r>
      <w:r>
        <w:t xml:space="preserve"> proposed no changes to the existing listing. </w:t>
      </w:r>
      <w:r w:rsidRPr="00E0207E">
        <w:t xml:space="preserve"> </w:t>
      </w:r>
    </w:p>
    <w:p w14:paraId="778D253C" w14:textId="77777777" w:rsidR="00A90506" w:rsidRDefault="007E490F" w:rsidP="00DB6537">
      <w:pPr>
        <w:pStyle w:val="2-SectionHeading"/>
        <w:keepNext w:val="0"/>
      </w:pPr>
      <w:r w:rsidRPr="009E2E8E">
        <w:t>Background</w:t>
      </w:r>
      <w:r>
        <w:t xml:space="preserve"> </w:t>
      </w:r>
    </w:p>
    <w:p w14:paraId="047AFB8C" w14:textId="09756415" w:rsidR="00A90506" w:rsidRPr="00564A2B" w:rsidRDefault="00A90506" w:rsidP="00564A2B">
      <w:pPr>
        <w:pStyle w:val="4-SubsectionHeading"/>
        <w:keepNext w:val="0"/>
        <w:tabs>
          <w:tab w:val="left" w:pos="6888"/>
        </w:tabs>
        <w:rPr>
          <w:lang w:eastAsia="en-US"/>
        </w:rPr>
      </w:pPr>
      <w:r w:rsidRPr="00564A2B">
        <w:rPr>
          <w:lang w:eastAsia="en-US"/>
        </w:rPr>
        <w:t xml:space="preserve">Previous PBAC consideration </w:t>
      </w:r>
    </w:p>
    <w:p w14:paraId="196FAD9C" w14:textId="35BBF5F0" w:rsidR="001F2311" w:rsidRPr="001C39F1" w:rsidRDefault="007A534F" w:rsidP="00DB6537">
      <w:pPr>
        <w:pStyle w:val="ListParagraph"/>
        <w:numPr>
          <w:ilvl w:val="1"/>
          <w:numId w:val="2"/>
        </w:numPr>
        <w:spacing w:after="160"/>
      </w:pPr>
      <w:r>
        <w:t xml:space="preserve">Pembrolizumab was previously considered for </w:t>
      </w:r>
      <w:r w:rsidR="00A90506">
        <w:t xml:space="preserve">the treatment of </w:t>
      </w:r>
      <w:r w:rsidR="00535EE8">
        <w:t>Stage III</w:t>
      </w:r>
      <w:r w:rsidR="00A90506">
        <w:t xml:space="preserve"> or </w:t>
      </w:r>
      <w:r w:rsidR="00535EE8">
        <w:t xml:space="preserve">Stage IV </w:t>
      </w:r>
      <w:r>
        <w:t xml:space="preserve">urothelial cancer </w:t>
      </w:r>
      <w:r w:rsidR="00A90506">
        <w:t>by the PBAC in November 2017 and was recommended at its July</w:t>
      </w:r>
      <w:r w:rsidR="004E1C7B">
        <w:t> </w:t>
      </w:r>
      <w:r w:rsidR="00A90506">
        <w:t>2018</w:t>
      </w:r>
      <w:r w:rsidR="00535EE8">
        <w:t xml:space="preserve"> PBAC</w:t>
      </w:r>
      <w:r w:rsidR="00A90506">
        <w:t xml:space="preserve"> meeting. </w:t>
      </w:r>
    </w:p>
    <w:p w14:paraId="2E899BD8" w14:textId="57C97C8E" w:rsidR="00F25337" w:rsidRPr="001C39F1" w:rsidRDefault="00B97A4A" w:rsidP="00DB6537">
      <w:pPr>
        <w:pStyle w:val="ListParagraph"/>
        <w:numPr>
          <w:ilvl w:val="1"/>
          <w:numId w:val="2"/>
        </w:numPr>
        <w:spacing w:after="160"/>
      </w:pPr>
      <w:r>
        <w:t>In November 2021, the PBAC considered a</w:t>
      </w:r>
      <w:r w:rsidR="00F25337">
        <w:t xml:space="preserve"> DUSC </w:t>
      </w:r>
      <w:r>
        <w:t xml:space="preserve">predicted vs actual </w:t>
      </w:r>
      <w:r w:rsidR="00F25337">
        <w:t xml:space="preserve">analysis on the utilisation of pembrolizumab for locally advanced or metastatic urothelial carcinoma </w:t>
      </w:r>
      <w:r w:rsidR="005915AF">
        <w:t>since pembrolizumab was listed</w:t>
      </w:r>
      <w:r w:rsidR="00F9403F">
        <w:t xml:space="preserve"> on 1 March 2019 (para </w:t>
      </w:r>
      <w:r w:rsidR="00F12B28">
        <w:fldChar w:fldCharType="begin"/>
      </w:r>
      <w:r w:rsidR="00F12B28">
        <w:instrText xml:space="preserve"> REF _Ref119919300 \r \h </w:instrText>
      </w:r>
      <w:r w:rsidR="001C39F1">
        <w:instrText xml:space="preserve"> \* MERGEFORMAT </w:instrText>
      </w:r>
      <w:r w:rsidR="00F12B28">
        <w:fldChar w:fldCharType="separate"/>
      </w:r>
      <w:r w:rsidR="003129AC">
        <w:t>3.7</w:t>
      </w:r>
      <w:r w:rsidR="00F12B28">
        <w:fldChar w:fldCharType="end"/>
      </w:r>
      <w:r w:rsidR="00F9403F">
        <w:t xml:space="preserve"> refers).</w:t>
      </w:r>
      <w:r w:rsidR="005915AF">
        <w:t xml:space="preserve"> </w:t>
      </w:r>
    </w:p>
    <w:p w14:paraId="69D3D5E6" w14:textId="309057A6" w:rsidR="00A90506" w:rsidRDefault="00A90506" w:rsidP="00DB6537">
      <w:pPr>
        <w:pStyle w:val="ListParagraph"/>
        <w:numPr>
          <w:ilvl w:val="1"/>
          <w:numId w:val="2"/>
        </w:numPr>
        <w:spacing w:after="160"/>
      </w:pPr>
      <w:r>
        <w:t xml:space="preserve">A summary of the November 2017, July 2018 consideration and current proposal is provided in the table below. </w:t>
      </w:r>
    </w:p>
    <w:p w14:paraId="2C7F58E4" w14:textId="5D8C83F3" w:rsidR="00DB6537" w:rsidRDefault="00DB6537" w:rsidP="00DB6537">
      <w:pPr>
        <w:pStyle w:val="ListBullet"/>
        <w:numPr>
          <w:ilvl w:val="0"/>
          <w:numId w:val="0"/>
        </w:numPr>
        <w:ind w:left="1440" w:hanging="360"/>
      </w:pPr>
    </w:p>
    <w:p w14:paraId="72AEE6A7" w14:textId="77777777" w:rsidR="00564A2B" w:rsidRDefault="00564A2B" w:rsidP="00DB6537">
      <w:pPr>
        <w:pStyle w:val="ListBullet"/>
        <w:numPr>
          <w:ilvl w:val="0"/>
          <w:numId w:val="0"/>
        </w:numPr>
        <w:ind w:left="1440" w:hanging="360"/>
      </w:pPr>
    </w:p>
    <w:p w14:paraId="4127DE21" w14:textId="77777777" w:rsidR="00DB6537" w:rsidRPr="00DB6537" w:rsidRDefault="00DB6537" w:rsidP="00DB6537">
      <w:pPr>
        <w:pStyle w:val="ListBullet"/>
        <w:numPr>
          <w:ilvl w:val="0"/>
          <w:numId w:val="0"/>
        </w:numPr>
        <w:ind w:left="1440" w:hanging="360"/>
      </w:pPr>
    </w:p>
    <w:p w14:paraId="0A539350" w14:textId="7672FF6D" w:rsidR="00406668" w:rsidRPr="00406668" w:rsidRDefault="00DC028C" w:rsidP="00DB6537">
      <w:pPr>
        <w:pStyle w:val="TableFigureHeading"/>
        <w:keepNext w:val="0"/>
        <w:rPr>
          <w:lang w:eastAsia="en-US"/>
        </w:rPr>
      </w:pPr>
      <w:r>
        <w:lastRenderedPageBreak/>
        <w:t xml:space="preserve">Table </w:t>
      </w:r>
      <w:fldSimple w:instr=" SEQ Table \* ARABIC ">
        <w:r w:rsidR="003129AC">
          <w:rPr>
            <w:noProof/>
          </w:rPr>
          <w:t>1</w:t>
        </w:r>
      </w:fldSimple>
      <w:r w:rsidR="00406668" w:rsidRPr="00406668">
        <w:rPr>
          <w:lang w:eastAsia="en-US"/>
        </w:rPr>
        <w:t>: Summary of the November 2017, July 2018 PBAC consideration and current proposal</w:t>
      </w:r>
    </w:p>
    <w:tbl>
      <w:tblPr>
        <w:tblStyle w:val="TableGrid"/>
        <w:tblW w:w="0" w:type="auto"/>
        <w:tblLook w:val="04A0" w:firstRow="1" w:lastRow="0" w:firstColumn="1" w:lastColumn="0" w:noHBand="0" w:noVBand="1"/>
      </w:tblPr>
      <w:tblGrid>
        <w:gridCol w:w="1413"/>
        <w:gridCol w:w="2551"/>
        <w:gridCol w:w="2835"/>
        <w:gridCol w:w="2217"/>
      </w:tblGrid>
      <w:tr w:rsidR="00406668" w14:paraId="04B1F07E" w14:textId="4B1C123E" w:rsidTr="005B7D24">
        <w:trPr>
          <w:tblHeader/>
        </w:trPr>
        <w:tc>
          <w:tcPr>
            <w:tcW w:w="1413" w:type="dxa"/>
          </w:tcPr>
          <w:p w14:paraId="5C65A5C6" w14:textId="77777777" w:rsidR="00406668" w:rsidRDefault="00406668" w:rsidP="00DB6537">
            <w:pPr>
              <w:pStyle w:val="3Bodytext"/>
              <w:rPr>
                <w:rFonts w:cstheme="minorHAnsi"/>
                <w:szCs w:val="24"/>
              </w:rPr>
            </w:pPr>
          </w:p>
        </w:tc>
        <w:tc>
          <w:tcPr>
            <w:tcW w:w="2551" w:type="dxa"/>
          </w:tcPr>
          <w:p w14:paraId="429594F7" w14:textId="3F823A6A" w:rsidR="00406668" w:rsidRPr="00406668" w:rsidRDefault="00406668" w:rsidP="00DB6537">
            <w:pPr>
              <w:pStyle w:val="Bodytextitalics"/>
              <w:jc w:val="center"/>
              <w:rPr>
                <w:rFonts w:ascii="Arial Narrow" w:hAnsi="Arial Narrow"/>
                <w:b/>
                <w:i w:val="0"/>
                <w:sz w:val="20"/>
                <w:szCs w:val="20"/>
              </w:rPr>
            </w:pPr>
            <w:r w:rsidRPr="00406668">
              <w:rPr>
                <w:rFonts w:ascii="Arial Narrow" w:hAnsi="Arial Narrow"/>
                <w:b/>
                <w:i w:val="0"/>
                <w:sz w:val="20"/>
                <w:szCs w:val="20"/>
              </w:rPr>
              <w:t>November 2017</w:t>
            </w:r>
          </w:p>
        </w:tc>
        <w:tc>
          <w:tcPr>
            <w:tcW w:w="2835" w:type="dxa"/>
          </w:tcPr>
          <w:p w14:paraId="7F80A11E" w14:textId="50950F3E" w:rsidR="00406668" w:rsidRPr="00406668" w:rsidRDefault="00406668" w:rsidP="00DB6537">
            <w:pPr>
              <w:pStyle w:val="Bodytextitalics"/>
              <w:jc w:val="center"/>
              <w:rPr>
                <w:rFonts w:ascii="Arial Narrow" w:hAnsi="Arial Narrow"/>
                <w:b/>
                <w:i w:val="0"/>
                <w:sz w:val="20"/>
                <w:szCs w:val="20"/>
              </w:rPr>
            </w:pPr>
            <w:r w:rsidRPr="00406668">
              <w:rPr>
                <w:rFonts w:ascii="Arial Narrow" w:hAnsi="Arial Narrow"/>
                <w:b/>
                <w:i w:val="0"/>
                <w:sz w:val="20"/>
                <w:szCs w:val="20"/>
              </w:rPr>
              <w:t>July 2018</w:t>
            </w:r>
          </w:p>
        </w:tc>
        <w:tc>
          <w:tcPr>
            <w:tcW w:w="2217" w:type="dxa"/>
          </w:tcPr>
          <w:p w14:paraId="0EF4C37F" w14:textId="599EFDB5" w:rsidR="00406668" w:rsidRPr="00406668" w:rsidRDefault="00406668" w:rsidP="00DB6537">
            <w:pPr>
              <w:pStyle w:val="Bodytextitalics"/>
              <w:jc w:val="center"/>
              <w:rPr>
                <w:rFonts w:ascii="Arial Narrow" w:hAnsi="Arial Narrow"/>
                <w:b/>
                <w:i w:val="0"/>
                <w:sz w:val="20"/>
                <w:szCs w:val="20"/>
              </w:rPr>
            </w:pPr>
            <w:r w:rsidRPr="00406668">
              <w:rPr>
                <w:rFonts w:ascii="Arial Narrow" w:hAnsi="Arial Narrow"/>
                <w:b/>
                <w:i w:val="0"/>
                <w:sz w:val="20"/>
                <w:szCs w:val="20"/>
              </w:rPr>
              <w:t>Current proposal</w:t>
            </w:r>
          </w:p>
        </w:tc>
      </w:tr>
      <w:tr w:rsidR="00362507" w14:paraId="0EEF2FBC" w14:textId="5EFC92FC" w:rsidTr="005B7D24">
        <w:tc>
          <w:tcPr>
            <w:tcW w:w="1413" w:type="dxa"/>
          </w:tcPr>
          <w:p w14:paraId="3963B72A" w14:textId="16C35B13" w:rsidR="00362507" w:rsidRDefault="00362507" w:rsidP="00DB6537">
            <w:pPr>
              <w:pStyle w:val="3Bodytext"/>
              <w:rPr>
                <w:rFonts w:cstheme="minorHAnsi"/>
                <w:szCs w:val="24"/>
              </w:rPr>
            </w:pPr>
            <w:r w:rsidRPr="00D34003">
              <w:rPr>
                <w:rFonts w:ascii="Arial Narrow" w:hAnsi="Arial Narrow"/>
                <w:sz w:val="20"/>
                <w:szCs w:val="20"/>
              </w:rPr>
              <w:t>PBS listed restriction</w:t>
            </w:r>
          </w:p>
        </w:tc>
        <w:tc>
          <w:tcPr>
            <w:tcW w:w="2551" w:type="dxa"/>
          </w:tcPr>
          <w:p w14:paraId="5F899409" w14:textId="671B1B8F" w:rsidR="00362507" w:rsidRPr="00D34003" w:rsidRDefault="00362507" w:rsidP="00DB6537">
            <w:pPr>
              <w:jc w:val="left"/>
              <w:rPr>
                <w:rFonts w:ascii="Arial Narrow" w:hAnsi="Arial Narrow"/>
                <w:sz w:val="20"/>
                <w:szCs w:val="20"/>
              </w:rPr>
            </w:pPr>
            <w:r w:rsidRPr="00D34003">
              <w:rPr>
                <w:rFonts w:ascii="Arial Narrow" w:hAnsi="Arial Narrow"/>
                <w:sz w:val="20"/>
                <w:szCs w:val="20"/>
              </w:rPr>
              <w:t>The PBAC considered that there was a risk that pembrolizumab would be used outside the requested restriction (into first-line treatment for cisplatin-ineligible patients) (</w:t>
            </w:r>
            <w:r w:rsidR="00017E09">
              <w:rPr>
                <w:rFonts w:ascii="Arial Narrow" w:hAnsi="Arial Narrow"/>
                <w:sz w:val="20"/>
                <w:szCs w:val="20"/>
              </w:rPr>
              <w:t xml:space="preserve">para 7.11, </w:t>
            </w:r>
            <w:r w:rsidRPr="00D34003">
              <w:rPr>
                <w:rFonts w:ascii="Arial Narrow" w:hAnsi="Arial Narrow"/>
                <w:sz w:val="20"/>
                <w:szCs w:val="20"/>
              </w:rPr>
              <w:t>pembrolizumab PSD, Nov 2017)</w:t>
            </w:r>
          </w:p>
          <w:p w14:paraId="4176923C" w14:textId="77777777" w:rsidR="00362507" w:rsidRDefault="00362507" w:rsidP="00DB6537">
            <w:pPr>
              <w:pStyle w:val="3Bodytext"/>
              <w:rPr>
                <w:rFonts w:cstheme="minorHAnsi"/>
                <w:szCs w:val="24"/>
              </w:rPr>
            </w:pPr>
          </w:p>
        </w:tc>
        <w:tc>
          <w:tcPr>
            <w:tcW w:w="2835" w:type="dxa"/>
          </w:tcPr>
          <w:p w14:paraId="7CD4E8AD" w14:textId="6928C02B" w:rsidR="00362507" w:rsidRDefault="00AA11C6" w:rsidP="00DB6537">
            <w:pPr>
              <w:spacing w:after="160"/>
            </w:pPr>
            <w:r w:rsidRPr="00AA11C6">
              <w:rPr>
                <w:rFonts w:ascii="Arial Narrow" w:hAnsi="Arial Narrow"/>
                <w:sz w:val="20"/>
                <w:szCs w:val="20"/>
              </w:rPr>
              <w:t xml:space="preserve">The PBAC considered that use outside the proposed restriction into the first line setting may be less likely as there was emerging data suggesting decreased survival when PD-1 inhibitors are used first line in PD-L1-low expressing urothelial cancer </w:t>
            </w:r>
            <w:r w:rsidRPr="003458F2">
              <w:rPr>
                <w:rFonts w:ascii="Arial Narrow" w:hAnsi="Arial Narrow"/>
                <w:sz w:val="20"/>
                <w:szCs w:val="20"/>
                <w:vertAlign w:val="superscript"/>
              </w:rPr>
              <w:footnoteReference w:id="2"/>
            </w:r>
            <w:r w:rsidRPr="003458F2">
              <w:rPr>
                <w:rFonts w:ascii="Arial Narrow" w:hAnsi="Arial Narrow"/>
                <w:sz w:val="20"/>
                <w:szCs w:val="20"/>
                <w:vertAlign w:val="superscript"/>
              </w:rPr>
              <w:t>,</w:t>
            </w:r>
            <w:r w:rsidRPr="003458F2">
              <w:rPr>
                <w:rFonts w:ascii="Arial Narrow" w:hAnsi="Arial Narrow"/>
                <w:sz w:val="20"/>
                <w:szCs w:val="20"/>
                <w:vertAlign w:val="superscript"/>
              </w:rPr>
              <w:footnoteReference w:id="3"/>
            </w:r>
            <w:r w:rsidRPr="003458F2">
              <w:rPr>
                <w:rFonts w:ascii="Arial Narrow" w:hAnsi="Arial Narrow"/>
                <w:sz w:val="20"/>
                <w:szCs w:val="20"/>
                <w:vertAlign w:val="superscript"/>
              </w:rPr>
              <w:t>,</w:t>
            </w:r>
            <w:r w:rsidRPr="003458F2">
              <w:rPr>
                <w:rFonts w:ascii="Arial Narrow" w:hAnsi="Arial Narrow"/>
                <w:sz w:val="20"/>
                <w:szCs w:val="20"/>
                <w:vertAlign w:val="superscript"/>
              </w:rPr>
              <w:footnoteReference w:id="4"/>
            </w:r>
            <w:r w:rsidR="00017E09">
              <w:rPr>
                <w:rFonts w:ascii="Arial Narrow" w:hAnsi="Arial Narrow"/>
                <w:sz w:val="20"/>
                <w:szCs w:val="20"/>
                <w:vertAlign w:val="superscript"/>
              </w:rPr>
              <w:t xml:space="preserve"> </w:t>
            </w:r>
            <w:r w:rsidR="00017E09">
              <w:rPr>
                <w:rFonts w:ascii="Arial Narrow" w:hAnsi="Arial Narrow"/>
                <w:sz w:val="20"/>
                <w:szCs w:val="20"/>
              </w:rPr>
              <w:t>(para 7.5, pembrolizumab PSD, July 2018).</w:t>
            </w:r>
            <w:r w:rsidRPr="00AA11C6">
              <w:rPr>
                <w:rFonts w:ascii="Arial Narrow" w:hAnsi="Arial Narrow"/>
                <w:sz w:val="20"/>
                <w:szCs w:val="20"/>
              </w:rPr>
              <w:t xml:space="preserve"> </w:t>
            </w:r>
          </w:p>
        </w:tc>
        <w:tc>
          <w:tcPr>
            <w:tcW w:w="2217" w:type="dxa"/>
          </w:tcPr>
          <w:p w14:paraId="1A9FC210" w14:textId="5A303CA2" w:rsidR="00362507" w:rsidRDefault="00F453BB" w:rsidP="00DB6537">
            <w:pPr>
              <w:pStyle w:val="3Bodytext"/>
              <w:rPr>
                <w:rFonts w:cstheme="minorHAnsi"/>
                <w:szCs w:val="24"/>
              </w:rPr>
            </w:pPr>
            <w:r w:rsidRPr="00F453BB">
              <w:rPr>
                <w:rFonts w:ascii="Arial Narrow" w:eastAsia="Times New Roman" w:hAnsi="Arial Narrow" w:cs="Times New Roman"/>
                <w:sz w:val="20"/>
                <w:szCs w:val="20"/>
              </w:rPr>
              <w:t>Remains unchanged.</w:t>
            </w:r>
          </w:p>
        </w:tc>
      </w:tr>
      <w:tr w:rsidR="00E72312" w14:paraId="197B1E1D" w14:textId="7DE4A498" w:rsidTr="005B7D24">
        <w:tc>
          <w:tcPr>
            <w:tcW w:w="1413" w:type="dxa"/>
          </w:tcPr>
          <w:p w14:paraId="0906EE95" w14:textId="5BBB5D37" w:rsidR="00E72312" w:rsidRDefault="00E72312" w:rsidP="00DB6537">
            <w:pPr>
              <w:pStyle w:val="3Bodytext"/>
              <w:rPr>
                <w:rFonts w:cstheme="minorHAnsi"/>
                <w:szCs w:val="24"/>
              </w:rPr>
            </w:pPr>
            <w:r w:rsidRPr="00D34003">
              <w:rPr>
                <w:rFonts w:ascii="Arial Narrow" w:hAnsi="Arial Narrow"/>
                <w:sz w:val="20"/>
                <w:szCs w:val="20"/>
              </w:rPr>
              <w:t>Number of patients estimated</w:t>
            </w:r>
          </w:p>
        </w:tc>
        <w:tc>
          <w:tcPr>
            <w:tcW w:w="2551" w:type="dxa"/>
          </w:tcPr>
          <w:p w14:paraId="3DF3E8B0" w14:textId="39542DC0" w:rsidR="00E72312" w:rsidRPr="00D34003" w:rsidRDefault="00E72312" w:rsidP="00DB6537">
            <w:pPr>
              <w:jc w:val="left"/>
              <w:rPr>
                <w:rFonts w:ascii="Arial Narrow" w:hAnsi="Arial Narrow"/>
                <w:sz w:val="20"/>
                <w:szCs w:val="20"/>
              </w:rPr>
            </w:pPr>
            <w:r w:rsidRPr="00D34003">
              <w:rPr>
                <w:rFonts w:ascii="Arial Narrow" w:hAnsi="Arial Narrow"/>
                <w:sz w:val="20"/>
                <w:szCs w:val="20"/>
              </w:rPr>
              <w:t>The PBAC considered patient</w:t>
            </w:r>
            <w:r w:rsidR="0023495B">
              <w:rPr>
                <w:rFonts w:ascii="Arial Narrow" w:hAnsi="Arial Narrow"/>
                <w:sz w:val="20"/>
                <w:szCs w:val="20"/>
              </w:rPr>
              <w:t xml:space="preserve"> numbers</w:t>
            </w:r>
            <w:r w:rsidRPr="00D34003">
              <w:rPr>
                <w:rFonts w:ascii="Arial Narrow" w:hAnsi="Arial Narrow"/>
                <w:sz w:val="20"/>
                <w:szCs w:val="20"/>
              </w:rPr>
              <w:t xml:space="preserve"> were likely underestimated (</w:t>
            </w:r>
            <w:r w:rsidR="00017E09">
              <w:rPr>
                <w:rFonts w:ascii="Arial Narrow" w:hAnsi="Arial Narrow"/>
                <w:sz w:val="20"/>
                <w:szCs w:val="20"/>
              </w:rPr>
              <w:t xml:space="preserve">para 7.11, </w:t>
            </w:r>
            <w:r w:rsidRPr="00D34003">
              <w:rPr>
                <w:rFonts w:ascii="Arial Narrow" w:hAnsi="Arial Narrow"/>
                <w:sz w:val="20"/>
                <w:szCs w:val="20"/>
              </w:rPr>
              <w:t>pembrolizumab PSD, Nov 2017)</w:t>
            </w:r>
            <w:r w:rsidR="0023495B">
              <w:rPr>
                <w:rFonts w:ascii="Arial Narrow" w:hAnsi="Arial Narrow"/>
                <w:sz w:val="20"/>
                <w:szCs w:val="20"/>
              </w:rPr>
              <w:t>.</w:t>
            </w:r>
          </w:p>
          <w:p w14:paraId="51327C62" w14:textId="77777777" w:rsidR="00E72312" w:rsidRPr="00D34003" w:rsidRDefault="00E72312" w:rsidP="00DB6537">
            <w:pPr>
              <w:jc w:val="left"/>
              <w:rPr>
                <w:rFonts w:ascii="Arial Narrow" w:hAnsi="Arial Narrow"/>
                <w:sz w:val="20"/>
                <w:szCs w:val="20"/>
              </w:rPr>
            </w:pPr>
          </w:p>
          <w:p w14:paraId="69FB6ED7" w14:textId="77777777" w:rsidR="00E72312" w:rsidRDefault="00E72312" w:rsidP="00DB6537">
            <w:pPr>
              <w:pStyle w:val="3Bodytext"/>
              <w:rPr>
                <w:rFonts w:cstheme="minorHAnsi"/>
                <w:szCs w:val="24"/>
              </w:rPr>
            </w:pPr>
          </w:p>
        </w:tc>
        <w:tc>
          <w:tcPr>
            <w:tcW w:w="2835" w:type="dxa"/>
          </w:tcPr>
          <w:p w14:paraId="6DD82E75" w14:textId="66A38FCE" w:rsidR="00E72312" w:rsidRDefault="00AA11C6" w:rsidP="00DB6537">
            <w:pPr>
              <w:pStyle w:val="3Bodytext"/>
              <w:rPr>
                <w:rFonts w:cstheme="minorHAnsi"/>
                <w:szCs w:val="24"/>
              </w:rPr>
            </w:pPr>
            <w:r>
              <w:rPr>
                <w:rFonts w:ascii="Arial Narrow" w:hAnsi="Arial Narrow"/>
                <w:sz w:val="20"/>
                <w:szCs w:val="20"/>
              </w:rPr>
              <w:t xml:space="preserve">Remained unchanged from November 2017. </w:t>
            </w:r>
            <w:r w:rsidR="00E72312" w:rsidRPr="00D34003">
              <w:rPr>
                <w:rFonts w:ascii="Arial Narrow" w:hAnsi="Arial Narrow"/>
                <w:sz w:val="20"/>
                <w:szCs w:val="20"/>
              </w:rPr>
              <w:t xml:space="preserve">The resubmission </w:t>
            </w:r>
            <w:r w:rsidR="000510FC">
              <w:rPr>
                <w:rFonts w:ascii="Arial Narrow" w:hAnsi="Arial Narrow"/>
                <w:sz w:val="20"/>
                <w:szCs w:val="20"/>
              </w:rPr>
              <w:t xml:space="preserve">maintained the epidemiological approach used in the November 2017 submission to estimate the eligible population each year (para 6.4, pembrolizumab PSD, July 2018). </w:t>
            </w:r>
            <w:r w:rsidR="00E72312" w:rsidRPr="00D34003">
              <w:rPr>
                <w:rFonts w:ascii="Arial Narrow" w:hAnsi="Arial Narrow"/>
                <w:sz w:val="20"/>
                <w:szCs w:val="20"/>
              </w:rPr>
              <w:t xml:space="preserve"> </w:t>
            </w:r>
          </w:p>
        </w:tc>
        <w:tc>
          <w:tcPr>
            <w:tcW w:w="2217" w:type="dxa"/>
          </w:tcPr>
          <w:p w14:paraId="478B51AE" w14:textId="712E377E" w:rsidR="00E72312" w:rsidRDefault="00B52B72" w:rsidP="00DB6537">
            <w:pPr>
              <w:pStyle w:val="3Bodytext"/>
              <w:rPr>
                <w:rFonts w:cstheme="minorHAnsi"/>
                <w:szCs w:val="24"/>
              </w:rPr>
            </w:pPr>
            <w:r w:rsidRPr="00B52B72">
              <w:rPr>
                <w:rFonts w:ascii="Arial Narrow" w:hAnsi="Arial Narrow"/>
                <w:sz w:val="20"/>
                <w:szCs w:val="20"/>
              </w:rPr>
              <w:t xml:space="preserve">Request to </w:t>
            </w:r>
            <w:r>
              <w:rPr>
                <w:rFonts w:ascii="Arial Narrow" w:hAnsi="Arial Narrow"/>
                <w:sz w:val="20"/>
                <w:szCs w:val="20"/>
              </w:rPr>
              <w:t xml:space="preserve">vary </w:t>
            </w:r>
            <w:r w:rsidRPr="005B7D24">
              <w:rPr>
                <w:rFonts w:ascii="Arial Narrow" w:hAnsi="Arial Narrow"/>
                <w:sz w:val="20"/>
                <w:szCs w:val="20"/>
              </w:rPr>
              <w:t xml:space="preserve">patient </w:t>
            </w:r>
            <w:r w:rsidR="00D463D4" w:rsidRPr="005B7D24">
              <w:rPr>
                <w:rFonts w:ascii="Arial Narrow" w:hAnsi="Arial Narrow"/>
                <w:sz w:val="20"/>
                <w:szCs w:val="20"/>
              </w:rPr>
              <w:t xml:space="preserve">and script </w:t>
            </w:r>
            <w:r w:rsidRPr="005B7D24">
              <w:rPr>
                <w:rFonts w:ascii="Arial Narrow" w:hAnsi="Arial Narrow"/>
                <w:sz w:val="20"/>
                <w:szCs w:val="20"/>
              </w:rPr>
              <w:t>numbers</w:t>
            </w:r>
            <w:r w:rsidR="00D463D4">
              <w:rPr>
                <w:rFonts w:ascii="Arial Narrow" w:hAnsi="Arial Narrow"/>
                <w:sz w:val="20"/>
                <w:szCs w:val="20"/>
              </w:rPr>
              <w:t xml:space="preserve"> </w:t>
            </w:r>
            <w:r w:rsidRPr="00B52B72">
              <w:rPr>
                <w:rFonts w:ascii="Arial Narrow" w:hAnsi="Arial Narrow"/>
                <w:sz w:val="20"/>
                <w:szCs w:val="20"/>
              </w:rPr>
              <w:t xml:space="preserve">to reflect the </w:t>
            </w:r>
            <w:r w:rsidR="007328C4">
              <w:rPr>
                <w:rFonts w:ascii="Arial Narrow" w:hAnsi="Arial Narrow"/>
                <w:sz w:val="20"/>
                <w:szCs w:val="20"/>
              </w:rPr>
              <w:t xml:space="preserve">additional utilisation of pembrolizumab </w:t>
            </w:r>
            <w:r w:rsidR="00D463D4">
              <w:rPr>
                <w:rFonts w:ascii="Arial Narrow" w:hAnsi="Arial Narrow"/>
                <w:sz w:val="20"/>
                <w:szCs w:val="20"/>
              </w:rPr>
              <w:t>as seen in the</w:t>
            </w:r>
            <w:r w:rsidR="007328C4">
              <w:rPr>
                <w:rFonts w:ascii="Arial Narrow" w:hAnsi="Arial Narrow"/>
                <w:sz w:val="20"/>
                <w:szCs w:val="20"/>
              </w:rPr>
              <w:t xml:space="preserve"> first three years of listing. </w:t>
            </w:r>
          </w:p>
        </w:tc>
      </w:tr>
      <w:tr w:rsidR="00E72312" w14:paraId="69FF5DF4" w14:textId="46C960CB" w:rsidTr="005B7D24">
        <w:tc>
          <w:tcPr>
            <w:tcW w:w="1413" w:type="dxa"/>
          </w:tcPr>
          <w:p w14:paraId="233F0FAF" w14:textId="2A424112" w:rsidR="00E72312" w:rsidRDefault="00E72312" w:rsidP="00DB6537">
            <w:pPr>
              <w:pStyle w:val="3Bodytext"/>
              <w:rPr>
                <w:rFonts w:cstheme="minorHAnsi"/>
                <w:szCs w:val="24"/>
              </w:rPr>
            </w:pPr>
            <w:r w:rsidRPr="00D34003">
              <w:rPr>
                <w:rFonts w:ascii="Arial Narrow" w:hAnsi="Arial Narrow"/>
                <w:sz w:val="20"/>
                <w:szCs w:val="20"/>
              </w:rPr>
              <w:t>Risk-sharing arrangements</w:t>
            </w:r>
          </w:p>
        </w:tc>
        <w:tc>
          <w:tcPr>
            <w:tcW w:w="2551" w:type="dxa"/>
          </w:tcPr>
          <w:p w14:paraId="45497B8C" w14:textId="37EC7A5B" w:rsidR="00E72312" w:rsidRDefault="00E72312" w:rsidP="00DB6537">
            <w:pPr>
              <w:pStyle w:val="3Bodytext"/>
              <w:rPr>
                <w:rFonts w:cstheme="minorHAnsi"/>
                <w:szCs w:val="24"/>
              </w:rPr>
            </w:pPr>
            <w:r w:rsidRPr="00D34003">
              <w:rPr>
                <w:rFonts w:ascii="Arial Narrow" w:hAnsi="Arial Narrow"/>
                <w:sz w:val="20"/>
                <w:szCs w:val="20"/>
              </w:rPr>
              <w:t>The PBAC was unclear as to how the RSA would fully address the uncertainties related to treatment duration, particularly given that the magnitude of the proposed rebate was not specified for expenditure over the caps (</w:t>
            </w:r>
            <w:r w:rsidR="00FD70C5">
              <w:rPr>
                <w:rFonts w:ascii="Arial Narrow" w:hAnsi="Arial Narrow"/>
                <w:sz w:val="20"/>
                <w:szCs w:val="20"/>
              </w:rPr>
              <w:t xml:space="preserve">para 7.13, </w:t>
            </w:r>
            <w:r w:rsidRPr="00D34003">
              <w:rPr>
                <w:rFonts w:ascii="Arial Narrow" w:hAnsi="Arial Narrow"/>
                <w:sz w:val="20"/>
                <w:szCs w:val="20"/>
              </w:rPr>
              <w:t>pembrolizumab PSD, Nov 2017).</w:t>
            </w:r>
          </w:p>
        </w:tc>
        <w:tc>
          <w:tcPr>
            <w:tcW w:w="2835" w:type="dxa"/>
          </w:tcPr>
          <w:p w14:paraId="1F90931C" w14:textId="77C2FE97" w:rsidR="00017E09" w:rsidRDefault="00017E09" w:rsidP="00DB6537">
            <w:pPr>
              <w:spacing w:after="120"/>
              <w:rPr>
                <w:rFonts w:ascii="Arial Narrow" w:eastAsiaTheme="minorHAnsi" w:hAnsi="Arial Narrow" w:cstheme="minorBidi"/>
                <w:sz w:val="20"/>
                <w:szCs w:val="20"/>
              </w:rPr>
            </w:pPr>
            <w:r w:rsidRPr="00AA11C6">
              <w:rPr>
                <w:rFonts w:ascii="Arial Narrow" w:hAnsi="Arial Narrow"/>
                <w:sz w:val="20"/>
                <w:szCs w:val="20"/>
              </w:rPr>
              <w:t>The PBAC noted that the RSA would assist in addressing the financial implications of treatment beyond 35 cycles</w:t>
            </w:r>
            <w:r>
              <w:rPr>
                <w:rFonts w:ascii="Arial Narrow" w:hAnsi="Arial Narrow"/>
                <w:sz w:val="20"/>
                <w:szCs w:val="20"/>
              </w:rPr>
              <w:t xml:space="preserve"> (para 7.5, pembrolizumab PSD, July 2018)</w:t>
            </w:r>
          </w:p>
          <w:p w14:paraId="2F1594EF" w14:textId="524EE7AF" w:rsidR="00E72312" w:rsidRPr="00AA11C6" w:rsidRDefault="00AA11C6" w:rsidP="00DB6537">
            <w:pPr>
              <w:spacing w:after="120"/>
            </w:pPr>
            <w:r w:rsidRPr="00AA11C6">
              <w:rPr>
                <w:rFonts w:ascii="Arial Narrow" w:eastAsiaTheme="minorHAnsi" w:hAnsi="Arial Narrow" w:cstheme="minorBidi"/>
                <w:sz w:val="20"/>
                <w:szCs w:val="20"/>
              </w:rPr>
              <w:t xml:space="preserve">The PBAC recommended that, consistent with its recommendation for pembrolizumab for the treatment of non-small cell lung cancer, the rebate for treatment costs above the annual caps </w:t>
            </w:r>
            <w:r w:rsidRPr="002E5F5C">
              <w:rPr>
                <w:rFonts w:ascii="Arial Narrow" w:eastAsiaTheme="minorHAnsi" w:hAnsi="Arial Narrow" w:cstheme="minorBidi"/>
                <w:sz w:val="20"/>
                <w:szCs w:val="20"/>
              </w:rPr>
              <w:t>be 100%</w:t>
            </w:r>
            <w:r w:rsidRPr="00AA11C6">
              <w:rPr>
                <w:rFonts w:ascii="Arial Narrow" w:eastAsiaTheme="minorHAnsi" w:hAnsi="Arial Narrow" w:cstheme="minorBidi"/>
                <w:sz w:val="20"/>
                <w:szCs w:val="20"/>
              </w:rPr>
              <w:t xml:space="preserve"> in order to retain the ICER/QALY estimates. </w:t>
            </w:r>
            <w:r>
              <w:rPr>
                <w:rFonts w:ascii="Arial Narrow" w:eastAsiaTheme="minorHAnsi" w:hAnsi="Arial Narrow" w:cstheme="minorBidi"/>
                <w:sz w:val="20"/>
                <w:szCs w:val="20"/>
              </w:rPr>
              <w:t>(para 7.17, pembrolizumab PSD, July 2018)</w:t>
            </w:r>
            <w:r w:rsidR="001D2A64">
              <w:rPr>
                <w:rFonts w:ascii="Arial Narrow" w:eastAsiaTheme="minorHAnsi" w:hAnsi="Arial Narrow" w:cstheme="minorBidi"/>
                <w:sz w:val="20"/>
                <w:szCs w:val="20"/>
              </w:rPr>
              <w:t>.</w:t>
            </w:r>
          </w:p>
        </w:tc>
        <w:tc>
          <w:tcPr>
            <w:tcW w:w="2217" w:type="dxa"/>
          </w:tcPr>
          <w:p w14:paraId="36932AC2" w14:textId="6CA5DD6A" w:rsidR="00E72312" w:rsidRDefault="007328C4" w:rsidP="00DB6537">
            <w:pPr>
              <w:pStyle w:val="3Bodytext"/>
              <w:rPr>
                <w:rFonts w:cstheme="minorHAnsi"/>
                <w:szCs w:val="24"/>
              </w:rPr>
            </w:pPr>
            <w:r w:rsidRPr="007328C4">
              <w:rPr>
                <w:rFonts w:ascii="Arial Narrow" w:hAnsi="Arial Narrow"/>
                <w:sz w:val="20"/>
                <w:szCs w:val="20"/>
              </w:rPr>
              <w:t xml:space="preserve">Request to vary current RSA to reflect additional utilisation of pembrolizumab </w:t>
            </w:r>
            <w:r w:rsidR="00D463D4">
              <w:rPr>
                <w:rFonts w:ascii="Arial Narrow" w:hAnsi="Arial Narrow"/>
                <w:sz w:val="20"/>
                <w:szCs w:val="20"/>
              </w:rPr>
              <w:t>as seen in the</w:t>
            </w:r>
            <w:r w:rsidRPr="007328C4">
              <w:rPr>
                <w:rFonts w:ascii="Arial Narrow" w:hAnsi="Arial Narrow"/>
                <w:sz w:val="20"/>
                <w:szCs w:val="20"/>
              </w:rPr>
              <w:t xml:space="preserve"> first three years of listing</w:t>
            </w:r>
            <w:r w:rsidR="001D2A64">
              <w:rPr>
                <w:rFonts w:ascii="Arial Narrow" w:hAnsi="Arial Narrow"/>
                <w:sz w:val="20"/>
                <w:szCs w:val="20"/>
              </w:rPr>
              <w:t xml:space="preserve"> and reduce the rebate level from </w:t>
            </w:r>
            <w:r w:rsidR="00E41BF3" w:rsidRPr="00E41BF3">
              <w:rPr>
                <w:rFonts w:ascii="Arial Narrow" w:hAnsi="Arial Narrow"/>
                <w:color w:val="000000"/>
                <w:spacing w:val="65"/>
                <w:sz w:val="20"/>
                <w:szCs w:val="20"/>
                <w:shd w:val="solid" w:color="000000" w:fill="000000"/>
                <w:fitText w:val="369" w:id="-1304780026"/>
                <w14:textFill>
                  <w14:solidFill>
                    <w14:srgbClr w14:val="000000">
                      <w14:alpha w14:val="100000"/>
                    </w14:srgbClr>
                  </w14:solidFill>
                </w14:textFill>
              </w:rPr>
              <w:t>|||</w:t>
            </w:r>
            <w:r w:rsidR="00E41BF3" w:rsidRPr="00E41BF3">
              <w:rPr>
                <w:rFonts w:ascii="Arial Narrow" w:hAnsi="Arial Narrow"/>
                <w:color w:val="000000"/>
                <w:spacing w:val="2"/>
                <w:sz w:val="20"/>
                <w:szCs w:val="20"/>
                <w:shd w:val="solid" w:color="000000" w:fill="000000"/>
                <w:fitText w:val="369" w:id="-1304780026"/>
                <w14:textFill>
                  <w14:solidFill>
                    <w14:srgbClr w14:val="000000">
                      <w14:alpha w14:val="100000"/>
                    </w14:srgbClr>
                  </w14:solidFill>
                </w14:textFill>
              </w:rPr>
              <w:t>|</w:t>
            </w:r>
            <w:r w:rsidR="001D2A64">
              <w:rPr>
                <w:rFonts w:ascii="Arial Narrow" w:hAnsi="Arial Narrow"/>
                <w:sz w:val="20"/>
                <w:szCs w:val="20"/>
              </w:rPr>
              <w:t xml:space="preserve">% to </w:t>
            </w:r>
            <w:r w:rsidR="00E41BF3" w:rsidRPr="00E41BF3">
              <w:rPr>
                <w:rFonts w:ascii="Arial Narrow" w:hAnsi="Arial Narrow"/>
                <w:color w:val="000000"/>
                <w:spacing w:val="65"/>
                <w:sz w:val="20"/>
                <w:szCs w:val="20"/>
                <w:shd w:val="solid" w:color="000000" w:fill="000000"/>
                <w:fitText w:val="369" w:id="-1304780025"/>
                <w14:textFill>
                  <w14:solidFill>
                    <w14:srgbClr w14:val="000000">
                      <w14:alpha w14:val="100000"/>
                    </w14:srgbClr>
                  </w14:solidFill>
                </w14:textFill>
              </w:rPr>
              <w:t>|||</w:t>
            </w:r>
            <w:r w:rsidR="00E41BF3" w:rsidRPr="00E41BF3">
              <w:rPr>
                <w:rFonts w:ascii="Arial Narrow" w:hAnsi="Arial Narrow"/>
                <w:color w:val="000000"/>
                <w:spacing w:val="2"/>
                <w:sz w:val="20"/>
                <w:szCs w:val="20"/>
                <w:shd w:val="solid" w:color="000000" w:fill="000000"/>
                <w:fitText w:val="369" w:id="-1304780025"/>
                <w14:textFill>
                  <w14:solidFill>
                    <w14:srgbClr w14:val="000000">
                      <w14:alpha w14:val="100000"/>
                    </w14:srgbClr>
                  </w14:solidFill>
                </w14:textFill>
              </w:rPr>
              <w:t>|</w:t>
            </w:r>
            <w:r w:rsidR="001D2A64">
              <w:rPr>
                <w:rFonts w:ascii="Arial Narrow" w:hAnsi="Arial Narrow"/>
                <w:sz w:val="20"/>
                <w:szCs w:val="20"/>
              </w:rPr>
              <w:t>%.</w:t>
            </w:r>
          </w:p>
        </w:tc>
      </w:tr>
    </w:tbl>
    <w:p w14:paraId="2F57B6B5" w14:textId="77777777" w:rsidR="00DF0B94" w:rsidRDefault="00DF0B94" w:rsidP="00DB6537">
      <w:pPr>
        <w:pStyle w:val="3Bodytext"/>
        <w:spacing w:after="0"/>
        <w:ind w:left="720" w:hanging="720"/>
        <w:rPr>
          <w:rFonts w:ascii="Arial Narrow" w:eastAsia="Times New Roman" w:hAnsi="Arial Narrow" w:cs="Arial"/>
          <w:snapToGrid w:val="0"/>
          <w:sz w:val="18"/>
          <w:lang w:eastAsia="en-US"/>
        </w:rPr>
      </w:pPr>
      <w:r>
        <w:rPr>
          <w:rFonts w:ascii="Arial Narrow" w:eastAsia="Times New Roman" w:hAnsi="Arial Narrow" w:cs="Arial"/>
          <w:snapToGrid w:val="0"/>
          <w:sz w:val="18"/>
          <w:lang w:eastAsia="en-US"/>
        </w:rPr>
        <w:t>Abbreviations: PSD = Public Summary Document; RSA = Risk Sharing Agreement</w:t>
      </w:r>
    </w:p>
    <w:p w14:paraId="29FE4AD3" w14:textId="63723492" w:rsidR="00964A9F" w:rsidRPr="00DF0B94" w:rsidRDefault="00DF0B94" w:rsidP="00DB6537">
      <w:pPr>
        <w:pStyle w:val="3Bodytext"/>
        <w:ind w:left="720" w:hanging="720"/>
        <w:rPr>
          <w:rFonts w:ascii="Arial Narrow" w:eastAsia="Times New Roman" w:hAnsi="Arial Narrow" w:cs="Arial"/>
          <w:snapToGrid w:val="0"/>
          <w:sz w:val="18"/>
          <w:lang w:eastAsia="en-US"/>
        </w:rPr>
      </w:pPr>
      <w:r w:rsidRPr="00DF0B94">
        <w:rPr>
          <w:rFonts w:ascii="Arial Narrow" w:eastAsia="Times New Roman" w:hAnsi="Arial Narrow" w:cs="Arial"/>
          <w:snapToGrid w:val="0"/>
          <w:sz w:val="18"/>
          <w:lang w:eastAsia="en-US"/>
        </w:rPr>
        <w:t xml:space="preserve">Source: </w:t>
      </w:r>
      <w:r>
        <w:rPr>
          <w:rFonts w:ascii="Arial Narrow" w:eastAsia="Times New Roman" w:hAnsi="Arial Narrow" w:cs="Arial"/>
          <w:snapToGrid w:val="0"/>
          <w:sz w:val="18"/>
          <w:lang w:eastAsia="en-US"/>
        </w:rPr>
        <w:t xml:space="preserve">Pembrolizumab PSD, November 2019 PBAC meeting, Pembrolizumab PSD, July 2018 PBAC meeting; Main submission body </w:t>
      </w:r>
    </w:p>
    <w:p w14:paraId="20434DD2" w14:textId="303E0D9F" w:rsidR="008A5133" w:rsidRDefault="008A5133" w:rsidP="00DB6537">
      <w:pPr>
        <w:pStyle w:val="ListParagraph"/>
        <w:numPr>
          <w:ilvl w:val="1"/>
          <w:numId w:val="2"/>
        </w:numPr>
        <w:jc w:val="both"/>
      </w:pPr>
      <w:r>
        <w:t>At the November 2017 meeting, the PBAC considered the financial impact of pembrolizumab was highly uncertain because 1) the patient numbers were likely underestimated; 2) there was a risk of use outside the requested restriction into first-line treatment for cisplatin-ineligible patients and</w:t>
      </w:r>
      <w:r w:rsidR="00F9403F">
        <w:t xml:space="preserve"> </w:t>
      </w:r>
      <w:r>
        <w:t xml:space="preserve">3) the duration of pembrolizumab use may be longer than estimated. Some patients in KN045 were treated beyond </w:t>
      </w:r>
      <w:r>
        <w:lastRenderedPageBreak/>
        <w:t xml:space="preserve">progression, and some were allowed to access an additional 12 months of treatment if they progressed after 24 months of pembrolizumab. Further, evidence of progression is less likely to be monitored as intensively in regular clinical practice compared with the trial (para 7.11, pembrolizumab </w:t>
      </w:r>
      <w:r w:rsidR="002F61D9">
        <w:t>Public Summary Document (</w:t>
      </w:r>
      <w:r>
        <w:t>PSD</w:t>
      </w:r>
      <w:r w:rsidR="002F61D9">
        <w:t>)</w:t>
      </w:r>
      <w:r>
        <w:t xml:space="preserve">, November 2017). </w:t>
      </w:r>
    </w:p>
    <w:p w14:paraId="5A6E80DA" w14:textId="2C69326A" w:rsidR="00085D3C" w:rsidRPr="00674FAA" w:rsidRDefault="008A5133" w:rsidP="00DB6537">
      <w:pPr>
        <w:pStyle w:val="ListParagraph"/>
        <w:numPr>
          <w:ilvl w:val="1"/>
          <w:numId w:val="2"/>
        </w:numPr>
        <w:jc w:val="both"/>
        <w:rPr>
          <w:bCs/>
        </w:rPr>
      </w:pPr>
      <w:r>
        <w:t>In July 2018, t</w:t>
      </w:r>
      <w:r w:rsidRPr="00D34003">
        <w:t>he PBAC</w:t>
      </w:r>
      <w:r>
        <w:t xml:space="preserve"> </w:t>
      </w:r>
      <w:r w:rsidRPr="00D34003">
        <w:t xml:space="preserve">considered that use outside the proposed restriction into the first line setting </w:t>
      </w:r>
      <w:r>
        <w:t>may be less likely</w:t>
      </w:r>
      <w:r w:rsidRPr="00D34003">
        <w:t xml:space="preserve"> as there was emerging data suggesting decreased survival when PD-1 inhibitors are used first line in PD-L1-low expressing urothelial cancer</w:t>
      </w:r>
      <w:r w:rsidRPr="00674FAA">
        <w:rPr>
          <w:rStyle w:val="FootnoteReference"/>
          <w:b/>
          <w:color w:val="000000" w:themeColor="text1"/>
        </w:rPr>
        <w:t xml:space="preserve"> </w:t>
      </w:r>
      <w:r>
        <w:rPr>
          <w:rStyle w:val="FootnoteReference"/>
          <w:b/>
          <w:color w:val="000000" w:themeColor="text1"/>
        </w:rPr>
        <w:footnoteReference w:id="5"/>
      </w:r>
      <w:r w:rsidRPr="00674FAA">
        <w:rPr>
          <w:b/>
          <w:color w:val="000000" w:themeColor="text1"/>
          <w:vertAlign w:val="superscript"/>
        </w:rPr>
        <w:t>,</w:t>
      </w:r>
      <w:r>
        <w:rPr>
          <w:rStyle w:val="FootnoteReference"/>
          <w:b/>
          <w:color w:val="000000" w:themeColor="text1"/>
        </w:rPr>
        <w:footnoteReference w:id="6"/>
      </w:r>
      <w:r w:rsidRPr="00674FAA">
        <w:rPr>
          <w:b/>
          <w:color w:val="000000" w:themeColor="text1"/>
          <w:vertAlign w:val="superscript"/>
        </w:rPr>
        <w:t>,</w:t>
      </w:r>
      <w:r>
        <w:rPr>
          <w:rStyle w:val="FootnoteReference"/>
          <w:b/>
          <w:color w:val="000000" w:themeColor="text1"/>
        </w:rPr>
        <w:footnoteReference w:id="7"/>
      </w:r>
      <w:r>
        <w:t xml:space="preserve">. </w:t>
      </w:r>
      <w:r w:rsidR="00085D3C" w:rsidRPr="00891A67">
        <w:t xml:space="preserve">The PBAC </w:t>
      </w:r>
      <w:r>
        <w:t xml:space="preserve">also </w:t>
      </w:r>
      <w:r w:rsidR="00085D3C" w:rsidRPr="00891A67">
        <w:t>noted that the risk sharing arrangement (RSA) would assist in addressing the financial implications of treatment beyond 35 cycles (para 7.5, pembrolizumab PSD, July 2018 PBAC meeting).</w:t>
      </w:r>
    </w:p>
    <w:p w14:paraId="4639739C" w14:textId="1B193BE3" w:rsidR="002F076E" w:rsidRDefault="001C39F1" w:rsidP="00DB6537">
      <w:pPr>
        <w:numPr>
          <w:ilvl w:val="1"/>
          <w:numId w:val="2"/>
        </w:numPr>
        <w:spacing w:after="120"/>
        <w:rPr>
          <w:rFonts w:asciiTheme="minorHAnsi" w:hAnsiTheme="minorHAnsi"/>
          <w:bCs/>
        </w:rPr>
      </w:pPr>
      <w:r>
        <w:rPr>
          <w:rFonts w:asciiTheme="minorHAnsi" w:hAnsiTheme="minorHAnsi"/>
          <w:bCs/>
        </w:rPr>
        <w:t>In July 2018, t</w:t>
      </w:r>
      <w:r w:rsidR="002F076E" w:rsidRPr="00891A67">
        <w:rPr>
          <w:rFonts w:asciiTheme="minorHAnsi" w:hAnsiTheme="minorHAnsi"/>
          <w:bCs/>
        </w:rPr>
        <w:t xml:space="preserve">he PBAC noted that a </w:t>
      </w:r>
      <w:r w:rsidR="00E41BF3" w:rsidRPr="00564A2B">
        <w:rPr>
          <w:rFonts w:asciiTheme="minorHAnsi" w:hAnsiTheme="minorHAnsi"/>
          <w:bCs/>
          <w:color w:val="000000"/>
          <w:spacing w:val="4"/>
          <w:w w:val="55"/>
          <w:shd w:val="solid" w:color="000000" w:fill="000000"/>
          <w:fitText w:val="452" w:id="-1304780024"/>
          <w14:textFill>
            <w14:solidFill>
              <w14:srgbClr w14:val="000000">
                <w14:alpha w14:val="100000"/>
              </w14:srgbClr>
            </w14:solidFill>
          </w14:textFill>
        </w:rPr>
        <w:t>|||  ||</w:t>
      </w:r>
      <w:r w:rsidR="00E41BF3" w:rsidRPr="00564A2B">
        <w:rPr>
          <w:rFonts w:asciiTheme="minorHAnsi" w:hAnsiTheme="minorHAnsi"/>
          <w:bCs/>
          <w:color w:val="000000"/>
          <w:spacing w:val="1"/>
          <w:w w:val="55"/>
          <w:shd w:val="solid" w:color="000000" w:fill="000000"/>
          <w:fitText w:val="452" w:id="-1304780024"/>
          <w14:textFill>
            <w14:solidFill>
              <w14:srgbClr w14:val="000000">
                <w14:alpha w14:val="100000"/>
              </w14:srgbClr>
            </w14:solidFill>
          </w14:textFill>
        </w:rPr>
        <w:t>|</w:t>
      </w:r>
      <w:r w:rsidR="002F076E" w:rsidRPr="00891A67">
        <w:rPr>
          <w:rFonts w:asciiTheme="minorHAnsi" w:hAnsiTheme="minorHAnsi"/>
          <w:bCs/>
        </w:rPr>
        <w:t xml:space="preserve">% rebate for use beyond week 79 was included in the calculation of the cost per patient for both the economic and financial analyses, thus contributing to both the ICER/QALY and budget estimates. The PBAC also noted the sponsor’s proposed RSA included a </w:t>
      </w:r>
      <w:r w:rsidR="00E41BF3" w:rsidRPr="003129AC">
        <w:rPr>
          <w:rFonts w:asciiTheme="minorHAnsi" w:hAnsiTheme="minorHAnsi"/>
          <w:bCs/>
          <w:color w:val="000000"/>
          <w:w w:val="15"/>
          <w:shd w:val="solid" w:color="000000" w:fill="000000"/>
          <w:fitText w:val="-20" w:id="-1304780023"/>
          <w14:textFill>
            <w14:solidFill>
              <w14:srgbClr w14:val="000000">
                <w14:alpha w14:val="100000"/>
              </w14:srgbClr>
            </w14:solidFill>
          </w14:textFill>
        </w:rPr>
        <w:t xml:space="preserve">|#################  </w:t>
      </w:r>
      <w:r w:rsidR="00E41BF3" w:rsidRPr="003129AC">
        <w:rPr>
          <w:rFonts w:asciiTheme="minorHAnsi" w:hAnsiTheme="minorHAnsi"/>
          <w:bCs/>
          <w:color w:val="000000"/>
          <w:spacing w:val="-374"/>
          <w:w w:val="15"/>
          <w:shd w:val="solid" w:color="000000" w:fill="000000"/>
          <w:fitText w:val="-20" w:id="-1304780023"/>
          <w14:textFill>
            <w14:solidFill>
              <w14:srgbClr w14:val="000000">
                <w14:alpha w14:val="100000"/>
              </w14:srgbClr>
            </w14:solidFill>
          </w14:textFill>
        </w:rPr>
        <w:t>|</w:t>
      </w:r>
      <w:r w:rsidR="002F076E" w:rsidRPr="00891A67">
        <w:rPr>
          <w:rFonts w:asciiTheme="minorHAnsi" w:hAnsiTheme="minorHAnsi"/>
          <w:bCs/>
        </w:rPr>
        <w:t xml:space="preserve">% rebate of any treatment costs above the annual caps, which is aligned with an RSA for pembrolizumab for treatment of classic Hodgkin’s lymphoma. </w:t>
      </w:r>
      <w:r>
        <w:rPr>
          <w:rFonts w:asciiTheme="minorHAnsi" w:hAnsiTheme="minorHAnsi"/>
          <w:bCs/>
        </w:rPr>
        <w:t>At that time t</w:t>
      </w:r>
      <w:r w:rsidR="002F076E" w:rsidRPr="00891A67">
        <w:rPr>
          <w:rFonts w:asciiTheme="minorHAnsi" w:hAnsiTheme="minorHAnsi"/>
          <w:bCs/>
        </w:rPr>
        <w:t xml:space="preserve">he PBAC recommended that, consistent with its recommendation for pembrolizumab for the treatment of non-small cell lung cancer, the rebate for treatment costs above the annual </w:t>
      </w:r>
      <w:r w:rsidR="002F076E" w:rsidRPr="002E5F5C">
        <w:rPr>
          <w:rFonts w:asciiTheme="minorHAnsi" w:hAnsiTheme="minorHAnsi"/>
          <w:bCs/>
        </w:rPr>
        <w:t>caps be 100% in order to</w:t>
      </w:r>
      <w:r w:rsidR="002F076E" w:rsidRPr="00891A67">
        <w:rPr>
          <w:rFonts w:asciiTheme="minorHAnsi" w:hAnsiTheme="minorHAnsi"/>
          <w:bCs/>
        </w:rPr>
        <w:t xml:space="preserve"> retain the ICER/QALY estimates</w:t>
      </w:r>
      <w:r w:rsidR="00C22B0E">
        <w:rPr>
          <w:rFonts w:asciiTheme="minorHAnsi" w:hAnsiTheme="minorHAnsi"/>
          <w:bCs/>
        </w:rPr>
        <w:t xml:space="preserve"> </w:t>
      </w:r>
      <w:r w:rsidR="002F076E" w:rsidRPr="00891A67">
        <w:rPr>
          <w:rFonts w:asciiTheme="minorHAnsi" w:hAnsiTheme="minorHAnsi"/>
          <w:bCs/>
        </w:rPr>
        <w:t xml:space="preserve">(para 7.17, pembrolizumab PSD, July 2018 PBAC meeting). </w:t>
      </w:r>
    </w:p>
    <w:p w14:paraId="6BB15BE8" w14:textId="419E316B" w:rsidR="00DC028C" w:rsidRDefault="00C22B0E" w:rsidP="00DB6537">
      <w:pPr>
        <w:numPr>
          <w:ilvl w:val="1"/>
          <w:numId w:val="2"/>
        </w:numPr>
        <w:spacing w:after="120"/>
        <w:rPr>
          <w:rFonts w:asciiTheme="minorHAnsi" w:hAnsiTheme="minorHAnsi"/>
          <w:bCs/>
        </w:rPr>
      </w:pPr>
      <w:bookmarkStart w:id="0" w:name="_Ref119919300"/>
      <w:r>
        <w:rPr>
          <w:rFonts w:asciiTheme="minorHAnsi" w:hAnsiTheme="minorHAnsi"/>
          <w:bCs/>
        </w:rPr>
        <w:t xml:space="preserve">In November 2021 DUSC provided the PBAC with an analysis of utilisation of pembrolizumab for locally advanced or metastatic urothelial cancer. The analysis </w:t>
      </w:r>
      <w:r w:rsidR="001E0EAF">
        <w:t xml:space="preserve">(para 2.3-2.6, DUSC review of pembrolizumab for urothelial cancer, November 2021) </w:t>
      </w:r>
      <w:r>
        <w:rPr>
          <w:rFonts w:asciiTheme="minorHAnsi" w:hAnsiTheme="minorHAnsi"/>
          <w:bCs/>
        </w:rPr>
        <w:t>indicated that</w:t>
      </w:r>
      <w:r w:rsidR="00DC028C">
        <w:rPr>
          <w:rFonts w:asciiTheme="minorHAnsi" w:hAnsiTheme="minorHAnsi"/>
          <w:bCs/>
        </w:rPr>
        <w:t>:</w:t>
      </w:r>
      <w:bookmarkEnd w:id="0"/>
      <w:r w:rsidR="00DC028C">
        <w:rPr>
          <w:rFonts w:asciiTheme="minorHAnsi" w:hAnsiTheme="minorHAnsi"/>
          <w:bCs/>
        </w:rPr>
        <w:t xml:space="preserve"> </w:t>
      </w:r>
    </w:p>
    <w:p w14:paraId="613BB5B8" w14:textId="3927D7EB" w:rsidR="00C22B0E" w:rsidRDefault="00C22B0E" w:rsidP="00DB6537">
      <w:pPr>
        <w:pStyle w:val="3Bodytext"/>
        <w:numPr>
          <w:ilvl w:val="2"/>
          <w:numId w:val="46"/>
        </w:numPr>
        <w:ind w:left="993" w:hanging="284"/>
        <w:jc w:val="both"/>
      </w:pPr>
      <w:r>
        <w:t>patient</w:t>
      </w:r>
      <w:r w:rsidR="00DC028C">
        <w:t xml:space="preserve"> </w:t>
      </w:r>
      <w:r>
        <w:t xml:space="preserve">numbers were </w:t>
      </w:r>
      <w:r w:rsidR="00B775CA">
        <w:t>greater than</w:t>
      </w:r>
      <w:r w:rsidR="00DC028C">
        <w:t xml:space="preserve"> the submission</w:t>
      </w:r>
      <w:r w:rsidR="00900DE1">
        <w:t xml:space="preserve"> estimates</w:t>
      </w:r>
      <w:r w:rsidR="00DC028C">
        <w:t xml:space="preserve"> (</w:t>
      </w:r>
      <w:r w:rsidR="00DC028C" w:rsidRPr="00BB17ED">
        <w:t>27% greater number in Year 1, 76% greater in Year 2</w:t>
      </w:r>
      <w:r w:rsidR="00DC028C">
        <w:t>)</w:t>
      </w:r>
      <w:r w:rsidR="00C774FC">
        <w:t>.</w:t>
      </w:r>
    </w:p>
    <w:p w14:paraId="30C20389" w14:textId="66070980" w:rsidR="00DC028C" w:rsidRDefault="00DC028C" w:rsidP="00DB6537">
      <w:pPr>
        <w:pStyle w:val="3Bodytext"/>
        <w:numPr>
          <w:ilvl w:val="2"/>
          <w:numId w:val="46"/>
        </w:numPr>
        <w:ind w:left="993" w:hanging="284"/>
        <w:jc w:val="both"/>
      </w:pPr>
      <w:r>
        <w:t xml:space="preserve">the </w:t>
      </w:r>
      <w:r w:rsidRPr="00BB17ED">
        <w:t xml:space="preserve">number of patients who </w:t>
      </w:r>
      <w:r>
        <w:t>we</w:t>
      </w:r>
      <w:r w:rsidRPr="00BB17ED">
        <w:t xml:space="preserve">re platinum therapy-ineligible </w:t>
      </w:r>
      <w:r w:rsidR="008D1A22">
        <w:t xml:space="preserve">(did not receive prior platinum-based chemotherapy) </w:t>
      </w:r>
      <w:r>
        <w:t>wa</w:t>
      </w:r>
      <w:r w:rsidRPr="00BB17ED">
        <w:t>s approximately 8%</w:t>
      </w:r>
      <w:r w:rsidR="00C774FC">
        <w:t>.</w:t>
      </w:r>
    </w:p>
    <w:p w14:paraId="39382FD5" w14:textId="4893211F" w:rsidR="00DC028C" w:rsidRPr="00BB17ED" w:rsidRDefault="00DC028C" w:rsidP="00DB6537">
      <w:pPr>
        <w:pStyle w:val="3Bodytext"/>
        <w:numPr>
          <w:ilvl w:val="2"/>
          <w:numId w:val="46"/>
        </w:numPr>
        <w:ind w:left="993" w:hanging="284"/>
        <w:jc w:val="both"/>
      </w:pPr>
      <w:r w:rsidRPr="00BB17ED">
        <w:t xml:space="preserve">the median time on treatment </w:t>
      </w:r>
      <w:r w:rsidR="00B775CA">
        <w:t>wa</w:t>
      </w:r>
      <w:r w:rsidRPr="00BB17ED">
        <w:t xml:space="preserve">s </w:t>
      </w:r>
      <w:r>
        <w:t>101-</w:t>
      </w:r>
      <w:r w:rsidRPr="00BB17ED">
        <w:t>110 days</w:t>
      </w:r>
      <w:r>
        <w:t>, suggesting</w:t>
      </w:r>
      <w:r w:rsidRPr="00BB17ED">
        <w:t xml:space="preserve"> that the duration of pembrolizumab treatment </w:t>
      </w:r>
      <w:r w:rsidR="008D1A22">
        <w:t>assumed in the</w:t>
      </w:r>
      <w:r w:rsidRPr="00BB17ED">
        <w:t xml:space="preserve"> submission</w:t>
      </w:r>
      <w:r w:rsidR="0093756A">
        <w:t xml:space="preserve"> </w:t>
      </w:r>
      <w:r w:rsidR="008D1A22">
        <w:t xml:space="preserve">estimates </w:t>
      </w:r>
      <w:r w:rsidR="00872BF5">
        <w:t>(</w:t>
      </w:r>
      <w:r w:rsidR="008D1A22">
        <w:t>mean</w:t>
      </w:r>
      <w:r w:rsidR="00872BF5">
        <w:t xml:space="preserve"> 9.6 administrations, i.e. more than 12 months of treatment) </w:t>
      </w:r>
      <w:r>
        <w:t>wa</w:t>
      </w:r>
      <w:r w:rsidRPr="00BB17ED">
        <w:t xml:space="preserve">s overestimated. </w:t>
      </w:r>
    </w:p>
    <w:p w14:paraId="05480C9D" w14:textId="4F6A786E" w:rsidR="00DC028C" w:rsidRPr="00891A67" w:rsidRDefault="00DC028C" w:rsidP="00DB6537">
      <w:pPr>
        <w:pStyle w:val="3Bodytext"/>
        <w:numPr>
          <w:ilvl w:val="2"/>
          <w:numId w:val="46"/>
        </w:numPr>
        <w:ind w:left="993" w:hanging="284"/>
        <w:jc w:val="both"/>
      </w:pPr>
      <w:r>
        <w:lastRenderedPageBreak/>
        <w:t>t</w:t>
      </w:r>
      <w:r w:rsidRPr="00BB17ED">
        <w:t xml:space="preserve">he </w:t>
      </w:r>
      <w:r w:rsidR="00B775CA">
        <w:t xml:space="preserve">actual </w:t>
      </w:r>
      <w:r w:rsidRPr="00BB17ED">
        <w:t>number of prescriptions were 20-25% less in Years 1</w:t>
      </w:r>
      <w:r w:rsidR="008D1A22">
        <w:t xml:space="preserve"> (</w:t>
      </w:r>
      <w:r w:rsidR="00A70749">
        <w:t>part year 1 March</w:t>
      </w:r>
      <w:r w:rsidR="008D1A22">
        <w:t xml:space="preserve"> to </w:t>
      </w:r>
      <w:r w:rsidR="00A70749">
        <w:t xml:space="preserve">31 </w:t>
      </w:r>
      <w:r w:rsidR="008D1A22">
        <w:t>December 2019)</w:t>
      </w:r>
      <w:r w:rsidRPr="00BB17ED">
        <w:t xml:space="preserve"> and 3</w:t>
      </w:r>
      <w:r w:rsidR="008D1A22">
        <w:t xml:space="preserve"> (part year, 1 January to 31 July 2021)</w:t>
      </w:r>
      <w:r w:rsidRPr="00BB17ED">
        <w:t xml:space="preserve">. In Year 2 </w:t>
      </w:r>
      <w:r w:rsidR="008D1A22">
        <w:t>(</w:t>
      </w:r>
      <w:r w:rsidR="00A70749">
        <w:t xml:space="preserve">1 </w:t>
      </w:r>
      <w:r w:rsidR="008D1A22">
        <w:t xml:space="preserve">January to </w:t>
      </w:r>
      <w:r w:rsidR="00A70749">
        <w:t xml:space="preserve">31 </w:t>
      </w:r>
      <w:r w:rsidR="008D1A22">
        <w:t xml:space="preserve">December 2020) </w:t>
      </w:r>
      <w:r w:rsidRPr="00BB17ED">
        <w:t>there was a 76% higher patient number than predicted however this resulted in only a 9% greater prescription count</w:t>
      </w:r>
      <w:r w:rsidR="001E0EAF">
        <w:t>.</w:t>
      </w:r>
      <w:r w:rsidRPr="00BB17ED">
        <w:t xml:space="preserve">  </w:t>
      </w:r>
    </w:p>
    <w:p w14:paraId="6269493A" w14:textId="77777777" w:rsidR="008A5133" w:rsidRPr="00564A2B" w:rsidRDefault="008A5133" w:rsidP="00564A2B">
      <w:pPr>
        <w:pStyle w:val="4-SubsectionHeading"/>
        <w:keepNext w:val="0"/>
        <w:tabs>
          <w:tab w:val="left" w:pos="6888"/>
        </w:tabs>
        <w:rPr>
          <w:lang w:eastAsia="en-US"/>
        </w:rPr>
      </w:pPr>
      <w:r w:rsidRPr="00564A2B">
        <w:rPr>
          <w:lang w:eastAsia="en-US"/>
        </w:rPr>
        <w:t>Current RSA and expenditure</w:t>
      </w:r>
    </w:p>
    <w:p w14:paraId="0C8E4EF7" w14:textId="77777777" w:rsidR="003129AC" w:rsidRPr="00DB6537" w:rsidRDefault="00E16BEF" w:rsidP="00DB6537">
      <w:pPr>
        <w:numPr>
          <w:ilvl w:val="1"/>
          <w:numId w:val="2"/>
        </w:numPr>
        <w:spacing w:after="120"/>
        <w:rPr>
          <w:rFonts w:asciiTheme="minorHAnsi" w:hAnsiTheme="minorHAnsi"/>
          <w:bCs/>
        </w:rPr>
      </w:pPr>
      <w:r w:rsidRPr="001C39F1">
        <w:rPr>
          <w:rFonts w:asciiTheme="minorHAnsi" w:hAnsiTheme="minorHAnsi"/>
          <w:bCs/>
        </w:rPr>
        <w:t xml:space="preserve">The submission presented the </w:t>
      </w:r>
      <w:r w:rsidR="009C5144" w:rsidRPr="001C39F1">
        <w:rPr>
          <w:rFonts w:asciiTheme="minorHAnsi" w:hAnsiTheme="minorHAnsi"/>
          <w:bCs/>
        </w:rPr>
        <w:t xml:space="preserve">annual </w:t>
      </w:r>
      <w:r w:rsidR="00DC028C" w:rsidRPr="001C39F1">
        <w:rPr>
          <w:rFonts w:asciiTheme="minorHAnsi" w:hAnsiTheme="minorHAnsi"/>
          <w:bCs/>
        </w:rPr>
        <w:t>actual spend</w:t>
      </w:r>
      <w:r w:rsidR="009C5144" w:rsidRPr="001C39F1">
        <w:rPr>
          <w:rFonts w:asciiTheme="minorHAnsi" w:hAnsiTheme="minorHAnsi"/>
          <w:bCs/>
        </w:rPr>
        <w:t xml:space="preserve"> from </w:t>
      </w:r>
      <w:r w:rsidR="00D463D4" w:rsidRPr="001C39F1">
        <w:rPr>
          <w:rFonts w:asciiTheme="minorHAnsi" w:hAnsiTheme="minorHAnsi"/>
          <w:bCs/>
        </w:rPr>
        <w:t>March 2019</w:t>
      </w:r>
      <w:r w:rsidR="009C5144" w:rsidRPr="001C39F1">
        <w:rPr>
          <w:rFonts w:asciiTheme="minorHAnsi" w:hAnsiTheme="minorHAnsi"/>
          <w:bCs/>
        </w:rPr>
        <w:t xml:space="preserve"> to </w:t>
      </w:r>
      <w:r w:rsidR="00D463D4" w:rsidRPr="001C39F1">
        <w:rPr>
          <w:rFonts w:asciiTheme="minorHAnsi" w:hAnsiTheme="minorHAnsi"/>
          <w:bCs/>
        </w:rPr>
        <w:t>February 2022</w:t>
      </w:r>
      <w:r w:rsidRPr="001C39F1">
        <w:rPr>
          <w:rFonts w:asciiTheme="minorHAnsi" w:hAnsiTheme="minorHAnsi"/>
          <w:bCs/>
        </w:rPr>
        <w:t xml:space="preserve"> </w:t>
      </w:r>
      <w:r w:rsidR="00DC028C" w:rsidRPr="001C39F1">
        <w:rPr>
          <w:rFonts w:asciiTheme="minorHAnsi" w:hAnsiTheme="minorHAnsi"/>
          <w:bCs/>
        </w:rPr>
        <w:t>(years 1 to 3 of the deed) and</w:t>
      </w:r>
      <w:r w:rsidR="00805416" w:rsidRPr="001C39F1">
        <w:rPr>
          <w:rFonts w:asciiTheme="minorHAnsi" w:hAnsiTheme="minorHAnsi"/>
          <w:bCs/>
        </w:rPr>
        <w:t xml:space="preserve"> </w:t>
      </w:r>
      <w:r w:rsidR="009C5144" w:rsidRPr="001C39F1">
        <w:rPr>
          <w:rFonts w:asciiTheme="minorHAnsi" w:hAnsiTheme="minorHAnsi"/>
          <w:bCs/>
        </w:rPr>
        <w:t xml:space="preserve">forecast annual </w:t>
      </w:r>
      <w:r w:rsidR="00DC028C" w:rsidRPr="001C39F1">
        <w:rPr>
          <w:rFonts w:asciiTheme="minorHAnsi" w:hAnsiTheme="minorHAnsi"/>
          <w:bCs/>
        </w:rPr>
        <w:t xml:space="preserve">spend </w:t>
      </w:r>
      <w:r w:rsidR="009C5144" w:rsidRPr="001C39F1">
        <w:rPr>
          <w:rFonts w:asciiTheme="minorHAnsi" w:hAnsiTheme="minorHAnsi"/>
          <w:bCs/>
        </w:rPr>
        <w:t>f</w:t>
      </w:r>
      <w:r w:rsidR="00D463D4" w:rsidRPr="001C39F1">
        <w:rPr>
          <w:rFonts w:asciiTheme="minorHAnsi" w:hAnsiTheme="minorHAnsi"/>
          <w:bCs/>
        </w:rPr>
        <w:t>rom March 2022</w:t>
      </w:r>
      <w:r w:rsidR="009C5144" w:rsidRPr="001C39F1">
        <w:rPr>
          <w:rFonts w:asciiTheme="minorHAnsi" w:hAnsiTheme="minorHAnsi"/>
          <w:bCs/>
        </w:rPr>
        <w:t xml:space="preserve"> </w:t>
      </w:r>
      <w:r w:rsidR="00D463D4" w:rsidRPr="001C39F1">
        <w:rPr>
          <w:rFonts w:asciiTheme="minorHAnsi" w:hAnsiTheme="minorHAnsi"/>
          <w:bCs/>
        </w:rPr>
        <w:t>to February</w:t>
      </w:r>
      <w:r w:rsidR="004E1C7B" w:rsidRPr="001C39F1">
        <w:rPr>
          <w:rFonts w:asciiTheme="minorHAnsi" w:hAnsiTheme="minorHAnsi"/>
          <w:bCs/>
        </w:rPr>
        <w:t> </w:t>
      </w:r>
      <w:r w:rsidR="00D463D4" w:rsidRPr="001C39F1">
        <w:rPr>
          <w:rFonts w:asciiTheme="minorHAnsi" w:hAnsiTheme="minorHAnsi"/>
          <w:bCs/>
        </w:rPr>
        <w:t>2024</w:t>
      </w:r>
      <w:r w:rsidR="00DC028C" w:rsidRPr="001C39F1">
        <w:rPr>
          <w:rFonts w:asciiTheme="minorHAnsi" w:hAnsiTheme="minorHAnsi"/>
          <w:bCs/>
        </w:rPr>
        <w:t xml:space="preserve"> (years 4-5 of the deed)</w:t>
      </w:r>
      <w:r w:rsidR="009C5144" w:rsidRPr="001C39F1">
        <w:rPr>
          <w:rFonts w:asciiTheme="minorHAnsi" w:hAnsiTheme="minorHAnsi"/>
          <w:bCs/>
        </w:rPr>
        <w:t xml:space="preserve">. The current agreed caps </w:t>
      </w:r>
      <w:r w:rsidR="00D463D4" w:rsidRPr="001C39F1">
        <w:rPr>
          <w:rFonts w:asciiTheme="minorHAnsi" w:hAnsiTheme="minorHAnsi"/>
          <w:bCs/>
        </w:rPr>
        <w:t xml:space="preserve">from March 2019 to February 2024 </w:t>
      </w:r>
      <w:r w:rsidR="009C5144" w:rsidRPr="001C39F1">
        <w:rPr>
          <w:rFonts w:asciiTheme="minorHAnsi" w:hAnsiTheme="minorHAnsi"/>
          <w:bCs/>
        </w:rPr>
        <w:t xml:space="preserve">are also provided in </w:t>
      </w:r>
      <w:r w:rsidR="00DC028C" w:rsidRPr="001C39F1">
        <w:rPr>
          <w:rFonts w:asciiTheme="minorHAnsi" w:hAnsiTheme="minorHAnsi"/>
          <w:bCs/>
        </w:rPr>
        <w:fldChar w:fldCharType="begin"/>
      </w:r>
      <w:r w:rsidR="00DC028C" w:rsidRPr="001C39F1">
        <w:rPr>
          <w:rFonts w:asciiTheme="minorHAnsi" w:hAnsiTheme="minorHAnsi"/>
          <w:bCs/>
        </w:rPr>
        <w:instrText xml:space="preserve"> REF _Ref114571405 \h </w:instrText>
      </w:r>
      <w:r w:rsidR="001C39F1">
        <w:rPr>
          <w:rFonts w:asciiTheme="minorHAnsi" w:hAnsiTheme="minorHAnsi"/>
          <w:bCs/>
        </w:rPr>
        <w:instrText xml:space="preserve"> \* MERGEFORMAT </w:instrText>
      </w:r>
      <w:r w:rsidR="00DC028C" w:rsidRPr="001C39F1">
        <w:rPr>
          <w:rFonts w:asciiTheme="minorHAnsi" w:hAnsiTheme="minorHAnsi"/>
          <w:bCs/>
        </w:rPr>
      </w:r>
      <w:r w:rsidR="00DC028C" w:rsidRPr="001C39F1">
        <w:rPr>
          <w:rFonts w:asciiTheme="minorHAnsi" w:hAnsiTheme="minorHAnsi"/>
          <w:bCs/>
        </w:rPr>
        <w:fldChar w:fldCharType="separate"/>
      </w:r>
    </w:p>
    <w:p w14:paraId="31F5B036" w14:textId="7ACD79DA" w:rsidR="00BC6ED0" w:rsidRPr="00DB6537" w:rsidRDefault="003129AC" w:rsidP="00DB6537">
      <w:pPr>
        <w:numPr>
          <w:ilvl w:val="1"/>
          <w:numId w:val="2"/>
        </w:numPr>
        <w:spacing w:after="120"/>
        <w:rPr>
          <w:rFonts w:asciiTheme="minorHAnsi" w:hAnsiTheme="minorHAnsi"/>
          <w:bCs/>
        </w:rPr>
      </w:pPr>
      <w:r w:rsidRPr="003129AC">
        <w:rPr>
          <w:rFonts w:asciiTheme="minorHAnsi" w:hAnsiTheme="minorHAnsi"/>
          <w:bCs/>
        </w:rPr>
        <w:t xml:space="preserve">Table </w:t>
      </w:r>
      <w:r>
        <w:rPr>
          <w:noProof/>
        </w:rPr>
        <w:t>2</w:t>
      </w:r>
      <w:r w:rsidR="00DC028C" w:rsidRPr="001C39F1">
        <w:rPr>
          <w:rFonts w:asciiTheme="minorHAnsi" w:hAnsiTheme="minorHAnsi"/>
          <w:bCs/>
        </w:rPr>
        <w:fldChar w:fldCharType="end"/>
      </w:r>
      <w:r w:rsidR="00085D3C" w:rsidRPr="001C39F1">
        <w:rPr>
          <w:rFonts w:asciiTheme="minorHAnsi" w:hAnsiTheme="minorHAnsi"/>
          <w:bCs/>
        </w:rPr>
        <w:t xml:space="preserve"> below</w:t>
      </w:r>
      <w:r w:rsidR="009C5144" w:rsidRPr="001C39F1">
        <w:rPr>
          <w:rFonts w:asciiTheme="minorHAnsi" w:hAnsiTheme="minorHAnsi"/>
          <w:bCs/>
        </w:rPr>
        <w:t xml:space="preserve">. </w:t>
      </w:r>
      <w:r w:rsidR="008D1A22" w:rsidRPr="001C39F1">
        <w:rPr>
          <w:rFonts w:asciiTheme="minorHAnsi" w:hAnsiTheme="minorHAnsi"/>
          <w:bCs/>
        </w:rPr>
        <w:t xml:space="preserve">Note the periods </w:t>
      </w:r>
      <w:r w:rsidR="00A70749" w:rsidRPr="001C39F1">
        <w:rPr>
          <w:rFonts w:asciiTheme="minorHAnsi" w:hAnsiTheme="minorHAnsi"/>
          <w:bCs/>
        </w:rPr>
        <w:t>presented below do not align with the DUSC predicted vs actual analysis.</w:t>
      </w:r>
      <w:bookmarkStart w:id="1" w:name="_Ref114571405"/>
    </w:p>
    <w:p w14:paraId="2BD4A06E" w14:textId="79F6A327" w:rsidR="009C5144" w:rsidRDefault="00DC028C" w:rsidP="00DB6537">
      <w:pPr>
        <w:pStyle w:val="Tabletitles"/>
        <w:rPr>
          <w:rFonts w:eastAsiaTheme="majorEastAsia"/>
          <w:lang w:eastAsia="en-US"/>
        </w:rPr>
      </w:pPr>
      <w:r>
        <w:t xml:space="preserve">Table </w:t>
      </w:r>
      <w:fldSimple w:instr=" SEQ Table \* ARABIC ">
        <w:r w:rsidR="003129AC">
          <w:rPr>
            <w:noProof/>
          </w:rPr>
          <w:t>2</w:t>
        </w:r>
      </w:fldSimple>
      <w:bookmarkEnd w:id="1"/>
      <w:r w:rsidR="009C5144" w:rsidRPr="009C5144">
        <w:rPr>
          <w:rFonts w:eastAsiaTheme="majorEastAsia"/>
          <w:lang w:eastAsia="en-US"/>
        </w:rPr>
        <w:t>: Pembrolizumab urothelial cancer subsidisation caps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C5144" w14:paraId="4845E471" w14:textId="77777777" w:rsidTr="00E41BF3">
        <w:tc>
          <w:tcPr>
            <w:tcW w:w="1502" w:type="dxa"/>
          </w:tcPr>
          <w:p w14:paraId="58B3D7E1" w14:textId="77777777" w:rsidR="009C5144" w:rsidRDefault="009C5144" w:rsidP="00DB6537">
            <w:pPr>
              <w:pStyle w:val="3Bodytext"/>
              <w:rPr>
                <w:rFonts w:ascii="Arial Narrow" w:eastAsiaTheme="majorEastAsia" w:hAnsi="Arial Narrow" w:cstheme="majorBidi"/>
                <w:b/>
                <w:bCs/>
                <w:sz w:val="20"/>
                <w:szCs w:val="24"/>
                <w:lang w:eastAsia="en-US"/>
              </w:rPr>
            </w:pPr>
          </w:p>
        </w:tc>
        <w:tc>
          <w:tcPr>
            <w:tcW w:w="1502" w:type="dxa"/>
            <w:tcBorders>
              <w:bottom w:val="single" w:sz="4" w:space="0" w:color="auto"/>
            </w:tcBorders>
          </w:tcPr>
          <w:p w14:paraId="7B8CEC4F" w14:textId="76316B27"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Year 1</w:t>
            </w:r>
          </w:p>
          <w:p w14:paraId="066DA5D6" w14:textId="31E11A2D"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Mar 2019 to Feb 2020</w:t>
            </w:r>
          </w:p>
        </w:tc>
        <w:tc>
          <w:tcPr>
            <w:tcW w:w="1503" w:type="dxa"/>
            <w:tcBorders>
              <w:bottom w:val="single" w:sz="4" w:space="0" w:color="auto"/>
            </w:tcBorders>
          </w:tcPr>
          <w:p w14:paraId="1A0DA0F9" w14:textId="60E8BEDD"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Year 2</w:t>
            </w:r>
          </w:p>
          <w:p w14:paraId="377FC714" w14:textId="5F788313"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Mar 2020 to Feb 2021</w:t>
            </w:r>
          </w:p>
        </w:tc>
        <w:tc>
          <w:tcPr>
            <w:tcW w:w="1503" w:type="dxa"/>
            <w:tcBorders>
              <w:bottom w:val="single" w:sz="4" w:space="0" w:color="auto"/>
            </w:tcBorders>
          </w:tcPr>
          <w:p w14:paraId="71A1588B" w14:textId="77777777"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Year 3</w:t>
            </w:r>
          </w:p>
          <w:p w14:paraId="3C0516EB" w14:textId="1DED9175"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Mar 2021 to Feb 2022</w:t>
            </w:r>
          </w:p>
        </w:tc>
        <w:tc>
          <w:tcPr>
            <w:tcW w:w="1503" w:type="dxa"/>
            <w:tcBorders>
              <w:bottom w:val="single" w:sz="4" w:space="0" w:color="auto"/>
            </w:tcBorders>
          </w:tcPr>
          <w:p w14:paraId="0666A122" w14:textId="77777777"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Year 4</w:t>
            </w:r>
          </w:p>
          <w:p w14:paraId="2A4D083E" w14:textId="1800D06F"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Mar 2022 to Feb 2023</w:t>
            </w:r>
          </w:p>
        </w:tc>
        <w:tc>
          <w:tcPr>
            <w:tcW w:w="1503" w:type="dxa"/>
            <w:tcBorders>
              <w:bottom w:val="single" w:sz="4" w:space="0" w:color="auto"/>
            </w:tcBorders>
          </w:tcPr>
          <w:p w14:paraId="780E3C5B" w14:textId="77777777"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Year 5</w:t>
            </w:r>
          </w:p>
          <w:p w14:paraId="68420850" w14:textId="67CFE503" w:rsidR="009C5144" w:rsidRDefault="009C5144"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Mar 2023 to Feb 2024</w:t>
            </w:r>
          </w:p>
        </w:tc>
      </w:tr>
      <w:tr w:rsidR="004A641B" w14:paraId="25BF89D5" w14:textId="77777777" w:rsidTr="00E41BF3">
        <w:tc>
          <w:tcPr>
            <w:tcW w:w="1502" w:type="dxa"/>
          </w:tcPr>
          <w:p w14:paraId="7B670DFE" w14:textId="4BFAEAA5" w:rsidR="004A641B" w:rsidRDefault="004E1C7B" w:rsidP="00DB6537">
            <w:pPr>
              <w:pStyle w:val="3Bodytext"/>
              <w:spacing w:after="0"/>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 xml:space="preserve">Current </w:t>
            </w:r>
            <w:r w:rsidR="004A641B">
              <w:rPr>
                <w:rFonts w:ascii="Arial Narrow" w:eastAsiaTheme="majorEastAsia" w:hAnsi="Arial Narrow" w:cstheme="majorBidi"/>
                <w:b/>
                <w:bCs/>
                <w:sz w:val="20"/>
                <w:szCs w:val="24"/>
                <w:lang w:eastAsia="en-US"/>
              </w:rPr>
              <w:t>cap</w:t>
            </w:r>
            <w:r>
              <w:rPr>
                <w:rFonts w:ascii="Arial Narrow" w:eastAsiaTheme="majorEastAsia" w:hAnsi="Arial Narrow" w:cstheme="majorBidi"/>
                <w:b/>
                <w:bCs/>
                <w:sz w:val="20"/>
                <w:szCs w:val="24"/>
                <w:lang w:eastAsia="en-US"/>
              </w:rPr>
              <w:t>s</w:t>
            </w:r>
          </w:p>
          <w:p w14:paraId="3C5994CC" w14:textId="15456203" w:rsidR="004A641B" w:rsidRDefault="004A641B" w:rsidP="00DB6537">
            <w:pPr>
              <w:pStyle w:val="3Bodytext"/>
              <w:spacing w:after="0"/>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 xml:space="preserve">(Mar 2019) </w:t>
            </w:r>
            <w:r w:rsidR="009D71CD">
              <w:rPr>
                <w:rFonts w:ascii="Arial Narrow" w:eastAsiaTheme="majorEastAsia" w:hAnsi="Arial Narrow" w:cstheme="majorBidi"/>
                <w:b/>
                <w:bCs/>
                <w:sz w:val="20"/>
                <w:szCs w:val="24"/>
                <w:lang w:eastAsia="en-US"/>
              </w:rPr>
              <w:t>($)</w:t>
            </w:r>
          </w:p>
        </w:tc>
        <w:tc>
          <w:tcPr>
            <w:tcW w:w="1502" w:type="dxa"/>
            <w:shd w:val="solid" w:color="000000" w:fill="000000"/>
            <w:vAlign w:val="center"/>
          </w:tcPr>
          <w:p w14:paraId="53AE3677" w14:textId="56F9042A" w:rsidR="004A641B" w:rsidRPr="00E41BF3" w:rsidRDefault="00E41BF3" w:rsidP="00DB6537">
            <w:pPr>
              <w:pStyle w:val="3Bodytext"/>
              <w:spacing w:after="0"/>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shd w:val="solid" w:color="000000" w:fill="000000"/>
            <w:vAlign w:val="center"/>
          </w:tcPr>
          <w:p w14:paraId="5D6C63B2" w14:textId="68C27829" w:rsidR="004A641B" w:rsidRPr="00E41BF3" w:rsidRDefault="00E41BF3" w:rsidP="00DB6537">
            <w:pPr>
              <w:pStyle w:val="3Bodytext"/>
              <w:spacing w:after="0"/>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shd w:val="solid" w:color="000000" w:fill="000000"/>
            <w:vAlign w:val="center"/>
          </w:tcPr>
          <w:p w14:paraId="22399628" w14:textId="23E7A486" w:rsidR="004A641B" w:rsidRPr="00E41BF3" w:rsidRDefault="00E41BF3" w:rsidP="00DB6537">
            <w:pPr>
              <w:pStyle w:val="3Bodytext"/>
              <w:spacing w:after="0"/>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tcBorders>
              <w:bottom w:val="single" w:sz="4" w:space="0" w:color="auto"/>
            </w:tcBorders>
            <w:shd w:val="solid" w:color="000000" w:fill="000000"/>
            <w:vAlign w:val="center"/>
          </w:tcPr>
          <w:p w14:paraId="164244FD" w14:textId="26611C72" w:rsidR="004A641B" w:rsidRPr="00E41BF3" w:rsidRDefault="00E41BF3" w:rsidP="00DB6537">
            <w:pPr>
              <w:pStyle w:val="3Bodytext"/>
              <w:spacing w:after="0"/>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tcBorders>
              <w:bottom w:val="single" w:sz="4" w:space="0" w:color="auto"/>
            </w:tcBorders>
            <w:shd w:val="solid" w:color="000000" w:fill="000000"/>
            <w:vAlign w:val="center"/>
          </w:tcPr>
          <w:p w14:paraId="075D6A31" w14:textId="42B88C15" w:rsidR="004A641B" w:rsidRPr="00E41BF3" w:rsidRDefault="00E41BF3" w:rsidP="00DB6537">
            <w:pPr>
              <w:pStyle w:val="3Bodytext"/>
              <w:spacing w:after="0"/>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r>
      <w:tr w:rsidR="00E76920" w14:paraId="14EE9AC5" w14:textId="77777777" w:rsidTr="005B7D24">
        <w:tc>
          <w:tcPr>
            <w:tcW w:w="1502" w:type="dxa"/>
          </w:tcPr>
          <w:p w14:paraId="4017746A" w14:textId="77777777" w:rsidR="00E76920" w:rsidRDefault="00E76920" w:rsidP="00DB6537">
            <w:pPr>
              <w:pStyle w:val="3Bodytext"/>
              <w:jc w:val="center"/>
              <w:rPr>
                <w:rFonts w:ascii="Arial Narrow" w:eastAsiaTheme="majorEastAsia" w:hAnsi="Arial Narrow" w:cstheme="majorBidi"/>
                <w:b/>
                <w:bCs/>
                <w:sz w:val="20"/>
                <w:szCs w:val="24"/>
                <w:lang w:eastAsia="en-US"/>
              </w:rPr>
            </w:pPr>
          </w:p>
        </w:tc>
        <w:tc>
          <w:tcPr>
            <w:tcW w:w="4508" w:type="dxa"/>
            <w:gridSpan w:val="3"/>
          </w:tcPr>
          <w:p w14:paraId="470783B0" w14:textId="27A7F735" w:rsidR="00E76920" w:rsidRDefault="00E76920"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Actual</w:t>
            </w:r>
          </w:p>
        </w:tc>
        <w:tc>
          <w:tcPr>
            <w:tcW w:w="3006" w:type="dxa"/>
            <w:gridSpan w:val="2"/>
            <w:tcBorders>
              <w:bottom w:val="nil"/>
            </w:tcBorders>
          </w:tcPr>
          <w:p w14:paraId="5A79FD13" w14:textId="5EA8FDF5" w:rsidR="00E76920" w:rsidRDefault="00E76920" w:rsidP="00DB6537">
            <w:pPr>
              <w:pStyle w:val="3Bodytext"/>
              <w:jc w:val="center"/>
              <w:rPr>
                <w:rFonts w:ascii="Arial Narrow" w:eastAsiaTheme="majorEastAsia" w:hAnsi="Arial Narrow" w:cstheme="majorBidi"/>
                <w:b/>
                <w:bCs/>
                <w:sz w:val="20"/>
                <w:szCs w:val="24"/>
                <w:lang w:eastAsia="en-US"/>
              </w:rPr>
            </w:pPr>
          </w:p>
        </w:tc>
      </w:tr>
      <w:tr w:rsidR="00483476" w14:paraId="723744FD" w14:textId="77777777" w:rsidTr="00E41BF3">
        <w:tc>
          <w:tcPr>
            <w:tcW w:w="1502" w:type="dxa"/>
          </w:tcPr>
          <w:p w14:paraId="656EA89E" w14:textId="5955E250" w:rsidR="00483476" w:rsidRDefault="00483476"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Script numbers</w:t>
            </w:r>
          </w:p>
        </w:tc>
        <w:tc>
          <w:tcPr>
            <w:tcW w:w="1502" w:type="dxa"/>
            <w:tcBorders>
              <w:bottom w:val="single" w:sz="4" w:space="0" w:color="auto"/>
            </w:tcBorders>
          </w:tcPr>
          <w:p w14:paraId="6147953B" w14:textId="79C16635" w:rsidR="00483476" w:rsidRPr="00E41BF3" w:rsidRDefault="00E41BF3" w:rsidP="00DB6537">
            <w:pPr>
              <w:pStyle w:val="3Bodytext"/>
              <w:jc w:val="center"/>
              <w:rPr>
                <w:rFonts w:ascii="Arial Narrow" w:hAnsi="Arial Narrow"/>
                <w:sz w:val="20"/>
                <w:szCs w:val="20"/>
                <w:highlight w:val="yellow"/>
                <w:vertAlign w:val="superscript"/>
              </w:rPr>
            </w:pPr>
            <w:r w:rsidRPr="00E41BF3">
              <w:rPr>
                <w:rFonts w:ascii="Arial Narrow" w:hAnsi="Arial Narrow"/>
                <w:color w:val="000000"/>
                <w:sz w:val="20"/>
                <w:szCs w:val="20"/>
                <w:shd w:val="solid" w:color="000000" w:fill="000000"/>
                <w14:textFill>
                  <w14:solidFill>
                    <w14:srgbClr w14:val="000000">
                      <w14:alpha w14:val="100000"/>
                    </w14:srgbClr>
                  </w14:solidFill>
                </w14:textFill>
              </w:rPr>
              <w:t>|</w:t>
            </w:r>
            <w:r w:rsidR="001C0CD6" w:rsidRPr="00E41BF3">
              <w:rPr>
                <w:rFonts w:ascii="Arial Narrow" w:hAnsi="Arial Narrow"/>
                <w:sz w:val="20"/>
                <w:szCs w:val="20"/>
                <w:vertAlign w:val="superscript"/>
              </w:rPr>
              <w:t>1</w:t>
            </w:r>
          </w:p>
        </w:tc>
        <w:tc>
          <w:tcPr>
            <w:tcW w:w="1503" w:type="dxa"/>
            <w:tcBorders>
              <w:bottom w:val="single" w:sz="4" w:space="0" w:color="auto"/>
            </w:tcBorders>
          </w:tcPr>
          <w:p w14:paraId="1234DE7D" w14:textId="5320A6F3" w:rsidR="00483476" w:rsidRPr="00E41BF3" w:rsidRDefault="00E41BF3" w:rsidP="00DB6537">
            <w:pPr>
              <w:pStyle w:val="3Bodytext"/>
              <w:jc w:val="center"/>
              <w:rPr>
                <w:rFonts w:ascii="Arial Narrow" w:hAnsi="Arial Narrow"/>
                <w:sz w:val="20"/>
                <w:szCs w:val="20"/>
                <w:highlight w:val="yellow"/>
                <w:vertAlign w:val="superscript"/>
              </w:rPr>
            </w:pPr>
            <w:r w:rsidRPr="00E41BF3">
              <w:rPr>
                <w:rFonts w:ascii="Arial Narrow" w:hAnsi="Arial Narrow"/>
                <w:color w:val="000000"/>
                <w:sz w:val="20"/>
                <w:szCs w:val="20"/>
                <w:shd w:val="solid" w:color="000000" w:fill="000000"/>
                <w14:textFill>
                  <w14:solidFill>
                    <w14:srgbClr w14:val="000000">
                      <w14:alpha w14:val="100000"/>
                    </w14:srgbClr>
                  </w14:solidFill>
                </w14:textFill>
              </w:rPr>
              <w:t>|</w:t>
            </w:r>
            <w:r w:rsidR="001C0CD6" w:rsidRPr="00E41BF3">
              <w:rPr>
                <w:rFonts w:ascii="Arial Narrow" w:hAnsi="Arial Narrow"/>
                <w:sz w:val="20"/>
                <w:szCs w:val="20"/>
                <w:vertAlign w:val="superscript"/>
              </w:rPr>
              <w:t>1</w:t>
            </w:r>
          </w:p>
        </w:tc>
        <w:tc>
          <w:tcPr>
            <w:tcW w:w="1503" w:type="dxa"/>
            <w:tcBorders>
              <w:bottom w:val="single" w:sz="4" w:space="0" w:color="auto"/>
            </w:tcBorders>
          </w:tcPr>
          <w:p w14:paraId="11482406" w14:textId="0C1E4A9C" w:rsidR="00483476" w:rsidRPr="00E41BF3" w:rsidRDefault="00E41BF3" w:rsidP="00DB6537">
            <w:pPr>
              <w:pStyle w:val="3Bodytext"/>
              <w:jc w:val="center"/>
              <w:rPr>
                <w:rFonts w:ascii="Arial Narrow" w:hAnsi="Arial Narrow"/>
                <w:sz w:val="20"/>
                <w:szCs w:val="20"/>
                <w:highlight w:val="yellow"/>
                <w:vertAlign w:val="superscript"/>
              </w:rPr>
            </w:pPr>
            <w:r w:rsidRPr="00E41BF3">
              <w:rPr>
                <w:rFonts w:ascii="Arial Narrow" w:hAnsi="Arial Narrow"/>
                <w:color w:val="000000"/>
                <w:sz w:val="20"/>
                <w:szCs w:val="20"/>
                <w:shd w:val="solid" w:color="000000" w:fill="000000"/>
                <w14:textFill>
                  <w14:solidFill>
                    <w14:srgbClr w14:val="000000">
                      <w14:alpha w14:val="100000"/>
                    </w14:srgbClr>
                  </w14:solidFill>
                </w14:textFill>
              </w:rPr>
              <w:t>|</w:t>
            </w:r>
            <w:r w:rsidR="001C0CD6" w:rsidRPr="00E41BF3">
              <w:rPr>
                <w:rFonts w:ascii="Arial Narrow" w:hAnsi="Arial Narrow"/>
                <w:sz w:val="20"/>
                <w:szCs w:val="20"/>
                <w:vertAlign w:val="superscript"/>
              </w:rPr>
              <w:t>1</w:t>
            </w:r>
          </w:p>
        </w:tc>
        <w:tc>
          <w:tcPr>
            <w:tcW w:w="1503" w:type="dxa"/>
            <w:tcBorders>
              <w:top w:val="nil"/>
              <w:bottom w:val="nil"/>
              <w:right w:val="nil"/>
            </w:tcBorders>
            <w:vAlign w:val="center"/>
          </w:tcPr>
          <w:p w14:paraId="179AC004" w14:textId="77777777" w:rsidR="00483476" w:rsidRDefault="00483476" w:rsidP="00DB6537">
            <w:pPr>
              <w:pStyle w:val="3Bodytext"/>
              <w:jc w:val="center"/>
              <w:rPr>
                <w:rFonts w:ascii="Arial Narrow" w:hAnsi="Arial Narrow"/>
                <w:sz w:val="20"/>
                <w:szCs w:val="20"/>
              </w:rPr>
            </w:pPr>
          </w:p>
        </w:tc>
        <w:tc>
          <w:tcPr>
            <w:tcW w:w="1503" w:type="dxa"/>
            <w:tcBorders>
              <w:top w:val="nil"/>
              <w:left w:val="nil"/>
              <w:bottom w:val="nil"/>
            </w:tcBorders>
            <w:vAlign w:val="center"/>
          </w:tcPr>
          <w:p w14:paraId="26C51805" w14:textId="77777777" w:rsidR="00483476" w:rsidRDefault="00483476" w:rsidP="00DB6537">
            <w:pPr>
              <w:pStyle w:val="3Bodytext"/>
              <w:jc w:val="center"/>
              <w:rPr>
                <w:rFonts w:ascii="Arial Narrow" w:hAnsi="Arial Narrow"/>
                <w:sz w:val="20"/>
                <w:szCs w:val="20"/>
              </w:rPr>
            </w:pPr>
          </w:p>
        </w:tc>
      </w:tr>
      <w:tr w:rsidR="004A641B" w14:paraId="6AF3D48A" w14:textId="77777777" w:rsidTr="00E41BF3">
        <w:tc>
          <w:tcPr>
            <w:tcW w:w="1502" w:type="dxa"/>
          </w:tcPr>
          <w:p w14:paraId="4DDAF1F4" w14:textId="0110AA41" w:rsidR="004A641B" w:rsidRDefault="00DC2B0B"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 xml:space="preserve">Actual </w:t>
            </w:r>
            <w:r w:rsidR="004E1C7B">
              <w:rPr>
                <w:rFonts w:ascii="Arial Narrow" w:eastAsiaTheme="majorEastAsia" w:hAnsi="Arial Narrow" w:cstheme="majorBidi"/>
                <w:b/>
                <w:bCs/>
                <w:sz w:val="20"/>
                <w:szCs w:val="24"/>
                <w:lang w:eastAsia="en-US"/>
              </w:rPr>
              <w:t>Commonwealth Payment</w:t>
            </w:r>
            <w:r w:rsidR="009D71CD">
              <w:rPr>
                <w:rFonts w:ascii="Arial Narrow" w:eastAsiaTheme="majorEastAsia" w:hAnsi="Arial Narrow" w:cstheme="majorBidi"/>
                <w:b/>
                <w:bCs/>
                <w:sz w:val="20"/>
                <w:szCs w:val="24"/>
                <w:lang w:eastAsia="en-US"/>
              </w:rPr>
              <w:t xml:space="preserve"> ($)</w:t>
            </w:r>
          </w:p>
        </w:tc>
        <w:tc>
          <w:tcPr>
            <w:tcW w:w="1502" w:type="dxa"/>
            <w:shd w:val="solid" w:color="000000" w:fill="000000"/>
            <w:vAlign w:val="center"/>
          </w:tcPr>
          <w:p w14:paraId="6380F023" w14:textId="2127E62A" w:rsidR="004A641B" w:rsidRPr="00E41BF3" w:rsidRDefault="00E41BF3" w:rsidP="00DB6537">
            <w:pPr>
              <w:pStyle w:val="3Bodytext"/>
              <w:jc w:val="center"/>
              <w:rPr>
                <w:rFonts w:ascii="Arial Narrow" w:eastAsiaTheme="majorEastAsia" w:hAnsi="Arial Narrow" w:cstheme="majorBidi"/>
                <w:sz w:val="20"/>
                <w:szCs w:val="24"/>
                <w:lang w:eastAsia="en-US"/>
              </w:rPr>
            </w:pPr>
            <w:r w:rsidRPr="00E41BF3">
              <w:rPr>
                <w:rFonts w:ascii="Arial Narrow" w:eastAsiaTheme="majorEastAsia" w:hAnsi="Arial Narrow" w:cstheme="majorBidi"/>
                <w:color w:val="000000"/>
                <w:sz w:val="20"/>
                <w:szCs w:val="24"/>
                <w:lang w:eastAsia="en-US"/>
                <w14:textFill>
                  <w14:solidFill>
                    <w14:srgbClr w14:val="000000">
                      <w14:alpha w14:val="100000"/>
                    </w14:srgbClr>
                  </w14:solidFill>
                </w14:textFill>
              </w:rPr>
              <w:t>|</w:t>
            </w:r>
          </w:p>
        </w:tc>
        <w:tc>
          <w:tcPr>
            <w:tcW w:w="1503" w:type="dxa"/>
            <w:shd w:val="solid" w:color="000000" w:fill="000000"/>
            <w:vAlign w:val="center"/>
          </w:tcPr>
          <w:p w14:paraId="64894807" w14:textId="4EC2FC68" w:rsidR="004A641B" w:rsidRPr="00E41BF3" w:rsidRDefault="00E41BF3" w:rsidP="00DB6537">
            <w:pPr>
              <w:pStyle w:val="3Bodytext"/>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shd w:val="solid" w:color="000000" w:fill="000000"/>
            <w:vAlign w:val="center"/>
          </w:tcPr>
          <w:p w14:paraId="019D222B" w14:textId="2BD8F37D" w:rsidR="004A641B" w:rsidRPr="00E41BF3" w:rsidRDefault="00E41BF3" w:rsidP="00DB6537">
            <w:pPr>
              <w:pStyle w:val="3Bodytext"/>
              <w:jc w:val="center"/>
              <w:rPr>
                <w:rFonts w:ascii="Arial Narrow" w:eastAsiaTheme="majorEastAsia" w:hAnsi="Arial Narrow" w:cstheme="majorBidi"/>
                <w:b/>
                <w:bCs/>
                <w:sz w:val="20"/>
                <w:szCs w:val="24"/>
                <w:lang w:eastAsia="en-US"/>
              </w:rPr>
            </w:pPr>
            <w:r w:rsidRPr="00E41BF3">
              <w:rPr>
                <w:rFonts w:ascii="Arial Narrow" w:hAnsi="Arial Narrow"/>
                <w:color w:val="000000"/>
                <w:sz w:val="20"/>
                <w:szCs w:val="20"/>
                <w14:textFill>
                  <w14:solidFill>
                    <w14:srgbClr w14:val="000000">
                      <w14:alpha w14:val="100000"/>
                    </w14:srgbClr>
                  </w14:solidFill>
                </w14:textFill>
              </w:rPr>
              <w:t>|</w:t>
            </w:r>
          </w:p>
        </w:tc>
        <w:tc>
          <w:tcPr>
            <w:tcW w:w="1503" w:type="dxa"/>
            <w:tcBorders>
              <w:top w:val="nil"/>
              <w:bottom w:val="nil"/>
              <w:right w:val="nil"/>
            </w:tcBorders>
            <w:vAlign w:val="center"/>
          </w:tcPr>
          <w:p w14:paraId="04347523" w14:textId="6CADA99D" w:rsidR="004A641B" w:rsidRDefault="004A641B" w:rsidP="00DB6537">
            <w:pPr>
              <w:pStyle w:val="3Bodytext"/>
              <w:jc w:val="center"/>
              <w:rPr>
                <w:rFonts w:ascii="Arial Narrow" w:eastAsiaTheme="majorEastAsia" w:hAnsi="Arial Narrow" w:cstheme="majorBidi"/>
                <w:b/>
                <w:bCs/>
                <w:sz w:val="20"/>
                <w:szCs w:val="24"/>
                <w:lang w:eastAsia="en-US"/>
              </w:rPr>
            </w:pPr>
          </w:p>
        </w:tc>
        <w:tc>
          <w:tcPr>
            <w:tcW w:w="1503" w:type="dxa"/>
            <w:tcBorders>
              <w:top w:val="nil"/>
              <w:left w:val="nil"/>
              <w:bottom w:val="nil"/>
            </w:tcBorders>
            <w:vAlign w:val="center"/>
          </w:tcPr>
          <w:p w14:paraId="6B7E64F4" w14:textId="5D50CA38" w:rsidR="004A641B" w:rsidRDefault="004A641B" w:rsidP="00DB6537">
            <w:pPr>
              <w:pStyle w:val="3Bodytext"/>
              <w:jc w:val="center"/>
              <w:rPr>
                <w:rFonts w:ascii="Arial Narrow" w:eastAsiaTheme="majorEastAsia" w:hAnsi="Arial Narrow" w:cstheme="majorBidi"/>
                <w:b/>
                <w:bCs/>
                <w:sz w:val="20"/>
                <w:szCs w:val="24"/>
                <w:lang w:eastAsia="en-US"/>
              </w:rPr>
            </w:pPr>
          </w:p>
        </w:tc>
      </w:tr>
      <w:tr w:rsidR="00E54271" w14:paraId="51F0D5A8" w14:textId="77777777" w:rsidTr="005B7D24">
        <w:tc>
          <w:tcPr>
            <w:tcW w:w="1502" w:type="dxa"/>
          </w:tcPr>
          <w:p w14:paraId="70E44680" w14:textId="7F6AAC9E" w:rsidR="00E54271" w:rsidRDefault="00E26301" w:rsidP="00DB6537">
            <w:pPr>
              <w:pStyle w:val="3Bodytext"/>
              <w:jc w:val="center"/>
              <w:rPr>
                <w:rFonts w:ascii="Arial Narrow" w:eastAsiaTheme="majorEastAsia" w:hAnsi="Arial Narrow" w:cstheme="majorBidi"/>
                <w:b/>
                <w:bCs/>
                <w:sz w:val="20"/>
                <w:szCs w:val="24"/>
                <w:lang w:eastAsia="en-US"/>
              </w:rPr>
            </w:pPr>
            <w:r>
              <w:rPr>
                <w:rFonts w:ascii="Arial Narrow" w:eastAsiaTheme="majorEastAsia" w:hAnsi="Arial Narrow" w:cstheme="majorBidi"/>
                <w:b/>
                <w:bCs/>
                <w:sz w:val="20"/>
                <w:szCs w:val="24"/>
                <w:lang w:eastAsia="en-US"/>
              </w:rPr>
              <w:t>Difference</w:t>
            </w:r>
            <w:r w:rsidR="00E54271">
              <w:rPr>
                <w:rFonts w:ascii="Arial Narrow" w:eastAsiaTheme="majorEastAsia" w:hAnsi="Arial Narrow" w:cstheme="majorBidi"/>
                <w:b/>
                <w:bCs/>
                <w:sz w:val="20"/>
                <w:szCs w:val="24"/>
                <w:lang w:eastAsia="en-US"/>
              </w:rPr>
              <w:t xml:space="preserve"> ($)</w:t>
            </w:r>
          </w:p>
        </w:tc>
        <w:tc>
          <w:tcPr>
            <w:tcW w:w="1502" w:type="dxa"/>
            <w:vAlign w:val="center"/>
          </w:tcPr>
          <w:p w14:paraId="733BA2EA" w14:textId="65DA02AD" w:rsidR="00DC2B0B" w:rsidRPr="001C39F1" w:rsidRDefault="00DC2B0B" w:rsidP="00DB6537">
            <w:pPr>
              <w:pStyle w:val="3Bodytext"/>
              <w:contextualSpacing/>
              <w:jc w:val="center"/>
              <w:rPr>
                <w:rFonts w:ascii="Arial Narrow" w:hAnsi="Arial Narrow"/>
                <w:sz w:val="20"/>
                <w:szCs w:val="20"/>
              </w:rPr>
            </w:pPr>
            <w:r w:rsidRPr="001C39F1">
              <w:rPr>
                <w:rFonts w:ascii="Arial Narrow" w:hAnsi="Arial Narrow"/>
                <w:sz w:val="20"/>
                <w:szCs w:val="20"/>
              </w:rPr>
              <w:t>-</w:t>
            </w:r>
            <w:r w:rsidR="00E41BF3" w:rsidRPr="00E41BF3">
              <w:rPr>
                <w:rFonts w:ascii="Arial Narrow" w:hAnsi="Arial Narrow"/>
                <w:color w:val="000000"/>
                <w:sz w:val="20"/>
                <w:szCs w:val="20"/>
                <w:shd w:val="solid" w:color="000000" w:fill="000000"/>
                <w14:textFill>
                  <w14:solidFill>
                    <w14:srgbClr w14:val="000000">
                      <w14:alpha w14:val="100000"/>
                    </w14:srgbClr>
                  </w14:solidFill>
                </w14:textFill>
              </w:rPr>
              <w:t>|</w:t>
            </w:r>
          </w:p>
          <w:p w14:paraId="0071A27A" w14:textId="0888AEA1" w:rsidR="00E54271" w:rsidRPr="000C12D0" w:rsidRDefault="00DC2B0B" w:rsidP="00DB6537">
            <w:pPr>
              <w:pStyle w:val="3Bodytext"/>
              <w:jc w:val="center"/>
              <w:rPr>
                <w:rFonts w:ascii="Arial Narrow" w:hAnsi="Arial Narrow"/>
                <w:sz w:val="20"/>
                <w:szCs w:val="20"/>
              </w:rPr>
            </w:pPr>
            <w:r w:rsidRPr="00E41BF3">
              <w:rPr>
                <w:rFonts w:ascii="Arial Narrow" w:hAnsi="Arial Narrow"/>
                <w:sz w:val="20"/>
                <w:szCs w:val="20"/>
              </w:rPr>
              <w:t>(-23.7%)</w:t>
            </w:r>
          </w:p>
        </w:tc>
        <w:tc>
          <w:tcPr>
            <w:tcW w:w="1503" w:type="dxa"/>
            <w:vAlign w:val="center"/>
          </w:tcPr>
          <w:p w14:paraId="2272CD1B" w14:textId="6BEDBB26" w:rsidR="00E54271" w:rsidRDefault="00E41BF3" w:rsidP="00DB6537">
            <w:pPr>
              <w:pStyle w:val="3Bodytext"/>
              <w:jc w:val="center"/>
              <w:rPr>
                <w:rFonts w:ascii="Arial Narrow" w:hAnsi="Arial Narrow"/>
                <w:sz w:val="20"/>
                <w:szCs w:val="20"/>
              </w:rPr>
            </w:pPr>
            <w:r w:rsidRPr="00E41BF3">
              <w:rPr>
                <w:rFonts w:ascii="Arial Narrow" w:hAnsi="Arial Narrow"/>
                <w:color w:val="000000"/>
                <w:spacing w:val="195"/>
                <w:sz w:val="20"/>
                <w:szCs w:val="20"/>
                <w:shd w:val="solid" w:color="000000" w:fill="000000"/>
                <w:fitText w:val="288" w:id="-1304780022"/>
                <w14:textFill>
                  <w14:solidFill>
                    <w14:srgbClr w14:val="000000">
                      <w14:alpha w14:val="100000"/>
                    </w14:srgbClr>
                  </w14:solidFill>
                </w14:textFill>
              </w:rPr>
              <w:t>|</w:t>
            </w:r>
            <w:r w:rsidRPr="00E41BF3">
              <w:rPr>
                <w:rFonts w:ascii="Arial Narrow" w:hAnsi="Arial Narrow"/>
                <w:color w:val="000000"/>
                <w:sz w:val="20"/>
                <w:szCs w:val="20"/>
                <w:shd w:val="solid" w:color="000000" w:fill="000000"/>
                <w:fitText w:val="288" w:id="-1304780022"/>
                <w14:textFill>
                  <w14:solidFill>
                    <w14:srgbClr w14:val="000000">
                      <w14:alpha w14:val="100000"/>
                    </w14:srgbClr>
                  </w14:solidFill>
                </w14:textFill>
              </w:rPr>
              <w:t>|</w:t>
            </w:r>
            <w:r w:rsidR="007D024C" w:rsidRPr="00E41BF3">
              <w:rPr>
                <w:rFonts w:ascii="Arial Narrow" w:hAnsi="Arial Narrow"/>
                <w:sz w:val="20"/>
                <w:szCs w:val="20"/>
              </w:rPr>
              <w:t>(</w:t>
            </w:r>
            <w:r w:rsidR="00DC2B0B" w:rsidRPr="00E41BF3">
              <w:rPr>
                <w:rFonts w:ascii="Arial Narrow" w:hAnsi="Arial Narrow"/>
                <w:sz w:val="20"/>
                <w:szCs w:val="20"/>
              </w:rPr>
              <w:t>+</w:t>
            </w:r>
            <w:r w:rsidR="007D024C" w:rsidRPr="00E41BF3">
              <w:rPr>
                <w:rFonts w:ascii="Arial Narrow" w:hAnsi="Arial Narrow"/>
                <w:sz w:val="20"/>
                <w:szCs w:val="20"/>
              </w:rPr>
              <w:t>24.6%)</w:t>
            </w:r>
          </w:p>
        </w:tc>
        <w:tc>
          <w:tcPr>
            <w:tcW w:w="1503" w:type="dxa"/>
            <w:vAlign w:val="center"/>
          </w:tcPr>
          <w:p w14:paraId="293353C9" w14:textId="7452282B" w:rsidR="00E54271" w:rsidRDefault="00E41BF3" w:rsidP="00DB6537">
            <w:pPr>
              <w:pStyle w:val="3Bodytext"/>
              <w:jc w:val="center"/>
              <w:rPr>
                <w:rFonts w:ascii="Arial Narrow" w:hAnsi="Arial Narrow"/>
                <w:sz w:val="20"/>
                <w:szCs w:val="20"/>
              </w:rPr>
            </w:pPr>
            <w:r w:rsidRPr="00E41BF3">
              <w:rPr>
                <w:rFonts w:ascii="Arial Narrow" w:hAnsi="Arial Narrow"/>
                <w:color w:val="000000"/>
                <w:spacing w:val="195"/>
                <w:sz w:val="20"/>
                <w:szCs w:val="20"/>
                <w:shd w:val="solid" w:color="000000" w:fill="000000"/>
                <w:fitText w:val="288" w:id="-1304780021"/>
                <w14:textFill>
                  <w14:solidFill>
                    <w14:srgbClr w14:val="000000">
                      <w14:alpha w14:val="100000"/>
                    </w14:srgbClr>
                  </w14:solidFill>
                </w14:textFill>
              </w:rPr>
              <w:t>|</w:t>
            </w:r>
            <w:r w:rsidRPr="00E41BF3">
              <w:rPr>
                <w:rFonts w:ascii="Arial Narrow" w:hAnsi="Arial Narrow"/>
                <w:color w:val="000000"/>
                <w:sz w:val="20"/>
                <w:szCs w:val="20"/>
                <w:shd w:val="solid" w:color="000000" w:fill="000000"/>
                <w:fitText w:val="288" w:id="-1304780021"/>
                <w14:textFill>
                  <w14:solidFill>
                    <w14:srgbClr w14:val="000000">
                      <w14:alpha w14:val="100000"/>
                    </w14:srgbClr>
                  </w14:solidFill>
                </w14:textFill>
              </w:rPr>
              <w:t>|</w:t>
            </w:r>
            <w:r w:rsidR="00515874" w:rsidRPr="00E41BF3">
              <w:rPr>
                <w:rFonts w:ascii="Arial Narrow" w:hAnsi="Arial Narrow"/>
                <w:sz w:val="20"/>
                <w:szCs w:val="20"/>
              </w:rPr>
              <w:t>(</w:t>
            </w:r>
            <w:r w:rsidR="00DC2B0B" w:rsidRPr="00E41BF3">
              <w:rPr>
                <w:rFonts w:ascii="Arial Narrow" w:hAnsi="Arial Narrow"/>
                <w:sz w:val="20"/>
                <w:szCs w:val="20"/>
              </w:rPr>
              <w:t>+</w:t>
            </w:r>
            <w:r w:rsidR="00515874" w:rsidRPr="00E41BF3">
              <w:rPr>
                <w:rFonts w:ascii="Arial Narrow" w:hAnsi="Arial Narrow"/>
                <w:sz w:val="20"/>
                <w:szCs w:val="20"/>
              </w:rPr>
              <w:t>27.9%)</w:t>
            </w:r>
          </w:p>
        </w:tc>
        <w:tc>
          <w:tcPr>
            <w:tcW w:w="1503" w:type="dxa"/>
            <w:tcBorders>
              <w:top w:val="nil"/>
              <w:right w:val="nil"/>
            </w:tcBorders>
            <w:vAlign w:val="center"/>
          </w:tcPr>
          <w:p w14:paraId="3122163B" w14:textId="7EA0162D" w:rsidR="00E54271" w:rsidRDefault="00E54271" w:rsidP="00DB6537">
            <w:pPr>
              <w:pStyle w:val="3Bodytext"/>
              <w:jc w:val="center"/>
              <w:rPr>
                <w:rFonts w:ascii="Arial Narrow" w:hAnsi="Arial Narrow"/>
                <w:sz w:val="20"/>
                <w:szCs w:val="20"/>
              </w:rPr>
            </w:pPr>
          </w:p>
        </w:tc>
        <w:tc>
          <w:tcPr>
            <w:tcW w:w="1503" w:type="dxa"/>
            <w:tcBorders>
              <w:top w:val="nil"/>
              <w:left w:val="nil"/>
            </w:tcBorders>
            <w:vAlign w:val="center"/>
          </w:tcPr>
          <w:p w14:paraId="03BBAD37" w14:textId="61F6270F" w:rsidR="00E54271" w:rsidRDefault="00E54271" w:rsidP="00DB6537">
            <w:pPr>
              <w:pStyle w:val="3Bodytext"/>
              <w:jc w:val="center"/>
              <w:rPr>
                <w:rFonts w:ascii="Arial Narrow" w:hAnsi="Arial Narrow"/>
                <w:sz w:val="20"/>
                <w:szCs w:val="20"/>
              </w:rPr>
            </w:pPr>
          </w:p>
        </w:tc>
      </w:tr>
    </w:tbl>
    <w:p w14:paraId="736F9E93" w14:textId="2392F0C5" w:rsidR="009C5144" w:rsidRPr="00E41BF3" w:rsidRDefault="00B121AA" w:rsidP="00564A2B">
      <w:pPr>
        <w:spacing w:after="120"/>
        <w:jc w:val="left"/>
        <w:rPr>
          <w:rFonts w:ascii="Arial Narrow" w:hAnsi="Arial Narrow" w:cs="Arial"/>
          <w:i/>
          <w:sz w:val="18"/>
          <w:szCs w:val="18"/>
        </w:rPr>
      </w:pPr>
      <w:r w:rsidRPr="00E41BF3">
        <w:rPr>
          <w:rFonts w:ascii="Arial Narrow" w:hAnsi="Arial Narrow" w:cs="Arial"/>
          <w:i/>
          <w:sz w:val="18"/>
          <w:szCs w:val="18"/>
        </w:rPr>
        <w:t>Source:</w:t>
      </w:r>
      <w:r w:rsidR="00805416" w:rsidRPr="00E41BF3">
        <w:rPr>
          <w:rFonts w:ascii="Arial Narrow" w:hAnsi="Arial Narrow" w:cs="Arial"/>
          <w:i/>
          <w:sz w:val="18"/>
          <w:szCs w:val="18"/>
        </w:rPr>
        <w:t xml:space="preserve"> Main submission body (pg 9); Deed of Agreement financial workbook </w:t>
      </w:r>
    </w:p>
    <w:p w14:paraId="572B8AAF" w14:textId="1B8B24BC" w:rsidR="001C0CD6" w:rsidRPr="00E41BF3" w:rsidRDefault="001C0CD6" w:rsidP="00DB6537">
      <w:pPr>
        <w:jc w:val="left"/>
        <w:rPr>
          <w:rFonts w:ascii="Arial Narrow" w:hAnsi="Arial Narrow" w:cs="Arial"/>
          <w:i/>
          <w:sz w:val="18"/>
          <w:szCs w:val="18"/>
        </w:rPr>
      </w:pPr>
      <w:r w:rsidRPr="00E41BF3">
        <w:rPr>
          <w:rFonts w:ascii="Arial Narrow" w:hAnsi="Arial Narrow" w:cs="Arial"/>
          <w:i/>
          <w:sz w:val="18"/>
          <w:szCs w:val="18"/>
        </w:rPr>
        <w:t>The redacted values correspond to the following ranges:</w:t>
      </w:r>
    </w:p>
    <w:p w14:paraId="7D2CE5D9" w14:textId="3E150297" w:rsidR="001C0CD6" w:rsidRPr="00E41BF3" w:rsidRDefault="001C0CD6" w:rsidP="00DB6537">
      <w:pPr>
        <w:spacing w:after="120"/>
        <w:jc w:val="left"/>
        <w:rPr>
          <w:rFonts w:ascii="Arial Narrow" w:hAnsi="Arial Narrow" w:cs="Arial"/>
          <w:i/>
          <w:sz w:val="18"/>
          <w:szCs w:val="18"/>
        </w:rPr>
      </w:pPr>
      <w:r w:rsidRPr="00E41BF3">
        <w:rPr>
          <w:rFonts w:ascii="Arial Narrow" w:hAnsi="Arial Narrow" w:cs="Arial"/>
          <w:i/>
          <w:sz w:val="18"/>
          <w:szCs w:val="18"/>
          <w:vertAlign w:val="superscript"/>
        </w:rPr>
        <w:t>1</w:t>
      </w:r>
      <w:r w:rsidRPr="00E41BF3">
        <w:rPr>
          <w:rFonts w:ascii="Arial Narrow" w:hAnsi="Arial Narrow" w:cs="Arial"/>
          <w:i/>
          <w:sz w:val="18"/>
          <w:szCs w:val="18"/>
        </w:rPr>
        <w:t xml:space="preserve"> 500 to &lt; 5,000</w:t>
      </w:r>
    </w:p>
    <w:p w14:paraId="4833CD31" w14:textId="454FDFB7" w:rsidR="00D06C52" w:rsidRDefault="00C4451C" w:rsidP="00DB6537">
      <w:pPr>
        <w:pStyle w:val="3Bodytext"/>
        <w:ind w:left="720" w:hanging="720"/>
        <w:jc w:val="both"/>
      </w:pPr>
      <w:r>
        <w:t>3.</w:t>
      </w:r>
      <w:r w:rsidR="0058484F">
        <w:t>9</w:t>
      </w:r>
      <w:r w:rsidR="0058484F">
        <w:tab/>
      </w:r>
      <w:r w:rsidR="000D3286">
        <w:t>The submission noted</w:t>
      </w:r>
      <w:r w:rsidR="007E7452">
        <w:t xml:space="preserve"> that in the third year of listing (March 2021 to February 2022)</w:t>
      </w:r>
      <w:r w:rsidR="00D463D4">
        <w:t>,</w:t>
      </w:r>
      <w:r w:rsidR="007E7452">
        <w:t xml:space="preserve"> the total Commonwealth expenditure for pembrolizumab for the treatment of urothelial cancer</w:t>
      </w:r>
      <w:r w:rsidR="00453B16">
        <w:t xml:space="preserve"> was</w:t>
      </w:r>
      <w:r w:rsidR="007E7452">
        <w:t xml:space="preserve"> 27.9%</w:t>
      </w:r>
      <w:r w:rsidR="00F37CA2">
        <w:t xml:space="preserve"> above the cap</w:t>
      </w:r>
      <w:r w:rsidR="007E7452">
        <w:t>, resulting in a $</w:t>
      </w:r>
      <w:r w:rsidR="00E41BF3" w:rsidRPr="003129AC">
        <w:rPr>
          <w:color w:val="000000"/>
          <w:w w:val="15"/>
          <w:shd w:val="solid" w:color="000000" w:fill="000000"/>
          <w:fitText w:val="-20" w:id="-1304780020"/>
          <w14:textFill>
            <w14:solidFill>
              <w14:srgbClr w14:val="000000">
                <w14:alpha w14:val="100000"/>
              </w14:srgbClr>
            </w14:solidFill>
          </w14:textFill>
        </w:rPr>
        <w:t xml:space="preserve">|################  </w:t>
      </w:r>
      <w:r w:rsidR="00E41BF3" w:rsidRPr="003129AC">
        <w:rPr>
          <w:color w:val="000000"/>
          <w:spacing w:val="-356"/>
          <w:w w:val="15"/>
          <w:shd w:val="solid" w:color="000000" w:fill="000000"/>
          <w:fitText w:val="-20" w:id="-1304780020"/>
          <w14:textFill>
            <w14:solidFill>
              <w14:srgbClr w14:val="000000">
                <w14:alpha w14:val="100000"/>
              </w14:srgbClr>
            </w14:solidFill>
          </w14:textFill>
        </w:rPr>
        <w:t>|</w:t>
      </w:r>
      <w:r w:rsidR="003D6D9D">
        <w:t>M</w:t>
      </w:r>
      <w:r w:rsidR="007E7452">
        <w:t xml:space="preserve"> rebate </w:t>
      </w:r>
      <w:r w:rsidR="004E1C7B">
        <w:t>payable</w:t>
      </w:r>
      <w:r w:rsidR="007E7452">
        <w:t xml:space="preserve"> to the government.</w:t>
      </w:r>
      <w:r w:rsidR="00E23164">
        <w:t xml:space="preserve"> </w:t>
      </w:r>
      <w:bookmarkStart w:id="2" w:name="_Hlk76375324"/>
    </w:p>
    <w:p w14:paraId="3CFB6470" w14:textId="50A9BF90" w:rsidR="00D06C52" w:rsidRPr="00D06C52" w:rsidRDefault="00D06C52" w:rsidP="00DB6537">
      <w:pPr>
        <w:pStyle w:val="3Bodytext"/>
        <w:jc w:val="both"/>
        <w:rPr>
          <w:i/>
          <w:iCs/>
        </w:rPr>
      </w:pPr>
      <w:r w:rsidRPr="00D06C52">
        <w:rPr>
          <w:i/>
          <w:iCs/>
        </w:rPr>
        <w:t xml:space="preserve">For more detail on PBAC’s view, see section </w:t>
      </w:r>
      <w:r>
        <w:rPr>
          <w:i/>
          <w:iCs/>
        </w:rPr>
        <w:t>5</w:t>
      </w:r>
      <w:r w:rsidRPr="00D06C52">
        <w:rPr>
          <w:i/>
          <w:iCs/>
        </w:rPr>
        <w:t xml:space="preserve"> PBAC outcome.</w:t>
      </w:r>
    </w:p>
    <w:bookmarkEnd w:id="2"/>
    <w:p w14:paraId="0436B7D8" w14:textId="15FC3276" w:rsidR="00C27C1C" w:rsidRDefault="00C27C1C" w:rsidP="00DB6537">
      <w:pPr>
        <w:pStyle w:val="2-SectionHeading"/>
        <w:keepNext w:val="0"/>
      </w:pPr>
      <w:r w:rsidRPr="003C2FB5">
        <w:t>Consideration of the evidence</w:t>
      </w:r>
    </w:p>
    <w:p w14:paraId="3C997B3E" w14:textId="77777777" w:rsidR="00EF4EC9" w:rsidRPr="006E1229" w:rsidRDefault="00EF4EC9" w:rsidP="00DB6537">
      <w:pPr>
        <w:pStyle w:val="4-SubsectionHeading"/>
        <w:keepNext w:val="0"/>
        <w:tabs>
          <w:tab w:val="left" w:pos="6888"/>
        </w:tabs>
        <w:rPr>
          <w:lang w:eastAsia="en-US"/>
        </w:rPr>
      </w:pPr>
      <w:bookmarkStart w:id="3" w:name="_Hlk76375935"/>
      <w:r w:rsidRPr="006E1229">
        <w:rPr>
          <w:lang w:eastAsia="en-US"/>
        </w:rPr>
        <w:t>Sponsor hearing</w:t>
      </w:r>
    </w:p>
    <w:p w14:paraId="75781B31" w14:textId="6BBE5C81" w:rsidR="00DB6537" w:rsidRPr="00DB6537" w:rsidRDefault="00EF4EC9" w:rsidP="00DB6537">
      <w:pPr>
        <w:numPr>
          <w:ilvl w:val="1"/>
          <w:numId w:val="2"/>
        </w:numPr>
        <w:spacing w:after="120"/>
        <w:rPr>
          <w:rFonts w:cs="Calibri"/>
          <w:bCs/>
          <w:snapToGrid w:val="0"/>
        </w:rPr>
      </w:pPr>
      <w:r w:rsidRPr="00F91542">
        <w:rPr>
          <w:rFonts w:cs="Calibri"/>
          <w:bCs/>
          <w:snapToGrid w:val="0"/>
        </w:rPr>
        <w:t>There was no hearing for this item.</w:t>
      </w:r>
    </w:p>
    <w:p w14:paraId="3B080796" w14:textId="77777777" w:rsidR="00EF4EC9" w:rsidRPr="006E1229" w:rsidRDefault="00EF4EC9" w:rsidP="00DB6537">
      <w:pPr>
        <w:pStyle w:val="4-SubsectionHeading"/>
        <w:keepNext w:val="0"/>
        <w:tabs>
          <w:tab w:val="left" w:pos="6888"/>
        </w:tabs>
        <w:rPr>
          <w:lang w:eastAsia="en-US"/>
        </w:rPr>
      </w:pPr>
      <w:r w:rsidRPr="006E1229">
        <w:rPr>
          <w:lang w:eastAsia="en-US"/>
        </w:rPr>
        <w:t>Consumer comments</w:t>
      </w:r>
    </w:p>
    <w:p w14:paraId="3419AB7B" w14:textId="5B6CE884" w:rsidR="0062769C" w:rsidRDefault="00EF4EC9" w:rsidP="00251444">
      <w:pPr>
        <w:numPr>
          <w:ilvl w:val="1"/>
          <w:numId w:val="2"/>
        </w:numPr>
        <w:tabs>
          <w:tab w:val="left" w:pos="6888"/>
        </w:tabs>
        <w:spacing w:after="120"/>
        <w:rPr>
          <w:lang w:eastAsia="en-US"/>
        </w:rPr>
      </w:pPr>
      <w:bookmarkStart w:id="4" w:name="_Hlk76382618"/>
      <w:r w:rsidRPr="00AB4CFD">
        <w:rPr>
          <w:rFonts w:asciiTheme="minorHAnsi" w:hAnsiTheme="minorHAnsi" w:cs="Arial"/>
          <w:bCs/>
          <w:snapToGrid w:val="0"/>
        </w:rPr>
        <w:t>The PBAC noted that no consumer comments were received for this item.</w:t>
      </w:r>
      <w:bookmarkEnd w:id="3"/>
      <w:bookmarkEnd w:id="4"/>
    </w:p>
    <w:p w14:paraId="5D287ECE" w14:textId="7B765B26" w:rsidR="00F50F53" w:rsidRDefault="00D70349" w:rsidP="00DB6537">
      <w:pPr>
        <w:pStyle w:val="4-SubsectionHeading"/>
        <w:keepNext w:val="0"/>
        <w:tabs>
          <w:tab w:val="left" w:pos="6888"/>
        </w:tabs>
        <w:rPr>
          <w:lang w:eastAsia="en-US"/>
        </w:rPr>
      </w:pPr>
      <w:r w:rsidRPr="009D507A">
        <w:rPr>
          <w:lang w:eastAsia="en-US"/>
        </w:rPr>
        <w:lastRenderedPageBreak/>
        <w:t>Estimated PBS utilisation and financial implications</w:t>
      </w:r>
    </w:p>
    <w:p w14:paraId="35BC30F0" w14:textId="77777777" w:rsidR="002E6842" w:rsidRDefault="002E6842" w:rsidP="00DB6537">
      <w:pPr>
        <w:pStyle w:val="5-SubsectionSubheading"/>
        <w:keepNext w:val="0"/>
        <w:keepLines w:val="0"/>
        <w:rPr>
          <w:lang w:eastAsia="en-US"/>
        </w:rPr>
      </w:pPr>
      <w:r>
        <w:rPr>
          <w:lang w:eastAsia="en-US"/>
        </w:rPr>
        <w:t>Use outside PBS restrictions</w:t>
      </w:r>
    </w:p>
    <w:p w14:paraId="0FAE4800" w14:textId="0126C567" w:rsidR="002E6842" w:rsidRDefault="002E6842" w:rsidP="00DB6537">
      <w:pPr>
        <w:pStyle w:val="ListParagraph"/>
        <w:numPr>
          <w:ilvl w:val="1"/>
          <w:numId w:val="2"/>
        </w:numPr>
        <w:spacing w:after="160"/>
        <w:jc w:val="both"/>
      </w:pPr>
      <w:r>
        <w:t xml:space="preserve">In November 2021, the PBAC noted that </w:t>
      </w:r>
      <w:r w:rsidR="008B68EB">
        <w:t xml:space="preserve">prior to recommending pembrolizumab there was concern of leakage into first-line use and for treatment beyond progression. The PBAC noted that </w:t>
      </w:r>
      <w:r>
        <w:t xml:space="preserve">the </w:t>
      </w:r>
      <w:r w:rsidR="008B68EB">
        <w:t>DUSC utilisation data</w:t>
      </w:r>
      <w:r>
        <w:t xml:space="preserve"> indicated that leakage into</w:t>
      </w:r>
      <w:r w:rsidR="0013361B">
        <w:t xml:space="preserve"> the</w:t>
      </w:r>
      <w:r>
        <w:t xml:space="preserve"> first-line </w:t>
      </w:r>
      <w:r w:rsidR="0013361B">
        <w:t xml:space="preserve">setting </w:t>
      </w:r>
      <w:r>
        <w:t xml:space="preserve">appeared to be less than ten percent and treatment duration was shorter than expected (para 3.1, DUSC analysis of pembrolizumab for urothelial carcinoma, PBAC November 2021). </w:t>
      </w:r>
      <w:r w:rsidR="00C623C3">
        <w:t>The PBAC considered that the shorter duration likely reflects the older</w:t>
      </w:r>
      <w:r w:rsidR="00FB3DE5">
        <w:t>,</w:t>
      </w:r>
      <w:r w:rsidR="00C623C3">
        <w:t xml:space="preserve"> frailer population seen in practice compared to the trial data (para 4.21, avelumab PSD, March 2022 PBAC meeting). </w:t>
      </w:r>
      <w:r w:rsidR="00296C39">
        <w:t>The submission argued that this indicates</w:t>
      </w:r>
      <w:r w:rsidR="00765870">
        <w:t xml:space="preserve"> that</w:t>
      </w:r>
      <w:r w:rsidR="00296C39">
        <w:t xml:space="preserve"> the higher than expected utilisation of pembrolizumab on the PBS is not due to use outside the requested restriction </w:t>
      </w:r>
      <w:r w:rsidR="00A70749">
        <w:t xml:space="preserve">or </w:t>
      </w:r>
      <w:r w:rsidR="009F118B">
        <w:t xml:space="preserve">longer </w:t>
      </w:r>
      <w:r w:rsidR="00296C39">
        <w:t>treatment duration</w:t>
      </w:r>
      <w:r w:rsidR="009F118B">
        <w:t>,</w:t>
      </w:r>
      <w:r w:rsidR="00296C39">
        <w:t xml:space="preserve"> rather it is most likely related </w:t>
      </w:r>
      <w:r>
        <w:t>to the changes in the Australian guidelines and treatment practices related to the C</w:t>
      </w:r>
      <w:r w:rsidR="00C80C31">
        <w:t>OVID</w:t>
      </w:r>
      <w:r>
        <w:t>-19 pandemic</w:t>
      </w:r>
      <w:r w:rsidR="007B73CF">
        <w:t xml:space="preserve"> (</w:t>
      </w:r>
      <w:r w:rsidR="009F7288">
        <w:t xml:space="preserve">see </w:t>
      </w:r>
      <w:r w:rsidR="00510E15">
        <w:t>below</w:t>
      </w:r>
      <w:r w:rsidR="007B73CF">
        <w:t>)</w:t>
      </w:r>
      <w:r>
        <w:t xml:space="preserve">. </w:t>
      </w:r>
      <w:r w:rsidR="00FC1E6E" w:rsidRPr="00F055B8">
        <w:t xml:space="preserve">The DUSC </w:t>
      </w:r>
      <w:r w:rsidR="009F118B" w:rsidRPr="00F055B8">
        <w:t>predicted vs actual analysis</w:t>
      </w:r>
      <w:r w:rsidR="00FC1E6E" w:rsidRPr="00F055B8">
        <w:t xml:space="preserve"> indicated that</w:t>
      </w:r>
      <w:r w:rsidR="009F7288" w:rsidRPr="00F055B8">
        <w:t xml:space="preserve"> up to July 2021</w:t>
      </w:r>
      <w:r w:rsidR="00FC1E6E" w:rsidRPr="00F055B8">
        <w:t xml:space="preserve"> approximately 8% of patients treated with pembrolizumab for urothelial carcinoma had not received prior platinum-based therapy, reflecting usage outside the </w:t>
      </w:r>
      <w:r w:rsidR="00C75C20" w:rsidRPr="00F055B8">
        <w:t xml:space="preserve">current </w:t>
      </w:r>
      <w:r w:rsidR="00FC1E6E" w:rsidRPr="00F055B8">
        <w:t xml:space="preserve">PBS restrictions. </w:t>
      </w:r>
    </w:p>
    <w:p w14:paraId="5EB16602" w14:textId="374D9B32" w:rsidR="00D70349" w:rsidRDefault="00F50F53" w:rsidP="00DB6537">
      <w:pPr>
        <w:pStyle w:val="5-SubsectionSubheading"/>
        <w:keepNext w:val="0"/>
        <w:keepLines w:val="0"/>
        <w:rPr>
          <w:lang w:eastAsia="en-US"/>
        </w:rPr>
      </w:pPr>
      <w:r>
        <w:rPr>
          <w:lang w:eastAsia="en-US"/>
        </w:rPr>
        <w:t xml:space="preserve">External factors affecting uptake </w:t>
      </w:r>
    </w:p>
    <w:p w14:paraId="27968C8C" w14:textId="171A4F68" w:rsidR="00C350EB" w:rsidRDefault="00E52BEA" w:rsidP="00DB6537">
      <w:pPr>
        <w:pStyle w:val="ListParagraph"/>
        <w:numPr>
          <w:ilvl w:val="1"/>
          <w:numId w:val="2"/>
        </w:numPr>
        <w:spacing w:after="160"/>
        <w:jc w:val="both"/>
      </w:pPr>
      <w:bookmarkStart w:id="5" w:name="_Ref119928487"/>
      <w:bookmarkStart w:id="6" w:name="_Hlk113282909"/>
      <w:r w:rsidRPr="00B31F8C">
        <w:t xml:space="preserve">The submission </w:t>
      </w:r>
      <w:r w:rsidR="00B31F8C" w:rsidRPr="00B31F8C">
        <w:t>claimed</w:t>
      </w:r>
      <w:r w:rsidRPr="00B31F8C">
        <w:t xml:space="preserve"> that the increase in patient numbers </w:t>
      </w:r>
      <w:r w:rsidR="00E12D96" w:rsidRPr="00B31F8C">
        <w:t>was</w:t>
      </w:r>
      <w:r w:rsidRPr="00B31F8C">
        <w:t xml:space="preserve"> attributable to the COVID-19 pandemic as there was a change in recommendations for treating </w:t>
      </w:r>
      <w:r w:rsidR="00AD15E7">
        <w:t>Stage IV</w:t>
      </w:r>
      <w:r w:rsidRPr="00B31F8C">
        <w:t xml:space="preserve"> urothelial cancer patients</w:t>
      </w:r>
      <w:r w:rsidR="00C350EB">
        <w:t xml:space="preserve"> as an</w:t>
      </w:r>
      <w:r w:rsidR="002B646D">
        <w:t xml:space="preserve"> expert consensus paper published in May 2020</w:t>
      </w:r>
      <w:r w:rsidRPr="00B31F8C">
        <w:t xml:space="preserve"> suggested medical practitioners consider single agent immunotherapy in preference to chemotherapy given</w:t>
      </w:r>
      <w:r w:rsidR="00C350EB">
        <w:t xml:space="preserve"> the</w:t>
      </w:r>
      <w:r w:rsidRPr="00B31F8C">
        <w:t xml:space="preserve"> lower risk of toxicity</w:t>
      </w:r>
      <w:r w:rsidR="00417098">
        <w:t xml:space="preserve"> for COVID patients</w:t>
      </w:r>
      <w:r w:rsidR="00055CA8" w:rsidRPr="00010872">
        <w:rPr>
          <w:rStyle w:val="FootnoteReference"/>
        </w:rPr>
        <w:footnoteReference w:id="8"/>
      </w:r>
      <w:r w:rsidR="0013361B">
        <w:t xml:space="preserve">. </w:t>
      </w:r>
      <w:r w:rsidR="00C350EB">
        <w:t>Regarding the</w:t>
      </w:r>
      <w:r w:rsidR="00C350EB" w:rsidRPr="00B31F8C">
        <w:t xml:space="preserve"> November 2021</w:t>
      </w:r>
      <w:r w:rsidR="00C350EB">
        <w:t xml:space="preserve"> DUSC analysis</w:t>
      </w:r>
      <w:r w:rsidR="00767EB6">
        <w:t>,</w:t>
      </w:r>
      <w:r w:rsidR="00C350EB">
        <w:t xml:space="preserve"> the PBAC noted and agreed with the sponsor that increased use during the pandemic was likely driven by changes in clinical guidance recommend</w:t>
      </w:r>
      <w:r w:rsidR="00097808">
        <w:t>ing</w:t>
      </w:r>
      <w:r w:rsidR="00C350EB">
        <w:t xml:space="preserve"> immunotherapy with longer durations between treatment than chemotherapy (para 3.2, DUSC analysis of pembrolizumab for urothelial cancer, PBAC November 2021).</w:t>
      </w:r>
      <w:bookmarkEnd w:id="5"/>
      <w:r w:rsidR="00C350EB">
        <w:t xml:space="preserve"> </w:t>
      </w:r>
    </w:p>
    <w:p w14:paraId="3407E921" w14:textId="5B9F46EC" w:rsidR="00417098" w:rsidRDefault="0013361B" w:rsidP="00DB6537">
      <w:pPr>
        <w:pStyle w:val="ListParagraph"/>
        <w:numPr>
          <w:ilvl w:val="1"/>
          <w:numId w:val="2"/>
        </w:numPr>
        <w:spacing w:after="160"/>
        <w:jc w:val="both"/>
      </w:pPr>
      <w:bookmarkStart w:id="7" w:name="_Ref119928489"/>
      <w:r>
        <w:t xml:space="preserve">The submission argued that this </w:t>
      </w:r>
      <w:r w:rsidR="00C350EB">
        <w:t xml:space="preserve">change </w:t>
      </w:r>
      <w:r w:rsidR="00E52BEA" w:rsidRPr="00B31F8C">
        <w:t>result</w:t>
      </w:r>
      <w:r>
        <w:t>ed</w:t>
      </w:r>
      <w:r w:rsidR="00E52BEA" w:rsidRPr="00B31F8C">
        <w:t xml:space="preserve"> in a </w:t>
      </w:r>
      <w:r w:rsidR="00510E15" w:rsidRPr="00B31F8C">
        <w:t>higher-than-expected</w:t>
      </w:r>
      <w:r w:rsidR="00E52BEA" w:rsidRPr="00B31F8C">
        <w:t xml:space="preserve"> </w:t>
      </w:r>
      <w:r>
        <w:t xml:space="preserve">number of </w:t>
      </w:r>
      <w:r w:rsidR="00E52BEA" w:rsidRPr="00B31F8C">
        <w:t>patients starting pembrolizumab</w:t>
      </w:r>
      <w:bookmarkEnd w:id="6"/>
      <w:r w:rsidR="00E52BEA" w:rsidRPr="00F055B8">
        <w:t>.</w:t>
      </w:r>
      <w:r w:rsidR="00884873" w:rsidRPr="00F055B8">
        <w:t xml:space="preserve"> </w:t>
      </w:r>
      <w:r w:rsidR="00C350EB" w:rsidRPr="00F055B8">
        <w:t xml:space="preserve">In </w:t>
      </w:r>
      <w:r w:rsidR="00510E15">
        <w:t xml:space="preserve">the </w:t>
      </w:r>
      <w:r w:rsidR="00C350EB" w:rsidRPr="00F055B8">
        <w:t>second</w:t>
      </w:r>
      <w:r w:rsidR="00510E15">
        <w:t xml:space="preserve"> </w:t>
      </w:r>
      <w:r w:rsidR="00C350EB" w:rsidRPr="00F055B8">
        <w:t>line</w:t>
      </w:r>
      <w:r w:rsidR="00510E15">
        <w:t xml:space="preserve"> (2L)</w:t>
      </w:r>
      <w:r w:rsidR="00C350EB" w:rsidRPr="00F055B8">
        <w:t xml:space="preserve">, when there is the choice of using either pembrolizumab or </w:t>
      </w:r>
      <w:r w:rsidR="00510E15">
        <w:t>2L</w:t>
      </w:r>
      <w:r w:rsidR="00C350EB" w:rsidRPr="00F055B8">
        <w:t xml:space="preserve"> chemotherapy, immunotherapy would likely be preferable in the context of the COVID-19 pandemic. However, regardless of COVID considerations </w:t>
      </w:r>
      <w:r w:rsidR="009F118B" w:rsidRPr="00F055B8">
        <w:t>immunotherapy</w:t>
      </w:r>
      <w:r w:rsidR="00C350EB" w:rsidRPr="00F055B8">
        <w:t xml:space="preserve"> </w:t>
      </w:r>
      <w:r w:rsidR="004C0C75" w:rsidRPr="00F055B8">
        <w:t>may</w:t>
      </w:r>
      <w:r w:rsidR="00C350EB" w:rsidRPr="00F055B8">
        <w:t xml:space="preserve"> be the preferred standard-of-care </w:t>
      </w:r>
      <w:r w:rsidR="00510E15">
        <w:t>2L</w:t>
      </w:r>
      <w:r w:rsidR="00C350EB" w:rsidRPr="00F055B8">
        <w:t xml:space="preserve"> choice for most clinicians (</w:t>
      </w:r>
      <w:r w:rsidR="009F118B" w:rsidRPr="00F055B8">
        <w:t>as</w:t>
      </w:r>
      <w:r w:rsidR="00C350EB" w:rsidRPr="00F055B8">
        <w:t xml:space="preserve"> reflected in guidelines</w:t>
      </w:r>
      <w:r w:rsidR="009F118B" w:rsidRPr="00F055B8">
        <w:t>)</w:t>
      </w:r>
      <w:r w:rsidR="004C0C75" w:rsidRPr="00F055B8">
        <w:t xml:space="preserve"> and the July 2018 submission assumed a 90% treatment uptake rate in </w:t>
      </w:r>
      <w:r w:rsidR="00510E15">
        <w:t>2L</w:t>
      </w:r>
      <w:r w:rsidR="004C0C75" w:rsidRPr="00F055B8">
        <w:t xml:space="preserve"> patients.</w:t>
      </w:r>
      <w:r w:rsidR="00C350EB" w:rsidRPr="00F055B8">
        <w:t xml:space="preserve"> Current international guidelines</w:t>
      </w:r>
      <w:r w:rsidR="004533A3" w:rsidRPr="00010872">
        <w:rPr>
          <w:rStyle w:val="FootnoteReference"/>
        </w:rPr>
        <w:footnoteReference w:id="9"/>
      </w:r>
      <w:r w:rsidR="00071A7E" w:rsidRPr="00010872">
        <w:rPr>
          <w:vertAlign w:val="superscript"/>
        </w:rPr>
        <w:t>,</w:t>
      </w:r>
      <w:r w:rsidR="004533A3" w:rsidRPr="00010872">
        <w:rPr>
          <w:rStyle w:val="FootnoteReference"/>
        </w:rPr>
        <w:footnoteReference w:id="10"/>
      </w:r>
      <w:r w:rsidR="00C350EB" w:rsidRPr="00F055B8">
        <w:t>also suggest pembrolizumab can be used in first</w:t>
      </w:r>
      <w:r w:rsidR="00510E15">
        <w:t xml:space="preserve"> </w:t>
      </w:r>
      <w:r w:rsidR="00C350EB" w:rsidRPr="00F055B8">
        <w:t>line</w:t>
      </w:r>
      <w:r w:rsidR="00510E15">
        <w:t xml:space="preserve"> (1L)</w:t>
      </w:r>
      <w:r w:rsidR="00C350EB" w:rsidRPr="00F055B8">
        <w:t xml:space="preserve"> for platinum</w:t>
      </w:r>
      <w:r w:rsidR="00C350EB" w:rsidRPr="00010872">
        <w:t xml:space="preserve"> </w:t>
      </w:r>
      <w:r w:rsidR="00C350EB" w:rsidRPr="00F055B8">
        <w:t>ineligible patients (per KEYNOTE-052 trial which is outside the current PBS restrictions).</w:t>
      </w:r>
      <w:bookmarkEnd w:id="7"/>
      <w:r w:rsidR="00C324AE" w:rsidRPr="00010872">
        <w:t xml:space="preserve"> </w:t>
      </w:r>
    </w:p>
    <w:p w14:paraId="28E9D9FC" w14:textId="20269165" w:rsidR="006F5302" w:rsidRDefault="00C75C20" w:rsidP="00DB6537">
      <w:pPr>
        <w:pStyle w:val="ListParagraph"/>
        <w:numPr>
          <w:ilvl w:val="1"/>
          <w:numId w:val="2"/>
        </w:numPr>
        <w:spacing w:after="160"/>
        <w:jc w:val="both"/>
      </w:pPr>
      <w:bookmarkStart w:id="8" w:name="_Ref114572171"/>
      <w:r>
        <w:lastRenderedPageBreak/>
        <w:t xml:space="preserve">The submission argued that the rise of multiple </w:t>
      </w:r>
      <w:r w:rsidR="004533A3">
        <w:t>S</w:t>
      </w:r>
      <w:r>
        <w:t xml:space="preserve">ARS-CoV-2 virus variants </w:t>
      </w:r>
      <w:r w:rsidR="00DC5C43">
        <w:t xml:space="preserve">is likely to cause periodic outbreaks and the change in urothelial cancer treatment is now embedded in practice and should be accounted for in year 4 and 5 </w:t>
      </w:r>
      <w:r w:rsidR="00767EB6">
        <w:t>of the D</w:t>
      </w:r>
      <w:r w:rsidR="00DC5C43">
        <w:t>eed.</w:t>
      </w:r>
      <w:r w:rsidR="00DC5C43" w:rsidRPr="00F055B8">
        <w:t xml:space="preserve"> </w:t>
      </w:r>
      <w:r w:rsidRPr="00F055B8">
        <w:t xml:space="preserve">It is unclear whether impacts of the pandemic have resulted in </w:t>
      </w:r>
      <w:r w:rsidR="003652D8" w:rsidRPr="00F055B8">
        <w:t xml:space="preserve">an </w:t>
      </w:r>
      <w:r w:rsidRPr="00F055B8">
        <w:t>overall</w:t>
      </w:r>
      <w:r w:rsidR="00DC5C43" w:rsidRPr="00F055B8">
        <w:t>, ongoing</w:t>
      </w:r>
      <w:r w:rsidRPr="00F055B8">
        <w:t xml:space="preserve"> increased use of pembrolizumab.</w:t>
      </w:r>
      <w:bookmarkEnd w:id="8"/>
      <w:r w:rsidR="002B646D" w:rsidRPr="00010872">
        <w:t xml:space="preserve"> </w:t>
      </w:r>
    </w:p>
    <w:p w14:paraId="401781AB" w14:textId="3F13DC2C" w:rsidR="004D47D1" w:rsidRDefault="00076201" w:rsidP="00DB6537">
      <w:pPr>
        <w:pStyle w:val="5-SubsectionSubheading"/>
        <w:keepNext w:val="0"/>
        <w:keepLines w:val="0"/>
        <w:rPr>
          <w:lang w:eastAsia="en-US"/>
        </w:rPr>
      </w:pPr>
      <w:r>
        <w:rPr>
          <w:lang w:eastAsia="en-US"/>
        </w:rPr>
        <w:t>Long term data from KN045</w:t>
      </w:r>
    </w:p>
    <w:p w14:paraId="3B8F5346" w14:textId="77EFFC55" w:rsidR="009C139C" w:rsidRDefault="00D13344" w:rsidP="00DB6537">
      <w:pPr>
        <w:pStyle w:val="ListParagraph"/>
        <w:numPr>
          <w:ilvl w:val="1"/>
          <w:numId w:val="2"/>
        </w:numPr>
        <w:spacing w:after="160"/>
        <w:jc w:val="both"/>
      </w:pPr>
      <w:r>
        <w:t xml:space="preserve">The submission </w:t>
      </w:r>
      <w:r w:rsidR="009C139C">
        <w:t xml:space="preserve">provided updated </w:t>
      </w:r>
      <w:r>
        <w:t>long</w:t>
      </w:r>
      <w:r w:rsidR="007037BD">
        <w:t>-</w:t>
      </w:r>
      <w:r>
        <w:t>term data from KN045</w:t>
      </w:r>
      <w:r w:rsidR="009C139C">
        <w:t xml:space="preserve"> with 27.7 months median follow up (compared with 19 months in the July 2018 submission). The submission argued that </w:t>
      </w:r>
      <w:r w:rsidR="00CF1079">
        <w:t xml:space="preserve">these </w:t>
      </w:r>
      <w:r w:rsidR="009C139C">
        <w:t>data</w:t>
      </w:r>
      <w:r>
        <w:t xml:space="preserve"> demonstrat</w:t>
      </w:r>
      <w:r w:rsidR="009C139C">
        <w:t>e</w:t>
      </w:r>
      <w:r>
        <w:t xml:space="preserve"> that pembrolizumab produces a robust </w:t>
      </w:r>
      <w:r w:rsidR="00190E1F">
        <w:t>OS</w:t>
      </w:r>
      <w:r>
        <w:t xml:space="preserve"> benefit which is sustained after more than 2 years of follow up with no change in the hazard ratio compared to what was approved in July 2018. </w:t>
      </w:r>
      <w:r w:rsidR="00934677">
        <w:t>At 24 months</w:t>
      </w:r>
      <w:r w:rsidR="00CF1079">
        <w:t>,</w:t>
      </w:r>
      <w:r w:rsidR="00934677">
        <w:t xml:space="preserve"> a</w:t>
      </w:r>
      <w:r>
        <w:t xml:space="preserve">lmost </w:t>
      </w:r>
      <w:r w:rsidR="00934677">
        <w:t>twice as many</w:t>
      </w:r>
      <w:r>
        <w:t xml:space="preserve"> patients</w:t>
      </w:r>
      <w:r w:rsidR="00934677">
        <w:t xml:space="preserve"> were</w:t>
      </w:r>
      <w:r>
        <w:t xml:space="preserve"> alive in the pembrolizumab arm compared to </w:t>
      </w:r>
      <w:r w:rsidR="00190E1F">
        <w:t>SOC</w:t>
      </w:r>
      <w:r w:rsidR="002768C0">
        <w:t>.</w:t>
      </w:r>
      <w:r>
        <w:t xml:space="preserve"> </w:t>
      </w:r>
    </w:p>
    <w:p w14:paraId="6A3506EF" w14:textId="2CDFBFB8" w:rsidR="00AE4E9A" w:rsidRDefault="009C139C" w:rsidP="00DB6537">
      <w:pPr>
        <w:pStyle w:val="ListParagraph"/>
        <w:numPr>
          <w:ilvl w:val="1"/>
          <w:numId w:val="2"/>
        </w:numPr>
        <w:spacing w:after="160"/>
        <w:jc w:val="both"/>
      </w:pPr>
      <w:r>
        <w:t xml:space="preserve">The submission </w:t>
      </w:r>
      <w:r w:rsidR="00D13344">
        <w:t>concluded that pembrolizumab continues to be cost-effective in all 2L patients and therefore, there is no need for financial caps to manage the cost effectiveness of pembrolizumab.</w:t>
      </w:r>
      <w:r w:rsidR="00D13344" w:rsidRPr="00F055B8">
        <w:t xml:space="preserve"> </w:t>
      </w:r>
      <w:r w:rsidR="00A302D0" w:rsidRPr="00F055B8">
        <w:t>Patients included in the KN045 trial were previously treated with platinum-based chemotherapy. The additional evidence presented reflects the same population</w:t>
      </w:r>
      <w:r w:rsidRPr="00F055B8">
        <w:t xml:space="preserve"> and is consistent with the evidence</w:t>
      </w:r>
      <w:r w:rsidR="00A302D0" w:rsidRPr="00F055B8">
        <w:t xml:space="preserve"> that PBAC previously accepted as demonstrating “better OS, higher and more durable response rates and improved health related quality of life (HRQoL) for the pembrolizumab arm compared with the standard of care (SOC) arm</w:t>
      </w:r>
      <w:r w:rsidRPr="00F055B8">
        <w:t>”</w:t>
      </w:r>
      <w:r w:rsidR="00A302D0" w:rsidRPr="00F055B8">
        <w:t xml:space="preserve"> (para 7.9, pembrolizumab PSD, July 2018 PBAC meeting).</w:t>
      </w:r>
    </w:p>
    <w:p w14:paraId="69326071" w14:textId="7DFCA920" w:rsidR="00D00798" w:rsidRPr="00D00798" w:rsidRDefault="00D00798" w:rsidP="00DB6537">
      <w:pPr>
        <w:pStyle w:val="3Bodytext"/>
        <w:spacing w:after="0"/>
        <w:rPr>
          <w:rFonts w:ascii="Arial Narrow" w:eastAsiaTheme="majorEastAsia" w:hAnsi="Arial Narrow" w:cstheme="majorBidi"/>
          <w:b/>
          <w:bCs/>
          <w:sz w:val="20"/>
          <w:szCs w:val="24"/>
          <w:lang w:eastAsia="en-US"/>
        </w:rPr>
      </w:pPr>
      <w:r w:rsidRPr="00D00798">
        <w:rPr>
          <w:rFonts w:ascii="Arial Narrow" w:eastAsiaTheme="majorEastAsia" w:hAnsi="Arial Narrow" w:cstheme="majorBidi"/>
          <w:b/>
          <w:bCs/>
          <w:sz w:val="20"/>
          <w:szCs w:val="24"/>
          <w:lang w:eastAsia="en-US"/>
        </w:rPr>
        <w:t xml:space="preserve">Table </w:t>
      </w:r>
      <w:r w:rsidR="005574F8">
        <w:rPr>
          <w:rFonts w:ascii="Arial Narrow" w:eastAsiaTheme="majorEastAsia" w:hAnsi="Arial Narrow" w:cstheme="majorBidi"/>
          <w:b/>
          <w:bCs/>
          <w:sz w:val="20"/>
          <w:szCs w:val="24"/>
          <w:lang w:eastAsia="en-US"/>
        </w:rPr>
        <w:t>3</w:t>
      </w:r>
      <w:r w:rsidRPr="00D00798">
        <w:rPr>
          <w:rFonts w:ascii="Arial Narrow" w:eastAsiaTheme="majorEastAsia" w:hAnsi="Arial Narrow" w:cstheme="majorBidi"/>
          <w:b/>
          <w:bCs/>
          <w:sz w:val="20"/>
          <w:szCs w:val="24"/>
          <w:lang w:eastAsia="en-US"/>
        </w:rPr>
        <w:t>: Comparison of pembrolizumab overall survival data by length of follow up</w:t>
      </w:r>
    </w:p>
    <w:tbl>
      <w:tblPr>
        <w:tblStyle w:val="PBACtable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1251"/>
        <w:gridCol w:w="1742"/>
        <w:gridCol w:w="1633"/>
      </w:tblGrid>
      <w:tr w:rsidR="00D00798" w:rsidRPr="00D00798" w14:paraId="537E5C73" w14:textId="77777777" w:rsidTr="005B7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E8857A"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731355E0" w14:textId="47397608" w:rsidR="00D00798" w:rsidRPr="00D00798" w:rsidRDefault="00D00798" w:rsidP="00DB653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Jul</w:t>
            </w:r>
            <w:r w:rsidR="00004386">
              <w:rPr>
                <w:rFonts w:ascii="Arial Narrow" w:eastAsia="Times New Roman" w:hAnsi="Arial Narrow" w:cs="Times New Roman"/>
                <w:sz w:val="20"/>
                <w:szCs w:val="22"/>
                <w:lang w:eastAsia="en-AU"/>
              </w:rPr>
              <w:t>y</w:t>
            </w:r>
            <w:r w:rsidRPr="00D00798">
              <w:rPr>
                <w:rFonts w:ascii="Arial Narrow" w:eastAsia="Times New Roman" w:hAnsi="Arial Narrow" w:cs="Times New Roman"/>
                <w:sz w:val="20"/>
                <w:szCs w:val="22"/>
                <w:lang w:eastAsia="en-AU"/>
              </w:rPr>
              <w:t>-18 submission</w:t>
            </w:r>
          </w:p>
        </w:tc>
        <w:tc>
          <w:tcPr>
            <w:tcW w:w="125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D279C5" w14:textId="77777777" w:rsidR="00D00798" w:rsidRPr="00D00798" w:rsidRDefault="00D00798" w:rsidP="00DB6537">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p>
        </w:tc>
        <w:tc>
          <w:tcPr>
            <w:tcW w:w="337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70965D18" w14:textId="77777777" w:rsidR="00D00798" w:rsidRPr="00D00798" w:rsidRDefault="00D00798" w:rsidP="00DB653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Fradet et al, 2019</w:t>
            </w:r>
            <w:r w:rsidRPr="00D00798">
              <w:rPr>
                <w:rFonts w:ascii="Arial Narrow" w:eastAsia="Times New Roman" w:hAnsi="Arial Narrow" w:cs="Times New Roman"/>
                <w:sz w:val="20"/>
                <w:szCs w:val="22"/>
                <w:vertAlign w:val="superscript"/>
                <w:lang w:eastAsia="en-AU"/>
              </w:rPr>
              <w:footnoteReference w:id="11"/>
            </w:r>
          </w:p>
        </w:tc>
      </w:tr>
      <w:tr w:rsidR="00D00798" w:rsidRPr="00D00798" w14:paraId="587E7CB8" w14:textId="77777777" w:rsidTr="005B7D24">
        <w:tc>
          <w:tcPr>
            <w:cnfStyle w:val="001000000000" w:firstRow="0" w:lastRow="0" w:firstColumn="1" w:lastColumn="0" w:oddVBand="0" w:evenVBand="0" w:oddHBand="0" w:evenHBand="0" w:firstRowFirstColumn="0" w:firstRowLastColumn="0" w:lastRowFirstColumn="0" w:lastRowLastColumn="0"/>
            <w:tcW w:w="2122" w:type="dxa"/>
          </w:tcPr>
          <w:p w14:paraId="31AD9600"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p>
        </w:tc>
        <w:tc>
          <w:tcPr>
            <w:tcW w:w="2268" w:type="dxa"/>
            <w:hideMark/>
          </w:tcPr>
          <w:p w14:paraId="6B6038E4"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2"/>
                <w:lang w:eastAsia="en-AU"/>
              </w:rPr>
            </w:pPr>
            <w:r w:rsidRPr="00D00798">
              <w:rPr>
                <w:rFonts w:ascii="Arial Narrow" w:eastAsia="Times New Roman" w:hAnsi="Arial Narrow" w:cs="Times New Roman"/>
                <w:b/>
                <w:sz w:val="20"/>
                <w:szCs w:val="22"/>
                <w:lang w:eastAsia="en-AU"/>
              </w:rPr>
              <w:t>Pembrolizumab</w:t>
            </w:r>
          </w:p>
        </w:tc>
        <w:tc>
          <w:tcPr>
            <w:tcW w:w="1251" w:type="dxa"/>
            <w:hideMark/>
          </w:tcPr>
          <w:p w14:paraId="65737A30"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2"/>
                <w:lang w:eastAsia="en-AU"/>
              </w:rPr>
            </w:pPr>
            <w:r w:rsidRPr="00D00798">
              <w:rPr>
                <w:rFonts w:ascii="Arial Narrow" w:eastAsia="Times New Roman" w:hAnsi="Arial Narrow" w:cs="Times New Roman"/>
                <w:b/>
                <w:sz w:val="20"/>
                <w:szCs w:val="22"/>
                <w:lang w:eastAsia="en-AU"/>
              </w:rPr>
              <w:t>SoC</w:t>
            </w:r>
          </w:p>
        </w:tc>
        <w:tc>
          <w:tcPr>
            <w:tcW w:w="1742" w:type="dxa"/>
            <w:hideMark/>
          </w:tcPr>
          <w:p w14:paraId="1A236AEB"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2"/>
                <w:lang w:eastAsia="en-AU"/>
              </w:rPr>
            </w:pPr>
            <w:r w:rsidRPr="00D00798">
              <w:rPr>
                <w:rFonts w:ascii="Arial Narrow" w:eastAsia="Times New Roman" w:hAnsi="Arial Narrow" w:cs="Times New Roman"/>
                <w:b/>
                <w:sz w:val="20"/>
                <w:szCs w:val="22"/>
                <w:lang w:eastAsia="en-AU"/>
              </w:rPr>
              <w:t>Pembrolizumab</w:t>
            </w:r>
          </w:p>
        </w:tc>
        <w:tc>
          <w:tcPr>
            <w:tcW w:w="1633" w:type="dxa"/>
            <w:hideMark/>
          </w:tcPr>
          <w:p w14:paraId="5BC966ED"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2"/>
                <w:lang w:eastAsia="en-AU"/>
              </w:rPr>
            </w:pPr>
            <w:r w:rsidRPr="00D00798">
              <w:rPr>
                <w:rFonts w:ascii="Arial Narrow" w:eastAsia="Times New Roman" w:hAnsi="Arial Narrow" w:cs="Times New Roman"/>
                <w:b/>
                <w:sz w:val="20"/>
                <w:szCs w:val="22"/>
                <w:lang w:eastAsia="en-AU"/>
              </w:rPr>
              <w:t>SoC</w:t>
            </w:r>
          </w:p>
        </w:tc>
      </w:tr>
      <w:tr w:rsidR="008B33C3" w:rsidRPr="00D00798" w14:paraId="4844AD4F" w14:textId="77777777" w:rsidTr="008B33C3">
        <w:tc>
          <w:tcPr>
            <w:cnfStyle w:val="001000000000" w:firstRow="0" w:lastRow="0" w:firstColumn="1" w:lastColumn="0" w:oddVBand="0" w:evenVBand="0" w:oddHBand="0" w:evenHBand="0" w:firstRowFirstColumn="0" w:firstRowLastColumn="0" w:lastRowFirstColumn="0" w:lastRowLastColumn="0"/>
            <w:tcW w:w="2122" w:type="dxa"/>
            <w:hideMark/>
          </w:tcPr>
          <w:p w14:paraId="07838AE5" w14:textId="77777777" w:rsidR="008B33C3" w:rsidRPr="00D00798" w:rsidRDefault="008B33C3" w:rsidP="00DB6537">
            <w:pPr>
              <w:spacing w:after="0" w:line="240" w:lineRule="auto"/>
              <w:jc w:val="left"/>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Median Follow up (mths)</w:t>
            </w:r>
          </w:p>
        </w:tc>
        <w:tc>
          <w:tcPr>
            <w:tcW w:w="3519" w:type="dxa"/>
            <w:gridSpan w:val="2"/>
            <w:hideMark/>
          </w:tcPr>
          <w:p w14:paraId="5C7423D2" w14:textId="77777777" w:rsidR="008B33C3" w:rsidRPr="00D00798" w:rsidRDefault="008B33C3"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19</w:t>
            </w:r>
          </w:p>
        </w:tc>
        <w:tc>
          <w:tcPr>
            <w:tcW w:w="3375" w:type="dxa"/>
            <w:gridSpan w:val="2"/>
          </w:tcPr>
          <w:p w14:paraId="7FB47049" w14:textId="77777777" w:rsidR="008B33C3" w:rsidRPr="00D00798" w:rsidRDefault="008B33C3"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27.7</w:t>
            </w:r>
          </w:p>
        </w:tc>
      </w:tr>
      <w:tr w:rsidR="00D00798" w:rsidRPr="00D00798" w14:paraId="657F9AED" w14:textId="77777777" w:rsidTr="005B7D24">
        <w:tc>
          <w:tcPr>
            <w:cnfStyle w:val="001000000000" w:firstRow="0" w:lastRow="0" w:firstColumn="1" w:lastColumn="0" w:oddVBand="0" w:evenVBand="0" w:oddHBand="0" w:evenHBand="0" w:firstRowFirstColumn="0" w:firstRowLastColumn="0" w:lastRowFirstColumn="0" w:lastRowLastColumn="0"/>
            <w:tcW w:w="2122" w:type="dxa"/>
            <w:hideMark/>
          </w:tcPr>
          <w:p w14:paraId="0DB9953B"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OS HR (95% CI)</w:t>
            </w:r>
          </w:p>
        </w:tc>
        <w:tc>
          <w:tcPr>
            <w:tcW w:w="3519" w:type="dxa"/>
            <w:gridSpan w:val="2"/>
            <w:hideMark/>
          </w:tcPr>
          <w:p w14:paraId="239EB0A2"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0.70 (0.57, 0.85)</w:t>
            </w:r>
          </w:p>
        </w:tc>
        <w:tc>
          <w:tcPr>
            <w:tcW w:w="3375" w:type="dxa"/>
            <w:gridSpan w:val="2"/>
            <w:hideMark/>
          </w:tcPr>
          <w:p w14:paraId="19EAF32C" w14:textId="288E9B6F"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0.70 (0.57–0.85)</w:t>
            </w:r>
          </w:p>
        </w:tc>
      </w:tr>
      <w:tr w:rsidR="00D00798" w:rsidRPr="00D00798" w14:paraId="249E1185" w14:textId="77777777" w:rsidTr="005B7D24">
        <w:tc>
          <w:tcPr>
            <w:cnfStyle w:val="001000000000" w:firstRow="0" w:lastRow="0" w:firstColumn="1" w:lastColumn="0" w:oddVBand="0" w:evenVBand="0" w:oddHBand="0" w:evenHBand="0" w:firstRowFirstColumn="0" w:firstRowLastColumn="0" w:lastRowFirstColumn="0" w:lastRowLastColumn="0"/>
            <w:tcW w:w="2122" w:type="dxa"/>
            <w:hideMark/>
          </w:tcPr>
          <w:p w14:paraId="6B675BEC"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Median overall survival (mths, 95% CI)</w:t>
            </w:r>
          </w:p>
        </w:tc>
        <w:tc>
          <w:tcPr>
            <w:tcW w:w="2268" w:type="dxa"/>
            <w:hideMark/>
          </w:tcPr>
          <w:p w14:paraId="773E672A"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10.3 (8.0, 11.8)</w:t>
            </w:r>
          </w:p>
        </w:tc>
        <w:tc>
          <w:tcPr>
            <w:tcW w:w="1251" w:type="dxa"/>
            <w:hideMark/>
          </w:tcPr>
          <w:p w14:paraId="3008AEF8"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7.4 (6.1, 8.3)</w:t>
            </w:r>
          </w:p>
        </w:tc>
        <w:tc>
          <w:tcPr>
            <w:tcW w:w="1742" w:type="dxa"/>
            <w:hideMark/>
          </w:tcPr>
          <w:p w14:paraId="582D2B8C" w14:textId="554C4D42"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10.1 (8.0, 12.3)</w:t>
            </w:r>
          </w:p>
        </w:tc>
        <w:tc>
          <w:tcPr>
            <w:tcW w:w="1633" w:type="dxa"/>
            <w:hideMark/>
          </w:tcPr>
          <w:p w14:paraId="57EC7053" w14:textId="01EDBE48"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7.3 (6.1, 8.1)</w:t>
            </w:r>
          </w:p>
        </w:tc>
      </w:tr>
      <w:tr w:rsidR="00D00798" w:rsidRPr="00D00798" w14:paraId="37583634" w14:textId="77777777" w:rsidTr="005B7D24">
        <w:tc>
          <w:tcPr>
            <w:cnfStyle w:val="001000000000" w:firstRow="0" w:lastRow="0" w:firstColumn="1" w:lastColumn="0" w:oddVBand="0" w:evenVBand="0" w:oddHBand="0" w:evenHBand="0" w:firstRowFirstColumn="0" w:firstRowLastColumn="0" w:lastRowFirstColumn="0" w:lastRowLastColumn="0"/>
            <w:tcW w:w="2122" w:type="dxa"/>
            <w:hideMark/>
          </w:tcPr>
          <w:p w14:paraId="5F12EE56"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 alive at 12 months</w:t>
            </w:r>
          </w:p>
        </w:tc>
        <w:tc>
          <w:tcPr>
            <w:tcW w:w="2268" w:type="dxa"/>
            <w:hideMark/>
          </w:tcPr>
          <w:p w14:paraId="744E3CF8"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44.4</w:t>
            </w:r>
          </w:p>
        </w:tc>
        <w:tc>
          <w:tcPr>
            <w:tcW w:w="1251" w:type="dxa"/>
            <w:hideMark/>
          </w:tcPr>
          <w:p w14:paraId="7885ED3A"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29.8</w:t>
            </w:r>
          </w:p>
        </w:tc>
        <w:tc>
          <w:tcPr>
            <w:tcW w:w="1742" w:type="dxa"/>
            <w:hideMark/>
          </w:tcPr>
          <w:p w14:paraId="44EAC314"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44.2</w:t>
            </w:r>
          </w:p>
        </w:tc>
        <w:tc>
          <w:tcPr>
            <w:tcW w:w="1633" w:type="dxa"/>
            <w:hideMark/>
          </w:tcPr>
          <w:p w14:paraId="7D4ABD97"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29.8</w:t>
            </w:r>
          </w:p>
        </w:tc>
      </w:tr>
      <w:tr w:rsidR="00D00798" w:rsidRPr="00D00798" w14:paraId="65BB1097" w14:textId="77777777" w:rsidTr="005B7D24">
        <w:tc>
          <w:tcPr>
            <w:cnfStyle w:val="001000000000" w:firstRow="0" w:lastRow="0" w:firstColumn="1" w:lastColumn="0" w:oddVBand="0" w:evenVBand="0" w:oddHBand="0" w:evenHBand="0" w:firstRowFirstColumn="0" w:firstRowLastColumn="0" w:lastRowFirstColumn="0" w:lastRowLastColumn="0"/>
            <w:tcW w:w="2122" w:type="dxa"/>
            <w:hideMark/>
          </w:tcPr>
          <w:p w14:paraId="4E24358B" w14:textId="77777777" w:rsidR="00D00798" w:rsidRPr="00D00798" w:rsidRDefault="00D00798" w:rsidP="00DB6537">
            <w:pPr>
              <w:spacing w:after="0" w:line="240" w:lineRule="auto"/>
              <w:jc w:val="left"/>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 alive at 24 months</w:t>
            </w:r>
          </w:p>
        </w:tc>
        <w:tc>
          <w:tcPr>
            <w:tcW w:w="2268" w:type="dxa"/>
            <w:hideMark/>
          </w:tcPr>
          <w:p w14:paraId="5E26E85E"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NA</w:t>
            </w:r>
          </w:p>
        </w:tc>
        <w:tc>
          <w:tcPr>
            <w:tcW w:w="1251" w:type="dxa"/>
            <w:hideMark/>
          </w:tcPr>
          <w:p w14:paraId="15AD33F2"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NA</w:t>
            </w:r>
          </w:p>
        </w:tc>
        <w:tc>
          <w:tcPr>
            <w:tcW w:w="1742" w:type="dxa"/>
            <w:hideMark/>
          </w:tcPr>
          <w:p w14:paraId="30AE7D91"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26.9</w:t>
            </w:r>
          </w:p>
        </w:tc>
        <w:tc>
          <w:tcPr>
            <w:tcW w:w="1633" w:type="dxa"/>
            <w:hideMark/>
          </w:tcPr>
          <w:p w14:paraId="3113F56C" w14:textId="77777777" w:rsidR="00D00798" w:rsidRPr="00D00798" w:rsidRDefault="00D00798" w:rsidP="00DB65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2"/>
                <w:lang w:eastAsia="en-AU"/>
              </w:rPr>
            </w:pPr>
            <w:r w:rsidRPr="00D00798">
              <w:rPr>
                <w:rFonts w:ascii="Arial Narrow" w:eastAsia="Times New Roman" w:hAnsi="Arial Narrow" w:cs="Times New Roman"/>
                <w:sz w:val="20"/>
                <w:szCs w:val="22"/>
                <w:lang w:eastAsia="en-AU"/>
              </w:rPr>
              <w:t>14.3</w:t>
            </w:r>
          </w:p>
        </w:tc>
      </w:tr>
    </w:tbl>
    <w:p w14:paraId="389C265C" w14:textId="38BEB1E9" w:rsidR="00D00798" w:rsidRPr="00434BCD" w:rsidRDefault="00434BCD" w:rsidP="00DB6537">
      <w:pPr>
        <w:pStyle w:val="3Bodytext"/>
        <w:rPr>
          <w:rFonts w:ascii="Arial Narrow" w:hAnsi="Arial Narrow"/>
          <w:sz w:val="20"/>
          <w:szCs w:val="20"/>
        </w:rPr>
      </w:pPr>
      <w:r>
        <w:rPr>
          <w:rFonts w:ascii="Arial Narrow" w:hAnsi="Arial Narrow"/>
          <w:sz w:val="20"/>
          <w:szCs w:val="20"/>
        </w:rPr>
        <w:t>Abbreviations: SoC = standard of care; mths = months; OS = overall survival; HR = hazard ratio; CI = confidence interval; NA = not applicable</w:t>
      </w:r>
    </w:p>
    <w:p w14:paraId="6C34AFEB" w14:textId="1BE9535F" w:rsidR="00F50F53" w:rsidRPr="00F50F53" w:rsidRDefault="00F50F53" w:rsidP="00DB6537">
      <w:pPr>
        <w:pStyle w:val="5-SubsectionSubheading"/>
        <w:keepNext w:val="0"/>
        <w:keepLines w:val="0"/>
        <w:rPr>
          <w:lang w:eastAsia="en-US"/>
        </w:rPr>
      </w:pPr>
      <w:r>
        <w:rPr>
          <w:lang w:eastAsia="en-US"/>
        </w:rPr>
        <w:t>Revised financial estimates</w:t>
      </w:r>
    </w:p>
    <w:p w14:paraId="6013DC01" w14:textId="1900072D" w:rsidR="00C45FBF" w:rsidRPr="00674FAA" w:rsidRDefault="00A35DEC" w:rsidP="00DB6537">
      <w:pPr>
        <w:pStyle w:val="ListParagraph"/>
        <w:numPr>
          <w:ilvl w:val="1"/>
          <w:numId w:val="2"/>
        </w:numPr>
        <w:spacing w:after="160"/>
        <w:jc w:val="both"/>
      </w:pPr>
      <w:r w:rsidRPr="00674FAA">
        <w:t xml:space="preserve">The sponsor presented </w:t>
      </w:r>
      <w:r w:rsidR="003C78CC" w:rsidRPr="00674FAA">
        <w:t xml:space="preserve">new </w:t>
      </w:r>
      <w:r w:rsidR="00A84C5A" w:rsidRPr="00674FAA">
        <w:t>script number</w:t>
      </w:r>
      <w:r w:rsidR="00CF02B3">
        <w:t>s</w:t>
      </w:r>
      <w:r w:rsidR="00A84C5A" w:rsidRPr="00674FAA">
        <w:t xml:space="preserve"> and </w:t>
      </w:r>
      <w:r w:rsidR="00CF02B3">
        <w:t xml:space="preserve">proposed revised </w:t>
      </w:r>
      <w:r w:rsidR="003C78CC" w:rsidRPr="00674FAA">
        <w:t xml:space="preserve">subsidisation caps for </w:t>
      </w:r>
      <w:r w:rsidR="00190E1F" w:rsidRPr="00674FAA">
        <w:t>March 2022</w:t>
      </w:r>
      <w:r w:rsidR="003C78CC" w:rsidRPr="00674FAA">
        <w:t xml:space="preserve"> </w:t>
      </w:r>
      <w:r w:rsidR="00190E1F" w:rsidRPr="00674FAA">
        <w:t>to February 2024</w:t>
      </w:r>
      <w:r w:rsidRPr="00674FAA">
        <w:t xml:space="preserve"> </w:t>
      </w:r>
      <w:r w:rsidR="00C21D06" w:rsidRPr="00674FAA">
        <w:t xml:space="preserve">using actual patient and scripts numbers from </w:t>
      </w:r>
      <w:r w:rsidR="00190E1F" w:rsidRPr="00674FAA">
        <w:t>the first three years of listing</w:t>
      </w:r>
      <w:r w:rsidR="00C21D06" w:rsidRPr="00674FAA">
        <w:t xml:space="preserve">. The sponsor calculated the new subsidisation caps by forecasting the expected total dispensed scripts for </w:t>
      </w:r>
      <w:r w:rsidR="00190E1F" w:rsidRPr="00674FAA">
        <w:t>March 2022 to February 2024</w:t>
      </w:r>
      <w:r w:rsidR="00C21D06" w:rsidRPr="00674FAA">
        <w:t xml:space="preserve"> multiplied by the effective cost per script.</w:t>
      </w:r>
    </w:p>
    <w:p w14:paraId="28DDC106" w14:textId="776192FC" w:rsidR="00D32458" w:rsidRPr="005B7D24" w:rsidRDefault="004D129C" w:rsidP="00DB6537">
      <w:pPr>
        <w:pStyle w:val="ListParagraph"/>
        <w:numPr>
          <w:ilvl w:val="1"/>
          <w:numId w:val="2"/>
        </w:numPr>
        <w:spacing w:after="160"/>
        <w:jc w:val="both"/>
      </w:pPr>
      <w:r w:rsidRPr="00674FAA">
        <w:t xml:space="preserve">The </w:t>
      </w:r>
      <w:r w:rsidR="00A84C5A" w:rsidRPr="00674FAA">
        <w:t>forecast</w:t>
      </w:r>
      <w:r w:rsidR="00CF02B3">
        <w:t xml:space="preserve"> </w:t>
      </w:r>
      <w:r w:rsidR="00A84C5A" w:rsidRPr="00674FAA">
        <w:t>script</w:t>
      </w:r>
      <w:r w:rsidR="00CF02B3">
        <w:t xml:space="preserve"> numbers</w:t>
      </w:r>
      <w:r w:rsidR="00A84C5A" w:rsidRPr="00674FAA">
        <w:t xml:space="preserve"> w</w:t>
      </w:r>
      <w:r w:rsidR="00CF02B3">
        <w:t>ere</w:t>
      </w:r>
      <w:r w:rsidR="00A84C5A" w:rsidRPr="00674FAA">
        <w:t xml:space="preserve"> calculated based on</w:t>
      </w:r>
      <w:r w:rsidRPr="00674FAA">
        <w:t xml:space="preserve"> PBS </w:t>
      </w:r>
      <w:r w:rsidR="003558C9">
        <w:t xml:space="preserve">script </w:t>
      </w:r>
      <w:r w:rsidRPr="00674FAA">
        <w:t>data from May 2020 to December 2021</w:t>
      </w:r>
      <w:r w:rsidR="00A84C5A" w:rsidRPr="00674FAA">
        <w:t>, excluding data from January 2022 to April 2022</w:t>
      </w:r>
      <w:r w:rsidRPr="00674FAA">
        <w:t xml:space="preserve">. </w:t>
      </w:r>
      <w:r w:rsidR="00BF7285" w:rsidRPr="00F055B8">
        <w:t xml:space="preserve">The sponsor used </w:t>
      </w:r>
      <w:r w:rsidR="00BF7285" w:rsidRPr="00F055B8">
        <w:lastRenderedPageBreak/>
        <w:t xml:space="preserve">the Microsoft Excel FORECAST.ETS function to project the estimate of monthly scripts. Using this function </w:t>
      </w:r>
      <w:r w:rsidR="00CF1079" w:rsidRPr="00F055B8">
        <w:t>may</w:t>
      </w:r>
      <w:r w:rsidR="00BF7285" w:rsidRPr="00F055B8">
        <w:t xml:space="preserve"> be reasonable as it applies exponential smoothing to existing values in estimating the forecast values and handles seasonality present in PBS data</w:t>
      </w:r>
      <w:r w:rsidR="005967BD" w:rsidRPr="00F055B8">
        <w:t>, however the projections assume linear growth in utilisation which may not be reasonable</w:t>
      </w:r>
      <w:r w:rsidR="00BF7285" w:rsidRPr="00F055B8">
        <w:t>.</w:t>
      </w:r>
      <w:bookmarkStart w:id="9" w:name="_Ref106962224"/>
      <w:r w:rsidR="007F4342" w:rsidRPr="00010872">
        <w:t xml:space="preserve"> </w:t>
      </w:r>
    </w:p>
    <w:p w14:paraId="00E2864B" w14:textId="04F2E67B" w:rsidR="00EE1CA7" w:rsidRPr="005B7D24" w:rsidRDefault="00EE1CA7" w:rsidP="00DB6537">
      <w:pPr>
        <w:pStyle w:val="Tabletitles"/>
        <w:rPr>
          <w:b w:val="0"/>
        </w:rPr>
      </w:pPr>
      <w:bookmarkStart w:id="10" w:name="_Ref114833009"/>
      <w:r w:rsidRPr="005B7D24">
        <w:t xml:space="preserve">Figure </w:t>
      </w:r>
      <w:r w:rsidRPr="005B7D24">
        <w:fldChar w:fldCharType="begin"/>
      </w:r>
      <w:r w:rsidRPr="005B7D24">
        <w:instrText>SEQ Figure \* ARABIC</w:instrText>
      </w:r>
      <w:r w:rsidRPr="005B7D24">
        <w:fldChar w:fldCharType="separate"/>
      </w:r>
      <w:r w:rsidR="003129AC">
        <w:rPr>
          <w:noProof/>
        </w:rPr>
        <w:t>1</w:t>
      </w:r>
      <w:r w:rsidRPr="005B7D24">
        <w:fldChar w:fldCharType="end"/>
      </w:r>
      <w:bookmarkEnd w:id="9"/>
      <w:bookmarkEnd w:id="10"/>
      <w:r w:rsidRPr="005B7D24">
        <w:t xml:space="preserve">: PBS scripts </w:t>
      </w:r>
      <w:r w:rsidR="00815D79" w:rsidRPr="005B7D24">
        <w:t xml:space="preserve">actual and forecast </w:t>
      </w:r>
      <w:r w:rsidRPr="005B7D24">
        <w:t xml:space="preserve">of </w:t>
      </w:r>
      <w:r w:rsidR="00815D79" w:rsidRPr="005B7D24">
        <w:t>pembrolizumab for urothelial cancer</w:t>
      </w:r>
      <w:r w:rsidR="003558C9">
        <w:t xml:space="preserve"> </w:t>
      </w:r>
      <w:r w:rsidR="003558C9" w:rsidRPr="00716462">
        <w:t>(</w:t>
      </w:r>
      <w:r w:rsidR="003558C9" w:rsidRPr="005B7D24">
        <w:t>items 11632F and 11646Y)</w:t>
      </w:r>
    </w:p>
    <w:p w14:paraId="3EA3C1FE" w14:textId="1B341CC4" w:rsidR="00EE1CA7" w:rsidRDefault="00D32458" w:rsidP="00DB6537">
      <w:pPr>
        <w:pStyle w:val="3Bodytext"/>
        <w:jc w:val="center"/>
      </w:pPr>
      <w:r>
        <w:rPr>
          <w:noProof/>
        </w:rPr>
        <w:drawing>
          <wp:inline distT="0" distB="0" distL="0" distR="0" wp14:anchorId="68F65FC3" wp14:editId="4B77438C">
            <wp:extent cx="5369169" cy="2609689"/>
            <wp:effectExtent l="0" t="0" r="3175" b="635"/>
            <wp:docPr id="1" name="Picture 1" descr="Figure 1: PBS scripts actual and forecast of pembrolizumab for urothelial cancer (items 11632F and 11646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BS scripts actual and forecast of pembrolizumab for urothelial cancer (items 11632F and 11646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6931" cy="2628043"/>
                    </a:xfrm>
                    <a:prstGeom prst="rect">
                      <a:avLst/>
                    </a:prstGeom>
                    <a:noFill/>
                  </pic:spPr>
                </pic:pic>
              </a:graphicData>
            </a:graphic>
          </wp:inline>
        </w:drawing>
      </w:r>
    </w:p>
    <w:p w14:paraId="035ED638" w14:textId="4336C2A3" w:rsidR="00C22B0E" w:rsidRDefault="00C22B0E" w:rsidP="00564A2B">
      <w:pPr>
        <w:pStyle w:val="TableFooter"/>
        <w:widowControl/>
        <w:spacing w:after="120"/>
      </w:pPr>
      <w:r w:rsidRPr="003558C9">
        <w:t>Source:</w:t>
      </w:r>
      <w:r w:rsidR="00D32458" w:rsidRPr="003558C9">
        <w:t xml:space="preserve"> Keytruda</w:t>
      </w:r>
      <w:r w:rsidR="00D32458">
        <w:t xml:space="preserve"> UC deed new caps workbook – Uro forecast </w:t>
      </w:r>
      <w:r w:rsidR="00815D79">
        <w:t>worksheet</w:t>
      </w:r>
    </w:p>
    <w:p w14:paraId="798E3E8F" w14:textId="3DF1912E" w:rsidR="008D2A42" w:rsidRPr="005B7D24" w:rsidRDefault="008D2A42" w:rsidP="00DB6537">
      <w:pPr>
        <w:pStyle w:val="ListParagraph"/>
        <w:numPr>
          <w:ilvl w:val="1"/>
          <w:numId w:val="2"/>
        </w:numPr>
        <w:spacing w:after="160"/>
        <w:jc w:val="both"/>
      </w:pPr>
      <w:r w:rsidRPr="00674FAA">
        <w:t xml:space="preserve">The sponsor claimed that it was reasonable to exclude data from January 2022 because there was a reduction in script numbers due to the Omicron wave. The sponsor argued that the reduction in pembrolizumab scripts is likely due to the extreme pressure on all parts of the public hospital system as evidenced by the suspension </w:t>
      </w:r>
      <w:r>
        <w:t xml:space="preserve">of </w:t>
      </w:r>
      <w:r w:rsidRPr="00674FAA">
        <w:t>elective surgery, delays in accessing emergency treatment and hospital admission in NSW</w:t>
      </w:r>
      <w:r w:rsidRPr="001C39F1">
        <w:rPr>
          <w:vertAlign w:val="superscript"/>
        </w:rPr>
        <w:footnoteReference w:id="12"/>
      </w:r>
      <w:r w:rsidRPr="001C39F1">
        <w:rPr>
          <w:vertAlign w:val="superscript"/>
        </w:rPr>
        <w:t xml:space="preserve"> </w:t>
      </w:r>
      <w:r w:rsidRPr="00674FAA">
        <w:t>and the treatment of nearly 2,000 more patients in VIC</w:t>
      </w:r>
      <w:r w:rsidRPr="001C39F1">
        <w:rPr>
          <w:vertAlign w:val="superscript"/>
        </w:rPr>
        <w:footnoteReference w:id="13"/>
      </w:r>
      <w:r w:rsidRPr="00674FAA">
        <w:t xml:space="preserve"> than in </w:t>
      </w:r>
      <w:r>
        <w:t xml:space="preserve">the </w:t>
      </w:r>
      <w:r w:rsidRPr="00674FAA">
        <w:t xml:space="preserve">previous quarter. The submission </w:t>
      </w:r>
      <w:r>
        <w:t xml:space="preserve">also </w:t>
      </w:r>
      <w:r w:rsidRPr="00674FAA">
        <w:t>claimed that increased absenteeism at the Department</w:t>
      </w:r>
      <w:r>
        <w:t xml:space="preserve"> of Health</w:t>
      </w:r>
      <w:r w:rsidRPr="00674FAA">
        <w:t xml:space="preserve"> due to illness and COVID lockdown rules may have also slowed down the processing of PBS scripts and as such, it would be appropriate to exclude PBS data from January 2022 to April 2022 as it is not reflective of the preceding trends. </w:t>
      </w:r>
      <w:r w:rsidR="00C7243B">
        <w:t>The PBAC considered i</w:t>
      </w:r>
      <w:r w:rsidR="00C7243B" w:rsidRPr="00F055B8">
        <w:t xml:space="preserve">t </w:t>
      </w:r>
      <w:r w:rsidR="00C7243B">
        <w:t xml:space="preserve">was </w:t>
      </w:r>
      <w:r w:rsidRPr="00F055B8">
        <w:t>inconsistent to include PBS data from May 2020 to December 2021 which include periods affected by the pandemic but to then exclude PBS data from January 2022 through to April 2022.</w:t>
      </w:r>
      <w:r w:rsidRPr="001C39F1">
        <w:t xml:space="preserve"> </w:t>
      </w:r>
    </w:p>
    <w:p w14:paraId="1A06E4D3" w14:textId="673B289C" w:rsidR="00BC6ED0" w:rsidRDefault="003558C9" w:rsidP="00DB6537">
      <w:pPr>
        <w:pStyle w:val="ListParagraph"/>
        <w:numPr>
          <w:ilvl w:val="1"/>
          <w:numId w:val="2"/>
        </w:numPr>
        <w:spacing w:after="160"/>
        <w:jc w:val="both"/>
      </w:pPr>
      <w:r w:rsidRPr="00F055B8">
        <w:fldChar w:fldCharType="begin"/>
      </w:r>
      <w:r w:rsidRPr="00F055B8">
        <w:instrText xml:space="preserve"> REF _Ref114833009 \h  \* MERGEFORMAT </w:instrText>
      </w:r>
      <w:r w:rsidRPr="00F055B8">
        <w:fldChar w:fldCharType="separate"/>
      </w:r>
      <w:r w:rsidR="003129AC" w:rsidRPr="005B7D24">
        <w:t xml:space="preserve">Figure </w:t>
      </w:r>
      <w:r w:rsidR="003129AC">
        <w:t>1</w:t>
      </w:r>
      <w:r w:rsidRPr="00F055B8">
        <w:fldChar w:fldCharType="end"/>
      </w:r>
      <w:r w:rsidRPr="00F055B8">
        <w:t xml:space="preserve"> </w:t>
      </w:r>
      <w:r w:rsidR="00815D79" w:rsidRPr="00F055B8">
        <w:t xml:space="preserve">shows there has been declining month-on-month growth in the utilisation of </w:t>
      </w:r>
      <w:r w:rsidRPr="00F055B8">
        <w:t>pembrolizumab for urothelial carcinoma</w:t>
      </w:r>
      <w:r w:rsidR="00815D79" w:rsidRPr="00F055B8">
        <w:t xml:space="preserve">. The sponsor’s forecast of increasing monthly scripts from January 2022 appears unlikely based on the current utilisation trend. </w:t>
      </w:r>
      <w:r w:rsidR="00815D79" w:rsidRPr="00F055B8">
        <w:lastRenderedPageBreak/>
        <w:t xml:space="preserve">Further, actual data from January to June 2022 shows </w:t>
      </w:r>
      <w:r w:rsidR="00CF1079" w:rsidRPr="00F055B8">
        <w:t xml:space="preserve">fewer </w:t>
      </w:r>
      <w:r w:rsidR="00815D79" w:rsidRPr="00F055B8">
        <w:t xml:space="preserve">scripts than forecast by the model for this period. </w:t>
      </w:r>
    </w:p>
    <w:p w14:paraId="4857AA92" w14:textId="609ABE7A" w:rsidR="003558C9" w:rsidRPr="00F055B8" w:rsidRDefault="003558C9" w:rsidP="00DB6537">
      <w:pPr>
        <w:pStyle w:val="ListParagraph"/>
        <w:numPr>
          <w:ilvl w:val="1"/>
          <w:numId w:val="2"/>
        </w:numPr>
        <w:spacing w:after="160"/>
        <w:jc w:val="both"/>
      </w:pPr>
      <w:r w:rsidRPr="00F055B8">
        <w:fldChar w:fldCharType="begin"/>
      </w:r>
      <w:r w:rsidRPr="00F055B8">
        <w:instrText xml:space="preserve"> REF _Ref114597021 \h </w:instrText>
      </w:r>
      <w:r w:rsidR="00BF7285" w:rsidRPr="00F055B8">
        <w:instrText xml:space="preserve"> \* MERGEFORMAT </w:instrText>
      </w:r>
      <w:r w:rsidRPr="00F055B8">
        <w:fldChar w:fldCharType="separate"/>
      </w:r>
      <w:r w:rsidR="003129AC" w:rsidRPr="005574F8">
        <w:t xml:space="preserve">Figure </w:t>
      </w:r>
      <w:r w:rsidR="003129AC">
        <w:t>2</w:t>
      </w:r>
      <w:r w:rsidRPr="00F055B8">
        <w:fldChar w:fldCharType="end"/>
      </w:r>
      <w:r w:rsidRPr="00F055B8">
        <w:t xml:space="preserve"> shows revised </w:t>
      </w:r>
      <w:r w:rsidR="00BF7285" w:rsidRPr="00F055B8">
        <w:t>forecasts including script data from January 2022 to April 2022. Consistent with the sponsor’s methodology the revised forecast also applies the Microsoft Excel FORECAST.ETS function to project the estimate of monthly scripts.</w:t>
      </w:r>
      <w:r w:rsidR="00A759ED">
        <w:t xml:space="preserve"> </w:t>
      </w:r>
    </w:p>
    <w:p w14:paraId="5796C674" w14:textId="6C517474" w:rsidR="008D2A42" w:rsidRPr="005574F8" w:rsidRDefault="008D2A42" w:rsidP="00DB6537">
      <w:pPr>
        <w:pStyle w:val="Tabletitles"/>
      </w:pPr>
      <w:bookmarkStart w:id="11" w:name="_Ref114597021"/>
      <w:r w:rsidRPr="005574F8">
        <w:t xml:space="preserve">Figure </w:t>
      </w:r>
      <w:r w:rsidRPr="005574F8">
        <w:fldChar w:fldCharType="begin"/>
      </w:r>
      <w:r w:rsidRPr="005574F8">
        <w:instrText>SEQ Figure \* ARABIC</w:instrText>
      </w:r>
      <w:r w:rsidRPr="005574F8">
        <w:fldChar w:fldCharType="separate"/>
      </w:r>
      <w:r w:rsidR="003129AC">
        <w:rPr>
          <w:noProof/>
        </w:rPr>
        <w:t>2</w:t>
      </w:r>
      <w:r w:rsidRPr="005574F8">
        <w:fldChar w:fldCharType="end"/>
      </w:r>
      <w:bookmarkEnd w:id="11"/>
      <w:r w:rsidRPr="005574F8">
        <w:t xml:space="preserve">: PBS scripts actual </w:t>
      </w:r>
      <w:r w:rsidR="00C76D19" w:rsidRPr="005574F8">
        <w:t xml:space="preserve">(including scripts from January 2022 through to April 2022) </w:t>
      </w:r>
      <w:r w:rsidRPr="005574F8">
        <w:t xml:space="preserve">and </w:t>
      </w:r>
      <w:r w:rsidR="00C76D19" w:rsidRPr="005574F8">
        <w:t xml:space="preserve">revised </w:t>
      </w:r>
      <w:r w:rsidRPr="005574F8">
        <w:t>forecast of pembrolizumab for urothelial cancer</w:t>
      </w:r>
      <w:r w:rsidR="00C76D19" w:rsidRPr="005574F8">
        <w:t xml:space="preserve"> </w:t>
      </w:r>
      <w:r w:rsidR="003558C9" w:rsidRPr="005574F8">
        <w:t>(items 11632F and 11646Y)</w:t>
      </w:r>
    </w:p>
    <w:p w14:paraId="38345DD0" w14:textId="7599EB17" w:rsidR="00815D79" w:rsidRDefault="00C76D19" w:rsidP="00DB6537">
      <w:r>
        <w:rPr>
          <w:noProof/>
        </w:rPr>
        <w:drawing>
          <wp:inline distT="0" distB="0" distL="0" distR="0" wp14:anchorId="086B5BF0" wp14:editId="3ADF029D">
            <wp:extent cx="5351585" cy="2635177"/>
            <wp:effectExtent l="0" t="0" r="1905" b="0"/>
            <wp:docPr id="2" name="Picture 2" descr="Figure 2: PBS scripts actual (including scripts from January 2022 through to April 2022) and revised forecast of pembrolizumab for urothelial cancer (items 11632F and 11646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BS scripts actual (including scripts from January 2022 through to April 2022) and revised forecast of pembrolizumab for urothelial cancer (items 11632F and 11646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9168" cy="2643835"/>
                    </a:xfrm>
                    <a:prstGeom prst="rect">
                      <a:avLst/>
                    </a:prstGeom>
                    <a:noFill/>
                  </pic:spPr>
                </pic:pic>
              </a:graphicData>
            </a:graphic>
          </wp:inline>
        </w:drawing>
      </w:r>
    </w:p>
    <w:p w14:paraId="452A4215" w14:textId="4B570355" w:rsidR="00855C8C" w:rsidRPr="00564A2B" w:rsidRDefault="00B817CB" w:rsidP="00564A2B">
      <w:pPr>
        <w:pStyle w:val="TableFooter"/>
        <w:widowControl/>
        <w:spacing w:after="120"/>
      </w:pPr>
      <w:r w:rsidRPr="00F055B8">
        <w:t>Source: constructed for the overview based on PBS script data for items 11632F and 11646Y</w:t>
      </w:r>
    </w:p>
    <w:p w14:paraId="459523A5" w14:textId="24552DCA" w:rsidR="006340DC" w:rsidRDefault="00DC30BA" w:rsidP="00DB6537">
      <w:pPr>
        <w:pStyle w:val="ListParagraph"/>
        <w:numPr>
          <w:ilvl w:val="1"/>
          <w:numId w:val="2"/>
        </w:numPr>
        <w:spacing w:after="160"/>
        <w:jc w:val="both"/>
      </w:pPr>
      <w:r>
        <w:t xml:space="preserve">The sponsor argued that the flattening of the curve in Year 3 </w:t>
      </w:r>
      <w:r w:rsidR="006340DC">
        <w:t xml:space="preserve">(March 2021 to February 2022) </w:t>
      </w:r>
      <w:r>
        <w:t xml:space="preserve">appeared to be related to the avelumab access program that has been running and advertising since TGA approved on 3 March 2021 which could have decreased the number of eligible patients for pembrolizumab. The sponsor estimated that upon listing of avelumab and following cessation of the program, the number of patients for pembrolizumab would continue upwards in Year 4 and Year 5 reflecting the trend in the first two years of pembrolizumab listing. </w:t>
      </w:r>
    </w:p>
    <w:p w14:paraId="3BD44936" w14:textId="76DED2F1" w:rsidR="00A30677" w:rsidRDefault="006340DC" w:rsidP="00DB6537">
      <w:pPr>
        <w:pStyle w:val="ListParagraph"/>
        <w:numPr>
          <w:ilvl w:val="1"/>
          <w:numId w:val="2"/>
        </w:numPr>
        <w:spacing w:after="160"/>
        <w:jc w:val="both"/>
      </w:pPr>
      <w:r>
        <w:t xml:space="preserve">The sponsor calculated the gross cost per PBS script by dividing 2021 PBS expenditure by 2021 PBS scripts to give a gross cost per </w:t>
      </w:r>
      <w:r w:rsidRPr="00AB29C3">
        <w:t>script of $7,997,31. The</w:t>
      </w:r>
      <w:r>
        <w:t xml:space="preserve"> rebate percentage was then applied (</w:t>
      </w:r>
      <w:r w:rsidR="00E41BF3" w:rsidRPr="003129AC">
        <w:rPr>
          <w:color w:val="000000"/>
          <w:w w:val="15"/>
          <w:shd w:val="solid" w:color="000000" w:fill="000000"/>
          <w:fitText w:val="-20" w:id="-1304780019"/>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19"/>
          <w14:textFill>
            <w14:solidFill>
              <w14:srgbClr w14:val="000000">
                <w14:alpha w14:val="100000"/>
              </w14:srgbClr>
            </w14:solidFill>
          </w14:textFill>
        </w:rPr>
        <w:t>|</w:t>
      </w:r>
      <w:r w:rsidRPr="002E5F5C">
        <w:t>%)</w:t>
      </w:r>
      <w:r>
        <w:t xml:space="preserve"> to determine the effective cost per script ($</w:t>
      </w:r>
      <w:r w:rsidR="00E41BF3" w:rsidRPr="003129AC">
        <w:rPr>
          <w:color w:val="000000"/>
          <w:w w:val="15"/>
          <w:shd w:val="solid" w:color="000000" w:fill="000000"/>
          <w:fitText w:val="-20" w:id="-1304780018"/>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18"/>
          <w14:textFill>
            <w14:solidFill>
              <w14:srgbClr w14:val="000000">
                <w14:alpha w14:val="100000"/>
              </w14:srgbClr>
            </w14:solidFill>
          </w14:textFill>
        </w:rPr>
        <w:t>|</w:t>
      </w:r>
      <w:r>
        <w:t>). The sponsor multiplied the effective cost per script by the forecasted scripts number for Year 4 (</w:t>
      </w:r>
      <w:r w:rsidR="00092689">
        <w:t>5,000 to &lt; 10,000</w:t>
      </w:r>
      <w:r>
        <w:t>) and Year 5 (</w:t>
      </w:r>
      <w:r w:rsidR="00092689">
        <w:t>5,000 to &lt; 10,000</w:t>
      </w:r>
      <w:r>
        <w:t>) which resulted in the new subsidisation caps forecasted at $</w:t>
      </w:r>
      <w:r w:rsidR="00E41BF3" w:rsidRPr="003129AC">
        <w:rPr>
          <w:color w:val="000000"/>
          <w:w w:val="15"/>
          <w:shd w:val="solid" w:color="000000" w:fill="000000"/>
          <w:fitText w:val="-20" w:id="-1304780017"/>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17"/>
          <w14:textFill>
            <w14:solidFill>
              <w14:srgbClr w14:val="000000">
                <w14:alpha w14:val="100000"/>
              </w14:srgbClr>
            </w14:solidFill>
          </w14:textFill>
        </w:rPr>
        <w:t>|</w:t>
      </w:r>
      <w:r>
        <w:t>M in Year 4 and $</w:t>
      </w:r>
      <w:r w:rsidR="00E41BF3" w:rsidRPr="003129AC">
        <w:rPr>
          <w:color w:val="000000"/>
          <w:w w:val="15"/>
          <w:shd w:val="solid" w:color="000000" w:fill="000000"/>
          <w:fitText w:val="-20" w:id="-1304780016"/>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16"/>
          <w14:textFill>
            <w14:solidFill>
              <w14:srgbClr w14:val="000000">
                <w14:alpha w14:val="100000"/>
              </w14:srgbClr>
            </w14:solidFill>
          </w14:textFill>
        </w:rPr>
        <w:t>|</w:t>
      </w:r>
      <w:r>
        <w:t xml:space="preserve">M in Year 5. </w:t>
      </w:r>
      <w:r w:rsidR="00C774FC" w:rsidRPr="00F055B8">
        <w:t>As such, the revised estimates did not apply the current effective price for pembrolizumab in this indication.</w:t>
      </w:r>
    </w:p>
    <w:p w14:paraId="61531AEA" w14:textId="0CADEF80" w:rsidR="00E224BF" w:rsidRDefault="00E224BF" w:rsidP="00DB6537">
      <w:pPr>
        <w:pStyle w:val="ListParagraph"/>
        <w:numPr>
          <w:ilvl w:val="1"/>
          <w:numId w:val="2"/>
        </w:numPr>
        <w:spacing w:after="160"/>
        <w:jc w:val="both"/>
      </w:pPr>
      <w:r>
        <w:t>Table 4 below shows the sponsor’s revised cap forecasts</w:t>
      </w:r>
      <w:r w:rsidR="00DF4700">
        <w:t xml:space="preserve">, </w:t>
      </w:r>
      <w:r>
        <w:t>based on PBS data from May</w:t>
      </w:r>
      <w:r w:rsidR="00EE21D5">
        <w:t> </w:t>
      </w:r>
      <w:r>
        <w:t xml:space="preserve">2020 to December 2021. </w:t>
      </w:r>
      <w:r w:rsidR="00DF4700" w:rsidRPr="00F055B8">
        <w:t>R</w:t>
      </w:r>
      <w:r w:rsidRPr="00F055B8">
        <w:t>evised cap forecast</w:t>
      </w:r>
      <w:r w:rsidR="00DF4700" w:rsidRPr="00F055B8">
        <w:t>s including data</w:t>
      </w:r>
      <w:r w:rsidRPr="00F055B8">
        <w:t xml:space="preserve"> to June 2022 for PBS items 11632F and 11636Y</w:t>
      </w:r>
      <w:r w:rsidR="00DF4700" w:rsidRPr="00F055B8">
        <w:t xml:space="preserve"> are also shown</w:t>
      </w:r>
      <w:r w:rsidRPr="00F055B8">
        <w:t>.</w:t>
      </w:r>
      <w:r>
        <w:t xml:space="preserve"> </w:t>
      </w:r>
      <w:r w:rsidR="007564D8">
        <w:t xml:space="preserve">The Pre-PBAC response accepted that the revised forecast is a reasonable projection using the most up to date data and </w:t>
      </w:r>
      <w:r w:rsidR="00010872">
        <w:lastRenderedPageBreak/>
        <w:t>considered these estimates</w:t>
      </w:r>
      <w:r w:rsidR="007564D8">
        <w:t xml:space="preserve"> an appropriate basis for the expenditure caps for Deed Year 4 and 5.</w:t>
      </w:r>
    </w:p>
    <w:p w14:paraId="515F9A6B" w14:textId="6F8FFFFF" w:rsidR="00A30677" w:rsidRPr="00C15914" w:rsidRDefault="00A30677" w:rsidP="00DB6537">
      <w:pPr>
        <w:pStyle w:val="Caption"/>
        <w:spacing w:after="0"/>
        <w:rPr>
          <w:rFonts w:ascii="Arial Narrow" w:hAnsi="Arial Narrow"/>
        </w:rPr>
      </w:pPr>
      <w:r w:rsidRPr="00C15914">
        <w:rPr>
          <w:rFonts w:ascii="Arial Narrow" w:hAnsi="Arial Narrow" w:cs="Arial"/>
          <w:b/>
          <w:bCs/>
          <w:i w:val="0"/>
          <w:iCs w:val="0"/>
          <w:sz w:val="20"/>
          <w:szCs w:val="20"/>
        </w:rPr>
        <w:t>Table 4:</w:t>
      </w:r>
      <w:bookmarkStart w:id="12" w:name="_Ref93484210"/>
      <w:bookmarkStart w:id="13" w:name="_Toc107995367"/>
      <w:r w:rsidRPr="00C15914">
        <w:rPr>
          <w:rFonts w:ascii="Arial Narrow" w:hAnsi="Arial Narrow" w:cs="Arial"/>
          <w:b/>
          <w:bCs/>
          <w:i w:val="0"/>
          <w:iCs w:val="0"/>
          <w:sz w:val="20"/>
          <w:szCs w:val="20"/>
        </w:rPr>
        <w:t xml:space="preserve"> </w:t>
      </w:r>
      <w:bookmarkEnd w:id="12"/>
      <w:bookmarkEnd w:id="13"/>
      <w:r w:rsidR="00DF4700">
        <w:rPr>
          <w:rFonts w:ascii="Arial Narrow" w:hAnsi="Arial Narrow" w:cs="Arial"/>
          <w:b/>
          <w:bCs/>
          <w:i w:val="0"/>
          <w:iCs w:val="0"/>
          <w:sz w:val="20"/>
          <w:szCs w:val="20"/>
        </w:rPr>
        <w:t>Actual and forecast scripts and costs for forward years</w:t>
      </w:r>
    </w:p>
    <w:tbl>
      <w:tblPr>
        <w:tblStyle w:val="TableGrid"/>
        <w:tblW w:w="5000" w:type="pct"/>
        <w:tblLayout w:type="fixed"/>
        <w:tblLook w:val="04A0" w:firstRow="1" w:lastRow="0" w:firstColumn="1" w:lastColumn="0" w:noHBand="0" w:noVBand="1"/>
      </w:tblPr>
      <w:tblGrid>
        <w:gridCol w:w="2403"/>
        <w:gridCol w:w="1322"/>
        <w:gridCol w:w="1322"/>
        <w:gridCol w:w="1327"/>
        <w:gridCol w:w="1322"/>
        <w:gridCol w:w="1320"/>
      </w:tblGrid>
      <w:tr w:rsidR="00A30677" w:rsidRPr="00CB7BD5" w14:paraId="39189999" w14:textId="77777777" w:rsidTr="005B7D24">
        <w:trPr>
          <w:trHeight w:val="260"/>
        </w:trPr>
        <w:tc>
          <w:tcPr>
            <w:tcW w:w="1333" w:type="pct"/>
            <w:noWrap/>
            <w:hideMark/>
          </w:tcPr>
          <w:p w14:paraId="4C3E2FFD" w14:textId="77777777" w:rsidR="00A30677" w:rsidRPr="00CB7BD5" w:rsidRDefault="00A30677" w:rsidP="00DB6537">
            <w:pPr>
              <w:jc w:val="left"/>
              <w:rPr>
                <w:rFonts w:ascii="Arial Narrow" w:hAnsi="Arial Narrow"/>
                <w:sz w:val="20"/>
                <w:szCs w:val="22"/>
                <w:lang w:eastAsia="en-US"/>
              </w:rPr>
            </w:pPr>
          </w:p>
        </w:tc>
        <w:tc>
          <w:tcPr>
            <w:tcW w:w="733" w:type="pct"/>
            <w:hideMark/>
          </w:tcPr>
          <w:p w14:paraId="08C3C8E4"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DY1</w:t>
            </w:r>
          </w:p>
          <w:p w14:paraId="59FE8D59"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Mar19-Feb20</w:t>
            </w:r>
          </w:p>
        </w:tc>
        <w:tc>
          <w:tcPr>
            <w:tcW w:w="733" w:type="pct"/>
            <w:hideMark/>
          </w:tcPr>
          <w:p w14:paraId="158163DB"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DY2</w:t>
            </w:r>
          </w:p>
          <w:p w14:paraId="1FE077D7"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Mar20-Feb21</w:t>
            </w:r>
          </w:p>
        </w:tc>
        <w:tc>
          <w:tcPr>
            <w:tcW w:w="736" w:type="pct"/>
            <w:tcBorders>
              <w:right w:val="double" w:sz="4" w:space="0" w:color="auto"/>
            </w:tcBorders>
            <w:hideMark/>
          </w:tcPr>
          <w:p w14:paraId="01623E30"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DY3</w:t>
            </w:r>
          </w:p>
          <w:p w14:paraId="30F86B10"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Mar21-Feb22</w:t>
            </w:r>
          </w:p>
        </w:tc>
        <w:tc>
          <w:tcPr>
            <w:tcW w:w="733" w:type="pct"/>
            <w:tcBorders>
              <w:left w:val="double" w:sz="4" w:space="0" w:color="auto"/>
              <w:bottom w:val="single" w:sz="4" w:space="0" w:color="auto"/>
            </w:tcBorders>
            <w:hideMark/>
          </w:tcPr>
          <w:p w14:paraId="4530246C"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DY4</w:t>
            </w:r>
          </w:p>
          <w:p w14:paraId="62F21FE2"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Mar22-Feb23</w:t>
            </w:r>
          </w:p>
        </w:tc>
        <w:tc>
          <w:tcPr>
            <w:tcW w:w="732" w:type="pct"/>
            <w:tcBorders>
              <w:bottom w:val="single" w:sz="4" w:space="0" w:color="auto"/>
            </w:tcBorders>
            <w:hideMark/>
          </w:tcPr>
          <w:p w14:paraId="7DBDFEC2"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DY5</w:t>
            </w:r>
          </w:p>
          <w:p w14:paraId="7CE35AA0" w14:textId="77777777" w:rsidR="00A30677" w:rsidRPr="00CB7BD5" w:rsidRDefault="00A30677" w:rsidP="00DB6537">
            <w:pPr>
              <w:jc w:val="center"/>
              <w:rPr>
                <w:rFonts w:ascii="Arial Narrow" w:hAnsi="Arial Narrow"/>
                <w:b/>
                <w:sz w:val="20"/>
                <w:szCs w:val="22"/>
                <w:lang w:eastAsia="en-US"/>
              </w:rPr>
            </w:pPr>
            <w:r w:rsidRPr="00CB7BD5">
              <w:rPr>
                <w:rFonts w:ascii="Arial Narrow" w:hAnsi="Arial Narrow"/>
                <w:b/>
                <w:sz w:val="20"/>
                <w:szCs w:val="22"/>
                <w:lang w:eastAsia="en-US"/>
              </w:rPr>
              <w:t>Mar23-Feb24</w:t>
            </w:r>
          </w:p>
        </w:tc>
      </w:tr>
      <w:tr w:rsidR="00A30677" w:rsidRPr="00CB7BD5" w14:paraId="4988C93B" w14:textId="77777777" w:rsidTr="005B7D24">
        <w:trPr>
          <w:trHeight w:val="239"/>
        </w:trPr>
        <w:tc>
          <w:tcPr>
            <w:tcW w:w="1333" w:type="pct"/>
            <w:noWrap/>
          </w:tcPr>
          <w:p w14:paraId="7FC94497" w14:textId="77777777" w:rsidR="00A30677" w:rsidRPr="00CB7BD5" w:rsidRDefault="00A30677" w:rsidP="00DB6537">
            <w:pPr>
              <w:jc w:val="left"/>
              <w:rPr>
                <w:rFonts w:ascii="Arial Narrow" w:hAnsi="Arial Narrow"/>
                <w:sz w:val="20"/>
                <w:szCs w:val="22"/>
                <w:lang w:eastAsia="en-US"/>
              </w:rPr>
            </w:pPr>
          </w:p>
        </w:tc>
        <w:tc>
          <w:tcPr>
            <w:tcW w:w="2202" w:type="pct"/>
            <w:gridSpan w:val="3"/>
            <w:tcBorders>
              <w:right w:val="double" w:sz="4" w:space="0" w:color="auto"/>
            </w:tcBorders>
            <w:noWrap/>
          </w:tcPr>
          <w:p w14:paraId="67595608" w14:textId="77777777" w:rsidR="00A30677" w:rsidRPr="00CB7BD5" w:rsidRDefault="00A30677" w:rsidP="00DB6537">
            <w:pPr>
              <w:jc w:val="center"/>
              <w:rPr>
                <w:rFonts w:ascii="Arial Narrow" w:hAnsi="Arial Narrow"/>
                <w:b/>
                <w:bCs/>
                <w:sz w:val="20"/>
                <w:szCs w:val="22"/>
                <w:lang w:eastAsia="en-US"/>
              </w:rPr>
            </w:pPr>
            <w:r w:rsidRPr="00CB7BD5">
              <w:rPr>
                <w:rFonts w:ascii="Arial Narrow" w:hAnsi="Arial Narrow"/>
                <w:b/>
                <w:bCs/>
                <w:sz w:val="20"/>
                <w:szCs w:val="22"/>
                <w:lang w:eastAsia="en-US"/>
              </w:rPr>
              <w:t>Actuals</w:t>
            </w:r>
          </w:p>
        </w:tc>
        <w:tc>
          <w:tcPr>
            <w:tcW w:w="1465" w:type="pct"/>
            <w:gridSpan w:val="2"/>
            <w:tcBorders>
              <w:left w:val="double" w:sz="4" w:space="0" w:color="auto"/>
            </w:tcBorders>
            <w:noWrap/>
          </w:tcPr>
          <w:p w14:paraId="69465070" w14:textId="77777777" w:rsidR="00A30677" w:rsidRPr="00CB7BD5" w:rsidRDefault="00A30677" w:rsidP="00DB6537">
            <w:pPr>
              <w:jc w:val="center"/>
              <w:rPr>
                <w:rFonts w:ascii="Arial Narrow" w:hAnsi="Arial Narrow"/>
                <w:b/>
                <w:bCs/>
                <w:sz w:val="20"/>
                <w:szCs w:val="22"/>
                <w:lang w:eastAsia="en-US"/>
              </w:rPr>
            </w:pPr>
            <w:r w:rsidRPr="00CB7BD5">
              <w:rPr>
                <w:rFonts w:ascii="Arial Narrow" w:hAnsi="Arial Narrow"/>
                <w:b/>
                <w:bCs/>
                <w:sz w:val="20"/>
                <w:szCs w:val="22"/>
                <w:lang w:eastAsia="en-US"/>
              </w:rPr>
              <w:t>Forecast</w:t>
            </w:r>
          </w:p>
        </w:tc>
      </w:tr>
      <w:tr w:rsidR="00A30677" w:rsidRPr="00CB7BD5" w14:paraId="27D8FAF7" w14:textId="77777777" w:rsidTr="005B7D24">
        <w:trPr>
          <w:trHeight w:val="239"/>
        </w:trPr>
        <w:tc>
          <w:tcPr>
            <w:tcW w:w="1333" w:type="pct"/>
            <w:noWrap/>
            <w:hideMark/>
          </w:tcPr>
          <w:p w14:paraId="1F9CAF88" w14:textId="6ABFB6F8" w:rsidR="00A30677" w:rsidRPr="00CB7BD5" w:rsidRDefault="00D33A20" w:rsidP="00DB6537">
            <w:pPr>
              <w:jc w:val="left"/>
              <w:rPr>
                <w:rFonts w:ascii="Arial Narrow" w:hAnsi="Arial Narrow"/>
                <w:sz w:val="20"/>
                <w:szCs w:val="22"/>
                <w:lang w:eastAsia="en-US"/>
              </w:rPr>
            </w:pPr>
            <w:r w:rsidRPr="00CB7BD5">
              <w:rPr>
                <w:rFonts w:ascii="Arial Narrow" w:hAnsi="Arial Narrow"/>
                <w:sz w:val="20"/>
                <w:szCs w:val="22"/>
                <w:lang w:eastAsia="en-US"/>
              </w:rPr>
              <w:t>Sc</w:t>
            </w:r>
            <w:r w:rsidR="00A30677" w:rsidRPr="00CB7BD5">
              <w:rPr>
                <w:rFonts w:ascii="Arial Narrow" w:hAnsi="Arial Narrow"/>
                <w:sz w:val="20"/>
                <w:szCs w:val="22"/>
                <w:lang w:eastAsia="en-US"/>
              </w:rPr>
              <w:t>ripts</w:t>
            </w:r>
            <w:r w:rsidRPr="00CB7BD5">
              <w:rPr>
                <w:rFonts w:ascii="Arial Narrow" w:hAnsi="Arial Narrow"/>
                <w:sz w:val="20"/>
                <w:szCs w:val="22"/>
                <w:lang w:eastAsia="en-US"/>
              </w:rPr>
              <w:t xml:space="preserve"> numbers</w:t>
            </w:r>
            <w:r w:rsidR="00DF4700" w:rsidRPr="00CB7BD5">
              <w:rPr>
                <w:rFonts w:ascii="Arial Narrow" w:hAnsi="Arial Narrow"/>
                <w:sz w:val="20"/>
                <w:szCs w:val="22"/>
                <w:lang w:eastAsia="en-US"/>
              </w:rPr>
              <w:t xml:space="preserve"> (sponsor)</w:t>
            </w:r>
          </w:p>
        </w:tc>
        <w:tc>
          <w:tcPr>
            <w:tcW w:w="733" w:type="pct"/>
            <w:noWrap/>
            <w:vAlign w:val="center"/>
            <w:hideMark/>
          </w:tcPr>
          <w:p w14:paraId="5906B8BD" w14:textId="7F11ADD7" w:rsidR="00A30677" w:rsidRPr="00E41BF3" w:rsidRDefault="00E41BF3" w:rsidP="00DB6537">
            <w:pPr>
              <w:jc w:val="center"/>
              <w:rPr>
                <w:rFonts w:ascii="Arial Narrow" w:hAnsi="Arial Narrow"/>
                <w:sz w:val="20"/>
                <w:szCs w:val="20"/>
                <w:highlight w:val="yellow"/>
                <w:vertAlign w:val="superscript"/>
                <w:lang w:eastAsia="en-US"/>
              </w:rPr>
            </w:pPr>
            <w:r w:rsidRPr="00E41BF3">
              <w:rPr>
                <w:rFonts w:ascii="Arial Narrow" w:hAnsi="Arial Narrow" w:hint="eastAsia"/>
                <w:color w:val="000000"/>
                <w:w w:val="15"/>
                <w:sz w:val="20"/>
                <w:szCs w:val="20"/>
                <w:shd w:val="solid" w:color="000000" w:fill="000000"/>
                <w:fitText w:val="58" w:id="-1304780032"/>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58" w:id="-1304780032"/>
                <w:lang w:eastAsia="en-US"/>
                <w14:textFill>
                  <w14:solidFill>
                    <w14:srgbClr w14:val="000000">
                      <w14:alpha w14:val="100000"/>
                    </w14:srgbClr>
                  </w14:solidFill>
                </w14:textFill>
              </w:rPr>
              <w:t>|</w:t>
            </w:r>
            <w:r w:rsidRPr="00E41BF3">
              <w:rPr>
                <w:rFonts w:ascii="Arial Narrow" w:hAnsi="Arial Narrow" w:hint="eastAsia"/>
                <w:color w:val="000000"/>
                <w:w w:val="15"/>
                <w:sz w:val="20"/>
                <w:szCs w:val="20"/>
                <w:shd w:val="solid" w:color="000000" w:fill="000000"/>
                <w:fitText w:val="58" w:id="-1304780032"/>
                <w:lang w:eastAsia="en-US"/>
                <w14:textFill>
                  <w14:solidFill>
                    <w14:srgbClr w14:val="000000">
                      <w14:alpha w14:val="100000"/>
                    </w14:srgbClr>
                  </w14:solidFill>
                </w14:textFill>
              </w:rPr>
              <w:t xml:space="preserve">　</w:t>
            </w:r>
            <w:r w:rsidR="008549AE" w:rsidRPr="00E41BF3">
              <w:rPr>
                <w:rFonts w:ascii="Arial Narrow" w:hAnsi="Arial Narrow"/>
                <w:sz w:val="20"/>
                <w:szCs w:val="20"/>
                <w:vertAlign w:val="superscript"/>
                <w:lang w:eastAsia="en-US"/>
              </w:rPr>
              <w:t>1</w:t>
            </w:r>
          </w:p>
        </w:tc>
        <w:tc>
          <w:tcPr>
            <w:tcW w:w="733" w:type="pct"/>
            <w:noWrap/>
            <w:vAlign w:val="center"/>
            <w:hideMark/>
          </w:tcPr>
          <w:p w14:paraId="71EA1DAC" w14:textId="1FF7C5C4" w:rsidR="00A30677" w:rsidRPr="00E41BF3" w:rsidRDefault="00E41BF3" w:rsidP="00DB6537">
            <w:pPr>
              <w:jc w:val="center"/>
              <w:rPr>
                <w:rFonts w:ascii="Arial Narrow" w:hAnsi="Arial Narrow"/>
                <w:sz w:val="20"/>
                <w:szCs w:val="20"/>
                <w:highlight w:val="yellow"/>
                <w:vertAlign w:val="superscript"/>
                <w:lang w:eastAsia="en-US"/>
              </w:rPr>
            </w:pPr>
            <w:r w:rsidRPr="00E41BF3">
              <w:rPr>
                <w:rFonts w:ascii="Arial Narrow" w:hAnsi="Arial Narrow" w:hint="eastAsia"/>
                <w:color w:val="000000"/>
                <w:w w:val="15"/>
                <w:sz w:val="20"/>
                <w:szCs w:val="20"/>
                <w:shd w:val="solid" w:color="000000" w:fill="000000"/>
                <w:fitText w:val="57" w:id="-1304780031"/>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57" w:id="-1304780031"/>
                <w:lang w:eastAsia="en-US"/>
                <w14:textFill>
                  <w14:solidFill>
                    <w14:srgbClr w14:val="000000">
                      <w14:alpha w14:val="100000"/>
                    </w14:srgbClr>
                  </w14:solidFill>
                </w14:textFill>
              </w:rPr>
              <w:t>|</w:t>
            </w:r>
            <w:r w:rsidRPr="00E41BF3">
              <w:rPr>
                <w:rFonts w:ascii="Arial Narrow" w:hAnsi="Arial Narrow" w:hint="eastAsia"/>
                <w:color w:val="000000"/>
                <w:spacing w:val="-8"/>
                <w:w w:val="15"/>
                <w:sz w:val="20"/>
                <w:szCs w:val="20"/>
                <w:shd w:val="solid" w:color="000000" w:fill="000000"/>
                <w:fitText w:val="57" w:id="-1304780031"/>
                <w:lang w:eastAsia="en-US"/>
                <w14:textFill>
                  <w14:solidFill>
                    <w14:srgbClr w14:val="000000">
                      <w14:alpha w14:val="100000"/>
                    </w14:srgbClr>
                  </w14:solidFill>
                </w14:textFill>
              </w:rPr>
              <w:t xml:space="preserve">　</w:t>
            </w:r>
            <w:r w:rsidR="008549AE" w:rsidRPr="00E41BF3">
              <w:rPr>
                <w:rFonts w:ascii="Arial Narrow" w:hAnsi="Arial Narrow"/>
                <w:sz w:val="20"/>
                <w:szCs w:val="20"/>
                <w:vertAlign w:val="superscript"/>
                <w:lang w:eastAsia="en-US"/>
              </w:rPr>
              <w:t>1</w:t>
            </w:r>
          </w:p>
        </w:tc>
        <w:tc>
          <w:tcPr>
            <w:tcW w:w="736" w:type="pct"/>
            <w:tcBorders>
              <w:right w:val="double" w:sz="4" w:space="0" w:color="auto"/>
            </w:tcBorders>
            <w:noWrap/>
            <w:vAlign w:val="center"/>
            <w:hideMark/>
          </w:tcPr>
          <w:p w14:paraId="3D8148B8" w14:textId="35A195C8" w:rsidR="00A30677" w:rsidRPr="00E41BF3" w:rsidRDefault="00E41BF3" w:rsidP="00DB6537">
            <w:pPr>
              <w:jc w:val="center"/>
              <w:rPr>
                <w:rFonts w:ascii="Arial Narrow" w:hAnsi="Arial Narrow"/>
                <w:sz w:val="20"/>
                <w:szCs w:val="20"/>
                <w:highlight w:val="yellow"/>
                <w:vertAlign w:val="superscript"/>
                <w:lang w:eastAsia="en-US"/>
              </w:rPr>
            </w:pPr>
            <w:r w:rsidRPr="00E41BF3">
              <w:rPr>
                <w:rFonts w:ascii="Arial Narrow" w:hAnsi="Arial Narrow" w:hint="eastAsia"/>
                <w:color w:val="000000"/>
                <w:w w:val="15"/>
                <w:sz w:val="20"/>
                <w:szCs w:val="20"/>
                <w:shd w:val="solid" w:color="000000" w:fill="000000"/>
                <w:fitText w:val="57" w:id="-1304780030"/>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57" w:id="-1304780030"/>
                <w:lang w:eastAsia="en-US"/>
                <w14:textFill>
                  <w14:solidFill>
                    <w14:srgbClr w14:val="000000">
                      <w14:alpha w14:val="100000"/>
                    </w14:srgbClr>
                  </w14:solidFill>
                </w14:textFill>
              </w:rPr>
              <w:t>|</w:t>
            </w:r>
            <w:r w:rsidRPr="00E41BF3">
              <w:rPr>
                <w:rFonts w:ascii="Arial Narrow" w:hAnsi="Arial Narrow" w:hint="eastAsia"/>
                <w:color w:val="000000"/>
                <w:spacing w:val="-8"/>
                <w:w w:val="15"/>
                <w:sz w:val="20"/>
                <w:szCs w:val="20"/>
                <w:shd w:val="solid" w:color="000000" w:fill="000000"/>
                <w:fitText w:val="57" w:id="-1304780030"/>
                <w:lang w:eastAsia="en-US"/>
                <w14:textFill>
                  <w14:solidFill>
                    <w14:srgbClr w14:val="000000">
                      <w14:alpha w14:val="100000"/>
                    </w14:srgbClr>
                  </w14:solidFill>
                </w14:textFill>
              </w:rPr>
              <w:t xml:space="preserve">　</w:t>
            </w:r>
            <w:r w:rsidR="008549AE" w:rsidRPr="00E41BF3">
              <w:rPr>
                <w:rFonts w:ascii="Arial Narrow" w:hAnsi="Arial Narrow"/>
                <w:sz w:val="20"/>
                <w:szCs w:val="20"/>
                <w:vertAlign w:val="superscript"/>
                <w:lang w:eastAsia="en-US"/>
              </w:rPr>
              <w:t>1</w:t>
            </w:r>
          </w:p>
        </w:tc>
        <w:tc>
          <w:tcPr>
            <w:tcW w:w="733" w:type="pct"/>
            <w:tcBorders>
              <w:left w:val="double" w:sz="4" w:space="0" w:color="auto"/>
            </w:tcBorders>
            <w:noWrap/>
            <w:vAlign w:val="center"/>
            <w:hideMark/>
          </w:tcPr>
          <w:p w14:paraId="23CF90CA" w14:textId="527F1BFF" w:rsidR="00A30677" w:rsidRPr="00E41BF3" w:rsidRDefault="00E41BF3" w:rsidP="00DB6537">
            <w:pPr>
              <w:jc w:val="center"/>
              <w:rPr>
                <w:rFonts w:ascii="Arial Narrow" w:hAnsi="Arial Narrow"/>
                <w:sz w:val="20"/>
                <w:szCs w:val="20"/>
                <w:highlight w:val="yellow"/>
                <w:vertAlign w:val="superscript"/>
                <w:lang w:eastAsia="en-US"/>
              </w:rPr>
            </w:pPr>
            <w:r w:rsidRPr="00E41BF3">
              <w:rPr>
                <w:rFonts w:ascii="Arial Narrow" w:hAnsi="Arial Narrow" w:hint="eastAsia"/>
                <w:color w:val="000000"/>
                <w:w w:val="15"/>
                <w:sz w:val="20"/>
                <w:szCs w:val="20"/>
                <w:shd w:val="solid" w:color="000000" w:fill="000000"/>
                <w:fitText w:val="58" w:id="-1304780029"/>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58" w:id="-1304780029"/>
                <w:lang w:eastAsia="en-US"/>
                <w14:textFill>
                  <w14:solidFill>
                    <w14:srgbClr w14:val="000000">
                      <w14:alpha w14:val="100000"/>
                    </w14:srgbClr>
                  </w14:solidFill>
                </w14:textFill>
              </w:rPr>
              <w:t>|</w:t>
            </w:r>
            <w:r w:rsidRPr="00E41BF3">
              <w:rPr>
                <w:rFonts w:ascii="Arial Narrow" w:hAnsi="Arial Narrow" w:hint="eastAsia"/>
                <w:color w:val="000000"/>
                <w:w w:val="15"/>
                <w:sz w:val="20"/>
                <w:szCs w:val="20"/>
                <w:shd w:val="solid" w:color="000000" w:fill="000000"/>
                <w:fitText w:val="58" w:id="-1304780029"/>
                <w:lang w:eastAsia="en-US"/>
                <w14:textFill>
                  <w14:solidFill>
                    <w14:srgbClr w14:val="000000">
                      <w14:alpha w14:val="100000"/>
                    </w14:srgbClr>
                  </w14:solidFill>
                </w14:textFill>
              </w:rPr>
              <w:t xml:space="preserve">　</w:t>
            </w:r>
            <w:r w:rsidR="008549AE" w:rsidRPr="00E41BF3">
              <w:rPr>
                <w:rFonts w:ascii="Arial Narrow" w:hAnsi="Arial Narrow"/>
                <w:sz w:val="20"/>
                <w:szCs w:val="20"/>
                <w:vertAlign w:val="superscript"/>
                <w:lang w:eastAsia="en-US"/>
              </w:rPr>
              <w:t>2</w:t>
            </w:r>
          </w:p>
        </w:tc>
        <w:tc>
          <w:tcPr>
            <w:tcW w:w="732" w:type="pct"/>
            <w:noWrap/>
            <w:vAlign w:val="center"/>
            <w:hideMark/>
          </w:tcPr>
          <w:p w14:paraId="6CF255F8" w14:textId="0469497A" w:rsidR="00A30677" w:rsidRPr="00E41BF3" w:rsidRDefault="00E41BF3" w:rsidP="00DB6537">
            <w:pPr>
              <w:jc w:val="center"/>
              <w:rPr>
                <w:rFonts w:ascii="Arial Narrow" w:hAnsi="Arial Narrow"/>
                <w:sz w:val="20"/>
                <w:szCs w:val="20"/>
                <w:highlight w:val="yellow"/>
                <w:vertAlign w:val="superscript"/>
                <w:lang w:eastAsia="en-US"/>
              </w:rPr>
            </w:pPr>
            <w:r w:rsidRPr="00E41BF3">
              <w:rPr>
                <w:rFonts w:ascii="Arial Narrow" w:hAnsi="Arial Narrow" w:hint="eastAsia"/>
                <w:color w:val="000000"/>
                <w:w w:val="15"/>
                <w:sz w:val="20"/>
                <w:szCs w:val="20"/>
                <w:shd w:val="solid" w:color="000000" w:fill="000000"/>
                <w:fitText w:val="69" w:id="-1304780028"/>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69" w:id="-1304780028"/>
                <w:lang w:eastAsia="en-US"/>
                <w14:textFill>
                  <w14:solidFill>
                    <w14:srgbClr w14:val="000000">
                      <w14:alpha w14:val="100000"/>
                    </w14:srgbClr>
                  </w14:solidFill>
                </w14:textFill>
              </w:rPr>
              <w:t>|</w:t>
            </w:r>
            <w:r w:rsidRPr="00E41BF3">
              <w:rPr>
                <w:rFonts w:ascii="Arial Narrow" w:hAnsi="Arial Narrow" w:hint="eastAsia"/>
                <w:color w:val="000000"/>
                <w:spacing w:val="3"/>
                <w:w w:val="15"/>
                <w:sz w:val="20"/>
                <w:szCs w:val="20"/>
                <w:shd w:val="solid" w:color="000000" w:fill="000000"/>
                <w:fitText w:val="69" w:id="-1304780028"/>
                <w:lang w:eastAsia="en-US"/>
                <w14:textFill>
                  <w14:solidFill>
                    <w14:srgbClr w14:val="000000">
                      <w14:alpha w14:val="100000"/>
                    </w14:srgbClr>
                  </w14:solidFill>
                </w14:textFill>
              </w:rPr>
              <w:t xml:space="preserve">　</w:t>
            </w:r>
            <w:r w:rsidR="008549AE" w:rsidRPr="00E41BF3">
              <w:rPr>
                <w:rFonts w:ascii="Arial Narrow" w:hAnsi="Arial Narrow"/>
                <w:sz w:val="20"/>
                <w:szCs w:val="20"/>
                <w:vertAlign w:val="superscript"/>
                <w:lang w:eastAsia="en-US"/>
              </w:rPr>
              <w:t>2</w:t>
            </w:r>
          </w:p>
        </w:tc>
      </w:tr>
      <w:tr w:rsidR="00DF4700" w:rsidRPr="00CB7BD5" w14:paraId="26D98092" w14:textId="77777777" w:rsidTr="00E41BF3">
        <w:trPr>
          <w:trHeight w:val="239"/>
        </w:trPr>
        <w:tc>
          <w:tcPr>
            <w:tcW w:w="1333" w:type="pct"/>
            <w:noWrap/>
          </w:tcPr>
          <w:p w14:paraId="547F122B" w14:textId="27EB4C80" w:rsidR="00DF4700" w:rsidRPr="00CB7BD5" w:rsidRDefault="00DF4700" w:rsidP="00DB6537">
            <w:pPr>
              <w:jc w:val="left"/>
              <w:rPr>
                <w:rFonts w:ascii="Arial Narrow" w:hAnsi="Arial Narrow"/>
                <w:sz w:val="20"/>
                <w:szCs w:val="22"/>
                <w:vertAlign w:val="superscript"/>
                <w:lang w:eastAsia="en-US"/>
              </w:rPr>
            </w:pPr>
            <w:r w:rsidRPr="00CB7BD5">
              <w:rPr>
                <w:rFonts w:ascii="Arial Narrow" w:hAnsi="Arial Narrow"/>
                <w:sz w:val="20"/>
                <w:szCs w:val="22"/>
                <w:lang w:eastAsia="en-US"/>
              </w:rPr>
              <w:t>Script numbers (revised estimates)</w:t>
            </w:r>
            <w:r w:rsidR="00AB3EEE" w:rsidRPr="00CB7BD5">
              <w:rPr>
                <w:rFonts w:ascii="Arial Narrow" w:hAnsi="Arial Narrow"/>
                <w:sz w:val="20"/>
                <w:szCs w:val="22"/>
                <w:lang w:eastAsia="en-US"/>
              </w:rPr>
              <w:t xml:space="preserve"> </w:t>
            </w:r>
            <w:r w:rsidRPr="00CB7BD5">
              <w:rPr>
                <w:rFonts w:ascii="Arial Narrow" w:hAnsi="Arial Narrow"/>
                <w:sz w:val="20"/>
                <w:szCs w:val="22"/>
                <w:vertAlign w:val="superscript"/>
                <w:lang w:eastAsia="en-US"/>
              </w:rPr>
              <w:t>a</w:t>
            </w:r>
          </w:p>
        </w:tc>
        <w:tc>
          <w:tcPr>
            <w:tcW w:w="733" w:type="pct"/>
            <w:tcBorders>
              <w:bottom w:val="single" w:sz="4" w:space="0" w:color="auto"/>
            </w:tcBorders>
            <w:noWrap/>
            <w:vAlign w:val="center"/>
          </w:tcPr>
          <w:p w14:paraId="29E8DC35" w14:textId="77777777" w:rsidR="00DF4700" w:rsidRPr="00CB7BD5" w:rsidRDefault="00DF4700" w:rsidP="00DB6537">
            <w:pPr>
              <w:jc w:val="center"/>
              <w:rPr>
                <w:rFonts w:ascii="Arial Narrow" w:hAnsi="Arial Narrow"/>
                <w:sz w:val="20"/>
                <w:szCs w:val="20"/>
                <w:lang w:eastAsia="en-US"/>
              </w:rPr>
            </w:pPr>
          </w:p>
        </w:tc>
        <w:tc>
          <w:tcPr>
            <w:tcW w:w="733" w:type="pct"/>
            <w:tcBorders>
              <w:bottom w:val="single" w:sz="4" w:space="0" w:color="auto"/>
            </w:tcBorders>
            <w:noWrap/>
            <w:vAlign w:val="center"/>
          </w:tcPr>
          <w:p w14:paraId="655495E6" w14:textId="77777777" w:rsidR="00DF4700" w:rsidRPr="00CB7BD5" w:rsidRDefault="00DF4700" w:rsidP="00DB6537">
            <w:pPr>
              <w:jc w:val="center"/>
              <w:rPr>
                <w:rFonts w:ascii="Arial Narrow" w:hAnsi="Arial Narrow"/>
                <w:sz w:val="20"/>
                <w:szCs w:val="20"/>
                <w:lang w:eastAsia="en-US"/>
              </w:rPr>
            </w:pPr>
          </w:p>
        </w:tc>
        <w:tc>
          <w:tcPr>
            <w:tcW w:w="736" w:type="pct"/>
            <w:tcBorders>
              <w:bottom w:val="single" w:sz="4" w:space="0" w:color="auto"/>
              <w:right w:val="double" w:sz="4" w:space="0" w:color="auto"/>
            </w:tcBorders>
            <w:noWrap/>
            <w:vAlign w:val="center"/>
          </w:tcPr>
          <w:p w14:paraId="79077EAE" w14:textId="77777777" w:rsidR="00DF4700" w:rsidRPr="00CB7BD5" w:rsidRDefault="00DF4700" w:rsidP="00DB6537">
            <w:pPr>
              <w:jc w:val="center"/>
              <w:rPr>
                <w:rFonts w:ascii="Arial Narrow" w:hAnsi="Arial Narrow"/>
                <w:sz w:val="20"/>
                <w:szCs w:val="20"/>
                <w:lang w:eastAsia="en-US"/>
              </w:rPr>
            </w:pPr>
          </w:p>
        </w:tc>
        <w:tc>
          <w:tcPr>
            <w:tcW w:w="733" w:type="pct"/>
            <w:tcBorders>
              <w:left w:val="double" w:sz="4" w:space="0" w:color="auto"/>
              <w:bottom w:val="single" w:sz="4" w:space="0" w:color="auto"/>
            </w:tcBorders>
            <w:noWrap/>
            <w:vAlign w:val="center"/>
          </w:tcPr>
          <w:p w14:paraId="2F93C928" w14:textId="259153C8" w:rsidR="00DF4700" w:rsidRPr="00E41BF3" w:rsidRDefault="00E41BF3" w:rsidP="00DB6537">
            <w:pPr>
              <w:jc w:val="center"/>
              <w:rPr>
                <w:rFonts w:ascii="Arial Narrow" w:hAnsi="Arial Narrow"/>
                <w:sz w:val="20"/>
                <w:szCs w:val="20"/>
                <w:highlight w:val="yellow"/>
                <w:lang w:eastAsia="en-US"/>
              </w:rPr>
            </w:pPr>
            <w:r w:rsidRPr="00E41BF3">
              <w:rPr>
                <w:rFonts w:ascii="Arial Narrow" w:hAnsi="Arial Narrow" w:hint="eastAsia"/>
                <w:color w:val="000000"/>
                <w:w w:val="15"/>
                <w:sz w:val="20"/>
                <w:szCs w:val="20"/>
                <w:shd w:val="solid" w:color="000000" w:fill="000000"/>
                <w:fitText w:val="58" w:id="-1304780027"/>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58" w:id="-1304780027"/>
                <w:lang w:eastAsia="en-US"/>
                <w14:textFill>
                  <w14:solidFill>
                    <w14:srgbClr w14:val="000000">
                      <w14:alpha w14:val="100000"/>
                    </w14:srgbClr>
                  </w14:solidFill>
                </w14:textFill>
              </w:rPr>
              <w:t>|</w:t>
            </w:r>
            <w:r w:rsidRPr="00E41BF3">
              <w:rPr>
                <w:rFonts w:ascii="Arial Narrow" w:hAnsi="Arial Narrow" w:hint="eastAsia"/>
                <w:color w:val="000000"/>
                <w:w w:val="15"/>
                <w:sz w:val="20"/>
                <w:szCs w:val="20"/>
                <w:shd w:val="solid" w:color="000000" w:fill="000000"/>
                <w:fitText w:val="58" w:id="-1304780027"/>
                <w:lang w:eastAsia="en-US"/>
                <w14:textFill>
                  <w14:solidFill>
                    <w14:srgbClr w14:val="000000">
                      <w14:alpha w14:val="100000"/>
                    </w14:srgbClr>
                  </w14:solidFill>
                </w14:textFill>
              </w:rPr>
              <w:t xml:space="preserve">　</w:t>
            </w:r>
            <w:r w:rsidR="00AB29C3" w:rsidRPr="00ED115B">
              <w:rPr>
                <w:rFonts w:ascii="Arial Narrow" w:hAnsi="Arial Narrow"/>
                <w:sz w:val="20"/>
                <w:szCs w:val="20"/>
                <w:vertAlign w:val="superscript"/>
                <w:lang w:eastAsia="en-US"/>
              </w:rPr>
              <w:t>1</w:t>
            </w:r>
          </w:p>
        </w:tc>
        <w:tc>
          <w:tcPr>
            <w:tcW w:w="732" w:type="pct"/>
            <w:tcBorders>
              <w:bottom w:val="single" w:sz="4" w:space="0" w:color="auto"/>
            </w:tcBorders>
            <w:noWrap/>
            <w:vAlign w:val="center"/>
          </w:tcPr>
          <w:p w14:paraId="5398C564" w14:textId="215FD35C" w:rsidR="00DF4700" w:rsidRPr="00E41BF3" w:rsidRDefault="00E41BF3" w:rsidP="00DB6537">
            <w:pPr>
              <w:jc w:val="center"/>
              <w:rPr>
                <w:rFonts w:ascii="Arial Narrow" w:hAnsi="Arial Narrow"/>
                <w:sz w:val="20"/>
                <w:szCs w:val="20"/>
                <w:highlight w:val="yellow"/>
                <w:lang w:eastAsia="en-US"/>
              </w:rPr>
            </w:pPr>
            <w:r w:rsidRPr="00E41BF3">
              <w:rPr>
                <w:rFonts w:ascii="Arial Narrow" w:hAnsi="Arial Narrow" w:hint="eastAsia"/>
                <w:color w:val="000000"/>
                <w:w w:val="15"/>
                <w:sz w:val="20"/>
                <w:szCs w:val="20"/>
                <w:shd w:val="solid" w:color="000000" w:fill="000000"/>
                <w:fitText w:val="69" w:id="-1304780026"/>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shd w:val="solid" w:color="000000" w:fill="000000"/>
                <w:fitText w:val="69" w:id="-1304780026"/>
                <w:lang w:eastAsia="en-US"/>
                <w14:textFill>
                  <w14:solidFill>
                    <w14:srgbClr w14:val="000000">
                      <w14:alpha w14:val="100000"/>
                    </w14:srgbClr>
                  </w14:solidFill>
                </w14:textFill>
              </w:rPr>
              <w:t>|</w:t>
            </w:r>
            <w:r w:rsidRPr="00E41BF3">
              <w:rPr>
                <w:rFonts w:ascii="Arial Narrow" w:hAnsi="Arial Narrow" w:hint="eastAsia"/>
                <w:color w:val="000000"/>
                <w:spacing w:val="3"/>
                <w:w w:val="15"/>
                <w:sz w:val="20"/>
                <w:szCs w:val="20"/>
                <w:shd w:val="solid" w:color="000000" w:fill="000000"/>
                <w:fitText w:val="69" w:id="-1304780026"/>
                <w:lang w:eastAsia="en-US"/>
                <w14:textFill>
                  <w14:solidFill>
                    <w14:srgbClr w14:val="000000">
                      <w14:alpha w14:val="100000"/>
                    </w14:srgbClr>
                  </w14:solidFill>
                </w14:textFill>
              </w:rPr>
              <w:t xml:space="preserve">　</w:t>
            </w:r>
            <w:r w:rsidR="00AB29C3" w:rsidRPr="00ED115B">
              <w:rPr>
                <w:rFonts w:ascii="Arial Narrow" w:hAnsi="Arial Narrow"/>
                <w:sz w:val="20"/>
                <w:szCs w:val="20"/>
                <w:vertAlign w:val="superscript"/>
                <w:lang w:eastAsia="en-US"/>
              </w:rPr>
              <w:t>2</w:t>
            </w:r>
          </w:p>
        </w:tc>
      </w:tr>
      <w:tr w:rsidR="008948DF" w:rsidRPr="00CB7BD5" w14:paraId="157C4624" w14:textId="77777777" w:rsidTr="00E41BF3">
        <w:trPr>
          <w:trHeight w:val="239"/>
        </w:trPr>
        <w:tc>
          <w:tcPr>
            <w:tcW w:w="1333" w:type="pct"/>
            <w:noWrap/>
          </w:tcPr>
          <w:p w14:paraId="155C099D" w14:textId="17B9A445" w:rsidR="008948DF" w:rsidRPr="00DB736C" w:rsidRDefault="00EE21D5" w:rsidP="00DB6537">
            <w:pPr>
              <w:pStyle w:val="3Bodytext"/>
              <w:spacing w:after="0"/>
              <w:rPr>
                <w:rFonts w:ascii="Arial Narrow" w:hAnsi="Arial Narrow"/>
                <w:sz w:val="20"/>
                <w:lang w:eastAsia="en-US"/>
              </w:rPr>
            </w:pPr>
            <w:r w:rsidRPr="00CB7BD5">
              <w:rPr>
                <w:rFonts w:ascii="Arial Narrow" w:eastAsiaTheme="majorEastAsia" w:hAnsi="Arial Narrow" w:cstheme="majorBidi"/>
                <w:sz w:val="20"/>
                <w:szCs w:val="24"/>
                <w:lang w:eastAsia="en-US"/>
              </w:rPr>
              <w:t xml:space="preserve">Current </w:t>
            </w:r>
            <w:r w:rsidR="008948DF" w:rsidRPr="00CB7BD5">
              <w:rPr>
                <w:rFonts w:ascii="Arial Narrow" w:eastAsiaTheme="majorEastAsia" w:hAnsi="Arial Narrow" w:cstheme="majorBidi"/>
                <w:sz w:val="20"/>
                <w:szCs w:val="24"/>
                <w:lang w:eastAsia="en-US"/>
              </w:rPr>
              <w:t>caps</w:t>
            </w:r>
            <w:r w:rsidR="008948DF" w:rsidRPr="00CB7BD5">
              <w:rPr>
                <w:rFonts w:ascii="Arial Narrow" w:eastAsiaTheme="majorEastAsia" w:hAnsi="Arial Narrow" w:cstheme="majorBidi"/>
                <w:b/>
                <w:bCs/>
                <w:sz w:val="20"/>
                <w:szCs w:val="24"/>
                <w:lang w:eastAsia="en-US"/>
              </w:rPr>
              <w:t xml:space="preserve"> </w:t>
            </w:r>
            <w:r w:rsidR="00092689">
              <w:rPr>
                <w:rFonts w:ascii="Arial Narrow" w:eastAsiaTheme="majorEastAsia" w:hAnsi="Arial Narrow" w:cstheme="majorBidi"/>
                <w:sz w:val="20"/>
                <w:szCs w:val="24"/>
                <w:lang w:eastAsia="en-US"/>
              </w:rPr>
              <w:t>($)</w:t>
            </w:r>
          </w:p>
        </w:tc>
        <w:tc>
          <w:tcPr>
            <w:tcW w:w="733" w:type="pct"/>
            <w:tcBorders>
              <w:bottom w:val="single" w:sz="4" w:space="0" w:color="auto"/>
            </w:tcBorders>
            <w:shd w:val="solid" w:color="000000" w:fill="000000"/>
            <w:noWrap/>
            <w:vAlign w:val="center"/>
          </w:tcPr>
          <w:p w14:paraId="06E99073" w14:textId="1DDF2B66" w:rsidR="008948DF"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25"/>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25"/>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25"/>
                <w14:textFill>
                  <w14:solidFill>
                    <w14:srgbClr w14:val="000000">
                      <w14:alpha w14:val="100000"/>
                    </w14:srgbClr>
                  </w14:solidFill>
                </w14:textFill>
              </w:rPr>
              <w:t xml:space="preserve">　</w:t>
            </w:r>
          </w:p>
        </w:tc>
        <w:tc>
          <w:tcPr>
            <w:tcW w:w="733" w:type="pct"/>
            <w:tcBorders>
              <w:bottom w:val="single" w:sz="4" w:space="0" w:color="auto"/>
            </w:tcBorders>
            <w:shd w:val="solid" w:color="000000" w:fill="000000"/>
            <w:noWrap/>
            <w:vAlign w:val="center"/>
          </w:tcPr>
          <w:p w14:paraId="49573909" w14:textId="78833656" w:rsidR="008948DF"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24"/>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24"/>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24"/>
                <w14:textFill>
                  <w14:solidFill>
                    <w14:srgbClr w14:val="000000">
                      <w14:alpha w14:val="100000"/>
                    </w14:srgbClr>
                  </w14:solidFill>
                </w14:textFill>
              </w:rPr>
              <w:t xml:space="preserve">　</w:t>
            </w:r>
          </w:p>
        </w:tc>
        <w:tc>
          <w:tcPr>
            <w:tcW w:w="736" w:type="pct"/>
            <w:tcBorders>
              <w:bottom w:val="single" w:sz="4" w:space="0" w:color="auto"/>
              <w:right w:val="double" w:sz="4" w:space="0" w:color="auto"/>
            </w:tcBorders>
            <w:shd w:val="solid" w:color="000000" w:fill="000000"/>
            <w:noWrap/>
            <w:vAlign w:val="center"/>
          </w:tcPr>
          <w:p w14:paraId="3233DD05" w14:textId="6F595C5D" w:rsidR="008948DF"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23"/>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23"/>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23"/>
                <w14:textFill>
                  <w14:solidFill>
                    <w14:srgbClr w14:val="000000">
                      <w14:alpha w14:val="100000"/>
                    </w14:srgbClr>
                  </w14:solidFill>
                </w14:textFill>
              </w:rPr>
              <w:t xml:space="preserve">　</w:t>
            </w:r>
          </w:p>
        </w:tc>
        <w:tc>
          <w:tcPr>
            <w:tcW w:w="733" w:type="pct"/>
            <w:tcBorders>
              <w:left w:val="double" w:sz="4" w:space="0" w:color="auto"/>
              <w:bottom w:val="single" w:sz="4" w:space="0" w:color="auto"/>
            </w:tcBorders>
            <w:shd w:val="solid" w:color="000000" w:fill="000000"/>
            <w:noWrap/>
            <w:vAlign w:val="center"/>
          </w:tcPr>
          <w:p w14:paraId="0AB2DEFD" w14:textId="3C94790B" w:rsidR="008948DF"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7" w:id="-1304780022"/>
                <w14:textFill>
                  <w14:solidFill>
                    <w14:srgbClr w14:val="000000">
                      <w14:alpha w14:val="100000"/>
                    </w14:srgbClr>
                  </w14:solidFill>
                </w14:textFill>
              </w:rPr>
              <w:t xml:space="preserve">　</w:t>
            </w:r>
            <w:r w:rsidRPr="00E41BF3">
              <w:rPr>
                <w:rFonts w:ascii="Arial Narrow" w:hAnsi="Arial Narrow"/>
                <w:color w:val="000000"/>
                <w:w w:val="15"/>
                <w:sz w:val="20"/>
                <w:szCs w:val="20"/>
                <w:fitText w:val="47" w:id="-1304780022"/>
                <w14:textFill>
                  <w14:solidFill>
                    <w14:srgbClr w14:val="000000">
                      <w14:alpha w14:val="100000"/>
                    </w14:srgbClr>
                  </w14:solidFill>
                </w14:textFill>
              </w:rPr>
              <w:t>|</w:t>
            </w:r>
            <w:r w:rsidRPr="00E41BF3">
              <w:rPr>
                <w:rFonts w:ascii="Arial Narrow" w:hAnsi="Arial Narrow" w:hint="eastAsia"/>
                <w:color w:val="000000"/>
                <w:spacing w:val="-11"/>
                <w:w w:val="15"/>
                <w:sz w:val="20"/>
                <w:szCs w:val="20"/>
                <w:fitText w:val="47" w:id="-1304780022"/>
                <w14:textFill>
                  <w14:solidFill>
                    <w14:srgbClr w14:val="000000">
                      <w14:alpha w14:val="100000"/>
                    </w14:srgbClr>
                  </w14:solidFill>
                </w14:textFill>
              </w:rPr>
              <w:t xml:space="preserve">　</w:t>
            </w:r>
          </w:p>
        </w:tc>
        <w:tc>
          <w:tcPr>
            <w:tcW w:w="732" w:type="pct"/>
            <w:tcBorders>
              <w:bottom w:val="single" w:sz="4" w:space="0" w:color="auto"/>
            </w:tcBorders>
            <w:shd w:val="solid" w:color="000000" w:fill="000000"/>
            <w:noWrap/>
            <w:vAlign w:val="center"/>
          </w:tcPr>
          <w:p w14:paraId="0B213F0B" w14:textId="6EB7D62F" w:rsidR="008948DF"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21"/>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21"/>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21"/>
                <w14:textFill>
                  <w14:solidFill>
                    <w14:srgbClr w14:val="000000">
                      <w14:alpha w14:val="100000"/>
                    </w14:srgbClr>
                  </w14:solidFill>
                </w14:textFill>
              </w:rPr>
              <w:t xml:space="preserve">　</w:t>
            </w:r>
          </w:p>
        </w:tc>
      </w:tr>
      <w:tr w:rsidR="00A30677" w:rsidRPr="00CB7BD5" w14:paraId="7AF60D8E" w14:textId="77777777" w:rsidTr="00E41BF3">
        <w:trPr>
          <w:trHeight w:val="219"/>
        </w:trPr>
        <w:tc>
          <w:tcPr>
            <w:tcW w:w="1333" w:type="pct"/>
            <w:noWrap/>
            <w:hideMark/>
          </w:tcPr>
          <w:p w14:paraId="4A20908D" w14:textId="628387E4" w:rsidR="00A30677" w:rsidRPr="00CB7BD5" w:rsidRDefault="00DC2B0B" w:rsidP="00DB6537">
            <w:pPr>
              <w:jc w:val="left"/>
              <w:rPr>
                <w:rFonts w:ascii="Arial Narrow" w:hAnsi="Arial Narrow"/>
                <w:sz w:val="20"/>
                <w:szCs w:val="22"/>
                <w:lang w:eastAsia="en-US"/>
              </w:rPr>
            </w:pPr>
            <w:r w:rsidRPr="00CB7BD5">
              <w:rPr>
                <w:rFonts w:ascii="Arial Narrow" w:hAnsi="Arial Narrow"/>
                <w:sz w:val="20"/>
                <w:szCs w:val="22"/>
                <w:lang w:eastAsia="en-US"/>
              </w:rPr>
              <w:t>Actual spend and s</w:t>
            </w:r>
            <w:r w:rsidR="003728B9" w:rsidRPr="00CB7BD5">
              <w:rPr>
                <w:rFonts w:ascii="Arial Narrow" w:hAnsi="Arial Narrow"/>
                <w:sz w:val="20"/>
                <w:szCs w:val="22"/>
                <w:lang w:eastAsia="en-US"/>
              </w:rPr>
              <w:t xml:space="preserve">ponsor’s revised forecast based on </w:t>
            </w:r>
            <w:r w:rsidR="00D33A20" w:rsidRPr="00CB7BD5">
              <w:rPr>
                <w:rFonts w:ascii="Arial Narrow" w:hAnsi="Arial Narrow"/>
                <w:sz w:val="20"/>
                <w:szCs w:val="22"/>
                <w:lang w:eastAsia="en-US"/>
              </w:rPr>
              <w:t>actual data from May 2020 to December 2021</w:t>
            </w:r>
            <w:r w:rsidR="00092689">
              <w:rPr>
                <w:rFonts w:ascii="Arial Narrow" w:hAnsi="Arial Narrow"/>
                <w:sz w:val="20"/>
                <w:szCs w:val="22"/>
                <w:lang w:eastAsia="en-US"/>
              </w:rPr>
              <w:t xml:space="preserve"> ($)</w:t>
            </w:r>
          </w:p>
        </w:tc>
        <w:tc>
          <w:tcPr>
            <w:tcW w:w="733" w:type="pct"/>
            <w:shd w:val="solid" w:color="000000" w:fill="000000"/>
            <w:noWrap/>
            <w:vAlign w:val="center"/>
            <w:hideMark/>
          </w:tcPr>
          <w:p w14:paraId="5E563B40" w14:textId="5B0627B0" w:rsidR="00A30677" w:rsidRPr="00E41BF3" w:rsidRDefault="00E41BF3" w:rsidP="00DB6537">
            <w:pPr>
              <w:jc w:val="center"/>
              <w:rPr>
                <w:rFonts w:ascii="Arial Narrow" w:hAnsi="Arial Narrow"/>
                <w:sz w:val="20"/>
                <w:szCs w:val="20"/>
              </w:rPr>
            </w:pPr>
            <w:r w:rsidRPr="00E41BF3">
              <w:rPr>
                <w:rFonts w:ascii="Arial Narrow" w:hAnsi="Arial Narrow" w:hint="eastAsia"/>
                <w:color w:val="000000"/>
                <w:w w:val="15"/>
                <w:sz w:val="20"/>
                <w:szCs w:val="20"/>
                <w:fitText w:val="46" w:id="-1304780020"/>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20"/>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20"/>
                <w14:textFill>
                  <w14:solidFill>
                    <w14:srgbClr w14:val="000000">
                      <w14:alpha w14:val="100000"/>
                    </w14:srgbClr>
                  </w14:solidFill>
                </w14:textFill>
              </w:rPr>
              <w:t xml:space="preserve">　</w:t>
            </w:r>
          </w:p>
        </w:tc>
        <w:tc>
          <w:tcPr>
            <w:tcW w:w="733" w:type="pct"/>
            <w:shd w:val="solid" w:color="000000" w:fill="000000"/>
            <w:noWrap/>
            <w:vAlign w:val="center"/>
            <w:hideMark/>
          </w:tcPr>
          <w:p w14:paraId="2D2BF1C6" w14:textId="0A608918" w:rsidR="00A30677"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19"/>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19"/>
                <w:lang w:eastAsia="en-US"/>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19"/>
                <w:lang w:eastAsia="en-US"/>
                <w14:textFill>
                  <w14:solidFill>
                    <w14:srgbClr w14:val="000000">
                      <w14:alpha w14:val="100000"/>
                    </w14:srgbClr>
                  </w14:solidFill>
                </w14:textFill>
              </w:rPr>
              <w:t xml:space="preserve">　</w:t>
            </w:r>
          </w:p>
        </w:tc>
        <w:tc>
          <w:tcPr>
            <w:tcW w:w="736" w:type="pct"/>
            <w:tcBorders>
              <w:right w:val="double" w:sz="4" w:space="0" w:color="auto"/>
            </w:tcBorders>
            <w:shd w:val="solid" w:color="000000" w:fill="000000"/>
            <w:noWrap/>
            <w:vAlign w:val="center"/>
            <w:hideMark/>
          </w:tcPr>
          <w:p w14:paraId="09E70583" w14:textId="75A7E82F" w:rsidR="00A30677"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18"/>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18"/>
                <w:lang w:eastAsia="en-US"/>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18"/>
                <w:lang w:eastAsia="en-US"/>
                <w14:textFill>
                  <w14:solidFill>
                    <w14:srgbClr w14:val="000000">
                      <w14:alpha w14:val="100000"/>
                    </w14:srgbClr>
                  </w14:solidFill>
                </w14:textFill>
              </w:rPr>
              <w:t xml:space="preserve">　</w:t>
            </w:r>
          </w:p>
        </w:tc>
        <w:tc>
          <w:tcPr>
            <w:tcW w:w="733" w:type="pct"/>
            <w:tcBorders>
              <w:left w:val="double" w:sz="4" w:space="0" w:color="auto"/>
            </w:tcBorders>
            <w:shd w:val="solid" w:color="000000" w:fill="000000"/>
            <w:noWrap/>
            <w:vAlign w:val="center"/>
            <w:hideMark/>
          </w:tcPr>
          <w:p w14:paraId="7ECB1820" w14:textId="139F6B63" w:rsidR="00A30677"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7" w:id="-1304780017"/>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fitText w:val="47" w:id="-1304780017"/>
                <w:lang w:eastAsia="en-US"/>
                <w14:textFill>
                  <w14:solidFill>
                    <w14:srgbClr w14:val="000000">
                      <w14:alpha w14:val="100000"/>
                    </w14:srgbClr>
                  </w14:solidFill>
                </w14:textFill>
              </w:rPr>
              <w:t>|</w:t>
            </w:r>
            <w:r w:rsidRPr="00E41BF3">
              <w:rPr>
                <w:rFonts w:ascii="Arial Narrow" w:hAnsi="Arial Narrow" w:hint="eastAsia"/>
                <w:color w:val="000000"/>
                <w:spacing w:val="-11"/>
                <w:w w:val="15"/>
                <w:sz w:val="20"/>
                <w:szCs w:val="20"/>
                <w:fitText w:val="47" w:id="-1304780017"/>
                <w:lang w:eastAsia="en-US"/>
                <w14:textFill>
                  <w14:solidFill>
                    <w14:srgbClr w14:val="000000">
                      <w14:alpha w14:val="100000"/>
                    </w14:srgbClr>
                  </w14:solidFill>
                </w14:textFill>
              </w:rPr>
              <w:t xml:space="preserve">　</w:t>
            </w:r>
          </w:p>
        </w:tc>
        <w:tc>
          <w:tcPr>
            <w:tcW w:w="732" w:type="pct"/>
            <w:shd w:val="solid" w:color="000000" w:fill="000000"/>
            <w:noWrap/>
            <w:vAlign w:val="center"/>
            <w:hideMark/>
          </w:tcPr>
          <w:p w14:paraId="506983E7" w14:textId="3FB1B84E" w:rsidR="00A30677"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16"/>
                <w:lang w:eastAsia="en-US"/>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16"/>
                <w:lang w:eastAsia="en-US"/>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16"/>
                <w:lang w:eastAsia="en-US"/>
                <w14:textFill>
                  <w14:solidFill>
                    <w14:srgbClr w14:val="000000">
                      <w14:alpha w14:val="100000"/>
                    </w14:srgbClr>
                  </w14:solidFill>
                </w14:textFill>
              </w:rPr>
              <w:t xml:space="preserve">　</w:t>
            </w:r>
          </w:p>
        </w:tc>
      </w:tr>
      <w:tr w:rsidR="008948DF" w:rsidRPr="00CB7BD5" w14:paraId="47BA428F" w14:textId="77777777" w:rsidTr="00E41BF3">
        <w:trPr>
          <w:trHeight w:val="219"/>
        </w:trPr>
        <w:tc>
          <w:tcPr>
            <w:tcW w:w="1333" w:type="pct"/>
            <w:noWrap/>
          </w:tcPr>
          <w:p w14:paraId="6E7B8667" w14:textId="4AADDE63" w:rsidR="008948DF" w:rsidRPr="00CB7BD5" w:rsidRDefault="00BD25B1" w:rsidP="00DB6537">
            <w:pPr>
              <w:jc w:val="left"/>
              <w:rPr>
                <w:rFonts w:ascii="Arial Narrow" w:hAnsi="Arial Narrow"/>
                <w:sz w:val="20"/>
                <w:szCs w:val="22"/>
                <w:lang w:eastAsia="en-US"/>
              </w:rPr>
            </w:pPr>
            <w:r w:rsidRPr="00CB7BD5">
              <w:rPr>
                <w:rFonts w:ascii="Arial Narrow" w:hAnsi="Arial Narrow"/>
                <w:sz w:val="20"/>
                <w:szCs w:val="22"/>
                <w:lang w:eastAsia="en-US"/>
              </w:rPr>
              <w:t xml:space="preserve">Variance from cap </w:t>
            </w:r>
            <w:r w:rsidR="008948DF" w:rsidRPr="00CB7BD5">
              <w:rPr>
                <w:rFonts w:ascii="Arial Narrow" w:hAnsi="Arial Narrow"/>
                <w:sz w:val="20"/>
                <w:szCs w:val="22"/>
                <w:lang w:eastAsia="en-US"/>
              </w:rPr>
              <w:t xml:space="preserve"> </w:t>
            </w:r>
          </w:p>
        </w:tc>
        <w:tc>
          <w:tcPr>
            <w:tcW w:w="733" w:type="pct"/>
            <w:tcBorders>
              <w:bottom w:val="single" w:sz="4" w:space="0" w:color="auto"/>
            </w:tcBorders>
            <w:noWrap/>
            <w:vAlign w:val="center"/>
          </w:tcPr>
          <w:p w14:paraId="13E018D4" w14:textId="79588583" w:rsidR="008948DF" w:rsidRPr="00CB7BD5" w:rsidRDefault="00DC2B0B" w:rsidP="00DB6537">
            <w:pPr>
              <w:jc w:val="center"/>
              <w:rPr>
                <w:rFonts w:ascii="Arial Narrow" w:hAnsi="Arial Narrow"/>
                <w:sz w:val="20"/>
                <w:szCs w:val="20"/>
                <w:lang w:eastAsia="en-US"/>
              </w:rPr>
            </w:pPr>
            <w:r w:rsidRPr="00CB7BD5">
              <w:rPr>
                <w:rFonts w:ascii="Arial Narrow" w:hAnsi="Arial Narrow"/>
                <w:sz w:val="20"/>
                <w:szCs w:val="20"/>
                <w:lang w:eastAsia="en-US"/>
              </w:rPr>
              <w:t>-24%</w:t>
            </w:r>
          </w:p>
        </w:tc>
        <w:tc>
          <w:tcPr>
            <w:tcW w:w="733" w:type="pct"/>
            <w:tcBorders>
              <w:bottom w:val="single" w:sz="4" w:space="0" w:color="auto"/>
            </w:tcBorders>
            <w:noWrap/>
            <w:vAlign w:val="center"/>
          </w:tcPr>
          <w:p w14:paraId="172536CA" w14:textId="78C3E1D9" w:rsidR="008948DF" w:rsidRPr="00CB7BD5" w:rsidRDefault="00DC2B0B" w:rsidP="00DB6537">
            <w:pPr>
              <w:jc w:val="center"/>
              <w:rPr>
                <w:rFonts w:ascii="Arial Narrow" w:hAnsi="Arial Narrow"/>
                <w:sz w:val="20"/>
                <w:szCs w:val="20"/>
                <w:lang w:eastAsia="en-US"/>
              </w:rPr>
            </w:pPr>
            <w:r w:rsidRPr="00CB7BD5">
              <w:rPr>
                <w:rFonts w:ascii="Arial Narrow" w:hAnsi="Arial Narrow"/>
                <w:sz w:val="20"/>
                <w:szCs w:val="20"/>
                <w:lang w:eastAsia="en-US"/>
              </w:rPr>
              <w:t>+</w:t>
            </w:r>
            <w:r w:rsidR="00490153" w:rsidRPr="00CB7BD5">
              <w:rPr>
                <w:rFonts w:ascii="Arial Narrow" w:hAnsi="Arial Narrow"/>
                <w:sz w:val="20"/>
                <w:szCs w:val="20"/>
                <w:lang w:eastAsia="en-US"/>
              </w:rPr>
              <w:t>25%</w:t>
            </w:r>
          </w:p>
        </w:tc>
        <w:tc>
          <w:tcPr>
            <w:tcW w:w="736" w:type="pct"/>
            <w:tcBorders>
              <w:bottom w:val="single" w:sz="4" w:space="0" w:color="auto"/>
              <w:right w:val="double" w:sz="4" w:space="0" w:color="auto"/>
            </w:tcBorders>
            <w:noWrap/>
            <w:vAlign w:val="center"/>
          </w:tcPr>
          <w:p w14:paraId="09B39896" w14:textId="0DBC48A2" w:rsidR="008948DF" w:rsidRPr="00CB7BD5" w:rsidRDefault="00DC2B0B" w:rsidP="00DB6537">
            <w:pPr>
              <w:jc w:val="center"/>
              <w:rPr>
                <w:rFonts w:ascii="Arial Narrow" w:hAnsi="Arial Narrow"/>
                <w:sz w:val="20"/>
                <w:szCs w:val="20"/>
                <w:lang w:eastAsia="en-US"/>
              </w:rPr>
            </w:pPr>
            <w:r w:rsidRPr="00CB7BD5">
              <w:rPr>
                <w:rFonts w:ascii="Arial Narrow" w:hAnsi="Arial Narrow"/>
                <w:sz w:val="20"/>
                <w:szCs w:val="20"/>
                <w:lang w:eastAsia="en-US"/>
              </w:rPr>
              <w:t>+</w:t>
            </w:r>
            <w:r w:rsidR="00490153" w:rsidRPr="00CB7BD5">
              <w:rPr>
                <w:rFonts w:ascii="Arial Narrow" w:hAnsi="Arial Narrow"/>
                <w:sz w:val="20"/>
                <w:szCs w:val="20"/>
                <w:lang w:eastAsia="en-US"/>
              </w:rPr>
              <w:t>28%</w:t>
            </w:r>
          </w:p>
        </w:tc>
        <w:tc>
          <w:tcPr>
            <w:tcW w:w="733" w:type="pct"/>
            <w:tcBorders>
              <w:left w:val="double" w:sz="4" w:space="0" w:color="auto"/>
              <w:bottom w:val="single" w:sz="4" w:space="0" w:color="auto"/>
            </w:tcBorders>
            <w:noWrap/>
            <w:vAlign w:val="center"/>
          </w:tcPr>
          <w:p w14:paraId="49F1649E" w14:textId="0B3B19A4" w:rsidR="008948DF" w:rsidRPr="00CB7BD5" w:rsidRDefault="00DC2B0B" w:rsidP="00DB6537">
            <w:pPr>
              <w:jc w:val="center"/>
              <w:rPr>
                <w:rFonts w:ascii="Arial Narrow" w:hAnsi="Arial Narrow"/>
                <w:sz w:val="20"/>
                <w:szCs w:val="20"/>
                <w:lang w:eastAsia="en-US"/>
              </w:rPr>
            </w:pPr>
            <w:r w:rsidRPr="00CB7BD5">
              <w:rPr>
                <w:rFonts w:ascii="Arial Narrow" w:hAnsi="Arial Narrow"/>
                <w:sz w:val="20"/>
                <w:szCs w:val="20"/>
                <w:lang w:eastAsia="en-US"/>
              </w:rPr>
              <w:t>+</w:t>
            </w:r>
            <w:r w:rsidR="00490153" w:rsidRPr="00CB7BD5">
              <w:rPr>
                <w:rFonts w:ascii="Arial Narrow" w:hAnsi="Arial Narrow"/>
                <w:sz w:val="20"/>
                <w:szCs w:val="20"/>
                <w:lang w:eastAsia="en-US"/>
              </w:rPr>
              <w:t>44%</w:t>
            </w:r>
          </w:p>
        </w:tc>
        <w:tc>
          <w:tcPr>
            <w:tcW w:w="732" w:type="pct"/>
            <w:tcBorders>
              <w:bottom w:val="single" w:sz="4" w:space="0" w:color="auto"/>
            </w:tcBorders>
            <w:noWrap/>
            <w:vAlign w:val="center"/>
          </w:tcPr>
          <w:p w14:paraId="4CADEF18" w14:textId="75535130" w:rsidR="008948DF" w:rsidRPr="00CB7BD5" w:rsidRDefault="00DC2B0B" w:rsidP="00DB6537">
            <w:pPr>
              <w:jc w:val="center"/>
              <w:rPr>
                <w:rFonts w:ascii="Arial Narrow" w:hAnsi="Arial Narrow"/>
                <w:sz w:val="20"/>
                <w:szCs w:val="20"/>
                <w:lang w:eastAsia="en-US"/>
              </w:rPr>
            </w:pPr>
            <w:r w:rsidRPr="00CB7BD5">
              <w:rPr>
                <w:rFonts w:ascii="Arial Narrow" w:hAnsi="Arial Narrow"/>
                <w:sz w:val="20"/>
                <w:szCs w:val="20"/>
                <w:lang w:eastAsia="en-US"/>
              </w:rPr>
              <w:t>+</w:t>
            </w:r>
            <w:r w:rsidR="00490153" w:rsidRPr="00CB7BD5">
              <w:rPr>
                <w:rFonts w:ascii="Arial Narrow" w:hAnsi="Arial Narrow"/>
                <w:sz w:val="20"/>
                <w:szCs w:val="20"/>
                <w:lang w:eastAsia="en-US"/>
              </w:rPr>
              <w:t>53%</w:t>
            </w:r>
          </w:p>
        </w:tc>
      </w:tr>
      <w:tr w:rsidR="003728B9" w:rsidRPr="00CB7BD5" w14:paraId="17EEEBDD" w14:textId="77777777" w:rsidTr="00E41BF3">
        <w:trPr>
          <w:trHeight w:val="219"/>
        </w:trPr>
        <w:tc>
          <w:tcPr>
            <w:tcW w:w="1333" w:type="pct"/>
            <w:noWrap/>
          </w:tcPr>
          <w:p w14:paraId="04E16990" w14:textId="49EF50E4" w:rsidR="003728B9" w:rsidRPr="00DB736C" w:rsidRDefault="003728B9" w:rsidP="00DB6537">
            <w:pPr>
              <w:jc w:val="left"/>
              <w:rPr>
                <w:rFonts w:ascii="Arial Narrow" w:hAnsi="Arial Narrow"/>
                <w:sz w:val="20"/>
                <w:szCs w:val="22"/>
                <w:lang w:eastAsia="en-US"/>
              </w:rPr>
            </w:pPr>
            <w:r w:rsidRPr="00CB7BD5">
              <w:rPr>
                <w:rFonts w:ascii="Arial Narrow" w:hAnsi="Arial Narrow"/>
                <w:sz w:val="20"/>
                <w:szCs w:val="22"/>
                <w:lang w:eastAsia="en-US"/>
              </w:rPr>
              <w:t>Revised forecast</w:t>
            </w:r>
            <w:r w:rsidR="00AB3EEE" w:rsidRPr="00CB7BD5">
              <w:rPr>
                <w:rFonts w:ascii="Arial Narrow" w:hAnsi="Arial Narrow"/>
                <w:sz w:val="20"/>
                <w:szCs w:val="22"/>
                <w:lang w:eastAsia="en-US"/>
              </w:rPr>
              <w:t xml:space="preserve"> </w:t>
            </w:r>
            <w:r w:rsidR="00AB3EEE" w:rsidRPr="00CB7BD5">
              <w:rPr>
                <w:rFonts w:ascii="Arial Narrow" w:hAnsi="Arial Narrow"/>
                <w:sz w:val="20"/>
                <w:szCs w:val="22"/>
                <w:vertAlign w:val="superscript"/>
                <w:lang w:eastAsia="en-US"/>
              </w:rPr>
              <w:t>a</w:t>
            </w:r>
            <w:r w:rsidR="00092689">
              <w:rPr>
                <w:rFonts w:ascii="Arial Narrow" w:hAnsi="Arial Narrow"/>
                <w:sz w:val="20"/>
                <w:szCs w:val="22"/>
                <w:vertAlign w:val="superscript"/>
                <w:lang w:eastAsia="en-US"/>
              </w:rPr>
              <w:t xml:space="preserve"> </w:t>
            </w:r>
            <w:r w:rsidR="00092689">
              <w:rPr>
                <w:rFonts w:ascii="Arial Narrow" w:hAnsi="Arial Narrow"/>
                <w:sz w:val="20"/>
                <w:szCs w:val="22"/>
                <w:lang w:eastAsia="en-US"/>
              </w:rPr>
              <w:t>($)</w:t>
            </w:r>
          </w:p>
        </w:tc>
        <w:tc>
          <w:tcPr>
            <w:tcW w:w="733" w:type="pct"/>
            <w:tcBorders>
              <w:bottom w:val="nil"/>
              <w:right w:val="nil"/>
            </w:tcBorders>
            <w:noWrap/>
            <w:vAlign w:val="center"/>
          </w:tcPr>
          <w:p w14:paraId="569B7E52" w14:textId="542E6AB1" w:rsidR="003728B9" w:rsidRPr="00CB7BD5" w:rsidRDefault="003728B9" w:rsidP="00DB6537">
            <w:pPr>
              <w:jc w:val="center"/>
              <w:rPr>
                <w:rFonts w:ascii="Arial Narrow" w:hAnsi="Arial Narrow"/>
                <w:sz w:val="20"/>
                <w:szCs w:val="20"/>
                <w:lang w:eastAsia="en-US"/>
              </w:rPr>
            </w:pPr>
          </w:p>
        </w:tc>
        <w:tc>
          <w:tcPr>
            <w:tcW w:w="733" w:type="pct"/>
            <w:tcBorders>
              <w:left w:val="nil"/>
              <w:bottom w:val="nil"/>
              <w:right w:val="nil"/>
            </w:tcBorders>
            <w:noWrap/>
            <w:vAlign w:val="center"/>
          </w:tcPr>
          <w:p w14:paraId="2649F4CB" w14:textId="13BFDC26" w:rsidR="003728B9" w:rsidRPr="00CB7BD5" w:rsidRDefault="003728B9" w:rsidP="00DB6537">
            <w:pPr>
              <w:jc w:val="center"/>
              <w:rPr>
                <w:rFonts w:ascii="Arial Narrow" w:hAnsi="Arial Narrow"/>
                <w:sz w:val="20"/>
                <w:szCs w:val="20"/>
                <w:lang w:eastAsia="en-US"/>
              </w:rPr>
            </w:pPr>
          </w:p>
        </w:tc>
        <w:tc>
          <w:tcPr>
            <w:tcW w:w="736" w:type="pct"/>
            <w:tcBorders>
              <w:left w:val="nil"/>
              <w:bottom w:val="nil"/>
              <w:right w:val="double" w:sz="4" w:space="0" w:color="auto"/>
            </w:tcBorders>
            <w:noWrap/>
            <w:vAlign w:val="center"/>
          </w:tcPr>
          <w:p w14:paraId="7E40E3E3" w14:textId="426D5B19" w:rsidR="003728B9" w:rsidRPr="00CB7BD5" w:rsidRDefault="003728B9" w:rsidP="00DB6537">
            <w:pPr>
              <w:jc w:val="center"/>
              <w:rPr>
                <w:rFonts w:ascii="Arial Narrow" w:hAnsi="Arial Narrow"/>
                <w:sz w:val="20"/>
                <w:szCs w:val="20"/>
                <w:lang w:eastAsia="en-US"/>
              </w:rPr>
            </w:pPr>
          </w:p>
        </w:tc>
        <w:tc>
          <w:tcPr>
            <w:tcW w:w="733" w:type="pct"/>
            <w:tcBorders>
              <w:left w:val="double" w:sz="4" w:space="0" w:color="auto"/>
            </w:tcBorders>
            <w:shd w:val="solid" w:color="000000" w:fill="000000"/>
            <w:noWrap/>
            <w:vAlign w:val="center"/>
          </w:tcPr>
          <w:p w14:paraId="1A737AFF" w14:textId="439F4539" w:rsidR="003728B9"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7" w:id="-1304780032"/>
                <w14:textFill>
                  <w14:solidFill>
                    <w14:srgbClr w14:val="000000">
                      <w14:alpha w14:val="100000"/>
                    </w14:srgbClr>
                  </w14:solidFill>
                </w14:textFill>
              </w:rPr>
              <w:t xml:space="preserve">　</w:t>
            </w:r>
            <w:r w:rsidRPr="00E41BF3">
              <w:rPr>
                <w:rFonts w:ascii="Arial Narrow" w:hAnsi="Arial Narrow"/>
                <w:color w:val="000000"/>
                <w:w w:val="15"/>
                <w:sz w:val="20"/>
                <w:szCs w:val="20"/>
                <w:fitText w:val="47" w:id="-1304780032"/>
                <w14:textFill>
                  <w14:solidFill>
                    <w14:srgbClr w14:val="000000">
                      <w14:alpha w14:val="100000"/>
                    </w14:srgbClr>
                  </w14:solidFill>
                </w14:textFill>
              </w:rPr>
              <w:t>|</w:t>
            </w:r>
            <w:r w:rsidRPr="00E41BF3">
              <w:rPr>
                <w:rFonts w:ascii="Arial Narrow" w:hAnsi="Arial Narrow" w:hint="eastAsia"/>
                <w:color w:val="000000"/>
                <w:spacing w:val="-11"/>
                <w:w w:val="15"/>
                <w:sz w:val="20"/>
                <w:szCs w:val="20"/>
                <w:fitText w:val="47" w:id="-1304780032"/>
                <w14:textFill>
                  <w14:solidFill>
                    <w14:srgbClr w14:val="000000">
                      <w14:alpha w14:val="100000"/>
                    </w14:srgbClr>
                  </w14:solidFill>
                </w14:textFill>
              </w:rPr>
              <w:t xml:space="preserve">　</w:t>
            </w:r>
          </w:p>
        </w:tc>
        <w:tc>
          <w:tcPr>
            <w:tcW w:w="732" w:type="pct"/>
            <w:shd w:val="solid" w:color="000000" w:fill="000000"/>
            <w:noWrap/>
            <w:vAlign w:val="center"/>
          </w:tcPr>
          <w:p w14:paraId="5B42421B" w14:textId="07B3D8C3" w:rsidR="003728B9" w:rsidRPr="00E41BF3" w:rsidRDefault="00E41BF3" w:rsidP="00DB6537">
            <w:pPr>
              <w:jc w:val="center"/>
              <w:rPr>
                <w:rFonts w:ascii="Arial Narrow" w:hAnsi="Arial Narrow"/>
                <w:sz w:val="20"/>
                <w:szCs w:val="20"/>
                <w:lang w:eastAsia="en-US"/>
              </w:rPr>
            </w:pPr>
            <w:r w:rsidRPr="00E41BF3">
              <w:rPr>
                <w:rFonts w:ascii="Arial Narrow" w:hAnsi="Arial Narrow" w:hint="eastAsia"/>
                <w:color w:val="000000"/>
                <w:w w:val="15"/>
                <w:sz w:val="20"/>
                <w:szCs w:val="20"/>
                <w:fitText w:val="46" w:id="-1304780031"/>
                <w14:textFill>
                  <w14:solidFill>
                    <w14:srgbClr w14:val="000000">
                      <w14:alpha w14:val="100000"/>
                    </w14:srgbClr>
                  </w14:solidFill>
                </w14:textFill>
              </w:rPr>
              <w:t xml:space="preserve">　</w:t>
            </w:r>
            <w:r w:rsidRPr="00E41BF3">
              <w:rPr>
                <w:rFonts w:ascii="Arial Narrow" w:hAnsi="Arial Narrow"/>
                <w:color w:val="000000"/>
                <w:w w:val="15"/>
                <w:sz w:val="20"/>
                <w:szCs w:val="20"/>
                <w:fitText w:val="46" w:id="-1304780031"/>
                <w14:textFill>
                  <w14:solidFill>
                    <w14:srgbClr w14:val="000000">
                      <w14:alpha w14:val="100000"/>
                    </w14:srgbClr>
                  </w14:solidFill>
                </w14:textFill>
              </w:rPr>
              <w:t>|</w:t>
            </w:r>
            <w:r w:rsidRPr="00E41BF3">
              <w:rPr>
                <w:rFonts w:ascii="Arial Narrow" w:hAnsi="Arial Narrow" w:hint="eastAsia"/>
                <w:color w:val="000000"/>
                <w:spacing w:val="-19"/>
                <w:w w:val="15"/>
                <w:sz w:val="20"/>
                <w:szCs w:val="20"/>
                <w:fitText w:val="46" w:id="-1304780031"/>
                <w14:textFill>
                  <w14:solidFill>
                    <w14:srgbClr w14:val="000000">
                      <w14:alpha w14:val="100000"/>
                    </w14:srgbClr>
                  </w14:solidFill>
                </w14:textFill>
              </w:rPr>
              <w:t xml:space="preserve">　</w:t>
            </w:r>
          </w:p>
        </w:tc>
      </w:tr>
      <w:tr w:rsidR="008948DF" w:rsidRPr="00CB7BD5" w14:paraId="41EC512C" w14:textId="77777777" w:rsidTr="005B7D24">
        <w:trPr>
          <w:trHeight w:val="219"/>
        </w:trPr>
        <w:tc>
          <w:tcPr>
            <w:tcW w:w="1333" w:type="pct"/>
            <w:noWrap/>
          </w:tcPr>
          <w:p w14:paraId="376DA6E0" w14:textId="3FF19619" w:rsidR="008948DF" w:rsidRPr="00CB7BD5" w:rsidRDefault="008948DF" w:rsidP="00DB6537">
            <w:pPr>
              <w:jc w:val="left"/>
              <w:rPr>
                <w:rFonts w:ascii="Arial Narrow" w:hAnsi="Arial Narrow"/>
                <w:sz w:val="20"/>
                <w:szCs w:val="22"/>
                <w:lang w:eastAsia="en-US"/>
              </w:rPr>
            </w:pPr>
            <w:r w:rsidRPr="00CB7BD5">
              <w:rPr>
                <w:rFonts w:ascii="Arial Narrow" w:hAnsi="Arial Narrow"/>
                <w:sz w:val="20"/>
                <w:szCs w:val="22"/>
                <w:lang w:eastAsia="en-US"/>
              </w:rPr>
              <w:t>% increase</w:t>
            </w:r>
          </w:p>
        </w:tc>
        <w:tc>
          <w:tcPr>
            <w:tcW w:w="733" w:type="pct"/>
            <w:tcBorders>
              <w:top w:val="nil"/>
              <w:right w:val="nil"/>
            </w:tcBorders>
            <w:noWrap/>
            <w:vAlign w:val="center"/>
          </w:tcPr>
          <w:p w14:paraId="04A7AE81" w14:textId="77777777" w:rsidR="008948DF" w:rsidRPr="00CB7BD5" w:rsidDel="00AB3EEE" w:rsidRDefault="008948DF" w:rsidP="00DB6537">
            <w:pPr>
              <w:jc w:val="center"/>
              <w:rPr>
                <w:rFonts w:ascii="Arial Narrow" w:hAnsi="Arial Narrow"/>
                <w:sz w:val="20"/>
                <w:szCs w:val="20"/>
              </w:rPr>
            </w:pPr>
          </w:p>
        </w:tc>
        <w:tc>
          <w:tcPr>
            <w:tcW w:w="733" w:type="pct"/>
            <w:tcBorders>
              <w:top w:val="nil"/>
              <w:left w:val="nil"/>
              <w:right w:val="nil"/>
            </w:tcBorders>
            <w:noWrap/>
            <w:vAlign w:val="center"/>
          </w:tcPr>
          <w:p w14:paraId="2FDE3726" w14:textId="77777777" w:rsidR="008948DF" w:rsidRPr="00CB7BD5" w:rsidDel="00AB3EEE" w:rsidRDefault="008948DF" w:rsidP="00DB6537">
            <w:pPr>
              <w:jc w:val="center"/>
              <w:rPr>
                <w:rFonts w:ascii="Arial Narrow" w:hAnsi="Arial Narrow"/>
                <w:sz w:val="20"/>
                <w:szCs w:val="20"/>
              </w:rPr>
            </w:pPr>
          </w:p>
        </w:tc>
        <w:tc>
          <w:tcPr>
            <w:tcW w:w="736" w:type="pct"/>
            <w:tcBorders>
              <w:top w:val="nil"/>
              <w:left w:val="nil"/>
              <w:right w:val="double" w:sz="4" w:space="0" w:color="auto"/>
            </w:tcBorders>
            <w:noWrap/>
            <w:vAlign w:val="center"/>
          </w:tcPr>
          <w:p w14:paraId="7AF66DB0" w14:textId="77777777" w:rsidR="008948DF" w:rsidRPr="00CB7BD5" w:rsidDel="00AB3EEE" w:rsidRDefault="008948DF" w:rsidP="00DB6537">
            <w:pPr>
              <w:jc w:val="center"/>
              <w:rPr>
                <w:rFonts w:ascii="Arial Narrow" w:hAnsi="Arial Narrow"/>
                <w:sz w:val="20"/>
                <w:szCs w:val="20"/>
              </w:rPr>
            </w:pPr>
          </w:p>
        </w:tc>
        <w:tc>
          <w:tcPr>
            <w:tcW w:w="733" w:type="pct"/>
            <w:tcBorders>
              <w:left w:val="double" w:sz="4" w:space="0" w:color="auto"/>
            </w:tcBorders>
            <w:noWrap/>
            <w:vAlign w:val="center"/>
          </w:tcPr>
          <w:p w14:paraId="5ADB04AD" w14:textId="596D76C4" w:rsidR="008948DF" w:rsidRPr="00CB7BD5" w:rsidRDefault="00490153" w:rsidP="00DB6537">
            <w:pPr>
              <w:jc w:val="center"/>
              <w:rPr>
                <w:rFonts w:ascii="Arial Narrow" w:hAnsi="Arial Narrow"/>
                <w:sz w:val="20"/>
                <w:szCs w:val="20"/>
              </w:rPr>
            </w:pPr>
            <w:r w:rsidRPr="00CB7BD5">
              <w:rPr>
                <w:rFonts w:ascii="Arial Narrow" w:hAnsi="Arial Narrow"/>
                <w:sz w:val="20"/>
                <w:szCs w:val="20"/>
              </w:rPr>
              <w:t>33%</w:t>
            </w:r>
          </w:p>
        </w:tc>
        <w:tc>
          <w:tcPr>
            <w:tcW w:w="732" w:type="pct"/>
            <w:noWrap/>
            <w:vAlign w:val="center"/>
          </w:tcPr>
          <w:p w14:paraId="1F4F57E9" w14:textId="396C5D22" w:rsidR="008948DF" w:rsidRPr="00CB7BD5" w:rsidRDefault="00490153" w:rsidP="00DB6537">
            <w:pPr>
              <w:jc w:val="center"/>
              <w:rPr>
                <w:rFonts w:ascii="Arial Narrow" w:hAnsi="Arial Narrow"/>
                <w:sz w:val="20"/>
                <w:szCs w:val="20"/>
              </w:rPr>
            </w:pPr>
            <w:r w:rsidRPr="00CB7BD5">
              <w:rPr>
                <w:rFonts w:ascii="Arial Narrow" w:hAnsi="Arial Narrow"/>
                <w:sz w:val="20"/>
                <w:szCs w:val="20"/>
              </w:rPr>
              <w:t>39%</w:t>
            </w:r>
          </w:p>
        </w:tc>
      </w:tr>
    </w:tbl>
    <w:p w14:paraId="5D61D1EF" w14:textId="720EFF07" w:rsidR="004E1EDC" w:rsidRPr="00490153" w:rsidRDefault="009926EF" w:rsidP="00DB6537">
      <w:pPr>
        <w:pStyle w:val="TableFooter"/>
        <w:widowControl/>
      </w:pPr>
      <w:r w:rsidRPr="00490153">
        <w:t>Source: Keytruda UC deed new caps workbook – Uro forecast worksheet</w:t>
      </w:r>
    </w:p>
    <w:p w14:paraId="5A1F2DC5" w14:textId="7CFF14F7" w:rsidR="00C22B0E" w:rsidRDefault="00DF4700" w:rsidP="00564A2B">
      <w:pPr>
        <w:pStyle w:val="TableFooter"/>
        <w:widowControl/>
        <w:spacing w:after="120"/>
      </w:pPr>
      <w:r w:rsidRPr="00716462">
        <w:t xml:space="preserve">a </w:t>
      </w:r>
      <w:r w:rsidRPr="005B7D24">
        <w:t>forecast based on actual data from May 2020 to June 2022</w:t>
      </w:r>
    </w:p>
    <w:p w14:paraId="60D43546" w14:textId="2FE6C7C0" w:rsidR="00092689" w:rsidRPr="00E41BF3" w:rsidRDefault="00092689" w:rsidP="00DB6537">
      <w:pPr>
        <w:pStyle w:val="TableFooter"/>
        <w:widowControl/>
        <w:rPr>
          <w:i/>
          <w:iCs/>
        </w:rPr>
      </w:pPr>
      <w:r w:rsidRPr="00E41BF3">
        <w:rPr>
          <w:i/>
          <w:iCs/>
        </w:rPr>
        <w:t>The redacted values correspond to the following ranges:</w:t>
      </w:r>
    </w:p>
    <w:p w14:paraId="4389D83B" w14:textId="317556C9" w:rsidR="00092689" w:rsidRPr="00E41BF3" w:rsidRDefault="00092689" w:rsidP="00DB6537">
      <w:pPr>
        <w:pStyle w:val="TableFooter"/>
        <w:widowControl/>
        <w:rPr>
          <w:i/>
          <w:iCs/>
        </w:rPr>
      </w:pPr>
      <w:r w:rsidRPr="00E41BF3">
        <w:rPr>
          <w:i/>
          <w:iCs/>
          <w:vertAlign w:val="superscript"/>
        </w:rPr>
        <w:t>1</w:t>
      </w:r>
      <w:r w:rsidRPr="00E41BF3">
        <w:rPr>
          <w:i/>
          <w:iCs/>
        </w:rPr>
        <w:t xml:space="preserve"> 500 to &lt; 5,000</w:t>
      </w:r>
    </w:p>
    <w:p w14:paraId="338F0B7E" w14:textId="0E6C127B" w:rsidR="008B33C3" w:rsidRPr="00564A2B" w:rsidRDefault="00092689" w:rsidP="00564A2B">
      <w:pPr>
        <w:pStyle w:val="TableFooter"/>
        <w:widowControl/>
        <w:spacing w:after="120"/>
        <w:rPr>
          <w:i/>
          <w:iCs/>
        </w:rPr>
      </w:pPr>
      <w:r w:rsidRPr="00E41BF3">
        <w:rPr>
          <w:i/>
          <w:iCs/>
          <w:vertAlign w:val="superscript"/>
        </w:rPr>
        <w:t xml:space="preserve">2 </w:t>
      </w:r>
      <w:r w:rsidRPr="00E41BF3">
        <w:rPr>
          <w:i/>
          <w:iCs/>
        </w:rPr>
        <w:t>5,000 to &lt; 10,000</w:t>
      </w:r>
    </w:p>
    <w:p w14:paraId="1BE1C2A3" w14:textId="1EA21EDC" w:rsidR="002A0CF0" w:rsidRPr="00DB6537" w:rsidRDefault="00BE628A" w:rsidP="00DB6537">
      <w:pPr>
        <w:pStyle w:val="Caption"/>
        <w:spacing w:after="0"/>
        <w:rPr>
          <w:rFonts w:ascii="Arial Narrow" w:hAnsi="Arial Narrow"/>
          <w:b/>
          <w:bCs/>
          <w:i w:val="0"/>
          <w:iCs w:val="0"/>
          <w:sz w:val="20"/>
          <w:szCs w:val="20"/>
        </w:rPr>
      </w:pPr>
      <w:r w:rsidRPr="00BE628A">
        <w:rPr>
          <w:rFonts w:ascii="Arial Narrow" w:hAnsi="Arial Narrow"/>
          <w:b/>
          <w:bCs/>
          <w:i w:val="0"/>
          <w:iCs w:val="0"/>
          <w:sz w:val="20"/>
          <w:szCs w:val="20"/>
        </w:rPr>
        <w:t xml:space="preserve">Figure </w:t>
      </w:r>
      <w:r w:rsidRPr="00BE628A">
        <w:rPr>
          <w:rFonts w:ascii="Arial Narrow" w:hAnsi="Arial Narrow"/>
          <w:b/>
          <w:bCs/>
          <w:i w:val="0"/>
          <w:iCs w:val="0"/>
          <w:sz w:val="20"/>
          <w:szCs w:val="20"/>
        </w:rPr>
        <w:fldChar w:fldCharType="begin"/>
      </w:r>
      <w:r w:rsidRPr="00BE628A">
        <w:rPr>
          <w:rFonts w:ascii="Arial Narrow" w:hAnsi="Arial Narrow"/>
          <w:b/>
          <w:bCs/>
          <w:i w:val="0"/>
          <w:iCs w:val="0"/>
          <w:sz w:val="20"/>
          <w:szCs w:val="20"/>
        </w:rPr>
        <w:instrText xml:space="preserve"> SEQ Figure \* ARABIC </w:instrText>
      </w:r>
      <w:r w:rsidRPr="00BE628A">
        <w:rPr>
          <w:rFonts w:ascii="Arial Narrow" w:hAnsi="Arial Narrow"/>
          <w:b/>
          <w:bCs/>
          <w:i w:val="0"/>
          <w:iCs w:val="0"/>
          <w:sz w:val="20"/>
          <w:szCs w:val="20"/>
        </w:rPr>
        <w:fldChar w:fldCharType="separate"/>
      </w:r>
      <w:r w:rsidR="003129AC">
        <w:rPr>
          <w:rFonts w:ascii="Arial Narrow" w:hAnsi="Arial Narrow"/>
          <w:b/>
          <w:bCs/>
          <w:i w:val="0"/>
          <w:iCs w:val="0"/>
          <w:noProof/>
          <w:sz w:val="20"/>
          <w:szCs w:val="20"/>
        </w:rPr>
        <w:t>3</w:t>
      </w:r>
      <w:r w:rsidRPr="00BE628A">
        <w:rPr>
          <w:rFonts w:ascii="Arial Narrow" w:hAnsi="Arial Narrow"/>
          <w:b/>
          <w:bCs/>
          <w:i w:val="0"/>
          <w:iCs w:val="0"/>
          <w:sz w:val="20"/>
          <w:szCs w:val="20"/>
        </w:rPr>
        <w:fldChar w:fldCharType="end"/>
      </w:r>
      <w:r w:rsidRPr="00BE628A">
        <w:rPr>
          <w:rFonts w:ascii="Arial Narrow" w:hAnsi="Arial Narrow"/>
          <w:b/>
          <w:bCs/>
          <w:i w:val="0"/>
          <w:iCs w:val="0"/>
          <w:sz w:val="20"/>
          <w:szCs w:val="20"/>
        </w:rPr>
        <w:t>: Graph of actuals and forecast of PBS expenditure caps for KEYTRUDA for urothelial cancer</w:t>
      </w:r>
    </w:p>
    <w:p w14:paraId="45D0E9F5" w14:textId="5A788353" w:rsidR="004E1EDC" w:rsidRDefault="00DB736C" w:rsidP="00DB6537">
      <w:pPr>
        <w:pStyle w:val="3Bodytext"/>
        <w:ind w:left="720" w:hanging="720"/>
      </w:pPr>
      <w:r>
        <w:rPr>
          <w:noProof/>
        </w:rPr>
        <w:drawing>
          <wp:inline distT="0" distB="0" distL="0" distR="0" wp14:anchorId="5C52E3B0" wp14:editId="61E0443C">
            <wp:extent cx="5731510" cy="3554730"/>
            <wp:effectExtent l="0" t="0" r="2540" b="7620"/>
            <wp:docPr id="3" name="Picture 3" descr="Figure 3: Graph of actuals and forecast of PBS expenditure caps for KEYTRUDA for urothelial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Graph of actuals and forecast of PBS expenditure caps for KEYTRUDA for urothelial cancer"/>
                    <pic:cNvPicPr/>
                  </pic:nvPicPr>
                  <pic:blipFill>
                    <a:blip r:embed="rId10"/>
                    <a:stretch>
                      <a:fillRect/>
                    </a:stretch>
                  </pic:blipFill>
                  <pic:spPr>
                    <a:xfrm>
                      <a:off x="0" y="0"/>
                      <a:ext cx="5731510" cy="3554730"/>
                    </a:xfrm>
                    <a:prstGeom prst="rect">
                      <a:avLst/>
                    </a:prstGeom>
                  </pic:spPr>
                </pic:pic>
              </a:graphicData>
            </a:graphic>
          </wp:inline>
        </w:drawing>
      </w:r>
    </w:p>
    <w:p w14:paraId="2507FDB6" w14:textId="4CC34A07" w:rsidR="00BE628A" w:rsidRPr="00136504" w:rsidRDefault="00BE628A" w:rsidP="00DB6537">
      <w:pPr>
        <w:pStyle w:val="TableFigureFooter"/>
      </w:pPr>
      <w:r w:rsidRPr="00136504">
        <w:t xml:space="preserve">Note: PBS expenditure in </w:t>
      </w:r>
      <w:r>
        <w:t>DY2</w:t>
      </w:r>
      <w:r w:rsidRPr="00136504">
        <w:t xml:space="preserve"> and DY</w:t>
      </w:r>
      <w:r>
        <w:t>3</w:t>
      </w:r>
      <w:r w:rsidRPr="00136504">
        <w:t xml:space="preserve"> reflect actual Commonwealth Payment</w:t>
      </w:r>
      <w:r w:rsidR="00DC2B0B">
        <w:t>, DY1 reflects the subsidisation cap for year 1, which was not reached.</w:t>
      </w:r>
    </w:p>
    <w:p w14:paraId="68A41E21" w14:textId="149284F7" w:rsidR="009926EF" w:rsidRDefault="009926EF" w:rsidP="00DB6537">
      <w:pPr>
        <w:pStyle w:val="TableFigureFooter"/>
        <w:spacing w:after="240"/>
      </w:pPr>
      <w:r w:rsidRPr="000D49C3">
        <w:t>Source: Keytruda</w:t>
      </w:r>
      <w:r>
        <w:t xml:space="preserve"> UC deed new caps workbook – Uro forecast worksheet, and revised values calculated for the overview</w:t>
      </w:r>
    </w:p>
    <w:p w14:paraId="5403BC5D" w14:textId="77777777" w:rsidR="00DB6537" w:rsidRDefault="00DB6537" w:rsidP="00DB6537">
      <w:pPr>
        <w:pStyle w:val="TableFigureFooter"/>
        <w:spacing w:after="240"/>
      </w:pPr>
    </w:p>
    <w:p w14:paraId="57750A95" w14:textId="64C84F66" w:rsidR="002B47CA" w:rsidRDefault="00854DEA" w:rsidP="00DB6537">
      <w:pPr>
        <w:pStyle w:val="4-SubsectionHeading"/>
        <w:keepNext w:val="0"/>
        <w:tabs>
          <w:tab w:val="left" w:pos="6888"/>
        </w:tabs>
        <w:rPr>
          <w:lang w:eastAsia="en-US"/>
        </w:rPr>
      </w:pPr>
      <w:r>
        <w:rPr>
          <w:lang w:eastAsia="en-US"/>
        </w:rPr>
        <w:lastRenderedPageBreak/>
        <w:t>L</w:t>
      </w:r>
      <w:r w:rsidR="00C17C86">
        <w:rPr>
          <w:lang w:eastAsia="en-US"/>
        </w:rPr>
        <w:t>isting of avelumab</w:t>
      </w:r>
    </w:p>
    <w:p w14:paraId="4106F775" w14:textId="54B07130" w:rsidR="00182AAF" w:rsidRDefault="00B41782" w:rsidP="00DB6537">
      <w:pPr>
        <w:pStyle w:val="ListParagraph"/>
        <w:numPr>
          <w:ilvl w:val="1"/>
          <w:numId w:val="2"/>
        </w:numPr>
        <w:spacing w:after="160"/>
        <w:jc w:val="both"/>
      </w:pPr>
      <w:r>
        <w:t xml:space="preserve">In March 2021, the PBAC recommended the listing of avelumab, for the maintenance treatment of Stage III or Stage IV urothelial carcinoma in patients whose disease has not progressed following first-line platinum-based chemotherapy (para 7.1, avelumab March 2021 PBAC meeting). </w:t>
      </w:r>
      <w:r w:rsidR="00CD4F80">
        <w:t xml:space="preserve">The PBAC recommended that avelumab be included within the current RSA for </w:t>
      </w:r>
      <w:r w:rsidR="00D463D4">
        <w:t>2L</w:t>
      </w:r>
      <w:r w:rsidR="00CD4F80">
        <w:t xml:space="preserve"> pembrolizumab to address any residual uncertainty regarding the uptake rate and the costs associated with the different treatment durations of these two therapies. </w:t>
      </w:r>
      <w:r w:rsidR="00182AAF">
        <w:t xml:space="preserve">The PBAC considered an increase in the patient numbers informing the current financial caps was not required as this was adequately accounted for with the assumed uptake rate for </w:t>
      </w:r>
      <w:r w:rsidR="00D463D4">
        <w:t>2L</w:t>
      </w:r>
      <w:r w:rsidR="00182AAF">
        <w:t xml:space="preserve"> pembrolizumab (para 7.13, avelumab </w:t>
      </w:r>
      <w:r w:rsidR="00C63F7B">
        <w:t xml:space="preserve">PSD, </w:t>
      </w:r>
      <w:r w:rsidR="00182AAF">
        <w:t xml:space="preserve">March 2021 PBAC meeting). </w:t>
      </w:r>
    </w:p>
    <w:p w14:paraId="7C1DD6BB" w14:textId="343117A0" w:rsidR="00EE21D5" w:rsidRDefault="00EE21D5" w:rsidP="00DB6537">
      <w:pPr>
        <w:pStyle w:val="ListParagraph"/>
        <w:numPr>
          <w:ilvl w:val="1"/>
          <w:numId w:val="2"/>
        </w:numPr>
        <w:spacing w:after="160"/>
        <w:jc w:val="both"/>
      </w:pPr>
      <w:r>
        <w:t>In March 2022, the PBAC considered a listing proposal for avelumab that included a revised price, changes to the economic model including a ‘financial stopping rule’ and options for implementing the stopping rule. The PBAC advised that there is a low risk of sequential use of avelumab maintenance therapy followed by pembrolizumab given such use is not clinically indicated. As such, the PBAC advised that, provided the vial price and annual expenditure of each drug reflects cost-effectiveness, then a combined cap may not be required</w:t>
      </w:r>
      <w:r w:rsidR="00A623AC">
        <w:t xml:space="preserve"> (para 5.6, avelumab PSD, March 2022 PBAC meeting)</w:t>
      </w:r>
      <w:r>
        <w:t>.</w:t>
      </w:r>
    </w:p>
    <w:p w14:paraId="6FDE716C" w14:textId="6D039EC4" w:rsidR="00A30149" w:rsidRPr="002B47CA" w:rsidRDefault="00A30149" w:rsidP="00DB6537">
      <w:pPr>
        <w:pStyle w:val="ListParagraph"/>
        <w:numPr>
          <w:ilvl w:val="1"/>
          <w:numId w:val="2"/>
        </w:numPr>
        <w:spacing w:after="160"/>
        <w:jc w:val="both"/>
      </w:pPr>
      <w:r>
        <w:t xml:space="preserve">From 1 October 2022, avelumab was listed on the PBS for the </w:t>
      </w:r>
      <w:r w:rsidRPr="00A30149">
        <w:t>maintenance treatment of Stage III or Stage IV urothelial carcinoma</w:t>
      </w:r>
      <w:r>
        <w:t>.</w:t>
      </w:r>
      <w:r w:rsidR="00E6572B">
        <w:t xml:space="preserve"> Given avelumab was recommended as first-line maintenance treatment for urothelial cancer</w:t>
      </w:r>
      <w:r w:rsidR="00A505E6">
        <w:t xml:space="preserve"> and the restrictions for pembrolizumab prevent sequential use following avelumab</w:t>
      </w:r>
      <w:r w:rsidR="00E6572B">
        <w:t>, it is expected that t</w:t>
      </w:r>
      <w:r w:rsidR="0019016A">
        <w:t xml:space="preserve">he listing of </w:t>
      </w:r>
      <w:r w:rsidR="00A505E6">
        <w:t>avelumab will</w:t>
      </w:r>
      <w:r w:rsidR="0019016A">
        <w:t xml:space="preserve"> </w:t>
      </w:r>
      <w:r w:rsidR="00A505E6">
        <w:t>reduce</w:t>
      </w:r>
      <w:r w:rsidR="0019016A">
        <w:t xml:space="preserve"> the uptake rate of pembrolizumab</w:t>
      </w:r>
      <w:r w:rsidR="00A505E6">
        <w:t xml:space="preserve"> in the second-line setting</w:t>
      </w:r>
      <w:r w:rsidR="0060233A">
        <w:t xml:space="preserve">. </w:t>
      </w:r>
      <w:r w:rsidR="007564D8">
        <w:t xml:space="preserve">The Pre-PBAC response noted that the avelumab patient access program has been available since TGA approved on 3 March 2021 </w:t>
      </w:r>
      <w:r w:rsidR="00CB7BD5">
        <w:t>and therefore the</w:t>
      </w:r>
      <w:r w:rsidR="007564D8">
        <w:t xml:space="preserve"> pembrolizumab script volumes used as the basis </w:t>
      </w:r>
      <w:r w:rsidR="00CB7BD5">
        <w:t>of</w:t>
      </w:r>
      <w:r w:rsidR="007564D8">
        <w:t xml:space="preserve"> </w:t>
      </w:r>
      <w:r w:rsidR="00CB7BD5">
        <w:t xml:space="preserve">the submission’s </w:t>
      </w:r>
      <w:r w:rsidR="007564D8">
        <w:t xml:space="preserve">forecast </w:t>
      </w:r>
      <w:r w:rsidR="001147F6">
        <w:t>already</w:t>
      </w:r>
      <w:r w:rsidR="007564D8">
        <w:t xml:space="preserve"> </w:t>
      </w:r>
      <w:r w:rsidR="001147F6">
        <w:t>reflect</w:t>
      </w:r>
      <w:r w:rsidR="007564D8">
        <w:t xml:space="preserve"> the use of avelumab in practice. </w:t>
      </w:r>
    </w:p>
    <w:p w14:paraId="37C44165" w14:textId="1DA7672A" w:rsidR="009C4C5D" w:rsidRDefault="009C4C5D" w:rsidP="00DB6537">
      <w:pPr>
        <w:pStyle w:val="4-SubsectionHeading"/>
        <w:keepNext w:val="0"/>
        <w:tabs>
          <w:tab w:val="left" w:pos="6888"/>
        </w:tabs>
        <w:rPr>
          <w:lang w:eastAsia="en-US"/>
        </w:rPr>
      </w:pPr>
      <w:r>
        <w:rPr>
          <w:lang w:eastAsia="en-US"/>
        </w:rPr>
        <w:t xml:space="preserve">Revising subsidisation cap rebate level from </w:t>
      </w:r>
      <w:r w:rsidR="00E41BF3" w:rsidRPr="00564A2B">
        <w:rPr>
          <w:color w:val="000000"/>
          <w:spacing w:val="0"/>
          <w:w w:val="46"/>
          <w:kern w:val="0"/>
          <w:shd w:val="solid" w:color="000000" w:fill="000000"/>
          <w:fitText w:val="556" w:id="-1304780030"/>
          <w:lang w:eastAsia="en-US"/>
          <w14:textFill>
            <w14:solidFill>
              <w14:srgbClr w14:val="000000">
                <w14:alpha w14:val="100000"/>
              </w14:srgbClr>
            </w14:solidFill>
          </w14:textFill>
        </w:rPr>
        <w:t>||||  ||||</w:t>
      </w:r>
      <w:r>
        <w:rPr>
          <w:lang w:eastAsia="en-US"/>
        </w:rPr>
        <w:t xml:space="preserve">% to </w:t>
      </w:r>
      <w:r w:rsidR="00E41BF3" w:rsidRPr="00E0658A">
        <w:rPr>
          <w:color w:val="000000"/>
          <w:spacing w:val="0"/>
          <w:w w:val="46"/>
          <w:kern w:val="0"/>
          <w:shd w:val="solid" w:color="000000" w:fill="000000"/>
          <w:fitText w:val="556" w:id="-1304780029"/>
          <w:lang w:eastAsia="en-US"/>
          <w14:textFill>
            <w14:solidFill>
              <w14:srgbClr w14:val="000000">
                <w14:alpha w14:val="100000"/>
              </w14:srgbClr>
            </w14:solidFill>
          </w14:textFill>
        </w:rPr>
        <w:t>||||  |||</w:t>
      </w:r>
      <w:r w:rsidR="00E41BF3" w:rsidRPr="00E0658A">
        <w:rPr>
          <w:color w:val="000000"/>
          <w:spacing w:val="8"/>
          <w:w w:val="46"/>
          <w:kern w:val="0"/>
          <w:shd w:val="solid" w:color="000000" w:fill="000000"/>
          <w:fitText w:val="556" w:id="-1304780029"/>
          <w:lang w:eastAsia="en-US"/>
          <w14:textFill>
            <w14:solidFill>
              <w14:srgbClr w14:val="000000">
                <w14:alpha w14:val="100000"/>
              </w14:srgbClr>
            </w14:solidFill>
          </w14:textFill>
        </w:rPr>
        <w:t>|</w:t>
      </w:r>
      <w:r>
        <w:rPr>
          <w:lang w:eastAsia="en-US"/>
        </w:rPr>
        <w:t>%</w:t>
      </w:r>
    </w:p>
    <w:p w14:paraId="72498663" w14:textId="536159A7" w:rsidR="008C44B7" w:rsidRPr="001147F6" w:rsidRDefault="0075455A" w:rsidP="00DB6537">
      <w:pPr>
        <w:pStyle w:val="ListParagraph"/>
        <w:numPr>
          <w:ilvl w:val="1"/>
          <w:numId w:val="2"/>
        </w:numPr>
        <w:spacing w:after="160"/>
        <w:jc w:val="both"/>
      </w:pPr>
      <w:r>
        <w:t xml:space="preserve">The sponsor requested </w:t>
      </w:r>
      <w:r w:rsidR="009926EF">
        <w:t>that the PBAC consider recommending that the</w:t>
      </w:r>
      <w:r>
        <w:t xml:space="preserve"> subsidisation cap rebate level of </w:t>
      </w:r>
      <w:r w:rsidR="00E41BF3" w:rsidRPr="003129AC">
        <w:rPr>
          <w:color w:val="000000"/>
          <w:w w:val="15"/>
          <w:shd w:val="solid" w:color="000000" w:fill="000000"/>
          <w:fitText w:val="-20" w:id="-1304780028"/>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28"/>
          <w14:textFill>
            <w14:solidFill>
              <w14:srgbClr w14:val="000000">
                <w14:alpha w14:val="100000"/>
              </w14:srgbClr>
            </w14:solidFill>
          </w14:textFill>
        </w:rPr>
        <w:t>|</w:t>
      </w:r>
      <w:r>
        <w:t xml:space="preserve">% be revised to </w:t>
      </w:r>
      <w:r w:rsidR="00E41BF3" w:rsidRPr="003129AC">
        <w:rPr>
          <w:color w:val="000000"/>
          <w:w w:val="15"/>
          <w:shd w:val="solid" w:color="000000" w:fill="000000"/>
          <w:fitText w:val="-20" w:id="-1304780027"/>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27"/>
          <w14:textFill>
            <w14:solidFill>
              <w14:srgbClr w14:val="000000">
                <w14:alpha w14:val="100000"/>
              </w14:srgbClr>
            </w14:solidFill>
          </w14:textFill>
        </w:rPr>
        <w:t>|</w:t>
      </w:r>
      <w:r>
        <w:t xml:space="preserve">% consistent with the </w:t>
      </w:r>
      <w:r w:rsidR="001147F6">
        <w:t xml:space="preserve">Deed for </w:t>
      </w:r>
      <w:r>
        <w:t xml:space="preserve">pembrolizumab for colorectal cancer. </w:t>
      </w:r>
      <w:r w:rsidR="00370A24">
        <w:t>The sponsor noted that the 2022-2027 Strategic Agreement between Medicines Australia and the Commonwealth</w:t>
      </w:r>
      <w:r w:rsidR="00060778" w:rsidRPr="001147F6">
        <w:rPr>
          <w:rStyle w:val="FootnoteReference"/>
          <w:lang w:eastAsia="en-US"/>
        </w:rPr>
        <w:footnoteReference w:id="14"/>
      </w:r>
      <w:r w:rsidR="00370A24">
        <w:t xml:space="preserve"> </w:t>
      </w:r>
      <w:r>
        <w:t xml:space="preserve">is </w:t>
      </w:r>
      <w:r w:rsidR="00370A24">
        <w:t>commi</w:t>
      </w:r>
      <w:r>
        <w:t xml:space="preserve">tted </w:t>
      </w:r>
      <w:r w:rsidR="00370A24">
        <w:t xml:space="preserve">to </w:t>
      </w:r>
      <w:r w:rsidR="00EE6837">
        <w:t xml:space="preserve">developing an </w:t>
      </w:r>
      <w:r w:rsidR="00D463D4">
        <w:t>RSA</w:t>
      </w:r>
      <w:r w:rsidR="00370A24">
        <w:t xml:space="preserve"> Policy</w:t>
      </w:r>
      <w:r w:rsidR="009926EF">
        <w:t xml:space="preserve">. </w:t>
      </w:r>
      <w:r>
        <w:t>The submission</w:t>
      </w:r>
      <w:r w:rsidR="00370A24">
        <w:t xml:space="preserve"> not</w:t>
      </w:r>
      <w:r>
        <w:t>ed</w:t>
      </w:r>
      <w:r w:rsidR="00370A24">
        <w:t xml:space="preserve"> that the PBAC </w:t>
      </w:r>
      <w:r>
        <w:t xml:space="preserve">previously recommended </w:t>
      </w:r>
      <w:r w:rsidRPr="002E5F5C">
        <w:t>a 100%</w:t>
      </w:r>
      <w:r w:rsidR="00446E24" w:rsidRPr="002E5F5C">
        <w:t xml:space="preserve"> rebate</w:t>
      </w:r>
      <w:r>
        <w:t xml:space="preserve"> due to uncertainties </w:t>
      </w:r>
      <w:r w:rsidR="008948DF">
        <w:t>(leakage into first-line/cisplatin-ineligible patients and treatment beyond progression). The sponsor argue</w:t>
      </w:r>
      <w:r w:rsidR="00A505E6">
        <w:t>d</w:t>
      </w:r>
      <w:r w:rsidR="008948DF">
        <w:t xml:space="preserve"> that these concerns have not </w:t>
      </w:r>
      <w:r w:rsidR="008948DF">
        <w:lastRenderedPageBreak/>
        <w:t>been realised and ther</w:t>
      </w:r>
      <w:r>
        <w:t xml:space="preserve">efore the request of lowering the rebate level to </w:t>
      </w:r>
      <w:r w:rsidR="00E41BF3" w:rsidRPr="003129AC">
        <w:rPr>
          <w:color w:val="000000"/>
          <w:w w:val="15"/>
          <w:shd w:val="solid" w:color="000000" w:fill="000000"/>
          <w:fitText w:val="-20" w:id="-1304780026"/>
          <w14:textFill>
            <w14:solidFill>
              <w14:srgbClr w14:val="000000">
                <w14:alpha w14:val="100000"/>
              </w14:srgbClr>
            </w14:solidFill>
          </w14:textFill>
        </w:rPr>
        <w:t xml:space="preserve">|  </w:t>
      </w:r>
      <w:r w:rsidR="00E41BF3" w:rsidRPr="003129AC">
        <w:rPr>
          <w:color w:val="000000"/>
          <w:spacing w:val="-69"/>
          <w:w w:val="15"/>
          <w:shd w:val="solid" w:color="000000" w:fill="000000"/>
          <w:fitText w:val="-20" w:id="-1304780026"/>
          <w14:textFill>
            <w14:solidFill>
              <w14:srgbClr w14:val="000000">
                <w14:alpha w14:val="100000"/>
              </w14:srgbClr>
            </w14:solidFill>
          </w14:textFill>
        </w:rPr>
        <w:t>|</w:t>
      </w:r>
      <w:r>
        <w:t xml:space="preserve">% would be reasonable and consistent with the colorectal cancer Deed. </w:t>
      </w:r>
    </w:p>
    <w:p w14:paraId="5F060CBA" w14:textId="55226BA1" w:rsidR="00EF4EC9" w:rsidRDefault="00D06C52" w:rsidP="00DB6537">
      <w:pPr>
        <w:pStyle w:val="3Bodytext"/>
        <w:rPr>
          <w:b/>
          <w:i/>
        </w:rPr>
      </w:pPr>
      <w:r w:rsidRPr="00D06C52">
        <w:rPr>
          <w:i/>
          <w:iCs/>
        </w:rPr>
        <w:t>For more detail on PBAC’s view, see section 5 PBAC outcome.</w:t>
      </w:r>
    </w:p>
    <w:p w14:paraId="14E14014" w14:textId="77777777" w:rsidR="003420FD" w:rsidRPr="00594841" w:rsidRDefault="003420FD" w:rsidP="00DB6537">
      <w:pPr>
        <w:pStyle w:val="Heading1"/>
        <w:numPr>
          <w:ilvl w:val="0"/>
          <w:numId w:val="2"/>
        </w:numPr>
        <w:spacing w:before="240"/>
        <w:ind w:left="709" w:hanging="709"/>
        <w:rPr>
          <w:sz w:val="32"/>
          <w:szCs w:val="32"/>
        </w:rPr>
      </w:pPr>
      <w:r w:rsidRPr="00594841">
        <w:rPr>
          <w:sz w:val="32"/>
          <w:szCs w:val="32"/>
        </w:rPr>
        <w:t>PBAC Outcome</w:t>
      </w:r>
    </w:p>
    <w:p w14:paraId="21D3393E" w14:textId="0D88137C" w:rsidR="00962656" w:rsidRPr="007D6761" w:rsidRDefault="003420FD" w:rsidP="00DB6537">
      <w:pPr>
        <w:pStyle w:val="3Bodytext"/>
        <w:numPr>
          <w:ilvl w:val="1"/>
          <w:numId w:val="2"/>
        </w:numPr>
        <w:jc w:val="both"/>
        <w:rPr>
          <w:snapToGrid w:val="0"/>
          <w:lang w:val="en-GB"/>
        </w:rPr>
      </w:pPr>
      <w:r w:rsidRPr="000D55CA">
        <w:rPr>
          <w:snapToGrid w:val="0"/>
          <w:lang w:val="en-GB"/>
        </w:rPr>
        <w:t xml:space="preserve">The PBAC did not advise that its previous recommendation regarding the risk sharing arrangement (RSA) subsidisation caps </w:t>
      </w:r>
      <w:r w:rsidR="00974DBA" w:rsidRPr="000D55CA">
        <w:rPr>
          <w:snapToGrid w:val="0"/>
          <w:lang w:val="en-GB"/>
        </w:rPr>
        <w:t xml:space="preserve">and rebate level </w:t>
      </w:r>
      <w:r w:rsidRPr="000D55CA">
        <w:rPr>
          <w:snapToGrid w:val="0"/>
          <w:lang w:val="en-GB"/>
        </w:rPr>
        <w:t>for</w:t>
      </w:r>
      <w:r w:rsidR="000C41C2" w:rsidRPr="000D55CA">
        <w:rPr>
          <w:snapToGrid w:val="0"/>
          <w:lang w:val="en-GB"/>
        </w:rPr>
        <w:t xml:space="preserve"> pembrolizumab</w:t>
      </w:r>
      <w:r w:rsidRPr="000D55CA">
        <w:rPr>
          <w:snapToGrid w:val="0"/>
          <w:lang w:val="en-GB"/>
        </w:rPr>
        <w:t xml:space="preserve"> for </w:t>
      </w:r>
      <w:r w:rsidR="000C41C2" w:rsidRPr="000D55CA">
        <w:rPr>
          <w:snapToGrid w:val="0"/>
          <w:lang w:val="en-GB"/>
        </w:rPr>
        <w:t>locally advanced (Stage III) or metastatic (Stage IV) urothelial cancer b</w:t>
      </w:r>
      <w:r w:rsidR="00974DBA" w:rsidRPr="000D55CA">
        <w:rPr>
          <w:snapToGrid w:val="0"/>
          <w:lang w:val="en-GB"/>
        </w:rPr>
        <w:t>e</w:t>
      </w:r>
      <w:r w:rsidR="000C41C2" w:rsidRPr="000D55CA">
        <w:rPr>
          <w:snapToGrid w:val="0"/>
          <w:lang w:val="en-GB"/>
        </w:rPr>
        <w:t xml:space="preserve"> amen</w:t>
      </w:r>
      <w:r w:rsidRPr="000D55CA">
        <w:rPr>
          <w:snapToGrid w:val="0"/>
          <w:lang w:val="en-GB"/>
        </w:rPr>
        <w:t>ded. The PBAC considered</w:t>
      </w:r>
      <w:r w:rsidR="000D55CA" w:rsidRPr="000D55CA">
        <w:rPr>
          <w:snapToGrid w:val="0"/>
          <w:lang w:val="en-GB"/>
        </w:rPr>
        <w:t xml:space="preserve"> </w:t>
      </w:r>
      <w:r w:rsidR="00D47EBD" w:rsidRPr="000D55CA">
        <w:rPr>
          <w:snapToGrid w:val="0"/>
          <w:lang w:val="en-GB"/>
        </w:rPr>
        <w:t>there was insufficient basis to amend its previous advice</w:t>
      </w:r>
      <w:r w:rsidR="0048788B">
        <w:rPr>
          <w:snapToGrid w:val="0"/>
          <w:lang w:val="en-GB"/>
        </w:rPr>
        <w:t xml:space="preserve"> with regards to subsidisation caps and rebate level</w:t>
      </w:r>
      <w:r w:rsidR="00962656" w:rsidRPr="000D55CA">
        <w:rPr>
          <w:snapToGrid w:val="0"/>
          <w:lang w:val="en-GB"/>
        </w:rPr>
        <w:t xml:space="preserve">. </w:t>
      </w:r>
      <w:r w:rsidR="000D55CA" w:rsidRPr="000D55CA">
        <w:rPr>
          <w:rFonts w:cs="Arial"/>
          <w:snapToGrid w:val="0"/>
          <w:lang w:val="en-GB"/>
        </w:rPr>
        <w:t xml:space="preserve">The PBAC noted the 1 October 2022 listing of avelumab as first-line (1L) maintenance treatment for urothelial cancer </w:t>
      </w:r>
      <w:r w:rsidR="009C741D">
        <w:rPr>
          <w:rFonts w:cs="Arial"/>
          <w:snapToGrid w:val="0"/>
          <w:lang w:val="en-GB"/>
        </w:rPr>
        <w:t>is likely to continue to reduce</w:t>
      </w:r>
      <w:r w:rsidR="009C741D" w:rsidRPr="000D55CA">
        <w:rPr>
          <w:rFonts w:cs="Arial"/>
          <w:snapToGrid w:val="0"/>
          <w:lang w:val="en-GB"/>
        </w:rPr>
        <w:t xml:space="preserve"> the uptake rate of second-line (2L) pembrolizumab </w:t>
      </w:r>
      <w:r w:rsidR="009C741D">
        <w:rPr>
          <w:rFonts w:cs="Arial"/>
          <w:snapToGrid w:val="0"/>
          <w:lang w:val="en-GB"/>
        </w:rPr>
        <w:t>steadily because</w:t>
      </w:r>
      <w:r w:rsidR="000D55CA" w:rsidRPr="000D55CA">
        <w:rPr>
          <w:rFonts w:cs="Arial"/>
          <w:snapToGrid w:val="0"/>
          <w:lang w:val="en-GB"/>
        </w:rPr>
        <w:t xml:space="preserve"> restrictions for pembrolizumab prevent sequential use following </w:t>
      </w:r>
      <w:r w:rsidR="009C741D">
        <w:rPr>
          <w:rFonts w:cs="Arial"/>
          <w:snapToGrid w:val="0"/>
          <w:lang w:val="en-GB"/>
        </w:rPr>
        <w:t xml:space="preserve">treatment with </w:t>
      </w:r>
      <w:r w:rsidR="000D55CA" w:rsidRPr="000D55CA">
        <w:rPr>
          <w:rFonts w:cs="Arial"/>
          <w:snapToGrid w:val="0"/>
          <w:lang w:val="en-GB"/>
        </w:rPr>
        <w:t>avelumab</w:t>
      </w:r>
      <w:r w:rsidR="009C741D">
        <w:rPr>
          <w:rFonts w:cs="Arial"/>
          <w:snapToGrid w:val="0"/>
          <w:lang w:val="en-GB"/>
        </w:rPr>
        <w:t>.</w:t>
      </w:r>
    </w:p>
    <w:p w14:paraId="13D0929A" w14:textId="661DC471" w:rsidR="003B2DF3" w:rsidRPr="006D6580" w:rsidRDefault="00B3116C" w:rsidP="00DB6537">
      <w:pPr>
        <w:pStyle w:val="3Bodytext"/>
        <w:numPr>
          <w:ilvl w:val="1"/>
          <w:numId w:val="2"/>
        </w:numPr>
        <w:jc w:val="both"/>
        <w:rPr>
          <w:snapToGrid w:val="0"/>
          <w:lang w:val="en-GB"/>
        </w:rPr>
      </w:pPr>
      <w:r w:rsidRPr="006D6580">
        <w:rPr>
          <w:snapToGrid w:val="0"/>
          <w:lang w:val="en-GB"/>
        </w:rPr>
        <w:t>T</w:t>
      </w:r>
      <w:r>
        <w:rPr>
          <w:snapToGrid w:val="0"/>
          <w:lang w:val="en-GB"/>
        </w:rPr>
        <w:t xml:space="preserve">he PBAC noted that the submission requested a change to the existing Deed for pembrolizumab in urothelial cancer, to </w:t>
      </w:r>
      <w:r w:rsidRPr="006D6580">
        <w:rPr>
          <w:snapToGrid w:val="0"/>
          <w:lang w:val="en-GB"/>
        </w:rPr>
        <w:t xml:space="preserve">increase the subsidisation caps for Year 4 and Year 5 to reflect the </w:t>
      </w:r>
      <w:r>
        <w:rPr>
          <w:snapToGrid w:val="0"/>
          <w:lang w:val="en-GB"/>
        </w:rPr>
        <w:t>higher than for</w:t>
      </w:r>
      <w:r w:rsidR="0022046D">
        <w:rPr>
          <w:snapToGrid w:val="0"/>
          <w:lang w:val="en-GB"/>
        </w:rPr>
        <w:t>e</w:t>
      </w:r>
      <w:r>
        <w:rPr>
          <w:snapToGrid w:val="0"/>
          <w:lang w:val="en-GB"/>
        </w:rPr>
        <w:t>cast</w:t>
      </w:r>
      <w:r w:rsidR="005A6DD8">
        <w:rPr>
          <w:snapToGrid w:val="0"/>
          <w:lang w:val="en-GB"/>
        </w:rPr>
        <w:t>ed</w:t>
      </w:r>
      <w:r>
        <w:rPr>
          <w:snapToGrid w:val="0"/>
          <w:lang w:val="en-GB"/>
        </w:rPr>
        <w:t xml:space="preserve"> utilisation</w:t>
      </w:r>
      <w:r w:rsidRPr="006D6580">
        <w:rPr>
          <w:snapToGrid w:val="0"/>
          <w:lang w:val="en-GB"/>
        </w:rPr>
        <w:t xml:space="preserve"> since </w:t>
      </w:r>
      <w:r>
        <w:rPr>
          <w:snapToGrid w:val="0"/>
          <w:lang w:val="en-GB"/>
        </w:rPr>
        <w:t xml:space="preserve">PBS </w:t>
      </w:r>
      <w:r w:rsidRPr="006D6580">
        <w:rPr>
          <w:snapToGrid w:val="0"/>
          <w:lang w:val="en-GB"/>
        </w:rPr>
        <w:t xml:space="preserve">listing on </w:t>
      </w:r>
      <w:r w:rsidR="00853321" w:rsidRPr="006D6580">
        <w:rPr>
          <w:snapToGrid w:val="0"/>
          <w:lang w:val="en-GB"/>
        </w:rPr>
        <w:t>1</w:t>
      </w:r>
      <w:r w:rsidR="00853321">
        <w:rPr>
          <w:snapToGrid w:val="0"/>
          <w:lang w:val="en-GB"/>
        </w:rPr>
        <w:t> </w:t>
      </w:r>
      <w:r w:rsidRPr="006D6580">
        <w:rPr>
          <w:snapToGrid w:val="0"/>
          <w:lang w:val="en-GB"/>
        </w:rPr>
        <w:t>March</w:t>
      </w:r>
      <w:r w:rsidR="00853321">
        <w:rPr>
          <w:snapToGrid w:val="0"/>
          <w:lang w:val="en-GB"/>
        </w:rPr>
        <w:t> </w:t>
      </w:r>
      <w:r w:rsidRPr="006D6580">
        <w:rPr>
          <w:snapToGrid w:val="0"/>
          <w:lang w:val="en-GB"/>
        </w:rPr>
        <w:t>2019.</w:t>
      </w:r>
      <w:r>
        <w:rPr>
          <w:snapToGrid w:val="0"/>
          <w:lang w:val="en-GB"/>
        </w:rPr>
        <w:t xml:space="preserve"> The PBAC noted that script number</w:t>
      </w:r>
      <w:r w:rsidR="0022046D">
        <w:rPr>
          <w:snapToGrid w:val="0"/>
          <w:lang w:val="en-GB"/>
        </w:rPr>
        <w:t>s</w:t>
      </w:r>
      <w:r>
        <w:rPr>
          <w:snapToGrid w:val="0"/>
          <w:lang w:val="en-GB"/>
        </w:rPr>
        <w:t xml:space="preserve"> in year 1 were lower than forecast</w:t>
      </w:r>
      <w:r w:rsidR="005A6DD8">
        <w:rPr>
          <w:snapToGrid w:val="0"/>
          <w:lang w:val="en-GB"/>
        </w:rPr>
        <w:t>ed</w:t>
      </w:r>
      <w:r>
        <w:rPr>
          <w:snapToGrid w:val="0"/>
          <w:lang w:val="en-GB"/>
        </w:rPr>
        <w:t xml:space="preserve"> and the cap was not met, however script number</w:t>
      </w:r>
      <w:r w:rsidR="00510E15">
        <w:rPr>
          <w:snapToGrid w:val="0"/>
          <w:lang w:val="en-GB"/>
        </w:rPr>
        <w:t>s</w:t>
      </w:r>
      <w:r>
        <w:rPr>
          <w:snapToGrid w:val="0"/>
          <w:lang w:val="en-GB"/>
        </w:rPr>
        <w:t xml:space="preserve"> were </w:t>
      </w:r>
      <w:r w:rsidR="00B50E40">
        <w:rPr>
          <w:snapToGrid w:val="0"/>
          <w:lang w:val="en-GB"/>
        </w:rPr>
        <w:t xml:space="preserve">25% </w:t>
      </w:r>
      <w:r>
        <w:rPr>
          <w:snapToGrid w:val="0"/>
          <w:lang w:val="en-GB"/>
        </w:rPr>
        <w:t>higher than forecast</w:t>
      </w:r>
      <w:r w:rsidR="005A6DD8">
        <w:rPr>
          <w:snapToGrid w:val="0"/>
          <w:lang w:val="en-GB"/>
        </w:rPr>
        <w:t>ed</w:t>
      </w:r>
      <w:r>
        <w:rPr>
          <w:snapToGrid w:val="0"/>
          <w:lang w:val="en-GB"/>
        </w:rPr>
        <w:t xml:space="preserve"> in</w:t>
      </w:r>
      <w:r w:rsidR="00B50E40">
        <w:rPr>
          <w:snapToGrid w:val="0"/>
          <w:lang w:val="en-GB"/>
        </w:rPr>
        <w:t xml:space="preserve"> year 2 and 28% higher in year 3</w:t>
      </w:r>
      <w:r w:rsidR="0022046D">
        <w:rPr>
          <w:snapToGrid w:val="0"/>
          <w:lang w:val="en-GB"/>
        </w:rPr>
        <w:t xml:space="preserve"> of listing</w:t>
      </w:r>
      <w:r w:rsidR="00B50E40">
        <w:rPr>
          <w:snapToGrid w:val="0"/>
          <w:lang w:val="en-GB"/>
        </w:rPr>
        <w:t>, resulting in usage above the agreed expenditure caps</w:t>
      </w:r>
      <w:r w:rsidR="0022046D">
        <w:rPr>
          <w:snapToGrid w:val="0"/>
          <w:lang w:val="en-GB"/>
        </w:rPr>
        <w:t xml:space="preserve">. </w:t>
      </w:r>
      <w:r w:rsidRPr="00401042">
        <w:rPr>
          <w:rFonts w:cs="Arial"/>
          <w:snapToGrid w:val="0"/>
          <w:lang w:val="en-GB"/>
        </w:rPr>
        <w:t>The PBAC recall</w:t>
      </w:r>
      <w:r w:rsidRPr="006D6580">
        <w:rPr>
          <w:rFonts w:cs="Arial"/>
          <w:snapToGrid w:val="0"/>
          <w:lang w:val="en-GB"/>
        </w:rPr>
        <w:t>ed that the RSA with financial caps was established to address the highly uncertain financial impact of pembrolizumab because 1) the patient numbers were likely underestimated; 2) there was a risk of use outside the requested restriction into 1L treatment of cisplatin-ineligible patients and 3) the duration of pembrolizumab use may be longer than estimated.</w:t>
      </w:r>
      <w:r w:rsidR="00510E15">
        <w:rPr>
          <w:rFonts w:cs="Arial"/>
          <w:snapToGrid w:val="0"/>
          <w:lang w:val="en-GB"/>
        </w:rPr>
        <w:t xml:space="preserve"> </w:t>
      </w:r>
      <w:r w:rsidR="00510E15">
        <w:rPr>
          <w:snapToGrid w:val="0"/>
          <w:lang w:val="en-GB"/>
        </w:rPr>
        <w:t>The PBAC noted that the higher than forecast</w:t>
      </w:r>
      <w:r w:rsidR="005A6DD8">
        <w:rPr>
          <w:snapToGrid w:val="0"/>
          <w:lang w:val="en-GB"/>
        </w:rPr>
        <w:t>ed</w:t>
      </w:r>
      <w:r w:rsidR="00510E15">
        <w:rPr>
          <w:snapToGrid w:val="0"/>
          <w:lang w:val="en-GB"/>
        </w:rPr>
        <w:t xml:space="preserve"> utilisation was due to higher-than-expected patient numbers, rather than longer duration of pembrolizumab use. </w:t>
      </w:r>
    </w:p>
    <w:p w14:paraId="46293BB2" w14:textId="27642BFF" w:rsidR="007C1AA7" w:rsidRDefault="007C1AA7" w:rsidP="00DB6537">
      <w:pPr>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the submission provided updated long-term data from KN045 and concluded that pembrolizumab continues to be cost-effective in all 2L patients and therefore there is no need for financial caps to manage the cost effectiveness of pembrolizumab. The PBAC noted that the updated results were consistent with those presented in the</w:t>
      </w:r>
      <w:r w:rsidR="00EB7A3E">
        <w:rPr>
          <w:rFonts w:asciiTheme="minorHAnsi" w:hAnsiTheme="minorHAnsi" w:cs="Arial"/>
          <w:snapToGrid w:val="0"/>
          <w:lang w:val="en-GB"/>
        </w:rPr>
        <w:t xml:space="preserve"> </w:t>
      </w:r>
      <w:r w:rsidR="008C58B7">
        <w:rPr>
          <w:rFonts w:asciiTheme="minorHAnsi" w:hAnsiTheme="minorHAnsi" w:cs="Arial"/>
          <w:snapToGrid w:val="0"/>
          <w:lang w:val="en-GB"/>
        </w:rPr>
        <w:t>November</w:t>
      </w:r>
      <w:r w:rsidR="00EB7A3E">
        <w:rPr>
          <w:rFonts w:asciiTheme="minorHAnsi" w:hAnsiTheme="minorHAnsi" w:cs="Arial"/>
          <w:snapToGrid w:val="0"/>
          <w:lang w:val="en-GB"/>
        </w:rPr>
        <w:t xml:space="preserve"> 201</w:t>
      </w:r>
      <w:r w:rsidR="008C58B7">
        <w:rPr>
          <w:rFonts w:asciiTheme="minorHAnsi" w:hAnsiTheme="minorHAnsi" w:cs="Arial"/>
          <w:snapToGrid w:val="0"/>
          <w:lang w:val="en-GB"/>
        </w:rPr>
        <w:t>8</w:t>
      </w:r>
      <w:r w:rsidR="00EB7A3E">
        <w:rPr>
          <w:rFonts w:asciiTheme="minorHAnsi" w:hAnsiTheme="minorHAnsi" w:cs="Arial"/>
          <w:snapToGrid w:val="0"/>
          <w:lang w:val="en-GB"/>
        </w:rPr>
        <w:t xml:space="preserve"> submission </w:t>
      </w:r>
      <w:r w:rsidR="008C58B7">
        <w:rPr>
          <w:rFonts w:asciiTheme="minorHAnsi" w:hAnsiTheme="minorHAnsi" w:cs="Arial"/>
          <w:snapToGrid w:val="0"/>
          <w:lang w:val="en-GB"/>
        </w:rPr>
        <w:t>but</w:t>
      </w:r>
      <w:r w:rsidR="00EB7A3E">
        <w:rPr>
          <w:rFonts w:asciiTheme="minorHAnsi" w:hAnsiTheme="minorHAnsi" w:cs="Arial"/>
          <w:snapToGrid w:val="0"/>
          <w:lang w:val="en-GB"/>
        </w:rPr>
        <w:t xml:space="preserve"> considered that the updated data did not address </w:t>
      </w:r>
      <w:r w:rsidR="008C58B7">
        <w:rPr>
          <w:rFonts w:asciiTheme="minorHAnsi" w:hAnsiTheme="minorHAnsi" w:cs="Arial"/>
          <w:snapToGrid w:val="0"/>
          <w:lang w:val="en-GB"/>
        </w:rPr>
        <w:t>the issues noted above, which were the basis for establishing financial caps</w:t>
      </w:r>
      <w:r>
        <w:rPr>
          <w:rFonts w:asciiTheme="minorHAnsi" w:hAnsiTheme="minorHAnsi" w:cs="Arial"/>
          <w:snapToGrid w:val="0"/>
          <w:lang w:val="en-GB"/>
        </w:rPr>
        <w:t>.</w:t>
      </w:r>
    </w:p>
    <w:p w14:paraId="6A7FBDDC" w14:textId="771DCDE0" w:rsidR="00873E2A" w:rsidRPr="00401042" w:rsidRDefault="00873E2A" w:rsidP="00DB6537">
      <w:pPr>
        <w:numPr>
          <w:ilvl w:val="1"/>
          <w:numId w:val="2"/>
        </w:numPr>
        <w:spacing w:after="120"/>
        <w:rPr>
          <w:rFonts w:asciiTheme="minorHAnsi" w:hAnsiTheme="minorHAnsi" w:cs="Arial"/>
          <w:snapToGrid w:val="0"/>
          <w:lang w:val="en-GB"/>
        </w:rPr>
      </w:pPr>
      <w:r w:rsidRPr="00401042">
        <w:rPr>
          <w:rFonts w:asciiTheme="minorHAnsi" w:hAnsiTheme="minorHAnsi" w:cs="Arial"/>
          <w:snapToGrid w:val="0"/>
          <w:lang w:val="en-GB"/>
        </w:rPr>
        <w:t xml:space="preserve">The PBAC noted that the submission argued that </w:t>
      </w:r>
      <w:r w:rsidRPr="006D6580">
        <w:rPr>
          <w:rFonts w:asciiTheme="minorHAnsi" w:hAnsiTheme="minorHAnsi" w:cs="Arial"/>
          <w:snapToGrid w:val="0"/>
          <w:lang w:val="en-GB"/>
        </w:rPr>
        <w:t>the increase in patient numbers was attributable to the COVID-19 pandemic due to a change in recommendations for treating Stage IV urothelial cancer patients</w:t>
      </w:r>
      <w:r w:rsidR="00510E15" w:rsidRPr="006D6580">
        <w:rPr>
          <w:rFonts w:asciiTheme="minorHAnsi" w:hAnsiTheme="minorHAnsi" w:cs="Arial"/>
          <w:snapToGrid w:val="0"/>
          <w:lang w:val="en-GB"/>
        </w:rPr>
        <w:t xml:space="preserve"> with</w:t>
      </w:r>
      <w:r w:rsidRPr="006D6580">
        <w:rPr>
          <w:rFonts w:asciiTheme="minorHAnsi" w:hAnsiTheme="minorHAnsi" w:cs="Arial"/>
          <w:snapToGrid w:val="0"/>
          <w:lang w:val="en-GB"/>
        </w:rPr>
        <w:t xml:space="preserve"> single agent immunotherapy in preference to chemotherapy</w:t>
      </w:r>
      <w:r w:rsidR="00510E15" w:rsidRPr="006D6580">
        <w:rPr>
          <w:rFonts w:asciiTheme="minorHAnsi" w:hAnsiTheme="minorHAnsi" w:cs="Arial"/>
          <w:snapToGrid w:val="0"/>
          <w:lang w:val="en-GB"/>
        </w:rPr>
        <w:t>,</w:t>
      </w:r>
      <w:r w:rsidRPr="006D6580">
        <w:rPr>
          <w:rFonts w:asciiTheme="minorHAnsi" w:hAnsiTheme="minorHAnsi" w:cs="Arial"/>
          <w:snapToGrid w:val="0"/>
          <w:lang w:val="en-GB"/>
        </w:rPr>
        <w:t xml:space="preserve"> given the lower risk of toxicity </w:t>
      </w:r>
      <w:r w:rsidR="008C58B7">
        <w:rPr>
          <w:rFonts w:asciiTheme="minorHAnsi" w:hAnsiTheme="minorHAnsi" w:cs="Arial"/>
          <w:snapToGrid w:val="0"/>
          <w:lang w:val="en-GB"/>
        </w:rPr>
        <w:t>and less frequent dosing.</w:t>
      </w:r>
      <w:r w:rsidRPr="00401042">
        <w:rPr>
          <w:rFonts w:asciiTheme="minorHAnsi" w:hAnsiTheme="minorHAnsi" w:cs="Arial"/>
          <w:snapToGrid w:val="0"/>
          <w:lang w:val="en-GB"/>
        </w:rPr>
        <w:t xml:space="preserve"> </w:t>
      </w:r>
      <w:r w:rsidR="00510E15" w:rsidRPr="006D6580">
        <w:rPr>
          <w:rFonts w:asciiTheme="minorHAnsi" w:hAnsiTheme="minorHAnsi" w:cs="Arial"/>
          <w:snapToGrid w:val="0"/>
          <w:lang w:val="en-GB"/>
        </w:rPr>
        <w:t xml:space="preserve">The PBAC noted that the submission argued that this change in urothelial cancer treatment is now embedded in practice and should be accounted for in year 4 and 5 of the Deed. </w:t>
      </w:r>
      <w:r w:rsidR="00510E15" w:rsidRPr="00F055B8">
        <w:t xml:space="preserve">However, </w:t>
      </w:r>
      <w:r w:rsidR="00510E15">
        <w:t xml:space="preserve">the PBAC considered that </w:t>
      </w:r>
      <w:r w:rsidR="00510E15" w:rsidRPr="00F055B8">
        <w:t xml:space="preserve">regardless of COVID considerations </w:t>
      </w:r>
      <w:r w:rsidR="00510E15" w:rsidRPr="00F055B8">
        <w:lastRenderedPageBreak/>
        <w:t xml:space="preserve">immunotherapy </w:t>
      </w:r>
      <w:r w:rsidR="00510E15">
        <w:t>would</w:t>
      </w:r>
      <w:r w:rsidR="00510E15" w:rsidRPr="00F055B8">
        <w:t xml:space="preserve"> be the preferred </w:t>
      </w:r>
      <w:r w:rsidR="00510E15">
        <w:t>2L</w:t>
      </w:r>
      <w:r w:rsidR="00510E15" w:rsidRPr="00F055B8">
        <w:t xml:space="preserve"> choice for most </w:t>
      </w:r>
      <w:r w:rsidR="00510E15">
        <w:t xml:space="preserve">patients and recalled </w:t>
      </w:r>
      <w:r w:rsidR="00510E15" w:rsidRPr="00F055B8">
        <w:t xml:space="preserve">the July 2018 submission assumed a </w:t>
      </w:r>
      <w:r w:rsidR="00E41BF3" w:rsidRPr="003129AC">
        <w:rPr>
          <w:color w:val="000000"/>
          <w:w w:val="15"/>
          <w:shd w:val="solid" w:color="000000" w:fill="000000"/>
          <w:fitText w:val="-20" w:id="-1304780025"/>
          <w14:textFill>
            <w14:solidFill>
              <w14:srgbClr w14:val="000000">
                <w14:alpha w14:val="100000"/>
              </w14:srgbClr>
            </w14:solidFill>
          </w14:textFill>
        </w:rPr>
        <w:t xml:space="preserve">|##################  </w:t>
      </w:r>
      <w:r w:rsidR="00E41BF3" w:rsidRPr="003129AC">
        <w:rPr>
          <w:color w:val="000000"/>
          <w:spacing w:val="-391"/>
          <w:w w:val="15"/>
          <w:shd w:val="solid" w:color="000000" w:fill="000000"/>
          <w:fitText w:val="-20" w:id="-1304780025"/>
          <w14:textFill>
            <w14:solidFill>
              <w14:srgbClr w14:val="000000">
                <w14:alpha w14:val="100000"/>
              </w14:srgbClr>
            </w14:solidFill>
          </w14:textFill>
        </w:rPr>
        <w:t>|</w:t>
      </w:r>
      <w:r w:rsidR="00510E15" w:rsidRPr="00F055B8">
        <w:t xml:space="preserve">% treatment uptake rate in </w:t>
      </w:r>
      <w:r w:rsidR="00510E15">
        <w:t>2L</w:t>
      </w:r>
      <w:r w:rsidR="00510E15" w:rsidRPr="00F055B8">
        <w:t xml:space="preserve"> patients. </w:t>
      </w:r>
      <w:r w:rsidR="00510E15">
        <w:t>The</w:t>
      </w:r>
      <w:r w:rsidRPr="006D6580">
        <w:rPr>
          <w:rFonts w:asciiTheme="minorHAnsi" w:hAnsiTheme="minorHAnsi" w:cs="Arial"/>
          <w:snapToGrid w:val="0"/>
          <w:lang w:val="en-GB"/>
        </w:rPr>
        <w:t xml:space="preserve"> PBAC </w:t>
      </w:r>
      <w:r w:rsidR="00510E15">
        <w:rPr>
          <w:rFonts w:asciiTheme="minorHAnsi" w:hAnsiTheme="minorHAnsi" w:cs="Arial"/>
          <w:snapToGrid w:val="0"/>
          <w:lang w:val="en-GB"/>
        </w:rPr>
        <w:t>considered</w:t>
      </w:r>
      <w:r w:rsidRPr="00401042">
        <w:rPr>
          <w:rFonts w:asciiTheme="minorHAnsi" w:hAnsiTheme="minorHAnsi" w:cs="Arial"/>
          <w:snapToGrid w:val="0"/>
          <w:lang w:val="en-GB"/>
        </w:rPr>
        <w:t xml:space="preserve"> it is unclear whether impacts of the pandemic have resulted in an</w:t>
      </w:r>
      <w:r w:rsidRPr="006D6580">
        <w:rPr>
          <w:rFonts w:asciiTheme="minorHAnsi" w:hAnsiTheme="minorHAnsi" w:cs="Arial"/>
          <w:snapToGrid w:val="0"/>
          <w:lang w:val="en-GB"/>
        </w:rPr>
        <w:t xml:space="preserve"> overall, ongoing increased use of pembrolizumab </w:t>
      </w:r>
      <w:r w:rsidR="00510E15">
        <w:rPr>
          <w:rFonts w:asciiTheme="minorHAnsi" w:hAnsiTheme="minorHAnsi" w:cs="Arial"/>
          <w:snapToGrid w:val="0"/>
          <w:lang w:val="en-GB"/>
        </w:rPr>
        <w:t>in urothelial cancer</w:t>
      </w:r>
      <w:r w:rsidR="007C1AA7">
        <w:rPr>
          <w:rFonts w:asciiTheme="minorHAnsi" w:hAnsiTheme="minorHAnsi" w:cs="Arial"/>
          <w:snapToGrid w:val="0"/>
          <w:lang w:val="en-GB"/>
        </w:rPr>
        <w:t xml:space="preserve"> and that this was insufficient basis for increasing the expenditure caps at this time.</w:t>
      </w:r>
      <w:r w:rsidR="00510E15">
        <w:rPr>
          <w:rFonts w:asciiTheme="minorHAnsi" w:hAnsiTheme="minorHAnsi" w:cs="Arial"/>
          <w:snapToGrid w:val="0"/>
          <w:lang w:val="en-GB"/>
        </w:rPr>
        <w:t xml:space="preserve"> </w:t>
      </w:r>
    </w:p>
    <w:p w14:paraId="1573D2C8" w14:textId="4C64CE31" w:rsidR="00401042" w:rsidRPr="002B47CA" w:rsidRDefault="00401042" w:rsidP="00DB6537">
      <w:pPr>
        <w:pStyle w:val="ListParagraph"/>
        <w:numPr>
          <w:ilvl w:val="1"/>
          <w:numId w:val="2"/>
        </w:numPr>
        <w:spacing w:after="160"/>
        <w:jc w:val="both"/>
      </w:pPr>
      <w:r>
        <w:rPr>
          <w:lang w:val="en-GB"/>
        </w:rPr>
        <w:t xml:space="preserve">The PBAC noted that </w:t>
      </w:r>
      <w:r>
        <w:t xml:space="preserve">from 1 October 2022, avelumab was listed on the PBS for the </w:t>
      </w:r>
      <w:r w:rsidRPr="00A30149">
        <w:t>maintenance treatment of Stage III or Stage IV urothelial carcinoma</w:t>
      </w:r>
      <w:r>
        <w:t xml:space="preserve">. Given avelumab was recommended as first-line maintenance treatment for urothelial cancer, and the restrictions for pembrolizumab prevent sequential use following avelumab, the PBAC considered it is very likely that the listing of avelumab will reduce the uptake rate of pembrolizumab in the second-line setting. </w:t>
      </w:r>
    </w:p>
    <w:p w14:paraId="07FCD3B4" w14:textId="168A12C2" w:rsidR="00401042" w:rsidRDefault="00401042" w:rsidP="00DB6537">
      <w:pPr>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submission provided revised forecasts of pembrolizumab script numbers for years 4 and 5 of the Deed based on PBS data from May 2020 </w:t>
      </w:r>
      <w:r w:rsidRPr="00674FAA">
        <w:t>to December 2021, excluding data from January 2022 to April 2022</w:t>
      </w:r>
      <w:r>
        <w:t xml:space="preserve"> </w:t>
      </w:r>
      <w:r>
        <w:rPr>
          <w:rFonts w:asciiTheme="minorHAnsi" w:hAnsiTheme="minorHAnsi" w:cs="Arial"/>
          <w:snapToGrid w:val="0"/>
          <w:lang w:val="en-GB"/>
        </w:rPr>
        <w:t xml:space="preserve">because there was a reduction in script numbers due to Omicron wave. The PBAC noted it was inconsistent to include PBS data from May 2020 to December 2021 which includes periods affected by the pandemic but to exclude PBS data from January 2022 through to April 2022. The PBAC considered the forecasts based on PBS data from May 2020 to </w:t>
      </w:r>
      <w:r w:rsidR="007120DA">
        <w:rPr>
          <w:rFonts w:asciiTheme="minorHAnsi" w:hAnsiTheme="minorHAnsi" w:cs="Arial"/>
          <w:snapToGrid w:val="0"/>
          <w:lang w:val="en-GB"/>
        </w:rPr>
        <w:t>June</w:t>
      </w:r>
      <w:r>
        <w:rPr>
          <w:rFonts w:asciiTheme="minorHAnsi" w:hAnsiTheme="minorHAnsi" w:cs="Arial"/>
          <w:snapToGrid w:val="0"/>
          <w:lang w:val="en-GB"/>
        </w:rPr>
        <w:t xml:space="preserve"> 2022 </w:t>
      </w:r>
      <w:r w:rsidR="007120DA">
        <w:rPr>
          <w:rFonts w:asciiTheme="minorHAnsi" w:hAnsiTheme="minorHAnsi" w:cs="Arial"/>
          <w:snapToGrid w:val="0"/>
          <w:lang w:val="en-GB"/>
        </w:rPr>
        <w:t>appeared to be</w:t>
      </w:r>
      <w:r>
        <w:rPr>
          <w:rFonts w:asciiTheme="minorHAnsi" w:hAnsiTheme="minorHAnsi" w:cs="Arial"/>
          <w:snapToGrid w:val="0"/>
          <w:lang w:val="en-GB"/>
        </w:rPr>
        <w:t xml:space="preserve"> more reasonable, however </w:t>
      </w:r>
      <w:r w:rsidR="007120DA">
        <w:rPr>
          <w:rFonts w:asciiTheme="minorHAnsi" w:hAnsiTheme="minorHAnsi" w:cs="Arial"/>
          <w:snapToGrid w:val="0"/>
          <w:lang w:val="en-GB"/>
        </w:rPr>
        <w:t>t</w:t>
      </w:r>
      <w:r>
        <w:rPr>
          <w:rFonts w:asciiTheme="minorHAnsi" w:hAnsiTheme="minorHAnsi" w:cs="Arial"/>
          <w:snapToGrid w:val="0"/>
          <w:lang w:val="en-GB"/>
        </w:rPr>
        <w:t xml:space="preserve">he PBAC considered </w:t>
      </w:r>
      <w:r w:rsidR="007120DA">
        <w:rPr>
          <w:rFonts w:asciiTheme="minorHAnsi" w:hAnsiTheme="minorHAnsi" w:cs="Arial"/>
          <w:snapToGrid w:val="0"/>
          <w:lang w:val="en-GB"/>
        </w:rPr>
        <w:t>that</w:t>
      </w:r>
      <w:r>
        <w:rPr>
          <w:rFonts w:asciiTheme="minorHAnsi" w:hAnsiTheme="minorHAnsi" w:cs="Arial"/>
          <w:snapToGrid w:val="0"/>
          <w:lang w:val="en-GB"/>
        </w:rPr>
        <w:t xml:space="preserve"> increasing monthly scripts from January 2022 </w:t>
      </w:r>
      <w:r w:rsidR="007120DA">
        <w:rPr>
          <w:rFonts w:asciiTheme="minorHAnsi" w:hAnsiTheme="minorHAnsi" w:cs="Arial"/>
          <w:snapToGrid w:val="0"/>
          <w:lang w:val="en-GB"/>
        </w:rPr>
        <w:t xml:space="preserve">onwards </w:t>
      </w:r>
      <w:r>
        <w:rPr>
          <w:rFonts w:asciiTheme="minorHAnsi" w:hAnsiTheme="minorHAnsi" w:cs="Arial"/>
          <w:snapToGrid w:val="0"/>
          <w:lang w:val="en-GB"/>
        </w:rPr>
        <w:t xml:space="preserve">appears unlikely based on the current utilisation trend, noting there has been declining month-on-month growth in the utilisation of pembrolizumab. </w:t>
      </w:r>
      <w:r w:rsidR="007120DA">
        <w:rPr>
          <w:rFonts w:asciiTheme="minorHAnsi" w:hAnsiTheme="minorHAnsi" w:cs="Arial"/>
          <w:snapToGrid w:val="0"/>
          <w:lang w:val="en-GB"/>
        </w:rPr>
        <w:t xml:space="preserve">Further, the forecasts assume that the number of patients for pembrolizumab would continue upwards in year 4 and 5, reflecting the trend in the first two years of pembrolizumab listing, despite availability of 1L avelumab on the PBS since October 2022. </w:t>
      </w:r>
      <w:r w:rsidR="007120DA">
        <w:t>The PBAC noted that the pre-PBAC response argued an avelumab patient access program has been available since March 2021 and therefore the pembrolizumab script volumes used as the basis of the submission’s forecast already reflect the use of avelumab in practice.</w:t>
      </w:r>
      <w:r w:rsidR="00CB0C07">
        <w:t xml:space="preserve"> However, </w:t>
      </w:r>
      <w:r w:rsidR="00CB0C07">
        <w:rPr>
          <w:rFonts w:asciiTheme="minorHAnsi" w:hAnsiTheme="minorHAnsi" w:cs="Arial"/>
          <w:snapToGrid w:val="0"/>
          <w:lang w:val="en-GB"/>
        </w:rPr>
        <w:t>the PBAC considered that pembrolizumab script numbers are unlikely to have</w:t>
      </w:r>
      <w:r w:rsidR="00CB0C07" w:rsidRPr="00734F29">
        <w:rPr>
          <w:rFonts w:asciiTheme="minorHAnsi" w:hAnsiTheme="minorHAnsi" w:cs="Arial"/>
          <w:snapToGrid w:val="0"/>
          <w:lang w:val="en-GB"/>
        </w:rPr>
        <w:t xml:space="preserve"> a </w:t>
      </w:r>
      <w:r w:rsidR="00CB0C07">
        <w:rPr>
          <w:rFonts w:asciiTheme="minorHAnsi" w:hAnsiTheme="minorHAnsi" w:cs="Arial"/>
          <w:snapToGrid w:val="0"/>
          <w:lang w:val="en-GB"/>
        </w:rPr>
        <w:t xml:space="preserve">reached a </w:t>
      </w:r>
      <w:r w:rsidR="00CB0C07" w:rsidRPr="00734F29">
        <w:rPr>
          <w:rFonts w:asciiTheme="minorHAnsi" w:hAnsiTheme="minorHAnsi" w:cs="Arial"/>
          <w:snapToGrid w:val="0"/>
          <w:lang w:val="en-GB"/>
        </w:rPr>
        <w:t xml:space="preserve">steady state since avelumab </w:t>
      </w:r>
      <w:r w:rsidR="00CB0C07">
        <w:rPr>
          <w:rFonts w:asciiTheme="minorHAnsi" w:hAnsiTheme="minorHAnsi" w:cs="Arial"/>
          <w:snapToGrid w:val="0"/>
          <w:lang w:val="en-GB"/>
        </w:rPr>
        <w:t xml:space="preserve">became available </w:t>
      </w:r>
      <w:r w:rsidR="00CB0C07" w:rsidRPr="00734F29">
        <w:rPr>
          <w:rFonts w:asciiTheme="minorHAnsi" w:hAnsiTheme="minorHAnsi" w:cs="Arial"/>
          <w:snapToGrid w:val="0"/>
          <w:lang w:val="en-GB"/>
        </w:rPr>
        <w:t>as 1L</w:t>
      </w:r>
      <w:r w:rsidR="00CB0C07">
        <w:rPr>
          <w:rFonts w:asciiTheme="minorHAnsi" w:hAnsiTheme="minorHAnsi" w:cs="Arial"/>
          <w:snapToGrid w:val="0"/>
          <w:lang w:val="en-GB"/>
        </w:rPr>
        <w:t xml:space="preserve"> treatment for urothelial cancer</w:t>
      </w:r>
      <w:r w:rsidR="00CB0C07" w:rsidRPr="00734F29">
        <w:rPr>
          <w:rFonts w:asciiTheme="minorHAnsi" w:hAnsiTheme="minorHAnsi" w:cs="Arial"/>
          <w:snapToGrid w:val="0"/>
          <w:lang w:val="en-GB"/>
        </w:rPr>
        <w:t>. The</w:t>
      </w:r>
      <w:r w:rsidR="00CB0C07">
        <w:rPr>
          <w:rFonts w:asciiTheme="minorHAnsi" w:hAnsiTheme="minorHAnsi" w:cs="Arial"/>
          <w:snapToGrid w:val="0"/>
          <w:lang w:val="en-GB"/>
        </w:rPr>
        <w:t>refore, the</w:t>
      </w:r>
      <w:r w:rsidR="00CB0C07" w:rsidRPr="00734F29">
        <w:rPr>
          <w:rFonts w:asciiTheme="minorHAnsi" w:hAnsiTheme="minorHAnsi" w:cs="Arial"/>
          <w:snapToGrid w:val="0"/>
          <w:lang w:val="en-GB"/>
        </w:rPr>
        <w:t xml:space="preserve"> PBAC considered that </w:t>
      </w:r>
      <w:r w:rsidR="009D33BE">
        <w:rPr>
          <w:rFonts w:asciiTheme="minorHAnsi" w:hAnsiTheme="minorHAnsi" w:cs="Arial"/>
          <w:snapToGrid w:val="0"/>
          <w:lang w:val="en-GB"/>
        </w:rPr>
        <w:t xml:space="preserve">forecast </w:t>
      </w:r>
      <w:r w:rsidR="00CB0C07">
        <w:rPr>
          <w:rFonts w:asciiTheme="minorHAnsi" w:hAnsiTheme="minorHAnsi" w:cs="Arial"/>
          <w:snapToGrid w:val="0"/>
          <w:lang w:val="en-GB"/>
        </w:rPr>
        <w:t xml:space="preserve">pembrolizumab script numbers for years 4 and 5 of the Deed are uncertain and likely to be overestimated in the submission, however it </w:t>
      </w:r>
      <w:r w:rsidR="009D33BE">
        <w:rPr>
          <w:rFonts w:asciiTheme="minorHAnsi" w:hAnsiTheme="minorHAnsi" w:cs="Arial"/>
          <w:snapToGrid w:val="0"/>
          <w:lang w:val="en-GB"/>
        </w:rPr>
        <w:t>is</w:t>
      </w:r>
      <w:r w:rsidR="00CB0C07">
        <w:rPr>
          <w:rFonts w:asciiTheme="minorHAnsi" w:hAnsiTheme="minorHAnsi" w:cs="Arial"/>
          <w:snapToGrid w:val="0"/>
          <w:lang w:val="en-GB"/>
        </w:rPr>
        <w:t xml:space="preserve"> too early to </w:t>
      </w:r>
      <w:r w:rsidR="009D33BE">
        <w:rPr>
          <w:rFonts w:asciiTheme="minorHAnsi" w:hAnsiTheme="minorHAnsi" w:cs="Arial"/>
          <w:snapToGrid w:val="0"/>
          <w:lang w:val="en-GB"/>
        </w:rPr>
        <w:t xml:space="preserve">reliably </w:t>
      </w:r>
      <w:r w:rsidR="00CB0C07">
        <w:rPr>
          <w:rFonts w:asciiTheme="minorHAnsi" w:hAnsiTheme="minorHAnsi" w:cs="Arial"/>
          <w:snapToGrid w:val="0"/>
          <w:lang w:val="en-GB"/>
        </w:rPr>
        <w:t>predict pembrolizumab utilisation</w:t>
      </w:r>
      <w:r w:rsidR="009D33BE">
        <w:rPr>
          <w:rFonts w:asciiTheme="minorHAnsi" w:hAnsiTheme="minorHAnsi" w:cs="Arial"/>
          <w:snapToGrid w:val="0"/>
          <w:lang w:val="en-GB"/>
        </w:rPr>
        <w:t>.</w:t>
      </w:r>
    </w:p>
    <w:p w14:paraId="68604F05" w14:textId="10F59CF4" w:rsidR="00A91310" w:rsidRPr="006D6580" w:rsidRDefault="00A91310" w:rsidP="00DB6537">
      <w:pPr>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submission requested that the PBAC consider </w:t>
      </w:r>
      <w:r w:rsidR="009D33BE">
        <w:rPr>
          <w:rFonts w:asciiTheme="minorHAnsi" w:hAnsiTheme="minorHAnsi" w:cs="Arial"/>
          <w:snapToGrid w:val="0"/>
          <w:lang w:val="en-GB"/>
        </w:rPr>
        <w:t xml:space="preserve">recommending </w:t>
      </w:r>
      <w:r>
        <w:rPr>
          <w:rFonts w:asciiTheme="minorHAnsi" w:hAnsiTheme="minorHAnsi" w:cs="Arial"/>
          <w:snapToGrid w:val="0"/>
          <w:lang w:val="en-GB"/>
        </w:rPr>
        <w:t>revisi</w:t>
      </w:r>
      <w:r w:rsidR="009D33BE">
        <w:rPr>
          <w:rFonts w:asciiTheme="minorHAnsi" w:hAnsiTheme="minorHAnsi" w:cs="Arial"/>
          <w:snapToGrid w:val="0"/>
          <w:lang w:val="en-GB"/>
        </w:rPr>
        <w:t>on of</w:t>
      </w:r>
      <w:r>
        <w:rPr>
          <w:rFonts w:asciiTheme="minorHAnsi" w:hAnsiTheme="minorHAnsi" w:cs="Arial"/>
          <w:snapToGrid w:val="0"/>
          <w:lang w:val="en-GB"/>
        </w:rPr>
        <w:t xml:space="preserve"> the subsidisation cap rebate level </w:t>
      </w:r>
      <w:r w:rsidR="009D33BE">
        <w:rPr>
          <w:rFonts w:asciiTheme="minorHAnsi" w:hAnsiTheme="minorHAnsi" w:cs="Arial"/>
          <w:snapToGrid w:val="0"/>
          <w:lang w:val="en-GB"/>
        </w:rPr>
        <w:t xml:space="preserve">from </w:t>
      </w:r>
      <w:r w:rsidR="00E41BF3" w:rsidRPr="003129AC">
        <w:rPr>
          <w:rFonts w:asciiTheme="minorHAnsi" w:hAnsiTheme="minorHAnsi" w:cs="Arial"/>
          <w:snapToGrid w:val="0"/>
          <w:color w:val="000000"/>
          <w:w w:val="15"/>
          <w:shd w:val="solid" w:color="000000" w:fill="000000"/>
          <w:fitText w:val="-20" w:id="-1304780024"/>
          <w:lang w:val="en-GB"/>
          <w14:textFill>
            <w14:solidFill>
              <w14:srgbClr w14:val="000000">
                <w14:alpha w14:val="100000"/>
              </w14:srgbClr>
            </w14:solidFill>
          </w14:textFill>
        </w:rPr>
        <w:t xml:space="preserve">|##############  </w:t>
      </w:r>
      <w:r w:rsidR="00E41BF3" w:rsidRPr="003129AC">
        <w:rPr>
          <w:rFonts w:asciiTheme="minorHAnsi" w:hAnsiTheme="minorHAnsi" w:cs="Arial"/>
          <w:snapToGrid w:val="0"/>
          <w:color w:val="000000"/>
          <w:spacing w:val="-320"/>
          <w:w w:val="15"/>
          <w:shd w:val="solid" w:color="000000" w:fill="000000"/>
          <w:fitText w:val="-20" w:id="-1304780024"/>
          <w:lang w:val="en-GB"/>
          <w14:textFill>
            <w14:solidFill>
              <w14:srgbClr w14:val="000000">
                <w14:alpha w14:val="100000"/>
              </w14:srgbClr>
            </w14:solidFill>
          </w14:textFill>
        </w:rPr>
        <w:t>|</w:t>
      </w:r>
      <w:r>
        <w:rPr>
          <w:rFonts w:asciiTheme="minorHAnsi" w:hAnsiTheme="minorHAnsi" w:cs="Arial"/>
          <w:snapToGrid w:val="0"/>
          <w:lang w:val="en-GB"/>
        </w:rPr>
        <w:t xml:space="preserve">% to </w:t>
      </w:r>
      <w:r w:rsidR="00E41BF3" w:rsidRPr="003129AC">
        <w:rPr>
          <w:rFonts w:asciiTheme="minorHAnsi" w:hAnsiTheme="minorHAnsi" w:cs="Arial"/>
          <w:snapToGrid w:val="0"/>
          <w:color w:val="000000"/>
          <w:w w:val="15"/>
          <w:shd w:val="solid" w:color="000000" w:fill="000000"/>
          <w:fitText w:val="-20" w:id="-1304780023"/>
          <w:lang w:val="en-GB"/>
          <w14:textFill>
            <w14:solidFill>
              <w14:srgbClr w14:val="000000">
                <w14:alpha w14:val="100000"/>
              </w14:srgbClr>
            </w14:solidFill>
          </w14:textFill>
        </w:rPr>
        <w:t xml:space="preserve">|###########  </w:t>
      </w:r>
      <w:r w:rsidR="00E41BF3" w:rsidRPr="003129AC">
        <w:rPr>
          <w:rFonts w:asciiTheme="minorHAnsi" w:hAnsiTheme="minorHAnsi" w:cs="Arial"/>
          <w:snapToGrid w:val="0"/>
          <w:color w:val="000000"/>
          <w:spacing w:val="-266"/>
          <w:w w:val="15"/>
          <w:shd w:val="solid" w:color="000000" w:fill="000000"/>
          <w:fitText w:val="-20" w:id="-1304780023"/>
          <w:lang w:val="en-GB"/>
          <w14:textFill>
            <w14:solidFill>
              <w14:srgbClr w14:val="000000">
                <w14:alpha w14:val="100000"/>
              </w14:srgbClr>
            </w14:solidFill>
          </w14:textFill>
        </w:rPr>
        <w:t>|</w:t>
      </w:r>
      <w:r>
        <w:rPr>
          <w:rFonts w:asciiTheme="minorHAnsi" w:hAnsiTheme="minorHAnsi" w:cs="Arial"/>
          <w:snapToGrid w:val="0"/>
          <w:lang w:val="en-GB"/>
        </w:rPr>
        <w:t>%</w:t>
      </w:r>
      <w:r w:rsidR="009D33BE">
        <w:rPr>
          <w:rFonts w:asciiTheme="minorHAnsi" w:hAnsiTheme="minorHAnsi" w:cs="Arial"/>
          <w:snapToGrid w:val="0"/>
          <w:lang w:val="en-GB"/>
        </w:rPr>
        <w:t>,</w:t>
      </w:r>
      <w:r>
        <w:rPr>
          <w:rFonts w:asciiTheme="minorHAnsi" w:hAnsiTheme="minorHAnsi" w:cs="Arial"/>
          <w:snapToGrid w:val="0"/>
          <w:lang w:val="en-GB"/>
        </w:rPr>
        <w:t xml:space="preserve"> consistent with the pembrolizumab for colorectal cancer Deed.</w:t>
      </w:r>
      <w:r w:rsidR="009039A9">
        <w:rPr>
          <w:rFonts w:asciiTheme="minorHAnsi" w:hAnsiTheme="minorHAnsi" w:cs="Arial"/>
          <w:snapToGrid w:val="0"/>
          <w:lang w:val="en-GB"/>
        </w:rPr>
        <w:t xml:space="preserve"> </w:t>
      </w:r>
      <w:r w:rsidR="00A80CC7">
        <w:rPr>
          <w:rFonts w:asciiTheme="minorHAnsi" w:hAnsiTheme="minorHAnsi" w:cs="Arial"/>
          <w:snapToGrid w:val="0"/>
          <w:lang w:val="en-GB"/>
        </w:rPr>
        <w:t xml:space="preserve">The PBAC recalled </w:t>
      </w:r>
      <w:r w:rsidR="009039A9">
        <w:rPr>
          <w:rFonts w:asciiTheme="minorHAnsi" w:hAnsiTheme="minorHAnsi" w:cs="Arial"/>
          <w:snapToGrid w:val="0"/>
          <w:lang w:val="en-GB"/>
        </w:rPr>
        <w:t xml:space="preserve">that it previously recommended </w:t>
      </w:r>
      <w:r w:rsidR="009039A9" w:rsidRPr="002E5F5C">
        <w:rPr>
          <w:rFonts w:asciiTheme="minorHAnsi" w:hAnsiTheme="minorHAnsi" w:cs="Arial"/>
          <w:snapToGrid w:val="0"/>
          <w:lang w:val="en-GB"/>
        </w:rPr>
        <w:t>a 100% rebate</w:t>
      </w:r>
      <w:r w:rsidR="009039A9">
        <w:rPr>
          <w:rFonts w:asciiTheme="minorHAnsi" w:hAnsiTheme="minorHAnsi" w:cs="Arial"/>
          <w:snapToGrid w:val="0"/>
          <w:lang w:val="en-GB"/>
        </w:rPr>
        <w:t xml:space="preserve"> </w:t>
      </w:r>
      <w:r w:rsidR="0048788B">
        <w:rPr>
          <w:rFonts w:asciiTheme="minorHAnsi" w:hAnsiTheme="minorHAnsi" w:cs="Arial"/>
          <w:snapToGrid w:val="0"/>
          <w:lang w:val="en-GB"/>
        </w:rPr>
        <w:t>in order to retain the ICER/QALY estimates where there may be leakage into 1L/cisplatin-ineligible patients or treatment beyond progression</w:t>
      </w:r>
      <w:r w:rsidR="009039A9">
        <w:rPr>
          <w:rFonts w:asciiTheme="minorHAnsi" w:hAnsiTheme="minorHAnsi" w:cs="Arial"/>
          <w:snapToGrid w:val="0"/>
          <w:lang w:val="en-GB"/>
        </w:rPr>
        <w:t xml:space="preserve">. The PBAC considered </w:t>
      </w:r>
      <w:r w:rsidR="0048788B">
        <w:rPr>
          <w:rFonts w:asciiTheme="minorHAnsi" w:hAnsiTheme="minorHAnsi" w:cs="Arial"/>
          <w:snapToGrid w:val="0"/>
          <w:lang w:val="en-GB"/>
        </w:rPr>
        <w:t>the submission did not provide a sufficient</w:t>
      </w:r>
      <w:r w:rsidR="00B672BF">
        <w:rPr>
          <w:rFonts w:asciiTheme="minorHAnsi" w:hAnsiTheme="minorHAnsi" w:cs="Arial"/>
          <w:snapToGrid w:val="0"/>
          <w:lang w:val="en-GB"/>
        </w:rPr>
        <w:t xml:space="preserve"> basis for reducing the rebate level from </w:t>
      </w:r>
      <w:r w:rsidR="00E41BF3" w:rsidRPr="003129AC">
        <w:rPr>
          <w:rFonts w:asciiTheme="minorHAnsi" w:hAnsiTheme="minorHAnsi" w:cs="Arial"/>
          <w:snapToGrid w:val="0"/>
          <w:color w:val="000000"/>
          <w:w w:val="15"/>
          <w:shd w:val="solid" w:color="000000" w:fill="000000"/>
          <w:fitText w:val="-20" w:id="-1304780022"/>
          <w:lang w:val="en-GB"/>
          <w14:textFill>
            <w14:solidFill>
              <w14:srgbClr w14:val="000000">
                <w14:alpha w14:val="100000"/>
              </w14:srgbClr>
            </w14:solidFill>
          </w14:textFill>
        </w:rPr>
        <w:t xml:space="preserve">|##############  </w:t>
      </w:r>
      <w:r w:rsidR="00E41BF3" w:rsidRPr="003129AC">
        <w:rPr>
          <w:rFonts w:asciiTheme="minorHAnsi" w:hAnsiTheme="minorHAnsi" w:cs="Arial"/>
          <w:snapToGrid w:val="0"/>
          <w:color w:val="000000"/>
          <w:spacing w:val="-320"/>
          <w:w w:val="15"/>
          <w:shd w:val="solid" w:color="000000" w:fill="000000"/>
          <w:fitText w:val="-20" w:id="-1304780022"/>
          <w:lang w:val="en-GB"/>
          <w14:textFill>
            <w14:solidFill>
              <w14:srgbClr w14:val="000000">
                <w14:alpha w14:val="100000"/>
              </w14:srgbClr>
            </w14:solidFill>
          </w14:textFill>
        </w:rPr>
        <w:t>|</w:t>
      </w:r>
      <w:r w:rsidR="00B672BF">
        <w:rPr>
          <w:rFonts w:asciiTheme="minorHAnsi" w:hAnsiTheme="minorHAnsi" w:cs="Arial"/>
          <w:snapToGrid w:val="0"/>
          <w:lang w:val="en-GB"/>
        </w:rPr>
        <w:t xml:space="preserve">% to </w:t>
      </w:r>
      <w:r w:rsidR="00E41BF3" w:rsidRPr="003129AC">
        <w:rPr>
          <w:rFonts w:asciiTheme="minorHAnsi" w:hAnsiTheme="minorHAnsi" w:cs="Arial"/>
          <w:snapToGrid w:val="0"/>
          <w:color w:val="000000"/>
          <w:w w:val="15"/>
          <w:shd w:val="solid" w:color="000000" w:fill="000000"/>
          <w:fitText w:val="-20" w:id="-1304780021"/>
          <w:lang w:val="en-GB"/>
          <w14:textFill>
            <w14:solidFill>
              <w14:srgbClr w14:val="000000">
                <w14:alpha w14:val="100000"/>
              </w14:srgbClr>
            </w14:solidFill>
          </w14:textFill>
        </w:rPr>
        <w:t xml:space="preserve">|###############  </w:t>
      </w:r>
      <w:r w:rsidR="00E41BF3" w:rsidRPr="003129AC">
        <w:rPr>
          <w:rFonts w:asciiTheme="minorHAnsi" w:hAnsiTheme="minorHAnsi" w:cs="Arial"/>
          <w:snapToGrid w:val="0"/>
          <w:color w:val="000000"/>
          <w:spacing w:val="-338"/>
          <w:w w:val="15"/>
          <w:shd w:val="solid" w:color="000000" w:fill="000000"/>
          <w:fitText w:val="-20" w:id="-1304780021"/>
          <w:lang w:val="en-GB"/>
          <w14:textFill>
            <w14:solidFill>
              <w14:srgbClr w14:val="000000">
                <w14:alpha w14:val="100000"/>
              </w14:srgbClr>
            </w14:solidFill>
          </w14:textFill>
        </w:rPr>
        <w:t>|</w:t>
      </w:r>
      <w:r w:rsidR="00B672BF">
        <w:rPr>
          <w:rFonts w:asciiTheme="minorHAnsi" w:hAnsiTheme="minorHAnsi" w:cs="Arial"/>
          <w:snapToGrid w:val="0"/>
          <w:lang w:val="en-GB"/>
        </w:rPr>
        <w:t>%</w:t>
      </w:r>
      <w:r w:rsidR="0048788B">
        <w:rPr>
          <w:rFonts w:asciiTheme="minorHAnsi" w:hAnsiTheme="minorHAnsi" w:cs="Arial"/>
          <w:snapToGrid w:val="0"/>
          <w:lang w:val="en-GB"/>
        </w:rPr>
        <w:t>.</w:t>
      </w:r>
      <w:r w:rsidR="00B672BF">
        <w:rPr>
          <w:rFonts w:asciiTheme="minorHAnsi" w:hAnsiTheme="minorHAnsi" w:cs="Arial"/>
          <w:snapToGrid w:val="0"/>
          <w:lang w:val="en-GB"/>
        </w:rPr>
        <w:t xml:space="preserve"> </w:t>
      </w:r>
    </w:p>
    <w:p w14:paraId="02D09F81" w14:textId="6E1D20A5" w:rsidR="005D7880" w:rsidRPr="00DB6537" w:rsidRDefault="008E7B0A" w:rsidP="00DB6537">
      <w:pPr>
        <w:numPr>
          <w:ilvl w:val="1"/>
          <w:numId w:val="2"/>
        </w:numPr>
        <w:spacing w:after="120"/>
        <w:rPr>
          <w:rFonts w:cs="Arial"/>
          <w:snapToGrid w:val="0"/>
          <w:lang w:val="en-GB"/>
        </w:rPr>
      </w:pPr>
      <w:r w:rsidRPr="007D6761">
        <w:rPr>
          <w:rFonts w:cs="Arial"/>
          <w:snapToGrid w:val="0"/>
          <w:lang w:val="en-GB"/>
        </w:rPr>
        <w:lastRenderedPageBreak/>
        <w:t>The PBAC noted that this submission is not eligible for an Independent Review</w:t>
      </w:r>
      <w:r w:rsidR="00D47EBD" w:rsidRPr="007D6761">
        <w:rPr>
          <w:rFonts w:cs="Arial"/>
          <w:snapToGrid w:val="0"/>
          <w:lang w:val="en-GB"/>
        </w:rPr>
        <w:t xml:space="preserve"> as it was not seeking a change to the listing that includes a new indication, objectively different subtype of disease or new population. </w:t>
      </w:r>
    </w:p>
    <w:p w14:paraId="05940816" w14:textId="2B7D591E" w:rsidR="008E7B0A" w:rsidRDefault="008E7B0A" w:rsidP="00DB6537">
      <w:pPr>
        <w:pStyle w:val="3Bodytext"/>
        <w:rPr>
          <w:rFonts w:cs="Arial"/>
          <w:b/>
          <w:bCs/>
          <w:snapToGrid w:val="0"/>
          <w:lang w:val="en-GB"/>
        </w:rPr>
      </w:pPr>
      <w:r w:rsidRPr="006D6580">
        <w:rPr>
          <w:rFonts w:cs="Arial"/>
          <w:b/>
          <w:bCs/>
          <w:snapToGrid w:val="0"/>
          <w:lang w:val="en-GB"/>
        </w:rPr>
        <w:t>Outcome:</w:t>
      </w:r>
      <w:r>
        <w:rPr>
          <w:rFonts w:cs="Arial"/>
          <w:b/>
          <w:bCs/>
          <w:snapToGrid w:val="0"/>
          <w:lang w:val="en-GB"/>
        </w:rPr>
        <w:t xml:space="preserve"> </w:t>
      </w:r>
    </w:p>
    <w:p w14:paraId="3039CBF9" w14:textId="62E5DB10" w:rsidR="008E7B0A" w:rsidRDefault="009F4EA4" w:rsidP="00DB6537">
      <w:pPr>
        <w:pStyle w:val="3Bodytext"/>
        <w:rPr>
          <w:rFonts w:cs="Arial"/>
          <w:snapToGrid w:val="0"/>
          <w:lang w:val="en-GB"/>
        </w:rPr>
      </w:pPr>
      <w:r>
        <w:rPr>
          <w:rFonts w:cs="Arial"/>
          <w:snapToGrid w:val="0"/>
          <w:lang w:val="en-GB"/>
        </w:rPr>
        <w:t>Not recommended</w:t>
      </w:r>
    </w:p>
    <w:p w14:paraId="2711D433" w14:textId="77777777" w:rsidR="00DB6537" w:rsidRDefault="00DB6537" w:rsidP="00DB6537">
      <w:pPr>
        <w:pStyle w:val="3Bodytext"/>
        <w:rPr>
          <w:rFonts w:cs="Arial"/>
          <w:snapToGrid w:val="0"/>
          <w:lang w:val="en-GB"/>
        </w:rPr>
      </w:pPr>
    </w:p>
    <w:p w14:paraId="0EC4DB7A" w14:textId="43E01E09" w:rsidR="00522BAB" w:rsidRPr="00522BAB" w:rsidRDefault="00522BAB" w:rsidP="00DB6537">
      <w:pPr>
        <w:pStyle w:val="Heading1"/>
        <w:numPr>
          <w:ilvl w:val="0"/>
          <w:numId w:val="2"/>
        </w:numPr>
        <w:spacing w:before="240"/>
        <w:ind w:left="709" w:hanging="709"/>
        <w:rPr>
          <w:sz w:val="32"/>
          <w:szCs w:val="32"/>
        </w:rPr>
      </w:pPr>
      <w:r w:rsidRPr="00522BAB">
        <w:rPr>
          <w:sz w:val="32"/>
          <w:szCs w:val="32"/>
        </w:rPr>
        <w:t>Context for Decision</w:t>
      </w:r>
    </w:p>
    <w:p w14:paraId="358D2399" w14:textId="4C68BF68" w:rsidR="00522BAB" w:rsidRDefault="00522BAB" w:rsidP="00DB6537">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26EDFF6" w14:textId="68007EF1" w:rsidR="00522BAB" w:rsidRPr="00522BAB" w:rsidRDefault="00522BAB" w:rsidP="00DB6537">
      <w:pPr>
        <w:pStyle w:val="Heading1"/>
        <w:numPr>
          <w:ilvl w:val="0"/>
          <w:numId w:val="2"/>
        </w:numPr>
        <w:spacing w:before="240"/>
        <w:ind w:left="709" w:hanging="709"/>
        <w:rPr>
          <w:sz w:val="32"/>
          <w:szCs w:val="32"/>
        </w:rPr>
      </w:pPr>
      <w:r w:rsidRPr="00522BAB">
        <w:rPr>
          <w:sz w:val="32"/>
          <w:szCs w:val="32"/>
        </w:rPr>
        <w:t>Sponsor’s Comment</w:t>
      </w:r>
    </w:p>
    <w:p w14:paraId="351F59CD" w14:textId="43135649" w:rsidR="00522BAB" w:rsidRPr="00F72E63" w:rsidRDefault="00A40F1A" w:rsidP="00DB6537">
      <w:pPr>
        <w:pStyle w:val="3Bodytext"/>
        <w:ind w:left="709"/>
        <w:jc w:val="both"/>
        <w:rPr>
          <w:snapToGrid w:val="0"/>
          <w:lang w:val="en-GB"/>
        </w:rPr>
      </w:pPr>
      <w:r w:rsidRPr="000B0D69">
        <w:rPr>
          <w:rFonts w:cs="Arial"/>
          <w:bCs/>
        </w:rPr>
        <w:t>MSD is disappointed that PBAC has not recommended</w:t>
      </w:r>
      <w:r>
        <w:rPr>
          <w:rFonts w:cs="Arial"/>
          <w:bCs/>
        </w:rPr>
        <w:t xml:space="preserve"> </w:t>
      </w:r>
      <w:r w:rsidRPr="000B0D69">
        <w:rPr>
          <w:rFonts w:cs="Arial"/>
          <w:bCs/>
        </w:rPr>
        <w:t>an amendment to the estimated utilisation for</w:t>
      </w:r>
      <w:r>
        <w:rPr>
          <w:rFonts w:cs="Arial"/>
          <w:bCs/>
        </w:rPr>
        <w:t xml:space="preserve"> </w:t>
      </w:r>
      <w:r w:rsidRPr="000B0D69">
        <w:rPr>
          <w:rFonts w:cs="Arial"/>
          <w:bCs/>
        </w:rPr>
        <w:t>urothelial cancer given the independent DUSC review in</w:t>
      </w:r>
      <w:r>
        <w:rPr>
          <w:rFonts w:cs="Arial"/>
          <w:bCs/>
        </w:rPr>
        <w:t xml:space="preserve"> </w:t>
      </w:r>
      <w:r w:rsidRPr="000B0D69">
        <w:rPr>
          <w:rFonts w:cs="Arial"/>
          <w:bCs/>
        </w:rPr>
        <w:t>Oct 2021 showed that the patient numbers were</w:t>
      </w:r>
      <w:r>
        <w:rPr>
          <w:rFonts w:cs="Arial"/>
          <w:bCs/>
        </w:rPr>
        <w:t xml:space="preserve"> </w:t>
      </w:r>
      <w:r w:rsidRPr="000B0D69">
        <w:rPr>
          <w:rFonts w:cs="Arial"/>
          <w:bCs/>
        </w:rPr>
        <w:t>underestimated, with minimal leakage and shorter than</w:t>
      </w:r>
      <w:r>
        <w:rPr>
          <w:rFonts w:cs="Arial"/>
          <w:bCs/>
        </w:rPr>
        <w:t xml:space="preserve"> </w:t>
      </w:r>
      <w:r w:rsidRPr="000B0D69">
        <w:rPr>
          <w:rFonts w:cs="Arial"/>
          <w:bCs/>
        </w:rPr>
        <w:t>anticipated time on treatment. MSD is of the view that</w:t>
      </w:r>
      <w:r>
        <w:rPr>
          <w:rFonts w:cs="Arial"/>
          <w:bCs/>
        </w:rPr>
        <w:t xml:space="preserve"> </w:t>
      </w:r>
      <w:r w:rsidRPr="000B0D69">
        <w:rPr>
          <w:rFonts w:cs="Arial"/>
          <w:bCs/>
        </w:rPr>
        <w:t>the listing of avelumab is unlikely to significantly reduce</w:t>
      </w:r>
      <w:r>
        <w:rPr>
          <w:rFonts w:cs="Arial"/>
          <w:bCs/>
        </w:rPr>
        <w:t xml:space="preserve"> </w:t>
      </w:r>
      <w:r w:rsidRPr="000B0D69">
        <w:rPr>
          <w:rFonts w:cs="Arial"/>
          <w:bCs/>
        </w:rPr>
        <w:t>the uptake rate of pembrolizumab, therefore</w:t>
      </w:r>
      <w:r>
        <w:rPr>
          <w:rFonts w:cs="Arial"/>
          <w:bCs/>
        </w:rPr>
        <w:t xml:space="preserve"> </w:t>
      </w:r>
      <w:r w:rsidRPr="000B0D69">
        <w:rPr>
          <w:rFonts w:cs="Arial"/>
          <w:bCs/>
        </w:rPr>
        <w:t>presenting an ongoing risk to MSD. MSD will continue</w:t>
      </w:r>
      <w:r>
        <w:rPr>
          <w:rFonts w:cs="Arial"/>
          <w:bCs/>
        </w:rPr>
        <w:t xml:space="preserve"> </w:t>
      </w:r>
      <w:r w:rsidRPr="000B0D69">
        <w:rPr>
          <w:rFonts w:cs="Arial"/>
          <w:bCs/>
        </w:rPr>
        <w:t>to assess what available options exist to support an</w:t>
      </w:r>
      <w:r>
        <w:rPr>
          <w:rFonts w:cs="Arial"/>
          <w:bCs/>
        </w:rPr>
        <w:t xml:space="preserve"> </w:t>
      </w:r>
      <w:r w:rsidRPr="000B0D69">
        <w:rPr>
          <w:rFonts w:cs="Arial"/>
          <w:bCs/>
        </w:rPr>
        <w:t>appropriate amendment to the estimated utilisation of</w:t>
      </w:r>
      <w:r>
        <w:rPr>
          <w:rFonts w:cs="Arial"/>
          <w:bCs/>
        </w:rPr>
        <w:t xml:space="preserve"> </w:t>
      </w:r>
      <w:r w:rsidRPr="000B0D69">
        <w:rPr>
          <w:rFonts w:cs="Arial"/>
          <w:bCs/>
        </w:rPr>
        <w:t>pembrolizumab.</w:t>
      </w:r>
    </w:p>
    <w:sectPr w:rsidR="00522BAB" w:rsidRPr="00F72E63"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3728B9" w:rsidRDefault="003728B9">
      <w:r>
        <w:separator/>
      </w:r>
    </w:p>
    <w:p w14:paraId="48D7C74A" w14:textId="77777777" w:rsidR="003728B9" w:rsidRDefault="003728B9"/>
  </w:endnote>
  <w:endnote w:type="continuationSeparator" w:id="0">
    <w:p w14:paraId="77108E0D" w14:textId="77777777" w:rsidR="003728B9" w:rsidRDefault="003728B9">
      <w:r>
        <w:continuationSeparator/>
      </w:r>
    </w:p>
    <w:p w14:paraId="51267F2F" w14:textId="77777777" w:rsidR="003728B9" w:rsidRDefault="003728B9"/>
  </w:endnote>
  <w:endnote w:type="continuationNotice" w:id="1">
    <w:p w14:paraId="4A41220A" w14:textId="77777777" w:rsidR="003728B9" w:rsidRDefault="0037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3728B9" w:rsidRDefault="00372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853" w14:textId="77777777" w:rsidR="00D06C52" w:rsidRDefault="00D06C52">
    <w:pPr>
      <w:pStyle w:val="Footer"/>
      <w:jc w:val="center"/>
    </w:pPr>
  </w:p>
  <w:sdt>
    <w:sdtPr>
      <w:id w:val="-1312550746"/>
      <w:docPartObj>
        <w:docPartGallery w:val="Page Numbers (Bottom of Page)"/>
        <w:docPartUnique/>
      </w:docPartObj>
    </w:sdtPr>
    <w:sdtEndPr>
      <w:rPr>
        <w:b/>
        <w:bCs/>
        <w:noProof/>
      </w:rPr>
    </w:sdtEndPr>
    <w:sdtContent>
      <w:p w14:paraId="355827FE" w14:textId="37928E67" w:rsidR="003728B9" w:rsidRPr="00DB6537" w:rsidRDefault="00D06C52" w:rsidP="00DB6537">
        <w:pPr>
          <w:pStyle w:val="Footer"/>
          <w:jc w:val="center"/>
          <w:rPr>
            <w:b/>
            <w:bCs/>
          </w:rPr>
        </w:pPr>
        <w:r w:rsidRPr="0061284C">
          <w:rPr>
            <w:b/>
            <w:bCs/>
          </w:rPr>
          <w:fldChar w:fldCharType="begin"/>
        </w:r>
        <w:r w:rsidRPr="0061284C">
          <w:rPr>
            <w:b/>
            <w:bCs/>
          </w:rPr>
          <w:instrText xml:space="preserve"> PAGE   \* MERGEFORMAT </w:instrText>
        </w:r>
        <w:r w:rsidRPr="0061284C">
          <w:rPr>
            <w:b/>
            <w:bCs/>
          </w:rPr>
          <w:fldChar w:fldCharType="separate"/>
        </w:r>
        <w:r w:rsidRPr="0061284C">
          <w:rPr>
            <w:b/>
            <w:bCs/>
            <w:noProof/>
          </w:rPr>
          <w:t>2</w:t>
        </w:r>
        <w:r w:rsidRPr="0061284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3728B9" w:rsidRDefault="00372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3728B9" w:rsidRDefault="003728B9">
      <w:r>
        <w:separator/>
      </w:r>
    </w:p>
    <w:p w14:paraId="7F0E8E00" w14:textId="77777777" w:rsidR="003728B9" w:rsidRDefault="003728B9"/>
  </w:footnote>
  <w:footnote w:type="continuationSeparator" w:id="0">
    <w:p w14:paraId="4E2B5091" w14:textId="77777777" w:rsidR="003728B9" w:rsidRDefault="003728B9">
      <w:r>
        <w:continuationSeparator/>
      </w:r>
    </w:p>
    <w:p w14:paraId="6EBEB7FE" w14:textId="77777777" w:rsidR="003728B9" w:rsidRDefault="003728B9"/>
  </w:footnote>
  <w:footnote w:type="continuationNotice" w:id="1">
    <w:p w14:paraId="5AF8B83C" w14:textId="77777777" w:rsidR="003728B9" w:rsidRDefault="003728B9"/>
  </w:footnote>
  <w:footnote w:id="2">
    <w:p w14:paraId="13F5CD22" w14:textId="77777777" w:rsidR="003728B9" w:rsidRPr="00660C09" w:rsidRDefault="003728B9" w:rsidP="00AA11C6">
      <w:pPr>
        <w:pStyle w:val="FootnoteText"/>
        <w:rPr>
          <w:rFonts w:cstheme="minorHAnsi"/>
        </w:rPr>
      </w:pPr>
      <w:r w:rsidRPr="00660C09">
        <w:rPr>
          <w:rStyle w:val="FootnoteReference"/>
          <w:rFonts w:cstheme="minorHAnsi"/>
        </w:rPr>
        <w:footnoteRef/>
      </w:r>
      <w:r w:rsidRPr="00660C09">
        <w:rPr>
          <w:rFonts w:cstheme="minorHAnsi"/>
        </w:rPr>
        <w:t xml:space="preserve"> US Food and Drug Administration (2018). </w:t>
      </w:r>
      <w:r w:rsidRPr="00660C09">
        <w:rPr>
          <w:rFonts w:cstheme="minorHAnsi"/>
          <w:color w:val="333333"/>
          <w:lang w:val="en"/>
        </w:rPr>
        <w:t xml:space="preserve">Keytruda (pembrolizumab) or Tecentriq (atezolizumab): FDA Alerts Health Care Professionals and Investigators: FDA Statement - Decreased Survival in Some Patients in Clinical Trials Associated with Monotherapy. </w:t>
      </w:r>
      <w:hyperlink r:id="rId1" w:history="1">
        <w:r w:rsidRPr="00660C09">
          <w:rPr>
            <w:rStyle w:val="Hyperlink"/>
            <w:rFonts w:cstheme="minorHAnsi"/>
            <w:lang w:val="en"/>
          </w:rPr>
          <w:t>https://www.fda.gov/Safety/MedWatch/SafetyInformation/SafetyAlertsforHumanMedicalProducts/ucm608253.htm</w:t>
        </w:r>
      </w:hyperlink>
    </w:p>
  </w:footnote>
  <w:footnote w:id="3">
    <w:p w14:paraId="57CB3DC8" w14:textId="77777777" w:rsidR="003728B9" w:rsidRPr="00660C09" w:rsidRDefault="003728B9" w:rsidP="00AA11C6">
      <w:pPr>
        <w:pStyle w:val="FootnoteText"/>
        <w:rPr>
          <w:rFonts w:cstheme="minorHAnsi"/>
        </w:rPr>
      </w:pPr>
      <w:r w:rsidRPr="00660C09">
        <w:rPr>
          <w:rStyle w:val="FootnoteReference"/>
          <w:rFonts w:cstheme="minorHAnsi"/>
        </w:rPr>
        <w:footnoteRef/>
      </w:r>
      <w:r w:rsidRPr="00660C09">
        <w:rPr>
          <w:rFonts w:cstheme="minorHAnsi"/>
        </w:rPr>
        <w:t xml:space="preserve"> Gourd E (2018). </w:t>
      </w:r>
      <w:r w:rsidRPr="00660C09">
        <w:rPr>
          <w:rFonts w:cstheme="minorHAnsi"/>
          <w:lang w:val="en"/>
        </w:rPr>
        <w:t xml:space="preserve">EMA restricts use of anti-PD-1 drugs for bladder cancer. </w:t>
      </w:r>
      <w:r w:rsidRPr="00660C09">
        <w:rPr>
          <w:rFonts w:cstheme="minorHAnsi"/>
          <w:i/>
          <w:lang w:val="en"/>
        </w:rPr>
        <w:t xml:space="preserve">Lancet Oncology 19, 7:e341, DOI: </w:t>
      </w:r>
      <w:hyperlink r:id="rId2" w:history="1">
        <w:r w:rsidRPr="00660C09">
          <w:rPr>
            <w:rStyle w:val="Hyperlink"/>
            <w:rFonts w:cstheme="minorHAnsi"/>
            <w:color w:val="004480"/>
            <w:szCs w:val="18"/>
          </w:rPr>
          <w:t>https://doi.org/10.1016/S1470-2045(18)30433-9</w:t>
        </w:r>
      </w:hyperlink>
    </w:p>
  </w:footnote>
  <w:footnote w:id="4">
    <w:p w14:paraId="2B0E16D8" w14:textId="77777777" w:rsidR="003728B9" w:rsidRDefault="003728B9" w:rsidP="00AA11C6">
      <w:pPr>
        <w:pStyle w:val="FootnoteText"/>
      </w:pPr>
      <w:r w:rsidRPr="00660C09">
        <w:rPr>
          <w:rStyle w:val="FootnoteReference"/>
          <w:rFonts w:cstheme="minorHAnsi"/>
        </w:rPr>
        <w:footnoteRef/>
      </w:r>
      <w:r w:rsidRPr="00660C09">
        <w:rPr>
          <w:rFonts w:cstheme="minorHAnsi"/>
        </w:rPr>
        <w:t xml:space="preserve"> European Medicines Agency (2018). EMA restricts use of Keytruda and Tecentriq in bladder cancer. </w:t>
      </w:r>
      <w:hyperlink r:id="rId3" w:history="1">
        <w:r w:rsidRPr="00660C09">
          <w:rPr>
            <w:rStyle w:val="Hyperlink"/>
            <w:rFonts w:cstheme="minorHAnsi"/>
          </w:rPr>
          <w:t>http://www.ema.europa.eu/docs/en_GB/document_library/Press_release/2018/05/WC500249798.pdf</w:t>
        </w:r>
      </w:hyperlink>
    </w:p>
  </w:footnote>
  <w:footnote w:id="5">
    <w:p w14:paraId="7A459F3A" w14:textId="77777777" w:rsidR="008A5133" w:rsidRPr="00660C09" w:rsidRDefault="008A5133" w:rsidP="008A5133">
      <w:pPr>
        <w:pStyle w:val="FootnoteText"/>
        <w:rPr>
          <w:rFonts w:cstheme="minorHAnsi"/>
        </w:rPr>
      </w:pPr>
      <w:r w:rsidRPr="00660C09">
        <w:rPr>
          <w:rStyle w:val="FootnoteReference"/>
          <w:rFonts w:cstheme="minorHAnsi"/>
        </w:rPr>
        <w:footnoteRef/>
      </w:r>
      <w:r w:rsidRPr="00660C09">
        <w:rPr>
          <w:rFonts w:cstheme="minorHAnsi"/>
        </w:rPr>
        <w:t xml:space="preserve"> US Food and Drug Administration (2018). </w:t>
      </w:r>
      <w:r w:rsidRPr="00660C09">
        <w:rPr>
          <w:rFonts w:cstheme="minorHAnsi"/>
          <w:color w:val="333333"/>
          <w:lang w:val="en"/>
        </w:rPr>
        <w:t xml:space="preserve">Keytruda (pembrolizumab) or Tecentriq (atezolizumab): FDA Alerts Health Care Professionals and Investigators: FDA Statement - Decreased Survival in Some Patients in Clinical Trials Associated with Monotherapy. </w:t>
      </w:r>
      <w:hyperlink r:id="rId4" w:history="1">
        <w:r w:rsidRPr="00660C09">
          <w:rPr>
            <w:rStyle w:val="Hyperlink"/>
            <w:rFonts w:cstheme="minorHAnsi"/>
            <w:lang w:val="en"/>
          </w:rPr>
          <w:t>https://www.fda.gov/Safety/MedWatch/SafetyInformation/SafetyAlertsforHumanMedicalProducts/ucm608253.htm</w:t>
        </w:r>
      </w:hyperlink>
    </w:p>
  </w:footnote>
  <w:footnote w:id="6">
    <w:p w14:paraId="5BFA7120" w14:textId="77777777" w:rsidR="008A5133" w:rsidRPr="00660C09" w:rsidRDefault="008A5133" w:rsidP="008A5133">
      <w:pPr>
        <w:pStyle w:val="FootnoteText"/>
        <w:rPr>
          <w:rFonts w:cstheme="minorHAnsi"/>
        </w:rPr>
      </w:pPr>
      <w:r w:rsidRPr="00660C09">
        <w:rPr>
          <w:rStyle w:val="FootnoteReference"/>
          <w:rFonts w:cstheme="minorHAnsi"/>
        </w:rPr>
        <w:footnoteRef/>
      </w:r>
      <w:r w:rsidRPr="00660C09">
        <w:rPr>
          <w:rFonts w:cstheme="minorHAnsi"/>
        </w:rPr>
        <w:t xml:space="preserve"> Gourd E (2018). </w:t>
      </w:r>
      <w:r w:rsidRPr="00660C09">
        <w:rPr>
          <w:rFonts w:cstheme="minorHAnsi"/>
          <w:lang w:val="en"/>
        </w:rPr>
        <w:t xml:space="preserve">EMA restricts use of anti-PD-1 drugs for bladder cancer. </w:t>
      </w:r>
      <w:r w:rsidRPr="00660C09">
        <w:rPr>
          <w:rFonts w:cstheme="minorHAnsi"/>
          <w:i/>
          <w:lang w:val="en"/>
        </w:rPr>
        <w:t xml:space="preserve">Lancet Oncology 19, 7:e341, DOI: </w:t>
      </w:r>
      <w:hyperlink r:id="rId5" w:history="1">
        <w:r w:rsidRPr="00660C09">
          <w:rPr>
            <w:rStyle w:val="Hyperlink"/>
            <w:rFonts w:cstheme="minorHAnsi"/>
            <w:color w:val="004480"/>
            <w:szCs w:val="18"/>
          </w:rPr>
          <w:t>https://doi.org/10.1016/S1470-2045(18)30433-9</w:t>
        </w:r>
      </w:hyperlink>
    </w:p>
  </w:footnote>
  <w:footnote w:id="7">
    <w:p w14:paraId="31D2B89C" w14:textId="77777777" w:rsidR="008A5133" w:rsidRDefault="008A5133" w:rsidP="008A5133">
      <w:pPr>
        <w:pStyle w:val="FootnoteText"/>
      </w:pPr>
      <w:r w:rsidRPr="00660C09">
        <w:rPr>
          <w:rStyle w:val="FootnoteReference"/>
          <w:rFonts w:cstheme="minorHAnsi"/>
        </w:rPr>
        <w:footnoteRef/>
      </w:r>
      <w:r w:rsidRPr="00660C09">
        <w:rPr>
          <w:rFonts w:cstheme="minorHAnsi"/>
        </w:rPr>
        <w:t xml:space="preserve"> European Medicines Agency (2018). EMA restricts use of Keytruda and Tecentriq in bladder cancer. </w:t>
      </w:r>
      <w:hyperlink r:id="rId6" w:history="1">
        <w:r w:rsidRPr="00660C09">
          <w:rPr>
            <w:rStyle w:val="Hyperlink"/>
            <w:rFonts w:cstheme="minorHAnsi"/>
          </w:rPr>
          <w:t>http://www.ema.europa.eu/docs/en_GB/document_library/Press_release/2018/05/WC500249798.pdf</w:t>
        </w:r>
      </w:hyperlink>
    </w:p>
  </w:footnote>
  <w:footnote w:id="8">
    <w:p w14:paraId="3159C894" w14:textId="07A981FF" w:rsidR="00055CA8" w:rsidRDefault="00055CA8">
      <w:pPr>
        <w:pStyle w:val="FootnoteText"/>
      </w:pPr>
      <w:r>
        <w:rPr>
          <w:rStyle w:val="FootnoteReference"/>
        </w:rPr>
        <w:footnoteRef/>
      </w:r>
      <w:r>
        <w:t xml:space="preserve"> </w:t>
      </w:r>
      <w:hyperlink r:id="rId7" w:history="1">
        <w:r w:rsidRPr="00B630D5">
          <w:rPr>
            <w:rStyle w:val="Hyperlink"/>
          </w:rPr>
          <w:t>https://ascopubs.org/doi/full/10.1200/op.20.00229</w:t>
        </w:r>
      </w:hyperlink>
    </w:p>
  </w:footnote>
  <w:footnote w:id="9">
    <w:p w14:paraId="31B70E01" w14:textId="6F10FF0D" w:rsidR="004533A3" w:rsidRDefault="004533A3">
      <w:pPr>
        <w:pStyle w:val="FootnoteText"/>
      </w:pPr>
      <w:r>
        <w:rPr>
          <w:rStyle w:val="FootnoteReference"/>
        </w:rPr>
        <w:footnoteRef/>
      </w:r>
      <w:r>
        <w:t xml:space="preserve"> </w:t>
      </w:r>
      <w:hyperlink r:id="rId8" w:history="1">
        <w:r w:rsidR="00B630D5" w:rsidRPr="00B630D5">
          <w:rPr>
            <w:rStyle w:val="Hyperlink"/>
            <w:rFonts w:cstheme="minorHAnsi"/>
            <w:szCs w:val="18"/>
            <w:shd w:val="clear" w:color="auto" w:fill="FFFFFF"/>
          </w:rPr>
          <w:t>https://www.annalsofoncology.org/article/S0923-7534(21)04827-4/fulltext</w:t>
        </w:r>
      </w:hyperlink>
    </w:p>
  </w:footnote>
  <w:footnote w:id="10">
    <w:p w14:paraId="5B7B8201" w14:textId="354F0D7D" w:rsidR="004533A3" w:rsidRDefault="004533A3">
      <w:pPr>
        <w:pStyle w:val="FootnoteText"/>
      </w:pPr>
      <w:r>
        <w:rPr>
          <w:rStyle w:val="FootnoteReference"/>
        </w:rPr>
        <w:footnoteRef/>
      </w:r>
      <w:r>
        <w:t xml:space="preserve"> </w:t>
      </w:r>
      <w:hyperlink r:id="rId9" w:history="1">
        <w:r w:rsidR="00CA1045" w:rsidRPr="00CA1045">
          <w:rPr>
            <w:rStyle w:val="Hyperlink"/>
          </w:rPr>
          <w:t>https://jnccn.org/view/journals/jnccn/20/8/article-p866.xml</w:t>
        </w:r>
      </w:hyperlink>
    </w:p>
  </w:footnote>
  <w:footnote w:id="11">
    <w:p w14:paraId="54786152" w14:textId="77777777" w:rsidR="003728B9" w:rsidRDefault="003728B9" w:rsidP="00D00798">
      <w:pPr>
        <w:pStyle w:val="FootnoteText"/>
        <w:rPr>
          <w:rFonts w:ascii="Arial" w:hAnsi="Arial" w:cs="Arial"/>
        </w:rPr>
      </w:pPr>
      <w:r>
        <w:rPr>
          <w:rStyle w:val="FootnoteReference"/>
        </w:rPr>
        <w:footnoteRef/>
      </w:r>
      <w:r>
        <w:t xml:space="preserve"> https://www.annalsofoncology.org/article/S0923-7534(19)31210-4/pdf</w:t>
      </w:r>
    </w:p>
  </w:footnote>
  <w:footnote w:id="12">
    <w:p w14:paraId="16A244E4" w14:textId="77777777" w:rsidR="008D2A42" w:rsidRDefault="008D2A42" w:rsidP="008D2A42">
      <w:pPr>
        <w:pStyle w:val="FootnoteText"/>
      </w:pPr>
      <w:r>
        <w:rPr>
          <w:rStyle w:val="FootnoteReference"/>
        </w:rPr>
        <w:footnoteRef/>
      </w:r>
      <w:r>
        <w:t xml:space="preserve"> </w:t>
      </w:r>
      <w:r w:rsidRPr="0063766D">
        <w:t>https://www.bhi.nsw.gov.au/__data/assets/pdf_file/0009/730197/BHI_HQ48_JAN-MAR-2022_REPORT.pdf</w:t>
      </w:r>
    </w:p>
  </w:footnote>
  <w:footnote w:id="13">
    <w:p w14:paraId="6A39A52F" w14:textId="77777777" w:rsidR="008D2A42" w:rsidRDefault="008D2A42" w:rsidP="008D2A42">
      <w:pPr>
        <w:pStyle w:val="FootnoteText"/>
      </w:pPr>
      <w:r>
        <w:rPr>
          <w:rStyle w:val="FootnoteReference"/>
        </w:rPr>
        <w:footnoteRef/>
      </w:r>
      <w:r>
        <w:t xml:space="preserve"> </w:t>
      </w:r>
      <w:r w:rsidRPr="00D266A2">
        <w:t>https://www.abc.net.au/news/2022-04-30/victorias-hospital-and-ambulance-system-under-record-pressure/101028042</w:t>
      </w:r>
    </w:p>
  </w:footnote>
  <w:footnote w:id="14">
    <w:p w14:paraId="2A5D912D" w14:textId="741B5746" w:rsidR="00060778" w:rsidRDefault="00060778">
      <w:pPr>
        <w:pStyle w:val="FootnoteText"/>
      </w:pPr>
      <w:r>
        <w:rPr>
          <w:rStyle w:val="FootnoteReference"/>
        </w:rPr>
        <w:footnoteRef/>
      </w:r>
      <w:r>
        <w:t xml:space="preserve"> </w:t>
      </w:r>
      <w:r w:rsidR="00553A3E" w:rsidRPr="00A34D3C">
        <w:t>https://www.pbs.gov.au/general/medicines-industry-strategic-agreement-files/MA-Strategic-Agreement-Signed.pdf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3728B9" w:rsidRDefault="003728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2880E978" w:rsidR="003728B9" w:rsidRPr="00D06C52" w:rsidRDefault="00522BAB" w:rsidP="00D06C52">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00D06C52" w:rsidRPr="00D06C52">
      <w:rPr>
        <w:rFonts w:asciiTheme="minorHAnsi" w:hAnsiTheme="minorHAnsi" w:cstheme="minorHAnsi"/>
        <w:i/>
        <w:iCs/>
        <w:sz w:val="24"/>
        <w:szCs w:val="24"/>
      </w:rPr>
      <w:t xml:space="preserve"> – November 2022 PBAC Meeting</w:t>
    </w:r>
  </w:p>
  <w:p w14:paraId="13F954C7" w14:textId="77777777" w:rsidR="00D06C52" w:rsidRDefault="00D06C5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30A2" w14:textId="77777777" w:rsidR="00E41BF3" w:rsidRDefault="00E4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B917D27"/>
    <w:multiLevelType w:val="hybridMultilevel"/>
    <w:tmpl w:val="73CA96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368C5"/>
    <w:multiLevelType w:val="hybridMultilevel"/>
    <w:tmpl w:val="CCD80C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4BB16DE"/>
    <w:multiLevelType w:val="multilevel"/>
    <w:tmpl w:val="05F264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8EB5DD0"/>
    <w:multiLevelType w:val="hybridMultilevel"/>
    <w:tmpl w:val="3652724C"/>
    <w:lvl w:ilvl="0" w:tplc="BC9E8B5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3B8392D"/>
    <w:multiLevelType w:val="multilevel"/>
    <w:tmpl w:val="709CB0B8"/>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1C8684C"/>
    <w:multiLevelType w:val="hybridMultilevel"/>
    <w:tmpl w:val="E3527294"/>
    <w:lvl w:ilvl="0" w:tplc="442A8F9A">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0"/>
  </w:num>
  <w:num w:numId="4">
    <w:abstractNumId w:val="17"/>
  </w:num>
  <w:num w:numId="5">
    <w:abstractNumId w:val="26"/>
  </w:num>
  <w:num w:numId="6">
    <w:abstractNumId w:val="21"/>
  </w:num>
  <w:num w:numId="7">
    <w:abstractNumId w:val="15"/>
  </w:num>
  <w:num w:numId="8">
    <w:abstractNumId w:val="12"/>
  </w:num>
  <w:num w:numId="9">
    <w:abstractNumId w:val="1"/>
  </w:num>
  <w:num w:numId="10">
    <w:abstractNumId w:val="24"/>
  </w:num>
  <w:num w:numId="11">
    <w:abstractNumId w:val="20"/>
  </w:num>
  <w:num w:numId="12">
    <w:abstractNumId w:val="22"/>
  </w:num>
  <w:num w:numId="13">
    <w:abstractNumId w:val="8"/>
  </w:num>
  <w:num w:numId="14">
    <w:abstractNumId w:val="6"/>
  </w:num>
  <w:num w:numId="15">
    <w:abstractNumId w:val="18"/>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5"/>
  </w:num>
  <w:num w:numId="21">
    <w:abstractNumId w:val="4"/>
  </w:num>
  <w:num w:numId="22">
    <w:abstractNumId w:val="1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9"/>
  </w:num>
  <w:num w:numId="30">
    <w:abstractNumId w:val="24"/>
  </w:num>
  <w:num w:numId="31">
    <w:abstractNumId w:val="24"/>
  </w:num>
  <w:num w:numId="32">
    <w:abstractNumId w:val="24"/>
  </w:num>
  <w:num w:numId="33">
    <w:abstractNumId w:val="24"/>
    <w:lvlOverride w:ilvl="0">
      <w:startOverride w:val="4"/>
    </w:lvlOverride>
    <w:lvlOverride w:ilvl="1">
      <w:startOverride w:val="9"/>
    </w:lvlOverride>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7"/>
  </w:num>
  <w:num w:numId="42">
    <w:abstractNumId w:val="3"/>
  </w:num>
  <w:num w:numId="43">
    <w:abstractNumId w:val="24"/>
  </w:num>
  <w:num w:numId="44">
    <w:abstractNumId w:val="23"/>
  </w:num>
  <w:num w:numId="45">
    <w:abstractNumId w:val="24"/>
  </w:num>
  <w:num w:numId="46">
    <w:abstractNumId w:val="13"/>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0"/>
  </w:num>
  <w:num w:numId="55">
    <w:abstractNumId w:val="24"/>
  </w:num>
  <w:num w:numId="56">
    <w:abstractNumId w:val="24"/>
  </w:num>
  <w:num w:numId="57">
    <w:abstractNumId w:val="24"/>
  </w:num>
  <w:num w:numId="58">
    <w:abstractNumId w:val="24"/>
  </w:num>
  <w:num w:numId="59">
    <w:abstractNumId w:val="24"/>
    <w:lvlOverride w:ilvl="0">
      <w:startOverride w:val="3"/>
    </w:lvlOverride>
    <w:lvlOverride w:ilvl="1">
      <w:startOverride w:val="4"/>
    </w:lvlOverride>
  </w:num>
  <w:num w:numId="6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B4B"/>
    <w:rsid w:val="00004386"/>
    <w:rsid w:val="00006782"/>
    <w:rsid w:val="00010872"/>
    <w:rsid w:val="00010C9E"/>
    <w:rsid w:val="0001179A"/>
    <w:rsid w:val="00011A59"/>
    <w:rsid w:val="00013611"/>
    <w:rsid w:val="00014D69"/>
    <w:rsid w:val="00015FA2"/>
    <w:rsid w:val="00016A41"/>
    <w:rsid w:val="00017E09"/>
    <w:rsid w:val="000214D1"/>
    <w:rsid w:val="00021F20"/>
    <w:rsid w:val="0002464A"/>
    <w:rsid w:val="00025A04"/>
    <w:rsid w:val="000265A2"/>
    <w:rsid w:val="0002693D"/>
    <w:rsid w:val="0003050E"/>
    <w:rsid w:val="0003084E"/>
    <w:rsid w:val="0003106B"/>
    <w:rsid w:val="000335B9"/>
    <w:rsid w:val="00034905"/>
    <w:rsid w:val="00040A30"/>
    <w:rsid w:val="000421A1"/>
    <w:rsid w:val="0004240E"/>
    <w:rsid w:val="00044EC4"/>
    <w:rsid w:val="00045E26"/>
    <w:rsid w:val="00046903"/>
    <w:rsid w:val="000510FC"/>
    <w:rsid w:val="000514B5"/>
    <w:rsid w:val="0005322E"/>
    <w:rsid w:val="00054E2B"/>
    <w:rsid w:val="00055CA8"/>
    <w:rsid w:val="00060778"/>
    <w:rsid w:val="00060E64"/>
    <w:rsid w:val="000621AB"/>
    <w:rsid w:val="00062E88"/>
    <w:rsid w:val="00066193"/>
    <w:rsid w:val="00066755"/>
    <w:rsid w:val="00071A5B"/>
    <w:rsid w:val="00071A7E"/>
    <w:rsid w:val="00072730"/>
    <w:rsid w:val="00072EE3"/>
    <w:rsid w:val="0007337F"/>
    <w:rsid w:val="000742B4"/>
    <w:rsid w:val="00074320"/>
    <w:rsid w:val="00076201"/>
    <w:rsid w:val="000763D5"/>
    <w:rsid w:val="00076C38"/>
    <w:rsid w:val="00077143"/>
    <w:rsid w:val="00077DF7"/>
    <w:rsid w:val="0008050C"/>
    <w:rsid w:val="00082169"/>
    <w:rsid w:val="000834BE"/>
    <w:rsid w:val="00083F01"/>
    <w:rsid w:val="000847C6"/>
    <w:rsid w:val="00085D3C"/>
    <w:rsid w:val="00087C4C"/>
    <w:rsid w:val="000918CB"/>
    <w:rsid w:val="00091B06"/>
    <w:rsid w:val="00092689"/>
    <w:rsid w:val="000951C4"/>
    <w:rsid w:val="00095ADA"/>
    <w:rsid w:val="00095F3A"/>
    <w:rsid w:val="000969AD"/>
    <w:rsid w:val="000975FB"/>
    <w:rsid w:val="00097808"/>
    <w:rsid w:val="000A02F8"/>
    <w:rsid w:val="000A3AA2"/>
    <w:rsid w:val="000A42EF"/>
    <w:rsid w:val="000A44B2"/>
    <w:rsid w:val="000A52F6"/>
    <w:rsid w:val="000A58B8"/>
    <w:rsid w:val="000B44C3"/>
    <w:rsid w:val="000B558D"/>
    <w:rsid w:val="000B5A89"/>
    <w:rsid w:val="000B65F6"/>
    <w:rsid w:val="000B7767"/>
    <w:rsid w:val="000C12D0"/>
    <w:rsid w:val="000C1AFF"/>
    <w:rsid w:val="000C41C2"/>
    <w:rsid w:val="000C5F95"/>
    <w:rsid w:val="000C6996"/>
    <w:rsid w:val="000C7C46"/>
    <w:rsid w:val="000D09E9"/>
    <w:rsid w:val="000D113F"/>
    <w:rsid w:val="000D23BA"/>
    <w:rsid w:val="000D3286"/>
    <w:rsid w:val="000D48FE"/>
    <w:rsid w:val="000D55CA"/>
    <w:rsid w:val="000D7A2A"/>
    <w:rsid w:val="000E19B7"/>
    <w:rsid w:val="000E20FC"/>
    <w:rsid w:val="000E3DFB"/>
    <w:rsid w:val="000E5EA1"/>
    <w:rsid w:val="000E681E"/>
    <w:rsid w:val="000E696B"/>
    <w:rsid w:val="000E6A00"/>
    <w:rsid w:val="000E7B27"/>
    <w:rsid w:val="000E7E52"/>
    <w:rsid w:val="000E7E90"/>
    <w:rsid w:val="000EE1C7"/>
    <w:rsid w:val="000F0003"/>
    <w:rsid w:val="000F2000"/>
    <w:rsid w:val="000F3384"/>
    <w:rsid w:val="000F4E6A"/>
    <w:rsid w:val="000F6ABB"/>
    <w:rsid w:val="000F7354"/>
    <w:rsid w:val="000F7C27"/>
    <w:rsid w:val="00101ABE"/>
    <w:rsid w:val="00102202"/>
    <w:rsid w:val="00102700"/>
    <w:rsid w:val="00102A78"/>
    <w:rsid w:val="00102F5C"/>
    <w:rsid w:val="00103118"/>
    <w:rsid w:val="00103F1B"/>
    <w:rsid w:val="00104227"/>
    <w:rsid w:val="001053D5"/>
    <w:rsid w:val="001107BF"/>
    <w:rsid w:val="00113649"/>
    <w:rsid w:val="00113D5C"/>
    <w:rsid w:val="001147F6"/>
    <w:rsid w:val="00116B03"/>
    <w:rsid w:val="00120AA6"/>
    <w:rsid w:val="001239DB"/>
    <w:rsid w:val="0012417C"/>
    <w:rsid w:val="00124BF2"/>
    <w:rsid w:val="00125837"/>
    <w:rsid w:val="0012597F"/>
    <w:rsid w:val="00126B19"/>
    <w:rsid w:val="00126D3A"/>
    <w:rsid w:val="0012749D"/>
    <w:rsid w:val="00127A23"/>
    <w:rsid w:val="001306A5"/>
    <w:rsid w:val="00130918"/>
    <w:rsid w:val="00130DE0"/>
    <w:rsid w:val="001311AE"/>
    <w:rsid w:val="0013361B"/>
    <w:rsid w:val="00133D08"/>
    <w:rsid w:val="0013619C"/>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5C24"/>
    <w:rsid w:val="00167C39"/>
    <w:rsid w:val="001719FA"/>
    <w:rsid w:val="00171F19"/>
    <w:rsid w:val="00175CCE"/>
    <w:rsid w:val="0017693F"/>
    <w:rsid w:val="00176B9D"/>
    <w:rsid w:val="00180713"/>
    <w:rsid w:val="00180720"/>
    <w:rsid w:val="00182AAF"/>
    <w:rsid w:val="001830CE"/>
    <w:rsid w:val="001836E3"/>
    <w:rsid w:val="00184659"/>
    <w:rsid w:val="001860E5"/>
    <w:rsid w:val="0018643B"/>
    <w:rsid w:val="0019016A"/>
    <w:rsid w:val="00190E1F"/>
    <w:rsid w:val="00196307"/>
    <w:rsid w:val="00197C70"/>
    <w:rsid w:val="00197F03"/>
    <w:rsid w:val="001A0375"/>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CD6"/>
    <w:rsid w:val="001C0EC4"/>
    <w:rsid w:val="001C1195"/>
    <w:rsid w:val="001C12AE"/>
    <w:rsid w:val="001C1E84"/>
    <w:rsid w:val="001C20E1"/>
    <w:rsid w:val="001C28D3"/>
    <w:rsid w:val="001C2A0F"/>
    <w:rsid w:val="001C2E42"/>
    <w:rsid w:val="001C39F1"/>
    <w:rsid w:val="001D0F8D"/>
    <w:rsid w:val="001D1F5F"/>
    <w:rsid w:val="001D2A64"/>
    <w:rsid w:val="001E06D2"/>
    <w:rsid w:val="001E0EAF"/>
    <w:rsid w:val="001E17C4"/>
    <w:rsid w:val="001E2D65"/>
    <w:rsid w:val="001F005B"/>
    <w:rsid w:val="001F1850"/>
    <w:rsid w:val="001F1FBF"/>
    <w:rsid w:val="001F2311"/>
    <w:rsid w:val="001F2B80"/>
    <w:rsid w:val="001F2F1C"/>
    <w:rsid w:val="001F3189"/>
    <w:rsid w:val="001F4084"/>
    <w:rsid w:val="002000C3"/>
    <w:rsid w:val="00200BEA"/>
    <w:rsid w:val="00201FB8"/>
    <w:rsid w:val="00203FAC"/>
    <w:rsid w:val="0021317A"/>
    <w:rsid w:val="002133FB"/>
    <w:rsid w:val="00213CFB"/>
    <w:rsid w:val="0021553C"/>
    <w:rsid w:val="0021557B"/>
    <w:rsid w:val="00216B87"/>
    <w:rsid w:val="002174FD"/>
    <w:rsid w:val="00217BE1"/>
    <w:rsid w:val="0022046D"/>
    <w:rsid w:val="002214B9"/>
    <w:rsid w:val="00222680"/>
    <w:rsid w:val="00223370"/>
    <w:rsid w:val="00226611"/>
    <w:rsid w:val="00227BC5"/>
    <w:rsid w:val="00230F63"/>
    <w:rsid w:val="00234252"/>
    <w:rsid w:val="0023466E"/>
    <w:rsid w:val="0023495B"/>
    <w:rsid w:val="002373C4"/>
    <w:rsid w:val="00237AC6"/>
    <w:rsid w:val="00237B2F"/>
    <w:rsid w:val="00242BFD"/>
    <w:rsid w:val="00242D2C"/>
    <w:rsid w:val="00244139"/>
    <w:rsid w:val="00244490"/>
    <w:rsid w:val="00244BEC"/>
    <w:rsid w:val="00245B9C"/>
    <w:rsid w:val="00247EC3"/>
    <w:rsid w:val="00251444"/>
    <w:rsid w:val="00252587"/>
    <w:rsid w:val="00253499"/>
    <w:rsid w:val="002551A4"/>
    <w:rsid w:val="00257664"/>
    <w:rsid w:val="00260165"/>
    <w:rsid w:val="00265151"/>
    <w:rsid w:val="00265C2C"/>
    <w:rsid w:val="00265F4A"/>
    <w:rsid w:val="00266509"/>
    <w:rsid w:val="00267BE9"/>
    <w:rsid w:val="00271BA1"/>
    <w:rsid w:val="00273AC5"/>
    <w:rsid w:val="002762FA"/>
    <w:rsid w:val="002768C0"/>
    <w:rsid w:val="00277505"/>
    <w:rsid w:val="00277873"/>
    <w:rsid w:val="0028158C"/>
    <w:rsid w:val="00282140"/>
    <w:rsid w:val="002823B6"/>
    <w:rsid w:val="00282BE7"/>
    <w:rsid w:val="00290C03"/>
    <w:rsid w:val="00292E3B"/>
    <w:rsid w:val="002933A8"/>
    <w:rsid w:val="00294274"/>
    <w:rsid w:val="0029458F"/>
    <w:rsid w:val="0029520E"/>
    <w:rsid w:val="00296C39"/>
    <w:rsid w:val="00297A63"/>
    <w:rsid w:val="002A018F"/>
    <w:rsid w:val="002A0CF0"/>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7CA"/>
    <w:rsid w:val="002B5596"/>
    <w:rsid w:val="002B646D"/>
    <w:rsid w:val="002B77D7"/>
    <w:rsid w:val="002B7DDD"/>
    <w:rsid w:val="002C212F"/>
    <w:rsid w:val="002C2F35"/>
    <w:rsid w:val="002C3593"/>
    <w:rsid w:val="002C6645"/>
    <w:rsid w:val="002C6AA9"/>
    <w:rsid w:val="002C7485"/>
    <w:rsid w:val="002D053A"/>
    <w:rsid w:val="002D055E"/>
    <w:rsid w:val="002D2641"/>
    <w:rsid w:val="002D283A"/>
    <w:rsid w:val="002D4543"/>
    <w:rsid w:val="002D715F"/>
    <w:rsid w:val="002E022A"/>
    <w:rsid w:val="002E3153"/>
    <w:rsid w:val="002E4A02"/>
    <w:rsid w:val="002E5292"/>
    <w:rsid w:val="002E5F5C"/>
    <w:rsid w:val="002E6842"/>
    <w:rsid w:val="002E72CA"/>
    <w:rsid w:val="002E75DD"/>
    <w:rsid w:val="002F076E"/>
    <w:rsid w:val="002F1D07"/>
    <w:rsid w:val="002F2F8B"/>
    <w:rsid w:val="002F5C5B"/>
    <w:rsid w:val="002F600D"/>
    <w:rsid w:val="002F61D9"/>
    <w:rsid w:val="002F6F0F"/>
    <w:rsid w:val="002F7E47"/>
    <w:rsid w:val="00300AD6"/>
    <w:rsid w:val="00300B1B"/>
    <w:rsid w:val="003019D0"/>
    <w:rsid w:val="003019DE"/>
    <w:rsid w:val="0030311E"/>
    <w:rsid w:val="003064AF"/>
    <w:rsid w:val="00307DC6"/>
    <w:rsid w:val="003104D0"/>
    <w:rsid w:val="00310A8B"/>
    <w:rsid w:val="00310B68"/>
    <w:rsid w:val="003129AC"/>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783"/>
    <w:rsid w:val="00341AE4"/>
    <w:rsid w:val="003420FD"/>
    <w:rsid w:val="003425CA"/>
    <w:rsid w:val="00343FB7"/>
    <w:rsid w:val="003458F2"/>
    <w:rsid w:val="003476EE"/>
    <w:rsid w:val="003541DD"/>
    <w:rsid w:val="003558C9"/>
    <w:rsid w:val="00356E5B"/>
    <w:rsid w:val="00360887"/>
    <w:rsid w:val="00361EA1"/>
    <w:rsid w:val="0036249F"/>
    <w:rsid w:val="00362507"/>
    <w:rsid w:val="003652D8"/>
    <w:rsid w:val="00370A24"/>
    <w:rsid w:val="00370C54"/>
    <w:rsid w:val="00371246"/>
    <w:rsid w:val="003728B9"/>
    <w:rsid w:val="003736C9"/>
    <w:rsid w:val="00383B77"/>
    <w:rsid w:val="00384988"/>
    <w:rsid w:val="003872CF"/>
    <w:rsid w:val="003874CB"/>
    <w:rsid w:val="003907EA"/>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2DF3"/>
    <w:rsid w:val="003B49B2"/>
    <w:rsid w:val="003B4E38"/>
    <w:rsid w:val="003B6124"/>
    <w:rsid w:val="003B7960"/>
    <w:rsid w:val="003C0908"/>
    <w:rsid w:val="003C093A"/>
    <w:rsid w:val="003C1ECF"/>
    <w:rsid w:val="003C2FB5"/>
    <w:rsid w:val="003C78CC"/>
    <w:rsid w:val="003D24C5"/>
    <w:rsid w:val="003D4594"/>
    <w:rsid w:val="003D4AC4"/>
    <w:rsid w:val="003D5433"/>
    <w:rsid w:val="003D63B7"/>
    <w:rsid w:val="003D6D9D"/>
    <w:rsid w:val="003D74C5"/>
    <w:rsid w:val="003E4374"/>
    <w:rsid w:val="003E468B"/>
    <w:rsid w:val="003E62BD"/>
    <w:rsid w:val="003E658D"/>
    <w:rsid w:val="003F0181"/>
    <w:rsid w:val="003F044F"/>
    <w:rsid w:val="003F0C3A"/>
    <w:rsid w:val="003F15F0"/>
    <w:rsid w:val="003F2AD9"/>
    <w:rsid w:val="003F3228"/>
    <w:rsid w:val="003F5C8C"/>
    <w:rsid w:val="003F63CE"/>
    <w:rsid w:val="003F775A"/>
    <w:rsid w:val="004008BC"/>
    <w:rsid w:val="00400E55"/>
    <w:rsid w:val="00401042"/>
    <w:rsid w:val="0040128E"/>
    <w:rsid w:val="0040216B"/>
    <w:rsid w:val="00404852"/>
    <w:rsid w:val="0040590E"/>
    <w:rsid w:val="00406185"/>
    <w:rsid w:val="00406668"/>
    <w:rsid w:val="00407CC8"/>
    <w:rsid w:val="00414F0C"/>
    <w:rsid w:val="00417098"/>
    <w:rsid w:val="00420400"/>
    <w:rsid w:val="00420642"/>
    <w:rsid w:val="00423E78"/>
    <w:rsid w:val="004252EC"/>
    <w:rsid w:val="00430D39"/>
    <w:rsid w:val="00434BCD"/>
    <w:rsid w:val="00442C91"/>
    <w:rsid w:val="004465BD"/>
    <w:rsid w:val="00446938"/>
    <w:rsid w:val="00446E24"/>
    <w:rsid w:val="004528FA"/>
    <w:rsid w:val="004533A3"/>
    <w:rsid w:val="00453553"/>
    <w:rsid w:val="00453B16"/>
    <w:rsid w:val="00453FBE"/>
    <w:rsid w:val="004569B5"/>
    <w:rsid w:val="00461A44"/>
    <w:rsid w:val="00462D26"/>
    <w:rsid w:val="0046368B"/>
    <w:rsid w:val="0046385A"/>
    <w:rsid w:val="00464039"/>
    <w:rsid w:val="00466ADA"/>
    <w:rsid w:val="004702BB"/>
    <w:rsid w:val="0047494B"/>
    <w:rsid w:val="00476245"/>
    <w:rsid w:val="0047632F"/>
    <w:rsid w:val="00477A9B"/>
    <w:rsid w:val="00482AE4"/>
    <w:rsid w:val="00483035"/>
    <w:rsid w:val="00483476"/>
    <w:rsid w:val="00484A02"/>
    <w:rsid w:val="00485940"/>
    <w:rsid w:val="00486C95"/>
    <w:rsid w:val="004877C2"/>
    <w:rsid w:val="0048788B"/>
    <w:rsid w:val="00490153"/>
    <w:rsid w:val="004904B9"/>
    <w:rsid w:val="004928E1"/>
    <w:rsid w:val="00492D8D"/>
    <w:rsid w:val="00496662"/>
    <w:rsid w:val="004A1431"/>
    <w:rsid w:val="004A2484"/>
    <w:rsid w:val="004A5A85"/>
    <w:rsid w:val="004A641B"/>
    <w:rsid w:val="004A71D1"/>
    <w:rsid w:val="004A7C5B"/>
    <w:rsid w:val="004B0EEF"/>
    <w:rsid w:val="004B1845"/>
    <w:rsid w:val="004B2348"/>
    <w:rsid w:val="004B2E01"/>
    <w:rsid w:val="004B2E98"/>
    <w:rsid w:val="004B5640"/>
    <w:rsid w:val="004B6084"/>
    <w:rsid w:val="004BCF29"/>
    <w:rsid w:val="004C0206"/>
    <w:rsid w:val="004C03D0"/>
    <w:rsid w:val="004C0C75"/>
    <w:rsid w:val="004C1BD7"/>
    <w:rsid w:val="004C239C"/>
    <w:rsid w:val="004C31FE"/>
    <w:rsid w:val="004C524C"/>
    <w:rsid w:val="004C5E85"/>
    <w:rsid w:val="004C5EDD"/>
    <w:rsid w:val="004C5FFA"/>
    <w:rsid w:val="004C691D"/>
    <w:rsid w:val="004C6C07"/>
    <w:rsid w:val="004C7E15"/>
    <w:rsid w:val="004D126F"/>
    <w:rsid w:val="004D129C"/>
    <w:rsid w:val="004D2CD1"/>
    <w:rsid w:val="004D47D1"/>
    <w:rsid w:val="004D4FF6"/>
    <w:rsid w:val="004D5ADD"/>
    <w:rsid w:val="004E0CC3"/>
    <w:rsid w:val="004E1C7B"/>
    <w:rsid w:val="004E1EDC"/>
    <w:rsid w:val="004E692D"/>
    <w:rsid w:val="004E7230"/>
    <w:rsid w:val="004E7D87"/>
    <w:rsid w:val="004F141D"/>
    <w:rsid w:val="004F2553"/>
    <w:rsid w:val="004F306A"/>
    <w:rsid w:val="00501554"/>
    <w:rsid w:val="00501740"/>
    <w:rsid w:val="00502AFE"/>
    <w:rsid w:val="00502E64"/>
    <w:rsid w:val="00503AD7"/>
    <w:rsid w:val="00503E89"/>
    <w:rsid w:val="00504E0C"/>
    <w:rsid w:val="00504E13"/>
    <w:rsid w:val="005109D4"/>
    <w:rsid w:val="00510E15"/>
    <w:rsid w:val="005119B4"/>
    <w:rsid w:val="0051230A"/>
    <w:rsid w:val="00514CD7"/>
    <w:rsid w:val="00515874"/>
    <w:rsid w:val="005163E8"/>
    <w:rsid w:val="005167EC"/>
    <w:rsid w:val="005170DA"/>
    <w:rsid w:val="00520D6A"/>
    <w:rsid w:val="00522BAB"/>
    <w:rsid w:val="00522DB6"/>
    <w:rsid w:val="005264A7"/>
    <w:rsid w:val="0052792D"/>
    <w:rsid w:val="005319B2"/>
    <w:rsid w:val="00532402"/>
    <w:rsid w:val="00532C74"/>
    <w:rsid w:val="00533239"/>
    <w:rsid w:val="00534E2E"/>
    <w:rsid w:val="00535133"/>
    <w:rsid w:val="00535EE8"/>
    <w:rsid w:val="0054064C"/>
    <w:rsid w:val="00544552"/>
    <w:rsid w:val="00545130"/>
    <w:rsid w:val="00546B36"/>
    <w:rsid w:val="00551586"/>
    <w:rsid w:val="005518C0"/>
    <w:rsid w:val="0055286A"/>
    <w:rsid w:val="00553A3E"/>
    <w:rsid w:val="00555745"/>
    <w:rsid w:val="005574F8"/>
    <w:rsid w:val="00557D4F"/>
    <w:rsid w:val="0056122E"/>
    <w:rsid w:val="00564810"/>
    <w:rsid w:val="0056484E"/>
    <w:rsid w:val="00564A2B"/>
    <w:rsid w:val="00565999"/>
    <w:rsid w:val="00567D8A"/>
    <w:rsid w:val="00570231"/>
    <w:rsid w:val="005764CD"/>
    <w:rsid w:val="00576698"/>
    <w:rsid w:val="00577C4D"/>
    <w:rsid w:val="00580532"/>
    <w:rsid w:val="00581932"/>
    <w:rsid w:val="00583002"/>
    <w:rsid w:val="0058484F"/>
    <w:rsid w:val="005873C0"/>
    <w:rsid w:val="005903BB"/>
    <w:rsid w:val="005915AF"/>
    <w:rsid w:val="00593893"/>
    <w:rsid w:val="005963BB"/>
    <w:rsid w:val="0059645C"/>
    <w:rsid w:val="005967BD"/>
    <w:rsid w:val="00596D37"/>
    <w:rsid w:val="00597E92"/>
    <w:rsid w:val="005A08C6"/>
    <w:rsid w:val="005A15D2"/>
    <w:rsid w:val="005A3173"/>
    <w:rsid w:val="005A3223"/>
    <w:rsid w:val="005A3DA3"/>
    <w:rsid w:val="005A52C4"/>
    <w:rsid w:val="005A63A1"/>
    <w:rsid w:val="005A6DD8"/>
    <w:rsid w:val="005B0486"/>
    <w:rsid w:val="005B1032"/>
    <w:rsid w:val="005B1473"/>
    <w:rsid w:val="005B36FA"/>
    <w:rsid w:val="005B7D24"/>
    <w:rsid w:val="005C490E"/>
    <w:rsid w:val="005C4F73"/>
    <w:rsid w:val="005D03AB"/>
    <w:rsid w:val="005D401D"/>
    <w:rsid w:val="005D5017"/>
    <w:rsid w:val="005D5708"/>
    <w:rsid w:val="005D63FA"/>
    <w:rsid w:val="005D73C7"/>
    <w:rsid w:val="005D7880"/>
    <w:rsid w:val="005E0C2D"/>
    <w:rsid w:val="005E0D82"/>
    <w:rsid w:val="005E0F59"/>
    <w:rsid w:val="005E1333"/>
    <w:rsid w:val="005E3136"/>
    <w:rsid w:val="005E3948"/>
    <w:rsid w:val="005E507D"/>
    <w:rsid w:val="005F0AD0"/>
    <w:rsid w:val="00601A91"/>
    <w:rsid w:val="0060233A"/>
    <w:rsid w:val="00602BA3"/>
    <w:rsid w:val="00605B63"/>
    <w:rsid w:val="00605F9A"/>
    <w:rsid w:val="00606442"/>
    <w:rsid w:val="00606EED"/>
    <w:rsid w:val="00606F3B"/>
    <w:rsid w:val="0061284C"/>
    <w:rsid w:val="00612A95"/>
    <w:rsid w:val="00612E34"/>
    <w:rsid w:val="00614159"/>
    <w:rsid w:val="006158A3"/>
    <w:rsid w:val="00615A34"/>
    <w:rsid w:val="00616C5F"/>
    <w:rsid w:val="00616DAC"/>
    <w:rsid w:val="00617725"/>
    <w:rsid w:val="00617C00"/>
    <w:rsid w:val="00621CF1"/>
    <w:rsid w:val="006263BF"/>
    <w:rsid w:val="0062748A"/>
    <w:rsid w:val="0062769C"/>
    <w:rsid w:val="00630546"/>
    <w:rsid w:val="00630A2C"/>
    <w:rsid w:val="00632A49"/>
    <w:rsid w:val="006340DC"/>
    <w:rsid w:val="00634A75"/>
    <w:rsid w:val="0063552D"/>
    <w:rsid w:val="0063682E"/>
    <w:rsid w:val="00640088"/>
    <w:rsid w:val="00642672"/>
    <w:rsid w:val="00642DA8"/>
    <w:rsid w:val="006436CD"/>
    <w:rsid w:val="0064771C"/>
    <w:rsid w:val="00651169"/>
    <w:rsid w:val="00653D69"/>
    <w:rsid w:val="006552E6"/>
    <w:rsid w:val="00655794"/>
    <w:rsid w:val="00656F2F"/>
    <w:rsid w:val="00657C63"/>
    <w:rsid w:val="00661CBC"/>
    <w:rsid w:val="00662B85"/>
    <w:rsid w:val="00663067"/>
    <w:rsid w:val="006670B3"/>
    <w:rsid w:val="006670BE"/>
    <w:rsid w:val="00670A76"/>
    <w:rsid w:val="006711AA"/>
    <w:rsid w:val="00672B57"/>
    <w:rsid w:val="00673F1F"/>
    <w:rsid w:val="00674FAA"/>
    <w:rsid w:val="00675622"/>
    <w:rsid w:val="00675DEB"/>
    <w:rsid w:val="0067747D"/>
    <w:rsid w:val="006818D5"/>
    <w:rsid w:val="00681CA4"/>
    <w:rsid w:val="00686559"/>
    <w:rsid w:val="0069039D"/>
    <w:rsid w:val="006906DB"/>
    <w:rsid w:val="00691900"/>
    <w:rsid w:val="00691E6C"/>
    <w:rsid w:val="0069342D"/>
    <w:rsid w:val="00693DFB"/>
    <w:rsid w:val="00694FD5"/>
    <w:rsid w:val="0069501D"/>
    <w:rsid w:val="00696129"/>
    <w:rsid w:val="00697CF2"/>
    <w:rsid w:val="006A12A5"/>
    <w:rsid w:val="006A2515"/>
    <w:rsid w:val="006A572D"/>
    <w:rsid w:val="006A5E20"/>
    <w:rsid w:val="006B0D94"/>
    <w:rsid w:val="006B0EB8"/>
    <w:rsid w:val="006B16B6"/>
    <w:rsid w:val="006B485D"/>
    <w:rsid w:val="006B7DDA"/>
    <w:rsid w:val="006C0C45"/>
    <w:rsid w:val="006C2806"/>
    <w:rsid w:val="006C334C"/>
    <w:rsid w:val="006C6C10"/>
    <w:rsid w:val="006C708E"/>
    <w:rsid w:val="006D14E7"/>
    <w:rsid w:val="006D4444"/>
    <w:rsid w:val="006D6493"/>
    <w:rsid w:val="006D6580"/>
    <w:rsid w:val="006D6EC7"/>
    <w:rsid w:val="006D7B05"/>
    <w:rsid w:val="006D7E45"/>
    <w:rsid w:val="006E0C97"/>
    <w:rsid w:val="006E1143"/>
    <w:rsid w:val="006E1BCD"/>
    <w:rsid w:val="006E2732"/>
    <w:rsid w:val="006E59CD"/>
    <w:rsid w:val="006F0A71"/>
    <w:rsid w:val="006F1C6B"/>
    <w:rsid w:val="006F40C2"/>
    <w:rsid w:val="006F5125"/>
    <w:rsid w:val="006F5302"/>
    <w:rsid w:val="006F733D"/>
    <w:rsid w:val="00700765"/>
    <w:rsid w:val="00702959"/>
    <w:rsid w:val="00702B6F"/>
    <w:rsid w:val="007030B4"/>
    <w:rsid w:val="007037BD"/>
    <w:rsid w:val="00703B86"/>
    <w:rsid w:val="00704069"/>
    <w:rsid w:val="00706A2F"/>
    <w:rsid w:val="0070718E"/>
    <w:rsid w:val="00707E52"/>
    <w:rsid w:val="00710259"/>
    <w:rsid w:val="0071031F"/>
    <w:rsid w:val="00710737"/>
    <w:rsid w:val="0071150F"/>
    <w:rsid w:val="007120DA"/>
    <w:rsid w:val="0071340B"/>
    <w:rsid w:val="00713C50"/>
    <w:rsid w:val="0071436D"/>
    <w:rsid w:val="00714849"/>
    <w:rsid w:val="00714F99"/>
    <w:rsid w:val="00715BBB"/>
    <w:rsid w:val="00716462"/>
    <w:rsid w:val="007174BB"/>
    <w:rsid w:val="0072025D"/>
    <w:rsid w:val="00723328"/>
    <w:rsid w:val="007237DE"/>
    <w:rsid w:val="0072502E"/>
    <w:rsid w:val="0073137C"/>
    <w:rsid w:val="007328C4"/>
    <w:rsid w:val="007340B9"/>
    <w:rsid w:val="00734E64"/>
    <w:rsid w:val="00734F29"/>
    <w:rsid w:val="007353D3"/>
    <w:rsid w:val="0074156B"/>
    <w:rsid w:val="00741619"/>
    <w:rsid w:val="00742885"/>
    <w:rsid w:val="007469A6"/>
    <w:rsid w:val="00747092"/>
    <w:rsid w:val="007526E6"/>
    <w:rsid w:val="0075455A"/>
    <w:rsid w:val="00754DF9"/>
    <w:rsid w:val="007555E8"/>
    <w:rsid w:val="00755945"/>
    <w:rsid w:val="00755CC5"/>
    <w:rsid w:val="007564D8"/>
    <w:rsid w:val="00762862"/>
    <w:rsid w:val="0076420C"/>
    <w:rsid w:val="00765870"/>
    <w:rsid w:val="00767EB6"/>
    <w:rsid w:val="00771D07"/>
    <w:rsid w:val="00772649"/>
    <w:rsid w:val="00773BE3"/>
    <w:rsid w:val="007743DD"/>
    <w:rsid w:val="00774E2C"/>
    <w:rsid w:val="0077503C"/>
    <w:rsid w:val="0077518D"/>
    <w:rsid w:val="007753C2"/>
    <w:rsid w:val="00775CE9"/>
    <w:rsid w:val="00776068"/>
    <w:rsid w:val="007838B8"/>
    <w:rsid w:val="00785779"/>
    <w:rsid w:val="00787FD8"/>
    <w:rsid w:val="007915BA"/>
    <w:rsid w:val="00791844"/>
    <w:rsid w:val="00793CE9"/>
    <w:rsid w:val="0079420D"/>
    <w:rsid w:val="00796667"/>
    <w:rsid w:val="00797068"/>
    <w:rsid w:val="007979BD"/>
    <w:rsid w:val="007A3D8E"/>
    <w:rsid w:val="007A534F"/>
    <w:rsid w:val="007A5C88"/>
    <w:rsid w:val="007A6533"/>
    <w:rsid w:val="007A6A2F"/>
    <w:rsid w:val="007B024E"/>
    <w:rsid w:val="007B3BAF"/>
    <w:rsid w:val="007B3DDC"/>
    <w:rsid w:val="007B6337"/>
    <w:rsid w:val="007B72A6"/>
    <w:rsid w:val="007B73CF"/>
    <w:rsid w:val="007C06D2"/>
    <w:rsid w:val="007C08E0"/>
    <w:rsid w:val="007C0F57"/>
    <w:rsid w:val="007C1AA7"/>
    <w:rsid w:val="007C2F4B"/>
    <w:rsid w:val="007C40B6"/>
    <w:rsid w:val="007C5975"/>
    <w:rsid w:val="007C729F"/>
    <w:rsid w:val="007C72AD"/>
    <w:rsid w:val="007D024C"/>
    <w:rsid w:val="007D503D"/>
    <w:rsid w:val="007D59E7"/>
    <w:rsid w:val="007D5F2A"/>
    <w:rsid w:val="007D6761"/>
    <w:rsid w:val="007E07AC"/>
    <w:rsid w:val="007E0B22"/>
    <w:rsid w:val="007E1014"/>
    <w:rsid w:val="007E12F8"/>
    <w:rsid w:val="007E1D28"/>
    <w:rsid w:val="007E4564"/>
    <w:rsid w:val="007E490F"/>
    <w:rsid w:val="007E530F"/>
    <w:rsid w:val="007E7452"/>
    <w:rsid w:val="007F0021"/>
    <w:rsid w:val="007F2641"/>
    <w:rsid w:val="007F4342"/>
    <w:rsid w:val="007F7C36"/>
    <w:rsid w:val="007F7F45"/>
    <w:rsid w:val="0080001F"/>
    <w:rsid w:val="00801958"/>
    <w:rsid w:val="00805416"/>
    <w:rsid w:val="008055AF"/>
    <w:rsid w:val="008057CD"/>
    <w:rsid w:val="008066B8"/>
    <w:rsid w:val="00806796"/>
    <w:rsid w:val="00807EC0"/>
    <w:rsid w:val="00810167"/>
    <w:rsid w:val="008104D0"/>
    <w:rsid w:val="00811CC0"/>
    <w:rsid w:val="00814276"/>
    <w:rsid w:val="008151D6"/>
    <w:rsid w:val="00815D79"/>
    <w:rsid w:val="008164A6"/>
    <w:rsid w:val="00820803"/>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3215"/>
    <w:rsid w:val="00853321"/>
    <w:rsid w:val="00854506"/>
    <w:rsid w:val="008549AE"/>
    <w:rsid w:val="00854DEA"/>
    <w:rsid w:val="00855C8C"/>
    <w:rsid w:val="00855FD6"/>
    <w:rsid w:val="00856DDD"/>
    <w:rsid w:val="00860233"/>
    <w:rsid w:val="00863E68"/>
    <w:rsid w:val="008647B5"/>
    <w:rsid w:val="00867D64"/>
    <w:rsid w:val="00870809"/>
    <w:rsid w:val="00872BF5"/>
    <w:rsid w:val="00872E8F"/>
    <w:rsid w:val="00873E2A"/>
    <w:rsid w:val="00875DCB"/>
    <w:rsid w:val="00876FBF"/>
    <w:rsid w:val="0087755A"/>
    <w:rsid w:val="00877629"/>
    <w:rsid w:val="00882085"/>
    <w:rsid w:val="00883188"/>
    <w:rsid w:val="00884873"/>
    <w:rsid w:val="00884A0C"/>
    <w:rsid w:val="00886ACA"/>
    <w:rsid w:val="00886B01"/>
    <w:rsid w:val="0089031E"/>
    <w:rsid w:val="00890A57"/>
    <w:rsid w:val="0089109A"/>
    <w:rsid w:val="00891A67"/>
    <w:rsid w:val="00893D5C"/>
    <w:rsid w:val="0089460B"/>
    <w:rsid w:val="008948DF"/>
    <w:rsid w:val="00897D58"/>
    <w:rsid w:val="00897F22"/>
    <w:rsid w:val="008A0B39"/>
    <w:rsid w:val="008A17A3"/>
    <w:rsid w:val="008A1956"/>
    <w:rsid w:val="008A1E85"/>
    <w:rsid w:val="008A2419"/>
    <w:rsid w:val="008A4937"/>
    <w:rsid w:val="008A50F1"/>
    <w:rsid w:val="008A5133"/>
    <w:rsid w:val="008A59D9"/>
    <w:rsid w:val="008A643E"/>
    <w:rsid w:val="008A6819"/>
    <w:rsid w:val="008B007A"/>
    <w:rsid w:val="008B2EC0"/>
    <w:rsid w:val="008B33C3"/>
    <w:rsid w:val="008B68EB"/>
    <w:rsid w:val="008B6DCF"/>
    <w:rsid w:val="008C44B7"/>
    <w:rsid w:val="008C58B7"/>
    <w:rsid w:val="008D0945"/>
    <w:rsid w:val="008D1409"/>
    <w:rsid w:val="008D15CC"/>
    <w:rsid w:val="008D1729"/>
    <w:rsid w:val="008D1A22"/>
    <w:rsid w:val="008D1B5C"/>
    <w:rsid w:val="008D2A42"/>
    <w:rsid w:val="008D3C82"/>
    <w:rsid w:val="008D447E"/>
    <w:rsid w:val="008D6ACF"/>
    <w:rsid w:val="008D7A41"/>
    <w:rsid w:val="008E285F"/>
    <w:rsid w:val="008E2C72"/>
    <w:rsid w:val="008E3680"/>
    <w:rsid w:val="008E4F87"/>
    <w:rsid w:val="008E5870"/>
    <w:rsid w:val="008E7069"/>
    <w:rsid w:val="008E77E4"/>
    <w:rsid w:val="008E7B0A"/>
    <w:rsid w:val="008F0213"/>
    <w:rsid w:val="008F07ED"/>
    <w:rsid w:val="008F11F8"/>
    <w:rsid w:val="008F1434"/>
    <w:rsid w:val="008F2BB9"/>
    <w:rsid w:val="008F3D6A"/>
    <w:rsid w:val="008F54C3"/>
    <w:rsid w:val="008F7355"/>
    <w:rsid w:val="00900DE1"/>
    <w:rsid w:val="009023DC"/>
    <w:rsid w:val="009027C5"/>
    <w:rsid w:val="0090297D"/>
    <w:rsid w:val="009039A9"/>
    <w:rsid w:val="00904413"/>
    <w:rsid w:val="009067B7"/>
    <w:rsid w:val="00906E7A"/>
    <w:rsid w:val="0090775A"/>
    <w:rsid w:val="00907DFD"/>
    <w:rsid w:val="00913C99"/>
    <w:rsid w:val="00917D69"/>
    <w:rsid w:val="00920B6D"/>
    <w:rsid w:val="00926560"/>
    <w:rsid w:val="00926B15"/>
    <w:rsid w:val="00930291"/>
    <w:rsid w:val="00930937"/>
    <w:rsid w:val="009324A6"/>
    <w:rsid w:val="00933B7D"/>
    <w:rsid w:val="00933E6C"/>
    <w:rsid w:val="00934677"/>
    <w:rsid w:val="00935A6E"/>
    <w:rsid w:val="0093756A"/>
    <w:rsid w:val="00937958"/>
    <w:rsid w:val="009406E5"/>
    <w:rsid w:val="00941602"/>
    <w:rsid w:val="00942160"/>
    <w:rsid w:val="00946921"/>
    <w:rsid w:val="00947343"/>
    <w:rsid w:val="0095146F"/>
    <w:rsid w:val="009534C7"/>
    <w:rsid w:val="00957944"/>
    <w:rsid w:val="009602C5"/>
    <w:rsid w:val="0096103A"/>
    <w:rsid w:val="00962223"/>
    <w:rsid w:val="0096252B"/>
    <w:rsid w:val="00962656"/>
    <w:rsid w:val="009644D9"/>
    <w:rsid w:val="00964A9F"/>
    <w:rsid w:val="00966D0D"/>
    <w:rsid w:val="00967732"/>
    <w:rsid w:val="0096783C"/>
    <w:rsid w:val="00970023"/>
    <w:rsid w:val="009722B3"/>
    <w:rsid w:val="00973E24"/>
    <w:rsid w:val="00974920"/>
    <w:rsid w:val="00974C21"/>
    <w:rsid w:val="00974DBA"/>
    <w:rsid w:val="00975948"/>
    <w:rsid w:val="009772FD"/>
    <w:rsid w:val="00977BF3"/>
    <w:rsid w:val="00980322"/>
    <w:rsid w:val="009803E4"/>
    <w:rsid w:val="00980B0E"/>
    <w:rsid w:val="00982B39"/>
    <w:rsid w:val="009836A3"/>
    <w:rsid w:val="00984C58"/>
    <w:rsid w:val="009855A8"/>
    <w:rsid w:val="00985CBE"/>
    <w:rsid w:val="00985D1A"/>
    <w:rsid w:val="00990CF8"/>
    <w:rsid w:val="009913F4"/>
    <w:rsid w:val="00991782"/>
    <w:rsid w:val="009926EF"/>
    <w:rsid w:val="009937F7"/>
    <w:rsid w:val="0099465B"/>
    <w:rsid w:val="009951A1"/>
    <w:rsid w:val="00995984"/>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C139C"/>
    <w:rsid w:val="009C26AA"/>
    <w:rsid w:val="009C4C5D"/>
    <w:rsid w:val="009C5144"/>
    <w:rsid w:val="009C703C"/>
    <w:rsid w:val="009C741D"/>
    <w:rsid w:val="009D0C29"/>
    <w:rsid w:val="009D206E"/>
    <w:rsid w:val="009D33BE"/>
    <w:rsid w:val="009D3CAA"/>
    <w:rsid w:val="009D441D"/>
    <w:rsid w:val="009D507A"/>
    <w:rsid w:val="009D6532"/>
    <w:rsid w:val="009D71CD"/>
    <w:rsid w:val="009D71FD"/>
    <w:rsid w:val="009E06F0"/>
    <w:rsid w:val="009E0755"/>
    <w:rsid w:val="009E10AD"/>
    <w:rsid w:val="009E2588"/>
    <w:rsid w:val="009E2E8E"/>
    <w:rsid w:val="009E40E1"/>
    <w:rsid w:val="009E5C35"/>
    <w:rsid w:val="009F0EFA"/>
    <w:rsid w:val="009F118B"/>
    <w:rsid w:val="009F3562"/>
    <w:rsid w:val="009F4E46"/>
    <w:rsid w:val="009F4EA4"/>
    <w:rsid w:val="009F5B65"/>
    <w:rsid w:val="009F5F2E"/>
    <w:rsid w:val="009F7288"/>
    <w:rsid w:val="00A01432"/>
    <w:rsid w:val="00A029A4"/>
    <w:rsid w:val="00A06225"/>
    <w:rsid w:val="00A066E6"/>
    <w:rsid w:val="00A06DEB"/>
    <w:rsid w:val="00A07D4B"/>
    <w:rsid w:val="00A110D1"/>
    <w:rsid w:val="00A12587"/>
    <w:rsid w:val="00A128E6"/>
    <w:rsid w:val="00A144D3"/>
    <w:rsid w:val="00A17EA7"/>
    <w:rsid w:val="00A21D7D"/>
    <w:rsid w:val="00A22AC3"/>
    <w:rsid w:val="00A2351E"/>
    <w:rsid w:val="00A23F3F"/>
    <w:rsid w:val="00A24067"/>
    <w:rsid w:val="00A243FB"/>
    <w:rsid w:val="00A24A4B"/>
    <w:rsid w:val="00A2744D"/>
    <w:rsid w:val="00A30149"/>
    <w:rsid w:val="00A302D0"/>
    <w:rsid w:val="00A30677"/>
    <w:rsid w:val="00A30D16"/>
    <w:rsid w:val="00A33559"/>
    <w:rsid w:val="00A33EB7"/>
    <w:rsid w:val="00A34D3C"/>
    <w:rsid w:val="00A34E6C"/>
    <w:rsid w:val="00A34FD0"/>
    <w:rsid w:val="00A35DEC"/>
    <w:rsid w:val="00A36398"/>
    <w:rsid w:val="00A37C8D"/>
    <w:rsid w:val="00A4020E"/>
    <w:rsid w:val="00A40493"/>
    <w:rsid w:val="00A408E8"/>
    <w:rsid w:val="00A40F1A"/>
    <w:rsid w:val="00A40FB5"/>
    <w:rsid w:val="00A42826"/>
    <w:rsid w:val="00A429B3"/>
    <w:rsid w:val="00A44EC1"/>
    <w:rsid w:val="00A505E6"/>
    <w:rsid w:val="00A510E4"/>
    <w:rsid w:val="00A526F7"/>
    <w:rsid w:val="00A5273B"/>
    <w:rsid w:val="00A53A9D"/>
    <w:rsid w:val="00A55FEE"/>
    <w:rsid w:val="00A57422"/>
    <w:rsid w:val="00A623AC"/>
    <w:rsid w:val="00A62C1A"/>
    <w:rsid w:val="00A63CA2"/>
    <w:rsid w:val="00A6426D"/>
    <w:rsid w:val="00A651C8"/>
    <w:rsid w:val="00A665C1"/>
    <w:rsid w:val="00A673A4"/>
    <w:rsid w:val="00A7001A"/>
    <w:rsid w:val="00A70622"/>
    <w:rsid w:val="00A70749"/>
    <w:rsid w:val="00A70977"/>
    <w:rsid w:val="00A70D58"/>
    <w:rsid w:val="00A744F9"/>
    <w:rsid w:val="00A75217"/>
    <w:rsid w:val="00A759ED"/>
    <w:rsid w:val="00A77613"/>
    <w:rsid w:val="00A77B87"/>
    <w:rsid w:val="00A801AD"/>
    <w:rsid w:val="00A80CC7"/>
    <w:rsid w:val="00A81851"/>
    <w:rsid w:val="00A835DC"/>
    <w:rsid w:val="00A8390C"/>
    <w:rsid w:val="00A84C5A"/>
    <w:rsid w:val="00A86AE0"/>
    <w:rsid w:val="00A90506"/>
    <w:rsid w:val="00A91310"/>
    <w:rsid w:val="00A91362"/>
    <w:rsid w:val="00A9151C"/>
    <w:rsid w:val="00A919C6"/>
    <w:rsid w:val="00A928BD"/>
    <w:rsid w:val="00A97DE9"/>
    <w:rsid w:val="00AA11C6"/>
    <w:rsid w:val="00AA12CD"/>
    <w:rsid w:val="00AA334B"/>
    <w:rsid w:val="00AA4D1C"/>
    <w:rsid w:val="00AA52FD"/>
    <w:rsid w:val="00AA7006"/>
    <w:rsid w:val="00AB29C3"/>
    <w:rsid w:val="00AB3EEE"/>
    <w:rsid w:val="00AB4097"/>
    <w:rsid w:val="00AB4684"/>
    <w:rsid w:val="00AB4CFD"/>
    <w:rsid w:val="00AB5856"/>
    <w:rsid w:val="00AB78C8"/>
    <w:rsid w:val="00AC074C"/>
    <w:rsid w:val="00AC081D"/>
    <w:rsid w:val="00AC0C6F"/>
    <w:rsid w:val="00AC1266"/>
    <w:rsid w:val="00AC193C"/>
    <w:rsid w:val="00AC30C1"/>
    <w:rsid w:val="00AC4DE5"/>
    <w:rsid w:val="00AC5206"/>
    <w:rsid w:val="00AD095B"/>
    <w:rsid w:val="00AD15E7"/>
    <w:rsid w:val="00AD3106"/>
    <w:rsid w:val="00AD40B1"/>
    <w:rsid w:val="00AD4322"/>
    <w:rsid w:val="00AE11A5"/>
    <w:rsid w:val="00AE13E2"/>
    <w:rsid w:val="00AE22D3"/>
    <w:rsid w:val="00AE4E9A"/>
    <w:rsid w:val="00AE5A49"/>
    <w:rsid w:val="00AF11D8"/>
    <w:rsid w:val="00AF3456"/>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21AA"/>
    <w:rsid w:val="00B14A36"/>
    <w:rsid w:val="00B16273"/>
    <w:rsid w:val="00B170A5"/>
    <w:rsid w:val="00B1725F"/>
    <w:rsid w:val="00B176C8"/>
    <w:rsid w:val="00B17EE5"/>
    <w:rsid w:val="00B205AA"/>
    <w:rsid w:val="00B21A91"/>
    <w:rsid w:val="00B22E84"/>
    <w:rsid w:val="00B233AD"/>
    <w:rsid w:val="00B23E25"/>
    <w:rsid w:val="00B25F75"/>
    <w:rsid w:val="00B26B3F"/>
    <w:rsid w:val="00B2778F"/>
    <w:rsid w:val="00B3116C"/>
    <w:rsid w:val="00B31F8C"/>
    <w:rsid w:val="00B327E2"/>
    <w:rsid w:val="00B33635"/>
    <w:rsid w:val="00B34A3C"/>
    <w:rsid w:val="00B37A23"/>
    <w:rsid w:val="00B37CF8"/>
    <w:rsid w:val="00B41782"/>
    <w:rsid w:val="00B42AF4"/>
    <w:rsid w:val="00B43E90"/>
    <w:rsid w:val="00B44308"/>
    <w:rsid w:val="00B45722"/>
    <w:rsid w:val="00B467DC"/>
    <w:rsid w:val="00B47A88"/>
    <w:rsid w:val="00B50E40"/>
    <w:rsid w:val="00B52303"/>
    <w:rsid w:val="00B52B72"/>
    <w:rsid w:val="00B5392A"/>
    <w:rsid w:val="00B539EF"/>
    <w:rsid w:val="00B56118"/>
    <w:rsid w:val="00B566E1"/>
    <w:rsid w:val="00B56AFB"/>
    <w:rsid w:val="00B602F6"/>
    <w:rsid w:val="00B62EC1"/>
    <w:rsid w:val="00B630D5"/>
    <w:rsid w:val="00B64A96"/>
    <w:rsid w:val="00B64FC5"/>
    <w:rsid w:val="00B672BF"/>
    <w:rsid w:val="00B6773F"/>
    <w:rsid w:val="00B70EB3"/>
    <w:rsid w:val="00B70F6D"/>
    <w:rsid w:val="00B72906"/>
    <w:rsid w:val="00B74F48"/>
    <w:rsid w:val="00B7525E"/>
    <w:rsid w:val="00B75433"/>
    <w:rsid w:val="00B760FB"/>
    <w:rsid w:val="00B76765"/>
    <w:rsid w:val="00B767AB"/>
    <w:rsid w:val="00B775CA"/>
    <w:rsid w:val="00B801BA"/>
    <w:rsid w:val="00B812D6"/>
    <w:rsid w:val="00B817CB"/>
    <w:rsid w:val="00B84D5C"/>
    <w:rsid w:val="00B85AF6"/>
    <w:rsid w:val="00B956ED"/>
    <w:rsid w:val="00B97A4A"/>
    <w:rsid w:val="00BA257E"/>
    <w:rsid w:val="00BA2C80"/>
    <w:rsid w:val="00BA2DA8"/>
    <w:rsid w:val="00BA347C"/>
    <w:rsid w:val="00BA389E"/>
    <w:rsid w:val="00BA4C79"/>
    <w:rsid w:val="00BB298A"/>
    <w:rsid w:val="00BB3469"/>
    <w:rsid w:val="00BB38A5"/>
    <w:rsid w:val="00BB5C49"/>
    <w:rsid w:val="00BB6240"/>
    <w:rsid w:val="00BB6285"/>
    <w:rsid w:val="00BB69F5"/>
    <w:rsid w:val="00BB7EC3"/>
    <w:rsid w:val="00BC04B1"/>
    <w:rsid w:val="00BC37F5"/>
    <w:rsid w:val="00BC470E"/>
    <w:rsid w:val="00BC4B9A"/>
    <w:rsid w:val="00BC6ED0"/>
    <w:rsid w:val="00BD02C3"/>
    <w:rsid w:val="00BD25B1"/>
    <w:rsid w:val="00BD7483"/>
    <w:rsid w:val="00BD784C"/>
    <w:rsid w:val="00BE020A"/>
    <w:rsid w:val="00BE0723"/>
    <w:rsid w:val="00BE13DF"/>
    <w:rsid w:val="00BE1EF0"/>
    <w:rsid w:val="00BE25D7"/>
    <w:rsid w:val="00BE628A"/>
    <w:rsid w:val="00BF092C"/>
    <w:rsid w:val="00BF27A0"/>
    <w:rsid w:val="00BF323F"/>
    <w:rsid w:val="00BF4CB6"/>
    <w:rsid w:val="00BF51E1"/>
    <w:rsid w:val="00BF6CBD"/>
    <w:rsid w:val="00BF7285"/>
    <w:rsid w:val="00C00DA7"/>
    <w:rsid w:val="00C0239E"/>
    <w:rsid w:val="00C034FB"/>
    <w:rsid w:val="00C04CDE"/>
    <w:rsid w:val="00C059D5"/>
    <w:rsid w:val="00C068A6"/>
    <w:rsid w:val="00C12768"/>
    <w:rsid w:val="00C12D70"/>
    <w:rsid w:val="00C15914"/>
    <w:rsid w:val="00C16724"/>
    <w:rsid w:val="00C17C86"/>
    <w:rsid w:val="00C21B09"/>
    <w:rsid w:val="00C21D06"/>
    <w:rsid w:val="00C22B0E"/>
    <w:rsid w:val="00C232D3"/>
    <w:rsid w:val="00C25EFF"/>
    <w:rsid w:val="00C2673A"/>
    <w:rsid w:val="00C278CD"/>
    <w:rsid w:val="00C27B58"/>
    <w:rsid w:val="00C27C1C"/>
    <w:rsid w:val="00C3166C"/>
    <w:rsid w:val="00C324AE"/>
    <w:rsid w:val="00C33186"/>
    <w:rsid w:val="00C350EB"/>
    <w:rsid w:val="00C35996"/>
    <w:rsid w:val="00C35FA8"/>
    <w:rsid w:val="00C41A9E"/>
    <w:rsid w:val="00C42BCD"/>
    <w:rsid w:val="00C4451C"/>
    <w:rsid w:val="00C4485F"/>
    <w:rsid w:val="00C45548"/>
    <w:rsid w:val="00C45FBF"/>
    <w:rsid w:val="00C46C13"/>
    <w:rsid w:val="00C4747E"/>
    <w:rsid w:val="00C5151E"/>
    <w:rsid w:val="00C52256"/>
    <w:rsid w:val="00C5342C"/>
    <w:rsid w:val="00C53B2B"/>
    <w:rsid w:val="00C57465"/>
    <w:rsid w:val="00C60272"/>
    <w:rsid w:val="00C603D4"/>
    <w:rsid w:val="00C623C3"/>
    <w:rsid w:val="00C6256A"/>
    <w:rsid w:val="00C62B72"/>
    <w:rsid w:val="00C63F7B"/>
    <w:rsid w:val="00C63FDA"/>
    <w:rsid w:val="00C64EBC"/>
    <w:rsid w:val="00C664D2"/>
    <w:rsid w:val="00C677E1"/>
    <w:rsid w:val="00C70508"/>
    <w:rsid w:val="00C70E6E"/>
    <w:rsid w:val="00C710E2"/>
    <w:rsid w:val="00C715A0"/>
    <w:rsid w:val="00C71C3F"/>
    <w:rsid w:val="00C7243B"/>
    <w:rsid w:val="00C7409E"/>
    <w:rsid w:val="00C74D6D"/>
    <w:rsid w:val="00C75C20"/>
    <w:rsid w:val="00C76D19"/>
    <w:rsid w:val="00C76E76"/>
    <w:rsid w:val="00C774FC"/>
    <w:rsid w:val="00C77891"/>
    <w:rsid w:val="00C77B74"/>
    <w:rsid w:val="00C80C31"/>
    <w:rsid w:val="00C82062"/>
    <w:rsid w:val="00C829A9"/>
    <w:rsid w:val="00C87B80"/>
    <w:rsid w:val="00C90330"/>
    <w:rsid w:val="00C91449"/>
    <w:rsid w:val="00C92D10"/>
    <w:rsid w:val="00C92F79"/>
    <w:rsid w:val="00C95200"/>
    <w:rsid w:val="00C96EC0"/>
    <w:rsid w:val="00CA06F9"/>
    <w:rsid w:val="00CA1045"/>
    <w:rsid w:val="00CA48D9"/>
    <w:rsid w:val="00CB0C07"/>
    <w:rsid w:val="00CB1193"/>
    <w:rsid w:val="00CB1843"/>
    <w:rsid w:val="00CB4767"/>
    <w:rsid w:val="00CB493D"/>
    <w:rsid w:val="00CB7BD5"/>
    <w:rsid w:val="00CC3B97"/>
    <w:rsid w:val="00CC5123"/>
    <w:rsid w:val="00CD4F80"/>
    <w:rsid w:val="00CD6257"/>
    <w:rsid w:val="00CD7C0B"/>
    <w:rsid w:val="00CE015C"/>
    <w:rsid w:val="00CE10C4"/>
    <w:rsid w:val="00CE2343"/>
    <w:rsid w:val="00CE27B5"/>
    <w:rsid w:val="00CE2BDF"/>
    <w:rsid w:val="00CE6D24"/>
    <w:rsid w:val="00CE6DAF"/>
    <w:rsid w:val="00CF02B3"/>
    <w:rsid w:val="00CF1079"/>
    <w:rsid w:val="00CF31ED"/>
    <w:rsid w:val="00CF410A"/>
    <w:rsid w:val="00CF7528"/>
    <w:rsid w:val="00CF7FDE"/>
    <w:rsid w:val="00D00798"/>
    <w:rsid w:val="00D012AF"/>
    <w:rsid w:val="00D01E4F"/>
    <w:rsid w:val="00D0321E"/>
    <w:rsid w:val="00D05457"/>
    <w:rsid w:val="00D05D99"/>
    <w:rsid w:val="00D069EB"/>
    <w:rsid w:val="00D06C52"/>
    <w:rsid w:val="00D07A8A"/>
    <w:rsid w:val="00D10E31"/>
    <w:rsid w:val="00D11199"/>
    <w:rsid w:val="00D13344"/>
    <w:rsid w:val="00D1417A"/>
    <w:rsid w:val="00D1455A"/>
    <w:rsid w:val="00D14573"/>
    <w:rsid w:val="00D14A70"/>
    <w:rsid w:val="00D207EA"/>
    <w:rsid w:val="00D21909"/>
    <w:rsid w:val="00D22093"/>
    <w:rsid w:val="00D2262C"/>
    <w:rsid w:val="00D31150"/>
    <w:rsid w:val="00D3138B"/>
    <w:rsid w:val="00D31FCE"/>
    <w:rsid w:val="00D32458"/>
    <w:rsid w:val="00D3280C"/>
    <w:rsid w:val="00D33A20"/>
    <w:rsid w:val="00D3406A"/>
    <w:rsid w:val="00D34D24"/>
    <w:rsid w:val="00D40B11"/>
    <w:rsid w:val="00D41BE2"/>
    <w:rsid w:val="00D42864"/>
    <w:rsid w:val="00D429EC"/>
    <w:rsid w:val="00D441F1"/>
    <w:rsid w:val="00D4572C"/>
    <w:rsid w:val="00D463D4"/>
    <w:rsid w:val="00D469B2"/>
    <w:rsid w:val="00D47EBD"/>
    <w:rsid w:val="00D52B24"/>
    <w:rsid w:val="00D52ECF"/>
    <w:rsid w:val="00D54B09"/>
    <w:rsid w:val="00D6243E"/>
    <w:rsid w:val="00D65658"/>
    <w:rsid w:val="00D67EB2"/>
    <w:rsid w:val="00D70349"/>
    <w:rsid w:val="00D71C26"/>
    <w:rsid w:val="00D72B6F"/>
    <w:rsid w:val="00D741EB"/>
    <w:rsid w:val="00D7679C"/>
    <w:rsid w:val="00D820F3"/>
    <w:rsid w:val="00D83605"/>
    <w:rsid w:val="00D84430"/>
    <w:rsid w:val="00D84934"/>
    <w:rsid w:val="00D866EB"/>
    <w:rsid w:val="00D87D1A"/>
    <w:rsid w:val="00D906DA"/>
    <w:rsid w:val="00D91271"/>
    <w:rsid w:val="00D919F5"/>
    <w:rsid w:val="00D945F6"/>
    <w:rsid w:val="00D94F03"/>
    <w:rsid w:val="00D95161"/>
    <w:rsid w:val="00D95C23"/>
    <w:rsid w:val="00D95C4E"/>
    <w:rsid w:val="00DA0A82"/>
    <w:rsid w:val="00DA0D14"/>
    <w:rsid w:val="00DA1FC9"/>
    <w:rsid w:val="00DA2CB5"/>
    <w:rsid w:val="00DA383E"/>
    <w:rsid w:val="00DA4BAC"/>
    <w:rsid w:val="00DA4D4A"/>
    <w:rsid w:val="00DA650A"/>
    <w:rsid w:val="00DA722E"/>
    <w:rsid w:val="00DA792A"/>
    <w:rsid w:val="00DB0151"/>
    <w:rsid w:val="00DB04D7"/>
    <w:rsid w:val="00DB35E8"/>
    <w:rsid w:val="00DB50E1"/>
    <w:rsid w:val="00DB6537"/>
    <w:rsid w:val="00DB736C"/>
    <w:rsid w:val="00DC028C"/>
    <w:rsid w:val="00DC0566"/>
    <w:rsid w:val="00DC05E1"/>
    <w:rsid w:val="00DC1499"/>
    <w:rsid w:val="00DC16CF"/>
    <w:rsid w:val="00DC2B0B"/>
    <w:rsid w:val="00DC2C3E"/>
    <w:rsid w:val="00DC30BA"/>
    <w:rsid w:val="00DC3137"/>
    <w:rsid w:val="00DC4880"/>
    <w:rsid w:val="00DC5C43"/>
    <w:rsid w:val="00DC5E90"/>
    <w:rsid w:val="00DD0BE9"/>
    <w:rsid w:val="00DD0D87"/>
    <w:rsid w:val="00DD26F9"/>
    <w:rsid w:val="00DD42AB"/>
    <w:rsid w:val="00DD723E"/>
    <w:rsid w:val="00DE06AF"/>
    <w:rsid w:val="00DE6D27"/>
    <w:rsid w:val="00DE76EA"/>
    <w:rsid w:val="00DF01F8"/>
    <w:rsid w:val="00DF021D"/>
    <w:rsid w:val="00DF0B94"/>
    <w:rsid w:val="00DF14EE"/>
    <w:rsid w:val="00DF217D"/>
    <w:rsid w:val="00DF26A7"/>
    <w:rsid w:val="00DF3277"/>
    <w:rsid w:val="00DF4700"/>
    <w:rsid w:val="00DF6A31"/>
    <w:rsid w:val="00DF77A1"/>
    <w:rsid w:val="00DF7919"/>
    <w:rsid w:val="00E0207E"/>
    <w:rsid w:val="00E02AE6"/>
    <w:rsid w:val="00E03912"/>
    <w:rsid w:val="00E04748"/>
    <w:rsid w:val="00E0658A"/>
    <w:rsid w:val="00E078D9"/>
    <w:rsid w:val="00E10293"/>
    <w:rsid w:val="00E103A0"/>
    <w:rsid w:val="00E1043F"/>
    <w:rsid w:val="00E11F44"/>
    <w:rsid w:val="00E12D96"/>
    <w:rsid w:val="00E13E60"/>
    <w:rsid w:val="00E15627"/>
    <w:rsid w:val="00E164B3"/>
    <w:rsid w:val="00E16910"/>
    <w:rsid w:val="00E16BEF"/>
    <w:rsid w:val="00E21164"/>
    <w:rsid w:val="00E224BF"/>
    <w:rsid w:val="00E23164"/>
    <w:rsid w:val="00E239E2"/>
    <w:rsid w:val="00E24E09"/>
    <w:rsid w:val="00E26301"/>
    <w:rsid w:val="00E27234"/>
    <w:rsid w:val="00E3495C"/>
    <w:rsid w:val="00E41BF3"/>
    <w:rsid w:val="00E42BDB"/>
    <w:rsid w:val="00E43C69"/>
    <w:rsid w:val="00E52BEA"/>
    <w:rsid w:val="00E53F1A"/>
    <w:rsid w:val="00E54271"/>
    <w:rsid w:val="00E5726D"/>
    <w:rsid w:val="00E57EEB"/>
    <w:rsid w:val="00E62422"/>
    <w:rsid w:val="00E62D94"/>
    <w:rsid w:val="00E62ECC"/>
    <w:rsid w:val="00E64936"/>
    <w:rsid w:val="00E64F37"/>
    <w:rsid w:val="00E65091"/>
    <w:rsid w:val="00E65393"/>
    <w:rsid w:val="00E6572B"/>
    <w:rsid w:val="00E65E54"/>
    <w:rsid w:val="00E661C7"/>
    <w:rsid w:val="00E66679"/>
    <w:rsid w:val="00E7090F"/>
    <w:rsid w:val="00E72312"/>
    <w:rsid w:val="00E732C4"/>
    <w:rsid w:val="00E74E41"/>
    <w:rsid w:val="00E76920"/>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513"/>
    <w:rsid w:val="00EA1DC4"/>
    <w:rsid w:val="00EA252F"/>
    <w:rsid w:val="00EA2825"/>
    <w:rsid w:val="00EA5027"/>
    <w:rsid w:val="00EA5F01"/>
    <w:rsid w:val="00EA64C2"/>
    <w:rsid w:val="00EA6518"/>
    <w:rsid w:val="00EA6FE1"/>
    <w:rsid w:val="00EA71A2"/>
    <w:rsid w:val="00EA7466"/>
    <w:rsid w:val="00EA7EDE"/>
    <w:rsid w:val="00EB057E"/>
    <w:rsid w:val="00EB0B63"/>
    <w:rsid w:val="00EB1936"/>
    <w:rsid w:val="00EB3545"/>
    <w:rsid w:val="00EB37BE"/>
    <w:rsid w:val="00EB4BAE"/>
    <w:rsid w:val="00EB5088"/>
    <w:rsid w:val="00EB7210"/>
    <w:rsid w:val="00EB7A3E"/>
    <w:rsid w:val="00EC2726"/>
    <w:rsid w:val="00EC681C"/>
    <w:rsid w:val="00EC703D"/>
    <w:rsid w:val="00EC7B87"/>
    <w:rsid w:val="00ED1644"/>
    <w:rsid w:val="00ED2593"/>
    <w:rsid w:val="00ED3709"/>
    <w:rsid w:val="00ED6EA7"/>
    <w:rsid w:val="00ED7D55"/>
    <w:rsid w:val="00ED7D9C"/>
    <w:rsid w:val="00EE00A7"/>
    <w:rsid w:val="00EE1CA7"/>
    <w:rsid w:val="00EE21D5"/>
    <w:rsid w:val="00EE31A2"/>
    <w:rsid w:val="00EE4329"/>
    <w:rsid w:val="00EE6203"/>
    <w:rsid w:val="00EE6837"/>
    <w:rsid w:val="00EF0069"/>
    <w:rsid w:val="00EF3E67"/>
    <w:rsid w:val="00EF44A0"/>
    <w:rsid w:val="00EF4580"/>
    <w:rsid w:val="00EF4EC9"/>
    <w:rsid w:val="00EF4FED"/>
    <w:rsid w:val="00EF5F45"/>
    <w:rsid w:val="00EF6843"/>
    <w:rsid w:val="00EF6941"/>
    <w:rsid w:val="00EF6FB3"/>
    <w:rsid w:val="00F0068B"/>
    <w:rsid w:val="00F007C6"/>
    <w:rsid w:val="00F01472"/>
    <w:rsid w:val="00F0172E"/>
    <w:rsid w:val="00F050BD"/>
    <w:rsid w:val="00F055B8"/>
    <w:rsid w:val="00F05657"/>
    <w:rsid w:val="00F05AB0"/>
    <w:rsid w:val="00F07942"/>
    <w:rsid w:val="00F12B28"/>
    <w:rsid w:val="00F12C74"/>
    <w:rsid w:val="00F13214"/>
    <w:rsid w:val="00F1559A"/>
    <w:rsid w:val="00F17ED6"/>
    <w:rsid w:val="00F20676"/>
    <w:rsid w:val="00F209E2"/>
    <w:rsid w:val="00F2398F"/>
    <w:rsid w:val="00F25337"/>
    <w:rsid w:val="00F25578"/>
    <w:rsid w:val="00F258E5"/>
    <w:rsid w:val="00F25B9C"/>
    <w:rsid w:val="00F2675A"/>
    <w:rsid w:val="00F26CC6"/>
    <w:rsid w:val="00F27081"/>
    <w:rsid w:val="00F300BC"/>
    <w:rsid w:val="00F305FA"/>
    <w:rsid w:val="00F3263C"/>
    <w:rsid w:val="00F3334E"/>
    <w:rsid w:val="00F3573A"/>
    <w:rsid w:val="00F36CCB"/>
    <w:rsid w:val="00F374E5"/>
    <w:rsid w:val="00F37B93"/>
    <w:rsid w:val="00F37BAD"/>
    <w:rsid w:val="00F37CA2"/>
    <w:rsid w:val="00F37ECA"/>
    <w:rsid w:val="00F40A1C"/>
    <w:rsid w:val="00F43AF2"/>
    <w:rsid w:val="00F45216"/>
    <w:rsid w:val="00F453BB"/>
    <w:rsid w:val="00F5007E"/>
    <w:rsid w:val="00F508F6"/>
    <w:rsid w:val="00F50EC4"/>
    <w:rsid w:val="00F50F53"/>
    <w:rsid w:val="00F52232"/>
    <w:rsid w:val="00F52248"/>
    <w:rsid w:val="00F527B1"/>
    <w:rsid w:val="00F52DC2"/>
    <w:rsid w:val="00F545AC"/>
    <w:rsid w:val="00F54AF9"/>
    <w:rsid w:val="00F550CF"/>
    <w:rsid w:val="00F553D2"/>
    <w:rsid w:val="00F55753"/>
    <w:rsid w:val="00F56A2D"/>
    <w:rsid w:val="00F57A6D"/>
    <w:rsid w:val="00F6044B"/>
    <w:rsid w:val="00F62F19"/>
    <w:rsid w:val="00F638CC"/>
    <w:rsid w:val="00F64C9E"/>
    <w:rsid w:val="00F64CC1"/>
    <w:rsid w:val="00F708B1"/>
    <w:rsid w:val="00F72317"/>
    <w:rsid w:val="00F72E63"/>
    <w:rsid w:val="00F735EC"/>
    <w:rsid w:val="00F73DC1"/>
    <w:rsid w:val="00F75BB8"/>
    <w:rsid w:val="00F77714"/>
    <w:rsid w:val="00F7787D"/>
    <w:rsid w:val="00F80475"/>
    <w:rsid w:val="00F80E6E"/>
    <w:rsid w:val="00F81390"/>
    <w:rsid w:val="00F81F7A"/>
    <w:rsid w:val="00F8247A"/>
    <w:rsid w:val="00F82E5C"/>
    <w:rsid w:val="00F83E86"/>
    <w:rsid w:val="00F83F58"/>
    <w:rsid w:val="00F85206"/>
    <w:rsid w:val="00F8697B"/>
    <w:rsid w:val="00F87CEA"/>
    <w:rsid w:val="00F9265D"/>
    <w:rsid w:val="00F9403F"/>
    <w:rsid w:val="00F9629A"/>
    <w:rsid w:val="00F97EFC"/>
    <w:rsid w:val="00FA0B04"/>
    <w:rsid w:val="00FA0C7C"/>
    <w:rsid w:val="00FA1BDD"/>
    <w:rsid w:val="00FA305C"/>
    <w:rsid w:val="00FA462E"/>
    <w:rsid w:val="00FA4DD5"/>
    <w:rsid w:val="00FA5883"/>
    <w:rsid w:val="00FA6055"/>
    <w:rsid w:val="00FB061F"/>
    <w:rsid w:val="00FB0B39"/>
    <w:rsid w:val="00FB322F"/>
    <w:rsid w:val="00FB3DE5"/>
    <w:rsid w:val="00FB442F"/>
    <w:rsid w:val="00FC0AD2"/>
    <w:rsid w:val="00FC118C"/>
    <w:rsid w:val="00FC1929"/>
    <w:rsid w:val="00FC1E6E"/>
    <w:rsid w:val="00FC5B46"/>
    <w:rsid w:val="00FD1D4F"/>
    <w:rsid w:val="00FD24BF"/>
    <w:rsid w:val="00FD33DD"/>
    <w:rsid w:val="00FD3B6E"/>
    <w:rsid w:val="00FD4140"/>
    <w:rsid w:val="00FD57EB"/>
    <w:rsid w:val="00FD6D8E"/>
    <w:rsid w:val="00FD70C5"/>
    <w:rsid w:val="00FE0663"/>
    <w:rsid w:val="00FE0E94"/>
    <w:rsid w:val="00FE369C"/>
    <w:rsid w:val="00FE3CD9"/>
    <w:rsid w:val="00FF0095"/>
    <w:rsid w:val="00FF00BD"/>
    <w:rsid w:val="00FF0B13"/>
    <w:rsid w:val="00FF0D25"/>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ist Paragraph,L,Bullet Level 1,Bullet Point,Bulletr List Paragraph,Content descriptions,Footer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ist Paragraph Char,L Char,Bullet Level 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TableNotes0">
    <w:name w:val="TableNotes+0"/>
    <w:basedOn w:val="Normal"/>
    <w:rsid w:val="00362507"/>
    <w:pPr>
      <w:keepNext/>
      <w:keepLines/>
      <w:ind w:left="720"/>
      <w:jc w:val="left"/>
    </w:pPr>
    <w:rPr>
      <w:rFonts w:ascii="Arial Narrow" w:hAnsi="Arial Narrow" w:cs="Arial Narrow"/>
      <w:sz w:val="18"/>
      <w:szCs w:val="18"/>
      <w:lang w:eastAsia="en-US"/>
    </w:rPr>
  </w:style>
  <w:style w:type="paragraph" w:styleId="FootnoteText">
    <w:name w:val="footnote text"/>
    <w:aliases w:val=" Char,wcp_Footnote,Footnote_Bas Page,Footnote Text Char1,Footnote Text Char Char,Footnote Text Char2,Footnote Text Char Char1"/>
    <w:basedOn w:val="Normal"/>
    <w:link w:val="FootnoteTextChar"/>
    <w:uiPriority w:val="99"/>
    <w:unhideWhenUsed/>
    <w:rsid w:val="00AA11C6"/>
    <w:pPr>
      <w:jc w:val="left"/>
    </w:pPr>
    <w:rPr>
      <w:rFonts w:asciiTheme="minorHAnsi" w:eastAsiaTheme="minorHAnsi" w:hAnsiTheme="minorHAnsi" w:cstheme="minorBidi"/>
      <w:sz w:val="18"/>
      <w:szCs w:val="20"/>
      <w:lang w:eastAsia="en-US"/>
    </w:rPr>
  </w:style>
  <w:style w:type="character" w:customStyle="1" w:styleId="FootnoteTextChar">
    <w:name w:val="Footnote Text Char"/>
    <w:aliases w:val=" Char Char,wcp_Footnote Char,Footnote_Bas Page Char,Footnote Text Char1 Char,Footnote Text Char Char Char,Footnote Text Char2 Char,Footnote Text Char Char1 Char"/>
    <w:basedOn w:val="DefaultParagraphFont"/>
    <w:link w:val="FootnoteText"/>
    <w:uiPriority w:val="99"/>
    <w:rsid w:val="00AA11C6"/>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AA11C6"/>
    <w:rPr>
      <w:vertAlign w:val="superscript"/>
    </w:rPr>
  </w:style>
  <w:style w:type="table" w:customStyle="1" w:styleId="PBACtable1">
    <w:name w:val="PBAC table1"/>
    <w:basedOn w:val="TableNormal"/>
    <w:next w:val="TableGrid"/>
    <w:uiPriority w:val="59"/>
    <w:rsid w:val="00D00798"/>
    <w:pPr>
      <w:spacing w:after="120" w:line="360" w:lineRule="auto"/>
      <w:ind w:right="57"/>
    </w:pPr>
    <w:rPr>
      <w:rFonts w:ascii="Arial" w:eastAsia="Arial" w:hAnsi="Arial" w:cs="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customStyle="1" w:styleId="3-SubsectionHeading">
    <w:name w:val="3-Subsection Heading"/>
    <w:basedOn w:val="Heading2"/>
    <w:next w:val="Normal"/>
    <w:link w:val="3-SubsectionHeadingChar"/>
    <w:qFormat/>
    <w:rsid w:val="00EF4EC9"/>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EF4EC9"/>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693486">
      <w:bodyDiv w:val="1"/>
      <w:marLeft w:val="0"/>
      <w:marRight w:val="0"/>
      <w:marTop w:val="0"/>
      <w:marBottom w:val="0"/>
      <w:divBdr>
        <w:top w:val="none" w:sz="0" w:space="0" w:color="auto"/>
        <w:left w:val="none" w:sz="0" w:space="0" w:color="auto"/>
        <w:bottom w:val="none" w:sz="0" w:space="0" w:color="auto"/>
        <w:right w:val="none" w:sz="0" w:space="0" w:color="auto"/>
      </w:divBdr>
    </w:div>
    <w:div w:id="27656473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3057480">
      <w:bodyDiv w:val="1"/>
      <w:marLeft w:val="0"/>
      <w:marRight w:val="0"/>
      <w:marTop w:val="0"/>
      <w:marBottom w:val="0"/>
      <w:divBdr>
        <w:top w:val="none" w:sz="0" w:space="0" w:color="auto"/>
        <w:left w:val="none" w:sz="0" w:space="0" w:color="auto"/>
        <w:bottom w:val="none" w:sz="0" w:space="0" w:color="auto"/>
        <w:right w:val="none" w:sz="0" w:space="0" w:color="auto"/>
      </w:divBdr>
    </w:div>
    <w:div w:id="54896142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4735711">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48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nnalsofoncology.org/article/S0923-7534(21)04827-4/fulltext" TargetMode="External"/><Relationship Id="rId3" Type="http://schemas.openxmlformats.org/officeDocument/2006/relationships/hyperlink" Target="http://www.ema.europa.eu/docs/en_GB/document_library/Press_release/2018/05/WC500249798.pdf" TargetMode="External"/><Relationship Id="rId7" Type="http://schemas.openxmlformats.org/officeDocument/2006/relationships/hyperlink" Target="https://ascopubs.org/doi/full/10.1200/op.20.00229" TargetMode="External"/><Relationship Id="rId2" Type="http://schemas.openxmlformats.org/officeDocument/2006/relationships/hyperlink" Target="https://doi.org/10.1016/S1470-2045(18)30433-9" TargetMode="External"/><Relationship Id="rId1" Type="http://schemas.openxmlformats.org/officeDocument/2006/relationships/hyperlink" Target="https://www.fda.gov/Safety/MedWatch/SafetyInformation/SafetyAlertsforHumanMedicalProducts/ucm608253.htm" TargetMode="External"/><Relationship Id="rId6" Type="http://schemas.openxmlformats.org/officeDocument/2006/relationships/hyperlink" Target="http://www.ema.europa.eu/docs/en_GB/document_library/Press_release/2018/05/WC500249798.pdf" TargetMode="External"/><Relationship Id="rId5" Type="http://schemas.openxmlformats.org/officeDocument/2006/relationships/hyperlink" Target="https://doi.org/10.1016/S1470-2045(18)30433-9" TargetMode="External"/><Relationship Id="rId4" Type="http://schemas.openxmlformats.org/officeDocument/2006/relationships/hyperlink" Target="https://www.fda.gov/Safety/MedWatch/SafetyInformation/SafetyAlertsforHumanMedicalProducts/ucm608253.htm" TargetMode="External"/><Relationship Id="rId9" Type="http://schemas.openxmlformats.org/officeDocument/2006/relationships/hyperlink" Target="https://jnccn.org/view/journals/jnccn/20/8/article-p866.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4644</Words>
  <Characters>25099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2023-03-03T03:48:00Z</dcterms:created>
  <dcterms:modified xsi:type="dcterms:W3CDTF">2023-03-03T03:53:00Z</dcterms:modified>
</cp:coreProperties>
</file>