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5E57DFA2" w:rsidR="00B60939" w:rsidRPr="004A6040" w:rsidRDefault="00AE5220" w:rsidP="00AA0FB1">
      <w:pPr>
        <w:pStyle w:val="1-MainHeading"/>
      </w:pPr>
      <w:bookmarkStart w:id="0" w:name="_Toc113964269"/>
      <w:r>
        <w:t>5.14</w:t>
      </w:r>
      <w:r w:rsidR="00163F66">
        <w:tab/>
      </w:r>
      <w:r w:rsidR="00D21598">
        <w:t>OZANIMOD</w:t>
      </w:r>
      <w:r w:rsidR="00163F66">
        <w:t>,</w:t>
      </w:r>
      <w:r w:rsidR="00163F66">
        <w:br/>
      </w:r>
      <w:r w:rsidR="001E2598">
        <w:t>Pack containing 28 c</w:t>
      </w:r>
      <w:r w:rsidR="00AA0FB1">
        <w:t>apsule</w:t>
      </w:r>
      <w:r w:rsidR="001E2598">
        <w:t>s</w:t>
      </w:r>
      <w:r w:rsidR="00AA0FB1">
        <w:t xml:space="preserve"> 920</w:t>
      </w:r>
      <w:r w:rsidR="00955601">
        <w:t> </w:t>
      </w:r>
      <w:r w:rsidR="00AA0FB1">
        <w:t xml:space="preserve">micrograms; </w:t>
      </w:r>
      <w:r w:rsidR="00955601">
        <w:br/>
      </w:r>
      <w:r w:rsidR="00AA0FB1">
        <w:t>Pack containing 4 capsules 230</w:t>
      </w:r>
      <w:r w:rsidR="00955601">
        <w:t> </w:t>
      </w:r>
      <w:r w:rsidR="00AA0FB1">
        <w:t>micrograms and 3</w:t>
      </w:r>
      <w:r w:rsidR="00955601">
        <w:t> </w:t>
      </w:r>
      <w:r w:rsidR="00AA0FB1">
        <w:t>capsules 460 micrograms</w:t>
      </w:r>
      <w:r w:rsidR="00163F66">
        <w:br/>
      </w:r>
      <w:proofErr w:type="spellStart"/>
      <w:r w:rsidR="00AA0FB1">
        <w:t>Zeposia</w:t>
      </w:r>
      <w:proofErr w:type="spellEnd"/>
      <w:r w:rsidR="00B60939" w:rsidRPr="004A6040">
        <w:rPr>
          <w:vertAlign w:val="superscript"/>
        </w:rPr>
        <w:t>®</w:t>
      </w:r>
      <w:r w:rsidR="004A6040" w:rsidRPr="004A6040">
        <w:t>,</w:t>
      </w:r>
      <w:r w:rsidR="004A6040" w:rsidRPr="004A6040">
        <w:br/>
      </w:r>
      <w:r w:rsidR="00AA0FB1">
        <w:t>Celgene Pty Ltd</w:t>
      </w:r>
      <w:bookmarkEnd w:id="0"/>
    </w:p>
    <w:p w14:paraId="11C00795" w14:textId="3DFB6D23" w:rsidR="00B50DB8" w:rsidRPr="00407F2D" w:rsidRDefault="00B50DB8" w:rsidP="004A6040">
      <w:pPr>
        <w:pStyle w:val="2-SectionHeading"/>
      </w:pPr>
      <w:bookmarkStart w:id="1" w:name="_Toc113964271"/>
      <w:r w:rsidRPr="00407F2D">
        <w:t xml:space="preserve">Purpose of </w:t>
      </w:r>
      <w:r w:rsidR="00CD7193">
        <w:t>s</w:t>
      </w:r>
      <w:r w:rsidR="00BB3A45">
        <w:t>ubmission</w:t>
      </w:r>
      <w:bookmarkEnd w:id="1"/>
    </w:p>
    <w:p w14:paraId="19414AA1" w14:textId="7798DA24" w:rsidR="002C2775" w:rsidRPr="008B1757" w:rsidRDefault="007170DA" w:rsidP="004E18E9">
      <w:pPr>
        <w:pStyle w:val="3-BodyText"/>
      </w:pPr>
      <w:r>
        <w:t xml:space="preserve">The </w:t>
      </w:r>
      <w:r w:rsidR="00961F01">
        <w:t xml:space="preserve">submission requested the PBAC re-consider its </w:t>
      </w:r>
      <w:r w:rsidR="00BC5A0B">
        <w:t xml:space="preserve">advice </w:t>
      </w:r>
      <w:r w:rsidR="00961F01">
        <w:t xml:space="preserve">from </w:t>
      </w:r>
      <w:r w:rsidR="00036CAC">
        <w:t>the</w:t>
      </w:r>
      <w:r w:rsidR="00961F01">
        <w:t xml:space="preserve"> March 2022 meeting regarding the comparative effectiveness and safety of ozanimod (OZA) and adalimumab (ADA) for the treatment of moderate to severe ulcerative colitis (MSUC</w:t>
      </w:r>
      <w:r w:rsidR="00FE59BE">
        <w:t>) when</w:t>
      </w:r>
      <w:r w:rsidR="00961F01">
        <w:t xml:space="preserve"> it recommended the listing of OZA.</w:t>
      </w:r>
    </w:p>
    <w:p w14:paraId="4E9FBCB5" w14:textId="04B9061C" w:rsidR="00C2778B" w:rsidRDefault="00082D83" w:rsidP="004E18E9">
      <w:pPr>
        <w:pStyle w:val="3-BodyText"/>
      </w:pPr>
      <w:r>
        <w:t xml:space="preserve">The </w:t>
      </w:r>
      <w:r w:rsidR="002D58BB">
        <w:t>November 2022</w:t>
      </w:r>
      <w:r>
        <w:t xml:space="preserve"> submission</w:t>
      </w:r>
      <w:r w:rsidR="005750C5" w:rsidRPr="005750C5">
        <w:t xml:space="preserve"> requested </w:t>
      </w:r>
      <w:r>
        <w:t xml:space="preserve">listing </w:t>
      </w:r>
      <w:proofErr w:type="gramStart"/>
      <w:r w:rsidR="005750C5" w:rsidRPr="005750C5">
        <w:t>on the basis of</w:t>
      </w:r>
      <w:proofErr w:type="gramEnd"/>
      <w:r w:rsidR="005750C5" w:rsidRPr="005750C5">
        <w:t xml:space="preserve"> a </w:t>
      </w:r>
      <w:r w:rsidR="00961F01">
        <w:t>cost minimisation</w:t>
      </w:r>
      <w:r w:rsidR="004E63D7">
        <w:t xml:space="preserve"> </w:t>
      </w:r>
      <w:r>
        <w:t xml:space="preserve">approach </w:t>
      </w:r>
      <w:r w:rsidR="004E63D7">
        <w:t>to the least costly of infliximab (IFX), tofacitinib (TOF) or vedolizumab (VDZ)</w:t>
      </w:r>
      <w:r w:rsidR="00CA3E05">
        <w:t xml:space="preserve">. The submission </w:t>
      </w:r>
      <w:r w:rsidR="004E63D7">
        <w:t xml:space="preserve">requested golimumab (GOL) and ADA not be considered for the purposes of </w:t>
      </w:r>
      <w:r w:rsidR="004253ED">
        <w:t>determining the cost minimised price of OZA</w:t>
      </w:r>
      <w:r w:rsidR="002D58BB">
        <w:t>, following the PBAC recommendation in March 2022 on a cost minimisation with the least costly alternative, including GOL and ADA</w:t>
      </w:r>
      <w:r w:rsidR="004253ED">
        <w:t xml:space="preserve">. The submission claimed OZA was of superior comparative effectiveness to ADA </w:t>
      </w:r>
      <w:proofErr w:type="gramStart"/>
      <w:r w:rsidR="004253ED">
        <w:t>and also</w:t>
      </w:r>
      <w:proofErr w:type="gramEnd"/>
      <w:r w:rsidR="004253ED">
        <w:t xml:space="preserve"> argued GOL should be excluded from the cost minimisation on the basis</w:t>
      </w:r>
      <w:r>
        <w:t xml:space="preserve"> that</w:t>
      </w:r>
      <w:r w:rsidR="004253ED">
        <w:t xml:space="preserve"> the PBAC has previously considered it to be of inferior comparative effectiveness to IFX in induction therapy (GOL November 2017 public summary document</w:t>
      </w:r>
      <w:r w:rsidR="006A2550">
        <w:t xml:space="preserve"> </w:t>
      </w:r>
      <w:r w:rsidR="006706EF">
        <w:t>[</w:t>
      </w:r>
      <w:r w:rsidR="006A2550">
        <w:t>PSD</w:t>
      </w:r>
      <w:r w:rsidR="006706EF">
        <w:t>]</w:t>
      </w:r>
      <w:r w:rsidR="004253ED">
        <w:t>).</w:t>
      </w:r>
    </w:p>
    <w:p w14:paraId="50EB432D" w14:textId="6695F6BD" w:rsidR="004253ED" w:rsidRDefault="004253ED" w:rsidP="004E18E9">
      <w:pPr>
        <w:pStyle w:val="3-BodyText"/>
      </w:pPr>
      <w:r>
        <w:t xml:space="preserve">The below table presents the key components of the clinical issue addressed by the submission. </w:t>
      </w:r>
    </w:p>
    <w:p w14:paraId="3718DE61" w14:textId="1B706702" w:rsidR="008B1757" w:rsidRPr="004A6040" w:rsidRDefault="00696EF9" w:rsidP="004A6040">
      <w:pPr>
        <w:pStyle w:val="TableFigureHeading"/>
        <w:rPr>
          <w:rStyle w:val="CommentReference"/>
          <w:b/>
          <w:szCs w:val="24"/>
        </w:rPr>
      </w:pPr>
      <w:r>
        <w:lastRenderedPageBreak/>
        <w:t xml:space="preserve">Table </w:t>
      </w:r>
      <w:fldSimple w:instr=" SEQ Table \* ARABIC ">
        <w:r w:rsidR="00340AC7">
          <w:rPr>
            <w:noProof/>
          </w:rPr>
          <w:t>1</w:t>
        </w:r>
      </w:fldSimple>
      <w:r>
        <w:t>:</w:t>
      </w:r>
      <w:r w:rsidR="00BC591F" w:rsidRPr="004A6040">
        <w:rPr>
          <w:rStyle w:val="CommentReference"/>
          <w:b/>
          <w:szCs w:val="24"/>
        </w:rPr>
        <w:t xml:space="preserve"> </w:t>
      </w:r>
      <w:r w:rsidR="008B1757" w:rsidRPr="004A6040">
        <w:rPr>
          <w:rStyle w:val="CommentReference"/>
          <w:b/>
          <w:szCs w:val="24"/>
        </w:rPr>
        <w:t>Key components of the clinical issue addressed by the submission</w:t>
      </w:r>
      <w:r w:rsidR="007170DA" w:rsidRPr="004A6040">
        <w:rPr>
          <w:rStyle w:val="CommentReference"/>
          <w:b/>
          <w:szCs w:val="24"/>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8B1757" w:rsidRPr="00691913" w14:paraId="569F5103" w14:textId="77777777" w:rsidTr="002A2ADE">
        <w:trPr>
          <w:cantSplit/>
          <w:tblHeader/>
        </w:trPr>
        <w:tc>
          <w:tcPr>
            <w:tcW w:w="924" w:type="pct"/>
            <w:shd w:val="clear" w:color="auto" w:fill="auto"/>
          </w:tcPr>
          <w:p w14:paraId="501803FB" w14:textId="77777777" w:rsidR="008B1757" w:rsidRPr="006D2741" w:rsidRDefault="008B1757" w:rsidP="004A6040">
            <w:pPr>
              <w:pStyle w:val="In-tableHeading"/>
              <w:rPr>
                <w:szCs w:val="20"/>
              </w:rPr>
            </w:pPr>
            <w:r w:rsidRPr="006D2741">
              <w:t>Component</w:t>
            </w:r>
          </w:p>
        </w:tc>
        <w:tc>
          <w:tcPr>
            <w:tcW w:w="4076" w:type="pct"/>
            <w:shd w:val="clear" w:color="auto" w:fill="auto"/>
          </w:tcPr>
          <w:p w14:paraId="445D9EBB" w14:textId="77777777" w:rsidR="008B1757" w:rsidRPr="006D2741" w:rsidRDefault="008B1757" w:rsidP="004A6040">
            <w:pPr>
              <w:pStyle w:val="In-tableHeading"/>
            </w:pPr>
            <w:r w:rsidRPr="006D2741">
              <w:t>Description</w:t>
            </w:r>
          </w:p>
        </w:tc>
      </w:tr>
      <w:tr w:rsidR="008B1757" w:rsidRPr="00691913" w14:paraId="2EB546E2" w14:textId="77777777" w:rsidTr="002A2ADE">
        <w:trPr>
          <w:cantSplit/>
        </w:trPr>
        <w:tc>
          <w:tcPr>
            <w:tcW w:w="924" w:type="pct"/>
            <w:shd w:val="clear" w:color="auto" w:fill="auto"/>
          </w:tcPr>
          <w:p w14:paraId="38F3BB34" w14:textId="77777777" w:rsidR="008B1757" w:rsidRPr="006D2741" w:rsidRDefault="008B1757" w:rsidP="004A6040">
            <w:pPr>
              <w:pStyle w:val="TableText0"/>
            </w:pPr>
            <w:r w:rsidRPr="006D2741">
              <w:t>Population</w:t>
            </w:r>
          </w:p>
        </w:tc>
        <w:tc>
          <w:tcPr>
            <w:tcW w:w="4076" w:type="pct"/>
            <w:shd w:val="clear" w:color="auto" w:fill="auto"/>
          </w:tcPr>
          <w:p w14:paraId="79618EEE" w14:textId="08744968" w:rsidR="00233C01" w:rsidRPr="006D2741" w:rsidRDefault="004253ED" w:rsidP="00233C01">
            <w:pPr>
              <w:pStyle w:val="TableText0"/>
              <w:rPr>
                <w:szCs w:val="20"/>
              </w:rPr>
            </w:pPr>
            <w:r w:rsidRPr="006D2741">
              <w:t>Adult patients with MSUC who have had an inadequate response, lost response, or were intolerant to standard treatment</w:t>
            </w:r>
            <w:r w:rsidR="003C2D86" w:rsidRPr="006D2741">
              <w:t xml:space="preserve"> (unchanged)</w:t>
            </w:r>
            <w:r w:rsidRPr="006D2741">
              <w:t>.</w:t>
            </w:r>
          </w:p>
        </w:tc>
      </w:tr>
      <w:tr w:rsidR="008B1757" w:rsidRPr="00691913" w14:paraId="0CA523AF" w14:textId="77777777" w:rsidTr="002A2ADE">
        <w:trPr>
          <w:cantSplit/>
        </w:trPr>
        <w:tc>
          <w:tcPr>
            <w:tcW w:w="924" w:type="pct"/>
            <w:shd w:val="clear" w:color="auto" w:fill="auto"/>
          </w:tcPr>
          <w:p w14:paraId="7B6D20D8" w14:textId="77777777" w:rsidR="008B1757" w:rsidRPr="006D2741" w:rsidRDefault="008B1757" w:rsidP="004A6040">
            <w:pPr>
              <w:pStyle w:val="TableText0"/>
            </w:pPr>
            <w:r w:rsidRPr="006D2741">
              <w:t>Intervention</w:t>
            </w:r>
          </w:p>
        </w:tc>
        <w:tc>
          <w:tcPr>
            <w:tcW w:w="4076" w:type="pct"/>
            <w:shd w:val="clear" w:color="auto" w:fill="auto"/>
          </w:tcPr>
          <w:p w14:paraId="2491E905" w14:textId="518C6D4B" w:rsidR="00233C01" w:rsidRPr="006D2741" w:rsidRDefault="004253ED" w:rsidP="004253ED">
            <w:pPr>
              <w:pStyle w:val="TableText0"/>
            </w:pPr>
            <w:r w:rsidRPr="006D2741">
              <w:t>OZA PO 0.92 mg capsule (1 mg OZA</w:t>
            </w:r>
            <w:r w:rsidR="00B67F1D" w:rsidRPr="006D2741">
              <w:t xml:space="preserve"> HCl</w:t>
            </w:r>
            <w:r w:rsidRPr="006D2741">
              <w:t>) daily after escalation for 7 days (dose titration)</w:t>
            </w:r>
            <w:r w:rsidR="003C2D86" w:rsidRPr="006D2741">
              <w:t xml:space="preserve"> (unchanged).</w:t>
            </w:r>
          </w:p>
        </w:tc>
      </w:tr>
      <w:tr w:rsidR="008B1757" w:rsidRPr="00691913" w14:paraId="0F81EBE4" w14:textId="77777777" w:rsidTr="002A2ADE">
        <w:trPr>
          <w:cantSplit/>
        </w:trPr>
        <w:tc>
          <w:tcPr>
            <w:tcW w:w="924" w:type="pct"/>
            <w:shd w:val="clear" w:color="auto" w:fill="auto"/>
          </w:tcPr>
          <w:p w14:paraId="3656B343" w14:textId="77777777" w:rsidR="008B1757" w:rsidRPr="006D2741" w:rsidRDefault="008B1757" w:rsidP="004A6040">
            <w:pPr>
              <w:pStyle w:val="TableText0"/>
            </w:pPr>
            <w:r w:rsidRPr="006D2741">
              <w:t>Comparator</w:t>
            </w:r>
          </w:p>
        </w:tc>
        <w:tc>
          <w:tcPr>
            <w:tcW w:w="4076" w:type="pct"/>
            <w:shd w:val="clear" w:color="auto" w:fill="auto"/>
          </w:tcPr>
          <w:p w14:paraId="5ECDEB93" w14:textId="55A2692C" w:rsidR="004253ED" w:rsidRPr="006D2741" w:rsidRDefault="004253ED" w:rsidP="004253ED">
            <w:pPr>
              <w:pStyle w:val="Tabletext"/>
              <w:keepNext/>
            </w:pPr>
            <w:r w:rsidRPr="006D2741">
              <w:t>Primary comparator</w:t>
            </w:r>
            <w:r w:rsidR="00C357EA" w:rsidRPr="006D2741">
              <w:t>(s)</w:t>
            </w:r>
            <w:r w:rsidRPr="006D2741">
              <w:t xml:space="preserve">: </w:t>
            </w:r>
          </w:p>
          <w:p w14:paraId="1CD35646" w14:textId="3DF5873F" w:rsidR="004253ED" w:rsidRPr="006D2741" w:rsidRDefault="004253ED" w:rsidP="00AA3CF7">
            <w:pPr>
              <w:pStyle w:val="Tabletext"/>
              <w:keepNext/>
              <w:numPr>
                <w:ilvl w:val="0"/>
                <w:numId w:val="8"/>
              </w:numPr>
              <w:ind w:left="628"/>
            </w:pPr>
            <w:r w:rsidRPr="006D2741">
              <w:t>IFX IV infusion, 5 mg/kg at 0, 2 and 6 weeks then Q8W thereafter</w:t>
            </w:r>
            <w:r w:rsidR="003C2D86" w:rsidRPr="006D2741">
              <w:t xml:space="preserve"> (</w:t>
            </w:r>
            <w:r w:rsidR="00072062" w:rsidRPr="006D2741">
              <w:t>unchanged</w:t>
            </w:r>
            <w:r w:rsidR="003C2D86" w:rsidRPr="006D2741">
              <w:t>)</w:t>
            </w:r>
            <w:r w:rsidRPr="006D2741">
              <w:t>.</w:t>
            </w:r>
          </w:p>
          <w:p w14:paraId="7312B98A" w14:textId="6BEA727A" w:rsidR="004253ED" w:rsidRPr="006D2741" w:rsidRDefault="004253ED" w:rsidP="00AA3CF7">
            <w:pPr>
              <w:pStyle w:val="Tabletext"/>
              <w:keepNext/>
              <w:numPr>
                <w:ilvl w:val="0"/>
                <w:numId w:val="8"/>
              </w:numPr>
              <w:ind w:left="628"/>
            </w:pPr>
            <w:r w:rsidRPr="006D2741">
              <w:t>ADA SC injection, 160 mg at Week 0, 80 mg at Week 2 then 40 mg Q2W thereafter (secondary comparator in original submission).</w:t>
            </w:r>
          </w:p>
          <w:p w14:paraId="72A1762C" w14:textId="0F525295" w:rsidR="004253ED" w:rsidRPr="006D2741" w:rsidRDefault="004253ED" w:rsidP="004253ED">
            <w:pPr>
              <w:pStyle w:val="Tabletext"/>
              <w:keepNext/>
            </w:pPr>
            <w:r w:rsidRPr="006D2741">
              <w:t>Secondary comparators</w:t>
            </w:r>
            <w:r w:rsidR="003C2D86" w:rsidRPr="006D2741">
              <w:t xml:space="preserve"> (</w:t>
            </w:r>
            <w:r w:rsidR="00072062" w:rsidRPr="006D2741">
              <w:t>unchanged</w:t>
            </w:r>
            <w:r w:rsidR="003C2D86" w:rsidRPr="006D2741">
              <w:t>)</w:t>
            </w:r>
            <w:r w:rsidRPr="006D2741">
              <w:t>:</w:t>
            </w:r>
          </w:p>
          <w:p w14:paraId="373F5F69" w14:textId="268468A1" w:rsidR="004253ED" w:rsidRPr="006D2741" w:rsidRDefault="004253ED" w:rsidP="00AA3CF7">
            <w:pPr>
              <w:pStyle w:val="Tabletext"/>
              <w:keepNext/>
              <w:numPr>
                <w:ilvl w:val="0"/>
                <w:numId w:val="8"/>
              </w:numPr>
              <w:ind w:left="628"/>
            </w:pPr>
            <w:r w:rsidRPr="006D2741">
              <w:t>V</w:t>
            </w:r>
            <w:r w:rsidR="003872DE">
              <w:t>DZ</w:t>
            </w:r>
            <w:r w:rsidRPr="006D2741">
              <w:t xml:space="preserve"> IV infusion, 300 mg at Weeks 0, 2 and then Q8W thereafter.</w:t>
            </w:r>
          </w:p>
          <w:p w14:paraId="3B1EE9AC" w14:textId="77777777" w:rsidR="004253ED" w:rsidRPr="006D2741" w:rsidRDefault="004253ED" w:rsidP="00AA3CF7">
            <w:pPr>
              <w:pStyle w:val="Tabletext"/>
              <w:keepNext/>
              <w:numPr>
                <w:ilvl w:val="0"/>
                <w:numId w:val="8"/>
              </w:numPr>
              <w:ind w:left="628"/>
            </w:pPr>
            <w:r w:rsidRPr="006D2741">
              <w:t>GOL SC injection, 200 mg at Week 0, 100 mg at Week 2, then 100 mg Q4W thereafter.</w:t>
            </w:r>
          </w:p>
          <w:p w14:paraId="3727DE24" w14:textId="2BF736CA" w:rsidR="00233C01" w:rsidRPr="006D2741" w:rsidRDefault="004253ED" w:rsidP="00AA3CF7">
            <w:pPr>
              <w:pStyle w:val="Tabletext"/>
              <w:keepNext/>
              <w:numPr>
                <w:ilvl w:val="0"/>
                <w:numId w:val="8"/>
              </w:numPr>
              <w:ind w:left="628"/>
            </w:pPr>
            <w:r w:rsidRPr="006D2741">
              <w:t>TOF 10 mg BD for at least 8 weeks for induction and then 5 mg BD (for maintenance)</w:t>
            </w:r>
          </w:p>
        </w:tc>
      </w:tr>
      <w:tr w:rsidR="008B1757" w:rsidRPr="00691913" w14:paraId="02F86F0D" w14:textId="77777777" w:rsidTr="002A2ADE">
        <w:trPr>
          <w:cantSplit/>
        </w:trPr>
        <w:tc>
          <w:tcPr>
            <w:tcW w:w="924" w:type="pct"/>
            <w:shd w:val="clear" w:color="auto" w:fill="auto"/>
          </w:tcPr>
          <w:p w14:paraId="06433105" w14:textId="77777777" w:rsidR="008B1757" w:rsidRPr="006D2741" w:rsidRDefault="008B1757" w:rsidP="004A6040">
            <w:pPr>
              <w:pStyle w:val="TableText0"/>
            </w:pPr>
            <w:r w:rsidRPr="006D2741">
              <w:t>Outcomes</w:t>
            </w:r>
          </w:p>
        </w:tc>
        <w:tc>
          <w:tcPr>
            <w:tcW w:w="4076" w:type="pct"/>
            <w:shd w:val="clear" w:color="auto" w:fill="auto"/>
          </w:tcPr>
          <w:p w14:paraId="67B6F499" w14:textId="6436D7AC" w:rsidR="004253ED" w:rsidRPr="006D2741" w:rsidRDefault="004253ED" w:rsidP="004253ED">
            <w:pPr>
              <w:pStyle w:val="TableText0"/>
            </w:pPr>
            <w:r w:rsidRPr="006D2741">
              <w:t>Indirect comparison of OZA and comparators for induction and maintenance therapy accounting for differences in trial design for clinical response and clinical remission (</w:t>
            </w:r>
            <w:r w:rsidR="0056671F" w:rsidRPr="006D2741">
              <w:t>unchanged</w:t>
            </w:r>
            <w:r w:rsidRPr="006D2741">
              <w:t>).</w:t>
            </w:r>
          </w:p>
          <w:p w14:paraId="035C2BD3" w14:textId="0209F58E" w:rsidR="004253ED" w:rsidRPr="006D2741" w:rsidRDefault="004253ED" w:rsidP="004253ED">
            <w:pPr>
              <w:pStyle w:val="TableText0"/>
            </w:pPr>
          </w:p>
          <w:p w14:paraId="5ABC4037" w14:textId="7D195141" w:rsidR="00233C01" w:rsidRPr="006D2741" w:rsidRDefault="004253ED" w:rsidP="004253ED">
            <w:pPr>
              <w:pStyle w:val="TableText0"/>
            </w:pPr>
            <w:r w:rsidRPr="006D2741">
              <w:t>Additional analyses versus ADA for clinical response</w:t>
            </w:r>
            <w:r w:rsidR="00F03A44" w:rsidRPr="006D2741">
              <w:t xml:space="preserve"> and</w:t>
            </w:r>
            <w:r w:rsidRPr="006D2741">
              <w:t xml:space="preserve"> clinical remission</w:t>
            </w:r>
            <w:r w:rsidR="00F03A44" w:rsidRPr="006D2741">
              <w:t xml:space="preserve"> in the induction phase, including a matching-adjusted indirect comparison (MAIC) and a network meta-analysis (NMA). Additional safety comparisons for induction and maintenance therapy were also presented from the MAIC</w:t>
            </w:r>
            <w:r w:rsidR="003C2D86" w:rsidRPr="006D2741">
              <w:t xml:space="preserve"> (current submission)</w:t>
            </w:r>
            <w:r w:rsidR="00F03A44" w:rsidRPr="006D2741">
              <w:t>.</w:t>
            </w:r>
          </w:p>
        </w:tc>
      </w:tr>
      <w:tr w:rsidR="008B1757" w:rsidRPr="00691913" w14:paraId="22223890" w14:textId="77777777" w:rsidTr="002A2ADE">
        <w:trPr>
          <w:cantSplit/>
        </w:trPr>
        <w:tc>
          <w:tcPr>
            <w:tcW w:w="924" w:type="pct"/>
            <w:shd w:val="clear" w:color="auto" w:fill="auto"/>
          </w:tcPr>
          <w:p w14:paraId="0FC8FCE0" w14:textId="77777777" w:rsidR="008B1757" w:rsidRPr="006D2741" w:rsidRDefault="008B1757" w:rsidP="004A6040">
            <w:pPr>
              <w:pStyle w:val="TableText0"/>
            </w:pPr>
            <w:r w:rsidRPr="006D2741">
              <w:t>Clinical claim</w:t>
            </w:r>
          </w:p>
        </w:tc>
        <w:tc>
          <w:tcPr>
            <w:tcW w:w="4076" w:type="pct"/>
            <w:shd w:val="clear" w:color="auto" w:fill="auto"/>
          </w:tcPr>
          <w:p w14:paraId="44556491" w14:textId="3CAB2B39" w:rsidR="008B1757" w:rsidRPr="006D2741" w:rsidRDefault="003C2D86" w:rsidP="001E1E86">
            <w:pPr>
              <w:pStyle w:val="TableText0"/>
            </w:pPr>
            <w:r w:rsidRPr="006D2741">
              <w:t>OZA is of non-inferior comparative effectiveness and safety to IFX (unchanged).</w:t>
            </w:r>
            <w:r w:rsidR="00B716DE">
              <w:t xml:space="preserve"> In addition, OZA is non-inferior int terms of efficacy to VDZ, ADA, GOL and TOF, with a trend towards more favourable safety (original submission – secondary comparators).</w:t>
            </w:r>
          </w:p>
          <w:p w14:paraId="2D307564" w14:textId="371447F5" w:rsidR="003C2D86" w:rsidRPr="006D2741" w:rsidRDefault="003C2D86" w:rsidP="001E1E86">
            <w:pPr>
              <w:pStyle w:val="TableText0"/>
            </w:pPr>
          </w:p>
          <w:p w14:paraId="2C99C4DE" w14:textId="4E6D1B2C" w:rsidR="00233C01" w:rsidRPr="006D2741" w:rsidRDefault="00B716DE" w:rsidP="00D43D83">
            <w:pPr>
              <w:pStyle w:val="TableText0"/>
            </w:pPr>
            <w:r>
              <w:t xml:space="preserve">Current submission - </w:t>
            </w:r>
            <w:r w:rsidR="003C2D86" w:rsidRPr="006D2741">
              <w:t xml:space="preserve">OZA is of superior comparative effectiveness to ADA </w:t>
            </w:r>
            <w:r w:rsidR="00CF640A" w:rsidRPr="006D2741">
              <w:t>and</w:t>
            </w:r>
            <w:r w:rsidR="002234EF" w:rsidRPr="006D2741">
              <w:t xml:space="preserve"> has</w:t>
            </w:r>
            <w:r w:rsidR="00CF640A" w:rsidRPr="006D2741">
              <w:t xml:space="preserve"> some safety advantages over ADA </w:t>
            </w:r>
            <w:r w:rsidR="002234EF" w:rsidRPr="006D2741">
              <w:t>in maintenance therapy (analyses presented)</w:t>
            </w:r>
            <w:r w:rsidR="003C2D86" w:rsidRPr="006D2741">
              <w:t xml:space="preserve">. Based on previous PBAC advice, OZA should also </w:t>
            </w:r>
            <w:proofErr w:type="gramStart"/>
            <w:r w:rsidR="003C2D86" w:rsidRPr="006D2741">
              <w:t>be considered to be</w:t>
            </w:r>
            <w:proofErr w:type="gramEnd"/>
            <w:r w:rsidR="003C2D86" w:rsidRPr="006D2741">
              <w:t xml:space="preserve"> of superior comparative effectiveness to GOL.</w:t>
            </w:r>
          </w:p>
        </w:tc>
      </w:tr>
    </w:tbl>
    <w:p w14:paraId="527CA7F0" w14:textId="664699C6" w:rsidR="004E43B2" w:rsidRPr="003C2D86" w:rsidRDefault="008B1757" w:rsidP="004A6040">
      <w:pPr>
        <w:pStyle w:val="FooterTableFigure"/>
        <w:rPr>
          <w:sz w:val="20"/>
        </w:rPr>
      </w:pPr>
      <w:r>
        <w:t xml:space="preserve">Source: </w:t>
      </w:r>
      <w:r w:rsidR="003C2D86">
        <w:t>Adapted from Table 1 of the ozanimod March 2022 public summary document (PSD) with additional information in the current submission added.</w:t>
      </w:r>
    </w:p>
    <w:p w14:paraId="6B4AB6C2" w14:textId="7F01D731" w:rsidR="005C25FF" w:rsidRPr="00407F2D" w:rsidRDefault="005C25FF" w:rsidP="004A6040">
      <w:pPr>
        <w:pStyle w:val="2-SectionHeading"/>
      </w:pPr>
      <w:bookmarkStart w:id="2" w:name="_Toc113964272"/>
      <w:r w:rsidRPr="00407F2D">
        <w:t>Background</w:t>
      </w:r>
      <w:bookmarkEnd w:id="2"/>
    </w:p>
    <w:p w14:paraId="2C521D6D" w14:textId="78CF03EE" w:rsidR="005C25FF" w:rsidRPr="004151CF" w:rsidRDefault="005C25FF" w:rsidP="004A6040">
      <w:pPr>
        <w:pStyle w:val="4-SubsectionHeading"/>
      </w:pPr>
      <w:bookmarkStart w:id="3" w:name="_Toc22897638"/>
      <w:bookmarkStart w:id="4" w:name="_Toc113964273"/>
      <w:r w:rsidRPr="004151CF">
        <w:t>Registration status</w:t>
      </w:r>
      <w:bookmarkEnd w:id="3"/>
      <w:bookmarkEnd w:id="4"/>
    </w:p>
    <w:p w14:paraId="5687ECCD" w14:textId="0301BE62" w:rsidR="00CF3A1B" w:rsidRPr="00CF3A1B" w:rsidRDefault="003C2D86" w:rsidP="004E18E9">
      <w:pPr>
        <w:pStyle w:val="3-BodyText"/>
      </w:pPr>
      <w:r>
        <w:t>Ozanimod</w:t>
      </w:r>
      <w:r w:rsidR="005C25FF" w:rsidRPr="004E18E9">
        <w:t xml:space="preserve"> was TGA registered</w:t>
      </w:r>
      <w:r w:rsidR="00B75853">
        <w:t xml:space="preserve"> on 17 July 2020 for the treatment of relapsing-remitting multiple sclerosis and</w:t>
      </w:r>
      <w:r w:rsidR="005C25FF" w:rsidRPr="004E18E9">
        <w:t xml:space="preserve"> on </w:t>
      </w:r>
      <w:r w:rsidR="00B75853">
        <w:t>18 March 2022</w:t>
      </w:r>
      <w:r w:rsidR="005C25FF" w:rsidRPr="004E18E9">
        <w:t xml:space="preserve"> for </w:t>
      </w:r>
      <w:r w:rsidR="00B75853">
        <w:t>MSUC</w:t>
      </w:r>
      <w:r w:rsidR="00CF3A1B">
        <w:t>.</w:t>
      </w:r>
      <w:r w:rsidR="000508C2">
        <w:t xml:space="preserve"> </w:t>
      </w:r>
    </w:p>
    <w:p w14:paraId="3E2A6EAB" w14:textId="469C8C0C" w:rsidR="005C25FF" w:rsidRPr="00621ADA" w:rsidRDefault="005C25FF" w:rsidP="004E18E9">
      <w:pPr>
        <w:pStyle w:val="4-SubsectionHeading"/>
      </w:pPr>
      <w:bookmarkStart w:id="5" w:name="_Toc22897639"/>
      <w:bookmarkStart w:id="6" w:name="_Toc113964274"/>
      <w:r w:rsidRPr="00621ADA">
        <w:t>Previous PBAC consideration</w:t>
      </w:r>
      <w:bookmarkEnd w:id="5"/>
      <w:bookmarkEnd w:id="6"/>
    </w:p>
    <w:p w14:paraId="75A7DD0B" w14:textId="509E2CE4" w:rsidR="006A2550" w:rsidRPr="006D2741" w:rsidRDefault="00600993" w:rsidP="006A2550">
      <w:pPr>
        <w:pStyle w:val="3-BodyText"/>
      </w:pPr>
      <w:r w:rsidRPr="006D2741">
        <w:t xml:space="preserve">At its March 2022 meeting, the PBAC recommended the General Schedule, Authority Required (in writing) listing of OZA for MSUC, on a cost minimisation basis with the least costly alternative therapy. In making its recommendation, the PBAC considered, for the purposes of satisfying Section 101(3B) of the </w:t>
      </w:r>
      <w:r w:rsidRPr="000A7402">
        <w:rPr>
          <w:i/>
          <w:iCs/>
        </w:rPr>
        <w:t>National Health Act 1953</w:t>
      </w:r>
      <w:r w:rsidRPr="006D2741">
        <w:t xml:space="preserve">, that the alternative therapies </w:t>
      </w:r>
      <w:r w:rsidR="006A2550" w:rsidRPr="006D2741">
        <w:t>included IFX, VDZ, GOL, TOF and ADA. Th</w:t>
      </w:r>
      <w:r w:rsidR="00C357EA" w:rsidRPr="006D2741">
        <w:t>e</w:t>
      </w:r>
      <w:r w:rsidR="006A2550" w:rsidRPr="006D2741">
        <w:t xml:space="preserve"> recommendation was based, among other matters, on its assessment that the cost of OZA should be no greater than the cost of IFX or the alternative therapies. When considering the available evidence, the PBAC considered that a claim of non-inferior comparative effectiveness and safety to IFX was, on balance, likely to be reasonable (paragraph 7.1, ozanimod March 2022 PSD).</w:t>
      </w:r>
    </w:p>
    <w:p w14:paraId="2365EE17" w14:textId="1B3B90B1" w:rsidR="006A2550" w:rsidRPr="006D2741" w:rsidRDefault="006A2550" w:rsidP="006A2550">
      <w:pPr>
        <w:pStyle w:val="3-BodyText"/>
      </w:pPr>
      <w:r w:rsidRPr="006D2741">
        <w:lastRenderedPageBreak/>
        <w:t xml:space="preserve">However, </w:t>
      </w:r>
      <w:r w:rsidR="00E10D17" w:rsidRPr="006D2741">
        <w:t>due to uncertainties arising from differences in the design and populations recruited into the clinical trials, the PBAC was not satisfied there was sufficient evidence to conclude OZA was of superior comparative effectiveness to any of the alternative therapies, stating (paragraphs 7.7 – 7.9, OZA March 2022 PSD),</w:t>
      </w:r>
    </w:p>
    <w:p w14:paraId="1FC18B43" w14:textId="79B29113" w:rsidR="00E10D17" w:rsidRPr="006D2741" w:rsidRDefault="00E10D17" w:rsidP="00E10D17">
      <w:pPr>
        <w:pStyle w:val="3-BodyText"/>
        <w:numPr>
          <w:ilvl w:val="0"/>
          <w:numId w:val="0"/>
        </w:numPr>
        <w:ind w:left="720"/>
      </w:pPr>
      <w:r w:rsidRPr="006D2741">
        <w:t>“The PBAC considered there were numerous uncertainties with the clinical evidence presented, which impacted the reliability of the indirect comparisons used to support the non-inferiority claims. The Committee noted the primary OZA trial relied upon in the submission, True North, had a different design to the infliximab trials used to inform the clinical claim, whereby only responders in the initial phase of True North progressed to the maintenance phase, whereas all patients in most IFX trials continued to the maintenance phase. Furthermore, the PBAC also noted that efficacy in the maintenance phase of True North was determined as a proportion of responders who entered the maintenance phase. In addition, the PBAC noted there appeared to be differences in the populations recruited into True North and the included IFX trials, with the True North ITT population appearing to have less severe and less pre-treated disease.</w:t>
      </w:r>
    </w:p>
    <w:p w14:paraId="37006D1D" w14:textId="3B1421E3" w:rsidR="00E10D17" w:rsidRPr="006D2741" w:rsidRDefault="00E10D17" w:rsidP="00E10D17">
      <w:pPr>
        <w:pStyle w:val="3-BodyText"/>
        <w:numPr>
          <w:ilvl w:val="0"/>
          <w:numId w:val="0"/>
        </w:numPr>
        <w:ind w:left="720"/>
      </w:pPr>
      <w:r w:rsidRPr="006D2741">
        <w:t xml:space="preserve">The PBAC acknowledged that the results of the indirect comparisons based on the ITT populations of the OZA and IFX trials should be interpreted with caution due to the differences in trial designs and recruited populations. The PBAC noted that additional subgroup analyses presented in the Pre-PBAC Response, comparing subgroups of patients from the True North trial with ‘no moderate disease’ and ‘prior use/intolerance to immunomodulators’ to the pooled IFX ITT populations, found no statistically significant differences in outcomes for either of these subgroup analyses for either clinical remission or response in the induction or maintenance phases. While the PBAC noted these subgroup analyses had not been evaluated and only partially explored some of the issues with the ITT analyses, it also noted these subgroups were pre-specified in the design of True North and considered these analyses were informative for assessing the claim of non-inferior comparative effectiveness of OZA and IFX. Overall, </w:t>
      </w:r>
      <w:proofErr w:type="gramStart"/>
      <w:r w:rsidRPr="006D2741">
        <w:t>taking into account</w:t>
      </w:r>
      <w:proofErr w:type="gramEnd"/>
      <w:r w:rsidRPr="006D2741">
        <w:t xml:space="preserve"> the totality of the available evidence, the PBAC considered that the claim of non-inferior comparative effectiveness to the primary comparator, IFX, was adequately supported.</w:t>
      </w:r>
    </w:p>
    <w:p w14:paraId="659FACBB" w14:textId="117ACE07" w:rsidR="00E10D17" w:rsidRPr="006D2741" w:rsidRDefault="00E10D17" w:rsidP="00E10D17">
      <w:pPr>
        <w:pStyle w:val="3-BodyText"/>
        <w:numPr>
          <w:ilvl w:val="0"/>
          <w:numId w:val="0"/>
        </w:numPr>
        <w:ind w:left="720"/>
      </w:pPr>
      <w:r w:rsidRPr="006D2741">
        <w:t>The PBAC considered that the indirect comparisons versus the secondary comparators (V</w:t>
      </w:r>
      <w:r w:rsidR="003872DE">
        <w:t>DZ</w:t>
      </w:r>
      <w:r w:rsidRPr="006D2741">
        <w:t xml:space="preserve">, GOL, TOF and ADA) were not informative for considering the comparative effectiveness of OZA to other </w:t>
      </w:r>
      <w:proofErr w:type="spellStart"/>
      <w:r w:rsidR="00B855B3" w:rsidRPr="006D2741">
        <w:t>b</w:t>
      </w:r>
      <w:r w:rsidRPr="006D2741">
        <w:t>DMARDs</w:t>
      </w:r>
      <w:proofErr w:type="spellEnd"/>
      <w:r w:rsidR="00B855B3" w:rsidRPr="006D2741">
        <w:t>/</w:t>
      </w:r>
      <w:proofErr w:type="spellStart"/>
      <w:r w:rsidR="00B855B3" w:rsidRPr="006D2741">
        <w:t>tsDMARDs</w:t>
      </w:r>
      <w:proofErr w:type="spellEnd"/>
      <w:r w:rsidRPr="006D2741">
        <w:t>. The PBAC recalled that it had previously accepted that for some patients, TOF provides a significant improvement in efficacy in the induction phase compared to ADA (Paragraph 7.1, Tofacitinib (MSUC) PSD, November 2020 PBAC meeting). However, the PBAC considered there was insufficient evidence to support that OZA provides, for some patients, a significant improvement in efficacy and/or reduction of toxicity over any of the alternative therapies, including ADA.”</w:t>
      </w:r>
    </w:p>
    <w:p w14:paraId="76E4EF3C" w14:textId="13040F70" w:rsidR="00B60939" w:rsidRPr="00882085" w:rsidRDefault="00B50DB8" w:rsidP="004E18E9">
      <w:pPr>
        <w:pStyle w:val="2-SectionHeading"/>
      </w:pPr>
      <w:bookmarkStart w:id="7" w:name="_Toc107902078"/>
      <w:bookmarkStart w:id="8" w:name="_Toc113964275"/>
      <w:bookmarkEnd w:id="7"/>
      <w:r w:rsidRPr="00407F2D">
        <w:lastRenderedPageBreak/>
        <w:t>Requested listing</w:t>
      </w:r>
      <w:bookmarkEnd w:id="8"/>
    </w:p>
    <w:p w14:paraId="7185EB90" w14:textId="3E811521" w:rsidR="00CE27FC" w:rsidRDefault="00E10D17" w:rsidP="00CE27FC">
      <w:pPr>
        <w:pStyle w:val="ExecSumBodyText"/>
        <w:numPr>
          <w:ilvl w:val="1"/>
          <w:numId w:val="1"/>
        </w:numPr>
      </w:pPr>
      <w:r w:rsidRPr="006D2741">
        <w:t>The submission did not request amendment to the listing recommended by the PBAC at its March 202</w:t>
      </w:r>
      <w:r w:rsidR="00DF5FBF">
        <w:t>2</w:t>
      </w:r>
      <w:r w:rsidRPr="006D2741">
        <w:t xml:space="preserve"> meeting</w:t>
      </w:r>
      <w:r w:rsidR="00B716DE">
        <w:t xml:space="preserve"> (see Recommended listing, ozanimod March 2022 PSD)</w:t>
      </w:r>
      <w:r w:rsidRPr="006D2741">
        <w:t xml:space="preserve">. </w:t>
      </w:r>
    </w:p>
    <w:p w14:paraId="61A65F2F" w14:textId="1508D683" w:rsidR="00870F84" w:rsidRDefault="00870F84" w:rsidP="00870F84">
      <w:pPr>
        <w:pStyle w:val="3-BodyText"/>
      </w:pPr>
      <w:r>
        <w:t>The Secretariat however reviewed the recommended PBS listing contained within the March 2022 PBAC meeting minutes and suggested the following corrections:</w:t>
      </w:r>
    </w:p>
    <w:p w14:paraId="469E66B7" w14:textId="56488A18" w:rsidR="00870F84" w:rsidRDefault="00870F84" w:rsidP="00870F84">
      <w:pPr>
        <w:pStyle w:val="3-BodyText"/>
      </w:pPr>
      <w:r>
        <w:t>(</w:t>
      </w:r>
      <w:proofErr w:type="spellStart"/>
      <w:r>
        <w:t>i</w:t>
      </w:r>
      <w:proofErr w:type="spellEnd"/>
      <w:r>
        <w:t>). Transitioning from non-PBS to PBS-subsidised supply – ‘grandfather’</w:t>
      </w:r>
      <w:r w:rsidR="00464B16">
        <w:t xml:space="preserve"> </w:t>
      </w:r>
      <w:r>
        <w:t>arrangements</w:t>
      </w:r>
    </w:p>
    <w:p w14:paraId="45D74FC0" w14:textId="77777777" w:rsidR="00870F84" w:rsidRDefault="00870F84" w:rsidP="00870F84">
      <w:pPr>
        <w:pStyle w:val="3-BodyText"/>
        <w:numPr>
          <w:ilvl w:val="0"/>
          <w:numId w:val="0"/>
        </w:numPr>
        <w:ind w:left="720"/>
      </w:pPr>
      <w:r>
        <w:t>The March 2022 minutes omitted any requirements regarding mandatory therapies (</w:t>
      </w:r>
      <w:proofErr w:type="gramStart"/>
      <w:r>
        <w:t>e.g.</w:t>
      </w:r>
      <w:proofErr w:type="gramEnd"/>
      <w:r>
        <w:t xml:space="preserve"> 5-aminosalicylate oral preparation, thiopurines, oral corticosteroids). The Secretariat has consequently re-inserted requirements concerning mandatory therapies to be trialled before ozanimod. The intent is that ‘grandfather’ patients meet the same requirements as non-grandfather patients. Although it was noted that the True North and Touchstone clinical trials did not stipulate </w:t>
      </w:r>
      <w:proofErr w:type="gramStart"/>
      <w:r>
        <w:t>exactly the same</w:t>
      </w:r>
      <w:proofErr w:type="gramEnd"/>
      <w:r>
        <w:t xml:space="preserve"> inclusion criteria with respect to these mandatory prior therapies, it is unclear whether these trials included Australian patients, and, if they did, whether such patients would be unable to meet the requirements concerning mandatory prior therapies because of the difference in trial protocols. </w:t>
      </w:r>
      <w:proofErr w:type="gramStart"/>
      <w:r>
        <w:t>In the event that</w:t>
      </w:r>
      <w:proofErr w:type="gramEnd"/>
      <w:r>
        <w:t xml:space="preserve"> this is the case, the PBAC considered that it would be reasonable that ozanimod treatment continue as opposed to stopping ozanimod to trial the mandatory therapy that was missed for these patients coming from the clinical trials.</w:t>
      </w:r>
    </w:p>
    <w:p w14:paraId="701B4759" w14:textId="77777777" w:rsidR="00870F84" w:rsidRDefault="00870F84" w:rsidP="00870F84">
      <w:pPr>
        <w:pStyle w:val="3-BodyText"/>
      </w:pPr>
      <w:r>
        <w:t>(ii). Titration pack arrangements</w:t>
      </w:r>
    </w:p>
    <w:p w14:paraId="618D0FED" w14:textId="0D4DBF4B" w:rsidR="00870F84" w:rsidRDefault="00870F84" w:rsidP="00870F84">
      <w:pPr>
        <w:pStyle w:val="3-BodyText"/>
        <w:numPr>
          <w:ilvl w:val="0"/>
          <w:numId w:val="0"/>
        </w:numPr>
        <w:ind w:left="720"/>
      </w:pPr>
      <w:r>
        <w:t xml:space="preserve">It was recognised that treatment may sometimes have to pause for unforeseen reasons. In such a case, the patient may already have a supply of the </w:t>
      </w:r>
      <w:proofErr w:type="gramStart"/>
      <w:r>
        <w:t xml:space="preserve">920 </w:t>
      </w:r>
      <w:r w:rsidR="000A7402">
        <w:rPr>
          <w:rFonts w:cstheme="minorHAnsi"/>
        </w:rPr>
        <w:t>µ</w:t>
      </w:r>
      <w:r>
        <w:t>g</w:t>
      </w:r>
      <w:proofErr w:type="gramEnd"/>
      <w:r>
        <w:t xml:space="preserve"> strength and would not require a continuing authority prescription approved again. The requirement that there is a concurrent authority application lodged for the </w:t>
      </w:r>
      <w:proofErr w:type="gramStart"/>
      <w:r w:rsidR="000A7402">
        <w:t>920 </w:t>
      </w:r>
      <w:r w:rsidR="000A7402">
        <w:rPr>
          <w:rFonts w:cstheme="minorHAnsi"/>
        </w:rPr>
        <w:t>µ</w:t>
      </w:r>
      <w:r>
        <w:t>g</w:t>
      </w:r>
      <w:proofErr w:type="gramEnd"/>
      <w:r>
        <w:t xml:space="preserve"> strength through a written-only authority application only recognises dose titration at initiation – a prescriber may be seeking the titration to re-initiation of treatment where the 920 </w:t>
      </w:r>
      <w:r w:rsidR="000A7402">
        <w:rPr>
          <w:rFonts w:cstheme="minorHAnsi"/>
        </w:rPr>
        <w:t>µ</w:t>
      </w:r>
      <w:r>
        <w:t xml:space="preserve">g strength has already been obtained through a telephone/online authority approval. </w:t>
      </w:r>
      <w:proofErr w:type="gramStart"/>
      <w:r>
        <w:t>Therefore</w:t>
      </w:r>
      <w:proofErr w:type="gramEnd"/>
      <w:r>
        <w:t xml:space="preserve"> the clinical criterion in question has been re-phrased into an appropriate administrative NOTE.</w:t>
      </w:r>
    </w:p>
    <w:p w14:paraId="7BA8D4D4" w14:textId="77777777" w:rsidR="00870F84" w:rsidRDefault="00870F84" w:rsidP="00870F84">
      <w:pPr>
        <w:pStyle w:val="3-BodyText"/>
      </w:pPr>
      <w:r>
        <w:t>(iii). Administrative NOTE concerning 3 treatment attempts per cycle of treatment</w:t>
      </w:r>
    </w:p>
    <w:p w14:paraId="79147823" w14:textId="16F9D223" w:rsidR="00870F84" w:rsidRDefault="00870F84" w:rsidP="00870F84">
      <w:pPr>
        <w:pStyle w:val="3-BodyText"/>
        <w:numPr>
          <w:ilvl w:val="0"/>
          <w:numId w:val="0"/>
        </w:numPr>
        <w:ind w:left="720"/>
      </w:pPr>
      <w:r>
        <w:t>As ozanimod has been recommended on a cost-minimisation basis, the treatment failure count has not been reset as this would not be aligned with a cost-minimisation recommendation. The listing remains at 3 treatment attempts (from any number of the different pharmacological classes available). The lengthy administrative NOTE that explains the number of treatment attempts per treatment cycle has been revised to remove the specific date concerning when a patient is considered to have started a new treatment cycle.</w:t>
      </w:r>
    </w:p>
    <w:p w14:paraId="379299DC" w14:textId="77777777" w:rsidR="00CE27FC" w:rsidRPr="00C33D30" w:rsidRDefault="00CE27FC" w:rsidP="00CE27FC">
      <w:pPr>
        <w:ind w:firstLine="709"/>
        <w:rPr>
          <w:rFonts w:asciiTheme="minorHAnsi" w:hAnsiTheme="minorHAnsi"/>
          <w:i/>
        </w:rPr>
      </w:pPr>
      <w:bookmarkStart w:id="9" w:name="_Hlk76375324"/>
      <w:r w:rsidRPr="00C33D30">
        <w:rPr>
          <w:rFonts w:asciiTheme="minorHAnsi" w:hAnsiTheme="minorHAnsi"/>
          <w:i/>
        </w:rPr>
        <w:t>For more detail on PBAC’s view, see section 7 PBAC outcome.</w:t>
      </w:r>
    </w:p>
    <w:bookmarkEnd w:id="9"/>
    <w:p w14:paraId="6F01F8A0" w14:textId="77777777" w:rsidR="00CE27FC" w:rsidRPr="006D2741" w:rsidRDefault="00CE27FC" w:rsidP="00CE27FC">
      <w:pPr>
        <w:pStyle w:val="ExecSumBodyText"/>
        <w:ind w:firstLine="0"/>
      </w:pPr>
    </w:p>
    <w:p w14:paraId="7075B85C" w14:textId="62A47B7B" w:rsidR="00B50DB8" w:rsidRPr="00407F2D" w:rsidDel="00195452" w:rsidRDefault="00203181" w:rsidP="004E18E9">
      <w:pPr>
        <w:pStyle w:val="2-SectionHeading"/>
      </w:pPr>
      <w:bookmarkStart w:id="10" w:name="_Toc113964276"/>
      <w:r w:rsidDel="00195452">
        <w:lastRenderedPageBreak/>
        <w:t xml:space="preserve">Population and </w:t>
      </w:r>
      <w:r w:rsidR="008E0D3C" w:rsidDel="00195452">
        <w:t>d</w:t>
      </w:r>
      <w:r w:rsidDel="00195452">
        <w:t>isease</w:t>
      </w:r>
      <w:bookmarkEnd w:id="10"/>
    </w:p>
    <w:p w14:paraId="21FDD135" w14:textId="54B8CD3A" w:rsidR="00894489" w:rsidRPr="00C3385B" w:rsidDel="00195452" w:rsidRDefault="00A736C8" w:rsidP="004E18E9">
      <w:pPr>
        <w:pStyle w:val="3-BodyText"/>
        <w:rPr>
          <w:color w:val="000000" w:themeColor="text1"/>
        </w:rPr>
      </w:pPr>
      <w:r w:rsidRPr="00C3385B">
        <w:rPr>
          <w:color w:val="000000" w:themeColor="text1"/>
        </w:rPr>
        <w:t>The proposed population has not changed from the original March 2022 submission. The information below is re-presented from the March 2022 PSD.</w:t>
      </w:r>
    </w:p>
    <w:p w14:paraId="60E89809" w14:textId="77777777" w:rsidR="00A736C8" w:rsidRPr="009A0E7B" w:rsidRDefault="00A736C8" w:rsidP="00A736C8">
      <w:pPr>
        <w:pStyle w:val="3-BodyText"/>
        <w:rPr>
          <w:color w:val="0066FF"/>
        </w:rPr>
      </w:pPr>
      <w:r w:rsidRPr="009A0E7B">
        <w:t>Ulcerative colitis is a life-long chronic relapsing and remitting inflammatory disease that involves ulceration of the mucosa of the colon. Patients with ulcerative colitis most commonly present with bloody diarrhoea, rectal bleeding, tenesmus (sensation of incomplete defecation), urgency, abdominal pain, and passage of mucus. Disease of moderate to severe activity may be associated with systemic symptoms, including fatigue, fever, anorexia, nausea, weight loss, and dehydration. The most serious complications of ulcerative colitis are bowel perforation and colorectal cancer.</w:t>
      </w:r>
    </w:p>
    <w:p w14:paraId="561D7500" w14:textId="77777777" w:rsidR="00A736C8" w:rsidRPr="009A0E7B" w:rsidRDefault="00A736C8" w:rsidP="00A736C8">
      <w:pPr>
        <w:pStyle w:val="ListParagraph"/>
        <w:numPr>
          <w:ilvl w:val="1"/>
          <w:numId w:val="1"/>
        </w:numPr>
        <w:spacing w:before="120"/>
      </w:pPr>
      <w:r w:rsidRPr="009A0E7B">
        <w:t>OZA is a sphingosine 1-phosphate (S1P receptor) modulator</w:t>
      </w:r>
      <w:r w:rsidRPr="009A0E7B">
        <w:rPr>
          <w:rFonts w:ascii="Calibri" w:eastAsia="TimesNewRoman" w:hAnsi="Calibri"/>
          <w:snapToGrid/>
          <w:shd w:val="clear" w:color="auto" w:fill="FFFFFF"/>
        </w:rPr>
        <w:t xml:space="preserve"> </w:t>
      </w:r>
      <w:r w:rsidRPr="009A0E7B">
        <w:t xml:space="preserve">that binds selectively to S1P1 and S1P5 subtypes. The mechanism through which OZA exerts its effects in MSUC have not been fully elucidated. The draft PI </w:t>
      </w:r>
      <w:r w:rsidRPr="005B7C38">
        <w:rPr>
          <w:iCs/>
        </w:rPr>
        <w:t>stated</w:t>
      </w:r>
      <w:r w:rsidRPr="009A0E7B">
        <w:t xml:space="preserve"> that the mechanism by which OZA exerts therapeutic effects in multiple sclerosis and ulcerative colitis is unknown but may involve the reduction of lymphocyte migration into the central nervous system and intestine.</w:t>
      </w:r>
    </w:p>
    <w:p w14:paraId="564BE07D" w14:textId="3056F360" w:rsidR="00CE27FC" w:rsidRPr="00CE27FC" w:rsidRDefault="00A736C8" w:rsidP="00CE27FC">
      <w:pPr>
        <w:pStyle w:val="ListParagraph"/>
        <w:numPr>
          <w:ilvl w:val="1"/>
          <w:numId w:val="1"/>
        </w:numPr>
        <w:spacing w:before="120"/>
        <w:rPr>
          <w:i/>
        </w:rPr>
      </w:pPr>
      <w:r w:rsidRPr="009A0E7B">
        <w:t xml:space="preserve">The submission proposed OZA as an alternative to biological therapy in the treatment of adult patients with MSUC (defined by a Mayo score </w:t>
      </w:r>
      <w:r w:rsidRPr="009A0E7B">
        <w:rPr>
          <w:rFonts w:cs="Calibri"/>
        </w:rPr>
        <w:t>≥</w:t>
      </w:r>
      <w:r w:rsidRPr="009A0E7B">
        <w:t xml:space="preserve">6) who have had an inadequate response to, or failure of, standard medical management. The submission indicated that the addition of OZA to the clinical management algorithm will not alter current </w:t>
      </w:r>
      <w:proofErr w:type="gramStart"/>
      <w:r w:rsidRPr="009A0E7B">
        <w:t>practice, but</w:t>
      </w:r>
      <w:proofErr w:type="gramEnd"/>
      <w:r w:rsidRPr="009A0E7B">
        <w:t xml:space="preserve"> will allow for an additional option with a different mechanism of action and oral administration.</w:t>
      </w:r>
      <w:r w:rsidRPr="009A0E7B">
        <w:rPr>
          <w:i/>
        </w:rPr>
        <w:t xml:space="preserve"> </w:t>
      </w:r>
    </w:p>
    <w:p w14:paraId="0E1BAD58" w14:textId="7AB05ECF" w:rsidR="00CE27FC" w:rsidRPr="00CE27FC" w:rsidRDefault="00CE27FC" w:rsidP="000A7402">
      <w:pPr>
        <w:ind w:firstLine="709"/>
      </w:pPr>
      <w:r w:rsidRPr="00C33D30">
        <w:rPr>
          <w:rFonts w:asciiTheme="minorHAnsi" w:hAnsiTheme="minorHAnsi"/>
          <w:i/>
        </w:rPr>
        <w:t>For more detail on PBAC’s view, see section 7 PBAC outcome.</w:t>
      </w:r>
    </w:p>
    <w:p w14:paraId="51E5AE96" w14:textId="136A63B1" w:rsidR="00B50DB8" w:rsidRPr="00407F2D" w:rsidRDefault="00B50DB8" w:rsidP="004E18E9">
      <w:pPr>
        <w:pStyle w:val="2-SectionHeading"/>
      </w:pPr>
      <w:bookmarkStart w:id="11" w:name="_Toc113964277"/>
      <w:r w:rsidRPr="00407F2D">
        <w:t>Comparator</w:t>
      </w:r>
      <w:bookmarkEnd w:id="11"/>
    </w:p>
    <w:p w14:paraId="747A75CC" w14:textId="52859DD2" w:rsidR="00A05472" w:rsidRPr="006D2741" w:rsidRDefault="00F270C5" w:rsidP="00882E3C">
      <w:pPr>
        <w:pStyle w:val="3-BodyText"/>
        <w:rPr>
          <w:snapToGrid/>
          <w:color w:val="000000" w:themeColor="text1"/>
          <w:lang w:val="en-US"/>
        </w:rPr>
      </w:pPr>
      <w:r w:rsidRPr="006D2741">
        <w:rPr>
          <w:color w:val="000000" w:themeColor="text1"/>
        </w:rPr>
        <w:t xml:space="preserve">The March 2022 submission nominated IFX (intravenous (IV) form) as the primary comparator, </w:t>
      </w:r>
      <w:proofErr w:type="gramStart"/>
      <w:r w:rsidRPr="006D2741">
        <w:rPr>
          <w:color w:val="000000" w:themeColor="text1"/>
        </w:rPr>
        <w:t>and also</w:t>
      </w:r>
      <w:proofErr w:type="gramEnd"/>
      <w:r w:rsidRPr="006D2741">
        <w:rPr>
          <w:color w:val="000000" w:themeColor="text1"/>
        </w:rPr>
        <w:t xml:space="preserve"> nominated fo</w:t>
      </w:r>
      <w:r w:rsidR="007C1222" w:rsidRPr="006D2741">
        <w:rPr>
          <w:color w:val="000000" w:themeColor="text1"/>
        </w:rPr>
        <w:t>u</w:t>
      </w:r>
      <w:r w:rsidRPr="006D2741">
        <w:rPr>
          <w:color w:val="000000" w:themeColor="text1"/>
        </w:rPr>
        <w:t>r other</w:t>
      </w:r>
      <w:r w:rsidR="00B855B3" w:rsidRPr="006D2741">
        <w:rPr>
          <w:color w:val="000000" w:themeColor="text1"/>
        </w:rPr>
        <w:t xml:space="preserve"> biological or targeted synthetic</w:t>
      </w:r>
      <w:r w:rsidRPr="006D2741">
        <w:rPr>
          <w:color w:val="000000" w:themeColor="text1"/>
        </w:rPr>
        <w:t xml:space="preserve"> disease modifying anti-rheumatic drugs (</w:t>
      </w:r>
      <w:proofErr w:type="spellStart"/>
      <w:r w:rsidR="00B855B3" w:rsidRPr="006D2741">
        <w:rPr>
          <w:color w:val="000000" w:themeColor="text1"/>
        </w:rPr>
        <w:t>b</w:t>
      </w:r>
      <w:r w:rsidRPr="006D2741">
        <w:rPr>
          <w:color w:val="000000" w:themeColor="text1"/>
        </w:rPr>
        <w:t>DMARDs</w:t>
      </w:r>
      <w:proofErr w:type="spellEnd"/>
      <w:r w:rsidR="00B855B3" w:rsidRPr="006D2741">
        <w:rPr>
          <w:color w:val="000000" w:themeColor="text1"/>
        </w:rPr>
        <w:t>/</w:t>
      </w:r>
      <w:proofErr w:type="spellStart"/>
      <w:r w:rsidR="00B855B3" w:rsidRPr="006D2741">
        <w:rPr>
          <w:color w:val="000000" w:themeColor="text1"/>
        </w:rPr>
        <w:t>tsDMARDs</w:t>
      </w:r>
      <w:proofErr w:type="spellEnd"/>
      <w:r w:rsidRPr="006D2741">
        <w:rPr>
          <w:color w:val="000000" w:themeColor="text1"/>
        </w:rPr>
        <w:t xml:space="preserve">) which are PBS listed for the treatment of MSUC including </w:t>
      </w:r>
      <w:r w:rsidR="007C1222" w:rsidRPr="006D2741">
        <w:rPr>
          <w:color w:val="000000" w:themeColor="text1"/>
        </w:rPr>
        <w:t xml:space="preserve">TOF, VDZ, GOL and ADA, as secondary comparators. The PBAC previously considered the nominated comparator of IFX IV was reasonable, however considered OZA could substitute for all </w:t>
      </w:r>
      <w:proofErr w:type="spellStart"/>
      <w:r w:rsidR="00B855B3" w:rsidRPr="006D2741">
        <w:rPr>
          <w:color w:val="000000" w:themeColor="text1"/>
        </w:rPr>
        <w:t>b</w:t>
      </w:r>
      <w:r w:rsidR="007C1222" w:rsidRPr="006D2741">
        <w:rPr>
          <w:color w:val="000000" w:themeColor="text1"/>
        </w:rPr>
        <w:t>DMARDs</w:t>
      </w:r>
      <w:proofErr w:type="spellEnd"/>
      <w:r w:rsidR="00B855B3" w:rsidRPr="006D2741">
        <w:rPr>
          <w:color w:val="000000" w:themeColor="text1"/>
        </w:rPr>
        <w:t>/</w:t>
      </w:r>
      <w:proofErr w:type="spellStart"/>
      <w:r w:rsidR="00B855B3" w:rsidRPr="006D2741">
        <w:rPr>
          <w:color w:val="000000" w:themeColor="text1"/>
        </w:rPr>
        <w:t>tsDMARDs</w:t>
      </w:r>
      <w:proofErr w:type="spellEnd"/>
      <w:r w:rsidR="007C1222" w:rsidRPr="006D2741">
        <w:rPr>
          <w:color w:val="000000" w:themeColor="text1"/>
        </w:rPr>
        <w:t xml:space="preserve"> listed for MSUC. In addition to IV forms of IFX and VDZ, subcutaneous injection (SC) forms have also listed on the PBS. Furthermore, at its July 2022 meeting the PBAC recommended </w:t>
      </w:r>
      <w:proofErr w:type="spellStart"/>
      <w:r w:rsidR="007C1222" w:rsidRPr="006D2741">
        <w:rPr>
          <w:color w:val="000000" w:themeColor="text1"/>
        </w:rPr>
        <w:t>ustekinumab</w:t>
      </w:r>
      <w:proofErr w:type="spellEnd"/>
      <w:r w:rsidR="007C1222" w:rsidRPr="006D2741">
        <w:rPr>
          <w:color w:val="000000" w:themeColor="text1"/>
        </w:rPr>
        <w:t xml:space="preserve"> (UST) for the treatment of MSUC</w:t>
      </w:r>
      <w:r w:rsidR="00D64AD8" w:rsidRPr="006D2741">
        <w:rPr>
          <w:color w:val="000000" w:themeColor="text1"/>
        </w:rPr>
        <w:t>. It may be reasonable to also consider UST as an alternative therapy to OZA.</w:t>
      </w:r>
    </w:p>
    <w:p w14:paraId="47D9B48A" w14:textId="719BA88B" w:rsidR="002C2775" w:rsidRPr="006D2741" w:rsidRDefault="007C1222" w:rsidP="002E4F02">
      <w:pPr>
        <w:pStyle w:val="3-BodyText"/>
        <w:rPr>
          <w:color w:val="000000" w:themeColor="text1"/>
        </w:rPr>
      </w:pPr>
      <w:r w:rsidRPr="006D2741">
        <w:rPr>
          <w:color w:val="000000" w:themeColor="text1"/>
        </w:rPr>
        <w:t xml:space="preserve">The </w:t>
      </w:r>
      <w:r w:rsidR="00D40097">
        <w:rPr>
          <w:color w:val="000000" w:themeColor="text1"/>
        </w:rPr>
        <w:t>re</w:t>
      </w:r>
      <w:r w:rsidRPr="006D2741">
        <w:rPr>
          <w:color w:val="000000" w:themeColor="text1"/>
        </w:rPr>
        <w:t xml:space="preserve">submission </w:t>
      </w:r>
      <w:r w:rsidR="00B85A69" w:rsidRPr="006D2741">
        <w:rPr>
          <w:color w:val="000000" w:themeColor="text1"/>
        </w:rPr>
        <w:t>argued that ADA and GOL should not be considered relevant for the purposes of a cost minimisation approach to the least costly alternative therapy. To support these arguments, the submission claimed:</w:t>
      </w:r>
    </w:p>
    <w:p w14:paraId="0F40F5BA" w14:textId="7D3272D8" w:rsidR="000839C3" w:rsidRPr="006D2741" w:rsidRDefault="00B85A69" w:rsidP="00AA3CF7">
      <w:pPr>
        <w:pStyle w:val="3-BodyText"/>
        <w:numPr>
          <w:ilvl w:val="0"/>
          <w:numId w:val="9"/>
        </w:numPr>
        <w:rPr>
          <w:color w:val="000000" w:themeColor="text1"/>
        </w:rPr>
      </w:pPr>
      <w:r w:rsidRPr="006D2741">
        <w:rPr>
          <w:color w:val="000000" w:themeColor="text1"/>
        </w:rPr>
        <w:lastRenderedPageBreak/>
        <w:t xml:space="preserve">OZA is of superior comparative effectiveness </w:t>
      </w:r>
      <w:r w:rsidR="000839C3" w:rsidRPr="006D2741">
        <w:rPr>
          <w:color w:val="000000" w:themeColor="text1"/>
        </w:rPr>
        <w:t xml:space="preserve">to ADA and provides, for some patients, a significant improvement in efficacy or reduction in toxicity, for the purposes of satisfying Section 101(3B) of the </w:t>
      </w:r>
      <w:r w:rsidR="000839C3" w:rsidRPr="000A7402">
        <w:rPr>
          <w:i/>
          <w:iCs/>
          <w:color w:val="000000" w:themeColor="text1"/>
        </w:rPr>
        <w:t>National Health Act 1953</w:t>
      </w:r>
      <w:r w:rsidR="000839C3" w:rsidRPr="006D2741">
        <w:rPr>
          <w:color w:val="000000" w:themeColor="text1"/>
        </w:rPr>
        <w:t xml:space="preserve">. </w:t>
      </w:r>
      <w:r w:rsidR="00B855B3" w:rsidRPr="006D2741">
        <w:rPr>
          <w:color w:val="000000" w:themeColor="text1"/>
        </w:rPr>
        <w:t>To support this claim, additional analyses were presented in the submission</w:t>
      </w:r>
      <w:r w:rsidR="000839C3" w:rsidRPr="006D2741">
        <w:rPr>
          <w:color w:val="000000" w:themeColor="text1"/>
        </w:rPr>
        <w:t xml:space="preserve">, which are discussed further in the </w:t>
      </w:r>
      <w:r w:rsidR="00D64AD8" w:rsidRPr="006D2741">
        <w:rPr>
          <w:color w:val="000000" w:themeColor="text1"/>
        </w:rPr>
        <w:t>‘</w:t>
      </w:r>
      <w:r w:rsidR="000839C3" w:rsidRPr="006D2741">
        <w:rPr>
          <w:color w:val="000000" w:themeColor="text1"/>
        </w:rPr>
        <w:t>Comparative effectiveness</w:t>
      </w:r>
      <w:r w:rsidR="00D64AD8" w:rsidRPr="006D2741">
        <w:rPr>
          <w:color w:val="000000" w:themeColor="text1"/>
        </w:rPr>
        <w:t>’</w:t>
      </w:r>
      <w:r w:rsidR="000839C3" w:rsidRPr="006D2741">
        <w:rPr>
          <w:color w:val="000000" w:themeColor="text1"/>
        </w:rPr>
        <w:t xml:space="preserve"> section below.</w:t>
      </w:r>
    </w:p>
    <w:p w14:paraId="22EA831E" w14:textId="615FF670" w:rsidR="00B85A69" w:rsidRPr="006D2741" w:rsidRDefault="000839C3" w:rsidP="00AA3CF7">
      <w:pPr>
        <w:pStyle w:val="3-BodyText"/>
        <w:numPr>
          <w:ilvl w:val="0"/>
          <w:numId w:val="9"/>
        </w:numPr>
        <w:rPr>
          <w:color w:val="000000" w:themeColor="text1"/>
        </w:rPr>
      </w:pPr>
      <w:r w:rsidRPr="006D2741">
        <w:rPr>
          <w:color w:val="000000" w:themeColor="text1"/>
        </w:rPr>
        <w:t>Given the PBAC’s view expressed at its March 2022 meeting that OZA is of non-inferior comparative effectiveness to IFX, OZA should also, by extension, be considered superior to GOL, on the basis the PBAC previously considered GOL to be of inferior effectiveness to IFX in induction therapy.</w:t>
      </w:r>
      <w:r w:rsidR="00B85A69" w:rsidRPr="006D2741">
        <w:rPr>
          <w:color w:val="000000" w:themeColor="text1"/>
        </w:rPr>
        <w:t xml:space="preserve"> </w:t>
      </w:r>
      <w:r w:rsidRPr="006D2741">
        <w:rPr>
          <w:color w:val="000000" w:themeColor="text1"/>
        </w:rPr>
        <w:t xml:space="preserve">No additional analyses comparing </w:t>
      </w:r>
      <w:proofErr w:type="gramStart"/>
      <w:r w:rsidRPr="006D2741">
        <w:rPr>
          <w:color w:val="000000" w:themeColor="text1"/>
        </w:rPr>
        <w:t>OZA</w:t>
      </w:r>
      <w:proofErr w:type="gramEnd"/>
      <w:r w:rsidRPr="006D2741">
        <w:rPr>
          <w:color w:val="000000" w:themeColor="text1"/>
        </w:rPr>
        <w:t xml:space="preserve"> and GOL were presented in the submission; </w:t>
      </w:r>
      <w:r w:rsidR="00D64AD8" w:rsidRPr="006D2741">
        <w:rPr>
          <w:color w:val="000000" w:themeColor="text1"/>
        </w:rPr>
        <w:t>however, the NMA presented as an attachment to the submission include</w:t>
      </w:r>
      <w:r w:rsidR="00CA3E05">
        <w:rPr>
          <w:color w:val="000000" w:themeColor="text1"/>
        </w:rPr>
        <w:t>d</w:t>
      </w:r>
      <w:r w:rsidR="00D64AD8" w:rsidRPr="006D2741">
        <w:rPr>
          <w:color w:val="000000" w:themeColor="text1"/>
        </w:rPr>
        <w:t xml:space="preserve"> results versus ADA, UST, GOL, VDZ, TOF and IFX. The NMA is discussed further in the ‘Comparative effectiveness’ section below.</w:t>
      </w:r>
    </w:p>
    <w:p w14:paraId="70A3E088" w14:textId="008F86CA" w:rsidR="00CE27FC" w:rsidRPr="00CE27FC" w:rsidRDefault="00D64AD8" w:rsidP="00CE27FC">
      <w:pPr>
        <w:pStyle w:val="3-BodyText"/>
        <w:rPr>
          <w:snapToGrid/>
          <w:color w:val="000000" w:themeColor="text1"/>
          <w:lang w:val="en-US"/>
        </w:rPr>
      </w:pPr>
      <w:r w:rsidRPr="006D2741">
        <w:rPr>
          <w:snapToGrid/>
          <w:color w:val="000000" w:themeColor="text1"/>
          <w:lang w:val="en-US"/>
        </w:rPr>
        <w:t xml:space="preserve">Section 101(3B) of the </w:t>
      </w:r>
      <w:r w:rsidRPr="000A7402">
        <w:rPr>
          <w:i/>
          <w:iCs/>
          <w:snapToGrid/>
          <w:color w:val="000000" w:themeColor="text1"/>
          <w:lang w:val="en-US"/>
        </w:rPr>
        <w:t>National Health Act 1953</w:t>
      </w:r>
      <w:r w:rsidRPr="006D2741">
        <w:rPr>
          <w:snapToGrid/>
          <w:color w:val="000000" w:themeColor="text1"/>
          <w:lang w:val="en-US"/>
        </w:rPr>
        <w:t xml:space="preserve"> states that when the proposed medicine is substantially more costly than an alternative therapy, the </w:t>
      </w:r>
      <w:r w:rsidR="007A4F01" w:rsidRPr="006D2741">
        <w:rPr>
          <w:snapToGrid/>
          <w:color w:val="000000" w:themeColor="text1"/>
          <w:lang w:val="en-US"/>
        </w:rPr>
        <w:t>C</w:t>
      </w:r>
      <w:r w:rsidRPr="006D2741">
        <w:rPr>
          <w:snapToGrid/>
          <w:color w:val="000000" w:themeColor="text1"/>
          <w:lang w:val="en-US"/>
        </w:rPr>
        <w:t xml:space="preserve">ommittee cannot make a positive recommendation unless it is satisfied that, for some patients, the proposed medicine provides a significant improvement in efficacy and/or reduction of toxicity over the alternative therapy. If the committee is so satisfied, it must make a statement to this effect. Alternative therapies include IFX, VDZ, TOF, ADA, UST, and GOL. The </w:t>
      </w:r>
      <w:r w:rsidR="00B920C4" w:rsidRPr="006D2741">
        <w:rPr>
          <w:snapToGrid/>
          <w:color w:val="000000" w:themeColor="text1"/>
          <w:lang w:val="en-US"/>
        </w:rPr>
        <w:t>core</w:t>
      </w:r>
      <w:r w:rsidRPr="006D2741">
        <w:rPr>
          <w:snapToGrid/>
          <w:color w:val="000000" w:themeColor="text1"/>
          <w:lang w:val="en-US"/>
        </w:rPr>
        <w:t xml:space="preserve"> proposition of the submission is that </w:t>
      </w:r>
      <w:r w:rsidR="00D04899" w:rsidRPr="006D2741">
        <w:rPr>
          <w:snapToGrid/>
          <w:color w:val="000000" w:themeColor="text1"/>
          <w:lang w:val="en-US"/>
        </w:rPr>
        <w:t>as</w:t>
      </w:r>
      <w:r w:rsidRPr="006D2741">
        <w:rPr>
          <w:snapToGrid/>
          <w:color w:val="000000" w:themeColor="text1"/>
          <w:lang w:val="en-US"/>
        </w:rPr>
        <w:t xml:space="preserve"> OZA meets this test of a significant improvement in efficacy and/or reduction in toxicity versus ADA </w:t>
      </w:r>
      <w:r w:rsidR="007A4F01" w:rsidRPr="006D2741">
        <w:rPr>
          <w:snapToGrid/>
          <w:color w:val="000000" w:themeColor="text1"/>
          <w:lang w:val="en-US"/>
        </w:rPr>
        <w:t>(</w:t>
      </w:r>
      <w:r w:rsidR="00BA5F79" w:rsidRPr="006D2741">
        <w:rPr>
          <w:snapToGrid/>
          <w:color w:val="000000" w:themeColor="text1"/>
          <w:lang w:val="en-US"/>
        </w:rPr>
        <w:t>and</w:t>
      </w:r>
      <w:r w:rsidR="00D055C8" w:rsidRPr="006D2741">
        <w:rPr>
          <w:snapToGrid/>
          <w:color w:val="000000" w:themeColor="text1"/>
          <w:lang w:val="en-US"/>
        </w:rPr>
        <w:t xml:space="preserve"> by extension </w:t>
      </w:r>
      <w:r w:rsidRPr="006D2741">
        <w:rPr>
          <w:snapToGrid/>
          <w:color w:val="000000" w:themeColor="text1"/>
          <w:lang w:val="en-US"/>
        </w:rPr>
        <w:t>GOL</w:t>
      </w:r>
      <w:r w:rsidR="00D055C8" w:rsidRPr="006D2741">
        <w:rPr>
          <w:snapToGrid/>
          <w:color w:val="000000" w:themeColor="text1"/>
          <w:lang w:val="en-US"/>
        </w:rPr>
        <w:t>)</w:t>
      </w:r>
      <w:r w:rsidRPr="006D2741">
        <w:rPr>
          <w:snapToGrid/>
          <w:color w:val="000000" w:themeColor="text1"/>
          <w:lang w:val="en-US"/>
        </w:rPr>
        <w:t>,</w:t>
      </w:r>
      <w:r w:rsidR="00D04899" w:rsidRPr="006D2741">
        <w:rPr>
          <w:snapToGrid/>
          <w:color w:val="000000" w:themeColor="text1"/>
          <w:lang w:val="en-US"/>
        </w:rPr>
        <w:t xml:space="preserve"> a higher price</w:t>
      </w:r>
      <w:r w:rsidR="003443A6">
        <w:rPr>
          <w:snapToGrid/>
          <w:color w:val="000000" w:themeColor="text1"/>
          <w:lang w:val="en-US"/>
        </w:rPr>
        <w:t xml:space="preserve"> than these two therapies</w:t>
      </w:r>
      <w:r w:rsidR="00D04899" w:rsidRPr="006D2741">
        <w:rPr>
          <w:snapToGrid/>
          <w:color w:val="000000" w:themeColor="text1"/>
          <w:lang w:val="en-US"/>
        </w:rPr>
        <w:t xml:space="preserve"> </w:t>
      </w:r>
      <w:r w:rsidR="007A4F01" w:rsidRPr="006D2741">
        <w:rPr>
          <w:snapToGrid/>
          <w:color w:val="000000" w:themeColor="text1"/>
          <w:lang w:val="en-US"/>
        </w:rPr>
        <w:t>is</w:t>
      </w:r>
      <w:r w:rsidR="00D04899" w:rsidRPr="006D2741">
        <w:rPr>
          <w:snapToGrid/>
          <w:color w:val="000000" w:themeColor="text1"/>
          <w:lang w:val="en-US"/>
        </w:rPr>
        <w:t xml:space="preserve"> justified</w:t>
      </w:r>
      <w:r w:rsidR="00F9776F">
        <w:rPr>
          <w:snapToGrid/>
          <w:color w:val="000000" w:themeColor="text1"/>
          <w:lang w:val="en-US"/>
        </w:rPr>
        <w:t xml:space="preserve">. </w:t>
      </w:r>
    </w:p>
    <w:p w14:paraId="522CD7BA" w14:textId="77777777" w:rsidR="00CE27FC" w:rsidRPr="00C33D30" w:rsidRDefault="00CE27FC" w:rsidP="00CE27FC">
      <w:pPr>
        <w:ind w:firstLine="709"/>
        <w:rPr>
          <w:rFonts w:asciiTheme="minorHAnsi" w:hAnsiTheme="minorHAnsi"/>
          <w:i/>
        </w:rPr>
      </w:pPr>
      <w:r w:rsidRPr="00C33D30">
        <w:rPr>
          <w:rFonts w:asciiTheme="minorHAnsi" w:hAnsiTheme="minorHAnsi"/>
          <w:i/>
        </w:rPr>
        <w:t>For more detail on PBAC’s view, see section 7 PBAC outcome.</w:t>
      </w:r>
    </w:p>
    <w:p w14:paraId="7F9C27C8" w14:textId="77777777" w:rsidR="00223D5A" w:rsidRPr="00407F2D" w:rsidRDefault="00223D5A" w:rsidP="00223D5A">
      <w:pPr>
        <w:pStyle w:val="2-SectionHeading"/>
        <w:numPr>
          <w:ilvl w:val="0"/>
          <w:numId w:val="1"/>
        </w:numPr>
      </w:pPr>
      <w:bookmarkStart w:id="12" w:name="_Toc113964278"/>
      <w:bookmarkStart w:id="13" w:name="_Toc22897640"/>
      <w:r>
        <w:t>C</w:t>
      </w:r>
      <w:r w:rsidRPr="00407F2D">
        <w:t>onsideration of the evidence</w:t>
      </w:r>
      <w:bookmarkEnd w:id="12"/>
    </w:p>
    <w:p w14:paraId="4F4FB793" w14:textId="77777777" w:rsidR="00D061FD" w:rsidRPr="006E1229" w:rsidRDefault="00D061FD" w:rsidP="004F6E8E">
      <w:pPr>
        <w:pStyle w:val="4-SubsectionHeading"/>
      </w:pPr>
      <w:bookmarkStart w:id="14" w:name="_Hlk76375935"/>
      <w:bookmarkStart w:id="15" w:name="_Toc113964279"/>
      <w:r w:rsidRPr="006E1229">
        <w:t>Sponsor hearing</w:t>
      </w:r>
    </w:p>
    <w:p w14:paraId="4042678E" w14:textId="7B5C4F23" w:rsidR="00D061FD" w:rsidRPr="00836F75" w:rsidRDefault="00D061FD" w:rsidP="00D061FD">
      <w:pPr>
        <w:widowControl w:val="0"/>
        <w:numPr>
          <w:ilvl w:val="1"/>
          <w:numId w:val="1"/>
        </w:numPr>
        <w:spacing w:after="120"/>
        <w:rPr>
          <w:rFonts w:asciiTheme="minorHAnsi" w:hAnsiTheme="minorHAnsi"/>
          <w:bCs/>
          <w:snapToGrid w:val="0"/>
        </w:rPr>
      </w:pPr>
      <w:bookmarkStart w:id="16" w:name="_Hlk76382586"/>
      <w:r w:rsidRPr="00836F75">
        <w:rPr>
          <w:rFonts w:asciiTheme="minorHAnsi" w:hAnsiTheme="minorHAnsi"/>
          <w:bCs/>
          <w:snapToGrid w:val="0"/>
        </w:rPr>
        <w:t>The sponsor requested a hearing for this item. The clinician</w:t>
      </w:r>
      <w:r w:rsidR="00202E4E">
        <w:rPr>
          <w:rFonts w:asciiTheme="minorHAnsi" w:hAnsiTheme="minorHAnsi"/>
          <w:bCs/>
          <w:snapToGrid w:val="0"/>
        </w:rPr>
        <w:t xml:space="preserve"> stated adalimumab was the least likely </w:t>
      </w:r>
      <w:proofErr w:type="spellStart"/>
      <w:r w:rsidR="00202E4E">
        <w:rPr>
          <w:rFonts w:asciiTheme="minorHAnsi" w:hAnsiTheme="minorHAnsi"/>
          <w:bCs/>
          <w:snapToGrid w:val="0"/>
        </w:rPr>
        <w:t>bDMARD</w:t>
      </w:r>
      <w:proofErr w:type="spellEnd"/>
      <w:r w:rsidR="00202E4E">
        <w:rPr>
          <w:rFonts w:asciiTheme="minorHAnsi" w:hAnsiTheme="minorHAnsi"/>
          <w:bCs/>
          <w:snapToGrid w:val="0"/>
        </w:rPr>
        <w:t>/</w:t>
      </w:r>
      <w:proofErr w:type="spellStart"/>
      <w:r w:rsidR="00202E4E">
        <w:rPr>
          <w:rFonts w:asciiTheme="minorHAnsi" w:hAnsiTheme="minorHAnsi"/>
          <w:bCs/>
          <w:snapToGrid w:val="0"/>
        </w:rPr>
        <w:t>tsDMARD</w:t>
      </w:r>
      <w:proofErr w:type="spellEnd"/>
      <w:r w:rsidR="00202E4E">
        <w:rPr>
          <w:rFonts w:asciiTheme="minorHAnsi" w:hAnsiTheme="minorHAnsi"/>
          <w:bCs/>
          <w:snapToGrid w:val="0"/>
        </w:rPr>
        <w:t xml:space="preserve"> to be selected for the treatment </w:t>
      </w:r>
      <w:r w:rsidR="00D40097">
        <w:rPr>
          <w:rFonts w:asciiTheme="minorHAnsi" w:hAnsiTheme="minorHAnsi"/>
          <w:bCs/>
          <w:snapToGrid w:val="0"/>
        </w:rPr>
        <w:t xml:space="preserve">of </w:t>
      </w:r>
      <w:r w:rsidR="00202E4E">
        <w:rPr>
          <w:rFonts w:asciiTheme="minorHAnsi" w:hAnsiTheme="minorHAnsi"/>
          <w:bCs/>
          <w:snapToGrid w:val="0"/>
        </w:rPr>
        <w:t xml:space="preserve">MSUC in practice due to retrospective analyses and local clinical experience which indicated ADA was less effective than alternative options. The clinician also noted </w:t>
      </w:r>
      <w:r w:rsidR="0078621D">
        <w:rPr>
          <w:rFonts w:asciiTheme="minorHAnsi" w:hAnsiTheme="minorHAnsi"/>
          <w:bCs/>
          <w:snapToGrid w:val="0"/>
        </w:rPr>
        <w:t>the results of the published</w:t>
      </w:r>
      <w:r w:rsidR="00B716DE">
        <w:rPr>
          <w:rFonts w:asciiTheme="minorHAnsi" w:hAnsiTheme="minorHAnsi"/>
          <w:bCs/>
          <w:snapToGrid w:val="0"/>
        </w:rPr>
        <w:t xml:space="preserve"> matching adjusted indirect comparison</w:t>
      </w:r>
      <w:r w:rsidR="0078621D">
        <w:rPr>
          <w:rFonts w:asciiTheme="minorHAnsi" w:hAnsiTheme="minorHAnsi"/>
          <w:bCs/>
          <w:snapToGrid w:val="0"/>
        </w:rPr>
        <w:t xml:space="preserve"> </w:t>
      </w:r>
      <w:r w:rsidR="00B716DE">
        <w:rPr>
          <w:rFonts w:asciiTheme="minorHAnsi" w:hAnsiTheme="minorHAnsi"/>
          <w:bCs/>
          <w:snapToGrid w:val="0"/>
        </w:rPr>
        <w:t>(</w:t>
      </w:r>
      <w:r w:rsidR="0078621D">
        <w:rPr>
          <w:rFonts w:asciiTheme="minorHAnsi" w:hAnsiTheme="minorHAnsi"/>
          <w:bCs/>
          <w:snapToGrid w:val="0"/>
        </w:rPr>
        <w:t>MAIC</w:t>
      </w:r>
      <w:r w:rsidR="00B716DE">
        <w:rPr>
          <w:rFonts w:asciiTheme="minorHAnsi" w:hAnsiTheme="minorHAnsi"/>
          <w:bCs/>
          <w:snapToGrid w:val="0"/>
        </w:rPr>
        <w:t>)</w:t>
      </w:r>
      <w:r w:rsidR="0078621D">
        <w:rPr>
          <w:rFonts w:asciiTheme="minorHAnsi" w:hAnsiTheme="minorHAnsi"/>
          <w:bCs/>
          <w:snapToGrid w:val="0"/>
        </w:rPr>
        <w:t xml:space="preserve"> (discussed elsewhere in this section) found OZA was associated with statistically significantly higher odds of achieving clinical response and endoscopic improvement in induction therapy</w:t>
      </w:r>
      <w:r w:rsidR="00B716DE">
        <w:rPr>
          <w:rFonts w:asciiTheme="minorHAnsi" w:hAnsiTheme="minorHAnsi"/>
          <w:bCs/>
          <w:snapToGrid w:val="0"/>
        </w:rPr>
        <w:t xml:space="preserve"> versus ADA</w:t>
      </w:r>
      <w:r w:rsidR="0078621D">
        <w:rPr>
          <w:rFonts w:asciiTheme="minorHAnsi" w:hAnsiTheme="minorHAnsi"/>
          <w:bCs/>
          <w:snapToGrid w:val="0"/>
        </w:rPr>
        <w:t>.</w:t>
      </w:r>
    </w:p>
    <w:bookmarkEnd w:id="16"/>
    <w:p w14:paraId="50A6C76E" w14:textId="77777777" w:rsidR="00D061FD" w:rsidRPr="006E1229" w:rsidRDefault="00D061FD" w:rsidP="004F6E8E">
      <w:pPr>
        <w:pStyle w:val="4-SubsectionHeading"/>
      </w:pPr>
      <w:r w:rsidRPr="006E1229">
        <w:t>Consumer comments</w:t>
      </w:r>
    </w:p>
    <w:p w14:paraId="4AB3C19F" w14:textId="6F6BA184" w:rsidR="00D061FD" w:rsidRPr="00836F75" w:rsidRDefault="00D061FD" w:rsidP="00D061FD">
      <w:pPr>
        <w:widowControl w:val="0"/>
        <w:numPr>
          <w:ilvl w:val="1"/>
          <w:numId w:val="1"/>
        </w:numPr>
        <w:spacing w:after="120"/>
        <w:rPr>
          <w:rFonts w:asciiTheme="minorHAnsi" w:hAnsiTheme="minorHAnsi"/>
          <w:bCs/>
          <w:snapToGrid w:val="0"/>
        </w:rPr>
      </w:pPr>
      <w:bookmarkStart w:id="17" w:name="_Hlk76382618"/>
      <w:r w:rsidRPr="00836F75">
        <w:rPr>
          <w:rFonts w:asciiTheme="minorHAnsi" w:hAnsiTheme="minorHAnsi"/>
          <w:bCs/>
          <w:snapToGrid w:val="0"/>
        </w:rPr>
        <w:t>The PBAC noted that no consumer comments were received for this item.</w:t>
      </w:r>
    </w:p>
    <w:bookmarkEnd w:id="14"/>
    <w:bookmarkEnd w:id="17"/>
    <w:p w14:paraId="609C0765" w14:textId="05962107" w:rsidR="00B60939" w:rsidRPr="00C9624D" w:rsidRDefault="00B60939" w:rsidP="002E4F02">
      <w:pPr>
        <w:pStyle w:val="4-SubsectionHeading"/>
      </w:pPr>
      <w:r w:rsidRPr="00C9624D">
        <w:t>Clinical trials</w:t>
      </w:r>
      <w:bookmarkEnd w:id="13"/>
      <w:bookmarkEnd w:id="15"/>
    </w:p>
    <w:p w14:paraId="2B59ABAC" w14:textId="161EA0BF" w:rsidR="00862502" w:rsidRPr="00B50DB8" w:rsidRDefault="00B0671B" w:rsidP="002E4F02">
      <w:pPr>
        <w:pStyle w:val="3-BodyText"/>
      </w:pPr>
      <w:r>
        <w:rPr>
          <w:snapToGrid/>
          <w:lang w:val="en-US"/>
        </w:rPr>
        <w:t xml:space="preserve">The submission did not explicitly nominate specific clinical trials to </w:t>
      </w:r>
      <w:r w:rsidR="007212BE">
        <w:rPr>
          <w:snapToGrid/>
          <w:lang w:val="en-US"/>
        </w:rPr>
        <w:t>support its clinical claims</w:t>
      </w:r>
      <w:r>
        <w:rPr>
          <w:snapToGrid/>
          <w:lang w:val="en-US"/>
        </w:rPr>
        <w:t xml:space="preserve">; however, the additional analyses presented in the submission relied upon </w:t>
      </w:r>
      <w:r>
        <w:rPr>
          <w:snapToGrid/>
          <w:lang w:val="en-US"/>
        </w:rPr>
        <w:lastRenderedPageBreak/>
        <w:t>evidence from numerous trials across the alternative therapies noted in Section 5 above, many of which have previously been considered by the PBAC</w:t>
      </w:r>
      <w:r w:rsidR="009E74B6">
        <w:rPr>
          <w:snapToGrid/>
          <w:lang w:val="en-US"/>
        </w:rPr>
        <w:t xml:space="preserve">. A complete list of </w:t>
      </w:r>
      <w:r w:rsidR="00A04D40">
        <w:rPr>
          <w:snapToGrid/>
          <w:lang w:val="en-US"/>
        </w:rPr>
        <w:t xml:space="preserve">trials for all </w:t>
      </w:r>
      <w:proofErr w:type="spellStart"/>
      <w:r w:rsidR="00B855B3">
        <w:rPr>
          <w:snapToGrid/>
          <w:lang w:val="en-US"/>
        </w:rPr>
        <w:t>b</w:t>
      </w:r>
      <w:r w:rsidR="00A04D40">
        <w:rPr>
          <w:snapToGrid/>
          <w:lang w:val="en-US"/>
        </w:rPr>
        <w:t>DMARDs</w:t>
      </w:r>
      <w:proofErr w:type="spellEnd"/>
      <w:r w:rsidR="00B855B3">
        <w:rPr>
          <w:snapToGrid/>
          <w:lang w:val="en-US"/>
        </w:rPr>
        <w:t>/</w:t>
      </w:r>
      <w:proofErr w:type="spellStart"/>
      <w:r w:rsidR="00B855B3">
        <w:rPr>
          <w:snapToGrid/>
          <w:lang w:val="en-US"/>
        </w:rPr>
        <w:t>tsDMARDs</w:t>
      </w:r>
      <w:proofErr w:type="spellEnd"/>
      <w:r w:rsidR="00A04D40">
        <w:rPr>
          <w:snapToGrid/>
          <w:lang w:val="en-US"/>
        </w:rPr>
        <w:t xml:space="preserve"> has not been presented</w:t>
      </w:r>
      <w:r w:rsidR="009E74B6">
        <w:rPr>
          <w:snapToGrid/>
          <w:lang w:val="en-US"/>
        </w:rPr>
        <w:t>; however, a list of key trials for the primary comparison of OZA vs. ADA is presented in the table below</w:t>
      </w:r>
      <w:r w:rsidR="00A04D40">
        <w:rPr>
          <w:snapToGrid/>
          <w:lang w:val="en-US"/>
        </w:rPr>
        <w:t>, based on trials included in the</w:t>
      </w:r>
      <w:r w:rsidR="00B716DE">
        <w:rPr>
          <w:snapToGrid/>
          <w:lang w:val="en-US"/>
        </w:rPr>
        <w:t xml:space="preserve"> network meta-analysis</w:t>
      </w:r>
      <w:r w:rsidR="00A04D40">
        <w:rPr>
          <w:snapToGrid/>
          <w:lang w:val="en-US"/>
        </w:rPr>
        <w:t xml:space="preserve"> </w:t>
      </w:r>
      <w:r w:rsidR="00B716DE">
        <w:rPr>
          <w:snapToGrid/>
          <w:lang w:val="en-US"/>
        </w:rPr>
        <w:t>(</w:t>
      </w:r>
      <w:r w:rsidR="00A04D40">
        <w:rPr>
          <w:snapToGrid/>
          <w:lang w:val="en-US"/>
        </w:rPr>
        <w:t>NMA</w:t>
      </w:r>
      <w:r w:rsidR="00B716DE">
        <w:rPr>
          <w:snapToGrid/>
          <w:lang w:val="en-US"/>
        </w:rPr>
        <w:t>)</w:t>
      </w:r>
      <w:r w:rsidR="00A04D40">
        <w:rPr>
          <w:snapToGrid/>
          <w:lang w:val="en-US"/>
        </w:rPr>
        <w:t xml:space="preserve">, which includes all trials used in the MAIC. </w:t>
      </w:r>
      <w:r w:rsidR="00A04D40" w:rsidRPr="006D2741">
        <w:rPr>
          <w:snapToGrid/>
          <w:lang w:val="en-US"/>
        </w:rPr>
        <w:t xml:space="preserve">The list of trials included in the original submission </w:t>
      </w:r>
      <w:r w:rsidR="00E52813" w:rsidRPr="006D2741">
        <w:rPr>
          <w:snapToGrid/>
          <w:lang w:val="en-US"/>
        </w:rPr>
        <w:t>is available in the OZA March 2022 PSD.</w:t>
      </w:r>
    </w:p>
    <w:p w14:paraId="7DE3A286" w14:textId="30854CB9" w:rsidR="008E0D3C" w:rsidRPr="002E4F02" w:rsidRDefault="00696EF9" w:rsidP="002E4F02">
      <w:pPr>
        <w:pStyle w:val="TableFigureHeading"/>
        <w:rPr>
          <w:rStyle w:val="CommentReference"/>
          <w:b/>
          <w:szCs w:val="24"/>
        </w:rPr>
      </w:pPr>
      <w:bookmarkStart w:id="18" w:name="_Ref104803956"/>
      <w:r>
        <w:t xml:space="preserve">Table </w:t>
      </w:r>
      <w:fldSimple w:instr=" SEQ Table \* ARABIC ">
        <w:r w:rsidR="00340AC7">
          <w:rPr>
            <w:noProof/>
          </w:rPr>
          <w:t>2</w:t>
        </w:r>
      </w:fldSimple>
      <w:bookmarkEnd w:id="18"/>
      <w:r>
        <w:t>:</w:t>
      </w:r>
      <w:r w:rsidR="00BC591F" w:rsidRPr="002E4F02">
        <w:rPr>
          <w:rStyle w:val="CommentReference"/>
          <w:b/>
          <w:szCs w:val="24"/>
        </w:rPr>
        <w:t xml:space="preserve"> </w:t>
      </w:r>
      <w:r w:rsidR="00A04D40">
        <w:rPr>
          <w:rStyle w:val="CommentReference"/>
          <w:b/>
          <w:szCs w:val="24"/>
        </w:rPr>
        <w:t>Trials</w:t>
      </w:r>
      <w:r w:rsidR="008E0D3C" w:rsidRPr="002E4F02">
        <w:rPr>
          <w:rStyle w:val="CommentReference"/>
          <w:b/>
          <w:szCs w:val="24"/>
        </w:rPr>
        <w:t xml:space="preserve"> and associated reports </w:t>
      </w:r>
      <w:r w:rsidR="00BA55AC">
        <w:rPr>
          <w:rStyle w:val="CommentReference"/>
          <w:b/>
          <w:szCs w:val="24"/>
        </w:rPr>
        <w:t>relevant to</w:t>
      </w:r>
      <w:r w:rsidR="008E0D3C" w:rsidRPr="002E4F02">
        <w:rPr>
          <w:rStyle w:val="CommentReference"/>
          <w:b/>
          <w:szCs w:val="24"/>
        </w:rPr>
        <w:t xml:space="preserve">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4"/>
        <w:gridCol w:w="5055"/>
        <w:gridCol w:w="2528"/>
      </w:tblGrid>
      <w:tr w:rsidR="008E0D3C" w:rsidRPr="00B41614" w14:paraId="6ACD35C4" w14:textId="77777777" w:rsidTr="00682BA6">
        <w:trPr>
          <w:cantSplit/>
          <w:tblHeader/>
        </w:trPr>
        <w:tc>
          <w:tcPr>
            <w:tcW w:w="795" w:type="pct"/>
            <w:vAlign w:val="center"/>
          </w:tcPr>
          <w:p w14:paraId="20DEEB23" w14:textId="77777777" w:rsidR="008E0D3C" w:rsidRPr="00B41614" w:rsidRDefault="008E0D3C" w:rsidP="00EC5836">
            <w:pPr>
              <w:pStyle w:val="In-tableHeading"/>
              <w:jc w:val="center"/>
            </w:pPr>
            <w:r w:rsidRPr="00B41614">
              <w:t>Trial ID</w:t>
            </w:r>
          </w:p>
        </w:tc>
        <w:tc>
          <w:tcPr>
            <w:tcW w:w="2803" w:type="pct"/>
            <w:vAlign w:val="center"/>
          </w:tcPr>
          <w:p w14:paraId="22EF6C51" w14:textId="77777777" w:rsidR="008E0D3C" w:rsidRPr="00B41614" w:rsidRDefault="008E0D3C" w:rsidP="002E4F02">
            <w:pPr>
              <w:pStyle w:val="In-tableHeading"/>
            </w:pPr>
            <w:r w:rsidRPr="00B41614">
              <w:t>Protocol title/ Publication title</w:t>
            </w:r>
          </w:p>
        </w:tc>
        <w:tc>
          <w:tcPr>
            <w:tcW w:w="1402" w:type="pct"/>
            <w:vAlign w:val="center"/>
          </w:tcPr>
          <w:p w14:paraId="561B27A8" w14:textId="77777777" w:rsidR="008E0D3C" w:rsidRPr="00B41614" w:rsidRDefault="008E0D3C" w:rsidP="002E4F02">
            <w:pPr>
              <w:pStyle w:val="In-tableHeading"/>
            </w:pPr>
            <w:r w:rsidRPr="00B41614">
              <w:t>Publication citation</w:t>
            </w:r>
          </w:p>
        </w:tc>
      </w:tr>
      <w:tr w:rsidR="00B0671B" w:rsidRPr="00CB38A8" w14:paraId="418F378A" w14:textId="77777777" w:rsidTr="00B0671B">
        <w:trPr>
          <w:cantSplit/>
        </w:trPr>
        <w:tc>
          <w:tcPr>
            <w:tcW w:w="3598" w:type="pct"/>
            <w:gridSpan w:val="2"/>
            <w:vAlign w:val="center"/>
          </w:tcPr>
          <w:p w14:paraId="62331BF2" w14:textId="622BFF48" w:rsidR="00B0671B" w:rsidRPr="00B0671B" w:rsidRDefault="00B0671B" w:rsidP="00EC5836">
            <w:pPr>
              <w:pStyle w:val="TableText0"/>
              <w:rPr>
                <w:b/>
                <w:bCs w:val="0"/>
              </w:rPr>
            </w:pPr>
            <w:r>
              <w:rPr>
                <w:b/>
                <w:bCs w:val="0"/>
              </w:rPr>
              <w:t>Ozanimod</w:t>
            </w:r>
            <w:r w:rsidR="00D04899">
              <w:rPr>
                <w:b/>
                <w:bCs w:val="0"/>
              </w:rPr>
              <w:t xml:space="preserve"> (vs placebo)</w:t>
            </w:r>
            <w:r>
              <w:rPr>
                <w:b/>
                <w:bCs w:val="0"/>
              </w:rPr>
              <w:t xml:space="preserve"> trials</w:t>
            </w:r>
          </w:p>
        </w:tc>
        <w:tc>
          <w:tcPr>
            <w:tcW w:w="1402" w:type="pct"/>
            <w:tcBorders>
              <w:bottom w:val="nil"/>
            </w:tcBorders>
            <w:vAlign w:val="center"/>
          </w:tcPr>
          <w:p w14:paraId="5DC3F4B2" w14:textId="77777777" w:rsidR="00B0671B" w:rsidRDefault="00B0671B" w:rsidP="00EC5836">
            <w:pPr>
              <w:pStyle w:val="TableText0"/>
            </w:pPr>
          </w:p>
        </w:tc>
      </w:tr>
      <w:tr w:rsidR="009E74B6" w:rsidRPr="00CB38A8" w14:paraId="298351BA" w14:textId="77777777" w:rsidTr="00A04D40">
        <w:trPr>
          <w:cantSplit/>
        </w:trPr>
        <w:tc>
          <w:tcPr>
            <w:tcW w:w="795" w:type="pct"/>
            <w:vMerge w:val="restart"/>
            <w:shd w:val="clear" w:color="auto" w:fill="DBE5F1" w:themeFill="accent1" w:themeFillTint="33"/>
            <w:vAlign w:val="center"/>
          </w:tcPr>
          <w:p w14:paraId="38DCBF24" w14:textId="77777777" w:rsidR="009E74B6" w:rsidRPr="00DF6341" w:rsidRDefault="009E74B6" w:rsidP="009E74B6">
            <w:pPr>
              <w:pStyle w:val="TableText0"/>
              <w:jc w:val="center"/>
              <w:rPr>
                <w:szCs w:val="20"/>
              </w:rPr>
            </w:pPr>
            <w:r w:rsidRPr="009A0E7B">
              <w:rPr>
                <w:szCs w:val="20"/>
              </w:rPr>
              <w:t>True North (NCT02435992)</w:t>
            </w:r>
          </w:p>
          <w:p w14:paraId="5D9482F5" w14:textId="713E0765" w:rsidR="009E74B6" w:rsidRPr="00DF6341" w:rsidRDefault="009E74B6" w:rsidP="009E74B6">
            <w:pPr>
              <w:pStyle w:val="TableText0"/>
              <w:jc w:val="center"/>
              <w:rPr>
                <w:szCs w:val="20"/>
              </w:rPr>
            </w:pPr>
          </w:p>
        </w:tc>
        <w:tc>
          <w:tcPr>
            <w:tcW w:w="2803" w:type="pct"/>
            <w:tcBorders>
              <w:bottom w:val="nil"/>
            </w:tcBorders>
            <w:shd w:val="clear" w:color="auto" w:fill="DBE5F1" w:themeFill="accent1" w:themeFillTint="33"/>
          </w:tcPr>
          <w:p w14:paraId="2570DA6E" w14:textId="67E0423A" w:rsidR="009E74B6" w:rsidRPr="00AB6248" w:rsidRDefault="009E74B6" w:rsidP="009E74B6">
            <w:pPr>
              <w:pStyle w:val="TableText0"/>
            </w:pPr>
            <w:r w:rsidRPr="009A0E7B">
              <w:rPr>
                <w:szCs w:val="20"/>
              </w:rPr>
              <w:t xml:space="preserve">True North Clinical Study Report, Statistical Analysis </w:t>
            </w:r>
            <w:proofErr w:type="gramStart"/>
            <w:r w:rsidRPr="009A0E7B">
              <w:rPr>
                <w:szCs w:val="20"/>
              </w:rPr>
              <w:t>Plan</w:t>
            </w:r>
            <w:proofErr w:type="gramEnd"/>
            <w:r w:rsidRPr="009A0E7B">
              <w:rPr>
                <w:szCs w:val="20"/>
              </w:rPr>
              <w:t xml:space="preserve"> and related documents </w:t>
            </w:r>
          </w:p>
        </w:tc>
        <w:tc>
          <w:tcPr>
            <w:tcW w:w="1402" w:type="pct"/>
            <w:tcBorders>
              <w:bottom w:val="nil"/>
            </w:tcBorders>
            <w:shd w:val="clear" w:color="auto" w:fill="DBE5F1" w:themeFill="accent1" w:themeFillTint="33"/>
          </w:tcPr>
          <w:p w14:paraId="0793B389" w14:textId="77777777" w:rsidR="009E74B6" w:rsidRPr="009A0E7B" w:rsidRDefault="009E74B6" w:rsidP="009E74B6">
            <w:pPr>
              <w:jc w:val="left"/>
              <w:rPr>
                <w:rFonts w:ascii="Arial Narrow" w:eastAsiaTheme="majorEastAsia" w:hAnsi="Arial Narrow" w:cs="Times New Roman"/>
                <w:bCs/>
                <w:sz w:val="20"/>
                <w:szCs w:val="20"/>
              </w:rPr>
            </w:pPr>
            <w:r w:rsidRPr="009A0E7B">
              <w:rPr>
                <w:rFonts w:ascii="Arial Narrow" w:hAnsi="Arial Narrow"/>
                <w:i/>
                <w:iCs/>
                <w:sz w:val="20"/>
                <w:szCs w:val="20"/>
              </w:rPr>
              <w:t>29 October 2020</w:t>
            </w:r>
          </w:p>
          <w:p w14:paraId="7578773D" w14:textId="2159A821" w:rsidR="009E74B6" w:rsidRPr="00CB38A8" w:rsidRDefault="009E74B6" w:rsidP="009E74B6">
            <w:pPr>
              <w:pStyle w:val="TableText0"/>
              <w:rPr>
                <w:rFonts w:ascii="Times" w:hAnsi="Times"/>
              </w:rPr>
            </w:pPr>
          </w:p>
        </w:tc>
      </w:tr>
      <w:tr w:rsidR="009E74B6" w:rsidRPr="00CB38A8" w14:paraId="7F06C7BE" w14:textId="77777777" w:rsidTr="00A04D40">
        <w:trPr>
          <w:cantSplit/>
        </w:trPr>
        <w:tc>
          <w:tcPr>
            <w:tcW w:w="795" w:type="pct"/>
            <w:vMerge/>
            <w:shd w:val="clear" w:color="auto" w:fill="DBE5F1" w:themeFill="accent1" w:themeFillTint="33"/>
            <w:vAlign w:val="center"/>
          </w:tcPr>
          <w:p w14:paraId="2DE31C12" w14:textId="7BFA1DAD" w:rsidR="009E74B6" w:rsidRPr="00CB38A8" w:rsidRDefault="009E74B6" w:rsidP="009E74B6">
            <w:pPr>
              <w:pStyle w:val="TableText0"/>
              <w:jc w:val="center"/>
            </w:pPr>
          </w:p>
        </w:tc>
        <w:tc>
          <w:tcPr>
            <w:tcW w:w="2803" w:type="pct"/>
            <w:tcBorders>
              <w:top w:val="nil"/>
              <w:bottom w:val="nil"/>
            </w:tcBorders>
            <w:shd w:val="clear" w:color="auto" w:fill="DBE5F1" w:themeFill="accent1" w:themeFillTint="33"/>
          </w:tcPr>
          <w:p w14:paraId="7CB8ADA9" w14:textId="72E91B73" w:rsidR="009E74B6" w:rsidRPr="00E34A35" w:rsidRDefault="009E74B6" w:rsidP="009E74B6">
            <w:pPr>
              <w:pStyle w:val="TableText0"/>
            </w:pPr>
            <w:proofErr w:type="spellStart"/>
            <w:r w:rsidRPr="009A0E7B">
              <w:rPr>
                <w:szCs w:val="20"/>
              </w:rPr>
              <w:t>Sandborn</w:t>
            </w:r>
            <w:proofErr w:type="spellEnd"/>
            <w:r w:rsidRPr="009A0E7B">
              <w:rPr>
                <w:szCs w:val="20"/>
              </w:rPr>
              <w:t xml:space="preserve"> W, </w:t>
            </w:r>
            <w:proofErr w:type="spellStart"/>
            <w:r w:rsidRPr="009A0E7B">
              <w:rPr>
                <w:szCs w:val="20"/>
              </w:rPr>
              <w:t>Feagan</w:t>
            </w:r>
            <w:proofErr w:type="spellEnd"/>
            <w:r w:rsidRPr="009A0E7B">
              <w:rPr>
                <w:szCs w:val="20"/>
              </w:rPr>
              <w:t xml:space="preserve"> B, </w:t>
            </w:r>
            <w:proofErr w:type="spellStart"/>
            <w:r w:rsidRPr="009A0E7B">
              <w:rPr>
                <w:szCs w:val="20"/>
              </w:rPr>
              <w:t>D'Haens</w:t>
            </w:r>
            <w:proofErr w:type="spellEnd"/>
            <w:r w:rsidRPr="009A0E7B">
              <w:rPr>
                <w:szCs w:val="20"/>
              </w:rPr>
              <w:t xml:space="preserve"> G, Wolf D et al. Ozanimod as Induction and Maintenance Therapy for Ulcerative Colitis.</w:t>
            </w:r>
          </w:p>
        </w:tc>
        <w:tc>
          <w:tcPr>
            <w:tcW w:w="1402" w:type="pct"/>
            <w:tcBorders>
              <w:top w:val="nil"/>
              <w:bottom w:val="nil"/>
            </w:tcBorders>
            <w:shd w:val="clear" w:color="auto" w:fill="DBE5F1" w:themeFill="accent1" w:themeFillTint="33"/>
          </w:tcPr>
          <w:p w14:paraId="65F3F2D0" w14:textId="77777777" w:rsidR="009E74B6" w:rsidRPr="009A0E7B" w:rsidRDefault="009E74B6" w:rsidP="009E74B6">
            <w:pPr>
              <w:jc w:val="left"/>
              <w:rPr>
                <w:rFonts w:ascii="Arial Narrow" w:eastAsiaTheme="majorEastAsia" w:hAnsi="Arial Narrow" w:cs="Times New Roman"/>
                <w:bCs/>
                <w:sz w:val="20"/>
                <w:szCs w:val="20"/>
              </w:rPr>
            </w:pPr>
            <w:r w:rsidRPr="009A0E7B">
              <w:rPr>
                <w:rFonts w:ascii="Arial Narrow" w:hAnsi="Arial Narrow"/>
                <w:i/>
                <w:iCs/>
                <w:sz w:val="20"/>
                <w:szCs w:val="20"/>
              </w:rPr>
              <w:t xml:space="preserve">New England Journal of Medicine 2021; </w:t>
            </w:r>
            <w:r w:rsidRPr="009A0E7B">
              <w:rPr>
                <w:rFonts w:ascii="Arial Narrow" w:hAnsi="Arial Narrow"/>
                <w:sz w:val="20"/>
                <w:szCs w:val="20"/>
              </w:rPr>
              <w:t>385: 1280-1291</w:t>
            </w:r>
            <w:r w:rsidRPr="009A0E7B">
              <w:rPr>
                <w:rFonts w:ascii="Arial Narrow" w:eastAsiaTheme="majorEastAsia" w:hAnsi="Arial Narrow" w:cs="Times New Roman"/>
                <w:bCs/>
                <w:sz w:val="20"/>
                <w:szCs w:val="20"/>
              </w:rPr>
              <w:t>.</w:t>
            </w:r>
          </w:p>
          <w:p w14:paraId="53EB2567" w14:textId="73CEF758" w:rsidR="009E74B6" w:rsidRPr="00E34A35" w:rsidRDefault="009E74B6" w:rsidP="009E74B6">
            <w:pPr>
              <w:pStyle w:val="TableText0"/>
            </w:pPr>
          </w:p>
        </w:tc>
      </w:tr>
      <w:tr w:rsidR="009E74B6" w:rsidRPr="00CB38A8" w14:paraId="74132A1A" w14:textId="77777777" w:rsidTr="00A04D40">
        <w:trPr>
          <w:cantSplit/>
        </w:trPr>
        <w:tc>
          <w:tcPr>
            <w:tcW w:w="795" w:type="pct"/>
            <w:vMerge w:val="restart"/>
            <w:shd w:val="clear" w:color="auto" w:fill="DBE5F1" w:themeFill="accent1" w:themeFillTint="33"/>
            <w:vAlign w:val="center"/>
          </w:tcPr>
          <w:p w14:paraId="30BA87AC" w14:textId="0D13FBAB" w:rsidR="009E74B6" w:rsidRPr="00CB38A8" w:rsidRDefault="009E74B6" w:rsidP="009E74B6">
            <w:pPr>
              <w:pStyle w:val="TableText0"/>
              <w:jc w:val="center"/>
              <w:rPr>
                <w:rFonts w:ascii="Times" w:hAnsi="Times"/>
              </w:rPr>
            </w:pPr>
            <w:r w:rsidRPr="009A0E7B">
              <w:rPr>
                <w:rFonts w:cs="Times New Roman"/>
                <w:szCs w:val="20"/>
              </w:rPr>
              <w:t>Touchstone (NCT01647516)</w:t>
            </w:r>
          </w:p>
        </w:tc>
        <w:tc>
          <w:tcPr>
            <w:tcW w:w="2803" w:type="pct"/>
            <w:tcBorders>
              <w:bottom w:val="nil"/>
            </w:tcBorders>
            <w:shd w:val="clear" w:color="auto" w:fill="DBE5F1" w:themeFill="accent1" w:themeFillTint="33"/>
          </w:tcPr>
          <w:p w14:paraId="7EF3AEBB" w14:textId="71588526" w:rsidR="009E74B6" w:rsidRPr="00CB38A8" w:rsidRDefault="009E74B6" w:rsidP="009E74B6">
            <w:pPr>
              <w:pStyle w:val="TableText0"/>
              <w:rPr>
                <w:rFonts w:ascii="Times" w:hAnsi="Times"/>
              </w:rPr>
            </w:pPr>
            <w:r w:rsidRPr="009A0E7B">
              <w:rPr>
                <w:rFonts w:cs="Times New Roman"/>
              </w:rPr>
              <w:t xml:space="preserve">Touchstone Clinical Study Report, Statistical Analysis </w:t>
            </w:r>
            <w:proofErr w:type="gramStart"/>
            <w:r w:rsidRPr="009A0E7B">
              <w:rPr>
                <w:rFonts w:cs="Times New Roman"/>
              </w:rPr>
              <w:t>Plan</w:t>
            </w:r>
            <w:proofErr w:type="gramEnd"/>
            <w:r w:rsidRPr="009A0E7B">
              <w:rPr>
                <w:rFonts w:cs="Times New Roman"/>
              </w:rPr>
              <w:t xml:space="preserve"> and related documents</w:t>
            </w:r>
          </w:p>
        </w:tc>
        <w:tc>
          <w:tcPr>
            <w:tcW w:w="1402" w:type="pct"/>
            <w:tcBorders>
              <w:bottom w:val="nil"/>
            </w:tcBorders>
            <w:shd w:val="clear" w:color="auto" w:fill="DBE5F1" w:themeFill="accent1" w:themeFillTint="33"/>
          </w:tcPr>
          <w:p w14:paraId="65832AF0" w14:textId="4A377E02" w:rsidR="009E74B6" w:rsidRPr="004A2558" w:rsidRDefault="009E74B6" w:rsidP="009E74B6">
            <w:pPr>
              <w:pStyle w:val="TableText0"/>
            </w:pPr>
            <w:r w:rsidRPr="009A0E7B">
              <w:rPr>
                <w:rFonts w:cs="Times New Roman"/>
                <w:szCs w:val="20"/>
              </w:rPr>
              <w:t>04 November 2015</w:t>
            </w:r>
          </w:p>
        </w:tc>
      </w:tr>
      <w:tr w:rsidR="009E74B6" w:rsidRPr="00CB38A8" w14:paraId="72FE99D8" w14:textId="77777777" w:rsidTr="00A04D40">
        <w:trPr>
          <w:cantSplit/>
        </w:trPr>
        <w:tc>
          <w:tcPr>
            <w:tcW w:w="795" w:type="pct"/>
            <w:vMerge/>
            <w:shd w:val="clear" w:color="auto" w:fill="DBE5F1" w:themeFill="accent1" w:themeFillTint="33"/>
            <w:vAlign w:val="center"/>
          </w:tcPr>
          <w:p w14:paraId="1E431D63" w14:textId="177A5F18" w:rsidR="009E74B6" w:rsidRPr="00CB38A8" w:rsidRDefault="009E74B6" w:rsidP="009E74B6">
            <w:pPr>
              <w:pStyle w:val="TableText0"/>
              <w:jc w:val="center"/>
            </w:pPr>
          </w:p>
        </w:tc>
        <w:tc>
          <w:tcPr>
            <w:tcW w:w="2803" w:type="pct"/>
            <w:tcBorders>
              <w:top w:val="nil"/>
              <w:bottom w:val="nil"/>
            </w:tcBorders>
            <w:shd w:val="clear" w:color="auto" w:fill="DBE5F1" w:themeFill="accent1" w:themeFillTint="33"/>
          </w:tcPr>
          <w:p w14:paraId="0FCB0ED9" w14:textId="23A67705" w:rsidR="009E74B6" w:rsidRPr="00E34A35" w:rsidRDefault="009E74B6" w:rsidP="009E74B6">
            <w:pPr>
              <w:pStyle w:val="TableText0"/>
            </w:pPr>
            <w:proofErr w:type="spellStart"/>
            <w:r w:rsidRPr="009A0E7B">
              <w:rPr>
                <w:szCs w:val="20"/>
              </w:rPr>
              <w:t>Sandborn</w:t>
            </w:r>
            <w:proofErr w:type="spellEnd"/>
            <w:r w:rsidRPr="009A0E7B">
              <w:rPr>
                <w:szCs w:val="20"/>
              </w:rPr>
              <w:t xml:space="preserve"> W, </w:t>
            </w:r>
            <w:proofErr w:type="spellStart"/>
            <w:r w:rsidRPr="009A0E7B">
              <w:rPr>
                <w:szCs w:val="20"/>
              </w:rPr>
              <w:t>Feagan</w:t>
            </w:r>
            <w:proofErr w:type="spellEnd"/>
            <w:r w:rsidRPr="009A0E7B">
              <w:rPr>
                <w:szCs w:val="20"/>
              </w:rPr>
              <w:t xml:space="preserve"> B, Wolf D, </w:t>
            </w:r>
            <w:proofErr w:type="spellStart"/>
            <w:r w:rsidRPr="009A0E7B">
              <w:rPr>
                <w:szCs w:val="20"/>
              </w:rPr>
              <w:t>D'Haens</w:t>
            </w:r>
            <w:proofErr w:type="spellEnd"/>
            <w:r w:rsidRPr="009A0E7B">
              <w:rPr>
                <w:szCs w:val="20"/>
              </w:rPr>
              <w:t xml:space="preserve"> G, </w:t>
            </w:r>
            <w:proofErr w:type="spellStart"/>
            <w:r w:rsidRPr="009A0E7B">
              <w:rPr>
                <w:szCs w:val="20"/>
              </w:rPr>
              <w:t>Vermeire</w:t>
            </w:r>
            <w:proofErr w:type="spellEnd"/>
            <w:r w:rsidRPr="009A0E7B">
              <w:rPr>
                <w:szCs w:val="20"/>
              </w:rPr>
              <w:t xml:space="preserve"> S et al. Ozanimod Induction and maintenance Treatment for Ulcerative Colitis. </w:t>
            </w:r>
          </w:p>
        </w:tc>
        <w:tc>
          <w:tcPr>
            <w:tcW w:w="1402" w:type="pct"/>
            <w:tcBorders>
              <w:top w:val="nil"/>
              <w:bottom w:val="nil"/>
            </w:tcBorders>
            <w:shd w:val="clear" w:color="auto" w:fill="DBE5F1" w:themeFill="accent1" w:themeFillTint="33"/>
          </w:tcPr>
          <w:p w14:paraId="7C0550ED" w14:textId="1E051D9B" w:rsidR="009E74B6" w:rsidRPr="00CB38A8" w:rsidRDefault="009E74B6" w:rsidP="009E74B6">
            <w:pPr>
              <w:pStyle w:val="TableText0"/>
              <w:rPr>
                <w:i/>
              </w:rPr>
            </w:pPr>
            <w:r w:rsidRPr="009A0E7B">
              <w:rPr>
                <w:i/>
                <w:iCs/>
                <w:szCs w:val="20"/>
              </w:rPr>
              <w:t>New England Journal of Medicine 2016;</w:t>
            </w:r>
            <w:r w:rsidRPr="009A0E7B">
              <w:rPr>
                <w:szCs w:val="20"/>
              </w:rPr>
              <w:t xml:space="preserve"> 374 (18): 1754-1762.</w:t>
            </w:r>
          </w:p>
        </w:tc>
      </w:tr>
      <w:tr w:rsidR="009E74B6" w:rsidRPr="00CB38A8" w14:paraId="4EC234DE" w14:textId="77777777" w:rsidTr="009E74B6">
        <w:trPr>
          <w:cantSplit/>
        </w:trPr>
        <w:tc>
          <w:tcPr>
            <w:tcW w:w="3598" w:type="pct"/>
            <w:gridSpan w:val="2"/>
            <w:vAlign w:val="center"/>
          </w:tcPr>
          <w:p w14:paraId="621A0464" w14:textId="4B3D9FFE" w:rsidR="009E74B6" w:rsidRPr="009E74B6" w:rsidRDefault="009E74B6" w:rsidP="00EC5836">
            <w:pPr>
              <w:pStyle w:val="TableText0"/>
              <w:rPr>
                <w:b/>
                <w:bCs w:val="0"/>
              </w:rPr>
            </w:pPr>
            <w:r>
              <w:rPr>
                <w:b/>
                <w:bCs w:val="0"/>
              </w:rPr>
              <w:t>Adalimumab</w:t>
            </w:r>
            <w:r w:rsidR="00D04899">
              <w:rPr>
                <w:b/>
                <w:bCs w:val="0"/>
              </w:rPr>
              <w:t xml:space="preserve"> (vs placebo)</w:t>
            </w:r>
            <w:r>
              <w:rPr>
                <w:b/>
                <w:bCs w:val="0"/>
              </w:rPr>
              <w:t xml:space="preserve"> trials</w:t>
            </w:r>
          </w:p>
        </w:tc>
        <w:tc>
          <w:tcPr>
            <w:tcW w:w="1402" w:type="pct"/>
            <w:tcBorders>
              <w:bottom w:val="nil"/>
            </w:tcBorders>
            <w:vAlign w:val="center"/>
          </w:tcPr>
          <w:p w14:paraId="1B2753B0" w14:textId="77777777" w:rsidR="009E74B6" w:rsidRDefault="009E74B6" w:rsidP="00EC5836">
            <w:pPr>
              <w:pStyle w:val="TableText0"/>
            </w:pPr>
          </w:p>
        </w:tc>
      </w:tr>
      <w:tr w:rsidR="004A5F43" w:rsidRPr="00CB38A8" w14:paraId="3FB23E1E" w14:textId="77777777" w:rsidTr="00A04D40">
        <w:trPr>
          <w:cantSplit/>
        </w:trPr>
        <w:tc>
          <w:tcPr>
            <w:tcW w:w="795" w:type="pct"/>
            <w:shd w:val="clear" w:color="auto" w:fill="DBE5F1" w:themeFill="accent1" w:themeFillTint="33"/>
            <w:vAlign w:val="center"/>
          </w:tcPr>
          <w:p w14:paraId="6B3A6084" w14:textId="77777777" w:rsidR="004A5F43" w:rsidRDefault="004A5F43" w:rsidP="004A5F43">
            <w:pPr>
              <w:pStyle w:val="TableText0"/>
              <w:jc w:val="center"/>
              <w:rPr>
                <w:rFonts w:cs="Times New Roman"/>
                <w:szCs w:val="20"/>
                <w:lang w:eastAsia="en-US"/>
              </w:rPr>
            </w:pPr>
            <w:r w:rsidRPr="002D4988">
              <w:rPr>
                <w:rFonts w:cs="Times New Roman"/>
                <w:szCs w:val="20"/>
                <w:lang w:eastAsia="en-US"/>
              </w:rPr>
              <w:t>ULTRA 1</w:t>
            </w:r>
          </w:p>
          <w:p w14:paraId="46184BE8" w14:textId="697A8FB4" w:rsidR="005D0C22" w:rsidRDefault="005D0C22" w:rsidP="004A5F43">
            <w:pPr>
              <w:pStyle w:val="TableText0"/>
              <w:jc w:val="center"/>
            </w:pPr>
            <w:r>
              <w:rPr>
                <w:lang w:eastAsia="en-US"/>
              </w:rPr>
              <w:t>(NCT00385736)</w:t>
            </w:r>
          </w:p>
        </w:tc>
        <w:tc>
          <w:tcPr>
            <w:tcW w:w="2803" w:type="pct"/>
            <w:tcBorders>
              <w:bottom w:val="nil"/>
            </w:tcBorders>
            <w:shd w:val="clear" w:color="auto" w:fill="DBE5F1" w:themeFill="accent1" w:themeFillTint="33"/>
            <w:vAlign w:val="center"/>
          </w:tcPr>
          <w:p w14:paraId="2D24D448" w14:textId="6B34F203" w:rsidR="004A5F43" w:rsidRDefault="004A5F43" w:rsidP="004A5F43">
            <w:pPr>
              <w:pStyle w:val="TableText0"/>
            </w:pPr>
            <w:proofErr w:type="spellStart"/>
            <w:r w:rsidRPr="002D4988">
              <w:rPr>
                <w:rFonts w:cs="Times New Roman"/>
                <w:szCs w:val="20"/>
                <w:lang w:eastAsia="en-US"/>
              </w:rPr>
              <w:t>Reinisch</w:t>
            </w:r>
            <w:proofErr w:type="spellEnd"/>
            <w:r w:rsidRPr="002D4988">
              <w:rPr>
                <w:rFonts w:cs="Times New Roman"/>
                <w:szCs w:val="20"/>
                <w:lang w:eastAsia="en-US"/>
              </w:rPr>
              <w:t xml:space="preserve"> W, </w:t>
            </w:r>
            <w:proofErr w:type="spellStart"/>
            <w:r w:rsidRPr="002D4988">
              <w:rPr>
                <w:rFonts w:cs="Times New Roman"/>
                <w:szCs w:val="20"/>
                <w:lang w:eastAsia="en-US"/>
              </w:rPr>
              <w:t>Sandborn</w:t>
            </w:r>
            <w:proofErr w:type="spellEnd"/>
            <w:r w:rsidRPr="002D4988">
              <w:rPr>
                <w:rFonts w:cs="Times New Roman"/>
                <w:szCs w:val="20"/>
                <w:lang w:eastAsia="en-US"/>
              </w:rPr>
              <w:t xml:space="preserve"> WJ, Hommes DW, </w:t>
            </w:r>
            <w:r w:rsidRPr="002D4988">
              <w:rPr>
                <w:rFonts w:cs="Times New Roman"/>
                <w:i/>
                <w:szCs w:val="20"/>
                <w:lang w:eastAsia="en-US"/>
              </w:rPr>
              <w:t>et al</w:t>
            </w:r>
            <w:r w:rsidRPr="002D4988">
              <w:rPr>
                <w:rFonts w:cs="Times New Roman"/>
                <w:szCs w:val="20"/>
                <w:lang w:eastAsia="en-US"/>
              </w:rPr>
              <w:t>. Adalimumab for induction of clinical remission in moderately to severely active UC: results of a randomised controlled trial.</w:t>
            </w:r>
          </w:p>
        </w:tc>
        <w:tc>
          <w:tcPr>
            <w:tcW w:w="1402" w:type="pct"/>
            <w:tcBorders>
              <w:bottom w:val="nil"/>
            </w:tcBorders>
            <w:shd w:val="clear" w:color="auto" w:fill="DBE5F1" w:themeFill="accent1" w:themeFillTint="33"/>
            <w:vAlign w:val="center"/>
          </w:tcPr>
          <w:p w14:paraId="78F08F31" w14:textId="69354563" w:rsidR="004A5F43" w:rsidRDefault="004A5F43" w:rsidP="004A5F43">
            <w:pPr>
              <w:pStyle w:val="TableText0"/>
            </w:pPr>
            <w:r w:rsidRPr="002D4988">
              <w:rPr>
                <w:rFonts w:cs="Times New Roman"/>
                <w:i/>
                <w:szCs w:val="20"/>
                <w:lang w:eastAsia="en-US"/>
              </w:rPr>
              <w:t>Gut</w:t>
            </w:r>
            <w:r w:rsidRPr="002D4988">
              <w:rPr>
                <w:rFonts w:cs="Times New Roman"/>
                <w:szCs w:val="20"/>
                <w:lang w:eastAsia="en-US"/>
              </w:rPr>
              <w:t>. 2011;60(6):780-787</w:t>
            </w:r>
          </w:p>
        </w:tc>
      </w:tr>
      <w:tr w:rsidR="004A5F43" w:rsidRPr="00CB38A8" w14:paraId="657388B9" w14:textId="77777777" w:rsidTr="00A04D40">
        <w:trPr>
          <w:cantSplit/>
        </w:trPr>
        <w:tc>
          <w:tcPr>
            <w:tcW w:w="795" w:type="pct"/>
            <w:shd w:val="clear" w:color="auto" w:fill="DBE5F1" w:themeFill="accent1" w:themeFillTint="33"/>
            <w:vAlign w:val="center"/>
          </w:tcPr>
          <w:p w14:paraId="61DFFDC1" w14:textId="77777777" w:rsidR="004A5F43" w:rsidRDefault="004A5F43" w:rsidP="004A5F43">
            <w:pPr>
              <w:pStyle w:val="TableText0"/>
              <w:jc w:val="center"/>
              <w:rPr>
                <w:rFonts w:cs="Times New Roman"/>
                <w:szCs w:val="20"/>
                <w:lang w:eastAsia="en-US"/>
              </w:rPr>
            </w:pPr>
            <w:r w:rsidRPr="002D4988">
              <w:rPr>
                <w:rFonts w:cs="Times New Roman"/>
                <w:szCs w:val="20"/>
                <w:lang w:eastAsia="en-US"/>
              </w:rPr>
              <w:t>ULTRA 2</w:t>
            </w:r>
          </w:p>
          <w:p w14:paraId="19C6F963" w14:textId="2E4D7F3D" w:rsidR="005D0C22" w:rsidRDefault="005D0C22" w:rsidP="004A5F43">
            <w:pPr>
              <w:pStyle w:val="TableText0"/>
              <w:jc w:val="center"/>
            </w:pPr>
            <w:r>
              <w:rPr>
                <w:lang w:eastAsia="en-US"/>
              </w:rPr>
              <w:t>(NCT00408629)</w:t>
            </w:r>
          </w:p>
        </w:tc>
        <w:tc>
          <w:tcPr>
            <w:tcW w:w="2803" w:type="pct"/>
            <w:tcBorders>
              <w:bottom w:val="nil"/>
            </w:tcBorders>
            <w:shd w:val="clear" w:color="auto" w:fill="DBE5F1" w:themeFill="accent1" w:themeFillTint="33"/>
            <w:vAlign w:val="center"/>
          </w:tcPr>
          <w:p w14:paraId="015A03D7" w14:textId="7ED238A3" w:rsidR="004A5F43" w:rsidRDefault="004A5F43" w:rsidP="004A5F43">
            <w:pPr>
              <w:pStyle w:val="TableText0"/>
            </w:pPr>
            <w:proofErr w:type="spellStart"/>
            <w:r w:rsidRPr="002D4988">
              <w:rPr>
                <w:rFonts w:cs="Times New Roman"/>
                <w:szCs w:val="20"/>
                <w:lang w:eastAsia="en-US"/>
              </w:rPr>
              <w:t>Sandborn</w:t>
            </w:r>
            <w:proofErr w:type="spellEnd"/>
            <w:r w:rsidRPr="002D4988">
              <w:rPr>
                <w:rFonts w:cs="Times New Roman"/>
                <w:szCs w:val="20"/>
                <w:lang w:eastAsia="en-US"/>
              </w:rPr>
              <w:t xml:space="preserve"> WJ, van </w:t>
            </w:r>
            <w:proofErr w:type="spellStart"/>
            <w:r w:rsidRPr="002D4988">
              <w:rPr>
                <w:rFonts w:cs="Times New Roman"/>
                <w:szCs w:val="20"/>
                <w:lang w:eastAsia="en-US"/>
              </w:rPr>
              <w:t>Assche</w:t>
            </w:r>
            <w:proofErr w:type="spellEnd"/>
            <w:r w:rsidRPr="002D4988">
              <w:rPr>
                <w:rFonts w:cs="Times New Roman"/>
                <w:szCs w:val="20"/>
                <w:lang w:eastAsia="en-US"/>
              </w:rPr>
              <w:t xml:space="preserve"> G, </w:t>
            </w:r>
            <w:proofErr w:type="spellStart"/>
            <w:r w:rsidRPr="002D4988">
              <w:rPr>
                <w:rFonts w:cs="Times New Roman"/>
                <w:szCs w:val="20"/>
                <w:lang w:eastAsia="en-US"/>
              </w:rPr>
              <w:t>Reinisch</w:t>
            </w:r>
            <w:proofErr w:type="spellEnd"/>
            <w:r w:rsidRPr="002D4988">
              <w:rPr>
                <w:rFonts w:cs="Times New Roman"/>
                <w:szCs w:val="20"/>
                <w:lang w:eastAsia="en-US"/>
              </w:rPr>
              <w:t xml:space="preserve"> W, et al. Adalimumab induces and maintains clinical remission in patients with moderate to severe UC. </w:t>
            </w:r>
          </w:p>
        </w:tc>
        <w:tc>
          <w:tcPr>
            <w:tcW w:w="1402" w:type="pct"/>
            <w:tcBorders>
              <w:bottom w:val="nil"/>
            </w:tcBorders>
            <w:shd w:val="clear" w:color="auto" w:fill="DBE5F1" w:themeFill="accent1" w:themeFillTint="33"/>
            <w:vAlign w:val="center"/>
          </w:tcPr>
          <w:p w14:paraId="7551FD69" w14:textId="61D3B561" w:rsidR="004A5F43" w:rsidRDefault="004A5F43" w:rsidP="004A5F43">
            <w:pPr>
              <w:pStyle w:val="TableText0"/>
            </w:pPr>
            <w:r w:rsidRPr="002D4988">
              <w:rPr>
                <w:rFonts w:cs="Times New Roman"/>
                <w:i/>
                <w:szCs w:val="20"/>
                <w:lang w:eastAsia="en-US"/>
              </w:rPr>
              <w:t>Gastroenterology</w:t>
            </w:r>
            <w:r w:rsidRPr="002D4988">
              <w:rPr>
                <w:rFonts w:cs="Times New Roman"/>
                <w:szCs w:val="20"/>
                <w:lang w:eastAsia="en-US"/>
              </w:rPr>
              <w:t>. 2012;142(2):257-65[e1-3]</w:t>
            </w:r>
          </w:p>
        </w:tc>
      </w:tr>
      <w:tr w:rsidR="004A5F43" w:rsidRPr="00CB38A8" w14:paraId="3682B318" w14:textId="77777777" w:rsidTr="0034653F">
        <w:trPr>
          <w:cantSplit/>
        </w:trPr>
        <w:tc>
          <w:tcPr>
            <w:tcW w:w="795" w:type="pct"/>
            <w:shd w:val="clear" w:color="auto" w:fill="DBE5F1" w:themeFill="accent1" w:themeFillTint="33"/>
            <w:vAlign w:val="center"/>
          </w:tcPr>
          <w:p w14:paraId="06F55EB6" w14:textId="77777777" w:rsidR="004A5F43" w:rsidRDefault="004A5F43" w:rsidP="004A5F43">
            <w:pPr>
              <w:pStyle w:val="TableText0"/>
              <w:jc w:val="center"/>
              <w:rPr>
                <w:rFonts w:cs="Times New Roman"/>
                <w:iCs/>
                <w:szCs w:val="20"/>
                <w:lang w:eastAsia="en-US"/>
              </w:rPr>
            </w:pPr>
            <w:r w:rsidRPr="002D4988">
              <w:rPr>
                <w:rFonts w:cs="Times New Roman"/>
                <w:iCs/>
                <w:szCs w:val="20"/>
                <w:lang w:eastAsia="en-US"/>
              </w:rPr>
              <w:t>Suzuki 2014</w:t>
            </w:r>
          </w:p>
          <w:p w14:paraId="21466B5D" w14:textId="14AFE67C" w:rsidR="005D0C22" w:rsidRDefault="005D0C22" w:rsidP="004A5F43">
            <w:pPr>
              <w:pStyle w:val="TableText0"/>
              <w:jc w:val="center"/>
            </w:pPr>
            <w:r>
              <w:rPr>
                <w:iCs/>
                <w:lang w:eastAsia="en-US"/>
              </w:rPr>
              <w:t>(NCT00853099)</w:t>
            </w:r>
          </w:p>
        </w:tc>
        <w:tc>
          <w:tcPr>
            <w:tcW w:w="2803" w:type="pct"/>
            <w:shd w:val="clear" w:color="auto" w:fill="DBE5F1" w:themeFill="accent1" w:themeFillTint="33"/>
            <w:vAlign w:val="center"/>
          </w:tcPr>
          <w:p w14:paraId="2591A57B" w14:textId="30D5E828" w:rsidR="004A5F43" w:rsidRDefault="004A5F43" w:rsidP="004A5F43">
            <w:pPr>
              <w:pStyle w:val="TableText0"/>
            </w:pPr>
            <w:r w:rsidRPr="002D4988">
              <w:rPr>
                <w:rFonts w:cs="Times New Roman"/>
                <w:iCs/>
                <w:szCs w:val="20"/>
                <w:lang w:eastAsia="en-US"/>
              </w:rPr>
              <w:t xml:space="preserve">Suzuki Y, </w:t>
            </w:r>
            <w:proofErr w:type="spellStart"/>
            <w:r w:rsidRPr="002D4988">
              <w:rPr>
                <w:rFonts w:cs="Times New Roman"/>
                <w:iCs/>
                <w:szCs w:val="20"/>
                <w:lang w:eastAsia="en-US"/>
              </w:rPr>
              <w:t>Motoya</w:t>
            </w:r>
            <w:proofErr w:type="spellEnd"/>
            <w:r w:rsidRPr="002D4988">
              <w:rPr>
                <w:rFonts w:cs="Times New Roman"/>
                <w:iCs/>
                <w:szCs w:val="20"/>
                <w:lang w:eastAsia="en-US"/>
              </w:rPr>
              <w:t xml:space="preserve"> S, </w:t>
            </w:r>
            <w:proofErr w:type="spellStart"/>
            <w:r w:rsidRPr="002D4988">
              <w:rPr>
                <w:rFonts w:cs="Times New Roman"/>
                <w:iCs/>
                <w:szCs w:val="20"/>
                <w:lang w:eastAsia="en-US"/>
              </w:rPr>
              <w:t>Hanai</w:t>
            </w:r>
            <w:proofErr w:type="spellEnd"/>
            <w:r w:rsidRPr="002D4988">
              <w:rPr>
                <w:rFonts w:cs="Times New Roman"/>
                <w:iCs/>
                <w:szCs w:val="20"/>
                <w:lang w:eastAsia="en-US"/>
              </w:rPr>
              <w:t xml:space="preserve"> H, et al. Efficacy and safety of adalimumab in Japanese patients with moderately to severely active ulcerative colitis. </w:t>
            </w:r>
          </w:p>
        </w:tc>
        <w:tc>
          <w:tcPr>
            <w:tcW w:w="1402" w:type="pct"/>
            <w:shd w:val="clear" w:color="auto" w:fill="DBE5F1" w:themeFill="accent1" w:themeFillTint="33"/>
            <w:vAlign w:val="center"/>
          </w:tcPr>
          <w:p w14:paraId="5F86193A" w14:textId="19380D31" w:rsidR="004A5F43" w:rsidRDefault="004A5F43" w:rsidP="004A5F43">
            <w:pPr>
              <w:pStyle w:val="TableText0"/>
            </w:pPr>
            <w:r w:rsidRPr="002D4988">
              <w:rPr>
                <w:rFonts w:cs="Times New Roman"/>
                <w:i/>
                <w:iCs/>
                <w:szCs w:val="20"/>
                <w:lang w:eastAsia="en-US"/>
              </w:rPr>
              <w:t>J Gastroenterol</w:t>
            </w:r>
            <w:r w:rsidRPr="002D4988">
              <w:rPr>
                <w:rFonts w:cs="Times New Roman"/>
                <w:iCs/>
                <w:szCs w:val="20"/>
                <w:lang w:eastAsia="en-US"/>
              </w:rPr>
              <w:t>. 2014; 49:283-294.</w:t>
            </w:r>
          </w:p>
        </w:tc>
      </w:tr>
    </w:tbl>
    <w:p w14:paraId="744A795A" w14:textId="56244F3A" w:rsidR="005D0C22" w:rsidRDefault="008E0D3C" w:rsidP="00EC5836">
      <w:pPr>
        <w:pStyle w:val="FooterTableFigure"/>
      </w:pPr>
      <w:r>
        <w:t xml:space="preserve">Source: </w:t>
      </w:r>
      <w:r w:rsidR="004A5F43">
        <w:t xml:space="preserve">Compiled during the evaluation from OZA March 2022 PSD, with ADA trials identified in Attachment 2 to the submission </w:t>
      </w:r>
      <w:r w:rsidR="005D0C22">
        <w:t>(NMA Technical Report April 2021.docx)</w:t>
      </w:r>
      <w:r w:rsidR="00C3385B">
        <w:t>, cross referenced with Table 4 of the TOF November 2020 PSD</w:t>
      </w:r>
      <w:r w:rsidR="00D04899">
        <w:t>. Only one key citation included for each trial.</w:t>
      </w:r>
    </w:p>
    <w:p w14:paraId="51D8173A" w14:textId="12D4443C" w:rsidR="008E0D3C" w:rsidRDefault="005D0C22" w:rsidP="00EC5836">
      <w:pPr>
        <w:pStyle w:val="FooterTableFigure"/>
      </w:pPr>
      <w:r w:rsidRPr="005D0C22">
        <w:t>Shaded areas indicate data previously seen by the PBAC.</w:t>
      </w:r>
    </w:p>
    <w:p w14:paraId="1DD06D7D" w14:textId="064864D2" w:rsidR="007F1017" w:rsidRPr="00EC5836" w:rsidRDefault="008F120A" w:rsidP="00EC5836">
      <w:pPr>
        <w:pStyle w:val="3-BodyText"/>
        <w:rPr>
          <w:color w:val="0066FF"/>
        </w:rPr>
      </w:pPr>
      <w:r w:rsidRPr="00B50DB8">
        <w:t>The key features of the</w:t>
      </w:r>
      <w:r w:rsidR="00C3385B">
        <w:t xml:space="preserve"> </w:t>
      </w:r>
      <w:r w:rsidR="00621ADA">
        <w:t>included evidence</w:t>
      </w:r>
      <w:r w:rsidR="00C3385B">
        <w:t xml:space="preserve"> and additional analyses</w:t>
      </w:r>
      <w:r w:rsidRPr="00B50DB8">
        <w:t xml:space="preserve"> are summarised in</w:t>
      </w:r>
      <w:r w:rsidR="00D6076E">
        <w:t xml:space="preserve"> </w:t>
      </w:r>
      <w:r w:rsidR="00D6076E">
        <w:fldChar w:fldCharType="begin"/>
      </w:r>
      <w:r w:rsidR="00D6076E">
        <w:instrText xml:space="preserve"> REF _Ref104804098 \h  \* MERGEFORMAT </w:instrText>
      </w:r>
      <w:r w:rsidR="00D6076E">
        <w:fldChar w:fldCharType="separate"/>
      </w:r>
      <w:r w:rsidR="00340AC7">
        <w:rPr>
          <w:b/>
          <w:bCs/>
          <w:lang w:val="en-US"/>
        </w:rPr>
        <w:t>Error! Reference source not found.</w:t>
      </w:r>
      <w:r w:rsidR="00D6076E">
        <w:fldChar w:fldCharType="end"/>
      </w:r>
      <w:r w:rsidRPr="00B50DB8">
        <w:t>.</w:t>
      </w:r>
    </w:p>
    <w:p w14:paraId="52B477B2" w14:textId="491A20E6" w:rsidR="007F1017" w:rsidRPr="00EC5836" w:rsidRDefault="00D6076E" w:rsidP="00D6076E">
      <w:pPr>
        <w:pStyle w:val="TableFigureHeading"/>
        <w:rPr>
          <w:rStyle w:val="CommentReference"/>
          <w:b/>
          <w:szCs w:val="24"/>
        </w:rPr>
      </w:pPr>
      <w:r>
        <w:lastRenderedPageBreak/>
        <w:t xml:space="preserve">Table </w:t>
      </w:r>
      <w:fldSimple w:instr=" SEQ Table \* ARABIC ">
        <w:r w:rsidR="00340AC7">
          <w:rPr>
            <w:noProof/>
          </w:rPr>
          <w:t>3</w:t>
        </w:r>
      </w:fldSimple>
      <w:r>
        <w:t xml:space="preserve">: </w:t>
      </w:r>
      <w:r w:rsidR="007F1017" w:rsidRPr="00EC5836">
        <w:rPr>
          <w:rStyle w:val="CommentReference"/>
          <w:b/>
          <w:szCs w:val="24"/>
        </w:rPr>
        <w:t>Key features of the included evidence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09"/>
        <w:gridCol w:w="853"/>
        <w:gridCol w:w="1426"/>
        <w:gridCol w:w="1131"/>
        <w:gridCol w:w="1560"/>
        <w:gridCol w:w="1371"/>
        <w:gridCol w:w="1367"/>
      </w:tblGrid>
      <w:tr w:rsidR="00B41614" w:rsidRPr="00F87355" w14:paraId="10B72AE4" w14:textId="77777777" w:rsidTr="00CE006A">
        <w:trPr>
          <w:tblHeader/>
        </w:trPr>
        <w:tc>
          <w:tcPr>
            <w:tcW w:w="726" w:type="pct"/>
            <w:shd w:val="clear" w:color="auto" w:fill="auto"/>
            <w:vAlign w:val="center"/>
          </w:tcPr>
          <w:p w14:paraId="7060CCBD" w14:textId="77777777" w:rsidR="007F1017" w:rsidRPr="00F87355" w:rsidRDefault="007F1017" w:rsidP="001E34DF">
            <w:pPr>
              <w:pStyle w:val="In-tableHeading"/>
              <w:rPr>
                <w:szCs w:val="20"/>
              </w:rPr>
            </w:pPr>
            <w:r w:rsidRPr="00F87355">
              <w:rPr>
                <w:szCs w:val="20"/>
              </w:rPr>
              <w:t>Trial</w:t>
            </w:r>
          </w:p>
        </w:tc>
        <w:tc>
          <w:tcPr>
            <w:tcW w:w="473" w:type="pct"/>
            <w:shd w:val="clear" w:color="auto" w:fill="auto"/>
            <w:vAlign w:val="center"/>
          </w:tcPr>
          <w:p w14:paraId="4C9B7023" w14:textId="77777777" w:rsidR="007F1017" w:rsidRPr="00F87355" w:rsidRDefault="007F1017" w:rsidP="00EC5836">
            <w:pPr>
              <w:pStyle w:val="In-tableHeading"/>
              <w:jc w:val="center"/>
              <w:rPr>
                <w:szCs w:val="20"/>
              </w:rPr>
            </w:pPr>
            <w:r w:rsidRPr="00F87355">
              <w:rPr>
                <w:szCs w:val="20"/>
              </w:rPr>
              <w:t>N</w:t>
            </w:r>
          </w:p>
        </w:tc>
        <w:tc>
          <w:tcPr>
            <w:tcW w:w="791" w:type="pct"/>
            <w:shd w:val="clear" w:color="auto" w:fill="auto"/>
            <w:vAlign w:val="center"/>
          </w:tcPr>
          <w:p w14:paraId="0229C3C3" w14:textId="77777777" w:rsidR="007F1017" w:rsidRPr="00F87355" w:rsidRDefault="007F1017" w:rsidP="00EC5836">
            <w:pPr>
              <w:pStyle w:val="In-tableHeading"/>
              <w:jc w:val="center"/>
              <w:rPr>
                <w:szCs w:val="20"/>
              </w:rPr>
            </w:pPr>
            <w:r w:rsidRPr="00F87355">
              <w:rPr>
                <w:szCs w:val="20"/>
              </w:rPr>
              <w:t>Design/ duration</w:t>
            </w:r>
          </w:p>
        </w:tc>
        <w:tc>
          <w:tcPr>
            <w:tcW w:w="627" w:type="pct"/>
            <w:shd w:val="clear" w:color="auto" w:fill="auto"/>
            <w:vAlign w:val="center"/>
          </w:tcPr>
          <w:p w14:paraId="1747C98A" w14:textId="77777777" w:rsidR="007F1017" w:rsidRPr="00F87355" w:rsidRDefault="007F1017" w:rsidP="00EC5836">
            <w:pPr>
              <w:pStyle w:val="In-tableHeading"/>
              <w:jc w:val="center"/>
              <w:rPr>
                <w:szCs w:val="20"/>
              </w:rPr>
            </w:pPr>
            <w:r w:rsidRPr="00F87355">
              <w:rPr>
                <w:szCs w:val="20"/>
              </w:rPr>
              <w:t>Risk of bias</w:t>
            </w:r>
          </w:p>
        </w:tc>
        <w:tc>
          <w:tcPr>
            <w:tcW w:w="865" w:type="pct"/>
            <w:shd w:val="clear" w:color="auto" w:fill="auto"/>
            <w:vAlign w:val="center"/>
          </w:tcPr>
          <w:p w14:paraId="380B615E" w14:textId="77777777" w:rsidR="007F1017" w:rsidRPr="00F87355" w:rsidRDefault="007F1017" w:rsidP="00EC5836">
            <w:pPr>
              <w:pStyle w:val="In-tableHeading"/>
              <w:jc w:val="center"/>
              <w:rPr>
                <w:szCs w:val="20"/>
              </w:rPr>
            </w:pPr>
            <w:r w:rsidRPr="00F87355">
              <w:rPr>
                <w:szCs w:val="20"/>
              </w:rPr>
              <w:t>Patient population</w:t>
            </w:r>
          </w:p>
        </w:tc>
        <w:tc>
          <w:tcPr>
            <w:tcW w:w="760" w:type="pct"/>
            <w:shd w:val="clear" w:color="auto" w:fill="auto"/>
            <w:vAlign w:val="center"/>
          </w:tcPr>
          <w:p w14:paraId="27A32067" w14:textId="77777777" w:rsidR="007F1017" w:rsidRPr="00F87355" w:rsidRDefault="007F1017" w:rsidP="00EC5836">
            <w:pPr>
              <w:pStyle w:val="In-tableHeading"/>
              <w:jc w:val="center"/>
              <w:rPr>
                <w:szCs w:val="20"/>
              </w:rPr>
            </w:pPr>
            <w:r w:rsidRPr="00F87355">
              <w:rPr>
                <w:szCs w:val="20"/>
              </w:rPr>
              <w:t>Outcome(s)</w:t>
            </w:r>
          </w:p>
        </w:tc>
        <w:tc>
          <w:tcPr>
            <w:tcW w:w="758" w:type="pct"/>
            <w:shd w:val="clear" w:color="auto" w:fill="auto"/>
            <w:vAlign w:val="center"/>
          </w:tcPr>
          <w:p w14:paraId="381ECD4F" w14:textId="2A4C1028" w:rsidR="007F1017" w:rsidRPr="00F87355" w:rsidRDefault="00EF6B08" w:rsidP="00EC5836">
            <w:pPr>
              <w:pStyle w:val="In-tableHeading"/>
              <w:jc w:val="center"/>
              <w:rPr>
                <w:szCs w:val="20"/>
              </w:rPr>
            </w:pPr>
            <w:r w:rsidRPr="00F87355">
              <w:rPr>
                <w:szCs w:val="20"/>
              </w:rPr>
              <w:t>Included in</w:t>
            </w:r>
          </w:p>
        </w:tc>
      </w:tr>
      <w:tr w:rsidR="007F1017" w:rsidRPr="00F87355" w14:paraId="20387E42" w14:textId="77777777" w:rsidTr="00885C55">
        <w:tc>
          <w:tcPr>
            <w:tcW w:w="5000" w:type="pct"/>
            <w:gridSpan w:val="7"/>
            <w:shd w:val="clear" w:color="auto" w:fill="DBE5F1" w:themeFill="accent1" w:themeFillTint="33"/>
            <w:vAlign w:val="center"/>
          </w:tcPr>
          <w:p w14:paraId="5DF5227A" w14:textId="322311CB" w:rsidR="007F1017" w:rsidRPr="00F87355" w:rsidRDefault="00E52813" w:rsidP="00EC5836">
            <w:pPr>
              <w:pStyle w:val="In-tableHeading"/>
              <w:rPr>
                <w:szCs w:val="20"/>
              </w:rPr>
            </w:pPr>
            <w:r w:rsidRPr="00F87355">
              <w:rPr>
                <w:szCs w:val="20"/>
              </w:rPr>
              <w:t>OZA vs ADA</w:t>
            </w:r>
          </w:p>
        </w:tc>
      </w:tr>
      <w:tr w:rsidR="00EF6B08" w:rsidRPr="00F87355" w14:paraId="74F8AA01" w14:textId="77777777" w:rsidTr="00885C55">
        <w:tc>
          <w:tcPr>
            <w:tcW w:w="726" w:type="pct"/>
            <w:shd w:val="clear" w:color="auto" w:fill="DBE5F1" w:themeFill="accent1" w:themeFillTint="33"/>
            <w:vAlign w:val="center"/>
          </w:tcPr>
          <w:p w14:paraId="32507EF2" w14:textId="40D8E2A8" w:rsidR="00EF6B08" w:rsidRPr="00F87355" w:rsidRDefault="00EF6B08" w:rsidP="00EF6B08">
            <w:pPr>
              <w:pStyle w:val="TableText0"/>
              <w:rPr>
                <w:szCs w:val="20"/>
                <w:lang w:val="en-US"/>
              </w:rPr>
            </w:pPr>
            <w:r w:rsidRPr="00F87355">
              <w:rPr>
                <w:szCs w:val="20"/>
                <w:lang w:val="en-US"/>
              </w:rPr>
              <w:t>True North</w:t>
            </w:r>
            <w:r w:rsidR="00BC0EC6" w:rsidRPr="00F87355">
              <w:rPr>
                <w:szCs w:val="20"/>
                <w:lang w:val="en-US"/>
              </w:rPr>
              <w:t xml:space="preserve"> (OZA)</w:t>
            </w:r>
          </w:p>
        </w:tc>
        <w:tc>
          <w:tcPr>
            <w:tcW w:w="473" w:type="pct"/>
            <w:shd w:val="clear" w:color="auto" w:fill="DBE5F1" w:themeFill="accent1" w:themeFillTint="33"/>
            <w:vAlign w:val="center"/>
          </w:tcPr>
          <w:p w14:paraId="2E432336" w14:textId="77777777" w:rsidR="00EF6B08" w:rsidRPr="00F87355" w:rsidRDefault="00EF6B08" w:rsidP="00EF6B08">
            <w:pPr>
              <w:keepNext/>
              <w:keepLines/>
              <w:jc w:val="center"/>
              <w:rPr>
                <w:rFonts w:ascii="Arial Narrow" w:eastAsiaTheme="minorEastAsia" w:hAnsi="Arial Narrow" w:cs="Times New Roman"/>
                <w:sz w:val="20"/>
                <w:szCs w:val="20"/>
                <w:lang w:eastAsia="en-US"/>
              </w:rPr>
            </w:pPr>
            <w:r w:rsidRPr="00F87355">
              <w:rPr>
                <w:rFonts w:ascii="Arial Narrow" w:eastAsiaTheme="minorEastAsia" w:hAnsi="Arial Narrow" w:cs="Times New Roman"/>
                <w:sz w:val="20"/>
                <w:szCs w:val="20"/>
                <w:lang w:eastAsia="en-US"/>
              </w:rPr>
              <w:t>IP: 1012</w:t>
            </w:r>
          </w:p>
          <w:p w14:paraId="5522E301" w14:textId="60AA97AC" w:rsidR="00EF6B08" w:rsidRPr="00F87355" w:rsidRDefault="00EF6B08" w:rsidP="00EF6B08">
            <w:pPr>
              <w:pStyle w:val="TableText0"/>
              <w:jc w:val="center"/>
              <w:rPr>
                <w:szCs w:val="20"/>
                <w:lang w:val="en-US"/>
              </w:rPr>
            </w:pPr>
            <w:r w:rsidRPr="00F87355">
              <w:rPr>
                <w:rFonts w:eastAsiaTheme="minorEastAsia" w:cs="Times New Roman"/>
                <w:szCs w:val="20"/>
                <w:lang w:eastAsia="en-US"/>
              </w:rPr>
              <w:t>MP: 526</w:t>
            </w:r>
          </w:p>
        </w:tc>
        <w:tc>
          <w:tcPr>
            <w:tcW w:w="791" w:type="pct"/>
            <w:shd w:val="clear" w:color="auto" w:fill="DBE5F1" w:themeFill="accent1" w:themeFillTint="33"/>
            <w:vAlign w:val="center"/>
          </w:tcPr>
          <w:p w14:paraId="539DB980" w14:textId="57875AFE" w:rsidR="00EF6B08" w:rsidRPr="00F87355" w:rsidRDefault="00EF6B08" w:rsidP="00EF6B08">
            <w:pPr>
              <w:pStyle w:val="TableText0"/>
              <w:jc w:val="center"/>
              <w:rPr>
                <w:szCs w:val="20"/>
                <w:lang w:val="en-US"/>
              </w:rPr>
            </w:pPr>
            <w:r w:rsidRPr="00F87355">
              <w:rPr>
                <w:rFonts w:eastAsiaTheme="minorEastAsia" w:cs="Times New Roman"/>
                <w:szCs w:val="20"/>
                <w:lang w:eastAsia="en-US"/>
              </w:rPr>
              <w:t>P3, MC, R, DB</w:t>
            </w:r>
            <w:r w:rsidR="00BC7314" w:rsidRPr="00F87355">
              <w:rPr>
                <w:rFonts w:eastAsiaTheme="minorEastAsia" w:cs="Times New Roman"/>
                <w:szCs w:val="20"/>
                <w:lang w:eastAsia="en-US"/>
              </w:rPr>
              <w:t>, RMP</w:t>
            </w:r>
            <w:r w:rsidRPr="00F87355">
              <w:rPr>
                <w:rFonts w:eastAsiaTheme="minorEastAsia" w:cs="Times New Roman"/>
                <w:szCs w:val="20"/>
                <w:lang w:eastAsia="en-US"/>
              </w:rPr>
              <w:t xml:space="preserve"> (cohort 1 IP and MP); OL (cohort 2 IP)</w:t>
            </w:r>
          </w:p>
        </w:tc>
        <w:tc>
          <w:tcPr>
            <w:tcW w:w="627" w:type="pct"/>
            <w:shd w:val="clear" w:color="auto" w:fill="DBE5F1" w:themeFill="accent1" w:themeFillTint="33"/>
            <w:vAlign w:val="center"/>
          </w:tcPr>
          <w:p w14:paraId="64E25457" w14:textId="29D27690" w:rsidR="00EF6B08" w:rsidRPr="00F87355" w:rsidRDefault="00EF6B08" w:rsidP="00EF6B08">
            <w:pPr>
              <w:pStyle w:val="TableText0"/>
              <w:jc w:val="center"/>
              <w:rPr>
                <w:szCs w:val="20"/>
                <w:lang w:val="en-US"/>
              </w:rPr>
            </w:pPr>
            <w:r w:rsidRPr="00F87355">
              <w:rPr>
                <w:rFonts w:eastAsiaTheme="minorEastAsia" w:cs="Times New Roman"/>
                <w:szCs w:val="20"/>
                <w:lang w:eastAsia="en-US"/>
              </w:rPr>
              <w:t>Low</w:t>
            </w:r>
          </w:p>
        </w:tc>
        <w:tc>
          <w:tcPr>
            <w:tcW w:w="865" w:type="pct"/>
            <w:shd w:val="clear" w:color="auto" w:fill="DBE5F1" w:themeFill="accent1" w:themeFillTint="33"/>
            <w:vAlign w:val="center"/>
          </w:tcPr>
          <w:p w14:paraId="540048F1" w14:textId="77777777" w:rsidR="00EF6B08" w:rsidRPr="00F87355" w:rsidRDefault="00EF6B08" w:rsidP="00EF6B08">
            <w:pPr>
              <w:keepNext/>
              <w:keepLines/>
              <w:jc w:val="center"/>
              <w:rPr>
                <w:rFonts w:ascii="Arial Narrow" w:eastAsiaTheme="minorEastAsia" w:hAnsi="Arial Narrow" w:cs="Times New Roman"/>
                <w:sz w:val="20"/>
                <w:szCs w:val="20"/>
                <w:lang w:eastAsia="en-US"/>
              </w:rPr>
            </w:pPr>
            <w:proofErr w:type="spellStart"/>
            <w:r w:rsidRPr="00F87355">
              <w:rPr>
                <w:rFonts w:ascii="Arial Narrow" w:eastAsiaTheme="minorEastAsia" w:hAnsi="Arial Narrow" w:cs="Times New Roman"/>
                <w:sz w:val="20"/>
                <w:szCs w:val="20"/>
                <w:lang w:eastAsia="en-US"/>
              </w:rPr>
              <w:t>TNFi</w:t>
            </w:r>
            <w:proofErr w:type="spellEnd"/>
            <w:r w:rsidRPr="00F87355">
              <w:rPr>
                <w:rFonts w:ascii="Arial Narrow" w:eastAsiaTheme="minorEastAsia" w:hAnsi="Arial Narrow" w:cs="Times New Roman"/>
                <w:sz w:val="20"/>
                <w:szCs w:val="20"/>
                <w:lang w:eastAsia="en-US"/>
              </w:rPr>
              <w:t xml:space="preserve">-n and </w:t>
            </w:r>
            <w:proofErr w:type="spellStart"/>
            <w:r w:rsidRPr="00F87355">
              <w:rPr>
                <w:rFonts w:ascii="Arial Narrow" w:eastAsiaTheme="minorEastAsia" w:hAnsi="Arial Narrow" w:cs="Times New Roman"/>
                <w:sz w:val="20"/>
                <w:szCs w:val="20"/>
                <w:lang w:eastAsia="en-US"/>
              </w:rPr>
              <w:t>TNFi</w:t>
            </w:r>
            <w:proofErr w:type="spellEnd"/>
            <w:r w:rsidRPr="00F87355">
              <w:rPr>
                <w:rFonts w:ascii="Arial Narrow" w:eastAsiaTheme="minorEastAsia" w:hAnsi="Arial Narrow" w:cs="Times New Roman"/>
                <w:sz w:val="20"/>
                <w:szCs w:val="20"/>
                <w:lang w:eastAsia="en-US"/>
              </w:rPr>
              <w:t>-e</w:t>
            </w:r>
          </w:p>
          <w:p w14:paraId="59CA7C93" w14:textId="29FB351F" w:rsidR="00EF6B08" w:rsidRPr="00F87355" w:rsidRDefault="00EF6B08" w:rsidP="00EF6B08">
            <w:pPr>
              <w:pStyle w:val="TableText0"/>
              <w:jc w:val="center"/>
              <w:rPr>
                <w:szCs w:val="20"/>
                <w:lang w:val="en-US"/>
              </w:rPr>
            </w:pPr>
            <w:r w:rsidRPr="00F87355">
              <w:rPr>
                <w:rFonts w:eastAsiaTheme="minorEastAsia" w:cs="Times New Roman"/>
                <w:szCs w:val="20"/>
                <w:lang w:eastAsia="en-US"/>
              </w:rPr>
              <w:t>MP: Week 10 responders</w:t>
            </w:r>
          </w:p>
        </w:tc>
        <w:tc>
          <w:tcPr>
            <w:tcW w:w="760" w:type="pct"/>
            <w:vMerge w:val="restart"/>
            <w:shd w:val="clear" w:color="auto" w:fill="DBE5F1" w:themeFill="accent1" w:themeFillTint="33"/>
            <w:vAlign w:val="center"/>
          </w:tcPr>
          <w:p w14:paraId="4819ED9E" w14:textId="0C55AD16" w:rsidR="00EF6B08" w:rsidRPr="00F87355" w:rsidRDefault="004C20CD" w:rsidP="00EF6B08">
            <w:pPr>
              <w:pStyle w:val="TableText0"/>
              <w:jc w:val="center"/>
              <w:rPr>
                <w:szCs w:val="20"/>
                <w:lang w:val="en-US"/>
              </w:rPr>
            </w:pPr>
            <w:r w:rsidRPr="00F87355">
              <w:rPr>
                <w:szCs w:val="20"/>
                <w:lang w:val="en-US"/>
              </w:rPr>
              <w:t>Clinical remission, Clinical response, endoscopic improvement</w:t>
            </w:r>
          </w:p>
        </w:tc>
        <w:tc>
          <w:tcPr>
            <w:tcW w:w="758" w:type="pct"/>
            <w:shd w:val="clear" w:color="auto" w:fill="DBE5F1" w:themeFill="accent1" w:themeFillTint="33"/>
            <w:vAlign w:val="center"/>
          </w:tcPr>
          <w:p w14:paraId="375953DD" w14:textId="343B670E" w:rsidR="00EF6B08" w:rsidRPr="00F87355" w:rsidRDefault="00EF6B08" w:rsidP="00EF6B08">
            <w:pPr>
              <w:pStyle w:val="TableText0"/>
              <w:jc w:val="center"/>
              <w:rPr>
                <w:szCs w:val="20"/>
                <w:lang w:val="en-US"/>
              </w:rPr>
            </w:pPr>
            <w:r w:rsidRPr="00F87355">
              <w:rPr>
                <w:szCs w:val="20"/>
                <w:lang w:val="en-US"/>
              </w:rPr>
              <w:t>MAIC</w:t>
            </w:r>
          </w:p>
          <w:p w14:paraId="25BD948D" w14:textId="62800DEF" w:rsidR="00EF6B08" w:rsidRPr="00F87355" w:rsidRDefault="00EF6B08" w:rsidP="00EF6B08">
            <w:pPr>
              <w:pStyle w:val="TableText0"/>
              <w:jc w:val="center"/>
              <w:rPr>
                <w:szCs w:val="20"/>
                <w:lang w:val="en-US"/>
              </w:rPr>
            </w:pPr>
            <w:r w:rsidRPr="00F87355">
              <w:rPr>
                <w:szCs w:val="20"/>
                <w:lang w:val="en-US"/>
              </w:rPr>
              <w:t>NMA</w:t>
            </w:r>
          </w:p>
        </w:tc>
      </w:tr>
      <w:tr w:rsidR="00EF6B08" w:rsidRPr="00F87355" w14:paraId="50239719" w14:textId="77777777" w:rsidTr="00885C55">
        <w:tc>
          <w:tcPr>
            <w:tcW w:w="726" w:type="pct"/>
            <w:shd w:val="clear" w:color="auto" w:fill="DBE5F1" w:themeFill="accent1" w:themeFillTint="33"/>
            <w:vAlign w:val="center"/>
          </w:tcPr>
          <w:p w14:paraId="029EDED4" w14:textId="32E890C9" w:rsidR="00EF6B08" w:rsidRPr="00F87355" w:rsidRDefault="00EF6B08" w:rsidP="00EF6B08">
            <w:pPr>
              <w:pStyle w:val="TableText0"/>
              <w:rPr>
                <w:szCs w:val="20"/>
                <w:lang w:val="en-US"/>
              </w:rPr>
            </w:pPr>
            <w:r w:rsidRPr="00F87355">
              <w:rPr>
                <w:szCs w:val="20"/>
                <w:lang w:val="en-US"/>
              </w:rPr>
              <w:t>Touchstone</w:t>
            </w:r>
            <w:r w:rsidR="00BC0EC6" w:rsidRPr="00F87355">
              <w:rPr>
                <w:szCs w:val="20"/>
                <w:lang w:val="en-US"/>
              </w:rPr>
              <w:t xml:space="preserve"> (OZA)</w:t>
            </w:r>
          </w:p>
        </w:tc>
        <w:tc>
          <w:tcPr>
            <w:tcW w:w="473" w:type="pct"/>
            <w:shd w:val="clear" w:color="auto" w:fill="DBE5F1" w:themeFill="accent1" w:themeFillTint="33"/>
            <w:vAlign w:val="center"/>
          </w:tcPr>
          <w:p w14:paraId="23D7253D" w14:textId="5C564E25" w:rsidR="00EF6B08" w:rsidRPr="00F87355" w:rsidRDefault="00EF6B08" w:rsidP="00EF6B08">
            <w:pPr>
              <w:pStyle w:val="TableText0"/>
              <w:jc w:val="center"/>
              <w:rPr>
                <w:szCs w:val="20"/>
                <w:lang w:val="en-US"/>
              </w:rPr>
            </w:pPr>
            <w:r w:rsidRPr="00F87355">
              <w:rPr>
                <w:rFonts w:eastAsiaTheme="minorEastAsia" w:cs="Times New Roman"/>
                <w:szCs w:val="20"/>
                <w:lang w:eastAsia="en-US"/>
              </w:rPr>
              <w:t>197</w:t>
            </w:r>
          </w:p>
        </w:tc>
        <w:tc>
          <w:tcPr>
            <w:tcW w:w="791" w:type="pct"/>
            <w:shd w:val="clear" w:color="auto" w:fill="DBE5F1" w:themeFill="accent1" w:themeFillTint="33"/>
            <w:vAlign w:val="center"/>
          </w:tcPr>
          <w:p w14:paraId="4601D4F7" w14:textId="2349BF02" w:rsidR="00EF6B08" w:rsidRPr="00F87355" w:rsidRDefault="004C20CD" w:rsidP="00EF6B08">
            <w:pPr>
              <w:pStyle w:val="TableText0"/>
              <w:jc w:val="center"/>
              <w:rPr>
                <w:szCs w:val="20"/>
                <w:lang w:val="en-US"/>
              </w:rPr>
            </w:pPr>
            <w:r w:rsidRPr="00F87355">
              <w:rPr>
                <w:rFonts w:eastAsiaTheme="minorEastAsia" w:cs="Times New Roman"/>
                <w:szCs w:val="20"/>
                <w:lang w:eastAsia="en-US"/>
              </w:rPr>
              <w:t>P2, R, DB</w:t>
            </w:r>
          </w:p>
        </w:tc>
        <w:tc>
          <w:tcPr>
            <w:tcW w:w="627" w:type="pct"/>
            <w:shd w:val="clear" w:color="auto" w:fill="DBE5F1" w:themeFill="accent1" w:themeFillTint="33"/>
            <w:vAlign w:val="center"/>
          </w:tcPr>
          <w:p w14:paraId="4F53EE9B" w14:textId="6CE4902D" w:rsidR="00EF6B08" w:rsidRPr="00F87355" w:rsidRDefault="00EF6B08" w:rsidP="00EF6B08">
            <w:pPr>
              <w:pStyle w:val="TableText0"/>
              <w:jc w:val="center"/>
              <w:rPr>
                <w:szCs w:val="20"/>
                <w:lang w:val="en-US"/>
              </w:rPr>
            </w:pPr>
            <w:r w:rsidRPr="00F87355">
              <w:rPr>
                <w:rFonts w:eastAsiaTheme="minorEastAsia" w:cs="Times New Roman"/>
                <w:szCs w:val="20"/>
                <w:lang w:eastAsia="en-US"/>
              </w:rPr>
              <w:t>Low</w:t>
            </w:r>
          </w:p>
        </w:tc>
        <w:tc>
          <w:tcPr>
            <w:tcW w:w="865" w:type="pct"/>
            <w:shd w:val="clear" w:color="auto" w:fill="DBE5F1" w:themeFill="accent1" w:themeFillTint="33"/>
            <w:vAlign w:val="center"/>
          </w:tcPr>
          <w:p w14:paraId="236DDE2A" w14:textId="77777777" w:rsidR="00EF6B08" w:rsidRPr="00F87355" w:rsidRDefault="00EF6B08" w:rsidP="00EF6B08">
            <w:pPr>
              <w:keepNext/>
              <w:keepLines/>
              <w:jc w:val="center"/>
              <w:rPr>
                <w:rFonts w:ascii="Arial Narrow" w:eastAsiaTheme="minorEastAsia" w:hAnsi="Arial Narrow" w:cs="Times New Roman"/>
                <w:sz w:val="20"/>
                <w:szCs w:val="20"/>
                <w:lang w:eastAsia="en-US"/>
              </w:rPr>
            </w:pPr>
            <w:proofErr w:type="spellStart"/>
            <w:r w:rsidRPr="00F87355">
              <w:rPr>
                <w:rFonts w:ascii="Arial Narrow" w:eastAsiaTheme="minorEastAsia" w:hAnsi="Arial Narrow" w:cs="Times New Roman"/>
                <w:sz w:val="20"/>
                <w:szCs w:val="20"/>
                <w:lang w:eastAsia="en-US"/>
              </w:rPr>
              <w:t>TNFi</w:t>
            </w:r>
            <w:proofErr w:type="spellEnd"/>
            <w:r w:rsidRPr="00F87355">
              <w:rPr>
                <w:rFonts w:ascii="Arial Narrow" w:eastAsiaTheme="minorEastAsia" w:hAnsi="Arial Narrow" w:cs="Times New Roman"/>
                <w:sz w:val="20"/>
                <w:szCs w:val="20"/>
                <w:lang w:eastAsia="en-US"/>
              </w:rPr>
              <w:t xml:space="preserve">-n and </w:t>
            </w:r>
            <w:proofErr w:type="spellStart"/>
            <w:r w:rsidRPr="00F87355">
              <w:rPr>
                <w:rFonts w:ascii="Arial Narrow" w:eastAsiaTheme="minorEastAsia" w:hAnsi="Arial Narrow" w:cs="Times New Roman"/>
                <w:sz w:val="20"/>
                <w:szCs w:val="20"/>
                <w:lang w:eastAsia="en-US"/>
              </w:rPr>
              <w:t>TNFi</w:t>
            </w:r>
            <w:proofErr w:type="spellEnd"/>
            <w:r w:rsidRPr="00F87355">
              <w:rPr>
                <w:rFonts w:ascii="Arial Narrow" w:eastAsiaTheme="minorEastAsia" w:hAnsi="Arial Narrow" w:cs="Times New Roman"/>
                <w:sz w:val="20"/>
                <w:szCs w:val="20"/>
                <w:lang w:eastAsia="en-US"/>
              </w:rPr>
              <w:t>-e</w:t>
            </w:r>
          </w:p>
          <w:p w14:paraId="61F59935" w14:textId="48F0AA6E" w:rsidR="00EF6B08" w:rsidRPr="00F87355" w:rsidRDefault="00EF6B08" w:rsidP="00EF6B08">
            <w:pPr>
              <w:pStyle w:val="TableText0"/>
              <w:jc w:val="center"/>
              <w:rPr>
                <w:szCs w:val="20"/>
                <w:lang w:val="en-US"/>
              </w:rPr>
            </w:pPr>
            <w:r w:rsidRPr="00F87355">
              <w:rPr>
                <w:rFonts w:eastAsiaTheme="minorEastAsia" w:cs="Times New Roman"/>
                <w:szCs w:val="20"/>
                <w:lang w:eastAsia="en-US"/>
              </w:rPr>
              <w:t>MP: Week 8 responders</w:t>
            </w:r>
          </w:p>
        </w:tc>
        <w:tc>
          <w:tcPr>
            <w:tcW w:w="760" w:type="pct"/>
            <w:vMerge/>
            <w:shd w:val="clear" w:color="auto" w:fill="DBE5F1" w:themeFill="accent1" w:themeFillTint="33"/>
            <w:vAlign w:val="center"/>
          </w:tcPr>
          <w:p w14:paraId="26036B7C" w14:textId="3A6DF725" w:rsidR="00EF6B08" w:rsidRPr="00F87355" w:rsidRDefault="00EF6B08" w:rsidP="00EF6B08">
            <w:pPr>
              <w:pStyle w:val="TableText0"/>
              <w:jc w:val="center"/>
              <w:rPr>
                <w:szCs w:val="20"/>
                <w:lang w:val="en-US"/>
              </w:rPr>
            </w:pPr>
          </w:p>
        </w:tc>
        <w:tc>
          <w:tcPr>
            <w:tcW w:w="758" w:type="pct"/>
            <w:shd w:val="clear" w:color="auto" w:fill="DBE5F1" w:themeFill="accent1" w:themeFillTint="33"/>
            <w:vAlign w:val="center"/>
          </w:tcPr>
          <w:p w14:paraId="6C3F36BB" w14:textId="771DDE6F" w:rsidR="00EF6B08" w:rsidRPr="00F87355" w:rsidRDefault="00EF6B08" w:rsidP="00EF6B08">
            <w:pPr>
              <w:pStyle w:val="TableText0"/>
              <w:jc w:val="center"/>
              <w:rPr>
                <w:szCs w:val="20"/>
                <w:lang w:val="en-US"/>
              </w:rPr>
            </w:pPr>
            <w:r w:rsidRPr="00F87355">
              <w:rPr>
                <w:szCs w:val="20"/>
                <w:lang w:val="en-US"/>
              </w:rPr>
              <w:t>NMA</w:t>
            </w:r>
          </w:p>
        </w:tc>
      </w:tr>
      <w:tr w:rsidR="00CE006A" w:rsidRPr="00F87355" w14:paraId="7322E6D5" w14:textId="77777777" w:rsidTr="00885C55">
        <w:tc>
          <w:tcPr>
            <w:tcW w:w="726" w:type="pct"/>
            <w:shd w:val="clear" w:color="auto" w:fill="DBE5F1" w:themeFill="accent1" w:themeFillTint="33"/>
            <w:vAlign w:val="center"/>
          </w:tcPr>
          <w:p w14:paraId="00687AF8" w14:textId="1AD00E02" w:rsidR="00CE006A" w:rsidRPr="00F87355" w:rsidRDefault="00CE006A" w:rsidP="00CE006A">
            <w:pPr>
              <w:pStyle w:val="TableText0"/>
              <w:rPr>
                <w:szCs w:val="20"/>
                <w:lang w:val="en-US"/>
              </w:rPr>
            </w:pPr>
            <w:r w:rsidRPr="00F87355">
              <w:rPr>
                <w:szCs w:val="20"/>
                <w:lang w:val="en-US"/>
              </w:rPr>
              <w:t>ULTRA-1</w:t>
            </w:r>
            <w:r w:rsidR="00BC0EC6" w:rsidRPr="00F87355">
              <w:rPr>
                <w:szCs w:val="20"/>
                <w:lang w:val="en-US"/>
              </w:rPr>
              <w:t xml:space="preserve"> (ADA)</w:t>
            </w:r>
          </w:p>
        </w:tc>
        <w:tc>
          <w:tcPr>
            <w:tcW w:w="473" w:type="pct"/>
            <w:shd w:val="clear" w:color="auto" w:fill="DBE5F1" w:themeFill="accent1" w:themeFillTint="33"/>
            <w:vAlign w:val="center"/>
          </w:tcPr>
          <w:p w14:paraId="43422A40" w14:textId="3D8DEAF7" w:rsidR="00CE006A" w:rsidRPr="00F87355" w:rsidRDefault="00CE006A" w:rsidP="00CE006A">
            <w:pPr>
              <w:pStyle w:val="TableText0"/>
              <w:jc w:val="center"/>
              <w:rPr>
                <w:szCs w:val="20"/>
                <w:lang w:val="en-US"/>
              </w:rPr>
            </w:pPr>
            <w:r w:rsidRPr="00F87355">
              <w:rPr>
                <w:szCs w:val="20"/>
                <w:lang w:val="en-US"/>
              </w:rPr>
              <w:t>390</w:t>
            </w:r>
          </w:p>
        </w:tc>
        <w:tc>
          <w:tcPr>
            <w:tcW w:w="791" w:type="pct"/>
            <w:shd w:val="clear" w:color="auto" w:fill="DBE5F1" w:themeFill="accent1" w:themeFillTint="33"/>
            <w:vAlign w:val="center"/>
          </w:tcPr>
          <w:p w14:paraId="445160A8" w14:textId="0C2D4895" w:rsidR="00CE006A" w:rsidRPr="00F87355" w:rsidRDefault="00CE006A" w:rsidP="00CE006A">
            <w:pPr>
              <w:pStyle w:val="TableText0"/>
              <w:jc w:val="center"/>
              <w:rPr>
                <w:szCs w:val="20"/>
                <w:lang w:val="en-US"/>
              </w:rPr>
            </w:pPr>
            <w:r w:rsidRPr="00F87355">
              <w:rPr>
                <w:rFonts w:eastAsiaTheme="minorEastAsia" w:cs="Times New Roman"/>
                <w:szCs w:val="20"/>
                <w:lang w:eastAsia="en-US"/>
              </w:rPr>
              <w:t>P3, MC, R,</w:t>
            </w:r>
            <w:r w:rsidR="00937742" w:rsidRPr="00F87355">
              <w:rPr>
                <w:rFonts w:eastAsiaTheme="minorEastAsia" w:cs="Times New Roman"/>
                <w:szCs w:val="20"/>
                <w:lang w:eastAsia="en-US"/>
              </w:rPr>
              <w:t xml:space="preserve"> MD,</w:t>
            </w:r>
            <w:r w:rsidRPr="00F87355">
              <w:rPr>
                <w:rFonts w:eastAsiaTheme="minorEastAsia" w:cs="Times New Roman"/>
                <w:szCs w:val="20"/>
                <w:lang w:eastAsia="en-US"/>
              </w:rPr>
              <w:t xml:space="preserve"> DB (8wk)</w:t>
            </w:r>
            <w:r w:rsidR="00510597" w:rsidRPr="00F87355">
              <w:rPr>
                <w:rFonts w:eastAsiaTheme="minorEastAsia" w:cs="Times New Roman"/>
                <w:szCs w:val="20"/>
                <w:lang w:eastAsia="en-US"/>
              </w:rPr>
              <w:t>, IPO</w:t>
            </w:r>
          </w:p>
        </w:tc>
        <w:tc>
          <w:tcPr>
            <w:tcW w:w="627" w:type="pct"/>
            <w:shd w:val="clear" w:color="auto" w:fill="DBE5F1" w:themeFill="accent1" w:themeFillTint="33"/>
            <w:vAlign w:val="center"/>
          </w:tcPr>
          <w:p w14:paraId="00F5E23B" w14:textId="29C0B50D" w:rsidR="00CE006A" w:rsidRPr="00F87355" w:rsidRDefault="00CE006A" w:rsidP="00CE006A">
            <w:pPr>
              <w:pStyle w:val="TableText0"/>
              <w:jc w:val="center"/>
              <w:rPr>
                <w:szCs w:val="20"/>
                <w:lang w:val="en-US"/>
              </w:rPr>
            </w:pPr>
            <w:r w:rsidRPr="00F87355">
              <w:rPr>
                <w:rFonts w:eastAsiaTheme="minorEastAsia" w:cs="Times New Roman"/>
                <w:szCs w:val="20"/>
                <w:lang w:eastAsia="en-US"/>
              </w:rPr>
              <w:t>Low</w:t>
            </w:r>
          </w:p>
        </w:tc>
        <w:tc>
          <w:tcPr>
            <w:tcW w:w="865" w:type="pct"/>
            <w:shd w:val="clear" w:color="auto" w:fill="DBE5F1" w:themeFill="accent1" w:themeFillTint="33"/>
            <w:vAlign w:val="center"/>
          </w:tcPr>
          <w:p w14:paraId="73F492B3" w14:textId="60EE78E1" w:rsidR="00CE006A" w:rsidRPr="00F87355" w:rsidRDefault="00CE006A" w:rsidP="00CE006A">
            <w:pPr>
              <w:pStyle w:val="TableText0"/>
              <w:jc w:val="center"/>
              <w:rPr>
                <w:szCs w:val="20"/>
                <w:lang w:val="en-US"/>
              </w:rPr>
            </w:pPr>
            <w:proofErr w:type="spellStart"/>
            <w:r w:rsidRPr="00F87355">
              <w:rPr>
                <w:rFonts w:eastAsiaTheme="minorEastAsia" w:cs="Times New Roman"/>
                <w:iCs/>
                <w:szCs w:val="20"/>
                <w:lang w:eastAsia="en-US"/>
              </w:rPr>
              <w:t>TNFi</w:t>
            </w:r>
            <w:proofErr w:type="spellEnd"/>
            <w:r w:rsidRPr="00F87355">
              <w:rPr>
                <w:rFonts w:eastAsiaTheme="minorEastAsia" w:cs="Times New Roman"/>
                <w:iCs/>
                <w:szCs w:val="20"/>
                <w:lang w:eastAsia="en-US"/>
              </w:rPr>
              <w:t>-n</w:t>
            </w:r>
          </w:p>
        </w:tc>
        <w:tc>
          <w:tcPr>
            <w:tcW w:w="760" w:type="pct"/>
            <w:shd w:val="clear" w:color="auto" w:fill="DBE5F1" w:themeFill="accent1" w:themeFillTint="33"/>
            <w:vAlign w:val="center"/>
          </w:tcPr>
          <w:p w14:paraId="08ACCFBF" w14:textId="0B1A6DEC" w:rsidR="00CE006A" w:rsidRPr="00F87355" w:rsidRDefault="00CE006A" w:rsidP="00CE006A">
            <w:pPr>
              <w:pStyle w:val="TableText0"/>
              <w:jc w:val="center"/>
              <w:rPr>
                <w:szCs w:val="20"/>
                <w:lang w:val="en-US"/>
              </w:rPr>
            </w:pPr>
            <w:r w:rsidRPr="00F87355">
              <w:rPr>
                <w:rFonts w:eastAsiaTheme="minorEastAsia" w:cs="Times New Roman"/>
                <w:szCs w:val="20"/>
                <w:lang w:eastAsia="en-US"/>
              </w:rPr>
              <w:t>Clinical remission, clinical response, mucosal healing</w:t>
            </w:r>
          </w:p>
        </w:tc>
        <w:tc>
          <w:tcPr>
            <w:tcW w:w="758" w:type="pct"/>
            <w:shd w:val="clear" w:color="auto" w:fill="DBE5F1" w:themeFill="accent1" w:themeFillTint="33"/>
            <w:vAlign w:val="center"/>
          </w:tcPr>
          <w:p w14:paraId="5A91DE25" w14:textId="77777777" w:rsidR="00CE006A" w:rsidRPr="00F87355" w:rsidRDefault="00937742" w:rsidP="00CE006A">
            <w:pPr>
              <w:pStyle w:val="TableText0"/>
              <w:jc w:val="center"/>
              <w:rPr>
                <w:szCs w:val="20"/>
                <w:lang w:val="en-US"/>
              </w:rPr>
            </w:pPr>
            <w:r w:rsidRPr="00F87355">
              <w:rPr>
                <w:szCs w:val="20"/>
                <w:lang w:val="en-US"/>
              </w:rPr>
              <w:t xml:space="preserve">MAIC </w:t>
            </w:r>
          </w:p>
          <w:p w14:paraId="68AA94FF" w14:textId="74499AD5" w:rsidR="00937742" w:rsidRPr="00F87355" w:rsidRDefault="00937742" w:rsidP="00CE006A">
            <w:pPr>
              <w:pStyle w:val="TableText0"/>
              <w:jc w:val="center"/>
              <w:rPr>
                <w:szCs w:val="20"/>
                <w:lang w:val="en-US"/>
              </w:rPr>
            </w:pPr>
            <w:r w:rsidRPr="00F87355">
              <w:rPr>
                <w:szCs w:val="20"/>
                <w:lang w:val="en-US"/>
              </w:rPr>
              <w:t>NMA</w:t>
            </w:r>
          </w:p>
        </w:tc>
      </w:tr>
      <w:tr w:rsidR="00CE006A" w:rsidRPr="00F87355" w14:paraId="49F030A3" w14:textId="77777777" w:rsidTr="00885C55">
        <w:tc>
          <w:tcPr>
            <w:tcW w:w="726" w:type="pct"/>
            <w:shd w:val="clear" w:color="auto" w:fill="DBE5F1" w:themeFill="accent1" w:themeFillTint="33"/>
            <w:vAlign w:val="center"/>
          </w:tcPr>
          <w:p w14:paraId="31D264E6" w14:textId="228EAE03" w:rsidR="00CE006A" w:rsidRPr="00F87355" w:rsidRDefault="00CE006A" w:rsidP="00CE006A">
            <w:pPr>
              <w:pStyle w:val="TableText0"/>
              <w:rPr>
                <w:szCs w:val="20"/>
                <w:lang w:val="en-US"/>
              </w:rPr>
            </w:pPr>
            <w:r w:rsidRPr="00F87355">
              <w:rPr>
                <w:szCs w:val="20"/>
                <w:lang w:val="en-US"/>
              </w:rPr>
              <w:t>ULTRA-2</w:t>
            </w:r>
            <w:r w:rsidR="00BC0EC6" w:rsidRPr="00F87355">
              <w:rPr>
                <w:szCs w:val="20"/>
                <w:lang w:val="en-US"/>
              </w:rPr>
              <w:t xml:space="preserve"> (ADA)</w:t>
            </w:r>
          </w:p>
        </w:tc>
        <w:tc>
          <w:tcPr>
            <w:tcW w:w="473" w:type="pct"/>
            <w:shd w:val="clear" w:color="auto" w:fill="DBE5F1" w:themeFill="accent1" w:themeFillTint="33"/>
            <w:vAlign w:val="center"/>
          </w:tcPr>
          <w:p w14:paraId="11C484A9" w14:textId="77777777" w:rsidR="00CE006A" w:rsidRPr="00F87355" w:rsidRDefault="00CE006A" w:rsidP="00CE006A">
            <w:pPr>
              <w:pStyle w:val="TableText0"/>
              <w:jc w:val="center"/>
              <w:rPr>
                <w:szCs w:val="20"/>
                <w:lang w:val="en-US"/>
              </w:rPr>
            </w:pPr>
            <w:r w:rsidRPr="00F87355">
              <w:rPr>
                <w:szCs w:val="20"/>
                <w:lang w:val="en-US"/>
              </w:rPr>
              <w:t>IP: 494</w:t>
            </w:r>
          </w:p>
          <w:p w14:paraId="6F759309" w14:textId="74C0E115" w:rsidR="00CE006A" w:rsidRPr="00F87355" w:rsidRDefault="00CE006A" w:rsidP="00CE006A">
            <w:pPr>
              <w:pStyle w:val="TableText0"/>
              <w:jc w:val="center"/>
              <w:rPr>
                <w:szCs w:val="20"/>
                <w:lang w:val="en-US"/>
              </w:rPr>
            </w:pPr>
            <w:r w:rsidRPr="00F87355">
              <w:rPr>
                <w:szCs w:val="20"/>
                <w:lang w:val="en-US"/>
              </w:rPr>
              <w:t>MP: 494</w:t>
            </w:r>
          </w:p>
        </w:tc>
        <w:tc>
          <w:tcPr>
            <w:tcW w:w="791" w:type="pct"/>
            <w:shd w:val="clear" w:color="auto" w:fill="DBE5F1" w:themeFill="accent1" w:themeFillTint="33"/>
            <w:vAlign w:val="center"/>
          </w:tcPr>
          <w:p w14:paraId="0C96A50D" w14:textId="40514E0B" w:rsidR="00CE006A" w:rsidRPr="00F87355" w:rsidRDefault="00CE006A" w:rsidP="00CE006A">
            <w:pPr>
              <w:pStyle w:val="TableText0"/>
              <w:jc w:val="center"/>
              <w:rPr>
                <w:szCs w:val="20"/>
                <w:lang w:val="en-US"/>
              </w:rPr>
            </w:pPr>
            <w:r w:rsidRPr="00F87355">
              <w:rPr>
                <w:rFonts w:eastAsiaTheme="minorEastAsia" w:cs="Times New Roman"/>
                <w:szCs w:val="20"/>
                <w:lang w:eastAsia="en-US"/>
              </w:rPr>
              <w:t>P3, MC, R, DB</w:t>
            </w:r>
            <w:r w:rsidR="00E83C66" w:rsidRPr="00F87355">
              <w:rPr>
                <w:rFonts w:eastAsiaTheme="minorEastAsia" w:cs="Times New Roman"/>
                <w:szCs w:val="20"/>
                <w:lang w:eastAsia="en-US"/>
              </w:rPr>
              <w:t xml:space="preserve">, </w:t>
            </w:r>
            <w:r w:rsidRPr="00F87355">
              <w:rPr>
                <w:rFonts w:eastAsiaTheme="minorEastAsia" w:cs="Times New Roman"/>
                <w:szCs w:val="20"/>
                <w:lang w:eastAsia="en-US"/>
              </w:rPr>
              <w:t>(52wk)</w:t>
            </w:r>
            <w:r w:rsidR="00E83C66" w:rsidRPr="00F87355">
              <w:rPr>
                <w:rFonts w:eastAsiaTheme="minorEastAsia" w:cs="Times New Roman"/>
                <w:szCs w:val="20"/>
                <w:lang w:eastAsia="en-US"/>
              </w:rPr>
              <w:t>, TMP</w:t>
            </w:r>
          </w:p>
        </w:tc>
        <w:tc>
          <w:tcPr>
            <w:tcW w:w="627" w:type="pct"/>
            <w:shd w:val="clear" w:color="auto" w:fill="DBE5F1" w:themeFill="accent1" w:themeFillTint="33"/>
            <w:vAlign w:val="center"/>
          </w:tcPr>
          <w:p w14:paraId="0A46A30A" w14:textId="5C66A5D3" w:rsidR="00CE006A" w:rsidRPr="00F87355" w:rsidRDefault="00CE006A" w:rsidP="00CE006A">
            <w:pPr>
              <w:pStyle w:val="TableText0"/>
              <w:jc w:val="center"/>
              <w:rPr>
                <w:szCs w:val="20"/>
                <w:lang w:val="en-US"/>
              </w:rPr>
            </w:pPr>
            <w:r w:rsidRPr="00F87355">
              <w:rPr>
                <w:rFonts w:eastAsiaTheme="minorEastAsia" w:cs="Times New Roman"/>
                <w:szCs w:val="20"/>
                <w:lang w:eastAsia="en-US"/>
              </w:rPr>
              <w:t>Low</w:t>
            </w:r>
          </w:p>
        </w:tc>
        <w:tc>
          <w:tcPr>
            <w:tcW w:w="865" w:type="pct"/>
            <w:shd w:val="clear" w:color="auto" w:fill="DBE5F1" w:themeFill="accent1" w:themeFillTint="33"/>
            <w:vAlign w:val="center"/>
          </w:tcPr>
          <w:p w14:paraId="52E97CC4" w14:textId="03CAA138" w:rsidR="00CE006A" w:rsidRPr="00F87355" w:rsidRDefault="00CE006A" w:rsidP="00CE006A">
            <w:pPr>
              <w:pStyle w:val="TableText0"/>
              <w:jc w:val="center"/>
              <w:rPr>
                <w:szCs w:val="20"/>
                <w:lang w:val="en-US"/>
              </w:rPr>
            </w:pPr>
            <w:proofErr w:type="spellStart"/>
            <w:r w:rsidRPr="00F87355">
              <w:rPr>
                <w:rFonts w:eastAsiaTheme="minorEastAsia" w:cs="Times New Roman"/>
                <w:iCs/>
                <w:szCs w:val="20"/>
                <w:lang w:eastAsia="en-US"/>
              </w:rPr>
              <w:t>TNFi</w:t>
            </w:r>
            <w:proofErr w:type="spellEnd"/>
            <w:r w:rsidRPr="00F87355">
              <w:rPr>
                <w:rFonts w:eastAsiaTheme="minorEastAsia" w:cs="Times New Roman"/>
                <w:iCs/>
                <w:szCs w:val="20"/>
                <w:lang w:eastAsia="en-US"/>
              </w:rPr>
              <w:t xml:space="preserve">-n &amp; </w:t>
            </w:r>
            <w:proofErr w:type="spellStart"/>
            <w:r w:rsidRPr="00F87355">
              <w:rPr>
                <w:rFonts w:eastAsiaTheme="minorEastAsia" w:cs="Times New Roman"/>
                <w:iCs/>
                <w:szCs w:val="20"/>
                <w:lang w:eastAsia="en-US"/>
              </w:rPr>
              <w:t>TNFi</w:t>
            </w:r>
            <w:proofErr w:type="spellEnd"/>
            <w:r w:rsidRPr="00F87355">
              <w:rPr>
                <w:rFonts w:eastAsiaTheme="minorEastAsia" w:cs="Times New Roman"/>
                <w:iCs/>
                <w:szCs w:val="20"/>
                <w:lang w:eastAsia="en-US"/>
              </w:rPr>
              <w:t>-e</w:t>
            </w:r>
          </w:p>
        </w:tc>
        <w:tc>
          <w:tcPr>
            <w:tcW w:w="760" w:type="pct"/>
            <w:shd w:val="clear" w:color="auto" w:fill="DBE5F1" w:themeFill="accent1" w:themeFillTint="33"/>
            <w:vAlign w:val="center"/>
          </w:tcPr>
          <w:p w14:paraId="626445A4" w14:textId="0FF7BA2C" w:rsidR="00CE006A" w:rsidRPr="00F87355" w:rsidRDefault="00CE006A" w:rsidP="00CE006A">
            <w:pPr>
              <w:pStyle w:val="TableText0"/>
              <w:jc w:val="center"/>
              <w:rPr>
                <w:szCs w:val="20"/>
                <w:lang w:val="en-US"/>
              </w:rPr>
            </w:pPr>
            <w:r w:rsidRPr="00F87355">
              <w:rPr>
                <w:rFonts w:eastAsiaTheme="minorEastAsia" w:cs="Times New Roman"/>
                <w:szCs w:val="20"/>
                <w:lang w:eastAsia="en-US"/>
              </w:rPr>
              <w:t>Clinical remission, clinical response, mucosal healing</w:t>
            </w:r>
          </w:p>
        </w:tc>
        <w:tc>
          <w:tcPr>
            <w:tcW w:w="758" w:type="pct"/>
            <w:shd w:val="clear" w:color="auto" w:fill="DBE5F1" w:themeFill="accent1" w:themeFillTint="33"/>
            <w:vAlign w:val="center"/>
          </w:tcPr>
          <w:p w14:paraId="431327C6" w14:textId="77777777" w:rsidR="00937742" w:rsidRPr="00F87355" w:rsidRDefault="00937742" w:rsidP="00937742">
            <w:pPr>
              <w:pStyle w:val="TableText0"/>
              <w:jc w:val="center"/>
              <w:rPr>
                <w:szCs w:val="20"/>
                <w:lang w:val="en-US"/>
              </w:rPr>
            </w:pPr>
            <w:r w:rsidRPr="00F87355">
              <w:rPr>
                <w:szCs w:val="20"/>
                <w:lang w:val="en-US"/>
              </w:rPr>
              <w:t xml:space="preserve">MAIC </w:t>
            </w:r>
          </w:p>
          <w:p w14:paraId="3BD087A2" w14:textId="1F3B3BC6" w:rsidR="00937742" w:rsidRPr="00F87355" w:rsidRDefault="00937742" w:rsidP="00937742">
            <w:pPr>
              <w:pStyle w:val="TableText0"/>
              <w:jc w:val="center"/>
              <w:rPr>
                <w:szCs w:val="20"/>
                <w:lang w:val="en-US"/>
              </w:rPr>
            </w:pPr>
            <w:r w:rsidRPr="00F87355">
              <w:rPr>
                <w:szCs w:val="20"/>
                <w:lang w:val="en-US"/>
              </w:rPr>
              <w:t>NMA</w:t>
            </w:r>
          </w:p>
        </w:tc>
      </w:tr>
      <w:tr w:rsidR="00CE006A" w:rsidRPr="00F87355" w14:paraId="36C7F96E" w14:textId="77777777" w:rsidTr="00885C55">
        <w:tc>
          <w:tcPr>
            <w:tcW w:w="726" w:type="pct"/>
            <w:shd w:val="clear" w:color="auto" w:fill="DBE5F1" w:themeFill="accent1" w:themeFillTint="33"/>
            <w:vAlign w:val="center"/>
          </w:tcPr>
          <w:p w14:paraId="7A72B544" w14:textId="6418DA68" w:rsidR="00CE006A" w:rsidRPr="00F87355" w:rsidRDefault="00CE006A" w:rsidP="00CE006A">
            <w:pPr>
              <w:pStyle w:val="TableText0"/>
              <w:rPr>
                <w:szCs w:val="20"/>
                <w:lang w:val="en-US"/>
              </w:rPr>
            </w:pPr>
            <w:r w:rsidRPr="00F87355">
              <w:rPr>
                <w:szCs w:val="20"/>
                <w:lang w:val="en-US"/>
              </w:rPr>
              <w:t>Suzuki 2014</w:t>
            </w:r>
            <w:r w:rsidR="00BC0EC6" w:rsidRPr="00F87355">
              <w:rPr>
                <w:szCs w:val="20"/>
                <w:lang w:val="en-US"/>
              </w:rPr>
              <w:t xml:space="preserve"> (ADA)</w:t>
            </w:r>
          </w:p>
        </w:tc>
        <w:tc>
          <w:tcPr>
            <w:tcW w:w="473" w:type="pct"/>
            <w:shd w:val="clear" w:color="auto" w:fill="DBE5F1" w:themeFill="accent1" w:themeFillTint="33"/>
            <w:vAlign w:val="center"/>
          </w:tcPr>
          <w:p w14:paraId="2093571B" w14:textId="77777777" w:rsidR="00CE006A" w:rsidRPr="00F87355" w:rsidRDefault="00CE006A" w:rsidP="00CE006A">
            <w:pPr>
              <w:pStyle w:val="TableText0"/>
              <w:jc w:val="center"/>
              <w:rPr>
                <w:szCs w:val="20"/>
                <w:lang w:val="en-US"/>
              </w:rPr>
            </w:pPr>
            <w:r w:rsidRPr="00F87355">
              <w:rPr>
                <w:szCs w:val="20"/>
                <w:lang w:val="en-US"/>
              </w:rPr>
              <w:t xml:space="preserve">IP: 273 </w:t>
            </w:r>
          </w:p>
          <w:p w14:paraId="1DA0FA60" w14:textId="0083DA7F" w:rsidR="00CE006A" w:rsidRPr="00F87355" w:rsidRDefault="00CE006A" w:rsidP="00CE006A">
            <w:pPr>
              <w:pStyle w:val="TableText0"/>
              <w:jc w:val="center"/>
              <w:rPr>
                <w:szCs w:val="20"/>
                <w:lang w:val="en-US"/>
              </w:rPr>
            </w:pPr>
            <w:r w:rsidRPr="00F87355">
              <w:rPr>
                <w:szCs w:val="20"/>
                <w:lang w:val="en-US"/>
              </w:rPr>
              <w:t>MP: 273</w:t>
            </w:r>
          </w:p>
        </w:tc>
        <w:tc>
          <w:tcPr>
            <w:tcW w:w="791" w:type="pct"/>
            <w:shd w:val="clear" w:color="auto" w:fill="DBE5F1" w:themeFill="accent1" w:themeFillTint="33"/>
            <w:vAlign w:val="center"/>
          </w:tcPr>
          <w:p w14:paraId="43B1F457" w14:textId="7964B57E" w:rsidR="00CE006A" w:rsidRPr="00F87355" w:rsidRDefault="00CE006A" w:rsidP="00CE006A">
            <w:pPr>
              <w:pStyle w:val="TableText0"/>
              <w:jc w:val="center"/>
              <w:rPr>
                <w:szCs w:val="20"/>
                <w:lang w:val="en-US"/>
              </w:rPr>
            </w:pPr>
            <w:r w:rsidRPr="00F87355">
              <w:rPr>
                <w:rFonts w:eastAsiaTheme="minorEastAsia" w:cs="Times New Roman"/>
                <w:szCs w:val="20"/>
                <w:lang w:eastAsia="en-US"/>
              </w:rPr>
              <w:t>P2/3, MC, R, PC, DB (52wk),</w:t>
            </w:r>
            <w:r w:rsidR="00E83C66" w:rsidRPr="00F87355">
              <w:rPr>
                <w:rFonts w:eastAsiaTheme="minorEastAsia" w:cs="Times New Roman"/>
                <w:szCs w:val="20"/>
                <w:lang w:eastAsia="en-US"/>
              </w:rPr>
              <w:t xml:space="preserve"> TMP,</w:t>
            </w:r>
            <w:r w:rsidRPr="00F87355">
              <w:rPr>
                <w:rFonts w:eastAsiaTheme="minorEastAsia" w:cs="Times New Roman"/>
                <w:szCs w:val="20"/>
                <w:lang w:eastAsia="en-US"/>
              </w:rPr>
              <w:t xml:space="preserve"> 3-arm</w:t>
            </w:r>
          </w:p>
        </w:tc>
        <w:tc>
          <w:tcPr>
            <w:tcW w:w="627" w:type="pct"/>
            <w:shd w:val="clear" w:color="auto" w:fill="DBE5F1" w:themeFill="accent1" w:themeFillTint="33"/>
            <w:vAlign w:val="center"/>
          </w:tcPr>
          <w:p w14:paraId="1CF781AD" w14:textId="4B8585B1" w:rsidR="00CE006A" w:rsidRPr="00F87355" w:rsidRDefault="00CE006A" w:rsidP="00CE006A">
            <w:pPr>
              <w:pStyle w:val="TableText0"/>
              <w:jc w:val="center"/>
              <w:rPr>
                <w:szCs w:val="20"/>
                <w:lang w:val="en-US"/>
              </w:rPr>
            </w:pPr>
            <w:r w:rsidRPr="00F87355">
              <w:rPr>
                <w:rFonts w:eastAsiaTheme="minorEastAsia" w:cs="Times New Roman"/>
                <w:szCs w:val="20"/>
                <w:lang w:eastAsia="en-US"/>
              </w:rPr>
              <w:t>Low</w:t>
            </w:r>
          </w:p>
        </w:tc>
        <w:tc>
          <w:tcPr>
            <w:tcW w:w="865" w:type="pct"/>
            <w:shd w:val="clear" w:color="auto" w:fill="DBE5F1" w:themeFill="accent1" w:themeFillTint="33"/>
            <w:vAlign w:val="center"/>
          </w:tcPr>
          <w:p w14:paraId="1165581D" w14:textId="77777777" w:rsidR="00CE006A" w:rsidRPr="00F87355" w:rsidRDefault="00CE006A" w:rsidP="00CE006A">
            <w:pPr>
              <w:jc w:val="center"/>
              <w:rPr>
                <w:rFonts w:ascii="Arial Narrow" w:eastAsiaTheme="minorEastAsia" w:hAnsi="Arial Narrow" w:cs="Times New Roman"/>
                <w:iCs/>
                <w:sz w:val="20"/>
                <w:szCs w:val="20"/>
                <w:lang w:eastAsia="en-US"/>
              </w:rPr>
            </w:pPr>
            <w:proofErr w:type="spellStart"/>
            <w:r w:rsidRPr="00F87355">
              <w:rPr>
                <w:rFonts w:ascii="Arial Narrow" w:eastAsiaTheme="minorEastAsia" w:hAnsi="Arial Narrow" w:cs="Times New Roman"/>
                <w:iCs/>
                <w:sz w:val="20"/>
                <w:szCs w:val="20"/>
                <w:lang w:eastAsia="en-US"/>
              </w:rPr>
              <w:t>TNFi</w:t>
            </w:r>
            <w:proofErr w:type="spellEnd"/>
            <w:r w:rsidRPr="00F87355">
              <w:rPr>
                <w:rFonts w:ascii="Arial Narrow" w:eastAsiaTheme="minorEastAsia" w:hAnsi="Arial Narrow" w:cs="Times New Roman"/>
                <w:iCs/>
                <w:sz w:val="20"/>
                <w:szCs w:val="20"/>
                <w:lang w:eastAsia="en-US"/>
              </w:rPr>
              <w:t>-n</w:t>
            </w:r>
          </w:p>
          <w:p w14:paraId="5E369C0B" w14:textId="77F20DC0" w:rsidR="00CE006A" w:rsidRPr="00F87355" w:rsidRDefault="00CE006A" w:rsidP="00CE006A">
            <w:pPr>
              <w:pStyle w:val="TableText0"/>
              <w:jc w:val="center"/>
              <w:rPr>
                <w:szCs w:val="20"/>
                <w:lang w:val="en-US"/>
              </w:rPr>
            </w:pPr>
            <w:r w:rsidRPr="00F87355">
              <w:rPr>
                <w:rFonts w:eastAsiaTheme="minorEastAsia" w:cs="Times New Roman"/>
                <w:iCs/>
                <w:szCs w:val="20"/>
                <w:lang w:eastAsia="en-US"/>
              </w:rPr>
              <w:t>(Japanese)</w:t>
            </w:r>
          </w:p>
        </w:tc>
        <w:tc>
          <w:tcPr>
            <w:tcW w:w="760" w:type="pct"/>
            <w:shd w:val="clear" w:color="auto" w:fill="DBE5F1" w:themeFill="accent1" w:themeFillTint="33"/>
            <w:vAlign w:val="center"/>
          </w:tcPr>
          <w:p w14:paraId="700D35CC" w14:textId="2DADEFBE" w:rsidR="00CE006A" w:rsidRPr="00F87355" w:rsidRDefault="00CE006A" w:rsidP="00CE006A">
            <w:pPr>
              <w:jc w:val="center"/>
              <w:rPr>
                <w:rFonts w:ascii="Arial Narrow" w:eastAsiaTheme="minorEastAsia" w:hAnsi="Arial Narrow" w:cs="Times New Roman"/>
                <w:sz w:val="20"/>
                <w:szCs w:val="20"/>
                <w:lang w:eastAsia="en-US"/>
              </w:rPr>
            </w:pPr>
            <w:r w:rsidRPr="00F87355">
              <w:rPr>
                <w:rFonts w:ascii="Arial Narrow" w:eastAsiaTheme="minorEastAsia" w:hAnsi="Arial Narrow" w:cs="Times New Roman"/>
                <w:sz w:val="20"/>
                <w:szCs w:val="20"/>
                <w:lang w:eastAsia="en-US"/>
              </w:rPr>
              <w:t>Clinical remission, clinical response, mucosal healing</w:t>
            </w:r>
          </w:p>
        </w:tc>
        <w:tc>
          <w:tcPr>
            <w:tcW w:w="758" w:type="pct"/>
            <w:shd w:val="clear" w:color="auto" w:fill="DBE5F1" w:themeFill="accent1" w:themeFillTint="33"/>
            <w:vAlign w:val="center"/>
          </w:tcPr>
          <w:p w14:paraId="45D5D137" w14:textId="359778DF" w:rsidR="00CE006A" w:rsidRPr="00F87355" w:rsidRDefault="00CE006A" w:rsidP="00CE006A">
            <w:pPr>
              <w:pStyle w:val="TableText0"/>
              <w:jc w:val="center"/>
              <w:rPr>
                <w:szCs w:val="20"/>
                <w:lang w:val="en-US"/>
              </w:rPr>
            </w:pPr>
            <w:r w:rsidRPr="00F87355">
              <w:rPr>
                <w:szCs w:val="20"/>
                <w:lang w:val="en-US"/>
              </w:rPr>
              <w:t>NMA</w:t>
            </w:r>
          </w:p>
        </w:tc>
      </w:tr>
      <w:tr w:rsidR="00885C55" w:rsidRPr="00F87355" w14:paraId="2C2CE5AF" w14:textId="77777777" w:rsidTr="00FA46D6">
        <w:tc>
          <w:tcPr>
            <w:tcW w:w="5000" w:type="pct"/>
            <w:gridSpan w:val="7"/>
            <w:shd w:val="clear" w:color="auto" w:fill="auto"/>
            <w:vAlign w:val="center"/>
          </w:tcPr>
          <w:p w14:paraId="48241B02" w14:textId="618FAF0C" w:rsidR="00885C55" w:rsidRPr="00F87355" w:rsidRDefault="00885C55" w:rsidP="00885C55">
            <w:pPr>
              <w:pStyle w:val="TableText0"/>
              <w:rPr>
                <w:b/>
                <w:bCs w:val="0"/>
                <w:szCs w:val="20"/>
                <w:lang w:val="en-US"/>
              </w:rPr>
            </w:pPr>
            <w:r w:rsidRPr="00F87355">
              <w:rPr>
                <w:b/>
                <w:bCs w:val="0"/>
                <w:szCs w:val="20"/>
                <w:lang w:val="en-US"/>
              </w:rPr>
              <w:t>Summary of additional analyses</w:t>
            </w:r>
          </w:p>
        </w:tc>
      </w:tr>
      <w:tr w:rsidR="00885C55" w:rsidRPr="00F87355" w14:paraId="5CBCB195" w14:textId="77777777" w:rsidTr="00FA46D6">
        <w:tc>
          <w:tcPr>
            <w:tcW w:w="726" w:type="pct"/>
            <w:shd w:val="clear" w:color="auto" w:fill="auto"/>
            <w:vAlign w:val="center"/>
          </w:tcPr>
          <w:p w14:paraId="6A17CEBF" w14:textId="3F241278" w:rsidR="00885C55" w:rsidRPr="00F87355" w:rsidRDefault="00885C55" w:rsidP="00885C55">
            <w:pPr>
              <w:pStyle w:val="TableText0"/>
              <w:rPr>
                <w:szCs w:val="20"/>
                <w:lang w:val="en-US"/>
              </w:rPr>
            </w:pPr>
            <w:r w:rsidRPr="00F87355">
              <w:rPr>
                <w:szCs w:val="20"/>
                <w:lang w:val="en-US"/>
              </w:rPr>
              <w:t>MAIC</w:t>
            </w:r>
          </w:p>
        </w:tc>
        <w:tc>
          <w:tcPr>
            <w:tcW w:w="4274" w:type="pct"/>
            <w:gridSpan w:val="6"/>
            <w:shd w:val="clear" w:color="auto" w:fill="auto"/>
            <w:vAlign w:val="center"/>
          </w:tcPr>
          <w:p w14:paraId="67957AFD" w14:textId="4EAD5605" w:rsidR="00885C55" w:rsidRPr="00F87355" w:rsidRDefault="00885C55" w:rsidP="00885C55">
            <w:pPr>
              <w:pStyle w:val="TableText0"/>
              <w:rPr>
                <w:szCs w:val="20"/>
                <w:lang w:val="en-US"/>
              </w:rPr>
            </w:pPr>
            <w:r w:rsidRPr="00F87355">
              <w:rPr>
                <w:szCs w:val="20"/>
                <w:lang w:val="en-US"/>
              </w:rPr>
              <w:t>A propensity score model was used to assign statistical weights to True North patients based on potential prognostic factors or treatment effect modifiers, including age, sex, baseline total Mayo Score, extent of disease and prior anti-TNF therapy. Profile of included data</w:t>
            </w:r>
            <w:r w:rsidR="00CA34EB" w:rsidRPr="00F87355">
              <w:rPr>
                <w:szCs w:val="20"/>
                <w:lang w:val="en-US"/>
              </w:rPr>
              <w:t xml:space="preserve"> for overall population comparisons</w:t>
            </w:r>
            <w:r w:rsidRPr="00F87355">
              <w:rPr>
                <w:szCs w:val="20"/>
                <w:lang w:val="en-US"/>
              </w:rPr>
              <w:t xml:space="preserve"> below</w:t>
            </w:r>
            <w:r w:rsidR="00CA34EB" w:rsidRPr="00F87355">
              <w:rPr>
                <w:szCs w:val="20"/>
                <w:lang w:val="en-US"/>
              </w:rPr>
              <w:t xml:space="preserve"> (data from ULTRA-1 was used in the </w:t>
            </w:r>
            <w:proofErr w:type="spellStart"/>
            <w:r w:rsidR="00CA34EB" w:rsidRPr="00F87355">
              <w:rPr>
                <w:szCs w:val="20"/>
                <w:lang w:val="en-US"/>
              </w:rPr>
              <w:t>TNFi</w:t>
            </w:r>
            <w:proofErr w:type="spellEnd"/>
            <w:r w:rsidR="00CA34EB" w:rsidRPr="00F87355">
              <w:rPr>
                <w:szCs w:val="20"/>
                <w:lang w:val="en-US"/>
              </w:rPr>
              <w:t>-naïve comparisons)</w:t>
            </w:r>
            <w:r w:rsidRPr="00F87355">
              <w:rPr>
                <w:szCs w:val="20"/>
                <w:lang w:val="en-US"/>
              </w:rPr>
              <w:t>.</w:t>
            </w:r>
          </w:p>
          <w:p w14:paraId="3A365A3E" w14:textId="77777777" w:rsidR="00303708" w:rsidRPr="00F87355" w:rsidRDefault="00303708" w:rsidP="00885C55">
            <w:pPr>
              <w:pStyle w:val="TableText0"/>
              <w:rPr>
                <w:szCs w:val="20"/>
                <w:lang w:val="en-US"/>
              </w:rPr>
            </w:pPr>
          </w:p>
          <w:p w14:paraId="6C9C396A" w14:textId="77777777" w:rsidR="00885C55" w:rsidRPr="00F87355" w:rsidRDefault="00885C55" w:rsidP="00885C55">
            <w:pPr>
              <w:pStyle w:val="TableText0"/>
              <w:rPr>
                <w:b/>
                <w:bCs w:val="0"/>
                <w:szCs w:val="20"/>
                <w:lang w:val="en-US"/>
              </w:rPr>
            </w:pPr>
            <w:r w:rsidRPr="00F87355">
              <w:rPr>
                <w:b/>
                <w:bCs w:val="0"/>
                <w:szCs w:val="20"/>
                <w:lang w:val="en-US"/>
              </w:rPr>
              <w:t xml:space="preserve">Before matching + induction phase: </w:t>
            </w:r>
          </w:p>
          <w:p w14:paraId="40538654" w14:textId="529DF558" w:rsidR="00885C55" w:rsidRPr="00F87355" w:rsidRDefault="00885C55" w:rsidP="00885C55">
            <w:pPr>
              <w:pStyle w:val="TableText0"/>
              <w:rPr>
                <w:szCs w:val="20"/>
                <w:lang w:val="en-US"/>
              </w:rPr>
            </w:pPr>
            <w:r w:rsidRPr="00F87355">
              <w:rPr>
                <w:szCs w:val="20"/>
                <w:lang w:val="en-US"/>
              </w:rPr>
              <w:t>True North: OZA n = 429; PBO n = 216. ULTRA-2: ADA n = 248; PBO n = 246</w:t>
            </w:r>
          </w:p>
          <w:p w14:paraId="5F5510DE" w14:textId="77777777" w:rsidR="00885C55" w:rsidRPr="00F87355" w:rsidRDefault="00885C55" w:rsidP="00885C55">
            <w:pPr>
              <w:pStyle w:val="TableText0"/>
              <w:rPr>
                <w:szCs w:val="20"/>
                <w:lang w:val="en-US"/>
              </w:rPr>
            </w:pPr>
            <w:r w:rsidRPr="00F87355">
              <w:rPr>
                <w:b/>
                <w:bCs w:val="0"/>
                <w:szCs w:val="20"/>
                <w:lang w:val="en-US"/>
              </w:rPr>
              <w:t>After matching + induction phase:</w:t>
            </w:r>
          </w:p>
          <w:p w14:paraId="5D74F202" w14:textId="04D329FD" w:rsidR="00885C55" w:rsidRPr="00F87355" w:rsidRDefault="00885C55" w:rsidP="00885C55">
            <w:pPr>
              <w:pStyle w:val="TableText0"/>
              <w:rPr>
                <w:szCs w:val="20"/>
                <w:lang w:val="en-US"/>
              </w:rPr>
            </w:pPr>
            <w:r w:rsidRPr="00F87355">
              <w:rPr>
                <w:szCs w:val="20"/>
                <w:lang w:val="en-US"/>
              </w:rPr>
              <w:t>True North: OZA ESS n = 395; PBO ESS n = 193. ULTRA-2: ADA n = 248; PBO n = 246</w:t>
            </w:r>
          </w:p>
          <w:p w14:paraId="6A751D00" w14:textId="77777777" w:rsidR="00885C55" w:rsidRPr="00F87355" w:rsidRDefault="00885C55" w:rsidP="00885C55">
            <w:pPr>
              <w:pStyle w:val="TableText0"/>
              <w:rPr>
                <w:b/>
                <w:szCs w:val="20"/>
                <w:lang w:val="en-US"/>
              </w:rPr>
            </w:pPr>
            <w:r w:rsidRPr="00F87355">
              <w:rPr>
                <w:b/>
                <w:bCs w:val="0"/>
                <w:szCs w:val="20"/>
                <w:lang w:val="en-US"/>
              </w:rPr>
              <w:t>Before matching + maintenance phase</w:t>
            </w:r>
            <w:r w:rsidRPr="00F87355">
              <w:rPr>
                <w:bCs w:val="0"/>
                <w:szCs w:val="20"/>
                <w:lang w:val="en-US"/>
              </w:rPr>
              <w:t>:</w:t>
            </w:r>
          </w:p>
          <w:p w14:paraId="29E686E2" w14:textId="77777777" w:rsidR="00885C55" w:rsidRPr="00F87355" w:rsidRDefault="00885C55" w:rsidP="00885C55">
            <w:pPr>
              <w:pStyle w:val="TableText0"/>
              <w:rPr>
                <w:bCs w:val="0"/>
                <w:szCs w:val="20"/>
                <w:lang w:val="en-US"/>
              </w:rPr>
            </w:pPr>
            <w:r w:rsidRPr="00F87355">
              <w:rPr>
                <w:bCs w:val="0"/>
                <w:szCs w:val="20"/>
                <w:lang w:val="en-US"/>
              </w:rPr>
              <w:t>True North: OZA n = 230; PBO n = 227. ULTRA-2: ADA n = 125; PBO n = 85</w:t>
            </w:r>
          </w:p>
          <w:p w14:paraId="0BD14593" w14:textId="77777777" w:rsidR="00885C55" w:rsidRPr="00F87355" w:rsidRDefault="00885C55" w:rsidP="00885C55">
            <w:pPr>
              <w:pStyle w:val="TableText0"/>
              <w:rPr>
                <w:bCs w:val="0"/>
                <w:szCs w:val="20"/>
                <w:lang w:val="en-US"/>
              </w:rPr>
            </w:pPr>
            <w:r w:rsidRPr="00F87355">
              <w:rPr>
                <w:b/>
                <w:szCs w:val="20"/>
                <w:lang w:val="en-US"/>
              </w:rPr>
              <w:t>After matching + maintenance phase:</w:t>
            </w:r>
          </w:p>
          <w:p w14:paraId="36C5C8FF" w14:textId="7666D817" w:rsidR="00885C55" w:rsidRPr="00F87355" w:rsidRDefault="00885C55" w:rsidP="00885C55">
            <w:pPr>
              <w:pStyle w:val="TableText0"/>
              <w:rPr>
                <w:szCs w:val="20"/>
                <w:lang w:val="en-US"/>
              </w:rPr>
            </w:pPr>
            <w:r w:rsidRPr="00F87355">
              <w:rPr>
                <w:bCs w:val="0"/>
                <w:szCs w:val="20"/>
                <w:lang w:val="en-US"/>
              </w:rPr>
              <w:t>True North: OZA ESS n = 168; PBO ESS n = 165. ULTRA-2: ADA n = 125; PBO n = 85</w:t>
            </w:r>
          </w:p>
        </w:tc>
      </w:tr>
      <w:tr w:rsidR="00885C55" w:rsidRPr="00F87355" w14:paraId="7743E48D" w14:textId="77777777" w:rsidTr="00FA46D6">
        <w:tc>
          <w:tcPr>
            <w:tcW w:w="726" w:type="pct"/>
            <w:shd w:val="clear" w:color="auto" w:fill="auto"/>
            <w:vAlign w:val="center"/>
          </w:tcPr>
          <w:p w14:paraId="638CF269" w14:textId="1255F701" w:rsidR="00885C55" w:rsidRPr="00F87355" w:rsidRDefault="00885C55" w:rsidP="00885C55">
            <w:pPr>
              <w:pStyle w:val="TableText0"/>
              <w:rPr>
                <w:szCs w:val="20"/>
                <w:lang w:val="en-US"/>
              </w:rPr>
            </w:pPr>
            <w:r w:rsidRPr="00F87355">
              <w:rPr>
                <w:szCs w:val="20"/>
                <w:lang w:val="en-US"/>
              </w:rPr>
              <w:t>NMA</w:t>
            </w:r>
          </w:p>
        </w:tc>
        <w:tc>
          <w:tcPr>
            <w:tcW w:w="4274" w:type="pct"/>
            <w:gridSpan w:val="6"/>
            <w:shd w:val="clear" w:color="auto" w:fill="auto"/>
            <w:vAlign w:val="center"/>
          </w:tcPr>
          <w:p w14:paraId="4806BC98" w14:textId="704CD362" w:rsidR="00885C55" w:rsidRPr="00F87355" w:rsidRDefault="00885C55" w:rsidP="00885C55">
            <w:pPr>
              <w:pStyle w:val="TableText0"/>
              <w:rPr>
                <w:i/>
                <w:iCs/>
                <w:szCs w:val="20"/>
                <w:lang w:val="en-US"/>
              </w:rPr>
            </w:pPr>
            <w:r w:rsidRPr="00F87355">
              <w:rPr>
                <w:szCs w:val="20"/>
                <w:lang w:val="en-US"/>
              </w:rPr>
              <w:t xml:space="preserve">A systematic literature review was undertaken to identify RCTs of targeted therapies for MSUC and assessed using the PRISMA framework, with the search undertaken in October 2020. Bayesian NMAs with random or fixed effects models were performed for all analyses. The NMA identified relevant trials for one S1P inhibitor (OZA), three TNF-α inhibitors (ADA, GOL, IFX), one α4β7 integrin inhibitor (VDZ), one interleukin 12/23 inhibitor (UST) and one Janus kinase inhibitor (TOF). </w:t>
            </w:r>
          </w:p>
          <w:p w14:paraId="77C0C8DF" w14:textId="77777777" w:rsidR="00303708" w:rsidRPr="00F87355" w:rsidRDefault="00303708" w:rsidP="00885C55">
            <w:pPr>
              <w:pStyle w:val="TableText0"/>
              <w:rPr>
                <w:i/>
                <w:iCs/>
                <w:szCs w:val="20"/>
                <w:lang w:val="en-US"/>
              </w:rPr>
            </w:pPr>
          </w:p>
          <w:p w14:paraId="298C113A" w14:textId="77777777" w:rsidR="00885C55" w:rsidRPr="00F87355" w:rsidRDefault="00885C55" w:rsidP="00885C55">
            <w:pPr>
              <w:pStyle w:val="TableText0"/>
              <w:rPr>
                <w:szCs w:val="20"/>
                <w:lang w:val="en-US"/>
              </w:rPr>
            </w:pPr>
            <w:r w:rsidRPr="00F87355">
              <w:rPr>
                <w:b/>
                <w:bCs w:val="0"/>
                <w:szCs w:val="20"/>
                <w:lang w:val="en-US"/>
              </w:rPr>
              <w:t xml:space="preserve">Induction phase included studies: </w:t>
            </w:r>
            <w:r w:rsidRPr="00F87355">
              <w:rPr>
                <w:szCs w:val="20"/>
                <w:lang w:val="en-US"/>
              </w:rPr>
              <w:t>OZA = True North, Touchstone. ADA = ULTRA-1, ULTRA-2, Suzuki 2014</w:t>
            </w:r>
          </w:p>
          <w:p w14:paraId="1565A3A6" w14:textId="03B5725B" w:rsidR="00885C55" w:rsidRPr="00F87355" w:rsidRDefault="00885C55" w:rsidP="00885C55">
            <w:pPr>
              <w:pStyle w:val="TableText0"/>
              <w:rPr>
                <w:szCs w:val="20"/>
                <w:lang w:val="en-US"/>
              </w:rPr>
            </w:pPr>
            <w:r w:rsidRPr="00F87355">
              <w:rPr>
                <w:b/>
                <w:bCs w:val="0"/>
                <w:szCs w:val="20"/>
                <w:lang w:val="en-US"/>
              </w:rPr>
              <w:t>Maintenance phase included studies:</w:t>
            </w:r>
            <w:r w:rsidRPr="00F87355">
              <w:rPr>
                <w:szCs w:val="20"/>
                <w:lang w:val="en-US"/>
              </w:rPr>
              <w:t xml:space="preserve"> OZA = True North. ADA = ULTRA-2, Suzuki 2014</w:t>
            </w:r>
          </w:p>
        </w:tc>
      </w:tr>
    </w:tbl>
    <w:p w14:paraId="63E115BA" w14:textId="333AABFB" w:rsidR="00B60939" w:rsidRDefault="00045017" w:rsidP="000A7402">
      <w:pPr>
        <w:pStyle w:val="FooterTableFigure"/>
        <w:spacing w:after="0"/>
      </w:pPr>
      <w:r>
        <w:t xml:space="preserve">Source: </w:t>
      </w:r>
      <w:r w:rsidR="004C20CD">
        <w:t>Compiled during the evaluation based on Table 3, OZA March 2022 PSD (OZA trials) and Table 3.3, Attachment 2 of the submission (NMA Technical Report).</w:t>
      </w:r>
      <w:r w:rsidR="00CE006A">
        <w:t xml:space="preserve"> Risk of bias classifications for trials previously seen by the PBAC extracted from Table 3, OZA March 2022 PSD (OZA trials)</w:t>
      </w:r>
      <w:r w:rsidR="00885C55">
        <w:t xml:space="preserve"> and</w:t>
      </w:r>
      <w:r w:rsidR="00CE006A">
        <w:t xml:space="preserve"> Table 4, TOF November 2020 PSD (ADA trials).</w:t>
      </w:r>
      <w:r w:rsidR="00FA46D6">
        <w:t xml:space="preserve"> </w:t>
      </w:r>
    </w:p>
    <w:p w14:paraId="3B4F727B" w14:textId="29A02A0B" w:rsidR="00885C55" w:rsidRDefault="00B716DE" w:rsidP="00885C55">
      <w:pPr>
        <w:pStyle w:val="TableFigureFooter"/>
        <w:rPr>
          <w:lang w:eastAsia="en-US"/>
        </w:rPr>
      </w:pPr>
      <w:r w:rsidRPr="00B716DE">
        <w:t xml:space="preserve">ADA = adalimumab; GOL = golimumab; IFX = infliximab; OZA = ozanimod; PBO = placebo; TOF = tofacitinib; UST = </w:t>
      </w:r>
      <w:proofErr w:type="spellStart"/>
      <w:r w:rsidRPr="00B716DE">
        <w:t>ustekinumab</w:t>
      </w:r>
      <w:proofErr w:type="spellEnd"/>
      <w:r w:rsidRPr="00B716DE">
        <w:t xml:space="preserve">; VDZ = vedolizumab; DB = double blind; ESS = estimated sample size; IP = induction phase; IPO = induction phase only study; MAIC = matching-adjusted indirect comparison; MC = multi-centre; MD = multi-dose; MP = maintenance phase; MSUC = moderate to severe ulcerative colitis; NMA = network meta-analysis; OL = open label; OS = overall survival; P2 = Phase 2; P3 = Phase 3; PFS = progression-free survival; PRISMA = Preferred Reporting Items for Systematic Reviews and Meta-analyses; R = randomised; RCT = randomised controlled trial; RMP = re-randomised/randomised withdrawal maintenance phase; S1P = sphingosine-1 phosphate; TMP = treat-through maintenance phase; TNF-α = </w:t>
      </w:r>
      <w:proofErr w:type="spellStart"/>
      <w:r w:rsidRPr="00B716DE">
        <w:t>tumor</w:t>
      </w:r>
      <w:proofErr w:type="spellEnd"/>
      <w:r w:rsidRPr="00B716DE">
        <w:t xml:space="preserve"> necrosis factor alfa; </w:t>
      </w:r>
      <w:proofErr w:type="spellStart"/>
      <w:r w:rsidRPr="00B716DE">
        <w:t>TNFi</w:t>
      </w:r>
      <w:proofErr w:type="spellEnd"/>
      <w:r w:rsidRPr="00B716DE">
        <w:t xml:space="preserve">-n = </w:t>
      </w:r>
      <w:proofErr w:type="spellStart"/>
      <w:r w:rsidRPr="00B716DE">
        <w:t>tumor</w:t>
      </w:r>
      <w:proofErr w:type="spellEnd"/>
      <w:r w:rsidRPr="00B716DE">
        <w:t xml:space="preserve"> necrosis factor alfa-naïve; </w:t>
      </w:r>
      <w:proofErr w:type="spellStart"/>
      <w:r w:rsidRPr="00B716DE">
        <w:t>TNFi</w:t>
      </w:r>
      <w:proofErr w:type="spellEnd"/>
      <w:r w:rsidRPr="00B716DE">
        <w:t xml:space="preserve">-e = </w:t>
      </w:r>
      <w:proofErr w:type="spellStart"/>
      <w:r w:rsidRPr="00B716DE">
        <w:t>tumor</w:t>
      </w:r>
      <w:proofErr w:type="spellEnd"/>
      <w:r w:rsidRPr="00B716DE">
        <w:t xml:space="preserve"> necrosis factor alfa-experienced;</w:t>
      </w:r>
      <w:r w:rsidR="00FB2630">
        <w:t xml:space="preserve">. </w:t>
      </w:r>
      <w:r w:rsidR="00885C55" w:rsidRPr="002D4988">
        <w:rPr>
          <w:shd w:val="clear" w:color="auto" w:fill="DBE5F1" w:themeFill="accent1" w:themeFillTint="33"/>
          <w:lang w:eastAsia="en-US"/>
        </w:rPr>
        <w:t>Shaded</w:t>
      </w:r>
      <w:r w:rsidR="00885C55" w:rsidRPr="002D4988">
        <w:rPr>
          <w:lang w:eastAsia="en-US"/>
        </w:rPr>
        <w:t xml:space="preserve"> areas indicate data previously seen by the PBAC.</w:t>
      </w:r>
    </w:p>
    <w:p w14:paraId="07C1864F" w14:textId="2D879FD1" w:rsidR="00B920C4" w:rsidRPr="006D2741" w:rsidRDefault="00B920C4" w:rsidP="00510597">
      <w:pPr>
        <w:pStyle w:val="3-BodyText"/>
        <w:rPr>
          <w:color w:val="000000" w:themeColor="text1"/>
        </w:rPr>
      </w:pPr>
      <w:bookmarkStart w:id="19" w:name="_Ref124780083"/>
      <w:r w:rsidRPr="006D2741">
        <w:rPr>
          <w:color w:val="000000" w:themeColor="text1"/>
        </w:rPr>
        <w:lastRenderedPageBreak/>
        <w:t>Of the relevant ADA trials, only ULTRA</w:t>
      </w:r>
      <w:r w:rsidR="00BA55AC" w:rsidRPr="006D2741">
        <w:rPr>
          <w:color w:val="000000" w:themeColor="text1"/>
        </w:rPr>
        <w:t xml:space="preserve"> </w:t>
      </w:r>
      <w:r w:rsidRPr="006D2741">
        <w:rPr>
          <w:color w:val="000000" w:themeColor="text1"/>
        </w:rPr>
        <w:t>2 included both</w:t>
      </w:r>
      <w:r w:rsidR="00E83C66" w:rsidRPr="006D2741">
        <w:rPr>
          <w:color w:val="000000" w:themeColor="text1"/>
        </w:rPr>
        <w:t xml:space="preserve"> anti-tumour</w:t>
      </w:r>
      <w:r w:rsidRPr="006D2741">
        <w:rPr>
          <w:color w:val="000000" w:themeColor="text1"/>
        </w:rPr>
        <w:t xml:space="preserve"> necrosis factor alfa (TNF-</w:t>
      </w:r>
      <w:r w:rsidRPr="006D2741">
        <w:rPr>
          <w:rFonts w:cstheme="minorHAnsi"/>
          <w:color w:val="000000" w:themeColor="text1"/>
        </w:rPr>
        <w:t>α</w:t>
      </w:r>
      <w:r w:rsidRPr="006D2741">
        <w:rPr>
          <w:color w:val="000000" w:themeColor="text1"/>
        </w:rPr>
        <w:t>)</w:t>
      </w:r>
      <w:r w:rsidR="00E83C66" w:rsidRPr="006D2741">
        <w:rPr>
          <w:color w:val="000000" w:themeColor="text1"/>
        </w:rPr>
        <w:t xml:space="preserve"> therapy</w:t>
      </w:r>
      <w:r w:rsidRPr="006D2741">
        <w:rPr>
          <w:color w:val="000000" w:themeColor="text1"/>
        </w:rPr>
        <w:t xml:space="preserve"> naïve and experienced patients and therefore was considered </w:t>
      </w:r>
      <w:r w:rsidR="00E83C66" w:rsidRPr="006D2741">
        <w:rPr>
          <w:color w:val="000000" w:themeColor="text1"/>
        </w:rPr>
        <w:t xml:space="preserve">a key trial </w:t>
      </w:r>
      <w:r w:rsidRPr="006D2741">
        <w:rPr>
          <w:color w:val="000000" w:themeColor="text1"/>
        </w:rPr>
        <w:t xml:space="preserve">for </w:t>
      </w:r>
      <w:r w:rsidR="00E83C66" w:rsidRPr="006D2741">
        <w:rPr>
          <w:color w:val="000000" w:themeColor="text1"/>
        </w:rPr>
        <w:t>the comparisons of OZA and ADA.</w:t>
      </w:r>
      <w:bookmarkEnd w:id="19"/>
    </w:p>
    <w:p w14:paraId="0EC972E4" w14:textId="14560333" w:rsidR="00B920C4" w:rsidRPr="006D2741" w:rsidRDefault="00B920C4" w:rsidP="00510597">
      <w:pPr>
        <w:pStyle w:val="3-BodyText"/>
        <w:rPr>
          <w:color w:val="000000" w:themeColor="text1"/>
        </w:rPr>
      </w:pPr>
      <w:r w:rsidRPr="006D2741">
        <w:rPr>
          <w:color w:val="000000" w:themeColor="text1"/>
        </w:rPr>
        <w:t xml:space="preserve">There are noteworthy differences between </w:t>
      </w:r>
      <w:r w:rsidR="00BA55AC" w:rsidRPr="006D2741">
        <w:rPr>
          <w:color w:val="000000" w:themeColor="text1"/>
        </w:rPr>
        <w:t>baseline characteristics of populations recruited</w:t>
      </w:r>
      <w:r w:rsidRPr="006D2741">
        <w:rPr>
          <w:color w:val="000000" w:themeColor="text1"/>
        </w:rPr>
        <w:t xml:space="preserve"> into</w:t>
      </w:r>
      <w:r w:rsidR="00BA55AC" w:rsidRPr="006D2741">
        <w:rPr>
          <w:color w:val="000000" w:themeColor="text1"/>
        </w:rPr>
        <w:t xml:space="preserve"> the True North (OZA) and ULTRA 2 (ADA) studies</w:t>
      </w:r>
      <w:r w:rsidR="00E83C66" w:rsidRPr="006D2741">
        <w:rPr>
          <w:color w:val="000000" w:themeColor="text1"/>
        </w:rPr>
        <w:t>. In particular, the population in the True North (OZA) trial had a lower proportion of patients with extensive colitis or pancolitis and a lower proportion of patients with prior anti TNF-</w:t>
      </w:r>
      <w:r w:rsidR="00E83C66" w:rsidRPr="006D2741">
        <w:rPr>
          <w:rFonts w:cstheme="minorHAnsi"/>
          <w:color w:val="000000" w:themeColor="text1"/>
        </w:rPr>
        <w:t>α</w:t>
      </w:r>
      <w:r w:rsidR="00E83C66" w:rsidRPr="006D2741">
        <w:rPr>
          <w:color w:val="000000" w:themeColor="text1"/>
        </w:rPr>
        <w:t xml:space="preserve"> therapy use than ULTRA 2 study</w:t>
      </w:r>
      <w:r w:rsidR="00BA55AC" w:rsidRPr="006D2741">
        <w:rPr>
          <w:rStyle w:val="FootnoteReference"/>
          <w:color w:val="000000" w:themeColor="text1"/>
        </w:rPr>
        <w:footnoteReference w:id="1"/>
      </w:r>
      <w:r w:rsidR="00B855B3" w:rsidRPr="006D2741">
        <w:rPr>
          <w:color w:val="000000" w:themeColor="text1"/>
        </w:rPr>
        <w:t>.</w:t>
      </w:r>
    </w:p>
    <w:p w14:paraId="02D552FA" w14:textId="03D2E090" w:rsidR="008964A8" w:rsidRPr="006D2741" w:rsidRDefault="008964A8" w:rsidP="008964A8">
      <w:pPr>
        <w:pStyle w:val="3-BodyText"/>
        <w:rPr>
          <w:color w:val="000000" w:themeColor="text1"/>
        </w:rPr>
      </w:pPr>
      <w:bookmarkStart w:id="20" w:name="_Ref113451743"/>
      <w:bookmarkStart w:id="21" w:name="_Ref113459567"/>
      <w:r w:rsidRPr="006D2741">
        <w:rPr>
          <w:color w:val="000000" w:themeColor="text1"/>
        </w:rPr>
        <w:t>There may also be other differences in the design</w:t>
      </w:r>
      <w:r w:rsidR="009E031F" w:rsidRPr="006D2741">
        <w:rPr>
          <w:color w:val="000000" w:themeColor="text1"/>
        </w:rPr>
        <w:t>,</w:t>
      </w:r>
      <w:r w:rsidRPr="006D2741">
        <w:rPr>
          <w:color w:val="000000" w:themeColor="text1"/>
        </w:rPr>
        <w:t xml:space="preserve"> conduct and/or recruited populations in the OZA and ADA trials which were not or cannot be adjusted for in the MAIC. The MAIC matched patients on characteristics of age, sex (male), baseline total Mayo score, extensive colitis/pancolitis status and prior anti-TNF therapy use. However, after matching, the point estimates for most OZA outcomes did not substantially change and there remained noteworthy differences in the absolute clinical remission, clinical response and endoscopic improvement outcomes for </w:t>
      </w:r>
      <w:r w:rsidR="009E031F" w:rsidRPr="006D2741">
        <w:rPr>
          <w:color w:val="000000" w:themeColor="text1"/>
        </w:rPr>
        <w:t xml:space="preserve">the </w:t>
      </w:r>
      <w:r w:rsidRPr="006D2741">
        <w:rPr>
          <w:color w:val="000000" w:themeColor="text1"/>
        </w:rPr>
        <w:t xml:space="preserve">intervention and placebo arms between the OZA and ADA studies (see </w:t>
      </w:r>
      <w:r w:rsidRPr="006D2741">
        <w:rPr>
          <w:color w:val="000000" w:themeColor="text1"/>
        </w:rPr>
        <w:fldChar w:fldCharType="begin"/>
      </w:r>
      <w:r w:rsidRPr="006D2741">
        <w:rPr>
          <w:color w:val="000000" w:themeColor="text1"/>
        </w:rPr>
        <w:instrText xml:space="preserve"> REF _Ref113451488 \h </w:instrText>
      </w:r>
      <w:r w:rsidR="006D2741">
        <w:rPr>
          <w:color w:val="000000" w:themeColor="text1"/>
        </w:rPr>
        <w:instrText xml:space="preserve"> \* MERGEFORMAT </w:instrText>
      </w:r>
      <w:r w:rsidRPr="006D2741">
        <w:rPr>
          <w:color w:val="000000" w:themeColor="text1"/>
        </w:rPr>
      </w:r>
      <w:r w:rsidRPr="006D2741">
        <w:rPr>
          <w:color w:val="000000" w:themeColor="text1"/>
        </w:rPr>
        <w:fldChar w:fldCharType="separate"/>
      </w:r>
      <w:r w:rsidR="00340AC7">
        <w:t xml:space="preserve">Figure </w:t>
      </w:r>
      <w:r w:rsidR="00340AC7">
        <w:rPr>
          <w:noProof/>
        </w:rPr>
        <w:t>1</w:t>
      </w:r>
      <w:r w:rsidRPr="006D2741">
        <w:rPr>
          <w:color w:val="000000" w:themeColor="text1"/>
        </w:rPr>
        <w:fldChar w:fldCharType="end"/>
      </w:r>
      <w:r w:rsidRPr="006D2741">
        <w:rPr>
          <w:color w:val="000000" w:themeColor="text1"/>
        </w:rPr>
        <w:t xml:space="preserve"> below) for the overall population analyses. This may indicate differences in </w:t>
      </w:r>
      <w:r w:rsidR="009E031F" w:rsidRPr="006D2741">
        <w:rPr>
          <w:color w:val="000000" w:themeColor="text1"/>
        </w:rPr>
        <w:t>additional</w:t>
      </w:r>
      <w:r w:rsidRPr="006D2741">
        <w:rPr>
          <w:color w:val="000000" w:themeColor="text1"/>
        </w:rPr>
        <w:t xml:space="preserve"> (known or unknown) variable</w:t>
      </w:r>
      <w:r w:rsidR="009E031F" w:rsidRPr="006D2741">
        <w:rPr>
          <w:color w:val="000000" w:themeColor="text1"/>
        </w:rPr>
        <w:t>s</w:t>
      </w:r>
      <w:r w:rsidRPr="006D2741">
        <w:rPr>
          <w:color w:val="000000" w:themeColor="text1"/>
        </w:rPr>
        <w:t xml:space="preserve"> or differences in assessment of the outcomes which either have not or cannot be adjusted for in the MAIC.</w:t>
      </w:r>
      <w:bookmarkEnd w:id="20"/>
      <w:r w:rsidRPr="006D2741">
        <w:rPr>
          <w:color w:val="000000" w:themeColor="text1"/>
        </w:rPr>
        <w:t xml:space="preserve"> </w:t>
      </w:r>
      <w:r w:rsidR="00372B89" w:rsidRPr="00D061FD">
        <w:rPr>
          <w:color w:val="000000" w:themeColor="text1"/>
        </w:rPr>
        <w:t>Overall, the</w:t>
      </w:r>
      <w:r w:rsidR="003443A6" w:rsidRPr="00D061FD">
        <w:rPr>
          <w:color w:val="000000" w:themeColor="text1"/>
        </w:rPr>
        <w:t xml:space="preserve"> evaluation considered these </w:t>
      </w:r>
      <w:r w:rsidR="00372B89" w:rsidRPr="00D061FD">
        <w:rPr>
          <w:color w:val="000000" w:themeColor="text1"/>
        </w:rPr>
        <w:t xml:space="preserve">transitivity issues </w:t>
      </w:r>
      <w:r w:rsidR="00492354" w:rsidRPr="00D061FD">
        <w:rPr>
          <w:color w:val="000000" w:themeColor="text1"/>
        </w:rPr>
        <w:t xml:space="preserve">may </w:t>
      </w:r>
      <w:r w:rsidR="00372B89" w:rsidRPr="00D061FD">
        <w:rPr>
          <w:color w:val="000000" w:themeColor="text1"/>
        </w:rPr>
        <w:t>impact the reliability of all comparisons in the submission.</w:t>
      </w:r>
      <w:bookmarkEnd w:id="21"/>
      <w:r w:rsidR="003443A6" w:rsidRPr="00D061FD">
        <w:rPr>
          <w:color w:val="000000" w:themeColor="text1"/>
        </w:rPr>
        <w:t xml:space="preserve"> The ESC considered the design of the MAIC adjusted for variables which could reasonably be expected to be treatment effect modifiers and considered the methodology of the MAIC was likely to be reliable.</w:t>
      </w:r>
    </w:p>
    <w:p w14:paraId="64BCED7E" w14:textId="77777777" w:rsidR="00CE42B4" w:rsidRDefault="00CE42B4" w:rsidP="00CE42B4">
      <w:pPr>
        <w:pStyle w:val="3-BodyText"/>
        <w:numPr>
          <w:ilvl w:val="0"/>
          <w:numId w:val="0"/>
        </w:numPr>
        <w:ind w:left="720"/>
        <w:rPr>
          <w:i/>
          <w:iCs/>
          <w:color w:val="000000" w:themeColor="text1"/>
        </w:rPr>
      </w:pPr>
    </w:p>
    <w:p w14:paraId="73B59AA1" w14:textId="5D5D70CA" w:rsidR="00E10872" w:rsidRDefault="00E10872" w:rsidP="00CE42B4">
      <w:pPr>
        <w:pStyle w:val="3-BodyText"/>
        <w:numPr>
          <w:ilvl w:val="0"/>
          <w:numId w:val="0"/>
        </w:numPr>
        <w:ind w:left="720"/>
        <w:rPr>
          <w:i/>
          <w:iCs/>
          <w:color w:val="000000" w:themeColor="text1"/>
        </w:rPr>
        <w:sectPr w:rsidR="00E10872" w:rsidSect="00251006">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pPr>
    </w:p>
    <w:p w14:paraId="0AE0A926" w14:textId="68CECDC5" w:rsidR="00CE42B4" w:rsidRDefault="00CE42B4" w:rsidP="00CE42B4">
      <w:pPr>
        <w:pStyle w:val="Caption"/>
      </w:pPr>
      <w:bookmarkStart w:id="22" w:name="_Ref113451488"/>
      <w:bookmarkStart w:id="23" w:name="_Ref113451472"/>
      <w:r>
        <w:lastRenderedPageBreak/>
        <w:t xml:space="preserve">Figure </w:t>
      </w:r>
      <w:fldSimple w:instr=" SEQ Figure \* ARABIC ">
        <w:r w:rsidR="00340AC7">
          <w:rPr>
            <w:noProof/>
          </w:rPr>
          <w:t>1</w:t>
        </w:r>
      </w:fldSimple>
      <w:bookmarkEnd w:id="22"/>
      <w:r>
        <w:t>: Induction phase efficacy comparison among the overall population</w:t>
      </w:r>
      <w:bookmarkEnd w:id="23"/>
    </w:p>
    <w:p w14:paraId="6F3D12E8" w14:textId="77777777" w:rsidR="00CE42B4" w:rsidRDefault="00CE42B4" w:rsidP="00CE42B4">
      <w:r>
        <w:rPr>
          <w:noProof/>
        </w:rPr>
        <w:drawing>
          <wp:inline distT="0" distB="0" distL="0" distR="0" wp14:anchorId="6BD115E9" wp14:editId="50A58804">
            <wp:extent cx="8229600" cy="3404870"/>
            <wp:effectExtent l="0" t="0" r="0" b="5080"/>
            <wp:docPr id="138" name="Picture 138" descr="Figure 1: Induction phase efficacy comparison among the overall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138" descr="Figure 1: Induction phase efficacy comparison among the overall population"/>
                    <pic:cNvPicPr/>
                  </pic:nvPicPr>
                  <pic:blipFill>
                    <a:blip r:embed="rId14"/>
                    <a:stretch>
                      <a:fillRect/>
                    </a:stretch>
                  </pic:blipFill>
                  <pic:spPr>
                    <a:xfrm>
                      <a:off x="0" y="0"/>
                      <a:ext cx="8229600" cy="3404870"/>
                    </a:xfrm>
                    <a:prstGeom prst="rect">
                      <a:avLst/>
                    </a:prstGeom>
                  </pic:spPr>
                </pic:pic>
              </a:graphicData>
            </a:graphic>
          </wp:inline>
        </w:drawing>
      </w:r>
    </w:p>
    <w:p w14:paraId="05A6797C" w14:textId="642CE596" w:rsidR="00CE42B4" w:rsidRPr="007916F9" w:rsidRDefault="00CE42B4" w:rsidP="00CE42B4">
      <w:pPr>
        <w:rPr>
          <w:rFonts w:ascii="Arial Narrow" w:hAnsi="Arial Narrow"/>
          <w:sz w:val="18"/>
          <w:szCs w:val="18"/>
        </w:rPr>
      </w:pPr>
      <w:r w:rsidRPr="007916F9">
        <w:rPr>
          <w:rFonts w:ascii="Arial Narrow" w:hAnsi="Arial Narrow"/>
          <w:sz w:val="18"/>
          <w:szCs w:val="18"/>
        </w:rPr>
        <w:t>Source: Figure 7, pg. 44 of Attachment 1 to the submission MAIC OZA vs ADA Study Report March 2021.docx</w:t>
      </w:r>
    </w:p>
    <w:p w14:paraId="3BCE138F" w14:textId="4B48326E" w:rsidR="00CE42B4" w:rsidRPr="007916F9" w:rsidRDefault="00CE42B4" w:rsidP="00CE42B4">
      <w:pPr>
        <w:rPr>
          <w:rFonts w:ascii="Arial Narrow" w:hAnsi="Arial Narrow"/>
          <w:sz w:val="18"/>
          <w:szCs w:val="18"/>
        </w:rPr>
      </w:pPr>
      <w:r w:rsidRPr="007916F9">
        <w:rPr>
          <w:rFonts w:ascii="Arial Narrow" w:hAnsi="Arial Narrow"/>
          <w:sz w:val="18"/>
          <w:szCs w:val="18"/>
        </w:rPr>
        <w:t>Patients were matched on Age, Male, Baseline total Mayo score, Extensive colitis (or pancolitis), Prior anti-TNF use.</w:t>
      </w:r>
    </w:p>
    <w:p w14:paraId="1A8EF1D6" w14:textId="18FA1252" w:rsidR="00CE42B4" w:rsidRDefault="00CE42B4" w:rsidP="00CE42B4">
      <w:pPr>
        <w:pStyle w:val="3-BodyText"/>
        <w:numPr>
          <w:ilvl w:val="0"/>
          <w:numId w:val="0"/>
        </w:numPr>
        <w:ind w:left="720"/>
        <w:rPr>
          <w:i/>
          <w:iCs/>
          <w:color w:val="000000" w:themeColor="text1"/>
        </w:rPr>
      </w:pPr>
    </w:p>
    <w:p w14:paraId="21DE21B2" w14:textId="77777777" w:rsidR="00CE42B4" w:rsidRDefault="00CE42B4" w:rsidP="00CE42B4">
      <w:pPr>
        <w:pStyle w:val="3-BodyText"/>
        <w:numPr>
          <w:ilvl w:val="0"/>
          <w:numId w:val="0"/>
        </w:numPr>
        <w:ind w:left="720"/>
        <w:rPr>
          <w:i/>
          <w:iCs/>
          <w:color w:val="000000" w:themeColor="text1"/>
        </w:rPr>
      </w:pPr>
    </w:p>
    <w:p w14:paraId="210CEF42" w14:textId="084388A7" w:rsidR="00CE42B4" w:rsidRDefault="00CE42B4" w:rsidP="00CE42B4">
      <w:pPr>
        <w:pStyle w:val="3-BodyText"/>
        <w:numPr>
          <w:ilvl w:val="0"/>
          <w:numId w:val="0"/>
        </w:numPr>
        <w:ind w:left="720"/>
        <w:rPr>
          <w:i/>
          <w:iCs/>
          <w:color w:val="000000" w:themeColor="text1"/>
        </w:rPr>
        <w:sectPr w:rsidR="00CE42B4" w:rsidSect="009A127C">
          <w:pgSz w:w="16840" w:h="11907" w:orient="landscape" w:code="9"/>
          <w:pgMar w:top="1440" w:right="1440" w:bottom="1440" w:left="1440" w:header="1440" w:footer="1440" w:gutter="0"/>
          <w:cols w:space="708"/>
          <w:docGrid w:linePitch="360"/>
        </w:sectPr>
      </w:pPr>
    </w:p>
    <w:p w14:paraId="5E37F3C3" w14:textId="0014BB67" w:rsidR="00510597" w:rsidRPr="005002BC" w:rsidRDefault="00510597" w:rsidP="00510597">
      <w:pPr>
        <w:pStyle w:val="3-BodyText"/>
        <w:rPr>
          <w:color w:val="000000" w:themeColor="text1"/>
        </w:rPr>
      </w:pPr>
      <w:r w:rsidRPr="005002BC">
        <w:rPr>
          <w:color w:val="000000" w:themeColor="text1"/>
        </w:rPr>
        <w:lastRenderedPageBreak/>
        <w:t xml:space="preserve">The following design </w:t>
      </w:r>
      <w:r w:rsidR="005F27CE">
        <w:rPr>
          <w:color w:val="000000" w:themeColor="text1"/>
        </w:rPr>
        <w:t>aspects of the</w:t>
      </w:r>
      <w:r w:rsidRPr="005002BC">
        <w:rPr>
          <w:color w:val="000000" w:themeColor="text1"/>
        </w:rPr>
        <w:t xml:space="preserve"> MAIC are</w:t>
      </w:r>
      <w:r w:rsidR="00335B91">
        <w:rPr>
          <w:color w:val="000000" w:themeColor="text1"/>
        </w:rPr>
        <w:t xml:space="preserve"> also</w:t>
      </w:r>
      <w:r w:rsidRPr="005002BC">
        <w:rPr>
          <w:color w:val="000000" w:themeColor="text1"/>
        </w:rPr>
        <w:t xml:space="preserve"> noteworthy:</w:t>
      </w:r>
    </w:p>
    <w:p w14:paraId="1A0CA05E" w14:textId="74C884D9" w:rsidR="005002BC" w:rsidRPr="00303708" w:rsidRDefault="005002BC" w:rsidP="00AA3CF7">
      <w:pPr>
        <w:pStyle w:val="3-BodyText"/>
        <w:numPr>
          <w:ilvl w:val="0"/>
          <w:numId w:val="10"/>
        </w:numPr>
        <w:ind w:left="1134"/>
        <w:rPr>
          <w:color w:val="000000" w:themeColor="text1"/>
        </w:rPr>
      </w:pPr>
      <w:r w:rsidRPr="00303708">
        <w:rPr>
          <w:color w:val="000000" w:themeColor="text1"/>
        </w:rPr>
        <w:t xml:space="preserve">A propensity score model was used to assign statistical weights to True North patients based on potential prognostic factors or treatment effect modifiers, including age, sex, baseline total Mayo Score, extent of disease and prior anti-TNF therapy. </w:t>
      </w:r>
    </w:p>
    <w:p w14:paraId="221DA72F" w14:textId="6735E7DB" w:rsidR="000A3188" w:rsidRPr="00303708" w:rsidRDefault="00937742" w:rsidP="00AA3CF7">
      <w:pPr>
        <w:pStyle w:val="3-BodyText"/>
        <w:numPr>
          <w:ilvl w:val="0"/>
          <w:numId w:val="10"/>
        </w:numPr>
        <w:ind w:left="1134"/>
        <w:rPr>
          <w:color w:val="000000" w:themeColor="text1"/>
        </w:rPr>
      </w:pPr>
      <w:r w:rsidRPr="00303708">
        <w:rPr>
          <w:color w:val="000000" w:themeColor="text1"/>
        </w:rPr>
        <w:t>For maintenance phase comparisons,</w:t>
      </w:r>
      <w:r w:rsidR="00A04C82" w:rsidRPr="00303708">
        <w:rPr>
          <w:color w:val="000000" w:themeColor="text1"/>
        </w:rPr>
        <w:t xml:space="preserve"> further adjustments</w:t>
      </w:r>
      <w:r w:rsidRPr="00303708">
        <w:rPr>
          <w:color w:val="000000" w:themeColor="text1"/>
        </w:rPr>
        <w:t xml:space="preserve"> were made to the results of the ULTRA-2 study</w:t>
      </w:r>
      <w:r w:rsidR="00A04C82" w:rsidRPr="00303708">
        <w:rPr>
          <w:color w:val="000000" w:themeColor="text1"/>
        </w:rPr>
        <w:t xml:space="preserve"> to estimate the outcomes if the study had a re-randomised design. This was done by including only data from patients in ULTRA 2 who achieved a primary endpoint of clinical response at week 8 in the maintenance population (prior to matching).</w:t>
      </w:r>
    </w:p>
    <w:p w14:paraId="0863E311" w14:textId="79C74D50" w:rsidR="000A3188" w:rsidRPr="005002BC" w:rsidRDefault="000A3188" w:rsidP="000A3188">
      <w:pPr>
        <w:pStyle w:val="3-BodyText"/>
        <w:rPr>
          <w:color w:val="000000" w:themeColor="text1"/>
        </w:rPr>
      </w:pPr>
      <w:r w:rsidRPr="005002BC">
        <w:rPr>
          <w:color w:val="000000" w:themeColor="text1"/>
        </w:rPr>
        <w:t xml:space="preserve">The following design </w:t>
      </w:r>
      <w:r w:rsidR="005F27CE">
        <w:rPr>
          <w:color w:val="000000" w:themeColor="text1"/>
        </w:rPr>
        <w:t>aspects of the</w:t>
      </w:r>
      <w:r w:rsidRPr="005002BC">
        <w:rPr>
          <w:color w:val="000000" w:themeColor="text1"/>
        </w:rPr>
        <w:t xml:space="preserve"> NMA are noteworthy:</w:t>
      </w:r>
    </w:p>
    <w:p w14:paraId="58F08793" w14:textId="05BE78E3" w:rsidR="005002BC" w:rsidRPr="00303708" w:rsidRDefault="000A3188" w:rsidP="00AA3CF7">
      <w:pPr>
        <w:pStyle w:val="3-BodyText"/>
        <w:numPr>
          <w:ilvl w:val="0"/>
          <w:numId w:val="10"/>
        </w:numPr>
        <w:ind w:left="1134"/>
        <w:rPr>
          <w:color w:val="000000" w:themeColor="text1"/>
        </w:rPr>
      </w:pPr>
      <w:r w:rsidRPr="00303708">
        <w:rPr>
          <w:color w:val="000000" w:themeColor="text1"/>
        </w:rPr>
        <w:t xml:space="preserve">Adjustments were made to </w:t>
      </w:r>
      <w:r w:rsidR="009E031F">
        <w:rPr>
          <w:color w:val="000000" w:themeColor="text1"/>
        </w:rPr>
        <w:t xml:space="preserve">the </w:t>
      </w:r>
      <w:r w:rsidRPr="00303708">
        <w:rPr>
          <w:color w:val="000000" w:themeColor="text1"/>
        </w:rPr>
        <w:t xml:space="preserve">maintenance results in studies with a treat-through trial design to better align with what would be </w:t>
      </w:r>
      <w:r w:rsidR="009E031F">
        <w:rPr>
          <w:color w:val="000000" w:themeColor="text1"/>
        </w:rPr>
        <w:t>expect</w:t>
      </w:r>
      <w:r w:rsidR="007916F9">
        <w:rPr>
          <w:color w:val="000000" w:themeColor="text1"/>
        </w:rPr>
        <w:t>ed</w:t>
      </w:r>
      <w:r w:rsidR="009E031F">
        <w:rPr>
          <w:color w:val="000000" w:themeColor="text1"/>
        </w:rPr>
        <w:t xml:space="preserve"> to be </w:t>
      </w:r>
      <w:r w:rsidRPr="00303708">
        <w:rPr>
          <w:color w:val="000000" w:themeColor="text1"/>
        </w:rPr>
        <w:t xml:space="preserve">observed in a re-randomised trial of similar design. </w:t>
      </w:r>
    </w:p>
    <w:p w14:paraId="65AD2786" w14:textId="55D532E7" w:rsidR="000A3188" w:rsidRPr="00303708" w:rsidRDefault="000A3188" w:rsidP="00AA3CF7">
      <w:pPr>
        <w:pStyle w:val="3-BodyText"/>
        <w:numPr>
          <w:ilvl w:val="0"/>
          <w:numId w:val="10"/>
        </w:numPr>
        <w:ind w:left="1134"/>
        <w:rPr>
          <w:color w:val="000000" w:themeColor="text1"/>
        </w:rPr>
      </w:pPr>
      <w:r w:rsidRPr="00303708">
        <w:rPr>
          <w:color w:val="000000" w:themeColor="text1"/>
        </w:rPr>
        <w:t>F</w:t>
      </w:r>
      <w:r w:rsidR="00B514A1">
        <w:rPr>
          <w:color w:val="000000" w:themeColor="text1"/>
        </w:rPr>
        <w:t xml:space="preserve">or the ULTRA-2 study, </w:t>
      </w:r>
      <w:r w:rsidR="004671D1" w:rsidRPr="00303708">
        <w:rPr>
          <w:color w:val="000000" w:themeColor="text1"/>
        </w:rPr>
        <w:t>the NMA authors noted</w:t>
      </w:r>
      <w:r w:rsidRPr="00303708">
        <w:rPr>
          <w:color w:val="000000" w:themeColor="text1"/>
        </w:rPr>
        <w:t xml:space="preserve"> </w:t>
      </w:r>
      <w:r w:rsidR="00C3385B" w:rsidRPr="00303708">
        <w:rPr>
          <w:color w:val="000000" w:themeColor="text1"/>
        </w:rPr>
        <w:t xml:space="preserve">sustained clinical response and clinical remission among induction responders for all treatment arms in all populations were reported in </w:t>
      </w:r>
      <w:r w:rsidR="008736C8" w:rsidRPr="00303708">
        <w:rPr>
          <w:color w:val="000000" w:themeColor="text1"/>
        </w:rPr>
        <w:t>a</w:t>
      </w:r>
      <w:r w:rsidR="00C3385B" w:rsidRPr="00303708">
        <w:rPr>
          <w:color w:val="000000" w:themeColor="text1"/>
        </w:rPr>
        <w:t xml:space="preserve"> recent ICER UC evidence report from manufacturer-provided data and could be directly inputted into the TT</w:t>
      </w:r>
      <w:r w:rsidR="004671D1" w:rsidRPr="00303708">
        <w:rPr>
          <w:color w:val="000000" w:themeColor="text1"/>
        </w:rPr>
        <w:t xml:space="preserve"> [treat-through]</w:t>
      </w:r>
      <w:r w:rsidR="00C3385B" w:rsidRPr="00303708">
        <w:rPr>
          <w:color w:val="000000" w:themeColor="text1"/>
        </w:rPr>
        <w:t xml:space="preserve"> to RR</w:t>
      </w:r>
      <w:r w:rsidR="004671D1" w:rsidRPr="00303708">
        <w:rPr>
          <w:color w:val="000000" w:themeColor="text1"/>
        </w:rPr>
        <w:t xml:space="preserve"> [re-randomised]</w:t>
      </w:r>
      <w:r w:rsidR="00C3385B" w:rsidRPr="00303708">
        <w:rPr>
          <w:color w:val="000000" w:themeColor="text1"/>
        </w:rPr>
        <w:t xml:space="preserve"> NMAs</w:t>
      </w:r>
      <w:r w:rsidR="008736C8" w:rsidRPr="00303708">
        <w:rPr>
          <w:rStyle w:val="FootnoteReference"/>
          <w:color w:val="000000" w:themeColor="text1"/>
        </w:rPr>
        <w:footnoteReference w:id="2"/>
      </w:r>
      <w:r w:rsidR="00C3385B" w:rsidRPr="00303708">
        <w:rPr>
          <w:color w:val="000000" w:themeColor="text1"/>
        </w:rPr>
        <w:t xml:space="preserve">. </w:t>
      </w:r>
    </w:p>
    <w:p w14:paraId="0BD18D48" w14:textId="4834E451" w:rsidR="008736C8" w:rsidRPr="00B514A1" w:rsidRDefault="00C3385B" w:rsidP="00AA3CF7">
      <w:pPr>
        <w:pStyle w:val="3-BodyText"/>
        <w:numPr>
          <w:ilvl w:val="0"/>
          <w:numId w:val="10"/>
        </w:numPr>
        <w:ind w:left="1134"/>
        <w:rPr>
          <w:color w:val="000000" w:themeColor="text1"/>
        </w:rPr>
      </w:pPr>
      <w:r w:rsidRPr="00B514A1">
        <w:rPr>
          <w:color w:val="000000" w:themeColor="text1"/>
        </w:rPr>
        <w:t xml:space="preserve">For Suzuki 2014, data were unavailable for sustained clinical responders and those in clinical remission among induction responders for the placebo arm. To impute the sustained clinical responder data, </w:t>
      </w:r>
      <w:r w:rsidR="009A127C">
        <w:rPr>
          <w:color w:val="000000" w:themeColor="text1"/>
        </w:rPr>
        <w:t>data from the</w:t>
      </w:r>
      <w:r w:rsidRPr="00B514A1">
        <w:rPr>
          <w:color w:val="000000" w:themeColor="text1"/>
        </w:rPr>
        <w:t xml:space="preserve"> biologic-naïve placebo arm of ULTRA 2</w:t>
      </w:r>
      <w:r w:rsidR="00F50844">
        <w:rPr>
          <w:color w:val="000000" w:themeColor="text1"/>
        </w:rPr>
        <w:t xml:space="preserve"> maintenance phase</w:t>
      </w:r>
      <w:r w:rsidR="002234EF">
        <w:rPr>
          <w:color w:val="000000" w:themeColor="text1"/>
        </w:rPr>
        <w:t xml:space="preserve"> was used</w:t>
      </w:r>
      <w:r w:rsidR="00F50844">
        <w:rPr>
          <w:color w:val="000000" w:themeColor="text1"/>
        </w:rPr>
        <w:t xml:space="preserve"> to inform the adjustments.</w:t>
      </w:r>
      <w:r w:rsidRPr="00B514A1">
        <w:rPr>
          <w:color w:val="000000" w:themeColor="text1"/>
        </w:rPr>
        <w:t xml:space="preserve"> </w:t>
      </w:r>
    </w:p>
    <w:p w14:paraId="4A4FE085" w14:textId="4B9D6EC5" w:rsidR="00B60939" w:rsidRDefault="00B60939" w:rsidP="00EC5836">
      <w:pPr>
        <w:pStyle w:val="4-SubsectionHeading"/>
      </w:pPr>
      <w:bookmarkStart w:id="24" w:name="_Toc22897641"/>
      <w:bookmarkStart w:id="25" w:name="_Toc113964280"/>
      <w:r w:rsidRPr="00C9624D">
        <w:t>Comparative effectiveness</w:t>
      </w:r>
      <w:bookmarkEnd w:id="24"/>
      <w:bookmarkEnd w:id="25"/>
    </w:p>
    <w:p w14:paraId="0A77444C" w14:textId="4A153A4F" w:rsidR="00FF1084" w:rsidRDefault="00FF1084" w:rsidP="00FF1084">
      <w:pPr>
        <w:pStyle w:val="5-SubsectionSubheading"/>
      </w:pPr>
      <w:bookmarkStart w:id="26" w:name="_Toc113964281"/>
      <w:r>
        <w:t>Unadjusted indirect comparison</w:t>
      </w:r>
      <w:bookmarkEnd w:id="26"/>
    </w:p>
    <w:p w14:paraId="066BF495" w14:textId="1A20484C" w:rsidR="00AB5288" w:rsidRDefault="00FF1084" w:rsidP="00AB5288">
      <w:pPr>
        <w:pStyle w:val="3-BodyText"/>
      </w:pPr>
      <w:r>
        <w:t xml:space="preserve">The submission re-presented the results of the unadjusted indirect comparisons (using the Bucher method) from the March 2022 submission. </w:t>
      </w:r>
      <w:r w:rsidR="00AB5288">
        <w:t xml:space="preserve">The results for the outcome of clinical response </w:t>
      </w:r>
      <w:r w:rsidR="00805309">
        <w:t>and clinical remission in induction</w:t>
      </w:r>
      <w:r w:rsidR="00AB5288">
        <w:t xml:space="preserve"> therapy provided in the </w:t>
      </w:r>
      <w:r w:rsidR="00805309">
        <w:t xml:space="preserve">original </w:t>
      </w:r>
      <w:r w:rsidR="00AB5288">
        <w:t>submission are presented in the table below.</w:t>
      </w:r>
    </w:p>
    <w:p w14:paraId="1F6F0769" w14:textId="43DBE325" w:rsidR="00805309" w:rsidRDefault="00805309" w:rsidP="00805309">
      <w:pPr>
        <w:pStyle w:val="Caption"/>
      </w:pPr>
      <w:r>
        <w:lastRenderedPageBreak/>
        <w:t xml:space="preserve">Table </w:t>
      </w:r>
      <w:fldSimple w:instr=" SEQ Table \* ARABIC ">
        <w:r w:rsidR="00340AC7">
          <w:rPr>
            <w:noProof/>
          </w:rPr>
          <w:t>4</w:t>
        </w:r>
      </w:fldSimple>
      <w:r w:rsidRPr="00DA3550">
        <w:t>: Results of the indirect comparison for OZA vs. ADA from the March 2022 submission (re-presented)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634"/>
        <w:gridCol w:w="1634"/>
        <w:gridCol w:w="1637"/>
        <w:gridCol w:w="2842"/>
      </w:tblGrid>
      <w:tr w:rsidR="00AB5288" w:rsidRPr="00DE2537" w14:paraId="2E123086" w14:textId="77777777" w:rsidTr="00F87355">
        <w:tc>
          <w:tcPr>
            <w:tcW w:w="704" w:type="pct"/>
            <w:shd w:val="clear" w:color="auto" w:fill="BFBFBF" w:themeFill="background1" w:themeFillShade="BF"/>
          </w:tcPr>
          <w:p w14:paraId="018E5B41" w14:textId="77777777" w:rsidR="00AB5288" w:rsidRPr="00DE2537" w:rsidRDefault="00AB5288" w:rsidP="00616652">
            <w:pPr>
              <w:pStyle w:val="TableText0"/>
              <w:rPr>
                <w:b/>
                <w:bCs w:val="0"/>
              </w:rPr>
            </w:pPr>
            <w:r w:rsidRPr="00DE2537">
              <w:rPr>
                <w:b/>
              </w:rPr>
              <w:t>Trial</w:t>
            </w:r>
          </w:p>
        </w:tc>
        <w:tc>
          <w:tcPr>
            <w:tcW w:w="906" w:type="pct"/>
            <w:shd w:val="clear" w:color="auto" w:fill="BFBFBF" w:themeFill="background1" w:themeFillShade="BF"/>
          </w:tcPr>
          <w:p w14:paraId="4D4F7380" w14:textId="77777777" w:rsidR="00AB5288" w:rsidRPr="00DE2537" w:rsidRDefault="00AB5288" w:rsidP="00616652">
            <w:pPr>
              <w:pStyle w:val="TableText0"/>
              <w:rPr>
                <w:b/>
                <w:bCs w:val="0"/>
              </w:rPr>
            </w:pPr>
            <w:r w:rsidRPr="00DE2537">
              <w:rPr>
                <w:b/>
              </w:rPr>
              <w:t>OZA events</w:t>
            </w:r>
          </w:p>
          <w:p w14:paraId="7C0ED9C0" w14:textId="77777777" w:rsidR="00AB5288" w:rsidRPr="00DE2537" w:rsidRDefault="00AB5288" w:rsidP="00616652">
            <w:pPr>
              <w:pStyle w:val="TableText0"/>
              <w:rPr>
                <w:b/>
                <w:bCs w:val="0"/>
              </w:rPr>
            </w:pPr>
            <w:r w:rsidRPr="00DE2537">
              <w:rPr>
                <w:b/>
              </w:rPr>
              <w:t>n/N (%)</w:t>
            </w:r>
          </w:p>
        </w:tc>
        <w:tc>
          <w:tcPr>
            <w:tcW w:w="906" w:type="pct"/>
            <w:shd w:val="clear" w:color="auto" w:fill="BFBFBF" w:themeFill="background1" w:themeFillShade="BF"/>
          </w:tcPr>
          <w:p w14:paraId="7364DE58" w14:textId="77777777" w:rsidR="00AB5288" w:rsidRPr="00DE2537" w:rsidRDefault="00AB5288" w:rsidP="00616652">
            <w:pPr>
              <w:pStyle w:val="TableText0"/>
              <w:rPr>
                <w:b/>
                <w:bCs w:val="0"/>
              </w:rPr>
            </w:pPr>
            <w:r w:rsidRPr="00DE2537">
              <w:rPr>
                <w:b/>
              </w:rPr>
              <w:t>Placebo events</w:t>
            </w:r>
          </w:p>
          <w:p w14:paraId="7FB2D57E" w14:textId="77777777" w:rsidR="00AB5288" w:rsidRPr="00DE2537" w:rsidRDefault="00AB5288" w:rsidP="00616652">
            <w:pPr>
              <w:pStyle w:val="TableText0"/>
              <w:rPr>
                <w:b/>
                <w:bCs w:val="0"/>
              </w:rPr>
            </w:pPr>
            <w:r w:rsidRPr="00DE2537">
              <w:rPr>
                <w:b/>
              </w:rPr>
              <w:t>n/N (%)</w:t>
            </w:r>
          </w:p>
        </w:tc>
        <w:tc>
          <w:tcPr>
            <w:tcW w:w="908" w:type="pct"/>
            <w:shd w:val="clear" w:color="auto" w:fill="BFBFBF" w:themeFill="background1" w:themeFillShade="BF"/>
          </w:tcPr>
          <w:p w14:paraId="0AB548F9" w14:textId="7983CC05" w:rsidR="00AB5288" w:rsidRPr="00DE2537" w:rsidRDefault="00EF7780" w:rsidP="00616652">
            <w:pPr>
              <w:pStyle w:val="TableText0"/>
              <w:rPr>
                <w:b/>
                <w:bCs w:val="0"/>
              </w:rPr>
            </w:pPr>
            <w:r>
              <w:rPr>
                <w:b/>
              </w:rPr>
              <w:t xml:space="preserve">ADA </w:t>
            </w:r>
            <w:r w:rsidR="00AB5288" w:rsidRPr="00DE2537">
              <w:rPr>
                <w:b/>
              </w:rPr>
              <w:t>events</w:t>
            </w:r>
          </w:p>
          <w:p w14:paraId="67BD3838" w14:textId="77777777" w:rsidR="00AB5288" w:rsidRPr="00DE2537" w:rsidRDefault="00AB5288" w:rsidP="00616652">
            <w:pPr>
              <w:pStyle w:val="TableText0"/>
              <w:rPr>
                <w:b/>
                <w:bCs w:val="0"/>
              </w:rPr>
            </w:pPr>
            <w:r w:rsidRPr="00DE2537">
              <w:rPr>
                <w:b/>
              </w:rPr>
              <w:t>n/N (%)</w:t>
            </w:r>
          </w:p>
        </w:tc>
        <w:tc>
          <w:tcPr>
            <w:tcW w:w="1576" w:type="pct"/>
            <w:shd w:val="clear" w:color="auto" w:fill="BFBFBF" w:themeFill="background1" w:themeFillShade="BF"/>
          </w:tcPr>
          <w:p w14:paraId="6122AC49" w14:textId="77777777" w:rsidR="00AB5288" w:rsidRPr="00DE2537" w:rsidRDefault="00AB5288" w:rsidP="00616652">
            <w:pPr>
              <w:pStyle w:val="TableText0"/>
              <w:rPr>
                <w:b/>
                <w:bCs w:val="0"/>
              </w:rPr>
            </w:pPr>
            <w:r w:rsidRPr="00DE2537">
              <w:rPr>
                <w:b/>
              </w:rPr>
              <w:t>RR/RD</w:t>
            </w:r>
          </w:p>
          <w:p w14:paraId="0A385499" w14:textId="77777777" w:rsidR="00AB5288" w:rsidRPr="00DE2537" w:rsidRDefault="00AB5288" w:rsidP="00616652">
            <w:pPr>
              <w:pStyle w:val="TableText0"/>
              <w:rPr>
                <w:b/>
                <w:bCs w:val="0"/>
              </w:rPr>
            </w:pPr>
            <w:r w:rsidRPr="00DE2537">
              <w:rPr>
                <w:b/>
              </w:rPr>
              <w:t>(95% CI); p-value</w:t>
            </w:r>
          </w:p>
        </w:tc>
      </w:tr>
      <w:tr w:rsidR="00AB5288" w:rsidRPr="00DE2537" w14:paraId="40B601EC" w14:textId="77777777" w:rsidTr="00F87355">
        <w:tc>
          <w:tcPr>
            <w:tcW w:w="5000" w:type="pct"/>
            <w:gridSpan w:val="5"/>
            <w:shd w:val="clear" w:color="auto" w:fill="F2F2F2" w:themeFill="background1" w:themeFillShade="F2"/>
          </w:tcPr>
          <w:p w14:paraId="0ADC4E56" w14:textId="77777777" w:rsidR="00AB5288" w:rsidRPr="00DE2537" w:rsidRDefault="00AB5288" w:rsidP="00616652">
            <w:pPr>
              <w:pStyle w:val="TableText0"/>
              <w:rPr>
                <w:b/>
                <w:bCs w:val="0"/>
              </w:rPr>
            </w:pPr>
            <w:r w:rsidRPr="00DE2537">
              <w:rPr>
                <w:b/>
              </w:rPr>
              <w:t>Clinical response at Induction - ITT population</w:t>
            </w:r>
          </w:p>
        </w:tc>
      </w:tr>
      <w:tr w:rsidR="00AB5288" w:rsidRPr="00DE2537" w14:paraId="1B3D89BE" w14:textId="77777777" w:rsidTr="00F87355">
        <w:tc>
          <w:tcPr>
            <w:tcW w:w="704" w:type="pct"/>
          </w:tcPr>
          <w:p w14:paraId="21749BEB" w14:textId="77777777" w:rsidR="00AB5288" w:rsidRPr="00DE2537" w:rsidRDefault="00AB5288" w:rsidP="00616652">
            <w:pPr>
              <w:pStyle w:val="TableText0"/>
            </w:pPr>
            <w:r w:rsidRPr="00DE2537">
              <w:t>Pooled OZA</w:t>
            </w:r>
          </w:p>
        </w:tc>
        <w:tc>
          <w:tcPr>
            <w:tcW w:w="906" w:type="pct"/>
            <w:shd w:val="clear" w:color="auto" w:fill="DBE5F1" w:themeFill="accent1" w:themeFillTint="33"/>
          </w:tcPr>
          <w:p w14:paraId="118E5067" w14:textId="77777777" w:rsidR="00AB5288" w:rsidRPr="00DE2537" w:rsidRDefault="00AB5288" w:rsidP="00616652">
            <w:pPr>
              <w:pStyle w:val="TableText0"/>
              <w:jc w:val="center"/>
            </w:pPr>
            <w:r w:rsidRPr="00DE2537">
              <w:t>260/496 (52.4)</w:t>
            </w:r>
          </w:p>
        </w:tc>
        <w:tc>
          <w:tcPr>
            <w:tcW w:w="906" w:type="pct"/>
            <w:shd w:val="clear" w:color="auto" w:fill="DBE5F1" w:themeFill="accent1" w:themeFillTint="33"/>
          </w:tcPr>
          <w:p w14:paraId="1BAF4494" w14:textId="77777777" w:rsidR="00AB5288" w:rsidRPr="00DE2537" w:rsidRDefault="00AB5288" w:rsidP="00616652">
            <w:pPr>
              <w:pStyle w:val="TableText0"/>
              <w:jc w:val="center"/>
            </w:pPr>
            <w:r w:rsidRPr="00DE2537">
              <w:t>79/281 (28.1)</w:t>
            </w:r>
          </w:p>
        </w:tc>
        <w:tc>
          <w:tcPr>
            <w:tcW w:w="908" w:type="pct"/>
            <w:shd w:val="clear" w:color="auto" w:fill="DBE5F1" w:themeFill="accent1" w:themeFillTint="33"/>
          </w:tcPr>
          <w:p w14:paraId="2DE6AE58" w14:textId="32B81F13" w:rsidR="00AB5288" w:rsidRPr="00DE2537" w:rsidRDefault="00AB5288" w:rsidP="00616652">
            <w:pPr>
              <w:pStyle w:val="TableText0"/>
              <w:jc w:val="center"/>
            </w:pPr>
            <w:r w:rsidRPr="00DE2537">
              <w:t>N/</w:t>
            </w:r>
            <w:r w:rsidR="008A43B7">
              <w:t>a</w:t>
            </w:r>
          </w:p>
        </w:tc>
        <w:tc>
          <w:tcPr>
            <w:tcW w:w="1576" w:type="pct"/>
            <w:shd w:val="clear" w:color="auto" w:fill="DBE5F1" w:themeFill="accent1" w:themeFillTint="33"/>
          </w:tcPr>
          <w:p w14:paraId="05BB31E0" w14:textId="77777777" w:rsidR="00AB5288" w:rsidRPr="00DE2537" w:rsidRDefault="00AB5288" w:rsidP="00616652">
            <w:pPr>
              <w:pStyle w:val="TableText0"/>
              <w:jc w:val="center"/>
            </w:pPr>
            <w:r w:rsidRPr="00DE2537">
              <w:t>RR: 1.84 (1.41, 2.40); p&lt;0.00001</w:t>
            </w:r>
          </w:p>
          <w:p w14:paraId="797511EC" w14:textId="77777777" w:rsidR="00AB5288" w:rsidRPr="00DE2537" w:rsidRDefault="00AB5288" w:rsidP="00616652">
            <w:pPr>
              <w:pStyle w:val="TableText0"/>
              <w:jc w:val="center"/>
            </w:pPr>
            <w:r w:rsidRPr="00DE2537">
              <w:t>RD: 0.25 (0.18, 0.32); p&lt;0.00001</w:t>
            </w:r>
          </w:p>
        </w:tc>
      </w:tr>
      <w:tr w:rsidR="00AB5288" w:rsidRPr="00DE2537" w14:paraId="45F6947A" w14:textId="77777777" w:rsidTr="00F87355">
        <w:tc>
          <w:tcPr>
            <w:tcW w:w="704" w:type="pct"/>
          </w:tcPr>
          <w:p w14:paraId="22D9ED01" w14:textId="77777777" w:rsidR="00AB5288" w:rsidRPr="00DE2537" w:rsidRDefault="00AB5288" w:rsidP="00616652">
            <w:pPr>
              <w:pStyle w:val="TableText0"/>
            </w:pPr>
            <w:r w:rsidRPr="00DE2537">
              <w:t>Pooled ADA</w:t>
            </w:r>
          </w:p>
        </w:tc>
        <w:tc>
          <w:tcPr>
            <w:tcW w:w="906" w:type="pct"/>
            <w:shd w:val="clear" w:color="auto" w:fill="DBE5F1" w:themeFill="accent1" w:themeFillTint="33"/>
          </w:tcPr>
          <w:p w14:paraId="1D6614EF" w14:textId="77777777" w:rsidR="00AB5288" w:rsidRPr="00DE2537" w:rsidRDefault="00AB5288" w:rsidP="00616652">
            <w:pPr>
              <w:pStyle w:val="TableText0"/>
              <w:jc w:val="center"/>
            </w:pPr>
            <w:r w:rsidRPr="00DE2537">
              <w:t>N/a</w:t>
            </w:r>
          </w:p>
        </w:tc>
        <w:tc>
          <w:tcPr>
            <w:tcW w:w="906" w:type="pct"/>
            <w:shd w:val="clear" w:color="auto" w:fill="DBE5F1" w:themeFill="accent1" w:themeFillTint="33"/>
          </w:tcPr>
          <w:p w14:paraId="703DD8EE" w14:textId="77777777" w:rsidR="00AB5288" w:rsidRPr="00DE2537" w:rsidRDefault="00AB5288" w:rsidP="00616652">
            <w:pPr>
              <w:pStyle w:val="TableText0"/>
              <w:jc w:val="center"/>
            </w:pPr>
            <w:r w:rsidRPr="00DE2537">
              <w:t>177/472 (37.5)</w:t>
            </w:r>
          </w:p>
        </w:tc>
        <w:tc>
          <w:tcPr>
            <w:tcW w:w="908" w:type="pct"/>
            <w:shd w:val="clear" w:color="auto" w:fill="DBE5F1" w:themeFill="accent1" w:themeFillTint="33"/>
          </w:tcPr>
          <w:p w14:paraId="0FB826F0" w14:textId="77777777" w:rsidR="00AB5288" w:rsidRPr="00DE2537" w:rsidRDefault="00AB5288" w:rsidP="00616652">
            <w:pPr>
              <w:pStyle w:val="TableText0"/>
              <w:jc w:val="center"/>
            </w:pPr>
            <w:r w:rsidRPr="00DE2537">
              <w:t>241/468 (51.5)</w:t>
            </w:r>
          </w:p>
        </w:tc>
        <w:tc>
          <w:tcPr>
            <w:tcW w:w="1576" w:type="pct"/>
            <w:shd w:val="clear" w:color="auto" w:fill="DBE5F1" w:themeFill="accent1" w:themeFillTint="33"/>
          </w:tcPr>
          <w:p w14:paraId="26BA7E0F" w14:textId="77777777" w:rsidR="00AB5288" w:rsidRPr="00DE2537" w:rsidRDefault="00AB5288" w:rsidP="00616652">
            <w:pPr>
              <w:pStyle w:val="TableText0"/>
              <w:jc w:val="center"/>
            </w:pPr>
            <w:r w:rsidRPr="00DE2537">
              <w:t>RR: 1.36 (1.18, 1.58); p&lt;0.0001</w:t>
            </w:r>
          </w:p>
          <w:p w14:paraId="5B82DA1E" w14:textId="77777777" w:rsidR="00AB5288" w:rsidRPr="00DE2537" w:rsidRDefault="00AB5288" w:rsidP="00616652">
            <w:pPr>
              <w:pStyle w:val="TableText0"/>
              <w:jc w:val="center"/>
            </w:pPr>
            <w:r w:rsidRPr="00DE2537">
              <w:t>RD: 0.14 (0.08, 0.20); p&lt;0.0001</w:t>
            </w:r>
          </w:p>
        </w:tc>
      </w:tr>
      <w:tr w:rsidR="00AB5288" w:rsidRPr="00DE2537" w14:paraId="32E953A7" w14:textId="77777777" w:rsidTr="00F87355">
        <w:tc>
          <w:tcPr>
            <w:tcW w:w="3424" w:type="pct"/>
            <w:gridSpan w:val="4"/>
          </w:tcPr>
          <w:p w14:paraId="1FAAF586" w14:textId="77777777" w:rsidR="00AB5288" w:rsidRPr="00DE2537" w:rsidRDefault="00AB5288" w:rsidP="00616652">
            <w:pPr>
              <w:pStyle w:val="TableText0"/>
            </w:pPr>
            <w:r w:rsidRPr="00DE2537">
              <w:t>ITC of OZA vs. ADA (RR)</w:t>
            </w:r>
          </w:p>
        </w:tc>
        <w:tc>
          <w:tcPr>
            <w:tcW w:w="1576" w:type="pct"/>
            <w:shd w:val="clear" w:color="auto" w:fill="DBE5F1" w:themeFill="accent1" w:themeFillTint="33"/>
          </w:tcPr>
          <w:p w14:paraId="7C99CA0D" w14:textId="77777777" w:rsidR="00AB5288" w:rsidRPr="00DE2537" w:rsidRDefault="00AB5288" w:rsidP="00616652">
            <w:pPr>
              <w:pStyle w:val="TableText0"/>
              <w:jc w:val="center"/>
            </w:pPr>
            <w:r w:rsidRPr="00DE2537">
              <w:t>1.353 (0.999, 1.832); p=0.0508</w:t>
            </w:r>
          </w:p>
        </w:tc>
      </w:tr>
      <w:tr w:rsidR="00AB5288" w:rsidRPr="00DE2537" w14:paraId="5EE78C90" w14:textId="77777777" w:rsidTr="00F87355">
        <w:tc>
          <w:tcPr>
            <w:tcW w:w="3424" w:type="pct"/>
            <w:gridSpan w:val="4"/>
          </w:tcPr>
          <w:p w14:paraId="3C3AFC1E" w14:textId="77777777" w:rsidR="00AB5288" w:rsidRPr="00DE2537" w:rsidRDefault="00AB5288" w:rsidP="00616652">
            <w:pPr>
              <w:pStyle w:val="TableText0"/>
            </w:pPr>
            <w:r w:rsidRPr="00DE2537">
              <w:t>ITC of OZA vs. ADA (RD)</w:t>
            </w:r>
          </w:p>
        </w:tc>
        <w:tc>
          <w:tcPr>
            <w:tcW w:w="1576" w:type="pct"/>
            <w:shd w:val="clear" w:color="auto" w:fill="DBE5F1" w:themeFill="accent1" w:themeFillTint="33"/>
          </w:tcPr>
          <w:p w14:paraId="3DE6EB8E" w14:textId="77777777" w:rsidR="00AB5288" w:rsidRPr="00DE2537" w:rsidRDefault="00AB5288" w:rsidP="00616652">
            <w:pPr>
              <w:pStyle w:val="TableText0"/>
              <w:jc w:val="center"/>
              <w:rPr>
                <w:b/>
                <w:bCs w:val="0"/>
              </w:rPr>
            </w:pPr>
            <w:r w:rsidRPr="00DE2537">
              <w:rPr>
                <w:b/>
              </w:rPr>
              <w:t>0.11 (0.018, 0.202); p=0.0194</w:t>
            </w:r>
          </w:p>
        </w:tc>
      </w:tr>
      <w:tr w:rsidR="00805309" w:rsidRPr="00DE2537" w14:paraId="776DED3E" w14:textId="77777777" w:rsidTr="00F87355">
        <w:tc>
          <w:tcPr>
            <w:tcW w:w="5000" w:type="pct"/>
            <w:gridSpan w:val="5"/>
            <w:shd w:val="clear" w:color="auto" w:fill="F2F2F2" w:themeFill="background1" w:themeFillShade="F2"/>
          </w:tcPr>
          <w:p w14:paraId="19734D6C" w14:textId="4D0B79CB" w:rsidR="00805309" w:rsidRPr="00DE2537" w:rsidRDefault="00805309" w:rsidP="00BB2836">
            <w:pPr>
              <w:pStyle w:val="TableText0"/>
              <w:rPr>
                <w:b/>
                <w:bCs w:val="0"/>
              </w:rPr>
            </w:pPr>
            <w:r w:rsidRPr="00DE2537">
              <w:rPr>
                <w:b/>
              </w:rPr>
              <w:t>Clinical r</w:t>
            </w:r>
            <w:r>
              <w:rPr>
                <w:b/>
              </w:rPr>
              <w:t>emission</w:t>
            </w:r>
            <w:r w:rsidRPr="00DE2537">
              <w:rPr>
                <w:b/>
              </w:rPr>
              <w:t xml:space="preserve"> at Induction - ITT population</w:t>
            </w:r>
          </w:p>
        </w:tc>
      </w:tr>
      <w:tr w:rsidR="00805309" w:rsidRPr="00DE2537" w14:paraId="30AD0DC0" w14:textId="77777777" w:rsidTr="00F87355">
        <w:tc>
          <w:tcPr>
            <w:tcW w:w="704" w:type="pct"/>
          </w:tcPr>
          <w:p w14:paraId="4F334887" w14:textId="77AE82DB" w:rsidR="00805309" w:rsidRPr="00805309" w:rsidRDefault="00805309" w:rsidP="00805309">
            <w:pPr>
              <w:pStyle w:val="TableText0"/>
              <w:rPr>
                <w:szCs w:val="20"/>
              </w:rPr>
            </w:pPr>
            <w:r w:rsidRPr="00805309">
              <w:rPr>
                <w:rFonts w:eastAsiaTheme="minorHAnsi"/>
                <w:color w:val="000000" w:themeColor="text1"/>
                <w:szCs w:val="20"/>
              </w:rPr>
              <w:t>Pooled OZA</w:t>
            </w:r>
          </w:p>
        </w:tc>
        <w:tc>
          <w:tcPr>
            <w:tcW w:w="906" w:type="pct"/>
            <w:shd w:val="clear" w:color="auto" w:fill="DBE5F1" w:themeFill="accent1" w:themeFillTint="33"/>
          </w:tcPr>
          <w:p w14:paraId="7D72372F" w14:textId="1152065B" w:rsidR="00805309" w:rsidRPr="00805309" w:rsidRDefault="00805309" w:rsidP="00805309">
            <w:pPr>
              <w:pStyle w:val="TableText0"/>
              <w:jc w:val="center"/>
              <w:rPr>
                <w:szCs w:val="20"/>
              </w:rPr>
            </w:pPr>
            <w:r w:rsidRPr="00805309">
              <w:rPr>
                <w:rFonts w:eastAsiaTheme="minorHAnsi"/>
                <w:color w:val="000000" w:themeColor="text1"/>
                <w:szCs w:val="20"/>
              </w:rPr>
              <w:t>61/496 (12.3)</w:t>
            </w:r>
          </w:p>
        </w:tc>
        <w:tc>
          <w:tcPr>
            <w:tcW w:w="906" w:type="pct"/>
            <w:shd w:val="clear" w:color="auto" w:fill="DBE5F1" w:themeFill="accent1" w:themeFillTint="33"/>
          </w:tcPr>
          <w:p w14:paraId="21BC059B" w14:textId="7DFAD10F" w:rsidR="00805309" w:rsidRPr="00805309" w:rsidRDefault="00805309" w:rsidP="00805309">
            <w:pPr>
              <w:pStyle w:val="TableText0"/>
              <w:jc w:val="center"/>
              <w:rPr>
                <w:szCs w:val="20"/>
              </w:rPr>
            </w:pPr>
            <w:r w:rsidRPr="00805309">
              <w:rPr>
                <w:rFonts w:eastAsiaTheme="minorHAnsi"/>
                <w:color w:val="000000" w:themeColor="text1"/>
                <w:szCs w:val="20"/>
              </w:rPr>
              <w:t>14/281 (5.0)</w:t>
            </w:r>
          </w:p>
        </w:tc>
        <w:tc>
          <w:tcPr>
            <w:tcW w:w="908" w:type="pct"/>
            <w:shd w:val="clear" w:color="auto" w:fill="DBE5F1" w:themeFill="accent1" w:themeFillTint="33"/>
          </w:tcPr>
          <w:p w14:paraId="452FC4C7" w14:textId="383F14AD" w:rsidR="00805309" w:rsidRPr="00805309" w:rsidRDefault="00805309" w:rsidP="00805309">
            <w:pPr>
              <w:pStyle w:val="TableText0"/>
              <w:jc w:val="center"/>
              <w:rPr>
                <w:szCs w:val="20"/>
              </w:rPr>
            </w:pPr>
            <w:r w:rsidRPr="00805309">
              <w:rPr>
                <w:rFonts w:eastAsiaTheme="minorHAnsi"/>
                <w:color w:val="000000" w:themeColor="text1"/>
                <w:szCs w:val="20"/>
              </w:rPr>
              <w:t>N/a</w:t>
            </w:r>
          </w:p>
        </w:tc>
        <w:tc>
          <w:tcPr>
            <w:tcW w:w="1576" w:type="pct"/>
            <w:shd w:val="clear" w:color="auto" w:fill="DBE5F1" w:themeFill="accent1" w:themeFillTint="33"/>
            <w:vAlign w:val="center"/>
          </w:tcPr>
          <w:p w14:paraId="5D625C58" w14:textId="77777777" w:rsidR="00805309" w:rsidRPr="00805309" w:rsidRDefault="00805309" w:rsidP="00805309">
            <w:pPr>
              <w:jc w:val="center"/>
              <w:rPr>
                <w:rFonts w:ascii="Arial Narrow" w:hAnsi="Arial Narrow"/>
                <w:bCs/>
                <w:color w:val="000000" w:themeColor="text1"/>
                <w:sz w:val="20"/>
                <w:szCs w:val="20"/>
              </w:rPr>
            </w:pPr>
            <w:r w:rsidRPr="00805309">
              <w:rPr>
                <w:rFonts w:ascii="Arial Narrow" w:hAnsi="Arial Narrow"/>
                <w:bCs/>
                <w:color w:val="000000" w:themeColor="text1"/>
                <w:sz w:val="20"/>
                <w:szCs w:val="20"/>
              </w:rPr>
              <w:t>RR: 2.56 (1.45, 4.50); p&lt;0.001</w:t>
            </w:r>
          </w:p>
          <w:p w14:paraId="2323D4F2" w14:textId="217D9581" w:rsidR="00805309" w:rsidRPr="00805309" w:rsidRDefault="00805309" w:rsidP="00805309">
            <w:pPr>
              <w:pStyle w:val="TableText0"/>
              <w:jc w:val="center"/>
              <w:rPr>
                <w:szCs w:val="20"/>
              </w:rPr>
            </w:pPr>
            <w:r w:rsidRPr="00805309">
              <w:rPr>
                <w:rFonts w:eastAsiaTheme="minorHAnsi"/>
                <w:color w:val="000000" w:themeColor="text1"/>
                <w:szCs w:val="20"/>
              </w:rPr>
              <w:t>RD: 0.07 (0.04, 0.11); p&lt;0.0001</w:t>
            </w:r>
          </w:p>
        </w:tc>
      </w:tr>
      <w:tr w:rsidR="00805309" w:rsidRPr="00DE2537" w14:paraId="2F83A94A" w14:textId="77777777" w:rsidTr="00F87355">
        <w:tc>
          <w:tcPr>
            <w:tcW w:w="704" w:type="pct"/>
            <w:vAlign w:val="center"/>
          </w:tcPr>
          <w:p w14:paraId="79F53D50" w14:textId="781A3522" w:rsidR="00805309" w:rsidRPr="00805309" w:rsidRDefault="00805309" w:rsidP="00805309">
            <w:pPr>
              <w:pStyle w:val="TableText0"/>
              <w:jc w:val="center"/>
              <w:rPr>
                <w:szCs w:val="20"/>
              </w:rPr>
            </w:pPr>
            <w:r w:rsidRPr="00805309">
              <w:rPr>
                <w:rFonts w:eastAsiaTheme="minorHAnsi"/>
                <w:color w:val="000000" w:themeColor="text1"/>
                <w:szCs w:val="20"/>
              </w:rPr>
              <w:t>Pooled ADA</w:t>
            </w:r>
          </w:p>
        </w:tc>
        <w:tc>
          <w:tcPr>
            <w:tcW w:w="906" w:type="pct"/>
            <w:shd w:val="clear" w:color="auto" w:fill="DBE5F1" w:themeFill="accent1" w:themeFillTint="33"/>
            <w:vAlign w:val="center"/>
          </w:tcPr>
          <w:p w14:paraId="503E199A" w14:textId="50B47170" w:rsidR="00805309" w:rsidRPr="00805309" w:rsidRDefault="00805309" w:rsidP="00805309">
            <w:pPr>
              <w:pStyle w:val="TableText0"/>
              <w:jc w:val="center"/>
              <w:rPr>
                <w:szCs w:val="20"/>
              </w:rPr>
            </w:pPr>
            <w:r w:rsidRPr="00805309">
              <w:rPr>
                <w:rFonts w:eastAsiaTheme="minorHAnsi"/>
                <w:color w:val="000000" w:themeColor="text1"/>
                <w:szCs w:val="20"/>
              </w:rPr>
              <w:t>N/a</w:t>
            </w:r>
          </w:p>
        </w:tc>
        <w:tc>
          <w:tcPr>
            <w:tcW w:w="906" w:type="pct"/>
            <w:shd w:val="clear" w:color="auto" w:fill="DBE5F1" w:themeFill="accent1" w:themeFillTint="33"/>
            <w:vAlign w:val="center"/>
          </w:tcPr>
          <w:p w14:paraId="79690661" w14:textId="3D97D066" w:rsidR="00805309" w:rsidRPr="00805309" w:rsidRDefault="00805309" w:rsidP="00805309">
            <w:pPr>
              <w:pStyle w:val="TableText0"/>
              <w:jc w:val="center"/>
              <w:rPr>
                <w:szCs w:val="20"/>
              </w:rPr>
            </w:pPr>
            <w:r w:rsidRPr="00805309">
              <w:rPr>
                <w:rFonts w:eastAsiaTheme="minorHAnsi"/>
                <w:color w:val="000000" w:themeColor="text1"/>
                <w:szCs w:val="20"/>
              </w:rPr>
              <w:t>46/472 (9.7)</w:t>
            </w:r>
          </w:p>
        </w:tc>
        <w:tc>
          <w:tcPr>
            <w:tcW w:w="908" w:type="pct"/>
            <w:shd w:val="clear" w:color="auto" w:fill="DBE5F1" w:themeFill="accent1" w:themeFillTint="33"/>
            <w:vAlign w:val="center"/>
          </w:tcPr>
          <w:p w14:paraId="4D26A47C" w14:textId="4152B715" w:rsidR="00805309" w:rsidRPr="00805309" w:rsidRDefault="00805309" w:rsidP="00805309">
            <w:pPr>
              <w:pStyle w:val="TableText0"/>
              <w:jc w:val="center"/>
              <w:rPr>
                <w:szCs w:val="20"/>
              </w:rPr>
            </w:pPr>
            <w:r w:rsidRPr="00805309">
              <w:rPr>
                <w:rFonts w:eastAsiaTheme="minorHAnsi"/>
                <w:color w:val="000000" w:themeColor="text1"/>
                <w:szCs w:val="20"/>
              </w:rPr>
              <w:t>74/468 (15.8)</w:t>
            </w:r>
          </w:p>
        </w:tc>
        <w:tc>
          <w:tcPr>
            <w:tcW w:w="1576" w:type="pct"/>
            <w:shd w:val="clear" w:color="auto" w:fill="DBE5F1" w:themeFill="accent1" w:themeFillTint="33"/>
            <w:vAlign w:val="center"/>
          </w:tcPr>
          <w:p w14:paraId="30CFE20E" w14:textId="77777777" w:rsidR="00805309" w:rsidRPr="00805309" w:rsidRDefault="00805309" w:rsidP="00805309">
            <w:pPr>
              <w:jc w:val="center"/>
              <w:rPr>
                <w:rFonts w:ascii="Arial Narrow" w:hAnsi="Arial Narrow"/>
                <w:bCs/>
                <w:color w:val="000000" w:themeColor="text1"/>
                <w:sz w:val="20"/>
                <w:szCs w:val="20"/>
              </w:rPr>
            </w:pPr>
            <w:r w:rsidRPr="00805309">
              <w:rPr>
                <w:rFonts w:ascii="Arial Narrow" w:hAnsi="Arial Narrow"/>
                <w:bCs/>
                <w:color w:val="000000" w:themeColor="text1"/>
                <w:sz w:val="20"/>
                <w:szCs w:val="20"/>
              </w:rPr>
              <w:t>RR: 1.58 (1.05, 2.40); p=0.03</w:t>
            </w:r>
          </w:p>
          <w:p w14:paraId="15671B01" w14:textId="32200881" w:rsidR="00805309" w:rsidRPr="00805309" w:rsidRDefault="00805309" w:rsidP="00805309">
            <w:pPr>
              <w:pStyle w:val="TableText0"/>
              <w:jc w:val="center"/>
              <w:rPr>
                <w:szCs w:val="20"/>
              </w:rPr>
            </w:pPr>
            <w:r w:rsidRPr="00805309">
              <w:rPr>
                <w:rFonts w:eastAsiaTheme="minorHAnsi"/>
                <w:color w:val="000000" w:themeColor="text1"/>
                <w:szCs w:val="20"/>
              </w:rPr>
              <w:t>RD: 0.05 (-0.00, 0.11); p=0.06</w:t>
            </w:r>
          </w:p>
        </w:tc>
      </w:tr>
      <w:tr w:rsidR="00805309" w:rsidRPr="00DE2537" w14:paraId="70A66103" w14:textId="77777777" w:rsidTr="00F87355">
        <w:tc>
          <w:tcPr>
            <w:tcW w:w="3424" w:type="pct"/>
            <w:gridSpan w:val="4"/>
          </w:tcPr>
          <w:p w14:paraId="69025100" w14:textId="587A2B6A" w:rsidR="00805309" w:rsidRPr="00805309" w:rsidRDefault="00805309" w:rsidP="00805309">
            <w:pPr>
              <w:pStyle w:val="TableText0"/>
              <w:rPr>
                <w:szCs w:val="20"/>
              </w:rPr>
            </w:pPr>
            <w:r w:rsidRPr="00805309">
              <w:rPr>
                <w:rFonts w:eastAsiaTheme="minorHAnsi"/>
                <w:color w:val="000000" w:themeColor="text1"/>
                <w:szCs w:val="20"/>
              </w:rPr>
              <w:t>ITC of OZA vs. ADA (RR)</w:t>
            </w:r>
          </w:p>
        </w:tc>
        <w:tc>
          <w:tcPr>
            <w:tcW w:w="1576" w:type="pct"/>
            <w:shd w:val="clear" w:color="auto" w:fill="DBE5F1" w:themeFill="accent1" w:themeFillTint="33"/>
          </w:tcPr>
          <w:p w14:paraId="18EA5407" w14:textId="797E9B95" w:rsidR="00805309" w:rsidRPr="00805309" w:rsidRDefault="00805309" w:rsidP="00805309">
            <w:pPr>
              <w:pStyle w:val="TableText0"/>
              <w:jc w:val="center"/>
              <w:rPr>
                <w:szCs w:val="20"/>
              </w:rPr>
            </w:pPr>
            <w:r w:rsidRPr="00805309">
              <w:rPr>
                <w:rFonts w:eastAsiaTheme="minorHAnsi"/>
                <w:color w:val="000000" w:themeColor="text1"/>
                <w:szCs w:val="20"/>
              </w:rPr>
              <w:t>1.62 (0.804, 3.266); p=0.1773</w:t>
            </w:r>
          </w:p>
        </w:tc>
      </w:tr>
      <w:tr w:rsidR="00805309" w:rsidRPr="00DE2537" w14:paraId="370F960A" w14:textId="77777777" w:rsidTr="00F87355">
        <w:tc>
          <w:tcPr>
            <w:tcW w:w="3424" w:type="pct"/>
            <w:gridSpan w:val="4"/>
          </w:tcPr>
          <w:p w14:paraId="39E4B371" w14:textId="3879F767" w:rsidR="00805309" w:rsidRPr="00805309" w:rsidRDefault="00805309" w:rsidP="00805309">
            <w:pPr>
              <w:pStyle w:val="TableText0"/>
              <w:rPr>
                <w:szCs w:val="20"/>
              </w:rPr>
            </w:pPr>
            <w:r w:rsidRPr="00805309">
              <w:rPr>
                <w:rFonts w:eastAsiaTheme="minorHAnsi"/>
                <w:color w:val="000000" w:themeColor="text1"/>
                <w:szCs w:val="20"/>
              </w:rPr>
              <w:t>ITC of OZA vs. ADA (RD)</w:t>
            </w:r>
          </w:p>
        </w:tc>
        <w:tc>
          <w:tcPr>
            <w:tcW w:w="1576" w:type="pct"/>
            <w:shd w:val="clear" w:color="auto" w:fill="DBE5F1" w:themeFill="accent1" w:themeFillTint="33"/>
          </w:tcPr>
          <w:p w14:paraId="15C4B990" w14:textId="4F99B474" w:rsidR="00805309" w:rsidRPr="00805309" w:rsidRDefault="00805309" w:rsidP="00805309">
            <w:pPr>
              <w:pStyle w:val="TableText0"/>
              <w:jc w:val="center"/>
              <w:rPr>
                <w:b/>
                <w:bCs w:val="0"/>
                <w:szCs w:val="20"/>
              </w:rPr>
            </w:pPr>
            <w:r w:rsidRPr="00805309">
              <w:rPr>
                <w:rFonts w:eastAsiaTheme="minorHAnsi"/>
                <w:color w:val="000000" w:themeColor="text1"/>
                <w:szCs w:val="20"/>
              </w:rPr>
              <w:t>0.02 (-0.045, 0.085); p=0.5476</w:t>
            </w:r>
          </w:p>
        </w:tc>
      </w:tr>
    </w:tbl>
    <w:p w14:paraId="2897DBF8" w14:textId="1AC2EDC4" w:rsidR="00AB5288" w:rsidRPr="007916F9" w:rsidRDefault="00AB5288" w:rsidP="00AB5288">
      <w:pPr>
        <w:pStyle w:val="TableText0"/>
        <w:rPr>
          <w:sz w:val="18"/>
          <w:szCs w:val="18"/>
        </w:rPr>
      </w:pPr>
      <w:r w:rsidRPr="007916F9">
        <w:rPr>
          <w:sz w:val="18"/>
          <w:szCs w:val="18"/>
        </w:rPr>
        <w:t>Source: OZA March 2022 PBAC Submission Table 146 p. 212 &amp; Table 1</w:t>
      </w:r>
      <w:r w:rsidR="00805309" w:rsidRPr="007916F9">
        <w:rPr>
          <w:sz w:val="18"/>
          <w:szCs w:val="18"/>
        </w:rPr>
        <w:t>47</w:t>
      </w:r>
      <w:r w:rsidRPr="007916F9">
        <w:rPr>
          <w:sz w:val="18"/>
          <w:szCs w:val="18"/>
        </w:rPr>
        <w:t xml:space="preserve"> p. 2</w:t>
      </w:r>
      <w:r w:rsidR="00805309" w:rsidRPr="007916F9">
        <w:rPr>
          <w:sz w:val="18"/>
          <w:szCs w:val="18"/>
        </w:rPr>
        <w:t>13</w:t>
      </w:r>
      <w:r w:rsidRPr="007916F9">
        <w:rPr>
          <w:sz w:val="18"/>
          <w:szCs w:val="18"/>
        </w:rPr>
        <w:t>.</w:t>
      </w:r>
    </w:p>
    <w:p w14:paraId="48367DD3" w14:textId="2A97E093" w:rsidR="00AB5288" w:rsidRPr="00DE096F" w:rsidRDefault="00AB5288" w:rsidP="00DE096F">
      <w:pPr>
        <w:pStyle w:val="TableText0"/>
        <w:spacing w:after="120"/>
        <w:rPr>
          <w:sz w:val="18"/>
          <w:szCs w:val="18"/>
        </w:rPr>
      </w:pPr>
      <w:r w:rsidRPr="007916F9">
        <w:rPr>
          <w:sz w:val="18"/>
          <w:szCs w:val="18"/>
        </w:rPr>
        <w:t>Abbreviations: ADA = adalimumab; CI = confidence interval; ITT = intention-to-treat; OZA = ozanimod; RD = risk difference; RR = relative risk</w:t>
      </w:r>
      <w:r w:rsidR="00F50844" w:rsidRPr="007916F9">
        <w:rPr>
          <w:sz w:val="18"/>
          <w:szCs w:val="18"/>
        </w:rPr>
        <w:t>; N/a = not applicable</w:t>
      </w:r>
      <w:r w:rsidRPr="007916F9">
        <w:rPr>
          <w:sz w:val="18"/>
          <w:szCs w:val="18"/>
        </w:rPr>
        <w:br/>
        <w:t xml:space="preserve">Statistically significant results are highlighted by </w:t>
      </w:r>
      <w:r w:rsidRPr="007916F9">
        <w:rPr>
          <w:b/>
          <w:sz w:val="18"/>
          <w:szCs w:val="18"/>
        </w:rPr>
        <w:t>bold</w:t>
      </w:r>
      <w:r w:rsidRPr="007916F9">
        <w:rPr>
          <w:sz w:val="18"/>
          <w:szCs w:val="18"/>
        </w:rPr>
        <w:t xml:space="preserve"> text.</w:t>
      </w:r>
      <w:r w:rsidR="00F50844" w:rsidRPr="007916F9">
        <w:rPr>
          <w:sz w:val="18"/>
          <w:szCs w:val="18"/>
        </w:rPr>
        <w:t xml:space="preserve"> Shaded cells indicate results previously seen by the PBAC.</w:t>
      </w:r>
    </w:p>
    <w:p w14:paraId="16CCD0AC" w14:textId="0079A478" w:rsidR="00AB5288" w:rsidRPr="006D2741" w:rsidRDefault="00AB5288" w:rsidP="00AB5288">
      <w:pPr>
        <w:pStyle w:val="3-BodyText"/>
      </w:pPr>
      <w:r w:rsidRPr="006D2741">
        <w:t xml:space="preserve">The submission noted the indirect comparisons of OZA and ADA for maintenance therapy were based on sensitivity analyses comparing data from the Phase II Touchstone trial (OZA) and pooled data from ULTRA-2 and Suzuki 2014 (ADA) trials, as the True North (OZA) study used a re-randomised </w:t>
      </w:r>
      <w:proofErr w:type="gramStart"/>
      <w:r w:rsidRPr="006D2741">
        <w:t>design</w:t>
      </w:r>
      <w:proofErr w:type="gramEnd"/>
      <w:r w:rsidRPr="006D2741">
        <w:t xml:space="preserve"> and the ADA trials used a treat-through design. The submission noted the Touchstone (OZA) study had low numbers who progressed to the maintenance phase (OZA n = 42, PBO n = 25). </w:t>
      </w:r>
    </w:p>
    <w:p w14:paraId="56A76B83" w14:textId="55A7331C" w:rsidR="004C3A68" w:rsidRPr="006D2741" w:rsidRDefault="004C3A68" w:rsidP="00AB5288">
      <w:pPr>
        <w:pStyle w:val="3-BodyText"/>
      </w:pPr>
      <w:r w:rsidRPr="006D2741">
        <w:t>The results of the unadjusted indirect comparisons for the outcome of clinical response resulted in differing results depending on statistical methodology</w:t>
      </w:r>
      <w:r w:rsidR="00D264AC">
        <w:t>. T</w:t>
      </w:r>
      <w:r w:rsidRPr="006D2741">
        <w:t>he results on the risk difference (RD) statistic statistically significantly favour</w:t>
      </w:r>
      <w:r w:rsidR="00D264AC">
        <w:t>ed</w:t>
      </w:r>
      <w:r w:rsidRPr="006D2741">
        <w:t xml:space="preserve"> OZA (over ADA) for both induction and maintenance therapy; however, for the relative risk (RR) statistic, </w:t>
      </w:r>
      <w:r w:rsidR="00223FB2" w:rsidRPr="006D2741">
        <w:t>there was</w:t>
      </w:r>
      <w:r w:rsidRPr="006D2741">
        <w:t xml:space="preserve"> no statistically significant difference between OZA and ADA for either induction or maintenance therapy.</w:t>
      </w:r>
      <w:r w:rsidR="00AB4E6D" w:rsidRPr="006D2741">
        <w:t xml:space="preserve"> Furthermore, there appeared to be a substantial difference in placebo response rates between the pooled OZA and pooled ADA trials.</w:t>
      </w:r>
    </w:p>
    <w:p w14:paraId="4DC4DC5F" w14:textId="1EDB8163" w:rsidR="00AB5288" w:rsidRPr="006D2741" w:rsidRDefault="00AB5288" w:rsidP="00AB5288">
      <w:pPr>
        <w:pStyle w:val="3-BodyText"/>
      </w:pPr>
      <w:r w:rsidRPr="006D2741">
        <w:t>As noted in the original commentary</w:t>
      </w:r>
      <w:r w:rsidR="00E522FE" w:rsidRPr="006D2741">
        <w:t xml:space="preserve"> (March 2022)</w:t>
      </w:r>
      <w:r w:rsidRPr="006D2741">
        <w:t>, differences in the trial designs and recruited populations led to transitivity and applicability issues when interpreting a lack of statistically significant difference as non-inferiority. Furthermore, for the maintenance comparison, the use of only a small subset of the Phase II Touchstone study who progressed to the maintenance phase as the sole source of data for OZA makes the reliability of the unadjusted indirect comparison in maintenance therapy highly uncertain.</w:t>
      </w:r>
    </w:p>
    <w:p w14:paraId="62048A64" w14:textId="32BCA79F" w:rsidR="005002BC" w:rsidRPr="005002BC" w:rsidRDefault="005002BC" w:rsidP="00FF1084">
      <w:pPr>
        <w:pStyle w:val="5-SubsectionSubheading"/>
      </w:pPr>
      <w:bookmarkStart w:id="27" w:name="_Toc113964282"/>
      <w:r>
        <w:lastRenderedPageBreak/>
        <w:t>Matching adjusted indirect comparison (MAIC)</w:t>
      </w:r>
      <w:bookmarkEnd w:id="27"/>
    </w:p>
    <w:p w14:paraId="28593FB8" w14:textId="2E5A40F2" w:rsidR="002C2775" w:rsidRPr="00FF1084" w:rsidRDefault="00616652" w:rsidP="00EC5836">
      <w:pPr>
        <w:pStyle w:val="3-BodyText"/>
        <w:rPr>
          <w:color w:val="000000" w:themeColor="text1"/>
        </w:rPr>
      </w:pPr>
      <w:r>
        <w:rPr>
          <w:snapToGrid/>
          <w:color w:val="000000" w:themeColor="text1"/>
          <w:lang w:val="en-US"/>
        </w:rPr>
        <w:t>To provide relevant context to the MAIC, s</w:t>
      </w:r>
      <w:r w:rsidR="00FF1084" w:rsidRPr="00FF1084">
        <w:rPr>
          <w:snapToGrid/>
          <w:color w:val="000000" w:themeColor="text1"/>
          <w:lang w:val="en-US"/>
        </w:rPr>
        <w:t>elected baseline characteristics before and after matching for the MAIC</w:t>
      </w:r>
      <w:r>
        <w:rPr>
          <w:snapToGrid/>
          <w:color w:val="000000" w:themeColor="text1"/>
          <w:lang w:val="en-US"/>
        </w:rPr>
        <w:t xml:space="preserve"> (full population</w:t>
      </w:r>
      <w:r w:rsidR="002234EF">
        <w:rPr>
          <w:snapToGrid/>
          <w:color w:val="000000" w:themeColor="text1"/>
          <w:lang w:val="en-US"/>
        </w:rPr>
        <w:t xml:space="preserve">, </w:t>
      </w:r>
      <w:proofErr w:type="gramStart"/>
      <w:r w:rsidR="002234EF">
        <w:rPr>
          <w:snapToGrid/>
          <w:color w:val="000000" w:themeColor="text1"/>
          <w:lang w:val="en-US"/>
        </w:rPr>
        <w:t>i.e.</w:t>
      </w:r>
      <w:proofErr w:type="gramEnd"/>
      <w:r w:rsidR="002234EF">
        <w:rPr>
          <w:snapToGrid/>
          <w:color w:val="000000" w:themeColor="text1"/>
          <w:lang w:val="en-US"/>
        </w:rPr>
        <w:t xml:space="preserve"> anti-TNF-</w:t>
      </w:r>
      <w:r w:rsidR="002234EF">
        <w:rPr>
          <w:rFonts w:cstheme="minorHAnsi"/>
          <w:snapToGrid/>
          <w:color w:val="000000" w:themeColor="text1"/>
          <w:lang w:val="en-US"/>
        </w:rPr>
        <w:t>α</w:t>
      </w:r>
      <w:r w:rsidR="002234EF">
        <w:rPr>
          <w:snapToGrid/>
          <w:color w:val="000000" w:themeColor="text1"/>
          <w:lang w:val="en-US"/>
        </w:rPr>
        <w:t xml:space="preserve"> naïve and experienced</w:t>
      </w:r>
      <w:r>
        <w:rPr>
          <w:snapToGrid/>
          <w:color w:val="000000" w:themeColor="text1"/>
          <w:lang w:val="en-US"/>
        </w:rPr>
        <w:t>)</w:t>
      </w:r>
      <w:r w:rsidR="00FF1084" w:rsidRPr="00FF1084">
        <w:rPr>
          <w:snapToGrid/>
          <w:color w:val="000000" w:themeColor="text1"/>
          <w:lang w:val="en-US"/>
        </w:rPr>
        <w:t xml:space="preserve"> are presented in the tables below.</w:t>
      </w:r>
      <w:r>
        <w:rPr>
          <w:snapToGrid/>
          <w:color w:val="000000" w:themeColor="text1"/>
          <w:lang w:val="en-US"/>
        </w:rPr>
        <w:t xml:space="preserve"> </w:t>
      </w:r>
    </w:p>
    <w:p w14:paraId="51EC8456" w14:textId="799DB520" w:rsidR="005002BC" w:rsidRDefault="005002BC" w:rsidP="005002BC">
      <w:pPr>
        <w:pStyle w:val="3-BodyText"/>
        <w:numPr>
          <w:ilvl w:val="0"/>
          <w:numId w:val="0"/>
        </w:numPr>
        <w:ind w:left="720"/>
        <w:rPr>
          <w:snapToGrid/>
          <w:color w:val="0066FF"/>
          <w:lang w:val="en-US"/>
        </w:rPr>
      </w:pPr>
    </w:p>
    <w:p w14:paraId="2CBAC8CC" w14:textId="77777777" w:rsidR="005002BC" w:rsidRDefault="005002BC" w:rsidP="005002BC">
      <w:pPr>
        <w:pStyle w:val="3-BodyText"/>
        <w:numPr>
          <w:ilvl w:val="0"/>
          <w:numId w:val="0"/>
        </w:numPr>
        <w:ind w:left="720"/>
        <w:rPr>
          <w:snapToGrid/>
          <w:color w:val="0066FF"/>
          <w:lang w:val="en-US"/>
        </w:rPr>
        <w:sectPr w:rsidR="005002BC" w:rsidSect="009A127C">
          <w:pgSz w:w="11907" w:h="16840" w:code="9"/>
          <w:pgMar w:top="1440" w:right="1440" w:bottom="1440" w:left="1440" w:header="1440" w:footer="1440" w:gutter="0"/>
          <w:cols w:space="708"/>
          <w:docGrid w:linePitch="360"/>
        </w:sectPr>
      </w:pPr>
    </w:p>
    <w:p w14:paraId="2D3CADD5" w14:textId="6979718F" w:rsidR="00894D91" w:rsidRDefault="00894D91" w:rsidP="00894D91">
      <w:pPr>
        <w:pStyle w:val="Caption"/>
      </w:pPr>
      <w:r>
        <w:lastRenderedPageBreak/>
        <w:t xml:space="preserve">Table </w:t>
      </w:r>
      <w:fldSimple w:instr=" SEQ Table \* ARABIC ">
        <w:r w:rsidR="00340AC7">
          <w:rPr>
            <w:noProof/>
          </w:rPr>
          <w:t>5</w:t>
        </w:r>
      </w:fldSimple>
      <w:r>
        <w:t xml:space="preserve">: </w:t>
      </w:r>
      <w:r w:rsidRPr="00E14482">
        <w:t>MAIC before and after matching populations – induction comparison of ozanimod vs adalimumab (True North vs ULTRA 2)</w:t>
      </w:r>
    </w:p>
    <w:tbl>
      <w:tblPr>
        <w:tblW w:w="5000" w:type="pct"/>
        <w:tblCellMar>
          <w:left w:w="0" w:type="dxa"/>
          <w:right w:w="0" w:type="dxa"/>
        </w:tblCellMar>
        <w:tblLook w:val="0600" w:firstRow="0" w:lastRow="0" w:firstColumn="0" w:lastColumn="0" w:noHBand="1" w:noVBand="1"/>
      </w:tblPr>
      <w:tblGrid>
        <w:gridCol w:w="3392"/>
        <w:gridCol w:w="1132"/>
        <w:gridCol w:w="1135"/>
        <w:gridCol w:w="1132"/>
        <w:gridCol w:w="1135"/>
        <w:gridCol w:w="993"/>
        <w:gridCol w:w="995"/>
        <w:gridCol w:w="990"/>
        <w:gridCol w:w="995"/>
        <w:gridCol w:w="1037"/>
        <w:gridCol w:w="1004"/>
      </w:tblGrid>
      <w:tr w:rsidR="005002BC" w:rsidRPr="00E522FE" w14:paraId="368653B7" w14:textId="77777777" w:rsidTr="00983638">
        <w:trPr>
          <w:trHeight w:val="168"/>
        </w:trPr>
        <w:tc>
          <w:tcPr>
            <w:tcW w:w="1217" w:type="pct"/>
            <w:vMerge w:val="restar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0D1F5909" w14:textId="77777777" w:rsidR="005002BC" w:rsidRPr="00E522FE" w:rsidRDefault="005002BC" w:rsidP="007916F9">
            <w:pPr>
              <w:pStyle w:val="BMSBodyText"/>
              <w:spacing w:after="0" w:line="240" w:lineRule="auto"/>
              <w:jc w:val="left"/>
              <w:rPr>
                <w:rFonts w:ascii="Arial Narrow" w:hAnsi="Arial Narrow"/>
                <w:b/>
                <w:bCs/>
                <w:sz w:val="20"/>
              </w:rPr>
            </w:pPr>
            <w:r w:rsidRPr="00E522FE">
              <w:rPr>
                <w:rFonts w:ascii="Arial Narrow" w:hAnsi="Arial Narrow"/>
                <w:b/>
                <w:bCs/>
                <w:sz w:val="20"/>
              </w:rPr>
              <w:t>Baseline Matching Variables</w:t>
            </w:r>
          </w:p>
          <w:p w14:paraId="06A75A2E" w14:textId="77777777" w:rsidR="005002BC" w:rsidRPr="00E522FE" w:rsidRDefault="005002BC" w:rsidP="007916F9">
            <w:pPr>
              <w:pStyle w:val="BMSBodyText"/>
              <w:spacing w:after="0" w:line="240" w:lineRule="auto"/>
              <w:jc w:val="left"/>
              <w:rPr>
                <w:rFonts w:ascii="Arial Narrow" w:hAnsi="Arial Narrow"/>
                <w:b/>
                <w:bCs/>
                <w:sz w:val="20"/>
              </w:rPr>
            </w:pPr>
            <w:r w:rsidRPr="00E522FE">
              <w:rPr>
                <w:rFonts w:ascii="Arial Narrow" w:hAnsi="Arial Narrow"/>
                <w:b/>
                <w:bCs/>
                <w:sz w:val="20"/>
              </w:rPr>
              <w:t>Mean (SD); n (%)</w:t>
            </w:r>
          </w:p>
          <w:p w14:paraId="393C6E65" w14:textId="69E18E5C" w:rsidR="005002BC" w:rsidRPr="00E522FE" w:rsidRDefault="005002BC" w:rsidP="007916F9">
            <w:pPr>
              <w:jc w:val="left"/>
              <w:rPr>
                <w:rFonts w:ascii="Arial Narrow" w:hAnsi="Arial Narrow"/>
                <w:b/>
                <w:bCs/>
                <w:sz w:val="20"/>
                <w:szCs w:val="20"/>
                <w:lang w:eastAsia="zh-CN"/>
              </w:rPr>
            </w:pPr>
          </w:p>
        </w:tc>
        <w:tc>
          <w:tcPr>
            <w:tcW w:w="2339" w:type="pct"/>
            <w:gridSpan w:val="6"/>
            <w:tcBorders>
              <w:top w:val="single" w:sz="8" w:space="0" w:color="595454"/>
              <w:left w:val="single" w:sz="8" w:space="0" w:color="595454"/>
              <w:bottom w:val="single" w:sz="8" w:space="0" w:color="595454"/>
              <w:right w:val="single" w:sz="24" w:space="0" w:color="595454"/>
            </w:tcBorders>
            <w:shd w:val="clear" w:color="auto" w:fill="auto"/>
            <w:tcMar>
              <w:top w:w="14" w:type="dxa"/>
              <w:left w:w="14" w:type="dxa"/>
              <w:bottom w:w="0" w:type="dxa"/>
              <w:right w:w="14" w:type="dxa"/>
            </w:tcMar>
            <w:vAlign w:val="center"/>
            <w:hideMark/>
          </w:tcPr>
          <w:p w14:paraId="5E63EBA3" w14:textId="492387E2" w:rsidR="005002BC" w:rsidRPr="00E522FE" w:rsidRDefault="005002BC" w:rsidP="007916F9">
            <w:pPr>
              <w:jc w:val="center"/>
              <w:rPr>
                <w:rFonts w:ascii="Arial Narrow" w:hAnsi="Arial Narrow"/>
                <w:b/>
                <w:bCs/>
                <w:sz w:val="20"/>
                <w:szCs w:val="20"/>
                <w:lang w:eastAsia="zh-CN"/>
              </w:rPr>
            </w:pPr>
            <w:r w:rsidRPr="00E522FE">
              <w:rPr>
                <w:rFonts w:ascii="Arial Narrow" w:hAnsi="Arial Narrow"/>
                <w:b/>
                <w:bCs/>
                <w:sz w:val="20"/>
                <w:szCs w:val="20"/>
              </w:rPr>
              <w:t>Before matching</w:t>
            </w:r>
          </w:p>
        </w:tc>
        <w:tc>
          <w:tcPr>
            <w:tcW w:w="1444" w:type="pct"/>
            <w:gridSpan w:val="4"/>
            <w:tcBorders>
              <w:top w:val="single" w:sz="8" w:space="0" w:color="595454"/>
              <w:left w:val="single" w:sz="24"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3A53A8FA" w14:textId="4939FC5D" w:rsidR="005002BC" w:rsidRPr="00E522FE" w:rsidRDefault="005002BC" w:rsidP="007916F9">
            <w:pPr>
              <w:jc w:val="center"/>
              <w:rPr>
                <w:rFonts w:ascii="Arial Narrow" w:hAnsi="Arial Narrow"/>
                <w:b/>
                <w:bCs/>
                <w:sz w:val="20"/>
                <w:szCs w:val="20"/>
                <w:lang w:eastAsia="zh-CN"/>
              </w:rPr>
            </w:pPr>
            <w:r w:rsidRPr="00E522FE">
              <w:rPr>
                <w:rFonts w:ascii="Arial Narrow" w:hAnsi="Arial Narrow"/>
                <w:b/>
                <w:bCs/>
                <w:sz w:val="20"/>
                <w:szCs w:val="20"/>
              </w:rPr>
              <w:t>After matching</w:t>
            </w:r>
          </w:p>
        </w:tc>
      </w:tr>
      <w:tr w:rsidR="00983638" w:rsidRPr="00E522FE" w14:paraId="57397DA4" w14:textId="77777777" w:rsidTr="00025C93">
        <w:trPr>
          <w:trHeight w:val="40"/>
        </w:trPr>
        <w:tc>
          <w:tcPr>
            <w:tcW w:w="1217" w:type="pct"/>
            <w:vMerge/>
            <w:tcBorders>
              <w:top w:val="single" w:sz="8" w:space="0" w:color="595454"/>
              <w:left w:val="single" w:sz="8" w:space="0" w:color="595454"/>
              <w:bottom w:val="single" w:sz="8" w:space="0" w:color="595454"/>
              <w:right w:val="single" w:sz="8" w:space="0" w:color="595454"/>
            </w:tcBorders>
            <w:vAlign w:val="center"/>
            <w:hideMark/>
          </w:tcPr>
          <w:p w14:paraId="5A46659A" w14:textId="77777777" w:rsidR="00983638" w:rsidRPr="00E522FE" w:rsidRDefault="00983638" w:rsidP="007916F9">
            <w:pPr>
              <w:jc w:val="left"/>
              <w:rPr>
                <w:rFonts w:ascii="Arial Narrow" w:hAnsi="Arial Narrow"/>
                <w:b/>
                <w:bCs/>
                <w:sz w:val="20"/>
                <w:szCs w:val="20"/>
                <w:lang w:eastAsia="zh-CN"/>
              </w:rPr>
            </w:pPr>
          </w:p>
        </w:tc>
        <w:tc>
          <w:tcPr>
            <w:tcW w:w="813" w:type="pct"/>
            <w:gridSpan w:val="2"/>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59B4A1C8" w14:textId="17683F7B" w:rsidR="00983638" w:rsidRPr="00E522FE" w:rsidRDefault="00983638" w:rsidP="007916F9">
            <w:pPr>
              <w:jc w:val="center"/>
              <w:rPr>
                <w:rFonts w:ascii="Arial Narrow" w:hAnsi="Arial Narrow"/>
                <w:b/>
                <w:bCs/>
                <w:sz w:val="20"/>
                <w:szCs w:val="20"/>
                <w:lang w:eastAsia="zh-CN"/>
              </w:rPr>
            </w:pPr>
            <w:r w:rsidRPr="00E522FE">
              <w:rPr>
                <w:rFonts w:ascii="Arial Narrow" w:hAnsi="Arial Narrow"/>
                <w:b/>
                <w:bCs/>
                <w:sz w:val="20"/>
                <w:szCs w:val="20"/>
              </w:rPr>
              <w:t>True North</w:t>
            </w:r>
          </w:p>
        </w:tc>
        <w:tc>
          <w:tcPr>
            <w:tcW w:w="813" w:type="pct"/>
            <w:gridSpan w:val="2"/>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01AF5186" w14:textId="5E215C5E" w:rsidR="00983638" w:rsidRPr="00E522FE" w:rsidRDefault="00983638" w:rsidP="007916F9">
            <w:pPr>
              <w:jc w:val="center"/>
              <w:rPr>
                <w:rFonts w:ascii="Arial Narrow" w:hAnsi="Arial Narrow"/>
                <w:b/>
                <w:bCs/>
                <w:sz w:val="20"/>
                <w:szCs w:val="20"/>
                <w:lang w:eastAsia="zh-CN"/>
              </w:rPr>
            </w:pPr>
            <w:r w:rsidRPr="00E522FE">
              <w:rPr>
                <w:rFonts w:ascii="Arial Narrow" w:hAnsi="Arial Narrow"/>
                <w:b/>
                <w:bCs/>
                <w:sz w:val="20"/>
                <w:szCs w:val="20"/>
              </w:rPr>
              <w:t>ULTRA 2</w:t>
            </w:r>
          </w:p>
        </w:tc>
        <w:tc>
          <w:tcPr>
            <w:tcW w:w="713" w:type="pct"/>
            <w:gridSpan w:val="2"/>
            <w:vMerge w:val="restart"/>
            <w:tcBorders>
              <w:top w:val="single" w:sz="8" w:space="0" w:color="595454"/>
              <w:left w:val="single" w:sz="8" w:space="0" w:color="595454"/>
              <w:right w:val="single" w:sz="24" w:space="0" w:color="595454"/>
            </w:tcBorders>
            <w:shd w:val="clear" w:color="auto" w:fill="auto"/>
            <w:tcMar>
              <w:top w:w="14" w:type="dxa"/>
              <w:left w:w="14" w:type="dxa"/>
              <w:bottom w:w="0" w:type="dxa"/>
              <w:right w:w="14" w:type="dxa"/>
            </w:tcMar>
            <w:vAlign w:val="center"/>
            <w:hideMark/>
          </w:tcPr>
          <w:p w14:paraId="3DD72951" w14:textId="553B9B01" w:rsidR="00983638" w:rsidRPr="00E522FE" w:rsidRDefault="00983638" w:rsidP="00983638">
            <w:pPr>
              <w:jc w:val="center"/>
              <w:rPr>
                <w:rFonts w:ascii="Arial Narrow" w:hAnsi="Arial Narrow"/>
                <w:b/>
                <w:bCs/>
                <w:sz w:val="20"/>
                <w:szCs w:val="20"/>
                <w:lang w:eastAsia="zh-CN"/>
              </w:rPr>
            </w:pPr>
            <w:r w:rsidRPr="00E522FE">
              <w:rPr>
                <w:rFonts w:ascii="Arial Narrow" w:hAnsi="Arial Narrow"/>
                <w:b/>
                <w:bCs/>
                <w:color w:val="000000" w:themeColor="text1"/>
                <w:kern w:val="24"/>
                <w:sz w:val="20"/>
                <w:szCs w:val="20"/>
                <w:lang w:eastAsia="zh-CN"/>
              </w:rPr>
              <w:t>P-values</w:t>
            </w:r>
          </w:p>
        </w:tc>
        <w:tc>
          <w:tcPr>
            <w:tcW w:w="712" w:type="pct"/>
            <w:gridSpan w:val="2"/>
            <w:tcBorders>
              <w:top w:val="single" w:sz="8" w:space="0" w:color="595454"/>
              <w:left w:val="single" w:sz="24"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0258E5A5" w14:textId="11F3014C" w:rsidR="00983638" w:rsidRPr="00E522FE" w:rsidRDefault="00983638" w:rsidP="007916F9">
            <w:pPr>
              <w:jc w:val="center"/>
              <w:rPr>
                <w:rFonts w:ascii="Arial Narrow" w:hAnsi="Arial Narrow"/>
                <w:b/>
                <w:bCs/>
                <w:sz w:val="20"/>
                <w:szCs w:val="20"/>
                <w:lang w:eastAsia="zh-CN"/>
              </w:rPr>
            </w:pPr>
            <w:r w:rsidRPr="00E522FE">
              <w:rPr>
                <w:rFonts w:ascii="Arial Narrow" w:hAnsi="Arial Narrow"/>
                <w:b/>
                <w:bCs/>
                <w:sz w:val="20"/>
                <w:szCs w:val="20"/>
                <w:lang w:eastAsia="zh-CN"/>
              </w:rPr>
              <w:t>True North</w:t>
            </w:r>
          </w:p>
        </w:tc>
        <w:tc>
          <w:tcPr>
            <w:tcW w:w="732" w:type="pct"/>
            <w:gridSpan w:val="2"/>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276E8D8F" w14:textId="7D37C85B" w:rsidR="00983638" w:rsidRPr="00E522FE" w:rsidRDefault="00983638" w:rsidP="007916F9">
            <w:pPr>
              <w:jc w:val="center"/>
              <w:rPr>
                <w:rFonts w:ascii="Arial Narrow" w:hAnsi="Arial Narrow"/>
                <w:b/>
                <w:bCs/>
                <w:sz w:val="20"/>
                <w:szCs w:val="20"/>
                <w:lang w:eastAsia="zh-CN"/>
              </w:rPr>
            </w:pPr>
            <w:r w:rsidRPr="00E522FE">
              <w:rPr>
                <w:rFonts w:ascii="Arial Narrow" w:hAnsi="Arial Narrow"/>
                <w:b/>
                <w:bCs/>
                <w:sz w:val="20"/>
                <w:szCs w:val="20"/>
              </w:rPr>
              <w:t>ULTRA 2</w:t>
            </w:r>
          </w:p>
        </w:tc>
      </w:tr>
      <w:tr w:rsidR="00983638" w:rsidRPr="00E522FE" w14:paraId="547D2849" w14:textId="77777777" w:rsidTr="00025C93">
        <w:trPr>
          <w:trHeight w:val="189"/>
        </w:trPr>
        <w:tc>
          <w:tcPr>
            <w:tcW w:w="1217" w:type="pct"/>
            <w:vMerge/>
            <w:tcBorders>
              <w:top w:val="single" w:sz="8" w:space="0" w:color="595454"/>
              <w:left w:val="single" w:sz="8" w:space="0" w:color="595454"/>
              <w:bottom w:val="single" w:sz="8" w:space="0" w:color="595454"/>
              <w:right w:val="single" w:sz="8" w:space="0" w:color="595454"/>
            </w:tcBorders>
            <w:vAlign w:val="center"/>
            <w:hideMark/>
          </w:tcPr>
          <w:p w14:paraId="5395F37D" w14:textId="77777777" w:rsidR="00983638" w:rsidRPr="00E522FE" w:rsidRDefault="00983638" w:rsidP="007916F9">
            <w:pPr>
              <w:jc w:val="left"/>
              <w:rPr>
                <w:rFonts w:ascii="Arial Narrow" w:hAnsi="Arial Narrow"/>
                <w:b/>
                <w:bCs/>
                <w:sz w:val="20"/>
                <w:szCs w:val="20"/>
                <w:lang w:eastAsia="zh-CN"/>
              </w:rPr>
            </w:pPr>
          </w:p>
        </w:tc>
        <w:tc>
          <w:tcPr>
            <w:tcW w:w="406"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3AAAE65D" w14:textId="2505175F" w:rsidR="00983638" w:rsidRPr="00E522FE" w:rsidRDefault="00983638" w:rsidP="007916F9">
            <w:pPr>
              <w:jc w:val="center"/>
              <w:rPr>
                <w:rFonts w:ascii="Arial Narrow" w:hAnsi="Arial Narrow"/>
                <w:b/>
                <w:bCs/>
                <w:sz w:val="20"/>
                <w:szCs w:val="20"/>
                <w:lang w:eastAsia="zh-CN"/>
              </w:rPr>
            </w:pPr>
            <w:r w:rsidRPr="00E522FE">
              <w:rPr>
                <w:rFonts w:ascii="Arial Narrow" w:hAnsi="Arial Narrow"/>
                <w:b/>
                <w:bCs/>
                <w:sz w:val="20"/>
                <w:szCs w:val="20"/>
              </w:rPr>
              <w:t>Ozanimod</w:t>
            </w:r>
          </w:p>
        </w:tc>
        <w:tc>
          <w:tcPr>
            <w:tcW w:w="407"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49546376" w14:textId="7204BFD6" w:rsidR="00983638" w:rsidRPr="00E522FE" w:rsidRDefault="00983638" w:rsidP="007916F9">
            <w:pPr>
              <w:jc w:val="center"/>
              <w:rPr>
                <w:rFonts w:ascii="Arial Narrow" w:hAnsi="Arial Narrow"/>
                <w:b/>
                <w:bCs/>
                <w:sz w:val="20"/>
                <w:szCs w:val="20"/>
                <w:lang w:eastAsia="zh-CN"/>
              </w:rPr>
            </w:pPr>
            <w:r w:rsidRPr="00E522FE">
              <w:rPr>
                <w:rFonts w:ascii="Arial Narrow" w:hAnsi="Arial Narrow"/>
                <w:b/>
                <w:bCs/>
                <w:sz w:val="20"/>
                <w:szCs w:val="20"/>
              </w:rPr>
              <w:t>Placebo</w:t>
            </w:r>
          </w:p>
        </w:tc>
        <w:tc>
          <w:tcPr>
            <w:tcW w:w="406"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4578925D" w14:textId="77777777" w:rsidR="00983638" w:rsidRPr="00E522FE" w:rsidRDefault="00983638" w:rsidP="007916F9">
            <w:pPr>
              <w:jc w:val="center"/>
              <w:rPr>
                <w:rFonts w:ascii="Arial Narrow" w:hAnsi="Arial Narrow"/>
                <w:b/>
                <w:bCs/>
                <w:sz w:val="20"/>
                <w:szCs w:val="20"/>
                <w:lang w:eastAsia="zh-CN"/>
              </w:rPr>
            </w:pPr>
            <w:r w:rsidRPr="00E522FE">
              <w:rPr>
                <w:rFonts w:ascii="Arial Narrow" w:hAnsi="Arial Narrow"/>
                <w:b/>
                <w:bCs/>
                <w:color w:val="000000" w:themeColor="text1"/>
                <w:kern w:val="24"/>
                <w:sz w:val="20"/>
                <w:szCs w:val="20"/>
                <w:lang w:eastAsia="zh-CN"/>
              </w:rPr>
              <w:t>Adalimumab</w:t>
            </w:r>
          </w:p>
        </w:tc>
        <w:tc>
          <w:tcPr>
            <w:tcW w:w="407"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3D93D439" w14:textId="611C070B" w:rsidR="00983638" w:rsidRPr="00E522FE" w:rsidRDefault="00983638" w:rsidP="007916F9">
            <w:pPr>
              <w:jc w:val="center"/>
              <w:rPr>
                <w:rFonts w:ascii="Arial Narrow" w:hAnsi="Arial Narrow"/>
                <w:b/>
                <w:bCs/>
                <w:sz w:val="20"/>
                <w:szCs w:val="20"/>
                <w:lang w:eastAsia="zh-CN"/>
              </w:rPr>
            </w:pPr>
            <w:r w:rsidRPr="00E522FE">
              <w:rPr>
                <w:rFonts w:ascii="Arial Narrow" w:hAnsi="Arial Narrow"/>
                <w:b/>
                <w:bCs/>
                <w:sz w:val="20"/>
                <w:szCs w:val="20"/>
              </w:rPr>
              <w:t>Placebo</w:t>
            </w:r>
          </w:p>
        </w:tc>
        <w:tc>
          <w:tcPr>
            <w:tcW w:w="713" w:type="pct"/>
            <w:gridSpan w:val="2"/>
            <w:vMerge/>
            <w:tcBorders>
              <w:left w:val="single" w:sz="8" w:space="0" w:color="595454"/>
              <w:bottom w:val="single" w:sz="8" w:space="0" w:color="595454"/>
              <w:right w:val="single" w:sz="24" w:space="0" w:color="595454"/>
            </w:tcBorders>
            <w:shd w:val="clear" w:color="auto" w:fill="auto"/>
            <w:tcMar>
              <w:top w:w="14" w:type="dxa"/>
              <w:left w:w="14" w:type="dxa"/>
              <w:bottom w:w="0" w:type="dxa"/>
              <w:right w:w="14" w:type="dxa"/>
            </w:tcMar>
            <w:vAlign w:val="center"/>
            <w:hideMark/>
          </w:tcPr>
          <w:p w14:paraId="48B624A0" w14:textId="5BF52400" w:rsidR="00983638" w:rsidRPr="00E522FE" w:rsidRDefault="00983638" w:rsidP="007916F9">
            <w:pPr>
              <w:jc w:val="center"/>
              <w:rPr>
                <w:rFonts w:ascii="Arial Narrow" w:hAnsi="Arial Narrow"/>
                <w:b/>
                <w:bCs/>
                <w:sz w:val="20"/>
                <w:szCs w:val="20"/>
                <w:lang w:eastAsia="zh-CN"/>
              </w:rPr>
            </w:pPr>
          </w:p>
        </w:tc>
        <w:tc>
          <w:tcPr>
            <w:tcW w:w="355" w:type="pct"/>
            <w:tcBorders>
              <w:top w:val="single" w:sz="8" w:space="0" w:color="595454"/>
              <w:left w:val="single" w:sz="24"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0EA7DF6D" w14:textId="6CDD5E19" w:rsidR="00983638" w:rsidRPr="00E522FE" w:rsidRDefault="00983638" w:rsidP="007916F9">
            <w:pPr>
              <w:jc w:val="center"/>
              <w:rPr>
                <w:rFonts w:ascii="Arial Narrow" w:hAnsi="Arial Narrow"/>
                <w:b/>
                <w:bCs/>
                <w:sz w:val="20"/>
                <w:szCs w:val="20"/>
                <w:lang w:eastAsia="zh-CN"/>
              </w:rPr>
            </w:pPr>
            <w:r w:rsidRPr="00E522FE">
              <w:rPr>
                <w:rFonts w:ascii="Arial Narrow" w:hAnsi="Arial Narrow"/>
                <w:b/>
                <w:bCs/>
                <w:sz w:val="20"/>
                <w:szCs w:val="20"/>
              </w:rPr>
              <w:t>Ozanimod</w:t>
            </w:r>
          </w:p>
        </w:tc>
        <w:tc>
          <w:tcPr>
            <w:tcW w:w="357"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59330F25" w14:textId="74E1A8AD" w:rsidR="00983638" w:rsidRPr="00E522FE" w:rsidRDefault="00983638" w:rsidP="007916F9">
            <w:pPr>
              <w:jc w:val="center"/>
              <w:rPr>
                <w:rFonts w:ascii="Arial Narrow" w:hAnsi="Arial Narrow"/>
                <w:b/>
                <w:bCs/>
                <w:sz w:val="20"/>
                <w:szCs w:val="20"/>
                <w:lang w:eastAsia="zh-CN"/>
              </w:rPr>
            </w:pPr>
            <w:r w:rsidRPr="00E522FE">
              <w:rPr>
                <w:rFonts w:ascii="Arial Narrow" w:hAnsi="Arial Narrow"/>
                <w:b/>
                <w:bCs/>
                <w:sz w:val="20"/>
                <w:szCs w:val="20"/>
              </w:rPr>
              <w:t>Placebo</w:t>
            </w:r>
          </w:p>
        </w:tc>
        <w:tc>
          <w:tcPr>
            <w:tcW w:w="372"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16D8E146" w14:textId="77777777" w:rsidR="00983638" w:rsidRPr="00E522FE" w:rsidRDefault="00983638" w:rsidP="007916F9">
            <w:pPr>
              <w:jc w:val="center"/>
              <w:rPr>
                <w:rFonts w:ascii="Arial Narrow" w:hAnsi="Arial Narrow"/>
                <w:b/>
                <w:bCs/>
                <w:sz w:val="20"/>
                <w:szCs w:val="20"/>
                <w:lang w:eastAsia="zh-CN"/>
              </w:rPr>
            </w:pPr>
            <w:r w:rsidRPr="00E522FE">
              <w:rPr>
                <w:rFonts w:ascii="Arial Narrow" w:hAnsi="Arial Narrow"/>
                <w:b/>
                <w:bCs/>
                <w:color w:val="000000" w:themeColor="text1"/>
                <w:kern w:val="24"/>
                <w:sz w:val="20"/>
                <w:szCs w:val="20"/>
                <w:lang w:eastAsia="zh-CN"/>
              </w:rPr>
              <w:t>Adalimumab</w:t>
            </w:r>
          </w:p>
        </w:tc>
        <w:tc>
          <w:tcPr>
            <w:tcW w:w="360"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19470450" w14:textId="763A2E3F" w:rsidR="00983638" w:rsidRPr="00E522FE" w:rsidRDefault="00983638" w:rsidP="007916F9">
            <w:pPr>
              <w:jc w:val="center"/>
              <w:rPr>
                <w:rFonts w:ascii="Arial Narrow" w:hAnsi="Arial Narrow"/>
                <w:b/>
                <w:bCs/>
                <w:sz w:val="20"/>
                <w:szCs w:val="20"/>
                <w:lang w:eastAsia="zh-CN"/>
              </w:rPr>
            </w:pPr>
            <w:r w:rsidRPr="00E522FE">
              <w:rPr>
                <w:rFonts w:ascii="Arial Narrow" w:hAnsi="Arial Narrow"/>
                <w:b/>
                <w:bCs/>
                <w:sz w:val="20"/>
                <w:szCs w:val="20"/>
              </w:rPr>
              <w:t>Placebo</w:t>
            </w:r>
          </w:p>
        </w:tc>
      </w:tr>
      <w:tr w:rsidR="00983638" w:rsidRPr="00E522FE" w14:paraId="283024AD" w14:textId="77777777" w:rsidTr="00983638">
        <w:trPr>
          <w:trHeight w:val="247"/>
        </w:trPr>
        <w:tc>
          <w:tcPr>
            <w:tcW w:w="1217" w:type="pct"/>
            <w:vMerge/>
            <w:tcBorders>
              <w:top w:val="single" w:sz="8" w:space="0" w:color="595454"/>
              <w:left w:val="single" w:sz="8" w:space="0" w:color="595454"/>
              <w:bottom w:val="single" w:sz="8" w:space="0" w:color="595454"/>
              <w:right w:val="single" w:sz="8" w:space="0" w:color="595454"/>
            </w:tcBorders>
            <w:vAlign w:val="center"/>
            <w:hideMark/>
          </w:tcPr>
          <w:p w14:paraId="607F4D56" w14:textId="77777777" w:rsidR="005002BC" w:rsidRPr="00E522FE" w:rsidRDefault="005002BC" w:rsidP="007916F9">
            <w:pPr>
              <w:jc w:val="left"/>
              <w:rPr>
                <w:rFonts w:ascii="Arial Narrow" w:hAnsi="Arial Narrow"/>
                <w:sz w:val="20"/>
                <w:szCs w:val="20"/>
                <w:lang w:eastAsia="zh-CN"/>
              </w:rPr>
            </w:pPr>
          </w:p>
        </w:tc>
        <w:tc>
          <w:tcPr>
            <w:tcW w:w="406"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0EC6CDC3" w14:textId="2EB16941" w:rsidR="005002BC" w:rsidRPr="00E522FE" w:rsidRDefault="005002BC" w:rsidP="007916F9">
            <w:pPr>
              <w:jc w:val="center"/>
              <w:rPr>
                <w:rFonts w:ascii="Arial Narrow" w:hAnsi="Arial Narrow"/>
                <w:sz w:val="20"/>
                <w:szCs w:val="20"/>
                <w:lang w:eastAsia="zh-CN"/>
              </w:rPr>
            </w:pPr>
            <w:r w:rsidRPr="00E522FE">
              <w:rPr>
                <w:rFonts w:ascii="Arial Narrow" w:hAnsi="Arial Narrow"/>
                <w:sz w:val="20"/>
                <w:szCs w:val="20"/>
              </w:rPr>
              <w:t>N = 429</w:t>
            </w:r>
          </w:p>
        </w:tc>
        <w:tc>
          <w:tcPr>
            <w:tcW w:w="407"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7BD06C6E" w14:textId="45D5B399" w:rsidR="005002BC" w:rsidRPr="00E522FE" w:rsidRDefault="005002BC" w:rsidP="007916F9">
            <w:pPr>
              <w:jc w:val="center"/>
              <w:rPr>
                <w:rFonts w:ascii="Arial Narrow" w:hAnsi="Arial Narrow"/>
                <w:sz w:val="20"/>
                <w:szCs w:val="20"/>
                <w:lang w:eastAsia="zh-CN"/>
              </w:rPr>
            </w:pPr>
            <w:r w:rsidRPr="00E522FE">
              <w:rPr>
                <w:rFonts w:ascii="Arial Narrow" w:hAnsi="Arial Narrow"/>
                <w:sz w:val="20"/>
                <w:szCs w:val="20"/>
              </w:rPr>
              <w:t>N = 216</w:t>
            </w:r>
          </w:p>
        </w:tc>
        <w:tc>
          <w:tcPr>
            <w:tcW w:w="406"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05DCB9D1" w14:textId="18AFCD84" w:rsidR="005002BC" w:rsidRPr="00E522FE" w:rsidRDefault="005002BC" w:rsidP="007916F9">
            <w:pPr>
              <w:jc w:val="center"/>
              <w:rPr>
                <w:rFonts w:ascii="Arial Narrow" w:hAnsi="Arial Narrow"/>
                <w:sz w:val="20"/>
                <w:szCs w:val="20"/>
                <w:lang w:eastAsia="zh-CN"/>
              </w:rPr>
            </w:pPr>
            <w:r w:rsidRPr="00E522FE">
              <w:rPr>
                <w:rFonts w:ascii="Arial Narrow" w:hAnsi="Arial Narrow"/>
                <w:color w:val="000000" w:themeColor="text1"/>
                <w:kern w:val="24"/>
                <w:sz w:val="20"/>
                <w:szCs w:val="20"/>
                <w:lang w:eastAsia="zh-CN"/>
              </w:rPr>
              <w:t xml:space="preserve">N = </w:t>
            </w:r>
            <w:r w:rsidR="00E522FE" w:rsidRPr="00E522FE">
              <w:rPr>
                <w:rFonts w:ascii="Arial Narrow" w:hAnsi="Arial Narrow"/>
                <w:color w:val="000000" w:themeColor="text1"/>
                <w:kern w:val="24"/>
                <w:sz w:val="20"/>
                <w:szCs w:val="20"/>
                <w:lang w:eastAsia="zh-CN"/>
              </w:rPr>
              <w:t>248</w:t>
            </w:r>
          </w:p>
        </w:tc>
        <w:tc>
          <w:tcPr>
            <w:tcW w:w="407"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7FD13228" w14:textId="56957E2E" w:rsidR="005002BC" w:rsidRPr="00E522FE" w:rsidRDefault="005002BC" w:rsidP="007916F9">
            <w:pPr>
              <w:jc w:val="center"/>
              <w:rPr>
                <w:rFonts w:ascii="Arial Narrow" w:hAnsi="Arial Narrow"/>
                <w:sz w:val="20"/>
                <w:szCs w:val="20"/>
                <w:lang w:eastAsia="zh-CN"/>
              </w:rPr>
            </w:pPr>
            <w:r w:rsidRPr="00E522FE">
              <w:rPr>
                <w:rFonts w:ascii="Arial Narrow" w:hAnsi="Arial Narrow"/>
                <w:sz w:val="20"/>
                <w:szCs w:val="20"/>
              </w:rPr>
              <w:t xml:space="preserve">N = </w:t>
            </w:r>
            <w:r w:rsidR="00E522FE" w:rsidRPr="00E522FE">
              <w:rPr>
                <w:rFonts w:ascii="Arial Narrow" w:hAnsi="Arial Narrow"/>
                <w:sz w:val="20"/>
                <w:szCs w:val="20"/>
              </w:rPr>
              <w:t>246</w:t>
            </w:r>
          </w:p>
        </w:tc>
        <w:tc>
          <w:tcPr>
            <w:tcW w:w="356"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tcPr>
          <w:p w14:paraId="177E2152" w14:textId="42CD3D8F" w:rsidR="005002BC" w:rsidRPr="00E522FE" w:rsidRDefault="00E522FE" w:rsidP="007916F9">
            <w:pPr>
              <w:jc w:val="center"/>
              <w:rPr>
                <w:rFonts w:ascii="Arial Narrow" w:hAnsi="Arial Narrow"/>
                <w:sz w:val="20"/>
                <w:szCs w:val="20"/>
                <w:lang w:eastAsia="zh-CN"/>
              </w:rPr>
            </w:pPr>
            <w:r w:rsidRPr="00E522FE">
              <w:rPr>
                <w:rFonts w:ascii="Arial Narrow" w:hAnsi="Arial Narrow"/>
                <w:sz w:val="20"/>
                <w:szCs w:val="20"/>
                <w:lang w:eastAsia="zh-CN"/>
              </w:rPr>
              <w:t>p-value</w:t>
            </w:r>
          </w:p>
        </w:tc>
        <w:tc>
          <w:tcPr>
            <w:tcW w:w="357" w:type="pct"/>
            <w:tcBorders>
              <w:top w:val="single" w:sz="8" w:space="0" w:color="595454"/>
              <w:left w:val="single" w:sz="8" w:space="0" w:color="595454"/>
              <w:bottom w:val="single" w:sz="8" w:space="0" w:color="595454"/>
              <w:right w:val="single" w:sz="24" w:space="0" w:color="595454"/>
            </w:tcBorders>
            <w:shd w:val="clear" w:color="auto" w:fill="auto"/>
            <w:tcMar>
              <w:top w:w="14" w:type="dxa"/>
              <w:left w:w="14" w:type="dxa"/>
              <w:bottom w:w="0" w:type="dxa"/>
              <w:right w:w="14" w:type="dxa"/>
            </w:tcMar>
            <w:vAlign w:val="center"/>
          </w:tcPr>
          <w:p w14:paraId="5CD0F2C5" w14:textId="3BDD6014" w:rsidR="005002BC" w:rsidRPr="00E522FE" w:rsidRDefault="00E522FE" w:rsidP="007916F9">
            <w:pPr>
              <w:jc w:val="center"/>
              <w:rPr>
                <w:rFonts w:ascii="Arial Narrow" w:hAnsi="Arial Narrow"/>
                <w:sz w:val="20"/>
                <w:szCs w:val="20"/>
                <w:lang w:eastAsia="zh-CN"/>
              </w:rPr>
            </w:pPr>
            <w:r w:rsidRPr="00E522FE">
              <w:rPr>
                <w:rFonts w:ascii="Arial Narrow" w:hAnsi="Arial Narrow"/>
                <w:sz w:val="20"/>
                <w:szCs w:val="20"/>
                <w:lang w:eastAsia="zh-CN"/>
              </w:rPr>
              <w:t>p-value</w:t>
            </w:r>
          </w:p>
        </w:tc>
        <w:tc>
          <w:tcPr>
            <w:tcW w:w="355" w:type="pct"/>
            <w:tcBorders>
              <w:top w:val="single" w:sz="8" w:space="0" w:color="595454"/>
              <w:left w:val="single" w:sz="24"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5BE40507" w14:textId="77777777" w:rsidR="005002BC" w:rsidRPr="00E522FE" w:rsidRDefault="005002BC" w:rsidP="007916F9">
            <w:pPr>
              <w:jc w:val="center"/>
              <w:rPr>
                <w:rFonts w:ascii="Arial Narrow" w:hAnsi="Arial Narrow"/>
                <w:sz w:val="20"/>
                <w:szCs w:val="20"/>
              </w:rPr>
            </w:pPr>
            <w:r w:rsidRPr="00E522FE">
              <w:rPr>
                <w:rFonts w:ascii="Arial Narrow" w:hAnsi="Arial Narrow"/>
                <w:sz w:val="20"/>
                <w:szCs w:val="20"/>
              </w:rPr>
              <w:t>N = 429</w:t>
            </w:r>
          </w:p>
          <w:p w14:paraId="77E7E332" w14:textId="258750C1" w:rsidR="00E522FE" w:rsidRPr="00E522FE" w:rsidRDefault="00E522FE" w:rsidP="007916F9">
            <w:pPr>
              <w:jc w:val="center"/>
              <w:rPr>
                <w:rFonts w:ascii="Arial Narrow" w:hAnsi="Arial Narrow"/>
                <w:sz w:val="20"/>
                <w:szCs w:val="20"/>
                <w:lang w:eastAsia="zh-CN"/>
              </w:rPr>
            </w:pPr>
            <w:r w:rsidRPr="00E522FE">
              <w:rPr>
                <w:rFonts w:ascii="Arial Narrow" w:hAnsi="Arial Narrow"/>
                <w:sz w:val="20"/>
                <w:szCs w:val="20"/>
              </w:rPr>
              <w:t>ESS = 395</w:t>
            </w:r>
          </w:p>
        </w:tc>
        <w:tc>
          <w:tcPr>
            <w:tcW w:w="357"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70008149" w14:textId="77777777" w:rsidR="005002BC" w:rsidRPr="00E522FE" w:rsidRDefault="005002BC" w:rsidP="007916F9">
            <w:pPr>
              <w:jc w:val="center"/>
              <w:rPr>
                <w:rFonts w:ascii="Arial Narrow" w:hAnsi="Arial Narrow"/>
                <w:sz w:val="20"/>
                <w:szCs w:val="20"/>
              </w:rPr>
            </w:pPr>
            <w:r w:rsidRPr="00E522FE">
              <w:rPr>
                <w:rFonts w:ascii="Arial Narrow" w:hAnsi="Arial Narrow"/>
                <w:sz w:val="20"/>
                <w:szCs w:val="20"/>
              </w:rPr>
              <w:t>N = 216</w:t>
            </w:r>
            <w:r w:rsidR="00E522FE" w:rsidRPr="00E522FE">
              <w:rPr>
                <w:rFonts w:ascii="Arial Narrow" w:hAnsi="Arial Narrow"/>
                <w:sz w:val="20"/>
                <w:szCs w:val="20"/>
              </w:rPr>
              <w:t xml:space="preserve"> </w:t>
            </w:r>
          </w:p>
          <w:p w14:paraId="2F4DDB51" w14:textId="184A364D" w:rsidR="00E522FE" w:rsidRPr="00E522FE" w:rsidRDefault="00E522FE" w:rsidP="007916F9">
            <w:pPr>
              <w:jc w:val="center"/>
              <w:rPr>
                <w:rFonts w:ascii="Arial Narrow" w:hAnsi="Arial Narrow"/>
                <w:sz w:val="20"/>
                <w:szCs w:val="20"/>
                <w:lang w:eastAsia="zh-CN"/>
              </w:rPr>
            </w:pPr>
            <w:r w:rsidRPr="00E522FE">
              <w:rPr>
                <w:rFonts w:ascii="Arial Narrow" w:hAnsi="Arial Narrow"/>
                <w:sz w:val="20"/>
                <w:szCs w:val="20"/>
              </w:rPr>
              <w:t>ESS = 193</w:t>
            </w:r>
          </w:p>
        </w:tc>
        <w:tc>
          <w:tcPr>
            <w:tcW w:w="372"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58E37350" w14:textId="77777777" w:rsidR="005002BC" w:rsidRPr="00E522FE" w:rsidRDefault="005002BC" w:rsidP="007916F9">
            <w:pPr>
              <w:jc w:val="center"/>
              <w:rPr>
                <w:rFonts w:ascii="Arial Narrow" w:hAnsi="Arial Narrow"/>
                <w:sz w:val="20"/>
                <w:szCs w:val="20"/>
                <w:lang w:eastAsia="zh-CN"/>
              </w:rPr>
            </w:pPr>
            <w:r w:rsidRPr="00E522FE">
              <w:rPr>
                <w:rFonts w:ascii="Arial Narrow" w:hAnsi="Arial Narrow"/>
                <w:color w:val="000000" w:themeColor="text1"/>
                <w:kern w:val="24"/>
                <w:sz w:val="20"/>
                <w:szCs w:val="20"/>
                <w:lang w:eastAsia="zh-CN"/>
              </w:rPr>
              <w:t>N = 130</w:t>
            </w:r>
          </w:p>
        </w:tc>
        <w:tc>
          <w:tcPr>
            <w:tcW w:w="360"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28CBA971" w14:textId="45D796F7" w:rsidR="005002BC" w:rsidRPr="00E522FE" w:rsidRDefault="005002BC" w:rsidP="007916F9">
            <w:pPr>
              <w:jc w:val="center"/>
              <w:rPr>
                <w:rFonts w:ascii="Arial Narrow" w:hAnsi="Arial Narrow"/>
                <w:sz w:val="20"/>
                <w:szCs w:val="20"/>
                <w:lang w:eastAsia="zh-CN"/>
              </w:rPr>
            </w:pPr>
            <w:r w:rsidRPr="00E522FE">
              <w:rPr>
                <w:rFonts w:ascii="Arial Narrow" w:hAnsi="Arial Narrow"/>
                <w:sz w:val="20"/>
                <w:szCs w:val="20"/>
              </w:rPr>
              <w:t>N = 429</w:t>
            </w:r>
          </w:p>
        </w:tc>
      </w:tr>
      <w:tr w:rsidR="00983638" w:rsidRPr="00E522FE" w14:paraId="1D0448C3" w14:textId="77777777" w:rsidTr="00983638">
        <w:trPr>
          <w:trHeight w:val="40"/>
        </w:trPr>
        <w:tc>
          <w:tcPr>
            <w:tcW w:w="1217" w:type="pct"/>
            <w:vMerge/>
            <w:tcBorders>
              <w:top w:val="single" w:sz="8" w:space="0" w:color="595454"/>
              <w:left w:val="single" w:sz="8" w:space="0" w:color="595454"/>
              <w:bottom w:val="single" w:sz="8" w:space="0" w:color="595454"/>
              <w:right w:val="single" w:sz="8" w:space="0" w:color="595454"/>
            </w:tcBorders>
            <w:vAlign w:val="center"/>
            <w:hideMark/>
          </w:tcPr>
          <w:p w14:paraId="59FBC568" w14:textId="77777777" w:rsidR="00FF1084" w:rsidRPr="00E522FE" w:rsidRDefault="00FF1084" w:rsidP="007916F9">
            <w:pPr>
              <w:jc w:val="left"/>
              <w:rPr>
                <w:rFonts w:ascii="Arial Narrow" w:hAnsi="Arial Narrow"/>
                <w:sz w:val="20"/>
                <w:szCs w:val="20"/>
                <w:lang w:eastAsia="zh-CN"/>
              </w:rPr>
            </w:pPr>
          </w:p>
        </w:tc>
        <w:tc>
          <w:tcPr>
            <w:tcW w:w="406"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2AD10857" w14:textId="70069AD7"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[A]</w:t>
            </w:r>
          </w:p>
        </w:tc>
        <w:tc>
          <w:tcPr>
            <w:tcW w:w="407"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3039B81D" w14:textId="69DC9FDC"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[B]</w:t>
            </w:r>
          </w:p>
        </w:tc>
        <w:tc>
          <w:tcPr>
            <w:tcW w:w="406"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31590774" w14:textId="77777777" w:rsidR="00FF1084" w:rsidRPr="00E522FE" w:rsidRDefault="00FF1084" w:rsidP="007916F9">
            <w:pPr>
              <w:jc w:val="center"/>
              <w:rPr>
                <w:rFonts w:ascii="Arial Narrow" w:hAnsi="Arial Narrow"/>
                <w:sz w:val="20"/>
                <w:szCs w:val="20"/>
                <w:lang w:eastAsia="zh-CN"/>
              </w:rPr>
            </w:pPr>
            <w:r w:rsidRPr="00E522FE">
              <w:rPr>
                <w:rFonts w:ascii="Arial Narrow" w:hAnsi="Arial Narrow"/>
                <w:color w:val="000000" w:themeColor="text1"/>
                <w:kern w:val="24"/>
                <w:sz w:val="20"/>
                <w:szCs w:val="20"/>
                <w:lang w:eastAsia="zh-CN"/>
              </w:rPr>
              <w:t>[C]</w:t>
            </w:r>
          </w:p>
        </w:tc>
        <w:tc>
          <w:tcPr>
            <w:tcW w:w="407"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3F7FBB97" w14:textId="50C49DDC"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[D]</w:t>
            </w:r>
          </w:p>
        </w:tc>
        <w:tc>
          <w:tcPr>
            <w:tcW w:w="356"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224C7084" w14:textId="41C48F79"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[A] vs. [C]</w:t>
            </w:r>
          </w:p>
        </w:tc>
        <w:tc>
          <w:tcPr>
            <w:tcW w:w="357" w:type="pct"/>
            <w:tcBorders>
              <w:top w:val="single" w:sz="8" w:space="0" w:color="595454"/>
              <w:left w:val="single" w:sz="8" w:space="0" w:color="595454"/>
              <w:bottom w:val="single" w:sz="8" w:space="0" w:color="595454"/>
              <w:right w:val="single" w:sz="24" w:space="0" w:color="595454"/>
            </w:tcBorders>
            <w:shd w:val="clear" w:color="auto" w:fill="auto"/>
            <w:tcMar>
              <w:top w:w="14" w:type="dxa"/>
              <w:left w:w="14" w:type="dxa"/>
              <w:bottom w:w="0" w:type="dxa"/>
              <w:right w:w="14" w:type="dxa"/>
            </w:tcMar>
            <w:vAlign w:val="center"/>
            <w:hideMark/>
          </w:tcPr>
          <w:p w14:paraId="69853791" w14:textId="7F4588E9"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[B] vs. [D]</w:t>
            </w:r>
          </w:p>
        </w:tc>
        <w:tc>
          <w:tcPr>
            <w:tcW w:w="355" w:type="pct"/>
            <w:tcBorders>
              <w:top w:val="single" w:sz="8" w:space="0" w:color="595454"/>
              <w:left w:val="single" w:sz="24"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36B197AF" w14:textId="7E3D11E8"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[A]</w:t>
            </w:r>
          </w:p>
        </w:tc>
        <w:tc>
          <w:tcPr>
            <w:tcW w:w="357"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5614DE87" w14:textId="7544B176"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[B]</w:t>
            </w:r>
          </w:p>
        </w:tc>
        <w:tc>
          <w:tcPr>
            <w:tcW w:w="372"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79A9C598" w14:textId="77777777" w:rsidR="00FF1084" w:rsidRPr="00E522FE" w:rsidRDefault="00FF1084" w:rsidP="007916F9">
            <w:pPr>
              <w:jc w:val="center"/>
              <w:rPr>
                <w:rFonts w:ascii="Arial Narrow" w:hAnsi="Arial Narrow"/>
                <w:sz w:val="20"/>
                <w:szCs w:val="20"/>
                <w:lang w:eastAsia="zh-CN"/>
              </w:rPr>
            </w:pPr>
            <w:r w:rsidRPr="00E522FE">
              <w:rPr>
                <w:rFonts w:ascii="Arial Narrow" w:hAnsi="Arial Narrow"/>
                <w:color w:val="000000" w:themeColor="text1"/>
                <w:kern w:val="24"/>
                <w:sz w:val="20"/>
                <w:szCs w:val="20"/>
                <w:lang w:eastAsia="zh-CN"/>
              </w:rPr>
              <w:t>[C]</w:t>
            </w:r>
          </w:p>
        </w:tc>
        <w:tc>
          <w:tcPr>
            <w:tcW w:w="360"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010E4F49" w14:textId="1236DAA7"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w:t>
            </w:r>
            <w:r w:rsidR="00CD4E7D">
              <w:rPr>
                <w:rFonts w:ascii="Arial Narrow" w:hAnsi="Arial Narrow"/>
                <w:sz w:val="20"/>
                <w:szCs w:val="20"/>
              </w:rPr>
              <w:t>D</w:t>
            </w:r>
            <w:r w:rsidRPr="00E522FE">
              <w:rPr>
                <w:rFonts w:ascii="Arial Narrow" w:hAnsi="Arial Narrow"/>
                <w:sz w:val="20"/>
                <w:szCs w:val="20"/>
              </w:rPr>
              <w:t>]</w:t>
            </w:r>
          </w:p>
        </w:tc>
      </w:tr>
      <w:tr w:rsidR="00983638" w:rsidRPr="00E522FE" w14:paraId="700293F3" w14:textId="77777777" w:rsidTr="00983638">
        <w:trPr>
          <w:trHeight w:val="158"/>
        </w:trPr>
        <w:tc>
          <w:tcPr>
            <w:tcW w:w="1217"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48681EE2" w14:textId="68E0E977" w:rsidR="00FF1084" w:rsidRPr="00E522FE" w:rsidRDefault="00FF1084" w:rsidP="007916F9">
            <w:pPr>
              <w:jc w:val="left"/>
              <w:rPr>
                <w:rFonts w:ascii="Arial Narrow" w:hAnsi="Arial Narrow"/>
                <w:sz w:val="20"/>
                <w:szCs w:val="20"/>
                <w:lang w:eastAsia="zh-CN"/>
              </w:rPr>
            </w:pPr>
            <w:r w:rsidRPr="00E522FE">
              <w:rPr>
                <w:rFonts w:ascii="Arial Narrow" w:hAnsi="Arial Narrow"/>
                <w:sz w:val="20"/>
                <w:szCs w:val="20"/>
              </w:rPr>
              <w:t>Age</w:t>
            </w:r>
          </w:p>
        </w:tc>
        <w:tc>
          <w:tcPr>
            <w:tcW w:w="406"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5D75925D" w14:textId="67D18650"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41.4 ± 13.5</w:t>
            </w:r>
          </w:p>
        </w:tc>
        <w:tc>
          <w:tcPr>
            <w:tcW w:w="407"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027CDC3F" w14:textId="56402057"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41.9 ± 13.6</w:t>
            </w:r>
          </w:p>
        </w:tc>
        <w:tc>
          <w:tcPr>
            <w:tcW w:w="406"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0B1A03EE" w14:textId="3BF3F54B"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39.6 ± 12.5</w:t>
            </w:r>
          </w:p>
        </w:tc>
        <w:tc>
          <w:tcPr>
            <w:tcW w:w="407"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001566EF" w14:textId="7DDAEA5A"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41.3 ± 13.2</w:t>
            </w:r>
          </w:p>
        </w:tc>
        <w:tc>
          <w:tcPr>
            <w:tcW w:w="356"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501A7C09" w14:textId="68DCC3A9"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0.1</w:t>
            </w:r>
          </w:p>
        </w:tc>
        <w:tc>
          <w:tcPr>
            <w:tcW w:w="357" w:type="pct"/>
            <w:tcBorders>
              <w:top w:val="single" w:sz="8" w:space="0" w:color="595454"/>
              <w:left w:val="single" w:sz="8" w:space="0" w:color="595454"/>
              <w:bottom w:val="single" w:sz="8" w:space="0" w:color="595454"/>
              <w:right w:val="single" w:sz="24" w:space="0" w:color="595454"/>
            </w:tcBorders>
            <w:shd w:val="clear" w:color="auto" w:fill="auto"/>
            <w:tcMar>
              <w:top w:w="15" w:type="dxa"/>
              <w:left w:w="15" w:type="dxa"/>
              <w:bottom w:w="0" w:type="dxa"/>
              <w:right w:w="15" w:type="dxa"/>
            </w:tcMar>
            <w:vAlign w:val="center"/>
            <w:hideMark/>
          </w:tcPr>
          <w:p w14:paraId="23155013" w14:textId="73D1023B"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0.6</w:t>
            </w:r>
          </w:p>
        </w:tc>
        <w:tc>
          <w:tcPr>
            <w:tcW w:w="355" w:type="pct"/>
            <w:tcBorders>
              <w:top w:val="single" w:sz="8" w:space="0" w:color="595454"/>
              <w:left w:val="single" w:sz="24"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03ADAB38" w14:textId="680694D4"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39.6 ± 13.4</w:t>
            </w:r>
          </w:p>
        </w:tc>
        <w:tc>
          <w:tcPr>
            <w:tcW w:w="357"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388E2D4E" w14:textId="0EEED59B"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41.3 ± 13.6</w:t>
            </w:r>
          </w:p>
        </w:tc>
        <w:tc>
          <w:tcPr>
            <w:tcW w:w="372"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416CD863" w14:textId="4229BDD7"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39.6 ± 12.5</w:t>
            </w:r>
          </w:p>
        </w:tc>
        <w:tc>
          <w:tcPr>
            <w:tcW w:w="360"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07B619A5" w14:textId="72A69919"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41.3 ± 13.2</w:t>
            </w:r>
          </w:p>
        </w:tc>
      </w:tr>
      <w:tr w:rsidR="00983638" w:rsidRPr="00E522FE" w14:paraId="1142EC62" w14:textId="77777777" w:rsidTr="00983638">
        <w:trPr>
          <w:trHeight w:val="112"/>
        </w:trPr>
        <w:tc>
          <w:tcPr>
            <w:tcW w:w="1217"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2DF2B648" w14:textId="4538E667" w:rsidR="00FF1084" w:rsidRPr="00E522FE" w:rsidRDefault="00FF1084" w:rsidP="007916F9">
            <w:pPr>
              <w:jc w:val="left"/>
              <w:rPr>
                <w:rFonts w:ascii="Arial Narrow" w:hAnsi="Arial Narrow"/>
                <w:sz w:val="20"/>
                <w:szCs w:val="20"/>
                <w:lang w:eastAsia="zh-CN"/>
              </w:rPr>
            </w:pPr>
            <w:r w:rsidRPr="00E522FE">
              <w:rPr>
                <w:rFonts w:ascii="Arial Narrow" w:hAnsi="Arial Narrow"/>
                <w:sz w:val="20"/>
                <w:szCs w:val="20"/>
              </w:rPr>
              <w:t>Male</w:t>
            </w:r>
          </w:p>
        </w:tc>
        <w:tc>
          <w:tcPr>
            <w:tcW w:w="406"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5347BC4D" w14:textId="170B091D"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245 (57.1%)</w:t>
            </w:r>
          </w:p>
        </w:tc>
        <w:tc>
          <w:tcPr>
            <w:tcW w:w="407"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020FAF24" w14:textId="6F694E53"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143 (66.2%)</w:t>
            </w:r>
          </w:p>
        </w:tc>
        <w:tc>
          <w:tcPr>
            <w:tcW w:w="406"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2EBEB166" w14:textId="21AD004B"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142 (57.3%)</w:t>
            </w:r>
          </w:p>
        </w:tc>
        <w:tc>
          <w:tcPr>
            <w:tcW w:w="407"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64A86E2C" w14:textId="2E1E2F0A"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152 (61.8%)</w:t>
            </w:r>
          </w:p>
        </w:tc>
        <w:tc>
          <w:tcPr>
            <w:tcW w:w="356"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2C976FD8" w14:textId="1D7BABF4"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1.0</w:t>
            </w:r>
          </w:p>
        </w:tc>
        <w:tc>
          <w:tcPr>
            <w:tcW w:w="357" w:type="pct"/>
            <w:tcBorders>
              <w:top w:val="single" w:sz="8" w:space="0" w:color="595454"/>
              <w:left w:val="single" w:sz="8" w:space="0" w:color="595454"/>
              <w:bottom w:val="single" w:sz="8" w:space="0" w:color="595454"/>
              <w:right w:val="single" w:sz="24" w:space="0" w:color="595454"/>
            </w:tcBorders>
            <w:shd w:val="clear" w:color="auto" w:fill="auto"/>
            <w:tcMar>
              <w:top w:w="15" w:type="dxa"/>
              <w:left w:w="15" w:type="dxa"/>
              <w:bottom w:w="0" w:type="dxa"/>
              <w:right w:w="15" w:type="dxa"/>
            </w:tcMar>
            <w:vAlign w:val="center"/>
            <w:hideMark/>
          </w:tcPr>
          <w:p w14:paraId="48AA6D7C" w14:textId="575B458E"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0.4</w:t>
            </w:r>
          </w:p>
        </w:tc>
        <w:tc>
          <w:tcPr>
            <w:tcW w:w="355" w:type="pct"/>
            <w:tcBorders>
              <w:top w:val="single" w:sz="8" w:space="0" w:color="595454"/>
              <w:left w:val="single" w:sz="24"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4D371AD8" w14:textId="7F3F0083"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57.3%</w:t>
            </w:r>
          </w:p>
        </w:tc>
        <w:tc>
          <w:tcPr>
            <w:tcW w:w="357"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560DA06B" w14:textId="36747C53"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61.8%</w:t>
            </w:r>
          </w:p>
        </w:tc>
        <w:tc>
          <w:tcPr>
            <w:tcW w:w="372"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63CFFB71" w14:textId="75B60B6C"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57.3%</w:t>
            </w:r>
          </w:p>
        </w:tc>
        <w:tc>
          <w:tcPr>
            <w:tcW w:w="360"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3CEDFE56" w14:textId="4E834A18"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61.8%</w:t>
            </w:r>
          </w:p>
        </w:tc>
      </w:tr>
      <w:tr w:rsidR="00983638" w:rsidRPr="00E522FE" w14:paraId="3EACB882" w14:textId="77777777" w:rsidTr="00983638">
        <w:trPr>
          <w:trHeight w:val="180"/>
        </w:trPr>
        <w:tc>
          <w:tcPr>
            <w:tcW w:w="1217"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tcPr>
          <w:p w14:paraId="4F73157C" w14:textId="47655827" w:rsidR="00FF1084" w:rsidRPr="00E522FE" w:rsidRDefault="00FF1084" w:rsidP="007916F9">
            <w:pPr>
              <w:jc w:val="left"/>
              <w:rPr>
                <w:rFonts w:ascii="Arial Narrow" w:hAnsi="Arial Narrow"/>
                <w:sz w:val="20"/>
                <w:szCs w:val="20"/>
                <w:lang w:eastAsia="zh-CN"/>
              </w:rPr>
            </w:pPr>
            <w:r w:rsidRPr="00E522FE">
              <w:rPr>
                <w:rFonts w:ascii="Arial Narrow" w:hAnsi="Arial Narrow"/>
                <w:sz w:val="20"/>
                <w:szCs w:val="20"/>
              </w:rPr>
              <w:t>Baseline total Mayo score</w:t>
            </w:r>
          </w:p>
        </w:tc>
        <w:tc>
          <w:tcPr>
            <w:tcW w:w="406"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tcPr>
          <w:p w14:paraId="0D0C247F" w14:textId="2BD84B70"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8.9 ± 1.5</w:t>
            </w:r>
          </w:p>
        </w:tc>
        <w:tc>
          <w:tcPr>
            <w:tcW w:w="407"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tcPr>
          <w:p w14:paraId="25E0C593" w14:textId="6B90304F"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8.9 ± 1.3</w:t>
            </w:r>
          </w:p>
        </w:tc>
        <w:tc>
          <w:tcPr>
            <w:tcW w:w="406"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tcPr>
          <w:p w14:paraId="3B085D0A" w14:textId="578E210B"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8.9 ± 1.5</w:t>
            </w:r>
          </w:p>
        </w:tc>
        <w:tc>
          <w:tcPr>
            <w:tcW w:w="407"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tcPr>
          <w:p w14:paraId="4AE60ACB" w14:textId="66256289"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8.9 ± 1.8</w:t>
            </w:r>
          </w:p>
        </w:tc>
        <w:tc>
          <w:tcPr>
            <w:tcW w:w="356"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tcPr>
          <w:p w14:paraId="7638F67E" w14:textId="5977A924"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0.8</w:t>
            </w:r>
          </w:p>
        </w:tc>
        <w:tc>
          <w:tcPr>
            <w:tcW w:w="357" w:type="pct"/>
            <w:tcBorders>
              <w:top w:val="single" w:sz="8" w:space="0" w:color="595454"/>
              <w:left w:val="single" w:sz="8" w:space="0" w:color="595454"/>
              <w:bottom w:val="single" w:sz="8" w:space="0" w:color="595454"/>
              <w:right w:val="single" w:sz="24" w:space="0" w:color="595454"/>
            </w:tcBorders>
            <w:shd w:val="clear" w:color="auto" w:fill="auto"/>
            <w:tcMar>
              <w:top w:w="15" w:type="dxa"/>
              <w:left w:w="15" w:type="dxa"/>
              <w:bottom w:w="0" w:type="dxa"/>
              <w:right w:w="15" w:type="dxa"/>
            </w:tcMar>
            <w:vAlign w:val="center"/>
          </w:tcPr>
          <w:p w14:paraId="02553D6F" w14:textId="56DC5C17"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0.8</w:t>
            </w:r>
          </w:p>
        </w:tc>
        <w:tc>
          <w:tcPr>
            <w:tcW w:w="355" w:type="pct"/>
            <w:tcBorders>
              <w:top w:val="single" w:sz="8" w:space="0" w:color="595454"/>
              <w:left w:val="single" w:sz="24" w:space="0" w:color="595454"/>
              <w:bottom w:val="single" w:sz="8" w:space="0" w:color="595454"/>
              <w:right w:val="single" w:sz="8" w:space="0" w:color="595454"/>
            </w:tcBorders>
            <w:shd w:val="clear" w:color="auto" w:fill="auto"/>
            <w:tcMar>
              <w:top w:w="15" w:type="dxa"/>
              <w:left w:w="15" w:type="dxa"/>
              <w:bottom w:w="0" w:type="dxa"/>
              <w:right w:w="15" w:type="dxa"/>
            </w:tcMar>
            <w:vAlign w:val="center"/>
          </w:tcPr>
          <w:p w14:paraId="1B226FF7" w14:textId="62F01F8F"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8.9 ± 1.5</w:t>
            </w:r>
          </w:p>
        </w:tc>
        <w:tc>
          <w:tcPr>
            <w:tcW w:w="357"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tcPr>
          <w:p w14:paraId="132E29C2" w14:textId="243AF18E"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8.9 ± 1.3</w:t>
            </w:r>
          </w:p>
        </w:tc>
        <w:tc>
          <w:tcPr>
            <w:tcW w:w="372"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tcPr>
          <w:p w14:paraId="6D04A57B" w14:textId="4B38ED4E"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8.9 ± 1.5</w:t>
            </w:r>
          </w:p>
        </w:tc>
        <w:tc>
          <w:tcPr>
            <w:tcW w:w="360"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tcPr>
          <w:p w14:paraId="664D4DC0" w14:textId="02EAF297"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8.9 ± 1.8</w:t>
            </w:r>
          </w:p>
        </w:tc>
      </w:tr>
      <w:tr w:rsidR="00983638" w:rsidRPr="00E522FE" w14:paraId="0FB5784E" w14:textId="77777777" w:rsidTr="00983638">
        <w:trPr>
          <w:trHeight w:val="45"/>
        </w:trPr>
        <w:tc>
          <w:tcPr>
            <w:tcW w:w="1217"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tcPr>
          <w:p w14:paraId="09588BBE" w14:textId="2905D8EE" w:rsidR="00FF1084" w:rsidRPr="00E522FE" w:rsidRDefault="00FF1084" w:rsidP="007916F9">
            <w:pPr>
              <w:jc w:val="left"/>
              <w:rPr>
                <w:rFonts w:ascii="Arial Narrow" w:hAnsi="Arial Narrow"/>
                <w:sz w:val="20"/>
                <w:szCs w:val="20"/>
                <w:lang w:eastAsia="zh-CN"/>
              </w:rPr>
            </w:pPr>
            <w:r w:rsidRPr="00E522FE">
              <w:rPr>
                <w:rFonts w:ascii="Arial Narrow" w:hAnsi="Arial Narrow"/>
                <w:sz w:val="20"/>
                <w:szCs w:val="20"/>
              </w:rPr>
              <w:t>Extensive colitis or pancolitis</w:t>
            </w:r>
          </w:p>
        </w:tc>
        <w:tc>
          <w:tcPr>
            <w:tcW w:w="406"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tcPr>
          <w:p w14:paraId="24F59B77" w14:textId="02A01386"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161 (37.5%)</w:t>
            </w:r>
          </w:p>
        </w:tc>
        <w:tc>
          <w:tcPr>
            <w:tcW w:w="407"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tcPr>
          <w:p w14:paraId="7D59FAD8" w14:textId="3CD17933"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82 (38.0%)</w:t>
            </w:r>
          </w:p>
        </w:tc>
        <w:tc>
          <w:tcPr>
            <w:tcW w:w="406"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tcPr>
          <w:p w14:paraId="7FF92FC5" w14:textId="2816A574"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120 (48.4%)</w:t>
            </w:r>
          </w:p>
        </w:tc>
        <w:tc>
          <w:tcPr>
            <w:tcW w:w="407"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tcPr>
          <w:p w14:paraId="15AA89C9" w14:textId="3D4F18F4"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120 (48.8%)</w:t>
            </w:r>
          </w:p>
        </w:tc>
        <w:tc>
          <w:tcPr>
            <w:tcW w:w="356"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tcPr>
          <w:p w14:paraId="4A74A92E" w14:textId="3FE30E67"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&lt; 0.01 *</w:t>
            </w:r>
          </w:p>
        </w:tc>
        <w:tc>
          <w:tcPr>
            <w:tcW w:w="357" w:type="pct"/>
            <w:tcBorders>
              <w:top w:val="single" w:sz="8" w:space="0" w:color="595454"/>
              <w:left w:val="single" w:sz="8" w:space="0" w:color="595454"/>
              <w:bottom w:val="single" w:sz="8" w:space="0" w:color="595454"/>
              <w:right w:val="single" w:sz="24" w:space="0" w:color="595454"/>
            </w:tcBorders>
            <w:shd w:val="clear" w:color="auto" w:fill="auto"/>
            <w:tcMar>
              <w:top w:w="15" w:type="dxa"/>
              <w:left w:w="15" w:type="dxa"/>
              <w:bottom w:w="0" w:type="dxa"/>
              <w:right w:w="15" w:type="dxa"/>
            </w:tcMar>
            <w:vAlign w:val="center"/>
          </w:tcPr>
          <w:p w14:paraId="788B1649" w14:textId="61BB7092"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&lt; 0.05 *</w:t>
            </w:r>
          </w:p>
        </w:tc>
        <w:tc>
          <w:tcPr>
            <w:tcW w:w="355" w:type="pct"/>
            <w:tcBorders>
              <w:top w:val="single" w:sz="8" w:space="0" w:color="595454"/>
              <w:left w:val="single" w:sz="24" w:space="0" w:color="595454"/>
              <w:bottom w:val="single" w:sz="8" w:space="0" w:color="595454"/>
              <w:right w:val="single" w:sz="8" w:space="0" w:color="595454"/>
            </w:tcBorders>
            <w:shd w:val="clear" w:color="auto" w:fill="auto"/>
            <w:tcMar>
              <w:top w:w="15" w:type="dxa"/>
              <w:left w:w="15" w:type="dxa"/>
              <w:bottom w:w="0" w:type="dxa"/>
              <w:right w:w="15" w:type="dxa"/>
            </w:tcMar>
            <w:vAlign w:val="center"/>
          </w:tcPr>
          <w:p w14:paraId="0AE2E0CA" w14:textId="5136B260"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48.4%</w:t>
            </w:r>
          </w:p>
        </w:tc>
        <w:tc>
          <w:tcPr>
            <w:tcW w:w="357"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tcPr>
          <w:p w14:paraId="3CD65902" w14:textId="75DD2348"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48.8%</w:t>
            </w:r>
          </w:p>
        </w:tc>
        <w:tc>
          <w:tcPr>
            <w:tcW w:w="372"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tcPr>
          <w:p w14:paraId="06218157" w14:textId="6571B552"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48.4%</w:t>
            </w:r>
          </w:p>
        </w:tc>
        <w:tc>
          <w:tcPr>
            <w:tcW w:w="360"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tcPr>
          <w:p w14:paraId="4E6B9164" w14:textId="5703F0BF"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48.8%</w:t>
            </w:r>
          </w:p>
        </w:tc>
      </w:tr>
      <w:tr w:rsidR="00983638" w:rsidRPr="00E522FE" w14:paraId="2B9E5DB6" w14:textId="77777777" w:rsidTr="00983638">
        <w:trPr>
          <w:trHeight w:val="45"/>
        </w:trPr>
        <w:tc>
          <w:tcPr>
            <w:tcW w:w="1217"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032F3370" w14:textId="650F159F" w:rsidR="00FF1084" w:rsidRPr="00E522FE" w:rsidRDefault="00FF1084" w:rsidP="007916F9">
            <w:pPr>
              <w:jc w:val="left"/>
              <w:rPr>
                <w:rFonts w:ascii="Arial Narrow" w:hAnsi="Arial Narrow"/>
                <w:sz w:val="20"/>
                <w:szCs w:val="20"/>
                <w:lang w:eastAsia="zh-CN"/>
              </w:rPr>
            </w:pPr>
            <w:r w:rsidRPr="00E522FE">
              <w:rPr>
                <w:rFonts w:ascii="Arial Narrow" w:hAnsi="Arial Narrow"/>
                <w:sz w:val="20"/>
                <w:szCs w:val="20"/>
              </w:rPr>
              <w:t>Prior anti-TNF therapy use</w:t>
            </w:r>
          </w:p>
        </w:tc>
        <w:tc>
          <w:tcPr>
            <w:tcW w:w="406"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tcPr>
          <w:p w14:paraId="44D50BDB" w14:textId="6EF8DE7C"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130 (30.3%)</w:t>
            </w:r>
          </w:p>
        </w:tc>
        <w:tc>
          <w:tcPr>
            <w:tcW w:w="407"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tcPr>
          <w:p w14:paraId="3C34A4EE" w14:textId="235ECA6B"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65 (30.1%)</w:t>
            </w:r>
          </w:p>
        </w:tc>
        <w:tc>
          <w:tcPr>
            <w:tcW w:w="406"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tcPr>
          <w:p w14:paraId="4AA81D2C" w14:textId="310396DB"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97 (39.1%)</w:t>
            </w:r>
          </w:p>
        </w:tc>
        <w:tc>
          <w:tcPr>
            <w:tcW w:w="407"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tcPr>
          <w:p w14:paraId="2E73EB3D" w14:textId="4C426FA2"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101 (41.1%)</w:t>
            </w:r>
          </w:p>
        </w:tc>
        <w:tc>
          <w:tcPr>
            <w:tcW w:w="356"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tcPr>
          <w:p w14:paraId="30145D3A" w14:textId="38AB1186"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&lt; 0.05 *</w:t>
            </w:r>
          </w:p>
        </w:tc>
        <w:tc>
          <w:tcPr>
            <w:tcW w:w="357" w:type="pct"/>
            <w:tcBorders>
              <w:top w:val="single" w:sz="8" w:space="0" w:color="595454"/>
              <w:left w:val="single" w:sz="8" w:space="0" w:color="595454"/>
              <w:bottom w:val="single" w:sz="4" w:space="0" w:color="auto"/>
              <w:right w:val="single" w:sz="24" w:space="0" w:color="595454"/>
            </w:tcBorders>
            <w:shd w:val="clear" w:color="auto" w:fill="auto"/>
            <w:tcMar>
              <w:top w:w="15" w:type="dxa"/>
              <w:left w:w="15" w:type="dxa"/>
              <w:bottom w:w="0" w:type="dxa"/>
              <w:right w:w="15" w:type="dxa"/>
            </w:tcMar>
            <w:vAlign w:val="center"/>
          </w:tcPr>
          <w:p w14:paraId="18493A49" w14:textId="513A5B25"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&lt; 0.05 *</w:t>
            </w:r>
          </w:p>
        </w:tc>
        <w:tc>
          <w:tcPr>
            <w:tcW w:w="355" w:type="pct"/>
            <w:tcBorders>
              <w:top w:val="single" w:sz="8" w:space="0" w:color="595454"/>
              <w:left w:val="single" w:sz="24" w:space="0" w:color="595454"/>
              <w:bottom w:val="single" w:sz="8" w:space="0" w:color="595454"/>
              <w:right w:val="single" w:sz="8" w:space="0" w:color="595454"/>
            </w:tcBorders>
            <w:shd w:val="clear" w:color="auto" w:fill="auto"/>
            <w:tcMar>
              <w:top w:w="15" w:type="dxa"/>
              <w:left w:w="15" w:type="dxa"/>
              <w:bottom w:w="0" w:type="dxa"/>
              <w:right w:w="15" w:type="dxa"/>
            </w:tcMar>
            <w:vAlign w:val="center"/>
          </w:tcPr>
          <w:p w14:paraId="4C4DCF8C" w14:textId="6D433A23"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39.1%</w:t>
            </w:r>
          </w:p>
        </w:tc>
        <w:tc>
          <w:tcPr>
            <w:tcW w:w="357"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tcPr>
          <w:p w14:paraId="601FFD35" w14:textId="53608A01"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41.1%</w:t>
            </w:r>
          </w:p>
        </w:tc>
        <w:tc>
          <w:tcPr>
            <w:tcW w:w="372"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tcPr>
          <w:p w14:paraId="4641C1CE" w14:textId="0E316570"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39.1%</w:t>
            </w:r>
          </w:p>
        </w:tc>
        <w:tc>
          <w:tcPr>
            <w:tcW w:w="360"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tcPr>
          <w:p w14:paraId="63B4D6B9" w14:textId="4E817F4C" w:rsidR="00FF1084" w:rsidRPr="00E522FE" w:rsidRDefault="00FF1084" w:rsidP="007916F9">
            <w:pPr>
              <w:jc w:val="center"/>
              <w:rPr>
                <w:rFonts w:ascii="Arial Narrow" w:hAnsi="Arial Narrow"/>
                <w:sz w:val="20"/>
                <w:szCs w:val="20"/>
                <w:lang w:eastAsia="zh-CN"/>
              </w:rPr>
            </w:pPr>
            <w:r w:rsidRPr="00E522FE">
              <w:rPr>
                <w:rFonts w:ascii="Arial Narrow" w:hAnsi="Arial Narrow"/>
                <w:sz w:val="20"/>
                <w:szCs w:val="20"/>
              </w:rPr>
              <w:t>41.1%</w:t>
            </w:r>
          </w:p>
        </w:tc>
      </w:tr>
    </w:tbl>
    <w:p w14:paraId="0B0203F7" w14:textId="7211E689" w:rsidR="005002BC" w:rsidRPr="007916F9" w:rsidRDefault="005002BC" w:rsidP="007916F9">
      <w:pPr>
        <w:pStyle w:val="3-BodyText"/>
        <w:numPr>
          <w:ilvl w:val="0"/>
          <w:numId w:val="0"/>
        </w:numPr>
        <w:spacing w:after="0"/>
        <w:rPr>
          <w:rFonts w:ascii="Arial Narrow" w:hAnsi="Arial Narrow"/>
          <w:color w:val="000000" w:themeColor="text1"/>
          <w:sz w:val="18"/>
          <w:szCs w:val="18"/>
        </w:rPr>
      </w:pPr>
      <w:r w:rsidRPr="007916F9">
        <w:rPr>
          <w:rFonts w:ascii="Arial Narrow" w:hAnsi="Arial Narrow"/>
          <w:color w:val="000000" w:themeColor="text1"/>
          <w:sz w:val="18"/>
          <w:szCs w:val="18"/>
        </w:rPr>
        <w:t>Source: Table 11 of Attachment 1 (MAIC OZA vs ADA Study Report March 2021.docx</w:t>
      </w:r>
      <w:r w:rsidR="004B2461" w:rsidRPr="007916F9">
        <w:rPr>
          <w:rFonts w:ascii="Arial Narrow" w:hAnsi="Arial Narrow"/>
          <w:color w:val="000000" w:themeColor="text1"/>
          <w:sz w:val="18"/>
          <w:szCs w:val="18"/>
        </w:rPr>
        <w:t xml:space="preserve">, </w:t>
      </w:r>
      <w:r w:rsidR="004B2461" w:rsidRPr="00D264AC">
        <w:rPr>
          <w:rFonts w:ascii="Arial Narrow" w:hAnsi="Arial Narrow"/>
          <w:color w:val="000000" w:themeColor="text1"/>
          <w:sz w:val="18"/>
          <w:szCs w:val="18"/>
        </w:rPr>
        <w:t>also presented in Dubinsky 2021</w:t>
      </w:r>
      <w:r w:rsidRPr="00D264AC">
        <w:rPr>
          <w:rFonts w:ascii="Arial Narrow" w:hAnsi="Arial Narrow"/>
          <w:color w:val="000000" w:themeColor="text1"/>
          <w:sz w:val="18"/>
          <w:szCs w:val="18"/>
        </w:rPr>
        <w:t>)</w:t>
      </w:r>
    </w:p>
    <w:p w14:paraId="33C6094F" w14:textId="40727CD8" w:rsidR="00E522FE" w:rsidRPr="007916F9" w:rsidRDefault="00E522FE" w:rsidP="007916F9">
      <w:pPr>
        <w:pStyle w:val="3-BodyText"/>
        <w:numPr>
          <w:ilvl w:val="0"/>
          <w:numId w:val="0"/>
        </w:numPr>
        <w:spacing w:after="0"/>
        <w:rPr>
          <w:rFonts w:ascii="Arial Narrow" w:hAnsi="Arial Narrow"/>
          <w:color w:val="000000" w:themeColor="text1"/>
          <w:sz w:val="18"/>
          <w:szCs w:val="18"/>
        </w:rPr>
      </w:pPr>
      <w:r w:rsidRPr="007916F9">
        <w:rPr>
          <w:rFonts w:ascii="Arial Narrow" w:hAnsi="Arial Narrow"/>
          <w:color w:val="000000" w:themeColor="text1"/>
          <w:sz w:val="18"/>
          <w:szCs w:val="18"/>
        </w:rPr>
        <w:t>Abbreviations: SD = standard deviation; N = number in sample; ESS = effective sample size (after matching)</w:t>
      </w:r>
    </w:p>
    <w:p w14:paraId="512B8D2F" w14:textId="79979BBF" w:rsidR="005002BC" w:rsidRDefault="005002BC">
      <w:pPr>
        <w:jc w:val="left"/>
        <w:rPr>
          <w:rFonts w:asciiTheme="minorHAnsi" w:hAnsiTheme="minorHAnsi"/>
          <w:snapToGrid w:val="0"/>
          <w:color w:val="0066FF"/>
        </w:rPr>
      </w:pPr>
    </w:p>
    <w:p w14:paraId="3FDE7E2C" w14:textId="17DCB914" w:rsidR="00894D91" w:rsidRDefault="00894D91" w:rsidP="00894D91">
      <w:pPr>
        <w:pStyle w:val="Caption"/>
      </w:pPr>
      <w:r>
        <w:t xml:space="preserve">Table </w:t>
      </w:r>
      <w:fldSimple w:instr=" SEQ Table \* ARABIC ">
        <w:r w:rsidR="00340AC7">
          <w:rPr>
            <w:noProof/>
          </w:rPr>
          <w:t>6</w:t>
        </w:r>
      </w:fldSimple>
      <w:r w:rsidRPr="00A86887">
        <w:t>: MAIC before and after matching populations –maintenance comparison of ozanimod vs adalimumab (True North vs ULTRA-2)</w:t>
      </w:r>
    </w:p>
    <w:tbl>
      <w:tblPr>
        <w:tblW w:w="5000" w:type="pct"/>
        <w:tblCellMar>
          <w:left w:w="0" w:type="dxa"/>
          <w:right w:w="0" w:type="dxa"/>
        </w:tblCellMar>
        <w:tblLook w:val="0600" w:firstRow="0" w:lastRow="0" w:firstColumn="0" w:lastColumn="0" w:noHBand="1" w:noVBand="1"/>
      </w:tblPr>
      <w:tblGrid>
        <w:gridCol w:w="3392"/>
        <w:gridCol w:w="1134"/>
        <w:gridCol w:w="1135"/>
        <w:gridCol w:w="1132"/>
        <w:gridCol w:w="1132"/>
        <w:gridCol w:w="993"/>
        <w:gridCol w:w="995"/>
        <w:gridCol w:w="990"/>
        <w:gridCol w:w="1034"/>
        <w:gridCol w:w="1013"/>
        <w:gridCol w:w="990"/>
      </w:tblGrid>
      <w:tr w:rsidR="005002BC" w:rsidRPr="005002BC" w14:paraId="379B76ED" w14:textId="77777777" w:rsidTr="009600D2">
        <w:trPr>
          <w:trHeight w:val="168"/>
        </w:trPr>
        <w:tc>
          <w:tcPr>
            <w:tcW w:w="1217" w:type="pct"/>
            <w:vMerge w:val="restar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4FB9EEAD" w14:textId="77777777" w:rsidR="005002BC" w:rsidRPr="005002BC" w:rsidRDefault="005002BC" w:rsidP="007916F9">
            <w:pPr>
              <w:pStyle w:val="BMSBodyText"/>
              <w:spacing w:after="0" w:line="240" w:lineRule="auto"/>
              <w:jc w:val="left"/>
              <w:rPr>
                <w:rFonts w:ascii="Arial Narrow" w:hAnsi="Arial Narrow"/>
                <w:b/>
                <w:bCs/>
                <w:sz w:val="20"/>
              </w:rPr>
            </w:pPr>
            <w:r w:rsidRPr="005002BC">
              <w:rPr>
                <w:rFonts w:ascii="Arial Narrow" w:hAnsi="Arial Narrow"/>
                <w:b/>
                <w:bCs/>
                <w:sz w:val="20"/>
              </w:rPr>
              <w:t>Baseline Matching Variables</w:t>
            </w:r>
          </w:p>
          <w:p w14:paraId="2B0653EB" w14:textId="77777777" w:rsidR="005002BC" w:rsidRPr="005002BC" w:rsidRDefault="005002BC" w:rsidP="007916F9">
            <w:pPr>
              <w:pStyle w:val="BMSBodyText"/>
              <w:spacing w:after="0" w:line="240" w:lineRule="auto"/>
              <w:jc w:val="left"/>
              <w:rPr>
                <w:rFonts w:ascii="Arial Narrow" w:hAnsi="Arial Narrow"/>
                <w:b/>
                <w:bCs/>
                <w:sz w:val="20"/>
              </w:rPr>
            </w:pPr>
            <w:r w:rsidRPr="005002BC">
              <w:rPr>
                <w:rFonts w:ascii="Arial Narrow" w:hAnsi="Arial Narrow"/>
                <w:b/>
                <w:bCs/>
                <w:sz w:val="20"/>
              </w:rPr>
              <w:t>Mean (SD); n (%)</w:t>
            </w:r>
          </w:p>
          <w:p w14:paraId="2CCE1585" w14:textId="77777777" w:rsidR="005002BC" w:rsidRPr="005002BC" w:rsidRDefault="005002BC" w:rsidP="007916F9">
            <w:pPr>
              <w:jc w:val="left"/>
              <w:rPr>
                <w:rFonts w:ascii="Arial Narrow" w:hAnsi="Arial Narrow"/>
                <w:b/>
                <w:bCs/>
                <w:sz w:val="20"/>
                <w:szCs w:val="20"/>
                <w:lang w:eastAsia="zh-CN"/>
              </w:rPr>
            </w:pPr>
          </w:p>
        </w:tc>
        <w:tc>
          <w:tcPr>
            <w:tcW w:w="2339" w:type="pct"/>
            <w:gridSpan w:val="6"/>
            <w:tcBorders>
              <w:top w:val="single" w:sz="8" w:space="0" w:color="595454"/>
              <w:left w:val="single" w:sz="8" w:space="0" w:color="595454"/>
              <w:bottom w:val="single" w:sz="8" w:space="0" w:color="595454"/>
              <w:right w:val="single" w:sz="24" w:space="0" w:color="595454"/>
            </w:tcBorders>
            <w:shd w:val="clear" w:color="auto" w:fill="auto"/>
            <w:tcMar>
              <w:top w:w="14" w:type="dxa"/>
              <w:left w:w="14" w:type="dxa"/>
              <w:bottom w:w="0" w:type="dxa"/>
              <w:right w:w="14" w:type="dxa"/>
            </w:tcMar>
            <w:vAlign w:val="center"/>
            <w:hideMark/>
          </w:tcPr>
          <w:p w14:paraId="791C5D2A" w14:textId="77777777" w:rsidR="005002BC" w:rsidRPr="005002BC" w:rsidRDefault="005002BC" w:rsidP="007916F9">
            <w:pPr>
              <w:jc w:val="center"/>
              <w:rPr>
                <w:rFonts w:ascii="Arial Narrow" w:hAnsi="Arial Narrow"/>
                <w:b/>
                <w:bCs/>
                <w:sz w:val="20"/>
                <w:szCs w:val="20"/>
                <w:lang w:eastAsia="zh-CN"/>
              </w:rPr>
            </w:pPr>
            <w:r w:rsidRPr="005002BC">
              <w:rPr>
                <w:rFonts w:ascii="Arial Narrow" w:hAnsi="Arial Narrow"/>
                <w:b/>
                <w:bCs/>
                <w:sz w:val="20"/>
                <w:szCs w:val="20"/>
              </w:rPr>
              <w:t>Before matching</w:t>
            </w:r>
          </w:p>
        </w:tc>
        <w:tc>
          <w:tcPr>
            <w:tcW w:w="1444" w:type="pct"/>
            <w:gridSpan w:val="4"/>
            <w:tcBorders>
              <w:top w:val="single" w:sz="8" w:space="0" w:color="595454"/>
              <w:left w:val="single" w:sz="24"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502F09E5" w14:textId="77777777" w:rsidR="005002BC" w:rsidRPr="005002BC" w:rsidRDefault="005002BC" w:rsidP="007916F9">
            <w:pPr>
              <w:jc w:val="center"/>
              <w:rPr>
                <w:rFonts w:ascii="Arial Narrow" w:hAnsi="Arial Narrow"/>
                <w:b/>
                <w:bCs/>
                <w:sz w:val="20"/>
                <w:szCs w:val="20"/>
                <w:lang w:eastAsia="zh-CN"/>
              </w:rPr>
            </w:pPr>
            <w:r w:rsidRPr="005002BC">
              <w:rPr>
                <w:rFonts w:ascii="Arial Narrow" w:hAnsi="Arial Narrow"/>
                <w:b/>
                <w:bCs/>
                <w:sz w:val="20"/>
                <w:szCs w:val="20"/>
              </w:rPr>
              <w:t>After matching</w:t>
            </w:r>
          </w:p>
        </w:tc>
      </w:tr>
      <w:tr w:rsidR="009600D2" w:rsidRPr="005002BC" w14:paraId="26E4FAFD" w14:textId="77777777" w:rsidTr="009600D2">
        <w:trPr>
          <w:trHeight w:val="247"/>
        </w:trPr>
        <w:tc>
          <w:tcPr>
            <w:tcW w:w="1217" w:type="pct"/>
            <w:vMerge/>
            <w:tcBorders>
              <w:top w:val="single" w:sz="8" w:space="0" w:color="595454"/>
              <w:left w:val="single" w:sz="8" w:space="0" w:color="595454"/>
              <w:bottom w:val="single" w:sz="8" w:space="0" w:color="595454"/>
              <w:right w:val="single" w:sz="8" w:space="0" w:color="595454"/>
            </w:tcBorders>
            <w:vAlign w:val="center"/>
            <w:hideMark/>
          </w:tcPr>
          <w:p w14:paraId="622E28AE" w14:textId="77777777" w:rsidR="00983638" w:rsidRPr="005002BC" w:rsidRDefault="00983638" w:rsidP="007916F9">
            <w:pPr>
              <w:jc w:val="left"/>
              <w:rPr>
                <w:rFonts w:ascii="Arial Narrow" w:hAnsi="Arial Narrow"/>
                <w:b/>
                <w:bCs/>
                <w:sz w:val="20"/>
                <w:szCs w:val="20"/>
                <w:lang w:eastAsia="zh-CN"/>
              </w:rPr>
            </w:pPr>
          </w:p>
        </w:tc>
        <w:tc>
          <w:tcPr>
            <w:tcW w:w="814" w:type="pct"/>
            <w:gridSpan w:val="2"/>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1FDB7919" w14:textId="60488EC1" w:rsidR="00983638" w:rsidRPr="005002BC" w:rsidRDefault="00983638" w:rsidP="007916F9">
            <w:pPr>
              <w:jc w:val="center"/>
              <w:rPr>
                <w:rFonts w:ascii="Arial Narrow" w:hAnsi="Arial Narrow"/>
                <w:b/>
                <w:bCs/>
                <w:sz w:val="20"/>
                <w:szCs w:val="20"/>
                <w:lang w:eastAsia="zh-CN"/>
              </w:rPr>
            </w:pPr>
            <w:r w:rsidRPr="005002BC">
              <w:rPr>
                <w:rFonts w:ascii="Arial Narrow" w:hAnsi="Arial Narrow"/>
                <w:b/>
                <w:bCs/>
                <w:sz w:val="20"/>
                <w:szCs w:val="20"/>
              </w:rPr>
              <w:t>T</w:t>
            </w:r>
            <w:r>
              <w:rPr>
                <w:rFonts w:ascii="Arial Narrow" w:hAnsi="Arial Narrow"/>
                <w:b/>
                <w:bCs/>
                <w:sz w:val="20"/>
                <w:szCs w:val="20"/>
              </w:rPr>
              <w:t>rue North</w:t>
            </w:r>
          </w:p>
        </w:tc>
        <w:tc>
          <w:tcPr>
            <w:tcW w:w="812" w:type="pct"/>
            <w:gridSpan w:val="2"/>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41C17E69" w14:textId="77777777" w:rsidR="00983638" w:rsidRPr="005002BC" w:rsidRDefault="00983638" w:rsidP="007916F9">
            <w:pPr>
              <w:jc w:val="center"/>
              <w:rPr>
                <w:rFonts w:ascii="Arial Narrow" w:hAnsi="Arial Narrow"/>
                <w:b/>
                <w:bCs/>
                <w:sz w:val="20"/>
                <w:szCs w:val="20"/>
                <w:lang w:eastAsia="zh-CN"/>
              </w:rPr>
            </w:pPr>
            <w:r w:rsidRPr="005002BC">
              <w:rPr>
                <w:rFonts w:ascii="Arial Narrow" w:hAnsi="Arial Narrow"/>
                <w:b/>
                <w:bCs/>
                <w:sz w:val="20"/>
                <w:szCs w:val="20"/>
              </w:rPr>
              <w:t>ULTRA 2</w:t>
            </w:r>
          </w:p>
        </w:tc>
        <w:tc>
          <w:tcPr>
            <w:tcW w:w="713" w:type="pct"/>
            <w:gridSpan w:val="2"/>
            <w:vMerge w:val="restart"/>
            <w:tcBorders>
              <w:top w:val="single" w:sz="8" w:space="0" w:color="595454"/>
              <w:left w:val="single" w:sz="8" w:space="0" w:color="595454"/>
              <w:right w:val="single" w:sz="24" w:space="0" w:color="595454"/>
            </w:tcBorders>
            <w:shd w:val="clear" w:color="auto" w:fill="auto"/>
            <w:tcMar>
              <w:top w:w="14" w:type="dxa"/>
              <w:left w:w="14" w:type="dxa"/>
              <w:bottom w:w="0" w:type="dxa"/>
              <w:right w:w="14" w:type="dxa"/>
            </w:tcMar>
            <w:vAlign w:val="center"/>
            <w:hideMark/>
          </w:tcPr>
          <w:p w14:paraId="371B632D" w14:textId="77777777" w:rsidR="00983638" w:rsidRPr="005002BC" w:rsidRDefault="00983638" w:rsidP="007916F9">
            <w:pPr>
              <w:jc w:val="center"/>
              <w:rPr>
                <w:rFonts w:ascii="Arial Narrow" w:hAnsi="Arial Narrow"/>
                <w:b/>
                <w:bCs/>
                <w:sz w:val="20"/>
                <w:szCs w:val="20"/>
                <w:lang w:eastAsia="zh-CN"/>
              </w:rPr>
            </w:pPr>
            <w:r w:rsidRPr="005002BC">
              <w:rPr>
                <w:rFonts w:ascii="Arial Narrow" w:hAnsi="Arial Narrow"/>
                <w:b/>
                <w:bCs/>
                <w:color w:val="000000" w:themeColor="text1"/>
                <w:kern w:val="24"/>
                <w:sz w:val="20"/>
                <w:szCs w:val="20"/>
                <w:lang w:eastAsia="zh-CN"/>
              </w:rPr>
              <w:t>P-values</w:t>
            </w:r>
          </w:p>
        </w:tc>
        <w:tc>
          <w:tcPr>
            <w:tcW w:w="726" w:type="pct"/>
            <w:gridSpan w:val="2"/>
            <w:tcBorders>
              <w:top w:val="single" w:sz="8" w:space="0" w:color="595454"/>
              <w:left w:val="single" w:sz="24"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30B897CE" w14:textId="4C54C2A5" w:rsidR="00983638" w:rsidRPr="005002BC" w:rsidRDefault="00983638" w:rsidP="007916F9">
            <w:pPr>
              <w:jc w:val="center"/>
              <w:rPr>
                <w:rFonts w:ascii="Arial Narrow" w:hAnsi="Arial Narrow"/>
                <w:b/>
                <w:bCs/>
                <w:sz w:val="20"/>
                <w:szCs w:val="20"/>
                <w:lang w:eastAsia="zh-CN"/>
              </w:rPr>
            </w:pPr>
            <w:r w:rsidRPr="005002BC">
              <w:rPr>
                <w:rFonts w:ascii="Arial Narrow" w:hAnsi="Arial Narrow"/>
                <w:b/>
                <w:bCs/>
                <w:sz w:val="20"/>
                <w:szCs w:val="20"/>
              </w:rPr>
              <w:t>T</w:t>
            </w:r>
            <w:r>
              <w:rPr>
                <w:rFonts w:ascii="Arial Narrow" w:hAnsi="Arial Narrow"/>
                <w:b/>
                <w:bCs/>
                <w:sz w:val="20"/>
                <w:szCs w:val="20"/>
              </w:rPr>
              <w:t>rue North</w:t>
            </w:r>
          </w:p>
        </w:tc>
        <w:tc>
          <w:tcPr>
            <w:tcW w:w="718" w:type="pct"/>
            <w:gridSpan w:val="2"/>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34A4873D" w14:textId="77777777" w:rsidR="00983638" w:rsidRPr="005002BC" w:rsidRDefault="00983638" w:rsidP="007916F9">
            <w:pPr>
              <w:jc w:val="center"/>
              <w:rPr>
                <w:rFonts w:ascii="Arial Narrow" w:hAnsi="Arial Narrow"/>
                <w:b/>
                <w:bCs/>
                <w:sz w:val="20"/>
                <w:szCs w:val="20"/>
                <w:lang w:eastAsia="zh-CN"/>
              </w:rPr>
            </w:pPr>
            <w:r w:rsidRPr="005002BC">
              <w:rPr>
                <w:rFonts w:ascii="Arial Narrow" w:hAnsi="Arial Narrow"/>
                <w:b/>
                <w:bCs/>
                <w:sz w:val="20"/>
                <w:szCs w:val="20"/>
              </w:rPr>
              <w:t>ULTRA 2</w:t>
            </w:r>
          </w:p>
        </w:tc>
      </w:tr>
      <w:tr w:rsidR="009600D2" w:rsidRPr="005002BC" w14:paraId="7588E8F3" w14:textId="77777777" w:rsidTr="009600D2">
        <w:trPr>
          <w:trHeight w:val="40"/>
        </w:trPr>
        <w:tc>
          <w:tcPr>
            <w:tcW w:w="1217" w:type="pct"/>
            <w:vMerge/>
            <w:tcBorders>
              <w:top w:val="single" w:sz="8" w:space="0" w:color="595454"/>
              <w:left w:val="single" w:sz="8" w:space="0" w:color="595454"/>
              <w:bottom w:val="single" w:sz="8" w:space="0" w:color="595454"/>
              <w:right w:val="single" w:sz="8" w:space="0" w:color="595454"/>
            </w:tcBorders>
            <w:vAlign w:val="center"/>
            <w:hideMark/>
          </w:tcPr>
          <w:p w14:paraId="397D8EDB" w14:textId="77777777" w:rsidR="00983638" w:rsidRPr="005002BC" w:rsidRDefault="00983638" w:rsidP="007916F9">
            <w:pPr>
              <w:jc w:val="left"/>
              <w:rPr>
                <w:rFonts w:ascii="Arial Narrow" w:hAnsi="Arial Narrow"/>
                <w:b/>
                <w:bCs/>
                <w:sz w:val="20"/>
                <w:szCs w:val="20"/>
                <w:lang w:eastAsia="zh-CN"/>
              </w:rPr>
            </w:pPr>
          </w:p>
        </w:tc>
        <w:tc>
          <w:tcPr>
            <w:tcW w:w="407"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20DE4452" w14:textId="6FA6FC9F" w:rsidR="00983638" w:rsidRPr="005002BC" w:rsidRDefault="00983638" w:rsidP="007916F9">
            <w:pPr>
              <w:jc w:val="center"/>
              <w:rPr>
                <w:rFonts w:ascii="Arial Narrow" w:hAnsi="Arial Narrow"/>
                <w:b/>
                <w:bCs/>
                <w:sz w:val="20"/>
                <w:szCs w:val="20"/>
                <w:lang w:eastAsia="zh-CN"/>
              </w:rPr>
            </w:pPr>
            <w:r w:rsidRPr="005002BC">
              <w:rPr>
                <w:rFonts w:ascii="Arial Narrow" w:hAnsi="Arial Narrow"/>
                <w:b/>
                <w:bCs/>
                <w:sz w:val="20"/>
                <w:szCs w:val="20"/>
              </w:rPr>
              <w:t>Ozanimod</w:t>
            </w:r>
          </w:p>
        </w:tc>
        <w:tc>
          <w:tcPr>
            <w:tcW w:w="407"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09EFD2B0" w14:textId="64AD7CD1" w:rsidR="00983638" w:rsidRPr="005002BC" w:rsidRDefault="00983638" w:rsidP="007916F9">
            <w:pPr>
              <w:jc w:val="center"/>
              <w:rPr>
                <w:rFonts w:ascii="Arial Narrow" w:hAnsi="Arial Narrow"/>
                <w:b/>
                <w:bCs/>
                <w:sz w:val="20"/>
                <w:szCs w:val="20"/>
                <w:lang w:eastAsia="zh-CN"/>
              </w:rPr>
            </w:pPr>
            <w:r w:rsidRPr="005002BC">
              <w:rPr>
                <w:rFonts w:ascii="Arial Narrow" w:hAnsi="Arial Narrow"/>
                <w:b/>
                <w:bCs/>
                <w:sz w:val="20"/>
                <w:szCs w:val="20"/>
              </w:rPr>
              <w:t>Placebo</w:t>
            </w:r>
          </w:p>
        </w:tc>
        <w:tc>
          <w:tcPr>
            <w:tcW w:w="406"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507255B2" w14:textId="32847063" w:rsidR="00983638" w:rsidRPr="005002BC" w:rsidRDefault="00983638" w:rsidP="007916F9">
            <w:pPr>
              <w:jc w:val="center"/>
              <w:rPr>
                <w:rFonts w:ascii="Arial Narrow" w:hAnsi="Arial Narrow"/>
                <w:b/>
                <w:bCs/>
                <w:sz w:val="20"/>
                <w:szCs w:val="20"/>
                <w:lang w:eastAsia="zh-CN"/>
              </w:rPr>
            </w:pPr>
            <w:r w:rsidRPr="005002BC">
              <w:rPr>
                <w:rFonts w:ascii="Arial Narrow" w:hAnsi="Arial Narrow"/>
                <w:b/>
                <w:bCs/>
                <w:sz w:val="20"/>
                <w:szCs w:val="20"/>
              </w:rPr>
              <w:t>Adalimumab</w:t>
            </w:r>
          </w:p>
        </w:tc>
        <w:tc>
          <w:tcPr>
            <w:tcW w:w="406"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4D4E6A80" w14:textId="0E734F72" w:rsidR="00983638" w:rsidRPr="005002BC" w:rsidRDefault="00983638" w:rsidP="007916F9">
            <w:pPr>
              <w:jc w:val="center"/>
              <w:rPr>
                <w:rFonts w:ascii="Arial Narrow" w:hAnsi="Arial Narrow"/>
                <w:b/>
                <w:bCs/>
                <w:sz w:val="20"/>
                <w:szCs w:val="20"/>
                <w:lang w:eastAsia="zh-CN"/>
              </w:rPr>
            </w:pPr>
            <w:r w:rsidRPr="005002BC">
              <w:rPr>
                <w:rFonts w:ascii="Arial Narrow" w:hAnsi="Arial Narrow"/>
                <w:b/>
                <w:bCs/>
                <w:sz w:val="20"/>
                <w:szCs w:val="20"/>
              </w:rPr>
              <w:t>Placebo</w:t>
            </w:r>
          </w:p>
        </w:tc>
        <w:tc>
          <w:tcPr>
            <w:tcW w:w="713" w:type="pct"/>
            <w:gridSpan w:val="2"/>
            <w:vMerge/>
            <w:tcBorders>
              <w:left w:val="single" w:sz="8" w:space="0" w:color="595454"/>
              <w:bottom w:val="single" w:sz="8" w:space="0" w:color="595454"/>
              <w:right w:val="single" w:sz="24" w:space="0" w:color="595454"/>
            </w:tcBorders>
            <w:shd w:val="clear" w:color="auto" w:fill="auto"/>
            <w:tcMar>
              <w:top w:w="14" w:type="dxa"/>
              <w:left w:w="14" w:type="dxa"/>
              <w:bottom w:w="0" w:type="dxa"/>
              <w:right w:w="14" w:type="dxa"/>
            </w:tcMar>
            <w:vAlign w:val="center"/>
            <w:hideMark/>
          </w:tcPr>
          <w:p w14:paraId="640D99C9" w14:textId="4CA65ED3" w:rsidR="00983638" w:rsidRPr="005002BC" w:rsidRDefault="00983638" w:rsidP="007916F9">
            <w:pPr>
              <w:jc w:val="center"/>
              <w:rPr>
                <w:rFonts w:ascii="Arial Narrow" w:hAnsi="Arial Narrow"/>
                <w:b/>
                <w:bCs/>
                <w:sz w:val="20"/>
                <w:szCs w:val="20"/>
                <w:lang w:eastAsia="zh-CN"/>
              </w:rPr>
            </w:pPr>
          </w:p>
        </w:tc>
        <w:tc>
          <w:tcPr>
            <w:tcW w:w="355" w:type="pct"/>
            <w:tcBorders>
              <w:top w:val="single" w:sz="8" w:space="0" w:color="595454"/>
              <w:left w:val="single" w:sz="24"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78D1913A" w14:textId="3AC37AED" w:rsidR="00983638" w:rsidRPr="005002BC" w:rsidRDefault="00983638" w:rsidP="007916F9">
            <w:pPr>
              <w:jc w:val="center"/>
              <w:rPr>
                <w:rFonts w:ascii="Arial Narrow" w:hAnsi="Arial Narrow"/>
                <w:b/>
                <w:bCs/>
                <w:sz w:val="20"/>
                <w:szCs w:val="20"/>
                <w:lang w:eastAsia="zh-CN"/>
              </w:rPr>
            </w:pPr>
            <w:r w:rsidRPr="005002BC">
              <w:rPr>
                <w:rFonts w:ascii="Arial Narrow" w:hAnsi="Arial Narrow"/>
                <w:b/>
                <w:bCs/>
                <w:sz w:val="20"/>
                <w:szCs w:val="20"/>
              </w:rPr>
              <w:t>Ozanimod</w:t>
            </w:r>
          </w:p>
        </w:tc>
        <w:tc>
          <w:tcPr>
            <w:tcW w:w="371"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1ABD5CC7" w14:textId="2206B3EB" w:rsidR="00983638" w:rsidRPr="005002BC" w:rsidRDefault="00983638" w:rsidP="007916F9">
            <w:pPr>
              <w:jc w:val="center"/>
              <w:rPr>
                <w:rFonts w:ascii="Arial Narrow" w:hAnsi="Arial Narrow"/>
                <w:b/>
                <w:bCs/>
                <w:sz w:val="20"/>
                <w:szCs w:val="20"/>
                <w:lang w:eastAsia="zh-CN"/>
              </w:rPr>
            </w:pPr>
            <w:r w:rsidRPr="005002BC">
              <w:rPr>
                <w:rFonts w:ascii="Arial Narrow" w:hAnsi="Arial Narrow"/>
                <w:b/>
                <w:bCs/>
                <w:sz w:val="20"/>
                <w:szCs w:val="20"/>
              </w:rPr>
              <w:t>Placebo</w:t>
            </w:r>
          </w:p>
        </w:tc>
        <w:tc>
          <w:tcPr>
            <w:tcW w:w="363"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6D9CF7C3" w14:textId="4E8CE593" w:rsidR="00983638" w:rsidRPr="005002BC" w:rsidRDefault="00983638" w:rsidP="007916F9">
            <w:pPr>
              <w:jc w:val="center"/>
              <w:rPr>
                <w:rFonts w:ascii="Arial Narrow" w:hAnsi="Arial Narrow"/>
                <w:b/>
                <w:bCs/>
                <w:sz w:val="20"/>
                <w:szCs w:val="20"/>
                <w:lang w:eastAsia="zh-CN"/>
              </w:rPr>
            </w:pPr>
            <w:r w:rsidRPr="005002BC">
              <w:rPr>
                <w:rFonts w:ascii="Arial Narrow" w:hAnsi="Arial Narrow"/>
                <w:b/>
                <w:bCs/>
                <w:sz w:val="20"/>
                <w:szCs w:val="20"/>
              </w:rPr>
              <w:t>Adalimumab</w:t>
            </w:r>
          </w:p>
        </w:tc>
        <w:tc>
          <w:tcPr>
            <w:tcW w:w="355"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39D9D9E5" w14:textId="2F2F3956" w:rsidR="00983638" w:rsidRPr="005002BC" w:rsidRDefault="00983638" w:rsidP="007916F9">
            <w:pPr>
              <w:jc w:val="center"/>
              <w:rPr>
                <w:rFonts w:ascii="Arial Narrow" w:hAnsi="Arial Narrow"/>
                <w:b/>
                <w:bCs/>
                <w:sz w:val="20"/>
                <w:szCs w:val="20"/>
                <w:lang w:eastAsia="zh-CN"/>
              </w:rPr>
            </w:pPr>
            <w:r w:rsidRPr="005002BC">
              <w:rPr>
                <w:rFonts w:ascii="Arial Narrow" w:hAnsi="Arial Narrow"/>
                <w:b/>
                <w:bCs/>
                <w:sz w:val="20"/>
                <w:szCs w:val="20"/>
              </w:rPr>
              <w:t>Placebo</w:t>
            </w:r>
          </w:p>
        </w:tc>
      </w:tr>
      <w:tr w:rsidR="009600D2" w:rsidRPr="005002BC" w14:paraId="4DEEC771" w14:textId="77777777" w:rsidTr="009600D2">
        <w:trPr>
          <w:trHeight w:val="247"/>
        </w:trPr>
        <w:tc>
          <w:tcPr>
            <w:tcW w:w="1217" w:type="pct"/>
            <w:vMerge/>
            <w:tcBorders>
              <w:top w:val="single" w:sz="8" w:space="0" w:color="595454"/>
              <w:left w:val="single" w:sz="8" w:space="0" w:color="595454"/>
              <w:bottom w:val="single" w:sz="8" w:space="0" w:color="595454"/>
              <w:right w:val="single" w:sz="8" w:space="0" w:color="595454"/>
            </w:tcBorders>
            <w:vAlign w:val="center"/>
            <w:hideMark/>
          </w:tcPr>
          <w:p w14:paraId="205DAC6A" w14:textId="77777777" w:rsidR="005002BC" w:rsidRPr="005002BC" w:rsidRDefault="005002BC" w:rsidP="007916F9">
            <w:pPr>
              <w:jc w:val="left"/>
              <w:rPr>
                <w:rFonts w:ascii="Arial Narrow" w:hAnsi="Arial Narrow"/>
                <w:sz w:val="20"/>
                <w:szCs w:val="20"/>
                <w:lang w:eastAsia="zh-CN"/>
              </w:rPr>
            </w:pPr>
          </w:p>
        </w:tc>
        <w:tc>
          <w:tcPr>
            <w:tcW w:w="407"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44AC14FB" w14:textId="34F9A8CD" w:rsidR="005002BC" w:rsidRPr="005002BC" w:rsidRDefault="005002BC" w:rsidP="007916F9">
            <w:pPr>
              <w:jc w:val="center"/>
              <w:rPr>
                <w:rFonts w:ascii="Arial Narrow" w:hAnsi="Arial Narrow"/>
                <w:sz w:val="20"/>
                <w:szCs w:val="20"/>
                <w:lang w:eastAsia="zh-CN"/>
              </w:rPr>
            </w:pPr>
            <w:r w:rsidRPr="005002BC">
              <w:rPr>
                <w:rFonts w:ascii="Arial Narrow" w:hAnsi="Arial Narrow"/>
                <w:sz w:val="20"/>
                <w:szCs w:val="20"/>
              </w:rPr>
              <w:t>N = 230</w:t>
            </w:r>
          </w:p>
        </w:tc>
        <w:tc>
          <w:tcPr>
            <w:tcW w:w="407"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18ADBD0C" w14:textId="33E7B240" w:rsidR="005002BC" w:rsidRPr="005002BC" w:rsidRDefault="005002BC" w:rsidP="007916F9">
            <w:pPr>
              <w:jc w:val="center"/>
              <w:rPr>
                <w:rFonts w:ascii="Arial Narrow" w:hAnsi="Arial Narrow"/>
                <w:sz w:val="20"/>
                <w:szCs w:val="20"/>
                <w:lang w:eastAsia="zh-CN"/>
              </w:rPr>
            </w:pPr>
            <w:r w:rsidRPr="005002BC">
              <w:rPr>
                <w:rFonts w:ascii="Arial Narrow" w:hAnsi="Arial Narrow"/>
                <w:sz w:val="20"/>
                <w:szCs w:val="20"/>
              </w:rPr>
              <w:t>N = 227</w:t>
            </w:r>
          </w:p>
        </w:tc>
        <w:tc>
          <w:tcPr>
            <w:tcW w:w="406"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5C3A435C" w14:textId="6412D5DF" w:rsidR="005002BC" w:rsidRPr="005002BC" w:rsidRDefault="005002BC" w:rsidP="007916F9">
            <w:pPr>
              <w:jc w:val="center"/>
              <w:rPr>
                <w:rFonts w:ascii="Arial Narrow" w:hAnsi="Arial Narrow"/>
                <w:sz w:val="20"/>
                <w:szCs w:val="20"/>
                <w:lang w:eastAsia="zh-CN"/>
              </w:rPr>
            </w:pPr>
            <w:r w:rsidRPr="005002BC">
              <w:rPr>
                <w:rFonts w:ascii="Arial Narrow" w:hAnsi="Arial Narrow"/>
                <w:sz w:val="20"/>
                <w:szCs w:val="20"/>
              </w:rPr>
              <w:t>N = 125</w:t>
            </w:r>
          </w:p>
        </w:tc>
        <w:tc>
          <w:tcPr>
            <w:tcW w:w="406"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4236FDA2" w14:textId="4023D697" w:rsidR="005002BC" w:rsidRPr="005002BC" w:rsidRDefault="005002BC" w:rsidP="007916F9">
            <w:pPr>
              <w:jc w:val="center"/>
              <w:rPr>
                <w:rFonts w:ascii="Arial Narrow" w:hAnsi="Arial Narrow"/>
                <w:sz w:val="20"/>
                <w:szCs w:val="20"/>
                <w:lang w:eastAsia="zh-CN"/>
              </w:rPr>
            </w:pPr>
            <w:r w:rsidRPr="005002BC">
              <w:rPr>
                <w:rFonts w:ascii="Arial Narrow" w:hAnsi="Arial Narrow"/>
                <w:sz w:val="20"/>
                <w:szCs w:val="20"/>
              </w:rPr>
              <w:t>N = 85</w:t>
            </w:r>
          </w:p>
        </w:tc>
        <w:tc>
          <w:tcPr>
            <w:tcW w:w="356"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52AD0831" w14:textId="34482D5B" w:rsidR="005002BC" w:rsidRPr="005002BC" w:rsidRDefault="005002BC" w:rsidP="007916F9">
            <w:pPr>
              <w:jc w:val="center"/>
              <w:rPr>
                <w:rFonts w:ascii="Arial Narrow" w:hAnsi="Arial Narrow"/>
                <w:sz w:val="20"/>
                <w:szCs w:val="20"/>
                <w:lang w:eastAsia="zh-CN"/>
              </w:rPr>
            </w:pPr>
            <w:r w:rsidRPr="005002BC">
              <w:rPr>
                <w:rFonts w:ascii="Arial Narrow" w:hAnsi="Arial Narrow"/>
                <w:sz w:val="20"/>
                <w:szCs w:val="20"/>
              </w:rPr>
              <w:t>p-value</w:t>
            </w:r>
          </w:p>
        </w:tc>
        <w:tc>
          <w:tcPr>
            <w:tcW w:w="357" w:type="pct"/>
            <w:tcBorders>
              <w:top w:val="single" w:sz="8" w:space="0" w:color="595454"/>
              <w:left w:val="single" w:sz="8" w:space="0" w:color="595454"/>
              <w:bottom w:val="single" w:sz="8" w:space="0" w:color="595454"/>
              <w:right w:val="single" w:sz="24" w:space="0" w:color="595454"/>
            </w:tcBorders>
            <w:shd w:val="clear" w:color="auto" w:fill="auto"/>
            <w:tcMar>
              <w:top w:w="14" w:type="dxa"/>
              <w:left w:w="14" w:type="dxa"/>
              <w:bottom w:w="0" w:type="dxa"/>
              <w:right w:w="14" w:type="dxa"/>
            </w:tcMar>
            <w:vAlign w:val="center"/>
            <w:hideMark/>
          </w:tcPr>
          <w:p w14:paraId="53201F8F" w14:textId="4BBBA2FC" w:rsidR="005002BC" w:rsidRPr="005002BC" w:rsidRDefault="005002BC" w:rsidP="007916F9">
            <w:pPr>
              <w:jc w:val="center"/>
              <w:rPr>
                <w:rFonts w:ascii="Arial Narrow" w:hAnsi="Arial Narrow"/>
                <w:sz w:val="20"/>
                <w:szCs w:val="20"/>
                <w:lang w:eastAsia="zh-CN"/>
              </w:rPr>
            </w:pPr>
            <w:r w:rsidRPr="005002BC">
              <w:rPr>
                <w:rFonts w:ascii="Arial Narrow" w:hAnsi="Arial Narrow"/>
                <w:sz w:val="20"/>
                <w:szCs w:val="20"/>
              </w:rPr>
              <w:t>p-value</w:t>
            </w:r>
          </w:p>
        </w:tc>
        <w:tc>
          <w:tcPr>
            <w:tcW w:w="355" w:type="pct"/>
            <w:tcBorders>
              <w:top w:val="single" w:sz="8" w:space="0" w:color="595454"/>
              <w:left w:val="single" w:sz="24"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5A90A472" w14:textId="77777777" w:rsidR="005002BC" w:rsidRPr="005002BC" w:rsidRDefault="005002BC" w:rsidP="007916F9">
            <w:pPr>
              <w:jc w:val="center"/>
              <w:rPr>
                <w:rFonts w:ascii="Arial Narrow" w:hAnsi="Arial Narrow"/>
                <w:sz w:val="20"/>
                <w:szCs w:val="20"/>
              </w:rPr>
            </w:pPr>
            <w:r w:rsidRPr="005002BC">
              <w:rPr>
                <w:rFonts w:ascii="Arial Narrow" w:hAnsi="Arial Narrow"/>
                <w:sz w:val="20"/>
                <w:szCs w:val="20"/>
              </w:rPr>
              <w:t>N = 230</w:t>
            </w:r>
          </w:p>
          <w:p w14:paraId="12679009" w14:textId="7A019622" w:rsidR="005002BC" w:rsidRPr="005002BC" w:rsidRDefault="005002BC" w:rsidP="007916F9">
            <w:pPr>
              <w:jc w:val="center"/>
              <w:rPr>
                <w:rFonts w:ascii="Arial Narrow" w:hAnsi="Arial Narrow"/>
                <w:sz w:val="20"/>
                <w:szCs w:val="20"/>
                <w:lang w:eastAsia="zh-CN"/>
              </w:rPr>
            </w:pPr>
            <w:r w:rsidRPr="005002BC">
              <w:rPr>
                <w:rFonts w:ascii="Arial Narrow" w:hAnsi="Arial Narrow"/>
                <w:sz w:val="20"/>
                <w:szCs w:val="20"/>
              </w:rPr>
              <w:t>ESS = 168</w:t>
            </w:r>
          </w:p>
        </w:tc>
        <w:tc>
          <w:tcPr>
            <w:tcW w:w="371"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7EBAD481" w14:textId="77777777" w:rsidR="005002BC" w:rsidRPr="005002BC" w:rsidRDefault="005002BC" w:rsidP="007916F9">
            <w:pPr>
              <w:jc w:val="center"/>
              <w:rPr>
                <w:rFonts w:ascii="Arial Narrow" w:hAnsi="Arial Narrow"/>
                <w:sz w:val="20"/>
                <w:szCs w:val="20"/>
              </w:rPr>
            </w:pPr>
            <w:r w:rsidRPr="005002BC">
              <w:rPr>
                <w:rFonts w:ascii="Arial Narrow" w:hAnsi="Arial Narrow"/>
                <w:sz w:val="20"/>
                <w:szCs w:val="20"/>
              </w:rPr>
              <w:t>N = 227</w:t>
            </w:r>
          </w:p>
          <w:p w14:paraId="2A0D7001" w14:textId="607746B5" w:rsidR="005002BC" w:rsidRPr="005002BC" w:rsidRDefault="005002BC" w:rsidP="007916F9">
            <w:pPr>
              <w:jc w:val="center"/>
              <w:rPr>
                <w:rFonts w:ascii="Arial Narrow" w:hAnsi="Arial Narrow"/>
                <w:sz w:val="20"/>
                <w:szCs w:val="20"/>
                <w:lang w:eastAsia="zh-CN"/>
              </w:rPr>
            </w:pPr>
            <w:r w:rsidRPr="005002BC">
              <w:rPr>
                <w:rFonts w:ascii="Arial Narrow" w:hAnsi="Arial Narrow"/>
                <w:sz w:val="20"/>
                <w:szCs w:val="20"/>
              </w:rPr>
              <w:t>ESS = 165</w:t>
            </w:r>
          </w:p>
        </w:tc>
        <w:tc>
          <w:tcPr>
            <w:tcW w:w="363"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608E9BD2" w14:textId="6F9C70BF" w:rsidR="005002BC" w:rsidRPr="005002BC" w:rsidRDefault="005002BC" w:rsidP="007916F9">
            <w:pPr>
              <w:jc w:val="center"/>
              <w:rPr>
                <w:rFonts w:ascii="Arial Narrow" w:hAnsi="Arial Narrow"/>
                <w:sz w:val="20"/>
                <w:szCs w:val="20"/>
                <w:lang w:eastAsia="zh-CN"/>
              </w:rPr>
            </w:pPr>
            <w:r w:rsidRPr="005002BC">
              <w:rPr>
                <w:rFonts w:ascii="Arial Narrow" w:hAnsi="Arial Narrow"/>
                <w:sz w:val="20"/>
                <w:szCs w:val="20"/>
              </w:rPr>
              <w:t>N = 125</w:t>
            </w:r>
          </w:p>
        </w:tc>
        <w:tc>
          <w:tcPr>
            <w:tcW w:w="355"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59FCAFBD" w14:textId="57E45FA7" w:rsidR="005002BC" w:rsidRPr="005002BC" w:rsidRDefault="005002BC" w:rsidP="007916F9">
            <w:pPr>
              <w:jc w:val="center"/>
              <w:rPr>
                <w:rFonts w:ascii="Arial Narrow" w:hAnsi="Arial Narrow"/>
                <w:sz w:val="20"/>
                <w:szCs w:val="20"/>
                <w:lang w:eastAsia="zh-CN"/>
              </w:rPr>
            </w:pPr>
            <w:r w:rsidRPr="005002BC">
              <w:rPr>
                <w:rFonts w:ascii="Arial Narrow" w:hAnsi="Arial Narrow"/>
                <w:sz w:val="20"/>
                <w:szCs w:val="20"/>
              </w:rPr>
              <w:t>N = 85</w:t>
            </w:r>
          </w:p>
        </w:tc>
      </w:tr>
      <w:tr w:rsidR="009600D2" w:rsidRPr="005002BC" w14:paraId="1F928DE0" w14:textId="77777777" w:rsidTr="009600D2">
        <w:trPr>
          <w:trHeight w:val="40"/>
        </w:trPr>
        <w:tc>
          <w:tcPr>
            <w:tcW w:w="1217" w:type="pct"/>
            <w:vMerge/>
            <w:tcBorders>
              <w:top w:val="single" w:sz="8" w:space="0" w:color="595454"/>
              <w:left w:val="single" w:sz="8" w:space="0" w:color="595454"/>
              <w:bottom w:val="single" w:sz="8" w:space="0" w:color="595454"/>
              <w:right w:val="single" w:sz="8" w:space="0" w:color="595454"/>
            </w:tcBorders>
            <w:vAlign w:val="center"/>
            <w:hideMark/>
          </w:tcPr>
          <w:p w14:paraId="5C661576" w14:textId="77777777" w:rsidR="005002BC" w:rsidRPr="005002BC" w:rsidRDefault="005002BC" w:rsidP="007916F9">
            <w:pPr>
              <w:jc w:val="left"/>
              <w:rPr>
                <w:rFonts w:ascii="Arial Narrow" w:hAnsi="Arial Narrow"/>
                <w:sz w:val="20"/>
                <w:szCs w:val="20"/>
                <w:lang w:eastAsia="zh-CN"/>
              </w:rPr>
            </w:pPr>
          </w:p>
        </w:tc>
        <w:tc>
          <w:tcPr>
            <w:tcW w:w="407"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535240C9" w14:textId="15E494C5" w:rsidR="005002BC" w:rsidRPr="005002BC" w:rsidRDefault="005002BC" w:rsidP="007916F9">
            <w:pPr>
              <w:jc w:val="center"/>
              <w:rPr>
                <w:rFonts w:ascii="Arial Narrow" w:hAnsi="Arial Narrow"/>
                <w:sz w:val="20"/>
                <w:szCs w:val="20"/>
                <w:lang w:eastAsia="zh-CN"/>
              </w:rPr>
            </w:pPr>
            <w:r w:rsidRPr="005002BC">
              <w:rPr>
                <w:rFonts w:ascii="Arial Narrow" w:hAnsi="Arial Narrow"/>
                <w:sz w:val="20"/>
                <w:szCs w:val="20"/>
              </w:rPr>
              <w:t>[A]</w:t>
            </w:r>
          </w:p>
        </w:tc>
        <w:tc>
          <w:tcPr>
            <w:tcW w:w="407"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158C2E99" w14:textId="1E0444BC" w:rsidR="005002BC" w:rsidRPr="005002BC" w:rsidRDefault="005002BC" w:rsidP="007916F9">
            <w:pPr>
              <w:jc w:val="center"/>
              <w:rPr>
                <w:rFonts w:ascii="Arial Narrow" w:hAnsi="Arial Narrow"/>
                <w:sz w:val="20"/>
                <w:szCs w:val="20"/>
                <w:lang w:eastAsia="zh-CN"/>
              </w:rPr>
            </w:pPr>
            <w:r w:rsidRPr="005002BC">
              <w:rPr>
                <w:rFonts w:ascii="Arial Narrow" w:hAnsi="Arial Narrow"/>
                <w:sz w:val="20"/>
                <w:szCs w:val="20"/>
              </w:rPr>
              <w:t>[B]</w:t>
            </w:r>
          </w:p>
        </w:tc>
        <w:tc>
          <w:tcPr>
            <w:tcW w:w="406"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3DE45350" w14:textId="0234305C" w:rsidR="005002BC" w:rsidRPr="005002BC" w:rsidRDefault="005002BC" w:rsidP="007916F9">
            <w:pPr>
              <w:jc w:val="center"/>
              <w:rPr>
                <w:rFonts w:ascii="Arial Narrow" w:hAnsi="Arial Narrow"/>
                <w:sz w:val="20"/>
                <w:szCs w:val="20"/>
                <w:lang w:eastAsia="zh-CN"/>
              </w:rPr>
            </w:pPr>
            <w:r w:rsidRPr="005002BC">
              <w:rPr>
                <w:rFonts w:ascii="Arial Narrow" w:hAnsi="Arial Narrow"/>
                <w:sz w:val="20"/>
                <w:szCs w:val="20"/>
              </w:rPr>
              <w:t>[C]</w:t>
            </w:r>
          </w:p>
        </w:tc>
        <w:tc>
          <w:tcPr>
            <w:tcW w:w="406"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7B5CF296" w14:textId="72446062" w:rsidR="005002BC" w:rsidRPr="005002BC" w:rsidRDefault="005002BC" w:rsidP="007916F9">
            <w:pPr>
              <w:jc w:val="center"/>
              <w:rPr>
                <w:rFonts w:ascii="Arial Narrow" w:hAnsi="Arial Narrow"/>
                <w:sz w:val="20"/>
                <w:szCs w:val="20"/>
                <w:lang w:eastAsia="zh-CN"/>
              </w:rPr>
            </w:pPr>
            <w:r w:rsidRPr="005002BC">
              <w:rPr>
                <w:rFonts w:ascii="Arial Narrow" w:hAnsi="Arial Narrow"/>
                <w:sz w:val="20"/>
                <w:szCs w:val="20"/>
              </w:rPr>
              <w:t>[D]</w:t>
            </w:r>
          </w:p>
        </w:tc>
        <w:tc>
          <w:tcPr>
            <w:tcW w:w="356"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37D34C1E" w14:textId="639B39F5" w:rsidR="005002BC" w:rsidRPr="005002BC" w:rsidRDefault="005002BC" w:rsidP="007916F9">
            <w:pPr>
              <w:jc w:val="center"/>
              <w:rPr>
                <w:rFonts w:ascii="Arial Narrow" w:hAnsi="Arial Narrow"/>
                <w:sz w:val="20"/>
                <w:szCs w:val="20"/>
                <w:lang w:eastAsia="zh-CN"/>
              </w:rPr>
            </w:pPr>
            <w:r w:rsidRPr="005002BC">
              <w:rPr>
                <w:rFonts w:ascii="Arial Narrow" w:hAnsi="Arial Narrow"/>
                <w:sz w:val="20"/>
                <w:szCs w:val="20"/>
              </w:rPr>
              <w:t>[A] vs. [C]</w:t>
            </w:r>
          </w:p>
        </w:tc>
        <w:tc>
          <w:tcPr>
            <w:tcW w:w="357" w:type="pct"/>
            <w:tcBorders>
              <w:top w:val="single" w:sz="8" w:space="0" w:color="595454"/>
              <w:left w:val="single" w:sz="8" w:space="0" w:color="595454"/>
              <w:bottom w:val="single" w:sz="8" w:space="0" w:color="595454"/>
              <w:right w:val="single" w:sz="24" w:space="0" w:color="595454"/>
            </w:tcBorders>
            <w:shd w:val="clear" w:color="auto" w:fill="auto"/>
            <w:tcMar>
              <w:top w:w="14" w:type="dxa"/>
              <w:left w:w="14" w:type="dxa"/>
              <w:bottom w:w="0" w:type="dxa"/>
              <w:right w:w="14" w:type="dxa"/>
            </w:tcMar>
            <w:vAlign w:val="center"/>
            <w:hideMark/>
          </w:tcPr>
          <w:p w14:paraId="401BFCD4" w14:textId="2E354D9D" w:rsidR="005002BC" w:rsidRPr="005002BC" w:rsidRDefault="005002BC" w:rsidP="007916F9">
            <w:pPr>
              <w:jc w:val="center"/>
              <w:rPr>
                <w:rFonts w:ascii="Arial Narrow" w:hAnsi="Arial Narrow"/>
                <w:sz w:val="20"/>
                <w:szCs w:val="20"/>
                <w:lang w:eastAsia="zh-CN"/>
              </w:rPr>
            </w:pPr>
            <w:r w:rsidRPr="005002BC">
              <w:rPr>
                <w:rFonts w:ascii="Arial Narrow" w:hAnsi="Arial Narrow"/>
                <w:sz w:val="20"/>
                <w:szCs w:val="20"/>
              </w:rPr>
              <w:t>[B] vs. [D]</w:t>
            </w:r>
          </w:p>
        </w:tc>
        <w:tc>
          <w:tcPr>
            <w:tcW w:w="355" w:type="pct"/>
            <w:tcBorders>
              <w:top w:val="single" w:sz="8" w:space="0" w:color="595454"/>
              <w:left w:val="single" w:sz="24"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0CBF3A5E" w14:textId="7101A76F" w:rsidR="005002BC" w:rsidRPr="005002BC" w:rsidRDefault="005002BC" w:rsidP="007916F9">
            <w:pPr>
              <w:jc w:val="center"/>
              <w:rPr>
                <w:rFonts w:ascii="Arial Narrow" w:hAnsi="Arial Narrow"/>
                <w:sz w:val="20"/>
                <w:szCs w:val="20"/>
                <w:lang w:eastAsia="zh-CN"/>
              </w:rPr>
            </w:pPr>
            <w:r w:rsidRPr="005002BC">
              <w:rPr>
                <w:rFonts w:ascii="Arial Narrow" w:hAnsi="Arial Narrow"/>
                <w:sz w:val="20"/>
                <w:szCs w:val="20"/>
              </w:rPr>
              <w:t>[A]</w:t>
            </w:r>
          </w:p>
        </w:tc>
        <w:tc>
          <w:tcPr>
            <w:tcW w:w="371"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1F2EEA76" w14:textId="6537B4FE" w:rsidR="005002BC" w:rsidRPr="005002BC" w:rsidRDefault="005002BC" w:rsidP="007916F9">
            <w:pPr>
              <w:jc w:val="center"/>
              <w:rPr>
                <w:rFonts w:ascii="Arial Narrow" w:hAnsi="Arial Narrow"/>
                <w:sz w:val="20"/>
                <w:szCs w:val="20"/>
                <w:lang w:eastAsia="zh-CN"/>
              </w:rPr>
            </w:pPr>
            <w:r w:rsidRPr="005002BC">
              <w:rPr>
                <w:rFonts w:ascii="Arial Narrow" w:hAnsi="Arial Narrow"/>
                <w:sz w:val="20"/>
                <w:szCs w:val="20"/>
              </w:rPr>
              <w:t>[B]</w:t>
            </w:r>
          </w:p>
        </w:tc>
        <w:tc>
          <w:tcPr>
            <w:tcW w:w="363"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65E58130" w14:textId="7536634B" w:rsidR="005002BC" w:rsidRPr="005002BC" w:rsidRDefault="005002BC" w:rsidP="007916F9">
            <w:pPr>
              <w:jc w:val="center"/>
              <w:rPr>
                <w:rFonts w:ascii="Arial Narrow" w:hAnsi="Arial Narrow"/>
                <w:sz w:val="20"/>
                <w:szCs w:val="20"/>
                <w:lang w:eastAsia="zh-CN"/>
              </w:rPr>
            </w:pPr>
            <w:r w:rsidRPr="005002BC">
              <w:rPr>
                <w:rFonts w:ascii="Arial Narrow" w:hAnsi="Arial Narrow"/>
                <w:sz w:val="20"/>
                <w:szCs w:val="20"/>
              </w:rPr>
              <w:t>[C]</w:t>
            </w:r>
          </w:p>
        </w:tc>
        <w:tc>
          <w:tcPr>
            <w:tcW w:w="355"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309A03DA" w14:textId="1446F9AC" w:rsidR="005002BC" w:rsidRPr="005002BC" w:rsidRDefault="005002BC" w:rsidP="007916F9">
            <w:pPr>
              <w:jc w:val="center"/>
              <w:rPr>
                <w:rFonts w:ascii="Arial Narrow" w:hAnsi="Arial Narrow"/>
                <w:sz w:val="20"/>
                <w:szCs w:val="20"/>
                <w:lang w:eastAsia="zh-CN"/>
              </w:rPr>
            </w:pPr>
            <w:r w:rsidRPr="005002BC">
              <w:rPr>
                <w:rFonts w:ascii="Arial Narrow" w:hAnsi="Arial Narrow"/>
                <w:sz w:val="20"/>
                <w:szCs w:val="20"/>
              </w:rPr>
              <w:t>[D]</w:t>
            </w:r>
          </w:p>
        </w:tc>
      </w:tr>
      <w:tr w:rsidR="009600D2" w:rsidRPr="005002BC" w14:paraId="7CFE6619" w14:textId="77777777" w:rsidTr="009600D2">
        <w:trPr>
          <w:trHeight w:val="77"/>
        </w:trPr>
        <w:tc>
          <w:tcPr>
            <w:tcW w:w="1217"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54598F62" w14:textId="77777777" w:rsidR="005002BC" w:rsidRPr="005002BC" w:rsidRDefault="005002BC" w:rsidP="007916F9">
            <w:pPr>
              <w:jc w:val="left"/>
              <w:rPr>
                <w:rFonts w:ascii="Arial Narrow" w:hAnsi="Arial Narrow"/>
                <w:sz w:val="20"/>
                <w:szCs w:val="20"/>
                <w:lang w:eastAsia="zh-CN"/>
              </w:rPr>
            </w:pPr>
            <w:r w:rsidRPr="005002BC">
              <w:rPr>
                <w:rFonts w:ascii="Arial Narrow" w:hAnsi="Arial Narrow"/>
                <w:sz w:val="20"/>
                <w:szCs w:val="20"/>
              </w:rPr>
              <w:t>Age</w:t>
            </w:r>
          </w:p>
        </w:tc>
        <w:tc>
          <w:tcPr>
            <w:tcW w:w="407"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0ADE879C" w14:textId="48F7AAC9" w:rsidR="005002BC" w:rsidRPr="005002BC" w:rsidRDefault="005002BC" w:rsidP="007916F9">
            <w:pPr>
              <w:jc w:val="center"/>
              <w:rPr>
                <w:rFonts w:ascii="Arial Narrow" w:hAnsi="Arial Narrow"/>
                <w:sz w:val="20"/>
                <w:szCs w:val="20"/>
                <w:lang w:eastAsia="zh-CN"/>
              </w:rPr>
            </w:pPr>
            <w:r w:rsidRPr="005002BC">
              <w:rPr>
                <w:rFonts w:ascii="Arial Narrow" w:hAnsi="Arial Narrow"/>
                <w:sz w:val="20"/>
                <w:szCs w:val="20"/>
              </w:rPr>
              <w:t>42.4 ± 13.5</w:t>
            </w:r>
          </w:p>
        </w:tc>
        <w:tc>
          <w:tcPr>
            <w:tcW w:w="407"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16051975" w14:textId="549BC692" w:rsidR="005002BC" w:rsidRPr="005002BC" w:rsidRDefault="005002BC" w:rsidP="007916F9">
            <w:pPr>
              <w:jc w:val="center"/>
              <w:rPr>
                <w:rFonts w:ascii="Arial Narrow" w:hAnsi="Arial Narrow"/>
                <w:sz w:val="20"/>
                <w:szCs w:val="20"/>
                <w:lang w:eastAsia="zh-CN"/>
              </w:rPr>
            </w:pPr>
            <w:r w:rsidRPr="005002BC">
              <w:rPr>
                <w:rFonts w:ascii="Arial Narrow" w:hAnsi="Arial Narrow"/>
                <w:sz w:val="20"/>
                <w:szCs w:val="20"/>
              </w:rPr>
              <w:t>43.0 ± 13.7</w:t>
            </w:r>
          </w:p>
        </w:tc>
        <w:tc>
          <w:tcPr>
            <w:tcW w:w="406"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5CAE504E" w14:textId="4685E130" w:rsidR="005002BC" w:rsidRPr="005002BC" w:rsidRDefault="005002BC" w:rsidP="007916F9">
            <w:pPr>
              <w:jc w:val="center"/>
              <w:rPr>
                <w:rFonts w:ascii="Arial Narrow" w:hAnsi="Arial Narrow"/>
                <w:sz w:val="20"/>
                <w:szCs w:val="20"/>
                <w:lang w:eastAsia="zh-CN"/>
              </w:rPr>
            </w:pPr>
            <w:r w:rsidRPr="005002BC">
              <w:rPr>
                <w:rFonts w:ascii="Arial Narrow" w:hAnsi="Arial Narrow"/>
                <w:sz w:val="20"/>
                <w:szCs w:val="20"/>
              </w:rPr>
              <w:t>38.8 ± 11.9</w:t>
            </w:r>
          </w:p>
        </w:tc>
        <w:tc>
          <w:tcPr>
            <w:tcW w:w="406"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264BA005" w14:textId="00C61743" w:rsidR="005002BC" w:rsidRPr="005002BC" w:rsidRDefault="005002BC" w:rsidP="007916F9">
            <w:pPr>
              <w:jc w:val="center"/>
              <w:rPr>
                <w:rFonts w:ascii="Arial Narrow" w:hAnsi="Arial Narrow"/>
                <w:sz w:val="20"/>
                <w:szCs w:val="20"/>
                <w:lang w:eastAsia="zh-CN"/>
              </w:rPr>
            </w:pPr>
            <w:r w:rsidRPr="005002BC">
              <w:rPr>
                <w:rFonts w:ascii="Arial Narrow" w:hAnsi="Arial Narrow"/>
                <w:sz w:val="20"/>
                <w:szCs w:val="20"/>
              </w:rPr>
              <w:t>38.8 ± 11.9</w:t>
            </w:r>
          </w:p>
        </w:tc>
        <w:tc>
          <w:tcPr>
            <w:tcW w:w="356"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3E46B7EF" w14:textId="5508A6B8" w:rsidR="005002BC" w:rsidRPr="005002BC" w:rsidRDefault="005002BC" w:rsidP="007916F9">
            <w:pPr>
              <w:jc w:val="center"/>
              <w:rPr>
                <w:rFonts w:ascii="Arial Narrow" w:hAnsi="Arial Narrow"/>
                <w:sz w:val="20"/>
                <w:szCs w:val="20"/>
                <w:lang w:eastAsia="zh-CN"/>
              </w:rPr>
            </w:pPr>
            <w:r w:rsidRPr="005002BC">
              <w:rPr>
                <w:rFonts w:ascii="Arial Narrow" w:hAnsi="Arial Narrow"/>
                <w:sz w:val="20"/>
                <w:szCs w:val="20"/>
              </w:rPr>
              <w:t>&lt; 0.01 *</w:t>
            </w:r>
          </w:p>
        </w:tc>
        <w:tc>
          <w:tcPr>
            <w:tcW w:w="357" w:type="pct"/>
            <w:tcBorders>
              <w:top w:val="single" w:sz="8" w:space="0" w:color="595454"/>
              <w:left w:val="single" w:sz="8" w:space="0" w:color="595454"/>
              <w:bottom w:val="single" w:sz="8" w:space="0" w:color="595454"/>
              <w:right w:val="single" w:sz="24" w:space="0" w:color="595454"/>
            </w:tcBorders>
            <w:shd w:val="clear" w:color="auto" w:fill="auto"/>
            <w:tcMar>
              <w:top w:w="15" w:type="dxa"/>
              <w:left w:w="15" w:type="dxa"/>
              <w:bottom w:w="0" w:type="dxa"/>
              <w:right w:w="15" w:type="dxa"/>
            </w:tcMar>
            <w:vAlign w:val="center"/>
            <w:hideMark/>
          </w:tcPr>
          <w:p w14:paraId="3A0B16AE" w14:textId="7C3BDA74" w:rsidR="005002BC" w:rsidRPr="005002BC" w:rsidRDefault="005002BC" w:rsidP="007916F9">
            <w:pPr>
              <w:jc w:val="center"/>
              <w:rPr>
                <w:rFonts w:ascii="Arial Narrow" w:hAnsi="Arial Narrow"/>
                <w:sz w:val="20"/>
                <w:szCs w:val="20"/>
                <w:lang w:eastAsia="zh-CN"/>
              </w:rPr>
            </w:pPr>
            <w:r w:rsidRPr="005002BC">
              <w:rPr>
                <w:rFonts w:ascii="Arial Narrow" w:hAnsi="Arial Narrow"/>
                <w:sz w:val="20"/>
                <w:szCs w:val="20"/>
              </w:rPr>
              <w:t>&lt; 0.01 *</w:t>
            </w:r>
          </w:p>
        </w:tc>
        <w:tc>
          <w:tcPr>
            <w:tcW w:w="355" w:type="pct"/>
            <w:tcBorders>
              <w:top w:val="single" w:sz="8" w:space="0" w:color="595454"/>
              <w:left w:val="single" w:sz="24"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5671D64B" w14:textId="5926DFB6" w:rsidR="005002BC" w:rsidRPr="005002BC" w:rsidRDefault="005002BC" w:rsidP="007916F9">
            <w:pPr>
              <w:jc w:val="center"/>
              <w:rPr>
                <w:rFonts w:ascii="Arial Narrow" w:hAnsi="Arial Narrow"/>
                <w:sz w:val="20"/>
                <w:szCs w:val="20"/>
                <w:lang w:eastAsia="zh-CN"/>
              </w:rPr>
            </w:pPr>
            <w:r w:rsidRPr="005002BC">
              <w:rPr>
                <w:rFonts w:ascii="Arial Narrow" w:hAnsi="Arial Narrow"/>
                <w:sz w:val="20"/>
                <w:szCs w:val="20"/>
              </w:rPr>
              <w:t>38.8 ± 13.0</w:t>
            </w:r>
          </w:p>
        </w:tc>
        <w:tc>
          <w:tcPr>
            <w:tcW w:w="371"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6836E737" w14:textId="02446EA2" w:rsidR="005002BC" w:rsidRPr="005002BC" w:rsidRDefault="005002BC" w:rsidP="007916F9">
            <w:pPr>
              <w:jc w:val="center"/>
              <w:rPr>
                <w:rFonts w:ascii="Arial Narrow" w:hAnsi="Arial Narrow"/>
                <w:sz w:val="20"/>
                <w:szCs w:val="20"/>
                <w:lang w:eastAsia="zh-CN"/>
              </w:rPr>
            </w:pPr>
            <w:r w:rsidRPr="005002BC">
              <w:rPr>
                <w:rFonts w:ascii="Arial Narrow" w:hAnsi="Arial Narrow"/>
                <w:sz w:val="20"/>
                <w:szCs w:val="20"/>
              </w:rPr>
              <w:t>38.8 ± 12.4</w:t>
            </w:r>
          </w:p>
        </w:tc>
        <w:tc>
          <w:tcPr>
            <w:tcW w:w="363"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1D511F5F" w14:textId="5585E1D1" w:rsidR="005002BC" w:rsidRPr="005002BC" w:rsidRDefault="005002BC" w:rsidP="007916F9">
            <w:pPr>
              <w:jc w:val="center"/>
              <w:rPr>
                <w:rFonts w:ascii="Arial Narrow" w:hAnsi="Arial Narrow"/>
                <w:sz w:val="20"/>
                <w:szCs w:val="20"/>
                <w:lang w:eastAsia="zh-CN"/>
              </w:rPr>
            </w:pPr>
            <w:r w:rsidRPr="005002BC">
              <w:rPr>
                <w:rFonts w:ascii="Arial Narrow" w:hAnsi="Arial Narrow"/>
                <w:sz w:val="20"/>
                <w:szCs w:val="20"/>
              </w:rPr>
              <w:t>38.8 ± 11.9</w:t>
            </w:r>
          </w:p>
        </w:tc>
        <w:tc>
          <w:tcPr>
            <w:tcW w:w="355"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4C2D32B0" w14:textId="64D8389D" w:rsidR="005002BC" w:rsidRPr="005002BC" w:rsidRDefault="005002BC" w:rsidP="007916F9">
            <w:pPr>
              <w:jc w:val="center"/>
              <w:rPr>
                <w:rFonts w:ascii="Arial Narrow" w:hAnsi="Arial Narrow"/>
                <w:sz w:val="20"/>
                <w:szCs w:val="20"/>
                <w:lang w:eastAsia="zh-CN"/>
              </w:rPr>
            </w:pPr>
            <w:r w:rsidRPr="005002BC">
              <w:rPr>
                <w:rFonts w:ascii="Arial Narrow" w:hAnsi="Arial Narrow"/>
                <w:sz w:val="20"/>
                <w:szCs w:val="20"/>
              </w:rPr>
              <w:t>38.8 ± 11.9</w:t>
            </w:r>
          </w:p>
        </w:tc>
      </w:tr>
      <w:tr w:rsidR="009600D2" w:rsidRPr="005002BC" w14:paraId="3F153749" w14:textId="77777777" w:rsidTr="009600D2">
        <w:trPr>
          <w:trHeight w:val="45"/>
        </w:trPr>
        <w:tc>
          <w:tcPr>
            <w:tcW w:w="1217"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469FB6F5" w14:textId="77777777" w:rsidR="005002BC" w:rsidRPr="005002BC" w:rsidRDefault="005002BC" w:rsidP="007916F9">
            <w:pPr>
              <w:jc w:val="left"/>
              <w:rPr>
                <w:rFonts w:ascii="Arial Narrow" w:hAnsi="Arial Narrow"/>
                <w:sz w:val="20"/>
                <w:szCs w:val="20"/>
                <w:lang w:eastAsia="zh-CN"/>
              </w:rPr>
            </w:pPr>
            <w:r w:rsidRPr="005002BC">
              <w:rPr>
                <w:rFonts w:ascii="Arial Narrow" w:hAnsi="Arial Narrow"/>
                <w:sz w:val="20"/>
                <w:szCs w:val="20"/>
              </w:rPr>
              <w:t>Male</w:t>
            </w:r>
          </w:p>
        </w:tc>
        <w:tc>
          <w:tcPr>
            <w:tcW w:w="407"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783AA1CD" w14:textId="793387D5" w:rsidR="005002BC" w:rsidRPr="005002BC" w:rsidRDefault="005002BC" w:rsidP="007916F9">
            <w:pPr>
              <w:jc w:val="center"/>
              <w:rPr>
                <w:rFonts w:ascii="Arial Narrow" w:hAnsi="Arial Narrow"/>
                <w:sz w:val="20"/>
                <w:szCs w:val="20"/>
                <w:lang w:eastAsia="zh-CN"/>
              </w:rPr>
            </w:pPr>
            <w:r w:rsidRPr="005002BC">
              <w:rPr>
                <w:rFonts w:ascii="Arial Narrow" w:hAnsi="Arial Narrow"/>
                <w:sz w:val="20"/>
                <w:szCs w:val="20"/>
              </w:rPr>
              <w:t>117 (50.9%)</w:t>
            </w:r>
          </w:p>
        </w:tc>
        <w:tc>
          <w:tcPr>
            <w:tcW w:w="407"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7C5E3CA4" w14:textId="0F4BE859" w:rsidR="005002BC" w:rsidRPr="005002BC" w:rsidRDefault="005002BC" w:rsidP="007916F9">
            <w:pPr>
              <w:jc w:val="center"/>
              <w:rPr>
                <w:rFonts w:ascii="Arial Narrow" w:hAnsi="Arial Narrow"/>
                <w:sz w:val="20"/>
                <w:szCs w:val="20"/>
                <w:lang w:eastAsia="zh-CN"/>
              </w:rPr>
            </w:pPr>
            <w:r w:rsidRPr="005002BC">
              <w:rPr>
                <w:rFonts w:ascii="Arial Narrow" w:hAnsi="Arial Narrow"/>
                <w:sz w:val="20"/>
                <w:szCs w:val="20"/>
              </w:rPr>
              <w:t>122 (53.7%)</w:t>
            </w:r>
          </w:p>
        </w:tc>
        <w:tc>
          <w:tcPr>
            <w:tcW w:w="406"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4649537E" w14:textId="78818538" w:rsidR="005002BC" w:rsidRPr="005002BC" w:rsidRDefault="005002BC" w:rsidP="007916F9">
            <w:pPr>
              <w:jc w:val="center"/>
              <w:rPr>
                <w:rFonts w:ascii="Arial Narrow" w:hAnsi="Arial Narrow"/>
                <w:sz w:val="20"/>
                <w:szCs w:val="20"/>
                <w:lang w:eastAsia="zh-CN"/>
              </w:rPr>
            </w:pPr>
            <w:r w:rsidRPr="005002BC">
              <w:rPr>
                <w:rFonts w:ascii="Arial Narrow" w:hAnsi="Arial Narrow"/>
                <w:sz w:val="20"/>
                <w:szCs w:val="20"/>
              </w:rPr>
              <w:t>73 (58.5%)</w:t>
            </w:r>
          </w:p>
        </w:tc>
        <w:tc>
          <w:tcPr>
            <w:tcW w:w="406"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0614E29E" w14:textId="13EFACA6" w:rsidR="005002BC" w:rsidRPr="005002BC" w:rsidRDefault="005002BC" w:rsidP="007916F9">
            <w:pPr>
              <w:jc w:val="center"/>
              <w:rPr>
                <w:rFonts w:ascii="Arial Narrow" w:hAnsi="Arial Narrow"/>
                <w:sz w:val="20"/>
                <w:szCs w:val="20"/>
                <w:lang w:eastAsia="zh-CN"/>
              </w:rPr>
            </w:pPr>
            <w:r w:rsidRPr="005002BC">
              <w:rPr>
                <w:rFonts w:ascii="Arial Narrow" w:hAnsi="Arial Narrow"/>
                <w:sz w:val="20"/>
                <w:szCs w:val="20"/>
              </w:rPr>
              <w:t>50 (58.5%)</w:t>
            </w:r>
          </w:p>
        </w:tc>
        <w:tc>
          <w:tcPr>
            <w:tcW w:w="356"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6A4672B4" w14:textId="7885608F" w:rsidR="005002BC" w:rsidRPr="005002BC" w:rsidRDefault="005002BC" w:rsidP="007916F9">
            <w:pPr>
              <w:jc w:val="center"/>
              <w:rPr>
                <w:rFonts w:ascii="Arial Narrow" w:hAnsi="Arial Narrow"/>
                <w:sz w:val="20"/>
                <w:szCs w:val="20"/>
                <w:lang w:eastAsia="zh-CN"/>
              </w:rPr>
            </w:pPr>
            <w:r w:rsidRPr="005002BC">
              <w:rPr>
                <w:rFonts w:ascii="Arial Narrow" w:hAnsi="Arial Narrow"/>
                <w:sz w:val="20"/>
                <w:szCs w:val="20"/>
              </w:rPr>
              <w:t>0.2</w:t>
            </w:r>
          </w:p>
        </w:tc>
        <w:tc>
          <w:tcPr>
            <w:tcW w:w="357" w:type="pct"/>
            <w:tcBorders>
              <w:top w:val="single" w:sz="8" w:space="0" w:color="595454"/>
              <w:left w:val="single" w:sz="8" w:space="0" w:color="595454"/>
              <w:bottom w:val="single" w:sz="8" w:space="0" w:color="595454"/>
              <w:right w:val="single" w:sz="24" w:space="0" w:color="595454"/>
            </w:tcBorders>
            <w:shd w:val="clear" w:color="auto" w:fill="auto"/>
            <w:tcMar>
              <w:top w:w="15" w:type="dxa"/>
              <w:left w:w="15" w:type="dxa"/>
              <w:bottom w:w="0" w:type="dxa"/>
              <w:right w:w="15" w:type="dxa"/>
            </w:tcMar>
            <w:vAlign w:val="center"/>
            <w:hideMark/>
          </w:tcPr>
          <w:p w14:paraId="2BAB6325" w14:textId="49A3D562" w:rsidR="005002BC" w:rsidRPr="005002BC" w:rsidRDefault="005002BC" w:rsidP="007916F9">
            <w:pPr>
              <w:jc w:val="center"/>
              <w:rPr>
                <w:rFonts w:ascii="Arial Narrow" w:hAnsi="Arial Narrow"/>
                <w:sz w:val="20"/>
                <w:szCs w:val="20"/>
                <w:lang w:eastAsia="zh-CN"/>
              </w:rPr>
            </w:pPr>
            <w:r w:rsidRPr="005002BC">
              <w:rPr>
                <w:rFonts w:ascii="Arial Narrow" w:hAnsi="Arial Narrow"/>
                <w:sz w:val="20"/>
                <w:szCs w:val="20"/>
              </w:rPr>
              <w:t>0.5</w:t>
            </w:r>
          </w:p>
        </w:tc>
        <w:tc>
          <w:tcPr>
            <w:tcW w:w="355" w:type="pct"/>
            <w:tcBorders>
              <w:top w:val="single" w:sz="8" w:space="0" w:color="595454"/>
              <w:left w:val="single" w:sz="24"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690750AA" w14:textId="3B5AA298" w:rsidR="005002BC" w:rsidRPr="005002BC" w:rsidRDefault="005002BC" w:rsidP="007916F9">
            <w:pPr>
              <w:jc w:val="center"/>
              <w:rPr>
                <w:rFonts w:ascii="Arial Narrow" w:hAnsi="Arial Narrow"/>
                <w:sz w:val="20"/>
                <w:szCs w:val="20"/>
                <w:lang w:eastAsia="zh-CN"/>
              </w:rPr>
            </w:pPr>
            <w:r w:rsidRPr="005002BC">
              <w:rPr>
                <w:rFonts w:ascii="Arial Narrow" w:hAnsi="Arial Narrow"/>
                <w:sz w:val="20"/>
                <w:szCs w:val="20"/>
              </w:rPr>
              <w:t>58.5%</w:t>
            </w:r>
          </w:p>
        </w:tc>
        <w:tc>
          <w:tcPr>
            <w:tcW w:w="371"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58AE7BDF" w14:textId="21FA6803" w:rsidR="005002BC" w:rsidRPr="005002BC" w:rsidRDefault="005002BC" w:rsidP="007916F9">
            <w:pPr>
              <w:jc w:val="center"/>
              <w:rPr>
                <w:rFonts w:ascii="Arial Narrow" w:hAnsi="Arial Narrow"/>
                <w:sz w:val="20"/>
                <w:szCs w:val="20"/>
                <w:lang w:eastAsia="zh-CN"/>
              </w:rPr>
            </w:pPr>
            <w:r w:rsidRPr="005002BC">
              <w:rPr>
                <w:rFonts w:ascii="Arial Narrow" w:hAnsi="Arial Narrow"/>
                <w:sz w:val="20"/>
                <w:szCs w:val="20"/>
              </w:rPr>
              <w:t>58.5%</w:t>
            </w:r>
          </w:p>
        </w:tc>
        <w:tc>
          <w:tcPr>
            <w:tcW w:w="363"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38D30C5A" w14:textId="0A0D3E87" w:rsidR="005002BC" w:rsidRPr="005002BC" w:rsidRDefault="005002BC" w:rsidP="007916F9">
            <w:pPr>
              <w:jc w:val="center"/>
              <w:rPr>
                <w:rFonts w:ascii="Arial Narrow" w:hAnsi="Arial Narrow"/>
                <w:sz w:val="20"/>
                <w:szCs w:val="20"/>
                <w:lang w:eastAsia="zh-CN"/>
              </w:rPr>
            </w:pPr>
            <w:r w:rsidRPr="005002BC">
              <w:rPr>
                <w:rFonts w:ascii="Arial Narrow" w:hAnsi="Arial Narrow"/>
                <w:sz w:val="20"/>
                <w:szCs w:val="20"/>
              </w:rPr>
              <w:t>58.5%</w:t>
            </w:r>
          </w:p>
        </w:tc>
        <w:tc>
          <w:tcPr>
            <w:tcW w:w="355"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138DB995" w14:textId="47ECF499" w:rsidR="005002BC" w:rsidRPr="005002BC" w:rsidRDefault="005002BC" w:rsidP="007916F9">
            <w:pPr>
              <w:jc w:val="center"/>
              <w:rPr>
                <w:rFonts w:ascii="Arial Narrow" w:hAnsi="Arial Narrow"/>
                <w:sz w:val="20"/>
                <w:szCs w:val="20"/>
                <w:lang w:eastAsia="zh-CN"/>
              </w:rPr>
            </w:pPr>
            <w:r w:rsidRPr="005002BC">
              <w:rPr>
                <w:rFonts w:ascii="Arial Narrow" w:hAnsi="Arial Narrow"/>
                <w:sz w:val="20"/>
                <w:szCs w:val="20"/>
              </w:rPr>
              <w:t>58.5%</w:t>
            </w:r>
          </w:p>
        </w:tc>
      </w:tr>
      <w:tr w:rsidR="009600D2" w:rsidRPr="005002BC" w14:paraId="6250143B" w14:textId="77777777" w:rsidTr="009600D2">
        <w:trPr>
          <w:trHeight w:val="39"/>
        </w:trPr>
        <w:tc>
          <w:tcPr>
            <w:tcW w:w="1217"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7687443A" w14:textId="0D1B31E6" w:rsidR="00FF1084" w:rsidRPr="00FF1084" w:rsidRDefault="00FF1084" w:rsidP="007916F9">
            <w:pPr>
              <w:pStyle w:val="BMSBodyText"/>
              <w:spacing w:after="0" w:line="240" w:lineRule="auto"/>
              <w:jc w:val="left"/>
              <w:rPr>
                <w:rFonts w:ascii="Arial Narrow" w:hAnsi="Arial Narrow"/>
                <w:sz w:val="20"/>
              </w:rPr>
            </w:pPr>
            <w:r w:rsidRPr="00FF1084">
              <w:rPr>
                <w:rFonts w:ascii="Arial Narrow" w:hAnsi="Arial Narrow"/>
                <w:sz w:val="20"/>
              </w:rPr>
              <w:t>Baseline total Mayo score</w:t>
            </w:r>
          </w:p>
        </w:tc>
        <w:tc>
          <w:tcPr>
            <w:tcW w:w="407"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3E516B0B" w14:textId="67FC5DDF" w:rsidR="00FF1084" w:rsidRPr="00FF1084" w:rsidRDefault="00FF1084" w:rsidP="007916F9">
            <w:pPr>
              <w:jc w:val="center"/>
              <w:rPr>
                <w:rFonts w:ascii="Arial Narrow" w:hAnsi="Arial Narrow"/>
                <w:sz w:val="20"/>
                <w:szCs w:val="20"/>
                <w:lang w:eastAsia="zh-CN"/>
              </w:rPr>
            </w:pPr>
            <w:r w:rsidRPr="00FF1084">
              <w:rPr>
                <w:rFonts w:ascii="Arial Narrow" w:hAnsi="Arial Narrow"/>
                <w:sz w:val="20"/>
                <w:szCs w:val="20"/>
              </w:rPr>
              <w:t>8.9 ± 1.6</w:t>
            </w:r>
          </w:p>
        </w:tc>
        <w:tc>
          <w:tcPr>
            <w:tcW w:w="407"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54845624" w14:textId="323E31BB" w:rsidR="00FF1084" w:rsidRPr="00FF1084" w:rsidRDefault="00FF1084" w:rsidP="007916F9">
            <w:pPr>
              <w:jc w:val="center"/>
              <w:rPr>
                <w:rFonts w:ascii="Arial Narrow" w:hAnsi="Arial Narrow"/>
                <w:sz w:val="20"/>
                <w:szCs w:val="20"/>
                <w:lang w:eastAsia="zh-CN"/>
              </w:rPr>
            </w:pPr>
            <w:r w:rsidRPr="00FF1084">
              <w:rPr>
                <w:rFonts w:ascii="Arial Narrow" w:hAnsi="Arial Narrow"/>
                <w:sz w:val="20"/>
                <w:szCs w:val="20"/>
              </w:rPr>
              <w:t>8.6 ± 1.4</w:t>
            </w:r>
          </w:p>
        </w:tc>
        <w:tc>
          <w:tcPr>
            <w:tcW w:w="406"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1AA7EE56" w14:textId="7389D758" w:rsidR="00FF1084" w:rsidRPr="00FF1084" w:rsidRDefault="00FF1084" w:rsidP="007916F9">
            <w:pPr>
              <w:jc w:val="center"/>
              <w:rPr>
                <w:rFonts w:ascii="Arial Narrow" w:hAnsi="Arial Narrow"/>
                <w:sz w:val="20"/>
                <w:szCs w:val="20"/>
                <w:lang w:eastAsia="zh-CN"/>
              </w:rPr>
            </w:pPr>
            <w:r w:rsidRPr="00FF1084">
              <w:rPr>
                <w:rFonts w:ascii="Arial Narrow" w:hAnsi="Arial Narrow"/>
                <w:sz w:val="20"/>
                <w:szCs w:val="20"/>
              </w:rPr>
              <w:t>8.7 ± 1.5</w:t>
            </w:r>
          </w:p>
        </w:tc>
        <w:tc>
          <w:tcPr>
            <w:tcW w:w="406"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376F1E7A" w14:textId="38EB3CE8" w:rsidR="00FF1084" w:rsidRPr="00FF1084" w:rsidRDefault="00FF1084" w:rsidP="007916F9">
            <w:pPr>
              <w:jc w:val="center"/>
              <w:rPr>
                <w:rFonts w:ascii="Arial Narrow" w:hAnsi="Arial Narrow"/>
                <w:sz w:val="20"/>
                <w:szCs w:val="20"/>
                <w:lang w:eastAsia="zh-CN"/>
              </w:rPr>
            </w:pPr>
            <w:r w:rsidRPr="00FF1084">
              <w:rPr>
                <w:rFonts w:ascii="Arial Narrow" w:hAnsi="Arial Narrow"/>
                <w:sz w:val="20"/>
                <w:szCs w:val="20"/>
              </w:rPr>
              <w:t>8.7 ± 1.5</w:t>
            </w:r>
          </w:p>
        </w:tc>
        <w:tc>
          <w:tcPr>
            <w:tcW w:w="356"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3CF101DE" w14:textId="2C659DB8" w:rsidR="00FF1084" w:rsidRPr="00FF1084" w:rsidRDefault="00FF1084" w:rsidP="007916F9">
            <w:pPr>
              <w:jc w:val="center"/>
              <w:rPr>
                <w:rFonts w:ascii="Arial Narrow" w:hAnsi="Arial Narrow"/>
                <w:sz w:val="20"/>
                <w:szCs w:val="20"/>
                <w:lang w:eastAsia="zh-CN"/>
              </w:rPr>
            </w:pPr>
            <w:r w:rsidRPr="00FF1084">
              <w:rPr>
                <w:rFonts w:ascii="Arial Narrow" w:hAnsi="Arial Narrow"/>
                <w:sz w:val="20"/>
                <w:szCs w:val="20"/>
              </w:rPr>
              <w:t>0.2</w:t>
            </w:r>
          </w:p>
        </w:tc>
        <w:tc>
          <w:tcPr>
            <w:tcW w:w="357" w:type="pct"/>
            <w:tcBorders>
              <w:top w:val="single" w:sz="8" w:space="0" w:color="595454"/>
              <w:left w:val="single" w:sz="8" w:space="0" w:color="595454"/>
              <w:bottom w:val="single" w:sz="8" w:space="0" w:color="595454"/>
              <w:right w:val="single" w:sz="24" w:space="0" w:color="595454"/>
            </w:tcBorders>
            <w:shd w:val="clear" w:color="auto" w:fill="auto"/>
            <w:tcMar>
              <w:top w:w="15" w:type="dxa"/>
              <w:left w:w="15" w:type="dxa"/>
              <w:bottom w:w="0" w:type="dxa"/>
              <w:right w:w="15" w:type="dxa"/>
            </w:tcMar>
            <w:vAlign w:val="center"/>
            <w:hideMark/>
          </w:tcPr>
          <w:p w14:paraId="66031B5E" w14:textId="7C58EEB3" w:rsidR="00FF1084" w:rsidRPr="00FF1084" w:rsidRDefault="00FF1084" w:rsidP="007916F9">
            <w:pPr>
              <w:jc w:val="center"/>
              <w:rPr>
                <w:rFonts w:ascii="Arial Narrow" w:hAnsi="Arial Narrow"/>
                <w:sz w:val="20"/>
                <w:szCs w:val="20"/>
                <w:lang w:eastAsia="zh-CN"/>
              </w:rPr>
            </w:pPr>
            <w:r w:rsidRPr="00FF1084">
              <w:rPr>
                <w:rFonts w:ascii="Arial Narrow" w:hAnsi="Arial Narrow"/>
                <w:sz w:val="20"/>
                <w:szCs w:val="20"/>
              </w:rPr>
              <w:t>0.8</w:t>
            </w:r>
          </w:p>
        </w:tc>
        <w:tc>
          <w:tcPr>
            <w:tcW w:w="355" w:type="pct"/>
            <w:tcBorders>
              <w:top w:val="single" w:sz="8" w:space="0" w:color="595454"/>
              <w:left w:val="single" w:sz="24"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203DCC2D" w14:textId="3D934C51" w:rsidR="00FF1084" w:rsidRPr="00FF1084" w:rsidRDefault="00FF1084" w:rsidP="007916F9">
            <w:pPr>
              <w:jc w:val="center"/>
              <w:rPr>
                <w:rFonts w:ascii="Arial Narrow" w:hAnsi="Arial Narrow"/>
                <w:sz w:val="20"/>
                <w:szCs w:val="20"/>
                <w:lang w:eastAsia="zh-CN"/>
              </w:rPr>
            </w:pPr>
            <w:r w:rsidRPr="00FF1084">
              <w:rPr>
                <w:rFonts w:ascii="Arial Narrow" w:hAnsi="Arial Narrow"/>
                <w:sz w:val="20"/>
                <w:szCs w:val="20"/>
              </w:rPr>
              <w:t>8.7 ± 1.6</w:t>
            </w:r>
          </w:p>
        </w:tc>
        <w:tc>
          <w:tcPr>
            <w:tcW w:w="371"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7DCEAAD1" w14:textId="73002871" w:rsidR="00FF1084" w:rsidRPr="00FF1084" w:rsidRDefault="00FF1084" w:rsidP="007916F9">
            <w:pPr>
              <w:jc w:val="center"/>
              <w:rPr>
                <w:rFonts w:ascii="Arial Narrow" w:hAnsi="Arial Narrow"/>
                <w:sz w:val="20"/>
                <w:szCs w:val="20"/>
                <w:lang w:eastAsia="zh-CN"/>
              </w:rPr>
            </w:pPr>
            <w:r w:rsidRPr="00FF1084">
              <w:rPr>
                <w:rFonts w:ascii="Arial Narrow" w:hAnsi="Arial Narrow"/>
                <w:sz w:val="20"/>
                <w:szCs w:val="20"/>
              </w:rPr>
              <w:t>8.7 ± 1.4</w:t>
            </w:r>
          </w:p>
        </w:tc>
        <w:tc>
          <w:tcPr>
            <w:tcW w:w="363"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6F4BF723" w14:textId="280EFF3D" w:rsidR="00FF1084" w:rsidRPr="00FF1084" w:rsidRDefault="00FF1084" w:rsidP="007916F9">
            <w:pPr>
              <w:jc w:val="center"/>
              <w:rPr>
                <w:rFonts w:ascii="Arial Narrow" w:hAnsi="Arial Narrow"/>
                <w:sz w:val="20"/>
                <w:szCs w:val="20"/>
                <w:lang w:eastAsia="zh-CN"/>
              </w:rPr>
            </w:pPr>
            <w:r w:rsidRPr="00FF1084">
              <w:rPr>
                <w:rFonts w:ascii="Arial Narrow" w:hAnsi="Arial Narrow"/>
                <w:sz w:val="20"/>
                <w:szCs w:val="20"/>
              </w:rPr>
              <w:t>8.7 ± 1.5</w:t>
            </w:r>
          </w:p>
        </w:tc>
        <w:tc>
          <w:tcPr>
            <w:tcW w:w="355"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5054DA86" w14:textId="7C62B332" w:rsidR="00FF1084" w:rsidRPr="00FF1084" w:rsidRDefault="00FF1084" w:rsidP="007916F9">
            <w:pPr>
              <w:jc w:val="center"/>
              <w:rPr>
                <w:rFonts w:ascii="Arial Narrow" w:hAnsi="Arial Narrow"/>
                <w:sz w:val="20"/>
                <w:szCs w:val="20"/>
                <w:lang w:eastAsia="zh-CN"/>
              </w:rPr>
            </w:pPr>
            <w:r w:rsidRPr="00FF1084">
              <w:rPr>
                <w:rFonts w:ascii="Arial Narrow" w:hAnsi="Arial Narrow"/>
                <w:sz w:val="20"/>
                <w:szCs w:val="20"/>
              </w:rPr>
              <w:t>8.7 ± 1.5</w:t>
            </w:r>
          </w:p>
        </w:tc>
      </w:tr>
      <w:tr w:rsidR="009600D2" w:rsidRPr="005002BC" w14:paraId="2E808727" w14:textId="77777777" w:rsidTr="009600D2">
        <w:trPr>
          <w:trHeight w:val="252"/>
        </w:trPr>
        <w:tc>
          <w:tcPr>
            <w:tcW w:w="1217"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hideMark/>
          </w:tcPr>
          <w:p w14:paraId="3524F533" w14:textId="0F7369A8" w:rsidR="00FF1084" w:rsidRPr="00FF1084" w:rsidRDefault="00FF1084" w:rsidP="007916F9">
            <w:pPr>
              <w:jc w:val="left"/>
              <w:rPr>
                <w:rFonts w:ascii="Arial Narrow" w:hAnsi="Arial Narrow"/>
                <w:sz w:val="20"/>
                <w:szCs w:val="20"/>
                <w:lang w:eastAsia="zh-CN"/>
              </w:rPr>
            </w:pPr>
            <w:r w:rsidRPr="00FF1084">
              <w:rPr>
                <w:rFonts w:ascii="Arial Narrow" w:hAnsi="Arial Narrow"/>
                <w:sz w:val="20"/>
                <w:szCs w:val="20"/>
              </w:rPr>
              <w:t>Extensive colitis or pancolitis</w:t>
            </w:r>
          </w:p>
        </w:tc>
        <w:tc>
          <w:tcPr>
            <w:tcW w:w="407"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65DF703B" w14:textId="457B8FEE" w:rsidR="00FF1084" w:rsidRPr="00FF1084" w:rsidRDefault="00FF1084" w:rsidP="007916F9">
            <w:pPr>
              <w:jc w:val="center"/>
              <w:rPr>
                <w:rFonts w:ascii="Arial Narrow" w:hAnsi="Arial Narrow"/>
                <w:sz w:val="20"/>
                <w:szCs w:val="20"/>
                <w:lang w:eastAsia="zh-CN"/>
              </w:rPr>
            </w:pPr>
            <w:r w:rsidRPr="00FF1084">
              <w:rPr>
                <w:rFonts w:ascii="Arial Narrow" w:hAnsi="Arial Narrow"/>
                <w:sz w:val="20"/>
                <w:szCs w:val="20"/>
              </w:rPr>
              <w:t>78 (33.9%)</w:t>
            </w:r>
          </w:p>
        </w:tc>
        <w:tc>
          <w:tcPr>
            <w:tcW w:w="407"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47E164F2" w14:textId="291FBD0A" w:rsidR="00FF1084" w:rsidRPr="00FF1084" w:rsidRDefault="00FF1084" w:rsidP="007916F9">
            <w:pPr>
              <w:jc w:val="center"/>
              <w:rPr>
                <w:rFonts w:ascii="Arial Narrow" w:hAnsi="Arial Narrow"/>
                <w:sz w:val="20"/>
                <w:szCs w:val="20"/>
                <w:lang w:eastAsia="zh-CN"/>
              </w:rPr>
            </w:pPr>
            <w:r w:rsidRPr="00FF1084">
              <w:rPr>
                <w:rFonts w:ascii="Arial Narrow" w:hAnsi="Arial Narrow"/>
                <w:sz w:val="20"/>
                <w:szCs w:val="20"/>
              </w:rPr>
              <w:t>70 (30.8%)</w:t>
            </w:r>
          </w:p>
        </w:tc>
        <w:tc>
          <w:tcPr>
            <w:tcW w:w="406"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2CEA65C4" w14:textId="4A61C040" w:rsidR="00FF1084" w:rsidRPr="00FF1084" w:rsidRDefault="00FF1084" w:rsidP="007916F9">
            <w:pPr>
              <w:jc w:val="center"/>
              <w:rPr>
                <w:rFonts w:ascii="Arial Narrow" w:hAnsi="Arial Narrow"/>
                <w:sz w:val="20"/>
                <w:szCs w:val="20"/>
                <w:lang w:eastAsia="zh-CN"/>
              </w:rPr>
            </w:pPr>
            <w:r w:rsidRPr="00FF1084">
              <w:rPr>
                <w:rFonts w:ascii="Arial Narrow" w:hAnsi="Arial Narrow"/>
                <w:sz w:val="20"/>
                <w:szCs w:val="20"/>
              </w:rPr>
              <w:t>67 (53.7%)</w:t>
            </w:r>
          </w:p>
        </w:tc>
        <w:tc>
          <w:tcPr>
            <w:tcW w:w="406"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374EDF7A" w14:textId="1B1DB2C5" w:rsidR="00FF1084" w:rsidRPr="00FF1084" w:rsidRDefault="00FF1084" w:rsidP="007916F9">
            <w:pPr>
              <w:jc w:val="center"/>
              <w:rPr>
                <w:rFonts w:ascii="Arial Narrow" w:hAnsi="Arial Narrow"/>
                <w:sz w:val="20"/>
                <w:szCs w:val="20"/>
                <w:lang w:eastAsia="zh-CN"/>
              </w:rPr>
            </w:pPr>
            <w:r w:rsidRPr="00FF1084">
              <w:rPr>
                <w:rFonts w:ascii="Arial Narrow" w:hAnsi="Arial Narrow"/>
                <w:sz w:val="20"/>
                <w:szCs w:val="20"/>
              </w:rPr>
              <w:t>46 (53.7%)</w:t>
            </w:r>
          </w:p>
        </w:tc>
        <w:tc>
          <w:tcPr>
            <w:tcW w:w="356"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67E02BE7" w14:textId="41BB787F" w:rsidR="00FF1084" w:rsidRPr="00FF1084" w:rsidRDefault="00FF1084" w:rsidP="007916F9">
            <w:pPr>
              <w:jc w:val="center"/>
              <w:rPr>
                <w:rFonts w:ascii="Arial Narrow" w:hAnsi="Arial Narrow"/>
                <w:sz w:val="20"/>
                <w:szCs w:val="20"/>
                <w:lang w:eastAsia="zh-CN"/>
              </w:rPr>
            </w:pPr>
            <w:r w:rsidRPr="00FF1084">
              <w:rPr>
                <w:rFonts w:ascii="Arial Narrow" w:hAnsi="Arial Narrow"/>
                <w:sz w:val="20"/>
                <w:szCs w:val="20"/>
              </w:rPr>
              <w:t>&lt; 0.001 *</w:t>
            </w:r>
          </w:p>
        </w:tc>
        <w:tc>
          <w:tcPr>
            <w:tcW w:w="357" w:type="pct"/>
            <w:tcBorders>
              <w:top w:val="single" w:sz="8" w:space="0" w:color="595454"/>
              <w:left w:val="single" w:sz="8" w:space="0" w:color="595454"/>
              <w:bottom w:val="single" w:sz="8" w:space="0" w:color="595454"/>
              <w:right w:val="single" w:sz="24" w:space="0" w:color="595454"/>
            </w:tcBorders>
            <w:shd w:val="clear" w:color="auto" w:fill="auto"/>
            <w:tcMar>
              <w:top w:w="15" w:type="dxa"/>
              <w:left w:w="15" w:type="dxa"/>
              <w:bottom w:w="0" w:type="dxa"/>
              <w:right w:w="15" w:type="dxa"/>
            </w:tcMar>
            <w:vAlign w:val="center"/>
            <w:hideMark/>
          </w:tcPr>
          <w:p w14:paraId="1E011BEE" w14:textId="3DD67368" w:rsidR="00FF1084" w:rsidRPr="00FF1084" w:rsidRDefault="00FF1084" w:rsidP="007916F9">
            <w:pPr>
              <w:jc w:val="center"/>
              <w:rPr>
                <w:rFonts w:ascii="Arial Narrow" w:hAnsi="Arial Narrow"/>
                <w:sz w:val="20"/>
                <w:szCs w:val="20"/>
                <w:lang w:eastAsia="zh-CN"/>
              </w:rPr>
            </w:pPr>
            <w:r w:rsidRPr="00FF1084">
              <w:rPr>
                <w:rFonts w:ascii="Arial Narrow" w:hAnsi="Arial Narrow"/>
                <w:sz w:val="20"/>
                <w:szCs w:val="20"/>
              </w:rPr>
              <w:t>&lt; 0.001 *</w:t>
            </w:r>
          </w:p>
        </w:tc>
        <w:tc>
          <w:tcPr>
            <w:tcW w:w="355" w:type="pct"/>
            <w:tcBorders>
              <w:top w:val="single" w:sz="8" w:space="0" w:color="595454"/>
              <w:left w:val="single" w:sz="24"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2B99393A" w14:textId="57FB5D4C" w:rsidR="00FF1084" w:rsidRPr="00FF1084" w:rsidRDefault="00FF1084" w:rsidP="007916F9">
            <w:pPr>
              <w:jc w:val="center"/>
              <w:rPr>
                <w:rFonts w:ascii="Arial Narrow" w:hAnsi="Arial Narrow"/>
                <w:sz w:val="20"/>
                <w:szCs w:val="20"/>
                <w:lang w:eastAsia="zh-CN"/>
              </w:rPr>
            </w:pPr>
            <w:r w:rsidRPr="00FF1084">
              <w:rPr>
                <w:rFonts w:ascii="Arial Narrow" w:hAnsi="Arial Narrow"/>
                <w:sz w:val="20"/>
                <w:szCs w:val="20"/>
              </w:rPr>
              <w:t>53.7%</w:t>
            </w:r>
          </w:p>
        </w:tc>
        <w:tc>
          <w:tcPr>
            <w:tcW w:w="371"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30352FA7" w14:textId="19B6DC28" w:rsidR="00FF1084" w:rsidRPr="00FF1084" w:rsidRDefault="00FF1084" w:rsidP="007916F9">
            <w:pPr>
              <w:jc w:val="center"/>
              <w:rPr>
                <w:rFonts w:ascii="Arial Narrow" w:hAnsi="Arial Narrow"/>
                <w:sz w:val="20"/>
                <w:szCs w:val="20"/>
                <w:lang w:eastAsia="zh-CN"/>
              </w:rPr>
            </w:pPr>
            <w:r w:rsidRPr="00FF1084">
              <w:rPr>
                <w:rFonts w:ascii="Arial Narrow" w:hAnsi="Arial Narrow"/>
                <w:sz w:val="20"/>
                <w:szCs w:val="20"/>
              </w:rPr>
              <w:t>53.7%</w:t>
            </w:r>
          </w:p>
        </w:tc>
        <w:tc>
          <w:tcPr>
            <w:tcW w:w="363"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0371DB62" w14:textId="0C3704EB" w:rsidR="00FF1084" w:rsidRPr="00FF1084" w:rsidRDefault="00FF1084" w:rsidP="007916F9">
            <w:pPr>
              <w:jc w:val="center"/>
              <w:rPr>
                <w:rFonts w:ascii="Arial Narrow" w:hAnsi="Arial Narrow"/>
                <w:sz w:val="20"/>
                <w:szCs w:val="20"/>
                <w:lang w:eastAsia="zh-CN"/>
              </w:rPr>
            </w:pPr>
            <w:r w:rsidRPr="00FF1084">
              <w:rPr>
                <w:rFonts w:ascii="Arial Narrow" w:hAnsi="Arial Narrow"/>
                <w:sz w:val="20"/>
                <w:szCs w:val="20"/>
              </w:rPr>
              <w:t>53.7%</w:t>
            </w:r>
          </w:p>
        </w:tc>
        <w:tc>
          <w:tcPr>
            <w:tcW w:w="355"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hideMark/>
          </w:tcPr>
          <w:p w14:paraId="41F9FD8B" w14:textId="4BDEA0D4" w:rsidR="00FF1084" w:rsidRPr="00FF1084" w:rsidRDefault="00FF1084" w:rsidP="007916F9">
            <w:pPr>
              <w:jc w:val="center"/>
              <w:rPr>
                <w:rFonts w:ascii="Arial Narrow" w:hAnsi="Arial Narrow"/>
                <w:sz w:val="20"/>
                <w:szCs w:val="20"/>
                <w:lang w:eastAsia="zh-CN"/>
              </w:rPr>
            </w:pPr>
            <w:r w:rsidRPr="00FF1084">
              <w:rPr>
                <w:rFonts w:ascii="Arial Narrow" w:hAnsi="Arial Narrow"/>
                <w:sz w:val="20"/>
                <w:szCs w:val="20"/>
              </w:rPr>
              <w:t>53.7%</w:t>
            </w:r>
          </w:p>
        </w:tc>
      </w:tr>
      <w:tr w:rsidR="009600D2" w:rsidRPr="005002BC" w14:paraId="6BB453F2" w14:textId="77777777" w:rsidTr="009600D2">
        <w:trPr>
          <w:trHeight w:val="51"/>
        </w:trPr>
        <w:tc>
          <w:tcPr>
            <w:tcW w:w="1217" w:type="pct"/>
            <w:tcBorders>
              <w:top w:val="single" w:sz="8" w:space="0" w:color="595454"/>
              <w:left w:val="single" w:sz="8" w:space="0" w:color="595454"/>
              <w:bottom w:val="single" w:sz="8" w:space="0" w:color="595454"/>
              <w:right w:val="single" w:sz="8" w:space="0" w:color="595454"/>
            </w:tcBorders>
            <w:shd w:val="clear" w:color="auto" w:fill="auto"/>
            <w:tcMar>
              <w:top w:w="14" w:type="dxa"/>
              <w:left w:w="14" w:type="dxa"/>
              <w:bottom w:w="0" w:type="dxa"/>
              <w:right w:w="14" w:type="dxa"/>
            </w:tcMar>
            <w:vAlign w:val="center"/>
          </w:tcPr>
          <w:p w14:paraId="1BAF4E15" w14:textId="36CCBEDB" w:rsidR="00FF1084" w:rsidRPr="00FF1084" w:rsidRDefault="00FF1084" w:rsidP="007916F9">
            <w:pPr>
              <w:jc w:val="left"/>
              <w:rPr>
                <w:rFonts w:ascii="Arial Narrow" w:hAnsi="Arial Narrow"/>
                <w:color w:val="000000" w:themeColor="text1"/>
                <w:kern w:val="24"/>
                <w:sz w:val="20"/>
                <w:szCs w:val="20"/>
                <w:lang w:eastAsia="zh-CN"/>
              </w:rPr>
            </w:pPr>
            <w:r w:rsidRPr="00FF1084">
              <w:rPr>
                <w:rFonts w:ascii="Arial Narrow" w:hAnsi="Arial Narrow"/>
                <w:sz w:val="20"/>
                <w:szCs w:val="20"/>
              </w:rPr>
              <w:t>Prior anti-TNF therapy use</w:t>
            </w:r>
          </w:p>
        </w:tc>
        <w:tc>
          <w:tcPr>
            <w:tcW w:w="407"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tcPr>
          <w:p w14:paraId="2F532F8E" w14:textId="67C2A93A" w:rsidR="00FF1084" w:rsidRPr="00FF1084" w:rsidRDefault="00FF1084" w:rsidP="007916F9">
            <w:pPr>
              <w:jc w:val="center"/>
              <w:rPr>
                <w:rFonts w:ascii="Arial Narrow" w:hAnsi="Arial Narrow"/>
                <w:sz w:val="20"/>
                <w:szCs w:val="20"/>
              </w:rPr>
            </w:pPr>
            <w:r w:rsidRPr="00FF1084">
              <w:rPr>
                <w:rFonts w:ascii="Arial Narrow" w:hAnsi="Arial Narrow"/>
                <w:sz w:val="20"/>
                <w:szCs w:val="20"/>
              </w:rPr>
              <w:t>76 (33.0%)</w:t>
            </w:r>
          </w:p>
        </w:tc>
        <w:tc>
          <w:tcPr>
            <w:tcW w:w="407"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tcPr>
          <w:p w14:paraId="25542FB5" w14:textId="31E315D3" w:rsidR="00FF1084" w:rsidRPr="00FF1084" w:rsidRDefault="00FF1084" w:rsidP="007916F9">
            <w:pPr>
              <w:jc w:val="center"/>
              <w:rPr>
                <w:rFonts w:ascii="Arial Narrow" w:hAnsi="Arial Narrow"/>
                <w:sz w:val="20"/>
                <w:szCs w:val="20"/>
              </w:rPr>
            </w:pPr>
            <w:r w:rsidRPr="00FF1084">
              <w:rPr>
                <w:rFonts w:ascii="Arial Narrow" w:hAnsi="Arial Narrow"/>
                <w:sz w:val="20"/>
                <w:szCs w:val="20"/>
              </w:rPr>
              <w:t>69 (30.4%)</w:t>
            </w:r>
          </w:p>
        </w:tc>
        <w:tc>
          <w:tcPr>
            <w:tcW w:w="406"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tcPr>
          <w:p w14:paraId="29B6F36B" w14:textId="6FC90DE0" w:rsidR="00FF1084" w:rsidRPr="00FF1084" w:rsidRDefault="00FF1084" w:rsidP="007916F9">
            <w:pPr>
              <w:jc w:val="center"/>
              <w:rPr>
                <w:rFonts w:ascii="Arial Narrow" w:hAnsi="Arial Narrow"/>
                <w:sz w:val="20"/>
                <w:szCs w:val="20"/>
              </w:rPr>
            </w:pPr>
            <w:r w:rsidRPr="00FF1084">
              <w:rPr>
                <w:rFonts w:ascii="Arial Narrow" w:hAnsi="Arial Narrow"/>
                <w:sz w:val="20"/>
                <w:szCs w:val="20"/>
              </w:rPr>
              <w:t>36 (28.5%)</w:t>
            </w:r>
          </w:p>
        </w:tc>
        <w:tc>
          <w:tcPr>
            <w:tcW w:w="406"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tcPr>
          <w:p w14:paraId="6AA52058" w14:textId="0F263C7E" w:rsidR="00FF1084" w:rsidRPr="00FF1084" w:rsidRDefault="00FF1084" w:rsidP="007916F9">
            <w:pPr>
              <w:jc w:val="center"/>
              <w:rPr>
                <w:rFonts w:ascii="Arial Narrow" w:hAnsi="Arial Narrow"/>
                <w:sz w:val="20"/>
                <w:szCs w:val="20"/>
              </w:rPr>
            </w:pPr>
            <w:r w:rsidRPr="00FF1084">
              <w:rPr>
                <w:rFonts w:ascii="Arial Narrow" w:hAnsi="Arial Narrow"/>
                <w:sz w:val="20"/>
                <w:szCs w:val="20"/>
              </w:rPr>
              <w:t>24 (28.5%)</w:t>
            </w:r>
          </w:p>
        </w:tc>
        <w:tc>
          <w:tcPr>
            <w:tcW w:w="356"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tcPr>
          <w:p w14:paraId="5BD6ACF4" w14:textId="48EB79D3" w:rsidR="00FF1084" w:rsidRPr="00FF1084" w:rsidRDefault="00FF1084" w:rsidP="007916F9">
            <w:pPr>
              <w:jc w:val="center"/>
              <w:rPr>
                <w:rFonts w:ascii="Arial Narrow" w:hAnsi="Arial Narrow"/>
                <w:sz w:val="20"/>
                <w:szCs w:val="20"/>
              </w:rPr>
            </w:pPr>
            <w:r w:rsidRPr="00FF1084">
              <w:rPr>
                <w:rFonts w:ascii="Arial Narrow" w:hAnsi="Arial Narrow"/>
                <w:sz w:val="20"/>
                <w:szCs w:val="20"/>
              </w:rPr>
              <w:t>0.4</w:t>
            </w:r>
          </w:p>
        </w:tc>
        <w:tc>
          <w:tcPr>
            <w:tcW w:w="357" w:type="pct"/>
            <w:tcBorders>
              <w:top w:val="single" w:sz="8" w:space="0" w:color="595454"/>
              <w:left w:val="single" w:sz="8" w:space="0" w:color="595454"/>
              <w:bottom w:val="single" w:sz="8" w:space="0" w:color="595454"/>
              <w:right w:val="single" w:sz="24" w:space="0" w:color="595454"/>
            </w:tcBorders>
            <w:shd w:val="clear" w:color="auto" w:fill="auto"/>
            <w:tcMar>
              <w:top w:w="15" w:type="dxa"/>
              <w:left w:w="15" w:type="dxa"/>
              <w:bottom w:w="0" w:type="dxa"/>
              <w:right w:w="15" w:type="dxa"/>
            </w:tcMar>
            <w:vAlign w:val="center"/>
          </w:tcPr>
          <w:p w14:paraId="55B5F670" w14:textId="0CAD7B82" w:rsidR="00FF1084" w:rsidRPr="00FF1084" w:rsidRDefault="00FF1084" w:rsidP="007916F9">
            <w:pPr>
              <w:jc w:val="center"/>
              <w:rPr>
                <w:rFonts w:ascii="Arial Narrow" w:hAnsi="Arial Narrow"/>
                <w:sz w:val="20"/>
                <w:szCs w:val="20"/>
              </w:rPr>
            </w:pPr>
            <w:r w:rsidRPr="00FF1084">
              <w:rPr>
                <w:rFonts w:ascii="Arial Narrow" w:hAnsi="Arial Narrow"/>
                <w:sz w:val="20"/>
                <w:szCs w:val="20"/>
              </w:rPr>
              <w:t>0.9</w:t>
            </w:r>
          </w:p>
        </w:tc>
        <w:tc>
          <w:tcPr>
            <w:tcW w:w="355" w:type="pct"/>
            <w:tcBorders>
              <w:top w:val="single" w:sz="8" w:space="0" w:color="595454"/>
              <w:left w:val="single" w:sz="24" w:space="0" w:color="595454"/>
              <w:bottom w:val="single" w:sz="8" w:space="0" w:color="595454"/>
              <w:right w:val="single" w:sz="8" w:space="0" w:color="595454"/>
            </w:tcBorders>
            <w:shd w:val="clear" w:color="auto" w:fill="auto"/>
            <w:tcMar>
              <w:top w:w="15" w:type="dxa"/>
              <w:left w:w="15" w:type="dxa"/>
              <w:bottom w:w="0" w:type="dxa"/>
              <w:right w:w="15" w:type="dxa"/>
            </w:tcMar>
            <w:vAlign w:val="center"/>
          </w:tcPr>
          <w:p w14:paraId="40BC12CF" w14:textId="7667D442" w:rsidR="00FF1084" w:rsidRPr="00FF1084" w:rsidRDefault="00FF1084" w:rsidP="007916F9">
            <w:pPr>
              <w:jc w:val="center"/>
              <w:rPr>
                <w:rFonts w:ascii="Arial Narrow" w:hAnsi="Arial Narrow"/>
                <w:sz w:val="20"/>
                <w:szCs w:val="20"/>
              </w:rPr>
            </w:pPr>
            <w:r w:rsidRPr="00FF1084">
              <w:rPr>
                <w:rFonts w:ascii="Arial Narrow" w:hAnsi="Arial Narrow"/>
                <w:sz w:val="20"/>
                <w:szCs w:val="20"/>
              </w:rPr>
              <w:t>28.5%</w:t>
            </w:r>
          </w:p>
        </w:tc>
        <w:tc>
          <w:tcPr>
            <w:tcW w:w="371"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tcPr>
          <w:p w14:paraId="0A2A6D2A" w14:textId="0846E45C" w:rsidR="00FF1084" w:rsidRPr="00FF1084" w:rsidRDefault="00FF1084" w:rsidP="007916F9">
            <w:pPr>
              <w:jc w:val="center"/>
              <w:rPr>
                <w:rFonts w:ascii="Arial Narrow" w:hAnsi="Arial Narrow"/>
                <w:sz w:val="20"/>
                <w:szCs w:val="20"/>
              </w:rPr>
            </w:pPr>
            <w:r w:rsidRPr="00FF1084">
              <w:rPr>
                <w:rFonts w:ascii="Arial Narrow" w:hAnsi="Arial Narrow"/>
                <w:sz w:val="20"/>
                <w:szCs w:val="20"/>
              </w:rPr>
              <w:t>28.5%</w:t>
            </w:r>
          </w:p>
        </w:tc>
        <w:tc>
          <w:tcPr>
            <w:tcW w:w="363"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tcPr>
          <w:p w14:paraId="18AA8F32" w14:textId="22B364FB" w:rsidR="00FF1084" w:rsidRPr="00FF1084" w:rsidRDefault="00FF1084" w:rsidP="007916F9">
            <w:pPr>
              <w:jc w:val="center"/>
              <w:rPr>
                <w:rFonts w:ascii="Arial Narrow" w:hAnsi="Arial Narrow"/>
                <w:sz w:val="20"/>
                <w:szCs w:val="20"/>
              </w:rPr>
            </w:pPr>
            <w:r w:rsidRPr="00FF1084">
              <w:rPr>
                <w:rFonts w:ascii="Arial Narrow" w:hAnsi="Arial Narrow"/>
                <w:sz w:val="20"/>
                <w:szCs w:val="20"/>
              </w:rPr>
              <w:t>28.5%</w:t>
            </w:r>
          </w:p>
        </w:tc>
        <w:tc>
          <w:tcPr>
            <w:tcW w:w="355" w:type="pct"/>
            <w:tcBorders>
              <w:top w:val="single" w:sz="8" w:space="0" w:color="595454"/>
              <w:left w:val="single" w:sz="8" w:space="0" w:color="595454"/>
              <w:bottom w:val="single" w:sz="8" w:space="0" w:color="595454"/>
              <w:right w:val="single" w:sz="8" w:space="0" w:color="595454"/>
            </w:tcBorders>
            <w:shd w:val="clear" w:color="auto" w:fill="auto"/>
            <w:tcMar>
              <w:top w:w="15" w:type="dxa"/>
              <w:left w:w="15" w:type="dxa"/>
              <w:bottom w:w="0" w:type="dxa"/>
              <w:right w:w="15" w:type="dxa"/>
            </w:tcMar>
            <w:vAlign w:val="center"/>
          </w:tcPr>
          <w:p w14:paraId="624427B6" w14:textId="5735B691" w:rsidR="00FF1084" w:rsidRPr="00FF1084" w:rsidRDefault="00FF1084" w:rsidP="007916F9">
            <w:pPr>
              <w:jc w:val="center"/>
              <w:rPr>
                <w:rFonts w:ascii="Arial Narrow" w:hAnsi="Arial Narrow"/>
                <w:sz w:val="20"/>
                <w:szCs w:val="20"/>
              </w:rPr>
            </w:pPr>
            <w:r w:rsidRPr="00FF1084">
              <w:rPr>
                <w:rFonts w:ascii="Arial Narrow" w:hAnsi="Arial Narrow"/>
                <w:sz w:val="20"/>
                <w:szCs w:val="20"/>
              </w:rPr>
              <w:t>28.5%</w:t>
            </w:r>
          </w:p>
        </w:tc>
      </w:tr>
    </w:tbl>
    <w:p w14:paraId="2021785E" w14:textId="461C30B3" w:rsidR="00FF1084" w:rsidRPr="007916F9" w:rsidRDefault="00FF1084" w:rsidP="007916F9">
      <w:pPr>
        <w:pStyle w:val="3-BodyText"/>
        <w:numPr>
          <w:ilvl w:val="0"/>
          <w:numId w:val="0"/>
        </w:numPr>
        <w:spacing w:after="0"/>
        <w:rPr>
          <w:rFonts w:ascii="Arial Narrow" w:hAnsi="Arial Narrow"/>
          <w:color w:val="000000" w:themeColor="text1"/>
          <w:sz w:val="18"/>
          <w:szCs w:val="18"/>
        </w:rPr>
      </w:pPr>
      <w:r w:rsidRPr="007916F9">
        <w:rPr>
          <w:rFonts w:ascii="Arial Narrow" w:hAnsi="Arial Narrow"/>
          <w:color w:val="000000" w:themeColor="text1"/>
          <w:sz w:val="18"/>
          <w:szCs w:val="18"/>
        </w:rPr>
        <w:t>Source: Table 1</w:t>
      </w:r>
      <w:r w:rsidR="005D22C7" w:rsidRPr="007916F9">
        <w:rPr>
          <w:rFonts w:ascii="Arial Narrow" w:hAnsi="Arial Narrow"/>
          <w:color w:val="000000" w:themeColor="text1"/>
          <w:sz w:val="18"/>
          <w:szCs w:val="18"/>
        </w:rPr>
        <w:t>4</w:t>
      </w:r>
      <w:r w:rsidRPr="007916F9">
        <w:rPr>
          <w:rFonts w:ascii="Arial Narrow" w:hAnsi="Arial Narrow"/>
          <w:color w:val="000000" w:themeColor="text1"/>
          <w:sz w:val="18"/>
          <w:szCs w:val="18"/>
        </w:rPr>
        <w:t xml:space="preserve"> of Attachment 1 (MAIC OZA vs ADA Study Report March 2021.docx)</w:t>
      </w:r>
    </w:p>
    <w:p w14:paraId="619A76BC" w14:textId="77777777" w:rsidR="00E522FE" w:rsidRPr="007916F9" w:rsidRDefault="00E522FE" w:rsidP="007916F9">
      <w:pPr>
        <w:pStyle w:val="3-BodyText"/>
        <w:numPr>
          <w:ilvl w:val="0"/>
          <w:numId w:val="0"/>
        </w:numPr>
        <w:spacing w:after="0"/>
        <w:rPr>
          <w:rFonts w:ascii="Arial Narrow" w:hAnsi="Arial Narrow"/>
          <w:color w:val="000000" w:themeColor="text1"/>
          <w:sz w:val="18"/>
          <w:szCs w:val="18"/>
        </w:rPr>
      </w:pPr>
      <w:r w:rsidRPr="007916F9">
        <w:rPr>
          <w:rFonts w:ascii="Arial Narrow" w:hAnsi="Arial Narrow"/>
          <w:color w:val="000000" w:themeColor="text1"/>
          <w:sz w:val="18"/>
          <w:szCs w:val="18"/>
        </w:rPr>
        <w:t>Abbreviations: SD = standard deviation; N = number in sample; ESS = effective sample size (after matching)</w:t>
      </w:r>
    </w:p>
    <w:p w14:paraId="769DEFCB" w14:textId="77777777" w:rsidR="005002BC" w:rsidRDefault="005002BC" w:rsidP="005002BC">
      <w:pPr>
        <w:pStyle w:val="3-BodyText"/>
        <w:numPr>
          <w:ilvl w:val="0"/>
          <w:numId w:val="0"/>
        </w:numPr>
        <w:ind w:left="720"/>
        <w:rPr>
          <w:color w:val="0066FF"/>
        </w:rPr>
        <w:sectPr w:rsidR="005002BC" w:rsidSect="003D6FB5">
          <w:pgSz w:w="16840" w:h="11907" w:orient="landscape" w:code="9"/>
          <w:pgMar w:top="1440" w:right="1440" w:bottom="1440" w:left="1440" w:header="1440" w:footer="1440" w:gutter="0"/>
          <w:cols w:space="708"/>
          <w:docGrid w:linePitch="360"/>
        </w:sectPr>
      </w:pPr>
    </w:p>
    <w:p w14:paraId="49040144" w14:textId="35DB7CE6" w:rsidR="00616652" w:rsidRPr="006D2741" w:rsidRDefault="00616652" w:rsidP="00616652">
      <w:pPr>
        <w:pStyle w:val="3-BodyText"/>
        <w:rPr>
          <w:color w:val="000000" w:themeColor="text1"/>
        </w:rPr>
      </w:pPr>
      <w:r w:rsidRPr="006D2741">
        <w:rPr>
          <w:color w:val="000000" w:themeColor="text1"/>
        </w:rPr>
        <w:lastRenderedPageBreak/>
        <w:t>The submission presented selected results for the outcomes of clinical response and endoscopic improvement in induction therapy for the overall population, as well as TNF-</w:t>
      </w:r>
      <w:r w:rsidRPr="006D2741">
        <w:rPr>
          <w:rFonts w:cstheme="minorHAnsi"/>
          <w:color w:val="000000" w:themeColor="text1"/>
        </w:rPr>
        <w:t>α</w:t>
      </w:r>
      <w:r w:rsidR="00EE7F81" w:rsidRPr="006D2741">
        <w:rPr>
          <w:rFonts w:cstheme="minorHAnsi"/>
          <w:color w:val="000000" w:themeColor="text1"/>
        </w:rPr>
        <w:t xml:space="preserve"> inhibitor</w:t>
      </w:r>
      <w:r w:rsidRPr="006D2741">
        <w:rPr>
          <w:color w:val="000000" w:themeColor="text1"/>
        </w:rPr>
        <w:t xml:space="preserve"> naïve and experienced subgroups. For completeness, results for the outcome of clinical remission were also included from Attachment 1 to the submission and the included poster presentation of the MAIC (Dubinsky et al 2021).</w:t>
      </w:r>
    </w:p>
    <w:p w14:paraId="16358383" w14:textId="7D093C3B" w:rsidR="00616652" w:rsidRDefault="00616652" w:rsidP="00616652">
      <w:pPr>
        <w:pStyle w:val="3-BodyText"/>
        <w:rPr>
          <w:color w:val="000000" w:themeColor="text1"/>
        </w:rPr>
      </w:pPr>
      <w:r>
        <w:rPr>
          <w:color w:val="000000" w:themeColor="text1"/>
        </w:rPr>
        <w:t>The results of the MAIC</w:t>
      </w:r>
      <w:r w:rsidR="00CA3428">
        <w:rPr>
          <w:color w:val="000000" w:themeColor="text1"/>
        </w:rPr>
        <w:t xml:space="preserve"> vs ADA (before and after matching)</w:t>
      </w:r>
      <w:r w:rsidR="00B37354">
        <w:rPr>
          <w:color w:val="000000" w:themeColor="text1"/>
        </w:rPr>
        <w:t xml:space="preserve"> for induction therapy</w:t>
      </w:r>
      <w:r>
        <w:rPr>
          <w:color w:val="000000" w:themeColor="text1"/>
        </w:rPr>
        <w:t xml:space="preserve"> are presented in the table below.</w:t>
      </w:r>
    </w:p>
    <w:p w14:paraId="219B7DB9" w14:textId="60FF23D2" w:rsidR="00EE7F81" w:rsidRDefault="00EE7F81" w:rsidP="00EE7F81">
      <w:pPr>
        <w:pStyle w:val="Caption"/>
      </w:pPr>
      <w:r>
        <w:t xml:space="preserve">Table </w:t>
      </w:r>
      <w:fldSimple w:instr=" SEQ Table \* ARABIC ">
        <w:r w:rsidR="00340AC7">
          <w:rPr>
            <w:noProof/>
          </w:rPr>
          <w:t>7</w:t>
        </w:r>
      </w:fldSimple>
      <w:r>
        <w:t>: Results of the matching adjusted indirect comparison (MAIC) - induction therapy</w:t>
      </w:r>
      <w:r w:rsidR="005D22C7">
        <w:t xml:space="preserve"> (anchor-based)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692"/>
        <w:gridCol w:w="2644"/>
      </w:tblGrid>
      <w:tr w:rsidR="00EE7F81" w:rsidRPr="009A0E7B" w14:paraId="21DA2407" w14:textId="77777777" w:rsidTr="00F87355">
        <w:tc>
          <w:tcPr>
            <w:tcW w:w="2041" w:type="pct"/>
          </w:tcPr>
          <w:p w14:paraId="0250CF1E" w14:textId="70ADCF6A" w:rsidR="00EE7F81" w:rsidRPr="009A0E7B" w:rsidRDefault="00EE7F81" w:rsidP="005349F7">
            <w:pPr>
              <w:keepNext/>
              <w:keepLines/>
              <w:rPr>
                <w:rFonts w:ascii="Arial Narrow" w:eastAsia="Calibri" w:hAnsi="Arial Narrow" w:cs="Times New Roman"/>
                <w:b/>
                <w:bCs/>
                <w:snapToGrid w:val="0"/>
                <w:sz w:val="20"/>
                <w:szCs w:val="20"/>
              </w:rPr>
            </w:pPr>
          </w:p>
        </w:tc>
        <w:tc>
          <w:tcPr>
            <w:tcW w:w="1493" w:type="pct"/>
          </w:tcPr>
          <w:p w14:paraId="297C85FC" w14:textId="566D1311" w:rsidR="00EE7F81" w:rsidRPr="009A0E7B" w:rsidRDefault="00EE7F81" w:rsidP="005349F7">
            <w:pPr>
              <w:keepNext/>
              <w:keepLines/>
              <w:rPr>
                <w:rFonts w:ascii="Arial Narrow" w:eastAsia="Calibri" w:hAnsi="Arial Narrow" w:cs="Times New Roman"/>
                <w:b/>
                <w:bCs/>
                <w:snapToGrid w:val="0"/>
                <w:sz w:val="20"/>
                <w:szCs w:val="20"/>
              </w:rPr>
            </w:pPr>
            <w:r>
              <w:rPr>
                <w:rFonts w:ascii="Arial Narrow" w:eastAsia="Calibri" w:hAnsi="Arial Narrow" w:cs="Times New Roman"/>
                <w:b/>
                <w:bCs/>
                <w:snapToGrid w:val="0"/>
                <w:sz w:val="20"/>
                <w:szCs w:val="20"/>
              </w:rPr>
              <w:t>Before matching</w:t>
            </w:r>
          </w:p>
        </w:tc>
        <w:tc>
          <w:tcPr>
            <w:tcW w:w="1466" w:type="pct"/>
          </w:tcPr>
          <w:p w14:paraId="5A1990F0" w14:textId="465EB4AB" w:rsidR="00EE7F81" w:rsidRPr="009A0E7B" w:rsidRDefault="00EE7F81" w:rsidP="005349F7">
            <w:pPr>
              <w:keepNext/>
              <w:keepLines/>
              <w:rPr>
                <w:rFonts w:ascii="Arial Narrow" w:eastAsia="Calibri" w:hAnsi="Arial Narrow" w:cs="Times New Roman"/>
                <w:b/>
                <w:bCs/>
                <w:snapToGrid w:val="0"/>
                <w:sz w:val="20"/>
                <w:szCs w:val="20"/>
              </w:rPr>
            </w:pPr>
            <w:r>
              <w:rPr>
                <w:rFonts w:ascii="Arial Narrow" w:eastAsia="Calibri" w:hAnsi="Arial Narrow" w:cs="Times New Roman"/>
                <w:b/>
                <w:bCs/>
                <w:snapToGrid w:val="0"/>
                <w:sz w:val="20"/>
                <w:szCs w:val="20"/>
              </w:rPr>
              <w:t>After matching</w:t>
            </w:r>
          </w:p>
        </w:tc>
      </w:tr>
      <w:tr w:rsidR="00B37354" w:rsidRPr="009A0E7B" w14:paraId="436D9068" w14:textId="77777777" w:rsidTr="00F87355">
        <w:tc>
          <w:tcPr>
            <w:tcW w:w="2041" w:type="pct"/>
          </w:tcPr>
          <w:p w14:paraId="3864D778" w14:textId="56FB0D9E" w:rsidR="00B37354" w:rsidRDefault="00B37354" w:rsidP="005349F7">
            <w:pPr>
              <w:keepNext/>
              <w:keepLines/>
              <w:rPr>
                <w:rFonts w:ascii="Arial Narrow" w:eastAsia="Calibri" w:hAnsi="Arial Narrow" w:cs="Times New Roman"/>
                <w:b/>
                <w:bCs/>
                <w:snapToGrid w:val="0"/>
                <w:sz w:val="20"/>
                <w:szCs w:val="20"/>
              </w:rPr>
            </w:pPr>
            <w:r>
              <w:rPr>
                <w:rFonts w:ascii="Arial Narrow" w:eastAsia="Calibri" w:hAnsi="Arial Narrow" w:cs="Times New Roman"/>
                <w:b/>
                <w:bCs/>
                <w:snapToGrid w:val="0"/>
                <w:sz w:val="20"/>
                <w:szCs w:val="20"/>
              </w:rPr>
              <w:t>Overall population</w:t>
            </w:r>
          </w:p>
        </w:tc>
        <w:tc>
          <w:tcPr>
            <w:tcW w:w="2959" w:type="pct"/>
            <w:gridSpan w:val="2"/>
            <w:shd w:val="clear" w:color="auto" w:fill="A6A6A6" w:themeFill="background1" w:themeFillShade="A6"/>
          </w:tcPr>
          <w:p w14:paraId="289DA91D" w14:textId="77777777" w:rsidR="00B37354" w:rsidRDefault="00B37354" w:rsidP="005349F7">
            <w:pPr>
              <w:keepNext/>
              <w:keepLines/>
              <w:rPr>
                <w:rFonts w:ascii="Arial Narrow" w:eastAsia="Calibri" w:hAnsi="Arial Narrow" w:cs="Times New Roman"/>
                <w:b/>
                <w:bCs/>
                <w:snapToGrid w:val="0"/>
                <w:sz w:val="20"/>
                <w:szCs w:val="20"/>
              </w:rPr>
            </w:pPr>
          </w:p>
        </w:tc>
      </w:tr>
      <w:tr w:rsidR="00CA3428" w:rsidRPr="009A0E7B" w14:paraId="7F85BC76" w14:textId="77777777" w:rsidTr="00F87355">
        <w:tc>
          <w:tcPr>
            <w:tcW w:w="5000" w:type="pct"/>
            <w:gridSpan w:val="3"/>
          </w:tcPr>
          <w:p w14:paraId="0C71A9A4" w14:textId="47363EDC" w:rsidR="00CA3428" w:rsidRDefault="00CA3428" w:rsidP="005349F7">
            <w:pPr>
              <w:keepNext/>
              <w:keepLines/>
              <w:rPr>
                <w:rFonts w:ascii="Arial Narrow" w:eastAsia="Calibri" w:hAnsi="Arial Narrow" w:cs="Times New Roman"/>
                <w:b/>
                <w:bCs/>
                <w:snapToGrid w:val="0"/>
                <w:sz w:val="20"/>
                <w:szCs w:val="20"/>
              </w:rPr>
            </w:pPr>
            <w:r w:rsidRPr="009A0E7B">
              <w:rPr>
                <w:rFonts w:ascii="Arial Narrow" w:eastAsia="Calibri" w:hAnsi="Arial Narrow" w:cs="Times New Roman"/>
                <w:b/>
                <w:bCs/>
                <w:snapToGrid w:val="0"/>
                <w:sz w:val="20"/>
                <w:szCs w:val="20"/>
              </w:rPr>
              <w:t xml:space="preserve">Clinical </w:t>
            </w:r>
            <w:r>
              <w:rPr>
                <w:rFonts w:ascii="Arial Narrow" w:eastAsia="Calibri" w:hAnsi="Arial Narrow" w:cs="Times New Roman"/>
                <w:b/>
                <w:bCs/>
                <w:snapToGrid w:val="0"/>
                <w:sz w:val="20"/>
                <w:szCs w:val="20"/>
              </w:rPr>
              <w:t>r</w:t>
            </w:r>
            <w:r w:rsidRPr="009A0E7B">
              <w:rPr>
                <w:rFonts w:ascii="Arial Narrow" w:eastAsia="Calibri" w:hAnsi="Arial Narrow" w:cs="Times New Roman"/>
                <w:b/>
                <w:bCs/>
                <w:snapToGrid w:val="0"/>
                <w:sz w:val="20"/>
                <w:szCs w:val="20"/>
              </w:rPr>
              <w:t>esponse</w:t>
            </w:r>
          </w:p>
        </w:tc>
      </w:tr>
      <w:tr w:rsidR="00EE7F81" w:rsidRPr="009A0E7B" w14:paraId="79EEE0D8" w14:textId="77777777" w:rsidTr="00F87355">
        <w:tc>
          <w:tcPr>
            <w:tcW w:w="2041" w:type="pct"/>
          </w:tcPr>
          <w:p w14:paraId="48A4D60B" w14:textId="6EA04BA8" w:rsidR="00EE7F81" w:rsidRPr="009A0E7B" w:rsidRDefault="008C57EA" w:rsidP="005349F7">
            <w:pPr>
              <w:keepNext/>
              <w:keepLines/>
              <w:rPr>
                <w:rFonts w:ascii="Arial Narrow" w:eastAsia="Calibri" w:hAnsi="Arial Narrow" w:cs="Times New Roman"/>
                <w:snapToGrid w:val="0"/>
                <w:sz w:val="20"/>
                <w:szCs w:val="20"/>
              </w:rPr>
            </w:pPr>
            <w:r>
              <w:rPr>
                <w:rFonts w:ascii="Arial Narrow" w:eastAsia="Calibri" w:hAnsi="Arial Narrow" w:cs="Times New Roman"/>
                <w:snapToGrid w:val="0"/>
                <w:sz w:val="20"/>
                <w:szCs w:val="20"/>
              </w:rPr>
              <w:t>MAIC</w:t>
            </w:r>
            <w:r w:rsidR="00EE7F81" w:rsidRPr="009A0E7B">
              <w:rPr>
                <w:rFonts w:ascii="Arial Narrow" w:eastAsia="Calibri" w:hAnsi="Arial Narrow" w:cs="Times New Roman"/>
                <w:snapToGrid w:val="0"/>
                <w:sz w:val="20"/>
                <w:szCs w:val="20"/>
              </w:rPr>
              <w:t xml:space="preserve"> of OZA vs. </w:t>
            </w:r>
            <w:r w:rsidR="00EE7F81">
              <w:rPr>
                <w:rFonts w:ascii="Arial Narrow" w:eastAsia="Calibri" w:hAnsi="Arial Narrow" w:cs="Times New Roman"/>
                <w:snapToGrid w:val="0"/>
                <w:sz w:val="20"/>
                <w:szCs w:val="20"/>
              </w:rPr>
              <w:t>ADA - OR (95% CI)</w:t>
            </w:r>
          </w:p>
        </w:tc>
        <w:tc>
          <w:tcPr>
            <w:tcW w:w="1493" w:type="pct"/>
          </w:tcPr>
          <w:p w14:paraId="0FAE514E" w14:textId="28A73C57" w:rsidR="00EE7F81" w:rsidRPr="00CA3428" w:rsidRDefault="00CA3428" w:rsidP="005349F7">
            <w:pPr>
              <w:keepNext/>
              <w:keepLines/>
              <w:rPr>
                <w:rFonts w:ascii="Arial Narrow" w:eastAsia="Calibri" w:hAnsi="Arial Narrow" w:cs="Times New Roman"/>
                <w:b/>
                <w:bCs/>
                <w:snapToGrid w:val="0"/>
                <w:sz w:val="20"/>
                <w:szCs w:val="20"/>
              </w:rPr>
            </w:pPr>
            <w:r w:rsidRPr="00CA3428">
              <w:rPr>
                <w:rFonts w:ascii="Arial Narrow" w:eastAsia="Calibri" w:hAnsi="Arial Narrow" w:cs="Times New Roman"/>
                <w:b/>
                <w:bCs/>
                <w:snapToGrid w:val="0"/>
                <w:sz w:val="20"/>
                <w:szCs w:val="20"/>
              </w:rPr>
              <w:t>1.635 (1.117, 2.392. p&lt;0.05)</w:t>
            </w:r>
          </w:p>
        </w:tc>
        <w:tc>
          <w:tcPr>
            <w:tcW w:w="1466" w:type="pct"/>
          </w:tcPr>
          <w:p w14:paraId="76B431FE" w14:textId="0854112E" w:rsidR="00EE7F81" w:rsidRPr="00CA3428" w:rsidRDefault="00CA3428" w:rsidP="005349F7">
            <w:pPr>
              <w:keepNext/>
              <w:keepLines/>
              <w:rPr>
                <w:rFonts w:ascii="Arial Narrow" w:eastAsia="Calibri" w:hAnsi="Arial Narrow" w:cs="Times New Roman"/>
                <w:b/>
                <w:bCs/>
                <w:snapToGrid w:val="0"/>
                <w:sz w:val="20"/>
                <w:szCs w:val="20"/>
              </w:rPr>
            </w:pPr>
            <w:r w:rsidRPr="00CA3428">
              <w:rPr>
                <w:rFonts w:ascii="Arial Narrow" w:eastAsia="Calibri" w:hAnsi="Arial Narrow" w:cs="Times New Roman"/>
                <w:b/>
                <w:bCs/>
                <w:snapToGrid w:val="0"/>
                <w:sz w:val="20"/>
                <w:szCs w:val="20"/>
              </w:rPr>
              <w:t>1.532 (1.036, 2.265, p&lt;0.05)</w:t>
            </w:r>
          </w:p>
        </w:tc>
      </w:tr>
      <w:tr w:rsidR="00CA3428" w:rsidRPr="009A0E7B" w14:paraId="6A5C69AE" w14:textId="77777777" w:rsidTr="00F87355">
        <w:tc>
          <w:tcPr>
            <w:tcW w:w="5000" w:type="pct"/>
            <w:gridSpan w:val="3"/>
          </w:tcPr>
          <w:p w14:paraId="3C3F7AF2" w14:textId="549C5422" w:rsidR="00CA3428" w:rsidRPr="009A0E7B" w:rsidRDefault="00CA3428" w:rsidP="005349F7">
            <w:pPr>
              <w:keepNext/>
              <w:keepLines/>
              <w:rPr>
                <w:rFonts w:ascii="Arial Narrow" w:eastAsia="Calibri" w:hAnsi="Arial Narrow" w:cs="Times New Roman"/>
                <w:b/>
                <w:bCs/>
                <w:snapToGrid w:val="0"/>
                <w:sz w:val="20"/>
                <w:szCs w:val="20"/>
              </w:rPr>
            </w:pPr>
            <w:r w:rsidRPr="009A0E7B">
              <w:rPr>
                <w:rFonts w:ascii="Arial Narrow" w:hAnsi="Arial Narrow"/>
                <w:b/>
                <w:bCs/>
                <w:sz w:val="20"/>
                <w:szCs w:val="20"/>
              </w:rPr>
              <w:t xml:space="preserve">Clinical </w:t>
            </w:r>
            <w:r>
              <w:rPr>
                <w:rFonts w:ascii="Arial Narrow" w:hAnsi="Arial Narrow"/>
                <w:b/>
                <w:bCs/>
                <w:sz w:val="20"/>
                <w:szCs w:val="20"/>
              </w:rPr>
              <w:t>r</w:t>
            </w:r>
            <w:r w:rsidRPr="009A0E7B">
              <w:rPr>
                <w:rFonts w:ascii="Arial Narrow" w:hAnsi="Arial Narrow"/>
                <w:b/>
                <w:bCs/>
                <w:sz w:val="20"/>
                <w:szCs w:val="20"/>
              </w:rPr>
              <w:t>emission</w:t>
            </w:r>
            <w:r>
              <w:rPr>
                <w:rFonts w:ascii="Arial Narrow" w:hAnsi="Arial Narrow"/>
                <w:b/>
                <w:bCs/>
                <w:sz w:val="20"/>
                <w:szCs w:val="20"/>
              </w:rPr>
              <w:t xml:space="preserve"> </w:t>
            </w:r>
          </w:p>
        </w:tc>
      </w:tr>
      <w:tr w:rsidR="00CA3428" w:rsidRPr="009A0E7B" w14:paraId="3E37D1F2" w14:textId="77777777" w:rsidTr="00F87355">
        <w:tc>
          <w:tcPr>
            <w:tcW w:w="2041" w:type="pct"/>
          </w:tcPr>
          <w:p w14:paraId="764F3B42" w14:textId="7D3311A1" w:rsidR="00CA3428" w:rsidRPr="009A0E7B" w:rsidRDefault="008C57EA" w:rsidP="005349F7">
            <w:pPr>
              <w:keepNext/>
              <w:keepLines/>
              <w:rPr>
                <w:rFonts w:ascii="Arial Narrow" w:eastAsia="Calibri" w:hAnsi="Arial Narrow" w:cs="Times New Roman"/>
                <w:snapToGrid w:val="0"/>
                <w:sz w:val="20"/>
                <w:szCs w:val="20"/>
              </w:rPr>
            </w:pPr>
            <w:r>
              <w:rPr>
                <w:rFonts w:ascii="Arial Narrow" w:hAnsi="Arial Narrow"/>
                <w:sz w:val="20"/>
                <w:szCs w:val="20"/>
              </w:rPr>
              <w:t>MAIC</w:t>
            </w:r>
            <w:r w:rsidR="00CA3428" w:rsidRPr="009A0E7B">
              <w:rPr>
                <w:rFonts w:ascii="Arial Narrow" w:hAnsi="Arial Narrow"/>
                <w:sz w:val="20"/>
                <w:szCs w:val="20"/>
              </w:rPr>
              <w:t xml:space="preserve"> of OZA vs. </w:t>
            </w:r>
            <w:r w:rsidR="00CA3428">
              <w:rPr>
                <w:rFonts w:ascii="Arial Narrow" w:hAnsi="Arial Narrow"/>
                <w:sz w:val="20"/>
                <w:szCs w:val="20"/>
              </w:rPr>
              <w:t>ADA -</w:t>
            </w:r>
            <w:r w:rsidR="00CA3428" w:rsidRPr="009A0E7B">
              <w:rPr>
                <w:rFonts w:ascii="Arial Narrow" w:hAnsi="Arial Narrow"/>
                <w:sz w:val="20"/>
                <w:szCs w:val="20"/>
              </w:rPr>
              <w:t xml:space="preserve"> </w:t>
            </w:r>
            <w:r w:rsidR="00CA3428">
              <w:rPr>
                <w:rFonts w:ascii="Arial Narrow" w:eastAsia="Calibri" w:hAnsi="Arial Narrow" w:cs="Times New Roman"/>
                <w:snapToGrid w:val="0"/>
                <w:sz w:val="20"/>
                <w:szCs w:val="20"/>
              </w:rPr>
              <w:t>OR (95% CI)</w:t>
            </w:r>
          </w:p>
        </w:tc>
        <w:tc>
          <w:tcPr>
            <w:tcW w:w="1493" w:type="pct"/>
          </w:tcPr>
          <w:p w14:paraId="6CB2B538" w14:textId="54E56308" w:rsidR="00CA3428" w:rsidRPr="009A0E7B" w:rsidRDefault="00CA3428" w:rsidP="005349F7">
            <w:pPr>
              <w:keepNext/>
              <w:keepLines/>
              <w:rPr>
                <w:rFonts w:ascii="Arial Narrow" w:eastAsia="Calibri" w:hAnsi="Arial Narrow" w:cs="Times New Roman"/>
                <w:snapToGrid w:val="0"/>
                <w:sz w:val="20"/>
                <w:szCs w:val="20"/>
              </w:rPr>
            </w:pPr>
            <w:r>
              <w:rPr>
                <w:rFonts w:ascii="Arial Narrow" w:eastAsia="Calibri" w:hAnsi="Arial Narrow" w:cs="Times New Roman"/>
                <w:snapToGrid w:val="0"/>
                <w:sz w:val="20"/>
                <w:szCs w:val="20"/>
              </w:rPr>
              <w:t>1.410 (0.621, 3.200, p=0.41)</w:t>
            </w:r>
          </w:p>
        </w:tc>
        <w:tc>
          <w:tcPr>
            <w:tcW w:w="1466" w:type="pct"/>
          </w:tcPr>
          <w:p w14:paraId="58A14744" w14:textId="7F150025" w:rsidR="00CA3428" w:rsidRPr="009A0E7B" w:rsidRDefault="00CA3428" w:rsidP="005349F7">
            <w:pPr>
              <w:keepNext/>
              <w:keepLines/>
              <w:rPr>
                <w:rFonts w:ascii="Arial Narrow" w:eastAsia="Calibri" w:hAnsi="Arial Narrow" w:cs="Times New Roman"/>
                <w:snapToGrid w:val="0"/>
                <w:sz w:val="20"/>
                <w:szCs w:val="20"/>
              </w:rPr>
            </w:pPr>
            <w:r>
              <w:rPr>
                <w:rFonts w:ascii="Arial Narrow" w:eastAsia="Calibri" w:hAnsi="Arial Narrow" w:cs="Times New Roman"/>
                <w:snapToGrid w:val="0"/>
                <w:sz w:val="20"/>
                <w:szCs w:val="20"/>
              </w:rPr>
              <w:t>1.216 (0.523, 2.831, p=0.65)</w:t>
            </w:r>
          </w:p>
        </w:tc>
      </w:tr>
      <w:tr w:rsidR="00CA3428" w:rsidRPr="009A0E7B" w14:paraId="42729912" w14:textId="77777777" w:rsidTr="00F87355">
        <w:tc>
          <w:tcPr>
            <w:tcW w:w="5000" w:type="pct"/>
            <w:gridSpan w:val="3"/>
          </w:tcPr>
          <w:p w14:paraId="238F1057" w14:textId="12D9518D" w:rsidR="00CA3428" w:rsidRPr="009A0E7B" w:rsidRDefault="00CA3428" w:rsidP="005349F7">
            <w:pPr>
              <w:keepNext/>
              <w:keepLines/>
              <w:rPr>
                <w:rFonts w:ascii="Arial Narrow" w:eastAsia="Calibri" w:hAnsi="Arial Narrow" w:cs="Times New Roman"/>
                <w:b/>
                <w:bCs/>
                <w:snapToGrid w:val="0"/>
                <w:sz w:val="20"/>
                <w:szCs w:val="20"/>
              </w:rPr>
            </w:pPr>
            <w:r>
              <w:rPr>
                <w:rFonts w:ascii="Arial Narrow" w:hAnsi="Arial Narrow"/>
                <w:b/>
                <w:bCs/>
                <w:sz w:val="20"/>
                <w:szCs w:val="20"/>
              </w:rPr>
              <w:t xml:space="preserve">Endoscopic improvement </w:t>
            </w:r>
          </w:p>
        </w:tc>
      </w:tr>
      <w:tr w:rsidR="00CA3428" w:rsidRPr="009A0E7B" w14:paraId="74A38573" w14:textId="77777777" w:rsidTr="00F87355">
        <w:tc>
          <w:tcPr>
            <w:tcW w:w="2041" w:type="pct"/>
          </w:tcPr>
          <w:p w14:paraId="41671B9C" w14:textId="2CB31690" w:rsidR="00CA3428" w:rsidRPr="009A0E7B" w:rsidRDefault="008C57EA" w:rsidP="005349F7">
            <w:pPr>
              <w:keepNext/>
              <w:keepLines/>
              <w:rPr>
                <w:rFonts w:ascii="Arial Narrow" w:eastAsia="Calibri" w:hAnsi="Arial Narrow" w:cs="Times New Roman"/>
                <w:snapToGrid w:val="0"/>
                <w:sz w:val="20"/>
                <w:szCs w:val="20"/>
              </w:rPr>
            </w:pPr>
            <w:r>
              <w:rPr>
                <w:rFonts w:ascii="Arial Narrow" w:hAnsi="Arial Narrow"/>
                <w:sz w:val="20"/>
                <w:szCs w:val="20"/>
              </w:rPr>
              <w:t>MAIC</w:t>
            </w:r>
            <w:r w:rsidR="00CA3428" w:rsidRPr="009A0E7B">
              <w:rPr>
                <w:rFonts w:ascii="Arial Narrow" w:hAnsi="Arial Narrow"/>
                <w:sz w:val="20"/>
                <w:szCs w:val="20"/>
              </w:rPr>
              <w:t xml:space="preserve"> of OZA vs. </w:t>
            </w:r>
            <w:r w:rsidR="00CA3428">
              <w:rPr>
                <w:rFonts w:ascii="Arial Narrow" w:hAnsi="Arial Narrow"/>
                <w:sz w:val="20"/>
                <w:szCs w:val="20"/>
              </w:rPr>
              <w:t>ADA -</w:t>
            </w:r>
            <w:r w:rsidR="00CA3428" w:rsidRPr="009A0E7B">
              <w:rPr>
                <w:rFonts w:ascii="Arial Narrow" w:hAnsi="Arial Narrow"/>
                <w:sz w:val="20"/>
                <w:szCs w:val="20"/>
              </w:rPr>
              <w:t xml:space="preserve"> </w:t>
            </w:r>
            <w:r w:rsidR="00CA3428">
              <w:rPr>
                <w:rFonts w:ascii="Arial Narrow" w:eastAsia="Calibri" w:hAnsi="Arial Narrow" w:cs="Times New Roman"/>
                <w:snapToGrid w:val="0"/>
                <w:sz w:val="20"/>
                <w:szCs w:val="20"/>
              </w:rPr>
              <w:t>OR (95% CI)</w:t>
            </w:r>
          </w:p>
        </w:tc>
        <w:tc>
          <w:tcPr>
            <w:tcW w:w="1493" w:type="pct"/>
          </w:tcPr>
          <w:p w14:paraId="0ADFAAF1" w14:textId="4121C51D" w:rsidR="00CA3428" w:rsidRPr="00CA3428" w:rsidRDefault="00CA3428" w:rsidP="005349F7">
            <w:pPr>
              <w:keepNext/>
              <w:keepLines/>
              <w:rPr>
                <w:rFonts w:ascii="Arial Narrow" w:eastAsia="Calibri" w:hAnsi="Arial Narrow" w:cs="Times New Roman"/>
                <w:b/>
                <w:bCs/>
                <w:snapToGrid w:val="0"/>
                <w:sz w:val="20"/>
                <w:szCs w:val="20"/>
              </w:rPr>
            </w:pPr>
            <w:r w:rsidRPr="00CA3428">
              <w:rPr>
                <w:rFonts w:ascii="Arial Narrow" w:eastAsia="Calibri" w:hAnsi="Arial Narrow" w:cs="Times New Roman"/>
                <w:b/>
                <w:bCs/>
                <w:snapToGrid w:val="0"/>
                <w:sz w:val="20"/>
                <w:szCs w:val="20"/>
              </w:rPr>
              <w:t>1.823 (1.124, 2.955, p&lt;0.05)</w:t>
            </w:r>
          </w:p>
        </w:tc>
        <w:tc>
          <w:tcPr>
            <w:tcW w:w="1466" w:type="pct"/>
          </w:tcPr>
          <w:p w14:paraId="2B9B01DF" w14:textId="525BACBF" w:rsidR="00CA3428" w:rsidRPr="00CA3428" w:rsidRDefault="00CA3428" w:rsidP="005349F7">
            <w:pPr>
              <w:keepNext/>
              <w:keepLines/>
              <w:rPr>
                <w:rFonts w:ascii="Arial Narrow" w:eastAsia="Calibri" w:hAnsi="Arial Narrow" w:cs="Times New Roman"/>
                <w:b/>
                <w:bCs/>
                <w:snapToGrid w:val="0"/>
                <w:sz w:val="20"/>
                <w:szCs w:val="20"/>
              </w:rPr>
            </w:pPr>
            <w:r w:rsidRPr="00CA3428">
              <w:rPr>
                <w:rFonts w:ascii="Arial Narrow" w:eastAsia="Calibri" w:hAnsi="Arial Narrow" w:cs="Times New Roman"/>
                <w:b/>
                <w:bCs/>
                <w:snapToGrid w:val="0"/>
                <w:sz w:val="20"/>
                <w:szCs w:val="20"/>
              </w:rPr>
              <w:t>1.660 (1.008, 2.734, p&lt;0.05)</w:t>
            </w:r>
          </w:p>
        </w:tc>
      </w:tr>
      <w:tr w:rsidR="00CA3428" w:rsidRPr="009A0E7B" w14:paraId="1DF5B8F5" w14:textId="77777777" w:rsidTr="00F87355">
        <w:tc>
          <w:tcPr>
            <w:tcW w:w="2041" w:type="pct"/>
            <w:shd w:val="clear" w:color="auto" w:fill="auto"/>
          </w:tcPr>
          <w:p w14:paraId="0C580E7D" w14:textId="40267F35" w:rsidR="00CA3428" w:rsidRPr="009A0E7B" w:rsidRDefault="00CA3428" w:rsidP="005349F7">
            <w:pPr>
              <w:keepNext/>
              <w:keepLines/>
              <w:rPr>
                <w:rFonts w:ascii="Arial Narrow" w:eastAsia="Calibri" w:hAnsi="Arial Narrow" w:cs="Times New Roman"/>
                <w:snapToGrid w:val="0"/>
                <w:sz w:val="20"/>
                <w:szCs w:val="20"/>
              </w:rPr>
            </w:pPr>
            <w:r>
              <w:rPr>
                <w:rFonts w:ascii="Arial Narrow" w:eastAsia="Calibri" w:hAnsi="Arial Narrow" w:cs="Times New Roman"/>
                <w:b/>
                <w:bCs/>
                <w:snapToGrid w:val="0"/>
                <w:sz w:val="20"/>
                <w:szCs w:val="20"/>
              </w:rPr>
              <w:t>Anti-TNF-α naïve population</w:t>
            </w:r>
          </w:p>
        </w:tc>
        <w:tc>
          <w:tcPr>
            <w:tcW w:w="2959" w:type="pct"/>
            <w:gridSpan w:val="2"/>
            <w:shd w:val="clear" w:color="auto" w:fill="A6A6A6" w:themeFill="background1" w:themeFillShade="A6"/>
          </w:tcPr>
          <w:p w14:paraId="0A73F7CA" w14:textId="3AB9FE28" w:rsidR="00CA3428" w:rsidRPr="009A0E7B" w:rsidRDefault="00CA3428" w:rsidP="005349F7">
            <w:pPr>
              <w:keepNext/>
              <w:keepLines/>
              <w:rPr>
                <w:rFonts w:ascii="Arial Narrow" w:eastAsia="Calibri" w:hAnsi="Arial Narrow" w:cs="Times New Roman"/>
                <w:snapToGrid w:val="0"/>
                <w:sz w:val="20"/>
                <w:szCs w:val="20"/>
              </w:rPr>
            </w:pPr>
          </w:p>
        </w:tc>
      </w:tr>
      <w:tr w:rsidR="00CA3428" w:rsidRPr="009A0E7B" w14:paraId="07C61225" w14:textId="77777777" w:rsidTr="00F87355">
        <w:tc>
          <w:tcPr>
            <w:tcW w:w="5000" w:type="pct"/>
            <w:gridSpan w:val="3"/>
          </w:tcPr>
          <w:p w14:paraId="535F3D78" w14:textId="132AB9E6" w:rsidR="00CA3428" w:rsidRPr="009A0E7B" w:rsidRDefault="00CA3428" w:rsidP="005349F7">
            <w:pPr>
              <w:keepNext/>
              <w:keepLines/>
              <w:rPr>
                <w:rFonts w:ascii="Arial Narrow" w:eastAsia="Calibri" w:hAnsi="Arial Narrow" w:cs="Times New Roman"/>
                <w:b/>
                <w:bCs/>
                <w:snapToGrid w:val="0"/>
                <w:sz w:val="20"/>
                <w:szCs w:val="20"/>
              </w:rPr>
            </w:pPr>
            <w:r w:rsidRPr="009A0E7B">
              <w:rPr>
                <w:rFonts w:ascii="Arial Narrow" w:eastAsia="Calibri" w:hAnsi="Arial Narrow" w:cs="Times New Roman"/>
                <w:b/>
                <w:bCs/>
                <w:snapToGrid w:val="0"/>
                <w:sz w:val="20"/>
                <w:szCs w:val="20"/>
              </w:rPr>
              <w:t xml:space="preserve">Clinical </w:t>
            </w:r>
            <w:r>
              <w:rPr>
                <w:rFonts w:ascii="Arial Narrow" w:eastAsia="Calibri" w:hAnsi="Arial Narrow" w:cs="Times New Roman"/>
                <w:b/>
                <w:bCs/>
                <w:snapToGrid w:val="0"/>
                <w:sz w:val="20"/>
                <w:szCs w:val="20"/>
              </w:rPr>
              <w:t>r</w:t>
            </w:r>
            <w:r w:rsidRPr="009A0E7B">
              <w:rPr>
                <w:rFonts w:ascii="Arial Narrow" w:eastAsia="Calibri" w:hAnsi="Arial Narrow" w:cs="Times New Roman"/>
                <w:b/>
                <w:bCs/>
                <w:snapToGrid w:val="0"/>
                <w:sz w:val="20"/>
                <w:szCs w:val="20"/>
              </w:rPr>
              <w:t>esponse</w:t>
            </w:r>
          </w:p>
        </w:tc>
      </w:tr>
      <w:tr w:rsidR="00CA3428" w:rsidRPr="009A0E7B" w14:paraId="78B55118" w14:textId="77777777" w:rsidTr="00F87355">
        <w:tc>
          <w:tcPr>
            <w:tcW w:w="2041" w:type="pct"/>
          </w:tcPr>
          <w:p w14:paraId="54B2B7FB" w14:textId="333F82E6" w:rsidR="00CA3428" w:rsidRPr="009A0E7B" w:rsidRDefault="008C57EA" w:rsidP="005349F7">
            <w:pPr>
              <w:keepNext/>
              <w:keepLines/>
              <w:rPr>
                <w:rFonts w:ascii="Arial Narrow" w:eastAsia="Calibri" w:hAnsi="Arial Narrow" w:cs="Times New Roman"/>
                <w:snapToGrid w:val="0"/>
                <w:sz w:val="20"/>
                <w:szCs w:val="20"/>
              </w:rPr>
            </w:pPr>
            <w:r>
              <w:rPr>
                <w:rFonts w:ascii="Arial Narrow" w:eastAsia="Calibri" w:hAnsi="Arial Narrow" w:cs="Times New Roman"/>
                <w:snapToGrid w:val="0"/>
                <w:sz w:val="20"/>
                <w:szCs w:val="20"/>
              </w:rPr>
              <w:t>MAIC</w:t>
            </w:r>
            <w:r w:rsidR="00CA3428" w:rsidRPr="009A0E7B">
              <w:rPr>
                <w:rFonts w:ascii="Arial Narrow" w:eastAsia="Calibri" w:hAnsi="Arial Narrow" w:cs="Times New Roman"/>
                <w:snapToGrid w:val="0"/>
                <w:sz w:val="20"/>
                <w:szCs w:val="20"/>
              </w:rPr>
              <w:t xml:space="preserve"> of OZA vs. </w:t>
            </w:r>
            <w:r w:rsidR="00CA3428">
              <w:rPr>
                <w:rFonts w:ascii="Arial Narrow" w:eastAsia="Calibri" w:hAnsi="Arial Narrow" w:cs="Times New Roman"/>
                <w:snapToGrid w:val="0"/>
                <w:sz w:val="20"/>
                <w:szCs w:val="20"/>
              </w:rPr>
              <w:t>ADA -</w:t>
            </w:r>
            <w:r w:rsidR="00CA3428" w:rsidRPr="009A0E7B">
              <w:rPr>
                <w:rFonts w:ascii="Arial Narrow" w:eastAsia="Calibri" w:hAnsi="Arial Narrow" w:cs="Times New Roman"/>
                <w:snapToGrid w:val="0"/>
                <w:sz w:val="20"/>
                <w:szCs w:val="20"/>
              </w:rPr>
              <w:t xml:space="preserve"> </w:t>
            </w:r>
            <w:r w:rsidR="00CA3428">
              <w:rPr>
                <w:rFonts w:ascii="Arial Narrow" w:eastAsia="Calibri" w:hAnsi="Arial Narrow" w:cs="Times New Roman"/>
                <w:snapToGrid w:val="0"/>
                <w:sz w:val="20"/>
                <w:szCs w:val="20"/>
              </w:rPr>
              <w:t>OR (95% CI)</w:t>
            </w:r>
          </w:p>
        </w:tc>
        <w:tc>
          <w:tcPr>
            <w:tcW w:w="1493" w:type="pct"/>
          </w:tcPr>
          <w:p w14:paraId="59B07702" w14:textId="7BE49FD5" w:rsidR="00CA3428" w:rsidRPr="00A42E9E" w:rsidRDefault="008C57EA" w:rsidP="005349F7">
            <w:pPr>
              <w:keepNext/>
              <w:keepLines/>
              <w:rPr>
                <w:rFonts w:ascii="Arial Narrow" w:eastAsia="Calibri" w:hAnsi="Arial Narrow" w:cs="Times New Roman"/>
                <w:b/>
                <w:bCs/>
                <w:snapToGrid w:val="0"/>
                <w:sz w:val="20"/>
                <w:szCs w:val="20"/>
              </w:rPr>
            </w:pPr>
            <w:r w:rsidRPr="00A42E9E">
              <w:rPr>
                <w:rFonts w:ascii="Arial Narrow" w:eastAsia="Calibri" w:hAnsi="Arial Narrow" w:cs="Times New Roman"/>
                <w:b/>
                <w:bCs/>
                <w:snapToGrid w:val="0"/>
                <w:sz w:val="20"/>
                <w:szCs w:val="20"/>
              </w:rPr>
              <w:t xml:space="preserve">1.942 (1.218, </w:t>
            </w:r>
            <w:r w:rsidR="005D22C7">
              <w:rPr>
                <w:rFonts w:ascii="Arial Narrow" w:eastAsia="Calibri" w:hAnsi="Arial Narrow" w:cs="Times New Roman"/>
                <w:b/>
                <w:bCs/>
                <w:snapToGrid w:val="0"/>
                <w:sz w:val="20"/>
                <w:szCs w:val="20"/>
              </w:rPr>
              <w:t>3.096</w:t>
            </w:r>
            <w:r w:rsidRPr="00A42E9E">
              <w:rPr>
                <w:rFonts w:ascii="Arial Narrow" w:eastAsia="Calibri" w:hAnsi="Arial Narrow" w:cs="Times New Roman"/>
                <w:b/>
                <w:bCs/>
                <w:snapToGrid w:val="0"/>
                <w:sz w:val="20"/>
                <w:szCs w:val="20"/>
              </w:rPr>
              <w:t>, p&lt;0.01)</w:t>
            </w:r>
          </w:p>
        </w:tc>
        <w:tc>
          <w:tcPr>
            <w:tcW w:w="1466" w:type="pct"/>
          </w:tcPr>
          <w:p w14:paraId="67490E45" w14:textId="121BED3B" w:rsidR="00CA3428" w:rsidRPr="00A42E9E" w:rsidRDefault="00A42E9E" w:rsidP="005349F7">
            <w:pPr>
              <w:keepNext/>
              <w:keepLines/>
              <w:rPr>
                <w:rFonts w:ascii="Arial Narrow" w:eastAsia="Calibri" w:hAnsi="Arial Narrow" w:cs="Times New Roman"/>
                <w:b/>
                <w:bCs/>
                <w:snapToGrid w:val="0"/>
                <w:sz w:val="20"/>
                <w:szCs w:val="20"/>
              </w:rPr>
            </w:pPr>
            <w:r w:rsidRPr="00A42E9E">
              <w:rPr>
                <w:rFonts w:ascii="Arial Narrow" w:eastAsia="Calibri" w:hAnsi="Arial Narrow" w:cs="Times New Roman"/>
                <w:b/>
                <w:bCs/>
                <w:snapToGrid w:val="0"/>
                <w:sz w:val="20"/>
                <w:szCs w:val="20"/>
              </w:rPr>
              <w:t>1.679 (1.028, 2.743, p&lt;0.05)</w:t>
            </w:r>
          </w:p>
        </w:tc>
      </w:tr>
      <w:tr w:rsidR="00CA3428" w:rsidRPr="009A0E7B" w14:paraId="7602C24F" w14:textId="77777777" w:rsidTr="00F87355">
        <w:tc>
          <w:tcPr>
            <w:tcW w:w="5000" w:type="pct"/>
            <w:gridSpan w:val="3"/>
          </w:tcPr>
          <w:p w14:paraId="5EF4F25D" w14:textId="1BFD4A33" w:rsidR="00CA3428" w:rsidRPr="009A0E7B" w:rsidRDefault="00CA3428" w:rsidP="005349F7">
            <w:pPr>
              <w:keepNext/>
              <w:keepLines/>
              <w:rPr>
                <w:rFonts w:ascii="Arial Narrow" w:eastAsia="Calibri" w:hAnsi="Arial Narrow" w:cs="Times New Roman"/>
                <w:b/>
                <w:bCs/>
                <w:snapToGrid w:val="0"/>
                <w:sz w:val="20"/>
                <w:szCs w:val="20"/>
              </w:rPr>
            </w:pPr>
            <w:r w:rsidRPr="009A0E7B">
              <w:rPr>
                <w:rFonts w:ascii="Arial Narrow" w:hAnsi="Arial Narrow"/>
                <w:b/>
                <w:bCs/>
                <w:sz w:val="20"/>
                <w:szCs w:val="20"/>
              </w:rPr>
              <w:t xml:space="preserve">Clinical </w:t>
            </w:r>
            <w:r>
              <w:rPr>
                <w:rFonts w:ascii="Arial Narrow" w:hAnsi="Arial Narrow"/>
                <w:b/>
                <w:bCs/>
                <w:sz w:val="20"/>
                <w:szCs w:val="20"/>
              </w:rPr>
              <w:t>r</w:t>
            </w:r>
            <w:r w:rsidRPr="009A0E7B">
              <w:rPr>
                <w:rFonts w:ascii="Arial Narrow" w:hAnsi="Arial Narrow"/>
                <w:b/>
                <w:bCs/>
                <w:sz w:val="20"/>
                <w:szCs w:val="20"/>
              </w:rPr>
              <w:t>emission</w:t>
            </w:r>
          </w:p>
        </w:tc>
      </w:tr>
      <w:tr w:rsidR="00CA3428" w:rsidRPr="009A0E7B" w14:paraId="53E2E535" w14:textId="77777777" w:rsidTr="00F87355">
        <w:tc>
          <w:tcPr>
            <w:tcW w:w="2041" w:type="pct"/>
          </w:tcPr>
          <w:p w14:paraId="62E53972" w14:textId="7727D99D" w:rsidR="00CA3428" w:rsidRPr="009A0E7B" w:rsidRDefault="008C57EA" w:rsidP="005349F7">
            <w:pPr>
              <w:keepNext/>
              <w:keepLines/>
              <w:rPr>
                <w:rFonts w:ascii="Arial Narrow" w:eastAsia="Calibri" w:hAnsi="Arial Narrow" w:cs="Times New Roman"/>
                <w:snapToGrid w:val="0"/>
                <w:sz w:val="20"/>
                <w:szCs w:val="20"/>
              </w:rPr>
            </w:pPr>
            <w:r>
              <w:rPr>
                <w:rFonts w:ascii="Arial Narrow" w:hAnsi="Arial Narrow"/>
                <w:sz w:val="20"/>
                <w:szCs w:val="20"/>
              </w:rPr>
              <w:t>MAIC</w:t>
            </w:r>
            <w:r w:rsidR="00CA3428" w:rsidRPr="009A0E7B">
              <w:rPr>
                <w:rFonts w:ascii="Arial Narrow" w:hAnsi="Arial Narrow"/>
                <w:sz w:val="20"/>
                <w:szCs w:val="20"/>
              </w:rPr>
              <w:t xml:space="preserve"> of OZA vs. </w:t>
            </w:r>
            <w:r w:rsidR="00CA3428">
              <w:rPr>
                <w:rFonts w:ascii="Arial Narrow" w:hAnsi="Arial Narrow"/>
                <w:sz w:val="20"/>
                <w:szCs w:val="20"/>
              </w:rPr>
              <w:t>ADA -</w:t>
            </w:r>
            <w:r w:rsidR="00CA3428" w:rsidRPr="009A0E7B">
              <w:rPr>
                <w:rFonts w:ascii="Arial Narrow" w:hAnsi="Arial Narrow"/>
                <w:sz w:val="20"/>
                <w:szCs w:val="20"/>
              </w:rPr>
              <w:t xml:space="preserve"> </w:t>
            </w:r>
            <w:r w:rsidR="00CA3428">
              <w:rPr>
                <w:rFonts w:ascii="Arial Narrow" w:eastAsia="Calibri" w:hAnsi="Arial Narrow" w:cs="Times New Roman"/>
                <w:snapToGrid w:val="0"/>
                <w:sz w:val="20"/>
                <w:szCs w:val="20"/>
              </w:rPr>
              <w:t>OR (95% CI)</w:t>
            </w:r>
          </w:p>
        </w:tc>
        <w:tc>
          <w:tcPr>
            <w:tcW w:w="1493" w:type="pct"/>
          </w:tcPr>
          <w:p w14:paraId="2DEA7B00" w14:textId="199E4412" w:rsidR="00CA3428" w:rsidRPr="009A0E7B" w:rsidRDefault="00CA3428" w:rsidP="005349F7">
            <w:pPr>
              <w:keepNext/>
              <w:keepLines/>
              <w:rPr>
                <w:rFonts w:ascii="Arial Narrow" w:eastAsia="Calibri" w:hAnsi="Arial Narrow" w:cs="Times New Roman"/>
                <w:snapToGrid w:val="0"/>
                <w:sz w:val="20"/>
                <w:szCs w:val="20"/>
              </w:rPr>
            </w:pPr>
            <w:r>
              <w:rPr>
                <w:rFonts w:ascii="Arial Narrow" w:eastAsia="Calibri" w:hAnsi="Arial Narrow" w:cs="Times New Roman"/>
                <w:snapToGrid w:val="0"/>
                <w:sz w:val="20"/>
                <w:szCs w:val="20"/>
              </w:rPr>
              <w:t>1.501 (0.542, 4.154, p=0.43)</w:t>
            </w:r>
          </w:p>
        </w:tc>
        <w:tc>
          <w:tcPr>
            <w:tcW w:w="1466" w:type="pct"/>
          </w:tcPr>
          <w:p w14:paraId="0ED9C839" w14:textId="1CD50085" w:rsidR="00CA3428" w:rsidRPr="009A0E7B" w:rsidRDefault="00CA3428" w:rsidP="005349F7">
            <w:pPr>
              <w:keepNext/>
              <w:keepLines/>
              <w:rPr>
                <w:rFonts w:ascii="Arial Narrow" w:eastAsia="Calibri" w:hAnsi="Arial Narrow" w:cs="Times New Roman"/>
                <w:snapToGrid w:val="0"/>
                <w:sz w:val="20"/>
                <w:szCs w:val="20"/>
              </w:rPr>
            </w:pPr>
            <w:r>
              <w:rPr>
                <w:rFonts w:ascii="Arial Narrow" w:eastAsia="Calibri" w:hAnsi="Arial Narrow" w:cs="Times New Roman"/>
                <w:snapToGrid w:val="0"/>
                <w:sz w:val="20"/>
                <w:szCs w:val="20"/>
              </w:rPr>
              <w:t>1.468 (0.499, 4.320, p=0.49)</w:t>
            </w:r>
          </w:p>
        </w:tc>
      </w:tr>
      <w:tr w:rsidR="00CA3428" w:rsidRPr="009A0E7B" w14:paraId="45699A33" w14:textId="77777777" w:rsidTr="00F87355">
        <w:tc>
          <w:tcPr>
            <w:tcW w:w="5000" w:type="pct"/>
            <w:gridSpan w:val="3"/>
          </w:tcPr>
          <w:p w14:paraId="42800C6D" w14:textId="5F143CD9" w:rsidR="00CA3428" w:rsidRPr="009A0E7B" w:rsidRDefault="00CA3428" w:rsidP="005349F7">
            <w:pPr>
              <w:keepNext/>
              <w:keepLines/>
              <w:rPr>
                <w:rFonts w:ascii="Arial Narrow" w:eastAsia="Calibri" w:hAnsi="Arial Narrow" w:cs="Times New Roman"/>
                <w:b/>
                <w:bCs/>
                <w:snapToGrid w:val="0"/>
                <w:sz w:val="20"/>
                <w:szCs w:val="20"/>
              </w:rPr>
            </w:pPr>
            <w:r>
              <w:rPr>
                <w:rFonts w:ascii="Arial Narrow" w:hAnsi="Arial Narrow"/>
                <w:b/>
                <w:bCs/>
                <w:sz w:val="20"/>
                <w:szCs w:val="20"/>
              </w:rPr>
              <w:t>Endoscopic improvement</w:t>
            </w:r>
          </w:p>
        </w:tc>
      </w:tr>
      <w:tr w:rsidR="00CA3428" w:rsidRPr="009A0E7B" w14:paraId="5D362CE2" w14:textId="77777777" w:rsidTr="00F87355">
        <w:tc>
          <w:tcPr>
            <w:tcW w:w="2041" w:type="pct"/>
          </w:tcPr>
          <w:p w14:paraId="7F4D5FE1" w14:textId="1F3A2578" w:rsidR="00CA3428" w:rsidRPr="009A0E7B" w:rsidRDefault="008C57EA" w:rsidP="005349F7">
            <w:pPr>
              <w:keepNext/>
              <w:keepLines/>
              <w:rPr>
                <w:rFonts w:ascii="Arial Narrow" w:eastAsia="Calibri" w:hAnsi="Arial Narrow" w:cs="Times New Roman"/>
                <w:snapToGrid w:val="0"/>
                <w:sz w:val="20"/>
                <w:szCs w:val="20"/>
              </w:rPr>
            </w:pPr>
            <w:r>
              <w:rPr>
                <w:rFonts w:ascii="Arial Narrow" w:hAnsi="Arial Narrow"/>
                <w:sz w:val="20"/>
                <w:szCs w:val="20"/>
              </w:rPr>
              <w:t>MAIC</w:t>
            </w:r>
            <w:r w:rsidR="00CA3428" w:rsidRPr="009A0E7B">
              <w:rPr>
                <w:rFonts w:ascii="Arial Narrow" w:hAnsi="Arial Narrow"/>
                <w:sz w:val="20"/>
                <w:szCs w:val="20"/>
              </w:rPr>
              <w:t xml:space="preserve"> of OZA vs. </w:t>
            </w:r>
            <w:r w:rsidR="00CA3428">
              <w:rPr>
                <w:rFonts w:ascii="Arial Narrow" w:hAnsi="Arial Narrow"/>
                <w:sz w:val="20"/>
                <w:szCs w:val="20"/>
              </w:rPr>
              <w:t>ADA -</w:t>
            </w:r>
            <w:r w:rsidR="00CA3428" w:rsidRPr="009A0E7B">
              <w:rPr>
                <w:rFonts w:ascii="Arial Narrow" w:hAnsi="Arial Narrow"/>
                <w:sz w:val="20"/>
                <w:szCs w:val="20"/>
              </w:rPr>
              <w:t xml:space="preserve"> </w:t>
            </w:r>
            <w:r w:rsidR="00CA3428">
              <w:rPr>
                <w:rFonts w:ascii="Arial Narrow" w:eastAsia="Calibri" w:hAnsi="Arial Narrow" w:cs="Times New Roman"/>
                <w:snapToGrid w:val="0"/>
                <w:sz w:val="20"/>
                <w:szCs w:val="20"/>
              </w:rPr>
              <w:t>OR (95% CI)</w:t>
            </w:r>
          </w:p>
        </w:tc>
        <w:tc>
          <w:tcPr>
            <w:tcW w:w="1493" w:type="pct"/>
          </w:tcPr>
          <w:p w14:paraId="690A8DE0" w14:textId="0CD4BBEC" w:rsidR="00CA3428" w:rsidRPr="00A42E9E" w:rsidRDefault="00A42E9E" w:rsidP="005349F7">
            <w:pPr>
              <w:keepNext/>
              <w:keepLines/>
              <w:rPr>
                <w:rFonts w:ascii="Arial Narrow" w:eastAsia="Calibri" w:hAnsi="Arial Narrow" w:cs="Times New Roman"/>
                <w:b/>
                <w:bCs/>
                <w:snapToGrid w:val="0"/>
                <w:sz w:val="20"/>
                <w:szCs w:val="20"/>
              </w:rPr>
            </w:pPr>
            <w:r w:rsidRPr="00A42E9E">
              <w:rPr>
                <w:rFonts w:ascii="Arial Narrow" w:eastAsia="Calibri" w:hAnsi="Arial Narrow" w:cs="Times New Roman"/>
                <w:b/>
                <w:bCs/>
                <w:snapToGrid w:val="0"/>
                <w:sz w:val="20"/>
                <w:szCs w:val="20"/>
              </w:rPr>
              <w:t>2.680 (1.501, 4.782, p&lt;0.0</w:t>
            </w:r>
            <w:r w:rsidR="005D22C7">
              <w:rPr>
                <w:rFonts w:ascii="Arial Narrow" w:eastAsia="Calibri" w:hAnsi="Arial Narrow" w:cs="Times New Roman"/>
                <w:b/>
                <w:bCs/>
                <w:snapToGrid w:val="0"/>
                <w:sz w:val="20"/>
                <w:szCs w:val="20"/>
              </w:rPr>
              <w:t>0</w:t>
            </w:r>
            <w:r w:rsidRPr="00A42E9E">
              <w:rPr>
                <w:rFonts w:ascii="Arial Narrow" w:eastAsia="Calibri" w:hAnsi="Arial Narrow" w:cs="Times New Roman"/>
                <w:b/>
                <w:bCs/>
                <w:snapToGrid w:val="0"/>
                <w:sz w:val="20"/>
                <w:szCs w:val="20"/>
              </w:rPr>
              <w:t>1)</w:t>
            </w:r>
          </w:p>
        </w:tc>
        <w:tc>
          <w:tcPr>
            <w:tcW w:w="1466" w:type="pct"/>
          </w:tcPr>
          <w:p w14:paraId="56643445" w14:textId="08959FB0" w:rsidR="00CA3428" w:rsidRPr="00A42E9E" w:rsidRDefault="00A42E9E" w:rsidP="005349F7">
            <w:pPr>
              <w:keepNext/>
              <w:keepLines/>
              <w:rPr>
                <w:rFonts w:ascii="Arial Narrow" w:eastAsia="Calibri" w:hAnsi="Arial Narrow" w:cs="Times New Roman"/>
                <w:b/>
                <w:bCs/>
                <w:snapToGrid w:val="0"/>
                <w:sz w:val="20"/>
                <w:szCs w:val="20"/>
              </w:rPr>
            </w:pPr>
            <w:r w:rsidRPr="00A42E9E">
              <w:rPr>
                <w:rFonts w:ascii="Arial Narrow" w:eastAsia="Calibri" w:hAnsi="Arial Narrow" w:cs="Times New Roman"/>
                <w:b/>
                <w:bCs/>
                <w:snapToGrid w:val="0"/>
                <w:sz w:val="20"/>
                <w:szCs w:val="20"/>
              </w:rPr>
              <w:t>2.728 (1.439, 5.170, p&lt;0.01)</w:t>
            </w:r>
          </w:p>
        </w:tc>
      </w:tr>
      <w:tr w:rsidR="00CA3428" w:rsidRPr="009A0E7B" w14:paraId="7F90B24C" w14:textId="77777777" w:rsidTr="00F87355">
        <w:tc>
          <w:tcPr>
            <w:tcW w:w="2041" w:type="pct"/>
            <w:shd w:val="clear" w:color="auto" w:fill="auto"/>
          </w:tcPr>
          <w:p w14:paraId="541D0D23" w14:textId="76D2555C" w:rsidR="00CA3428" w:rsidRPr="009A0E7B" w:rsidRDefault="00CA3428" w:rsidP="005349F7">
            <w:pPr>
              <w:keepNext/>
              <w:keepLines/>
              <w:rPr>
                <w:rFonts w:ascii="Arial Narrow" w:eastAsia="Calibri" w:hAnsi="Arial Narrow" w:cs="Times New Roman"/>
                <w:snapToGrid w:val="0"/>
                <w:sz w:val="20"/>
                <w:szCs w:val="20"/>
              </w:rPr>
            </w:pPr>
            <w:r>
              <w:rPr>
                <w:rFonts w:ascii="Arial Narrow" w:eastAsia="Calibri" w:hAnsi="Arial Narrow" w:cs="Times New Roman"/>
                <w:b/>
                <w:bCs/>
                <w:snapToGrid w:val="0"/>
                <w:sz w:val="20"/>
                <w:szCs w:val="20"/>
              </w:rPr>
              <w:t>Anti-TNF-α experienced population</w:t>
            </w:r>
          </w:p>
        </w:tc>
        <w:tc>
          <w:tcPr>
            <w:tcW w:w="2959" w:type="pct"/>
            <w:gridSpan w:val="2"/>
            <w:shd w:val="clear" w:color="auto" w:fill="A6A6A6" w:themeFill="background1" w:themeFillShade="A6"/>
          </w:tcPr>
          <w:p w14:paraId="209B441C" w14:textId="58306845" w:rsidR="00CA3428" w:rsidRPr="009A0E7B" w:rsidRDefault="00CA3428" w:rsidP="005349F7">
            <w:pPr>
              <w:keepNext/>
              <w:keepLines/>
              <w:rPr>
                <w:rFonts w:ascii="Arial Narrow" w:eastAsia="Calibri" w:hAnsi="Arial Narrow" w:cs="Times New Roman"/>
                <w:snapToGrid w:val="0"/>
                <w:sz w:val="20"/>
                <w:szCs w:val="20"/>
              </w:rPr>
            </w:pPr>
          </w:p>
        </w:tc>
      </w:tr>
      <w:tr w:rsidR="00CA3428" w:rsidRPr="009A0E7B" w14:paraId="6A644701" w14:textId="77777777" w:rsidTr="00F87355">
        <w:tc>
          <w:tcPr>
            <w:tcW w:w="5000" w:type="pct"/>
            <w:gridSpan w:val="3"/>
          </w:tcPr>
          <w:p w14:paraId="15048B64" w14:textId="15BB8C82" w:rsidR="00CA3428" w:rsidRPr="009A0E7B" w:rsidRDefault="00CA3428" w:rsidP="005349F7">
            <w:pPr>
              <w:keepNext/>
              <w:keepLines/>
              <w:rPr>
                <w:rFonts w:ascii="Arial Narrow" w:eastAsia="Calibri" w:hAnsi="Arial Narrow" w:cs="Times New Roman"/>
                <w:b/>
                <w:bCs/>
                <w:snapToGrid w:val="0"/>
                <w:sz w:val="20"/>
                <w:szCs w:val="20"/>
              </w:rPr>
            </w:pPr>
            <w:r w:rsidRPr="009A0E7B">
              <w:rPr>
                <w:rFonts w:ascii="Arial Narrow" w:eastAsia="Calibri" w:hAnsi="Arial Narrow" w:cs="Times New Roman"/>
                <w:b/>
                <w:bCs/>
                <w:snapToGrid w:val="0"/>
                <w:sz w:val="20"/>
                <w:szCs w:val="20"/>
              </w:rPr>
              <w:t xml:space="preserve">Clinical </w:t>
            </w:r>
            <w:r>
              <w:rPr>
                <w:rFonts w:ascii="Arial Narrow" w:eastAsia="Calibri" w:hAnsi="Arial Narrow" w:cs="Times New Roman"/>
                <w:b/>
                <w:bCs/>
                <w:snapToGrid w:val="0"/>
                <w:sz w:val="20"/>
                <w:szCs w:val="20"/>
              </w:rPr>
              <w:t>r</w:t>
            </w:r>
            <w:r w:rsidRPr="009A0E7B">
              <w:rPr>
                <w:rFonts w:ascii="Arial Narrow" w:eastAsia="Calibri" w:hAnsi="Arial Narrow" w:cs="Times New Roman"/>
                <w:b/>
                <w:bCs/>
                <w:snapToGrid w:val="0"/>
                <w:sz w:val="20"/>
                <w:szCs w:val="20"/>
              </w:rPr>
              <w:t>esponse</w:t>
            </w:r>
          </w:p>
        </w:tc>
      </w:tr>
      <w:tr w:rsidR="00CA3428" w:rsidRPr="009A0E7B" w14:paraId="13C6471F" w14:textId="77777777" w:rsidTr="00F87355">
        <w:tc>
          <w:tcPr>
            <w:tcW w:w="2041" w:type="pct"/>
          </w:tcPr>
          <w:p w14:paraId="2404DCBD" w14:textId="58E4BFE8" w:rsidR="00CA3428" w:rsidRPr="009A0E7B" w:rsidRDefault="008C57EA" w:rsidP="005349F7">
            <w:pPr>
              <w:keepNext/>
              <w:keepLines/>
              <w:rPr>
                <w:rFonts w:ascii="Arial Narrow" w:eastAsia="Calibri" w:hAnsi="Arial Narrow" w:cs="Times New Roman"/>
                <w:snapToGrid w:val="0"/>
                <w:sz w:val="20"/>
                <w:szCs w:val="20"/>
              </w:rPr>
            </w:pPr>
            <w:r>
              <w:rPr>
                <w:rFonts w:ascii="Arial Narrow" w:eastAsia="Calibri" w:hAnsi="Arial Narrow" w:cs="Times New Roman"/>
                <w:snapToGrid w:val="0"/>
                <w:sz w:val="20"/>
                <w:szCs w:val="20"/>
              </w:rPr>
              <w:t>MAIC</w:t>
            </w:r>
            <w:r w:rsidR="00CA3428" w:rsidRPr="009A0E7B">
              <w:rPr>
                <w:rFonts w:ascii="Arial Narrow" w:eastAsia="Calibri" w:hAnsi="Arial Narrow" w:cs="Times New Roman"/>
                <w:snapToGrid w:val="0"/>
                <w:sz w:val="20"/>
                <w:szCs w:val="20"/>
              </w:rPr>
              <w:t xml:space="preserve"> of OZA vs. </w:t>
            </w:r>
            <w:r w:rsidR="00CA3428">
              <w:rPr>
                <w:rFonts w:ascii="Arial Narrow" w:eastAsia="Calibri" w:hAnsi="Arial Narrow" w:cs="Times New Roman"/>
                <w:snapToGrid w:val="0"/>
                <w:sz w:val="20"/>
                <w:szCs w:val="20"/>
              </w:rPr>
              <w:t>ADA -</w:t>
            </w:r>
            <w:r w:rsidR="00CA3428" w:rsidRPr="009A0E7B">
              <w:rPr>
                <w:rFonts w:ascii="Arial Narrow" w:eastAsia="Calibri" w:hAnsi="Arial Narrow" w:cs="Times New Roman"/>
                <w:snapToGrid w:val="0"/>
                <w:sz w:val="20"/>
                <w:szCs w:val="20"/>
              </w:rPr>
              <w:t xml:space="preserve"> </w:t>
            </w:r>
            <w:r w:rsidR="00CA3428">
              <w:rPr>
                <w:rFonts w:ascii="Arial Narrow" w:eastAsia="Calibri" w:hAnsi="Arial Narrow" w:cs="Times New Roman"/>
                <w:snapToGrid w:val="0"/>
                <w:sz w:val="20"/>
                <w:szCs w:val="20"/>
              </w:rPr>
              <w:t>OR (95% CI)</w:t>
            </w:r>
          </w:p>
        </w:tc>
        <w:tc>
          <w:tcPr>
            <w:tcW w:w="1493" w:type="pct"/>
          </w:tcPr>
          <w:p w14:paraId="3DE8B69C" w14:textId="0E5A5517" w:rsidR="00CA3428" w:rsidRPr="00A42E9E" w:rsidRDefault="00A42E9E" w:rsidP="005349F7">
            <w:pPr>
              <w:keepNext/>
              <w:keepLines/>
              <w:rPr>
                <w:rFonts w:ascii="Arial Narrow" w:eastAsia="Calibri" w:hAnsi="Arial Narrow" w:cs="Times New Roman"/>
                <w:b/>
                <w:bCs/>
                <w:snapToGrid w:val="0"/>
                <w:sz w:val="20"/>
                <w:szCs w:val="20"/>
              </w:rPr>
            </w:pPr>
            <w:r w:rsidRPr="00A42E9E">
              <w:rPr>
                <w:rFonts w:ascii="Arial Narrow" w:eastAsia="Calibri" w:hAnsi="Arial Narrow" w:cs="Times New Roman"/>
                <w:b/>
                <w:bCs/>
                <w:snapToGrid w:val="0"/>
                <w:sz w:val="20"/>
                <w:szCs w:val="20"/>
              </w:rPr>
              <w:t>2.979 (1.376, 6.450, p&lt;0.01)</w:t>
            </w:r>
          </w:p>
        </w:tc>
        <w:tc>
          <w:tcPr>
            <w:tcW w:w="1466" w:type="pct"/>
          </w:tcPr>
          <w:p w14:paraId="6994FD4C" w14:textId="38656F18" w:rsidR="00CA3428" w:rsidRPr="00A42E9E" w:rsidRDefault="00A42E9E" w:rsidP="005349F7">
            <w:pPr>
              <w:keepNext/>
              <w:keepLines/>
              <w:rPr>
                <w:rFonts w:ascii="Arial Narrow" w:eastAsia="Calibri" w:hAnsi="Arial Narrow" w:cs="Times New Roman"/>
                <w:b/>
                <w:bCs/>
                <w:snapToGrid w:val="0"/>
                <w:sz w:val="20"/>
                <w:szCs w:val="20"/>
              </w:rPr>
            </w:pPr>
            <w:r w:rsidRPr="00A42E9E">
              <w:rPr>
                <w:rFonts w:ascii="Arial Narrow" w:eastAsia="Calibri" w:hAnsi="Arial Narrow" w:cs="Times New Roman"/>
                <w:b/>
                <w:bCs/>
                <w:snapToGrid w:val="0"/>
                <w:sz w:val="20"/>
                <w:szCs w:val="20"/>
              </w:rPr>
              <w:t>2.527 (1.126, 5.669, p&lt;0.05)</w:t>
            </w:r>
          </w:p>
        </w:tc>
      </w:tr>
      <w:tr w:rsidR="00CA3428" w:rsidRPr="009A0E7B" w14:paraId="6584FC7E" w14:textId="77777777" w:rsidTr="00F87355">
        <w:tc>
          <w:tcPr>
            <w:tcW w:w="5000" w:type="pct"/>
            <w:gridSpan w:val="3"/>
          </w:tcPr>
          <w:p w14:paraId="38A32310" w14:textId="570A0D53" w:rsidR="00CA3428" w:rsidRPr="009A0E7B" w:rsidRDefault="00CA3428" w:rsidP="005349F7">
            <w:pPr>
              <w:keepNext/>
              <w:keepLines/>
              <w:rPr>
                <w:rFonts w:ascii="Arial Narrow" w:eastAsia="Calibri" w:hAnsi="Arial Narrow" w:cs="Times New Roman"/>
                <w:b/>
                <w:bCs/>
                <w:snapToGrid w:val="0"/>
                <w:sz w:val="20"/>
                <w:szCs w:val="20"/>
              </w:rPr>
            </w:pPr>
            <w:r w:rsidRPr="009A0E7B">
              <w:rPr>
                <w:rFonts w:ascii="Arial Narrow" w:hAnsi="Arial Narrow"/>
                <w:b/>
                <w:bCs/>
                <w:sz w:val="20"/>
                <w:szCs w:val="20"/>
              </w:rPr>
              <w:t xml:space="preserve">Clinical </w:t>
            </w:r>
            <w:r>
              <w:rPr>
                <w:rFonts w:ascii="Arial Narrow" w:hAnsi="Arial Narrow"/>
                <w:b/>
                <w:bCs/>
                <w:sz w:val="20"/>
                <w:szCs w:val="20"/>
              </w:rPr>
              <w:t>r</w:t>
            </w:r>
            <w:r w:rsidRPr="009A0E7B">
              <w:rPr>
                <w:rFonts w:ascii="Arial Narrow" w:hAnsi="Arial Narrow"/>
                <w:b/>
                <w:bCs/>
                <w:sz w:val="20"/>
                <w:szCs w:val="20"/>
              </w:rPr>
              <w:t>emission</w:t>
            </w:r>
          </w:p>
        </w:tc>
      </w:tr>
      <w:tr w:rsidR="00CA3428" w:rsidRPr="009A0E7B" w14:paraId="535DF4AD" w14:textId="77777777" w:rsidTr="00F87355">
        <w:tc>
          <w:tcPr>
            <w:tcW w:w="2041" w:type="pct"/>
          </w:tcPr>
          <w:p w14:paraId="39D76C41" w14:textId="19CE09B8" w:rsidR="00CA3428" w:rsidRPr="009A0E7B" w:rsidRDefault="008C57EA" w:rsidP="005349F7">
            <w:pPr>
              <w:keepNext/>
              <w:keepLines/>
              <w:rPr>
                <w:rFonts w:ascii="Arial Narrow" w:eastAsia="Calibri" w:hAnsi="Arial Narrow" w:cs="Times New Roman"/>
                <w:snapToGrid w:val="0"/>
                <w:sz w:val="20"/>
                <w:szCs w:val="20"/>
              </w:rPr>
            </w:pPr>
            <w:r>
              <w:rPr>
                <w:rFonts w:ascii="Arial Narrow" w:hAnsi="Arial Narrow"/>
                <w:sz w:val="20"/>
                <w:szCs w:val="20"/>
              </w:rPr>
              <w:t>MAIC</w:t>
            </w:r>
            <w:r w:rsidR="00CA3428" w:rsidRPr="009A0E7B">
              <w:rPr>
                <w:rFonts w:ascii="Arial Narrow" w:hAnsi="Arial Narrow"/>
                <w:sz w:val="20"/>
                <w:szCs w:val="20"/>
              </w:rPr>
              <w:t xml:space="preserve"> of OZA vs. </w:t>
            </w:r>
            <w:r w:rsidR="00CA3428">
              <w:rPr>
                <w:rFonts w:ascii="Arial Narrow" w:hAnsi="Arial Narrow"/>
                <w:sz w:val="20"/>
                <w:szCs w:val="20"/>
              </w:rPr>
              <w:t>ADA -</w:t>
            </w:r>
            <w:r w:rsidR="00CA3428" w:rsidRPr="009A0E7B">
              <w:rPr>
                <w:rFonts w:ascii="Arial Narrow" w:hAnsi="Arial Narrow"/>
                <w:sz w:val="20"/>
                <w:szCs w:val="20"/>
              </w:rPr>
              <w:t xml:space="preserve"> </w:t>
            </w:r>
            <w:r w:rsidR="00CA3428">
              <w:rPr>
                <w:rFonts w:ascii="Arial Narrow" w:eastAsia="Calibri" w:hAnsi="Arial Narrow" w:cs="Times New Roman"/>
                <w:snapToGrid w:val="0"/>
                <w:sz w:val="20"/>
                <w:szCs w:val="20"/>
              </w:rPr>
              <w:t>OR (95% CI)</w:t>
            </w:r>
          </w:p>
        </w:tc>
        <w:tc>
          <w:tcPr>
            <w:tcW w:w="1493" w:type="pct"/>
          </w:tcPr>
          <w:p w14:paraId="276D20AE" w14:textId="712A4B47" w:rsidR="00CA3428" w:rsidRPr="009A0E7B" w:rsidRDefault="00A42E9E" w:rsidP="005349F7">
            <w:pPr>
              <w:keepNext/>
              <w:keepLines/>
              <w:rPr>
                <w:rFonts w:ascii="Arial Narrow" w:eastAsia="Calibri" w:hAnsi="Arial Narrow" w:cs="Times New Roman"/>
                <w:snapToGrid w:val="0"/>
                <w:sz w:val="20"/>
                <w:szCs w:val="20"/>
              </w:rPr>
            </w:pPr>
            <w:r>
              <w:rPr>
                <w:rFonts w:ascii="Arial Narrow" w:eastAsia="Calibri" w:hAnsi="Arial Narrow" w:cs="Times New Roman"/>
                <w:snapToGrid w:val="0"/>
                <w:sz w:val="20"/>
                <w:szCs w:val="20"/>
              </w:rPr>
              <w:t>0.998 (0.200, 4.977, p=1.00)</w:t>
            </w:r>
          </w:p>
        </w:tc>
        <w:tc>
          <w:tcPr>
            <w:tcW w:w="1466" w:type="pct"/>
          </w:tcPr>
          <w:p w14:paraId="1860C478" w14:textId="35B7F76A" w:rsidR="00CA3428" w:rsidRPr="009A0E7B" w:rsidRDefault="00A42E9E" w:rsidP="005349F7">
            <w:pPr>
              <w:keepNext/>
              <w:keepLines/>
              <w:rPr>
                <w:rFonts w:ascii="Arial Narrow" w:eastAsia="Calibri" w:hAnsi="Arial Narrow" w:cs="Times New Roman"/>
                <w:snapToGrid w:val="0"/>
                <w:sz w:val="20"/>
                <w:szCs w:val="20"/>
              </w:rPr>
            </w:pPr>
            <w:r>
              <w:rPr>
                <w:rFonts w:ascii="Arial Narrow" w:eastAsia="Calibri" w:hAnsi="Arial Narrow" w:cs="Times New Roman"/>
                <w:snapToGrid w:val="0"/>
                <w:sz w:val="20"/>
                <w:szCs w:val="20"/>
              </w:rPr>
              <w:t>0.706 (0.134, 3.730, p=0.68)</w:t>
            </w:r>
          </w:p>
        </w:tc>
      </w:tr>
      <w:tr w:rsidR="00CA3428" w:rsidRPr="009A0E7B" w14:paraId="1A415451" w14:textId="77777777" w:rsidTr="00F87355">
        <w:tc>
          <w:tcPr>
            <w:tcW w:w="5000" w:type="pct"/>
            <w:gridSpan w:val="3"/>
          </w:tcPr>
          <w:p w14:paraId="56807CD1" w14:textId="2A8A5260" w:rsidR="00CA3428" w:rsidRPr="009A0E7B" w:rsidRDefault="00CA3428" w:rsidP="005349F7">
            <w:pPr>
              <w:keepNext/>
              <w:keepLines/>
              <w:rPr>
                <w:rFonts w:ascii="Arial Narrow" w:eastAsia="Calibri" w:hAnsi="Arial Narrow" w:cs="Times New Roman"/>
                <w:b/>
                <w:bCs/>
                <w:snapToGrid w:val="0"/>
                <w:sz w:val="20"/>
                <w:szCs w:val="20"/>
              </w:rPr>
            </w:pPr>
            <w:r>
              <w:rPr>
                <w:rFonts w:ascii="Arial Narrow" w:hAnsi="Arial Narrow"/>
                <w:b/>
                <w:bCs/>
                <w:sz w:val="20"/>
                <w:szCs w:val="20"/>
              </w:rPr>
              <w:t>Endoscopic improvement</w:t>
            </w:r>
          </w:p>
        </w:tc>
      </w:tr>
      <w:tr w:rsidR="00CA3428" w:rsidRPr="009A0E7B" w14:paraId="5C23CFAE" w14:textId="77777777" w:rsidTr="00F87355">
        <w:tc>
          <w:tcPr>
            <w:tcW w:w="2041" w:type="pct"/>
          </w:tcPr>
          <w:p w14:paraId="574C5A9A" w14:textId="15714795" w:rsidR="00CA3428" w:rsidRPr="009A0E7B" w:rsidRDefault="008C57EA" w:rsidP="005349F7">
            <w:pPr>
              <w:keepNext/>
              <w:keepLines/>
              <w:rPr>
                <w:rFonts w:ascii="Arial Narrow" w:eastAsia="Calibri" w:hAnsi="Arial Narrow" w:cs="Times New Roman"/>
                <w:snapToGrid w:val="0"/>
                <w:sz w:val="20"/>
                <w:szCs w:val="20"/>
              </w:rPr>
            </w:pPr>
            <w:r>
              <w:rPr>
                <w:rFonts w:ascii="Arial Narrow" w:hAnsi="Arial Narrow"/>
                <w:sz w:val="20"/>
                <w:szCs w:val="20"/>
              </w:rPr>
              <w:t>MAIC</w:t>
            </w:r>
            <w:r w:rsidR="00CA3428" w:rsidRPr="009A0E7B">
              <w:rPr>
                <w:rFonts w:ascii="Arial Narrow" w:hAnsi="Arial Narrow"/>
                <w:sz w:val="20"/>
                <w:szCs w:val="20"/>
              </w:rPr>
              <w:t xml:space="preserve"> of OZA vs. </w:t>
            </w:r>
            <w:r w:rsidR="00CA3428">
              <w:rPr>
                <w:rFonts w:ascii="Arial Narrow" w:hAnsi="Arial Narrow"/>
                <w:sz w:val="20"/>
                <w:szCs w:val="20"/>
              </w:rPr>
              <w:t>ADA -</w:t>
            </w:r>
            <w:r w:rsidR="00CA3428" w:rsidRPr="009A0E7B">
              <w:rPr>
                <w:rFonts w:ascii="Arial Narrow" w:hAnsi="Arial Narrow"/>
                <w:sz w:val="20"/>
                <w:szCs w:val="20"/>
              </w:rPr>
              <w:t xml:space="preserve"> </w:t>
            </w:r>
            <w:r w:rsidR="00CA3428">
              <w:rPr>
                <w:rFonts w:ascii="Arial Narrow" w:eastAsia="Calibri" w:hAnsi="Arial Narrow" w:cs="Times New Roman"/>
                <w:snapToGrid w:val="0"/>
                <w:sz w:val="20"/>
                <w:szCs w:val="20"/>
              </w:rPr>
              <w:t>OR (95% CI)</w:t>
            </w:r>
          </w:p>
        </w:tc>
        <w:tc>
          <w:tcPr>
            <w:tcW w:w="1493" w:type="pct"/>
          </w:tcPr>
          <w:p w14:paraId="67B3681E" w14:textId="778ABD8A" w:rsidR="00CA3428" w:rsidRPr="009A0E7B" w:rsidRDefault="002636EC" w:rsidP="005349F7">
            <w:pPr>
              <w:keepNext/>
              <w:keepLines/>
              <w:rPr>
                <w:rFonts w:ascii="Arial Narrow" w:eastAsia="Calibri" w:hAnsi="Arial Narrow" w:cs="Times New Roman"/>
                <w:snapToGrid w:val="0"/>
                <w:sz w:val="20"/>
                <w:szCs w:val="20"/>
              </w:rPr>
            </w:pPr>
            <w:r>
              <w:rPr>
                <w:rFonts w:ascii="Arial Narrow" w:eastAsia="Calibri" w:hAnsi="Arial Narrow" w:cs="Times New Roman"/>
                <w:snapToGrid w:val="0"/>
                <w:sz w:val="20"/>
                <w:szCs w:val="20"/>
              </w:rPr>
              <w:t>1.374 (0.533, 3.542, p=0.51)</w:t>
            </w:r>
          </w:p>
        </w:tc>
        <w:tc>
          <w:tcPr>
            <w:tcW w:w="1466" w:type="pct"/>
          </w:tcPr>
          <w:p w14:paraId="273CA21C" w14:textId="64CDB303" w:rsidR="00CA3428" w:rsidRPr="009A0E7B" w:rsidRDefault="002636EC" w:rsidP="005349F7">
            <w:pPr>
              <w:keepNext/>
              <w:keepLines/>
              <w:rPr>
                <w:rFonts w:ascii="Arial Narrow" w:eastAsia="Calibri" w:hAnsi="Arial Narrow" w:cs="Times New Roman"/>
                <w:snapToGrid w:val="0"/>
                <w:sz w:val="20"/>
                <w:szCs w:val="20"/>
              </w:rPr>
            </w:pPr>
            <w:r>
              <w:rPr>
                <w:rFonts w:ascii="Arial Narrow" w:eastAsia="Calibri" w:hAnsi="Arial Narrow" w:cs="Times New Roman"/>
                <w:snapToGrid w:val="0"/>
                <w:sz w:val="20"/>
                <w:szCs w:val="20"/>
              </w:rPr>
              <w:t>1.014 (0.388, 2.654, p=0.98)</w:t>
            </w:r>
          </w:p>
        </w:tc>
      </w:tr>
    </w:tbl>
    <w:p w14:paraId="44C5F6CE" w14:textId="77D9FCAF" w:rsidR="00616652" w:rsidRPr="007916F9" w:rsidRDefault="00CA3428" w:rsidP="002636EC">
      <w:pPr>
        <w:pStyle w:val="3-BodyText"/>
        <w:numPr>
          <w:ilvl w:val="0"/>
          <w:numId w:val="0"/>
        </w:numPr>
        <w:spacing w:after="0"/>
        <w:rPr>
          <w:rFonts w:ascii="Arial Narrow" w:hAnsi="Arial Narrow"/>
          <w:color w:val="000000" w:themeColor="text1"/>
          <w:sz w:val="18"/>
          <w:szCs w:val="18"/>
        </w:rPr>
      </w:pPr>
      <w:r w:rsidRPr="007916F9">
        <w:rPr>
          <w:rFonts w:ascii="Arial Narrow" w:hAnsi="Arial Narrow"/>
          <w:color w:val="000000" w:themeColor="text1"/>
          <w:sz w:val="18"/>
          <w:szCs w:val="18"/>
        </w:rPr>
        <w:t>Source: Tables 4, 9 and 13, Attachment 1 (MAIC OZA vs ADA Study Report March 2021.docx)</w:t>
      </w:r>
    </w:p>
    <w:p w14:paraId="0EE7FB21" w14:textId="2E9DD17C" w:rsidR="009375DD" w:rsidRPr="007916F9" w:rsidRDefault="008C57EA" w:rsidP="00B37354">
      <w:pPr>
        <w:pStyle w:val="3-BodyText"/>
        <w:numPr>
          <w:ilvl w:val="0"/>
          <w:numId w:val="0"/>
        </w:numPr>
        <w:rPr>
          <w:rFonts w:ascii="Arial Narrow" w:hAnsi="Arial Narrow"/>
          <w:color w:val="000000" w:themeColor="text1"/>
          <w:sz w:val="18"/>
          <w:szCs w:val="18"/>
        </w:rPr>
      </w:pPr>
      <w:r w:rsidRPr="007916F9">
        <w:rPr>
          <w:rFonts w:ascii="Arial Narrow" w:hAnsi="Arial Narrow"/>
          <w:color w:val="000000" w:themeColor="text1"/>
          <w:sz w:val="18"/>
          <w:szCs w:val="18"/>
        </w:rPr>
        <w:t>Abbreviations: MAIC = matching-adjusted indirect comparison; OZA = ozanimod; ADA = adalimumab; OR = odds ratio; CI = confidence interval</w:t>
      </w:r>
      <w:r w:rsidR="009375DD" w:rsidRPr="007916F9">
        <w:rPr>
          <w:rFonts w:ascii="Arial Narrow" w:hAnsi="Arial Narrow"/>
          <w:color w:val="000000" w:themeColor="text1"/>
          <w:sz w:val="18"/>
          <w:szCs w:val="18"/>
        </w:rPr>
        <w:t>. Statistically significant results are highlighted by bold text.</w:t>
      </w:r>
    </w:p>
    <w:p w14:paraId="44B746B8" w14:textId="35CAEBC0" w:rsidR="00B37354" w:rsidRPr="006D2741" w:rsidRDefault="00B37354" w:rsidP="00B37354">
      <w:pPr>
        <w:pStyle w:val="3-BodyText"/>
      </w:pPr>
      <w:r w:rsidRPr="006D2741">
        <w:t>In the induction phase MAIC</w:t>
      </w:r>
      <w:r w:rsidR="002234EF" w:rsidRPr="006D2741">
        <w:t xml:space="preserve"> (after matching)</w:t>
      </w:r>
      <w:r w:rsidRPr="006D2741">
        <w:t>, the analysis found statistically significant results favouring OZA for the outcomes of</w:t>
      </w:r>
      <w:r w:rsidR="002234EF" w:rsidRPr="006D2741">
        <w:t xml:space="preserve"> clinical response</w:t>
      </w:r>
      <w:r w:rsidRPr="006D2741">
        <w:t xml:space="preserve"> </w:t>
      </w:r>
      <w:r w:rsidR="002234EF" w:rsidRPr="006D2741">
        <w:t xml:space="preserve">(odds ratio (OR) 1.532, 95% CI 1.036, 2.265) and endoscopic improvement (OR 1.660, 95% CI 1.008, 2.734), </w:t>
      </w:r>
      <w:r w:rsidRPr="006D2741">
        <w:t>but not for clinical remission</w:t>
      </w:r>
      <w:r w:rsidR="002234EF" w:rsidRPr="006D2741">
        <w:t xml:space="preserve"> (OR 1.216, 95% CI</w:t>
      </w:r>
      <w:r w:rsidR="00CB37B5" w:rsidRPr="006D2741">
        <w:t xml:space="preserve"> 0.523, 2.831)</w:t>
      </w:r>
      <w:r w:rsidRPr="006D2741">
        <w:t>. The results of the before and after matching comparisons did not appear to be substantially different</w:t>
      </w:r>
      <w:r w:rsidR="00E10872" w:rsidRPr="006D2741">
        <w:t xml:space="preserve">. However, as discussed in paragraph </w:t>
      </w:r>
      <w:r w:rsidR="00E10872" w:rsidRPr="006D2741">
        <w:fldChar w:fldCharType="begin"/>
      </w:r>
      <w:r w:rsidR="00E10872" w:rsidRPr="006D2741">
        <w:instrText xml:space="preserve"> REF _Ref113451743 \r \h </w:instrText>
      </w:r>
      <w:r w:rsidR="006D2741" w:rsidRPr="006D2741">
        <w:instrText xml:space="preserve"> \* MERGEFORMAT </w:instrText>
      </w:r>
      <w:r w:rsidR="00E10872" w:rsidRPr="006D2741">
        <w:fldChar w:fldCharType="separate"/>
      </w:r>
      <w:r w:rsidR="00340AC7">
        <w:t>6.7</w:t>
      </w:r>
      <w:r w:rsidR="00E10872" w:rsidRPr="006D2741">
        <w:fldChar w:fldCharType="end"/>
      </w:r>
      <w:r w:rsidR="00E10872" w:rsidRPr="006D2741">
        <w:t xml:space="preserve"> above, after matching there remained differences in the absolute estimates of effect </w:t>
      </w:r>
      <w:r w:rsidR="00CB37B5" w:rsidRPr="006D2741">
        <w:t>(particularly in the placebo arms)</w:t>
      </w:r>
      <w:r w:rsidR="00E10872" w:rsidRPr="006D2741">
        <w:t xml:space="preserve"> of the OZA and ADA trials which may indicate the presence </w:t>
      </w:r>
      <w:r w:rsidR="006056BD" w:rsidRPr="006D2741">
        <w:t>of other variables</w:t>
      </w:r>
      <w:r w:rsidR="00E10872" w:rsidRPr="006D2741">
        <w:t xml:space="preserve"> or differences in assessment of response</w:t>
      </w:r>
      <w:r w:rsidR="006056BD" w:rsidRPr="006D2741">
        <w:t xml:space="preserve"> which have not or cannot be adjusted for in the MAIC. The presentation of odds ratios (ORs) as the primary statistical comparison may mask absolute differences in outcomes that are related to issues not adjusted for by the MAIC. This is particularly evident for the outcome of endoscopic improvement, where after matching, the </w:t>
      </w:r>
      <w:r w:rsidR="006056BD" w:rsidRPr="006D2741">
        <w:lastRenderedPageBreak/>
        <w:t xml:space="preserve">absolute response rates for OZA (25%) and placebo (12%) in True North were both substantially lower than response rates for ADA (41%) and placebo (32%) in ULTRA-2 (see </w:t>
      </w:r>
      <w:r w:rsidR="00793D37" w:rsidRPr="006D2741">
        <w:t>F</w:t>
      </w:r>
      <w:r w:rsidR="006056BD" w:rsidRPr="006D2741">
        <w:t>igure 1).</w:t>
      </w:r>
      <w:r w:rsidR="00E10872" w:rsidRPr="006D2741">
        <w:t xml:space="preserve"> </w:t>
      </w:r>
      <w:r w:rsidRPr="006D2741">
        <w:t xml:space="preserve">Interpretation is complicated by the lack of a </w:t>
      </w:r>
      <w:proofErr w:type="gramStart"/>
      <w:r w:rsidR="00CD4E7D">
        <w:t>MCID</w:t>
      </w:r>
      <w:proofErr w:type="gramEnd"/>
      <w:r w:rsidR="00072277" w:rsidRPr="006D2741">
        <w:t xml:space="preserve"> or</w:t>
      </w:r>
      <w:r w:rsidR="00AC1121" w:rsidRPr="006D2741">
        <w:t xml:space="preserve"> non-inferiority margin (NIM) previously accepted by the PBAC in MSUC against which a formal test could be undertaken</w:t>
      </w:r>
      <w:r w:rsidR="00CD4E7D">
        <w:t>. F</w:t>
      </w:r>
      <w:r w:rsidR="00372B89" w:rsidRPr="006D2741">
        <w:t>urthermore</w:t>
      </w:r>
      <w:r w:rsidR="008964A8" w:rsidRPr="006D2741">
        <w:t>,</w:t>
      </w:r>
      <w:r w:rsidR="00372B89" w:rsidRPr="006D2741">
        <w:t xml:space="preserve"> </w:t>
      </w:r>
      <w:r w:rsidR="00AB4E6D" w:rsidRPr="006D2741">
        <w:t>due to the transitivity issues which may not have been entirely addressed in the MAIC,</w:t>
      </w:r>
      <w:r w:rsidR="008964A8" w:rsidRPr="006D2741">
        <w:t xml:space="preserve"> </w:t>
      </w:r>
      <w:proofErr w:type="gramStart"/>
      <w:r w:rsidR="008964A8" w:rsidRPr="006D2741">
        <w:t>overall</w:t>
      </w:r>
      <w:proofErr w:type="gramEnd"/>
      <w:r w:rsidR="008964A8" w:rsidRPr="006D2741">
        <w:t xml:space="preserve"> it is uncertain whether the claimed differences between OZA and ADA are likely to be</w:t>
      </w:r>
      <w:r w:rsidR="00AB4E6D" w:rsidRPr="006D2741">
        <w:t xml:space="preserve"> a true reflection of the comparative effectiveness of these agents, and it is uncertain if any such differences are likely to be</w:t>
      </w:r>
      <w:r w:rsidR="008964A8" w:rsidRPr="006D2741">
        <w:t xml:space="preserve"> clinically significant</w:t>
      </w:r>
      <w:r w:rsidR="00AB4E6D" w:rsidRPr="006D2741">
        <w:t>.</w:t>
      </w:r>
    </w:p>
    <w:p w14:paraId="173195F3" w14:textId="042FC0C0" w:rsidR="00E522FE" w:rsidRPr="006D2741" w:rsidRDefault="009375DD" w:rsidP="009B4186">
      <w:pPr>
        <w:pStyle w:val="3-BodyText"/>
        <w:rPr>
          <w:color w:val="000000" w:themeColor="text1"/>
        </w:rPr>
      </w:pPr>
      <w:r w:rsidRPr="006D2741">
        <w:rPr>
          <w:snapToGrid/>
          <w:color w:val="000000" w:themeColor="text1"/>
          <w:lang w:val="en-US"/>
        </w:rPr>
        <w:t xml:space="preserve">The results of the MAIC in maintenance therapy did not find any statistically significant differences between OZA and ADA for </w:t>
      </w:r>
      <w:r w:rsidR="001A684C" w:rsidRPr="006D2741">
        <w:rPr>
          <w:snapToGrid/>
          <w:color w:val="000000" w:themeColor="text1"/>
          <w:lang w:val="en-US"/>
        </w:rPr>
        <w:t>clinical response or clinical remission</w:t>
      </w:r>
      <w:r w:rsidRPr="006D2741">
        <w:rPr>
          <w:snapToGrid/>
          <w:color w:val="000000" w:themeColor="text1"/>
          <w:lang w:val="en-US"/>
        </w:rPr>
        <w:t>, either before or after matching</w:t>
      </w:r>
      <w:r w:rsidR="001A684C" w:rsidRPr="006D2741">
        <w:rPr>
          <w:snapToGrid/>
          <w:color w:val="000000" w:themeColor="text1"/>
          <w:lang w:val="en-US"/>
        </w:rPr>
        <w:t>.</w:t>
      </w:r>
      <w:r w:rsidR="00685DBD" w:rsidRPr="006D2741">
        <w:rPr>
          <w:snapToGrid/>
          <w:color w:val="000000" w:themeColor="text1"/>
          <w:lang w:val="en-US"/>
        </w:rPr>
        <w:t xml:space="preserve"> </w:t>
      </w:r>
      <w:r w:rsidR="001A684C" w:rsidRPr="006D2741">
        <w:rPr>
          <w:snapToGrid/>
          <w:color w:val="000000" w:themeColor="text1"/>
          <w:lang w:val="en-US"/>
        </w:rPr>
        <w:t>The</w:t>
      </w:r>
      <w:r w:rsidR="00685DBD" w:rsidRPr="006D2741">
        <w:rPr>
          <w:snapToGrid/>
          <w:color w:val="000000" w:themeColor="text1"/>
          <w:lang w:val="en-US"/>
        </w:rPr>
        <w:t xml:space="preserve"> impact of the approach used to estimate the effectiveness of ADA</w:t>
      </w:r>
      <w:r w:rsidR="00CB37B5" w:rsidRPr="006D2741">
        <w:rPr>
          <w:snapToGrid/>
          <w:color w:val="000000" w:themeColor="text1"/>
          <w:lang w:val="en-US"/>
        </w:rPr>
        <w:t xml:space="preserve"> as</w:t>
      </w:r>
      <w:r w:rsidR="00685DBD" w:rsidRPr="006D2741">
        <w:rPr>
          <w:snapToGrid/>
          <w:color w:val="000000" w:themeColor="text1"/>
          <w:lang w:val="en-US"/>
        </w:rPr>
        <w:t xml:space="preserve"> if it had a similar trial design to True North (paragraph </w:t>
      </w:r>
      <w:r w:rsidR="005333C1">
        <w:rPr>
          <w:snapToGrid/>
          <w:color w:val="000000" w:themeColor="text1"/>
          <w:lang w:val="en-US"/>
        </w:rPr>
        <w:fldChar w:fldCharType="begin"/>
      </w:r>
      <w:r w:rsidR="005333C1">
        <w:rPr>
          <w:snapToGrid/>
          <w:color w:val="000000" w:themeColor="text1"/>
          <w:lang w:val="en-US"/>
        </w:rPr>
        <w:instrText xml:space="preserve"> REF _Ref124780083 \r \h </w:instrText>
      </w:r>
      <w:r w:rsidR="005333C1">
        <w:rPr>
          <w:snapToGrid/>
          <w:color w:val="000000" w:themeColor="text1"/>
          <w:lang w:val="en-US"/>
        </w:rPr>
      </w:r>
      <w:r w:rsidR="005333C1">
        <w:rPr>
          <w:snapToGrid/>
          <w:color w:val="000000" w:themeColor="text1"/>
          <w:lang w:val="en-US"/>
        </w:rPr>
        <w:fldChar w:fldCharType="separate"/>
      </w:r>
      <w:r w:rsidR="00340AC7">
        <w:rPr>
          <w:snapToGrid/>
          <w:color w:val="000000" w:themeColor="text1"/>
          <w:lang w:val="en-US"/>
        </w:rPr>
        <w:t>6.5</w:t>
      </w:r>
      <w:r w:rsidR="005333C1">
        <w:rPr>
          <w:snapToGrid/>
          <w:color w:val="000000" w:themeColor="text1"/>
          <w:lang w:val="en-US"/>
        </w:rPr>
        <w:fldChar w:fldCharType="end"/>
      </w:r>
      <w:r w:rsidR="00685DBD" w:rsidRPr="006D2741">
        <w:rPr>
          <w:snapToGrid/>
          <w:color w:val="000000" w:themeColor="text1"/>
          <w:lang w:val="en-US"/>
        </w:rPr>
        <w:t>) is unclear.</w:t>
      </w:r>
      <w:r w:rsidR="009B4186" w:rsidRPr="006D2741">
        <w:rPr>
          <w:color w:val="000000" w:themeColor="text1"/>
        </w:rPr>
        <w:t xml:space="preserve"> </w:t>
      </w:r>
      <w:r w:rsidR="00685DBD" w:rsidRPr="006D2741">
        <w:rPr>
          <w:snapToGrid/>
          <w:color w:val="000000" w:themeColor="text1"/>
          <w:lang w:val="en-US"/>
        </w:rPr>
        <w:t xml:space="preserve">Issues with the comparability of OZA and ADA in maintenance therapy due to differences in the clinical trials notwithstanding, it is </w:t>
      </w:r>
      <w:r w:rsidR="000F0C82" w:rsidRPr="006D2741">
        <w:rPr>
          <w:snapToGrid/>
          <w:color w:val="000000" w:themeColor="text1"/>
          <w:lang w:val="en-US"/>
        </w:rPr>
        <w:t>noted</w:t>
      </w:r>
      <w:r w:rsidR="00685DBD" w:rsidRPr="006D2741">
        <w:rPr>
          <w:snapToGrid/>
          <w:color w:val="000000" w:themeColor="text1"/>
          <w:lang w:val="en-US"/>
        </w:rPr>
        <w:t xml:space="preserve"> the PBAC has previously been satisfied to advise, based on established superiority in induction therapy, that TOF, for some patients, provides a significant improvement in efficacy over ADA</w:t>
      </w:r>
      <w:r w:rsidR="00E522FE" w:rsidRPr="006D2741">
        <w:rPr>
          <w:snapToGrid/>
          <w:color w:val="000000" w:themeColor="text1"/>
          <w:lang w:val="en-US"/>
        </w:rPr>
        <w:t xml:space="preserve"> (paragraph 7.1 TOF PSD, November 2020 PBAC).</w:t>
      </w:r>
      <w:r w:rsidR="00685DBD" w:rsidRPr="006D2741">
        <w:rPr>
          <w:snapToGrid/>
          <w:color w:val="000000" w:themeColor="text1"/>
          <w:lang w:val="en-US"/>
        </w:rPr>
        <w:t xml:space="preserve"> </w:t>
      </w:r>
    </w:p>
    <w:p w14:paraId="36E9A897" w14:textId="4B71CC64" w:rsidR="00E522FE" w:rsidRPr="006D2741" w:rsidRDefault="00E522FE" w:rsidP="00E522FE">
      <w:pPr>
        <w:pStyle w:val="3-BodyText"/>
        <w:rPr>
          <w:color w:val="000000" w:themeColor="text1"/>
        </w:rPr>
      </w:pPr>
      <w:bookmarkStart w:id="28" w:name="_Ref112312388"/>
      <w:r w:rsidRPr="006D2741">
        <w:rPr>
          <w:snapToGrid/>
          <w:color w:val="000000" w:themeColor="text1"/>
          <w:lang w:val="en-US"/>
        </w:rPr>
        <w:t>With regards to the comparisons based on prior anti TNF-</w:t>
      </w:r>
      <w:r w:rsidRPr="006D2741">
        <w:rPr>
          <w:rFonts w:cstheme="minorHAnsi"/>
          <w:snapToGrid/>
          <w:color w:val="000000" w:themeColor="text1"/>
          <w:lang w:val="en-US"/>
        </w:rPr>
        <w:t>α</w:t>
      </w:r>
      <w:r w:rsidR="00685DBD" w:rsidRPr="006D2741">
        <w:rPr>
          <w:snapToGrid/>
          <w:color w:val="000000" w:themeColor="text1"/>
          <w:lang w:val="en-US"/>
        </w:rPr>
        <w:t xml:space="preserve"> </w:t>
      </w:r>
      <w:r w:rsidRPr="006D2741">
        <w:rPr>
          <w:snapToGrid/>
          <w:color w:val="000000" w:themeColor="text1"/>
          <w:lang w:val="en-US"/>
        </w:rPr>
        <w:t>status, the PBAC has previously considered these analyses to be problematic for several reasons, including (paragraph 7.9, TOF PSD, November 2020 PBAC):</w:t>
      </w:r>
      <w:bookmarkEnd w:id="28"/>
    </w:p>
    <w:p w14:paraId="52787637" w14:textId="49683946" w:rsidR="00E522FE" w:rsidRPr="006D2741" w:rsidRDefault="00E522FE" w:rsidP="00AA3CF7">
      <w:pPr>
        <w:pStyle w:val="ListParagraph"/>
        <w:widowControl w:val="0"/>
        <w:numPr>
          <w:ilvl w:val="0"/>
          <w:numId w:val="12"/>
        </w:numPr>
        <w:ind w:left="1134" w:hanging="366"/>
        <w:rPr>
          <w:bCs/>
        </w:rPr>
      </w:pPr>
      <w:r w:rsidRPr="006D2741">
        <w:rPr>
          <w:bCs/>
        </w:rPr>
        <w:t xml:space="preserve">The comparisons may not be a fair representation of comparative efficacy in patients who are TNF naïve or experienced as a priori patients who have failed a </w:t>
      </w:r>
      <w:proofErr w:type="spellStart"/>
      <w:r w:rsidRPr="006D2741">
        <w:rPr>
          <w:bCs/>
        </w:rPr>
        <w:t>TNFi</w:t>
      </w:r>
      <w:proofErr w:type="spellEnd"/>
      <w:r w:rsidRPr="006D2741">
        <w:rPr>
          <w:bCs/>
        </w:rPr>
        <w:t xml:space="preserve"> would be more likely to respond to TOF, and conversely, patients who have failed TOF (or another JAK inhibitor) would be more likely to respond to a </w:t>
      </w:r>
      <w:proofErr w:type="spellStart"/>
      <w:r w:rsidRPr="006D2741">
        <w:rPr>
          <w:bCs/>
        </w:rPr>
        <w:t>TNFi</w:t>
      </w:r>
      <w:proofErr w:type="spellEnd"/>
      <w:r w:rsidRPr="006D2741">
        <w:rPr>
          <w:bCs/>
        </w:rPr>
        <w:t>; and</w:t>
      </w:r>
    </w:p>
    <w:p w14:paraId="7AE83521" w14:textId="24B565C2" w:rsidR="00EC6EB4" w:rsidRPr="006D2741" w:rsidRDefault="00E522FE" w:rsidP="00AA3CF7">
      <w:pPr>
        <w:pStyle w:val="ListParagraph"/>
        <w:widowControl w:val="0"/>
        <w:numPr>
          <w:ilvl w:val="0"/>
          <w:numId w:val="12"/>
        </w:numPr>
        <w:ind w:left="1134" w:hanging="366"/>
        <w:rPr>
          <w:bCs/>
        </w:rPr>
      </w:pPr>
      <w:r w:rsidRPr="006D2741">
        <w:rPr>
          <w:bCs/>
        </w:rPr>
        <w:t xml:space="preserve">The subpopulation analyses would have reduced statistical power as there were potential differences between study populations that may be diluted by reduced sample size and would likely have a higher risk of bias due to increased risks of confounding effects. </w:t>
      </w:r>
    </w:p>
    <w:p w14:paraId="13E69CC3" w14:textId="59935022" w:rsidR="00EC6EB4" w:rsidRPr="00492354" w:rsidRDefault="00EC6EB4" w:rsidP="00EC6EB4">
      <w:pPr>
        <w:pStyle w:val="3-BodyText"/>
        <w:rPr>
          <w:color w:val="000000" w:themeColor="text1"/>
        </w:rPr>
      </w:pPr>
      <w:r w:rsidRPr="006D2741">
        <w:rPr>
          <w:snapToGrid/>
          <w:color w:val="000000" w:themeColor="text1"/>
          <w:lang w:val="en-US"/>
        </w:rPr>
        <w:t>These issues notwithstanding, the</w:t>
      </w:r>
      <w:r w:rsidR="003443A6">
        <w:rPr>
          <w:snapToGrid/>
          <w:color w:val="000000" w:themeColor="text1"/>
          <w:lang w:val="en-US"/>
        </w:rPr>
        <w:t xml:space="preserve"> </w:t>
      </w:r>
      <w:r w:rsidR="003443A6" w:rsidRPr="00517A63">
        <w:rPr>
          <w:snapToGrid/>
          <w:color w:val="000000" w:themeColor="text1"/>
          <w:lang w:val="en-US"/>
        </w:rPr>
        <w:t>evaluation considered the</w:t>
      </w:r>
      <w:r w:rsidRPr="006D2741">
        <w:rPr>
          <w:snapToGrid/>
          <w:color w:val="000000" w:themeColor="text1"/>
          <w:lang w:val="en-US"/>
        </w:rPr>
        <w:t xml:space="preserve"> MAIC</w:t>
      </w:r>
      <w:r w:rsidR="001D3717" w:rsidRPr="006D2741">
        <w:rPr>
          <w:snapToGrid/>
          <w:color w:val="000000" w:themeColor="text1"/>
          <w:lang w:val="en-US"/>
        </w:rPr>
        <w:t xml:space="preserve"> (overall population)</w:t>
      </w:r>
      <w:r w:rsidRPr="006D2741">
        <w:rPr>
          <w:snapToGrid/>
          <w:color w:val="000000" w:themeColor="text1"/>
          <w:lang w:val="en-US"/>
        </w:rPr>
        <w:t xml:space="preserve"> may be </w:t>
      </w:r>
      <w:r w:rsidR="00495F25" w:rsidRPr="006D2741">
        <w:rPr>
          <w:snapToGrid/>
          <w:color w:val="000000" w:themeColor="text1"/>
          <w:lang w:val="en-US"/>
        </w:rPr>
        <w:t>a more</w:t>
      </w:r>
      <w:r w:rsidRPr="006D2741">
        <w:rPr>
          <w:snapToGrid/>
          <w:color w:val="000000" w:themeColor="text1"/>
          <w:lang w:val="en-US"/>
        </w:rPr>
        <w:t xml:space="preserve"> r</w:t>
      </w:r>
      <w:r w:rsidR="00495F25" w:rsidRPr="006D2741">
        <w:rPr>
          <w:snapToGrid/>
          <w:color w:val="000000" w:themeColor="text1"/>
          <w:lang w:val="en-US"/>
        </w:rPr>
        <w:t>obust</w:t>
      </w:r>
      <w:r w:rsidRPr="006D2741">
        <w:rPr>
          <w:snapToGrid/>
          <w:color w:val="000000" w:themeColor="text1"/>
          <w:lang w:val="en-US"/>
        </w:rPr>
        <w:t xml:space="preserve"> basis upon which to consider the comparative effectiveness of OZA and ADA</w:t>
      </w:r>
      <w:r w:rsidR="001A1968" w:rsidRPr="006D2741">
        <w:rPr>
          <w:snapToGrid/>
          <w:color w:val="000000" w:themeColor="text1"/>
          <w:lang w:val="en-US"/>
        </w:rPr>
        <w:t xml:space="preserve"> </w:t>
      </w:r>
      <w:r w:rsidR="00501FBB">
        <w:rPr>
          <w:snapToGrid/>
          <w:color w:val="000000" w:themeColor="text1"/>
          <w:lang w:val="en-US"/>
        </w:rPr>
        <w:t xml:space="preserve">than the </w:t>
      </w:r>
      <w:r w:rsidR="001A1968" w:rsidRPr="006D2741">
        <w:rPr>
          <w:snapToGrid/>
          <w:color w:val="000000" w:themeColor="text1"/>
          <w:lang w:val="en-US"/>
        </w:rPr>
        <w:t>unadjusted indirect comparison</w:t>
      </w:r>
      <w:r w:rsidR="00F50844" w:rsidRPr="006D2741">
        <w:rPr>
          <w:snapToGrid/>
          <w:color w:val="000000" w:themeColor="text1"/>
          <w:lang w:val="en-US"/>
        </w:rPr>
        <w:t xml:space="preserve">, </w:t>
      </w:r>
      <w:r w:rsidRPr="006D2741">
        <w:rPr>
          <w:snapToGrid/>
          <w:color w:val="000000" w:themeColor="text1"/>
          <w:lang w:val="en-US"/>
        </w:rPr>
        <w:t>as it specifically adjust</w:t>
      </w:r>
      <w:r w:rsidR="00501FBB">
        <w:rPr>
          <w:snapToGrid/>
          <w:color w:val="000000" w:themeColor="text1"/>
          <w:lang w:val="en-US"/>
        </w:rPr>
        <w:t>ed</w:t>
      </w:r>
      <w:r w:rsidRPr="006D2741">
        <w:rPr>
          <w:snapToGrid/>
          <w:color w:val="000000" w:themeColor="text1"/>
          <w:lang w:val="en-US"/>
        </w:rPr>
        <w:t xml:space="preserve"> for patient baseline characteristics the PBAC previously considered impacted the reliability of the indirect comparisons in the March 2022 submission.</w:t>
      </w:r>
    </w:p>
    <w:p w14:paraId="1CA7941C" w14:textId="42C202F2" w:rsidR="00492354" w:rsidRPr="00D061FD" w:rsidRDefault="00492354" w:rsidP="00492354">
      <w:pPr>
        <w:pStyle w:val="3-BodyText"/>
        <w:rPr>
          <w:color w:val="000000" w:themeColor="text1"/>
        </w:rPr>
      </w:pPr>
      <w:r w:rsidRPr="00D061FD">
        <w:rPr>
          <w:color w:val="000000" w:themeColor="text1"/>
        </w:rPr>
        <w:t>The</w:t>
      </w:r>
      <w:r w:rsidR="002C5644" w:rsidRPr="00D061FD">
        <w:rPr>
          <w:color w:val="000000" w:themeColor="text1"/>
        </w:rPr>
        <w:t xml:space="preserve"> </w:t>
      </w:r>
      <w:r w:rsidR="005333C1">
        <w:rPr>
          <w:color w:val="000000" w:themeColor="text1"/>
        </w:rPr>
        <w:t>Pre-Sub-Committee Response (</w:t>
      </w:r>
      <w:r w:rsidRPr="00D061FD">
        <w:rPr>
          <w:color w:val="000000" w:themeColor="text1"/>
        </w:rPr>
        <w:t>PSCR</w:t>
      </w:r>
      <w:r w:rsidR="005333C1">
        <w:rPr>
          <w:color w:val="000000" w:themeColor="text1"/>
        </w:rPr>
        <w:t>)</w:t>
      </w:r>
      <w:r w:rsidRPr="00D061FD">
        <w:rPr>
          <w:color w:val="000000" w:themeColor="text1"/>
        </w:rPr>
        <w:t xml:space="preserve"> noted the True North and Touchstone studies represent the best available evidence for OZA in patients with </w:t>
      </w:r>
      <w:r w:rsidR="00517A63" w:rsidRPr="00D061FD">
        <w:rPr>
          <w:color w:val="000000" w:themeColor="text1"/>
        </w:rPr>
        <w:t>MSUC and</w:t>
      </w:r>
      <w:r w:rsidRPr="00D061FD">
        <w:rPr>
          <w:color w:val="000000" w:themeColor="text1"/>
        </w:rPr>
        <w:t xml:space="preserve"> stated that given the PBAC’s previous view that treatment effect modifiers could impact the reliability of the unadjusted indirect comparisons presented in the March 2022 submission, a MAIC was presented in this submission. The PSCR acknowledged </w:t>
      </w:r>
      <w:r w:rsidRPr="00D061FD">
        <w:rPr>
          <w:color w:val="000000" w:themeColor="text1"/>
        </w:rPr>
        <w:lastRenderedPageBreak/>
        <w:t>the view of the evaluation that the MAIC may be a more robust basis upon which to consider the comparative effectiveness of OZA and ADA than the unadjusted comparison, and argued, given the PBAC have not previously established a NIM for outcomes in MSUC, non-inferiority (and superiority) can be inferred by a statistically significant difference, and noted OZA achieved statistically superior results over ADA for the outcomes of clinical response and endoscopic improvement in the MAIC.</w:t>
      </w:r>
    </w:p>
    <w:p w14:paraId="30A3D43A" w14:textId="4898B2F8" w:rsidR="00492354" w:rsidRPr="00D061FD" w:rsidRDefault="00492354" w:rsidP="00492354">
      <w:pPr>
        <w:pStyle w:val="3-BodyText"/>
        <w:rPr>
          <w:color w:val="000000" w:themeColor="text1"/>
        </w:rPr>
      </w:pPr>
      <w:r w:rsidRPr="00D061FD">
        <w:rPr>
          <w:color w:val="000000" w:themeColor="text1"/>
        </w:rPr>
        <w:t xml:space="preserve">The ESC noted the MAIC was anchored and adjusted for relevant baseline characteristics such as extensive colitis or pancolitis status and prior anti-TNF therapy use </w:t>
      </w:r>
      <w:r w:rsidR="00EF7780" w:rsidRPr="00D061FD">
        <w:rPr>
          <w:color w:val="000000" w:themeColor="text1"/>
        </w:rPr>
        <w:t xml:space="preserve">but </w:t>
      </w:r>
      <w:r w:rsidRPr="00D061FD">
        <w:rPr>
          <w:color w:val="000000" w:themeColor="text1"/>
        </w:rPr>
        <w:t>there were some differences between the trials, such as timing of endpoints and differences in the reporting of baseline characteristics that could not be adjusted for. Overall, the ESC considered the MAIC was likely to be a reliable basis upon which to consider the comparative effectiveness of OZA and ADA and considered the results of the MAIC may support a conclusion that OZA provides, for some patients, an improvement in effectiveness over ADA (in terms of achieving clinical response and/or endoscopic improvement).</w:t>
      </w:r>
    </w:p>
    <w:p w14:paraId="392135A0" w14:textId="7FEFFBC4" w:rsidR="00E522FE" w:rsidRDefault="00E522FE" w:rsidP="006B44E1">
      <w:pPr>
        <w:pStyle w:val="5-SubsectionSubheading"/>
      </w:pPr>
      <w:bookmarkStart w:id="29" w:name="_Toc113964283"/>
      <w:r>
        <w:t>Network meta-analysis (NMA)</w:t>
      </w:r>
      <w:bookmarkEnd w:id="29"/>
    </w:p>
    <w:p w14:paraId="0A7CB88B" w14:textId="4AFEBC83" w:rsidR="009507DA" w:rsidRPr="006D2741" w:rsidRDefault="00DA3923" w:rsidP="00EC5836">
      <w:pPr>
        <w:pStyle w:val="3-BodyText"/>
        <w:rPr>
          <w:color w:val="000000" w:themeColor="text1"/>
        </w:rPr>
      </w:pPr>
      <w:r w:rsidRPr="00D0587E">
        <w:rPr>
          <w:color w:val="000000" w:themeColor="text1"/>
        </w:rPr>
        <w:t>T</w:t>
      </w:r>
      <w:r w:rsidRPr="006D2741">
        <w:rPr>
          <w:color w:val="000000" w:themeColor="text1"/>
        </w:rPr>
        <w:t xml:space="preserve">he NMA included results for the outcomes of clinical response, clinical </w:t>
      </w:r>
      <w:proofErr w:type="gramStart"/>
      <w:r w:rsidRPr="006D2741">
        <w:rPr>
          <w:color w:val="000000" w:themeColor="text1"/>
        </w:rPr>
        <w:t>remission</w:t>
      </w:r>
      <w:proofErr w:type="gramEnd"/>
      <w:r w:rsidRPr="006D2741">
        <w:rPr>
          <w:color w:val="000000" w:themeColor="text1"/>
        </w:rPr>
        <w:t xml:space="preserve"> and endoscopic improvement for both induction and maintenance therapy</w:t>
      </w:r>
      <w:r w:rsidR="009507DA" w:rsidRPr="006D2741">
        <w:rPr>
          <w:color w:val="000000" w:themeColor="text1"/>
        </w:rPr>
        <w:t>, with results for both random and fixed effects models presented</w:t>
      </w:r>
      <w:r w:rsidR="00D0587E" w:rsidRPr="006D2741">
        <w:rPr>
          <w:color w:val="000000" w:themeColor="text1"/>
        </w:rPr>
        <w:t>.</w:t>
      </w:r>
      <w:r w:rsidR="009507DA" w:rsidRPr="006D2741">
        <w:rPr>
          <w:color w:val="000000" w:themeColor="text1"/>
        </w:rPr>
        <w:t xml:space="preserve"> The results of the NMA may require further consideration, as it is unclear whether the methodology adjusted for </w:t>
      </w:r>
      <w:r w:rsidR="00F92155" w:rsidRPr="006D2741">
        <w:rPr>
          <w:color w:val="000000" w:themeColor="text1"/>
        </w:rPr>
        <w:t xml:space="preserve">the </w:t>
      </w:r>
      <w:r w:rsidR="009507DA" w:rsidRPr="006D2741">
        <w:rPr>
          <w:color w:val="000000" w:themeColor="text1"/>
        </w:rPr>
        <w:t>differences in trial design and baseline characteristics in the OZA trials</w:t>
      </w:r>
      <w:r w:rsidR="00F92155" w:rsidRPr="006D2741">
        <w:rPr>
          <w:color w:val="000000" w:themeColor="text1"/>
        </w:rPr>
        <w:t xml:space="preserve"> which</w:t>
      </w:r>
      <w:r w:rsidR="009507DA" w:rsidRPr="006D2741">
        <w:rPr>
          <w:color w:val="000000" w:themeColor="text1"/>
        </w:rPr>
        <w:t xml:space="preserve"> the PBAC previously considered </w:t>
      </w:r>
      <w:r w:rsidR="00EC6EB4" w:rsidRPr="006D2741">
        <w:rPr>
          <w:color w:val="000000" w:themeColor="text1"/>
        </w:rPr>
        <w:t>impacted</w:t>
      </w:r>
      <w:r w:rsidR="009507DA" w:rsidRPr="006D2741">
        <w:rPr>
          <w:color w:val="000000" w:themeColor="text1"/>
        </w:rPr>
        <w:t xml:space="preserve"> the reliability of the indirect comparisons. </w:t>
      </w:r>
    </w:p>
    <w:p w14:paraId="4522BB20" w14:textId="24CA5F84" w:rsidR="009B4186" w:rsidRPr="006D2741" w:rsidRDefault="00DA3923" w:rsidP="00FD264B">
      <w:pPr>
        <w:pStyle w:val="3-BodyText"/>
        <w:rPr>
          <w:color w:val="000000" w:themeColor="text1"/>
        </w:rPr>
      </w:pPr>
      <w:r w:rsidRPr="006D2741">
        <w:rPr>
          <w:color w:val="000000" w:themeColor="text1"/>
        </w:rPr>
        <w:t>The forest plot</w:t>
      </w:r>
      <w:r w:rsidR="00F92155" w:rsidRPr="006D2741">
        <w:rPr>
          <w:color w:val="000000" w:themeColor="text1"/>
        </w:rPr>
        <w:t>s for the ORs</w:t>
      </w:r>
      <w:r w:rsidR="00D0587E" w:rsidRPr="006D2741">
        <w:rPr>
          <w:color w:val="000000" w:themeColor="text1"/>
        </w:rPr>
        <w:t xml:space="preserve"> for the overall population, using a random effects model (the preferred modelling approach </w:t>
      </w:r>
      <w:r w:rsidR="00F91B8A" w:rsidRPr="006D2741">
        <w:rPr>
          <w:color w:val="000000" w:themeColor="text1"/>
        </w:rPr>
        <w:t>adopted in the</w:t>
      </w:r>
      <w:r w:rsidR="005F6808" w:rsidRPr="006D2741">
        <w:rPr>
          <w:color w:val="000000" w:themeColor="text1"/>
        </w:rPr>
        <w:t xml:space="preserve"> induction phase</w:t>
      </w:r>
      <w:r w:rsidR="00D0587E" w:rsidRPr="006D2741">
        <w:rPr>
          <w:color w:val="000000" w:themeColor="text1"/>
        </w:rPr>
        <w:t xml:space="preserve"> NMA)</w:t>
      </w:r>
      <w:r w:rsidR="00F92155" w:rsidRPr="006D2741">
        <w:rPr>
          <w:color w:val="000000" w:themeColor="text1"/>
        </w:rPr>
        <w:t>,</w:t>
      </w:r>
      <w:r w:rsidRPr="006D2741">
        <w:rPr>
          <w:color w:val="000000" w:themeColor="text1"/>
        </w:rPr>
        <w:t xml:space="preserve"> are presented in the figures below.</w:t>
      </w:r>
      <w:r w:rsidR="00F91B8A" w:rsidRPr="006D2741">
        <w:rPr>
          <w:color w:val="000000" w:themeColor="text1"/>
        </w:rPr>
        <w:t xml:space="preserve"> Given the transitivity issues with the comparisons of OZA to the alternative therapies, it is reasonable to conclude a random effects model would be the preferred approach for the NMA.</w:t>
      </w:r>
    </w:p>
    <w:p w14:paraId="61E0C602" w14:textId="6769E403" w:rsidR="00247925" w:rsidRPr="00EC5836" w:rsidRDefault="009B4186" w:rsidP="00D0587E">
      <w:pPr>
        <w:pStyle w:val="3-BodyText"/>
        <w:numPr>
          <w:ilvl w:val="0"/>
          <w:numId w:val="0"/>
        </w:numPr>
        <w:rPr>
          <w:color w:val="0066FF"/>
        </w:rPr>
      </w:pPr>
      <w:r>
        <w:rPr>
          <w:noProof/>
        </w:rPr>
        <w:lastRenderedPageBreak/>
        <mc:AlternateContent>
          <mc:Choice Requires="wps">
            <w:drawing>
              <wp:inline distT="0" distB="0" distL="0" distR="0" wp14:anchorId="645D3A8D" wp14:editId="31542736">
                <wp:extent cx="5732145" cy="285750"/>
                <wp:effectExtent l="0" t="0" r="1905" b="0"/>
                <wp:docPr id="1" name="Text Box 1"/>
                <wp:cNvGraphicFramePr/>
                <a:graphic xmlns:a="http://schemas.openxmlformats.org/drawingml/2006/main">
                  <a:graphicData uri="http://schemas.microsoft.com/office/word/2010/wordprocessingShape">
                    <wps:wsp>
                      <wps:cNvSpPr txBox="1"/>
                      <wps:spPr>
                        <a:xfrm>
                          <a:off x="0" y="0"/>
                          <a:ext cx="5732145" cy="285750"/>
                        </a:xfrm>
                        <a:prstGeom prst="rect">
                          <a:avLst/>
                        </a:prstGeom>
                        <a:solidFill>
                          <a:prstClr val="white"/>
                        </a:solidFill>
                        <a:ln>
                          <a:noFill/>
                        </a:ln>
                      </wps:spPr>
                      <wps:txbx>
                        <w:txbxContent>
                          <w:p w14:paraId="0E622D20" w14:textId="3EFEE3A2" w:rsidR="00082D83" w:rsidRPr="007E3729" w:rsidRDefault="00082D83" w:rsidP="009B4186">
                            <w:pPr>
                              <w:pStyle w:val="Caption"/>
                              <w:rPr>
                                <w:noProof/>
                                <w:snapToGrid w:val="0"/>
                                <w:sz w:val="24"/>
                                <w:szCs w:val="24"/>
                              </w:rPr>
                            </w:pPr>
                            <w:r>
                              <w:t xml:space="preserve">Figure </w:t>
                            </w:r>
                            <w:fldSimple w:instr=" SEQ Figure \* ARABIC ">
                              <w:r w:rsidR="00340AC7">
                                <w:rPr>
                                  <w:noProof/>
                                </w:rPr>
                                <w:t>2</w:t>
                              </w:r>
                            </w:fldSimple>
                            <w:r>
                              <w:t>: NMA response (clinical response) for OZA vs other included therapies</w:t>
                            </w:r>
                            <w:r>
                              <w:rPr>
                                <w:noProof/>
                              </w:rPr>
                              <w:t xml:space="preserve"> (overall population, induction</w:t>
                            </w:r>
                            <w:r w:rsidR="00CD4E7D">
                              <w:rPr>
                                <w:noProof/>
                              </w:rPr>
                              <w:t>, random effects model</w:t>
                            </w:r>
                            <w:r>
                              <w:rPr>
                                <w:noProof/>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645D3A8D" id="_x0000_t202" coordsize="21600,21600" o:spt="202" path="m,l,21600r21600,l21600,xe">
                <v:stroke joinstyle="miter"/>
                <v:path gradientshapeok="t" o:connecttype="rect"/>
              </v:shapetype>
              <v:shape id="Text Box 1" o:spid="_x0000_s1026" type="#_x0000_t202" style="width:451.3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" stroked="f">
                <v:textbox inset="0,0,0,0">
                  <w:txbxContent>
                    <w:p w14:paraId="0E622D20" w14:textId="3EFEE3A2" w:rsidR="00082D83" w:rsidRPr="007E3729" w:rsidRDefault="00082D83" w:rsidP="009B4186">
                      <w:pPr>
                        <w:pStyle w:val="Caption"/>
                        <w:rPr>
                          <w:noProof/>
                          <w:snapToGrid w:val="0"/>
                          <w:sz w:val="24"/>
                          <w:szCs w:val="24"/>
                        </w:rPr>
                      </w:pPr>
                      <w:r>
                        <w:t xml:space="preserve">Figure </w:t>
                      </w:r>
                      <w:fldSimple w:instr=" SEQ Figure \* ARABIC ">
                        <w:r w:rsidR="00340AC7">
                          <w:rPr>
                            <w:noProof/>
                          </w:rPr>
                          <w:t>2</w:t>
                        </w:r>
                      </w:fldSimple>
                      <w:r>
                        <w:t>: NMA response (clinical response) for OZA vs other included therapies</w:t>
                      </w:r>
                      <w:r>
                        <w:rPr>
                          <w:noProof/>
                        </w:rPr>
                        <w:t xml:space="preserve"> (overall population, induction</w:t>
                      </w:r>
                      <w:r w:rsidR="00CD4E7D">
                        <w:rPr>
                          <w:noProof/>
                        </w:rPr>
                        <w:t>, random effects model</w:t>
                      </w:r>
                      <w:r>
                        <w:rPr>
                          <w:noProof/>
                        </w:rPr>
                        <w:t>)</w:t>
                      </w:r>
                    </w:p>
                  </w:txbxContent>
                </v:textbox>
                <w10:anchorlock/>
              </v:shape>
            </w:pict>
          </mc:Fallback>
        </mc:AlternateContent>
      </w:r>
      <w:r w:rsidR="00DA3923">
        <w:rPr>
          <w:noProof/>
        </w:rPr>
        <w:drawing>
          <wp:inline distT="0" distB="0" distL="0" distR="0" wp14:anchorId="09F76CE1" wp14:editId="20D33AA0">
            <wp:extent cx="4925813" cy="3333750"/>
            <wp:effectExtent l="0" t="0" r="8255" b="0"/>
            <wp:docPr id="148" name="Picture 148" descr="Figure 2: NMA response (clinical response) for OZA vs other included therapies (overall population, induction, random effects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Picture 148" descr="Figure 2: NMA response (clinical response) for OZA vs other included therapies (overall population, induction, random effects model)"/>
                    <pic:cNvPicPr>
                      <a:picLocks noChangeAspect="1"/>
                    </pic:cNvPicPr>
                  </pic:nvPicPr>
                  <pic:blipFill>
                    <a:blip r:embed="rId15"/>
                    <a:stretch>
                      <a:fillRect/>
                    </a:stretch>
                  </pic:blipFill>
                  <pic:spPr>
                    <a:xfrm>
                      <a:off x="0" y="0"/>
                      <a:ext cx="5060815" cy="3425118"/>
                    </a:xfrm>
                    <a:prstGeom prst="rect">
                      <a:avLst/>
                    </a:prstGeom>
                  </pic:spPr>
                </pic:pic>
              </a:graphicData>
            </a:graphic>
          </wp:inline>
        </w:drawing>
      </w:r>
      <w:r w:rsidR="00DA3923">
        <w:rPr>
          <w:color w:val="0066FF"/>
        </w:rPr>
        <w:t xml:space="preserve"> </w:t>
      </w:r>
    </w:p>
    <w:p w14:paraId="3E452C5F" w14:textId="08472C03" w:rsidR="00DA3923" w:rsidRPr="007916F9" w:rsidRDefault="00DA3923" w:rsidP="009B4186">
      <w:pPr>
        <w:pStyle w:val="3-BodyText"/>
        <w:numPr>
          <w:ilvl w:val="0"/>
          <w:numId w:val="0"/>
        </w:numPr>
        <w:contextualSpacing/>
        <w:rPr>
          <w:rFonts w:ascii="Arial Narrow" w:hAnsi="Arial Narrow"/>
          <w:color w:val="000000" w:themeColor="text1"/>
          <w:sz w:val="18"/>
          <w:szCs w:val="18"/>
        </w:rPr>
      </w:pPr>
      <w:r w:rsidRPr="007916F9">
        <w:rPr>
          <w:rFonts w:ascii="Arial Narrow" w:hAnsi="Arial Narrow"/>
          <w:color w:val="000000" w:themeColor="text1"/>
          <w:sz w:val="18"/>
          <w:szCs w:val="18"/>
        </w:rPr>
        <w:t>Source: Figure 6.</w:t>
      </w:r>
      <w:r w:rsidR="00D0587E" w:rsidRPr="007916F9">
        <w:rPr>
          <w:rFonts w:ascii="Arial Narrow" w:hAnsi="Arial Narrow"/>
          <w:color w:val="000000" w:themeColor="text1"/>
          <w:sz w:val="18"/>
          <w:szCs w:val="18"/>
        </w:rPr>
        <w:t>2</w:t>
      </w:r>
      <w:r w:rsidRPr="007916F9">
        <w:rPr>
          <w:rFonts w:ascii="Arial Narrow" w:hAnsi="Arial Narrow"/>
          <w:color w:val="000000" w:themeColor="text1"/>
          <w:sz w:val="18"/>
          <w:szCs w:val="18"/>
        </w:rPr>
        <w:t>(b)</w:t>
      </w:r>
      <w:r w:rsidR="00D0587E" w:rsidRPr="007916F9">
        <w:rPr>
          <w:rFonts w:ascii="Arial Narrow" w:hAnsi="Arial Narrow"/>
          <w:color w:val="000000" w:themeColor="text1"/>
          <w:sz w:val="18"/>
          <w:szCs w:val="18"/>
        </w:rPr>
        <w:t>, Attachment 2 to the submission (NMA Technical Report April 2021)</w:t>
      </w:r>
    </w:p>
    <w:p w14:paraId="2D70123C" w14:textId="41993170" w:rsidR="00D055C8" w:rsidRPr="007916F9" w:rsidRDefault="00D055C8" w:rsidP="009B4186">
      <w:pPr>
        <w:pStyle w:val="3-BodyText"/>
        <w:numPr>
          <w:ilvl w:val="0"/>
          <w:numId w:val="0"/>
        </w:numPr>
        <w:contextualSpacing/>
        <w:rPr>
          <w:rFonts w:ascii="Arial Narrow" w:hAnsi="Arial Narrow"/>
          <w:color w:val="000000" w:themeColor="text1"/>
          <w:sz w:val="18"/>
          <w:szCs w:val="18"/>
        </w:rPr>
      </w:pPr>
      <w:r w:rsidRPr="007916F9">
        <w:rPr>
          <w:rFonts w:ascii="Arial Narrow" w:hAnsi="Arial Narrow"/>
          <w:color w:val="000000" w:themeColor="text1"/>
          <w:sz w:val="18"/>
          <w:szCs w:val="18"/>
        </w:rPr>
        <w:t>Abbreviations</w:t>
      </w:r>
      <w:r w:rsidR="00EC6EB4" w:rsidRPr="007916F9">
        <w:rPr>
          <w:rFonts w:ascii="Arial Narrow" w:hAnsi="Arial Narrow"/>
          <w:color w:val="000000" w:themeColor="text1"/>
          <w:sz w:val="18"/>
          <w:szCs w:val="18"/>
        </w:rPr>
        <w:t>: OR = odds ratio</w:t>
      </w:r>
      <w:r w:rsidRPr="007916F9">
        <w:rPr>
          <w:rFonts w:ascii="Arial Narrow" w:hAnsi="Arial Narrow"/>
          <w:color w:val="000000" w:themeColor="text1"/>
          <w:sz w:val="18"/>
          <w:szCs w:val="18"/>
        </w:rPr>
        <w:t xml:space="preserve"> </w:t>
      </w:r>
      <w:proofErr w:type="spellStart"/>
      <w:r w:rsidRPr="007916F9">
        <w:rPr>
          <w:rFonts w:ascii="Arial Narrow" w:hAnsi="Arial Narrow"/>
          <w:color w:val="000000" w:themeColor="text1"/>
          <w:sz w:val="18"/>
          <w:szCs w:val="18"/>
        </w:rPr>
        <w:t>Crl</w:t>
      </w:r>
      <w:proofErr w:type="spellEnd"/>
      <w:r w:rsidRPr="007916F9">
        <w:rPr>
          <w:rFonts w:ascii="Arial Narrow" w:hAnsi="Arial Narrow"/>
          <w:color w:val="000000" w:themeColor="text1"/>
          <w:sz w:val="18"/>
          <w:szCs w:val="18"/>
        </w:rPr>
        <w:t xml:space="preserve"> = credible interval</w:t>
      </w:r>
    </w:p>
    <w:p w14:paraId="7F544C4C" w14:textId="63F62507" w:rsidR="00D0587E" w:rsidRDefault="00D0587E" w:rsidP="00D0587E">
      <w:pPr>
        <w:pStyle w:val="Caption"/>
        <w:spacing w:after="120"/>
      </w:pPr>
      <w:r>
        <w:t xml:space="preserve">Figure </w:t>
      </w:r>
      <w:fldSimple w:instr=" SEQ Figure \* ARABIC ">
        <w:r w:rsidR="00340AC7">
          <w:rPr>
            <w:noProof/>
          </w:rPr>
          <w:t>3</w:t>
        </w:r>
      </w:fldSimple>
      <w:r>
        <w:t xml:space="preserve">: </w:t>
      </w:r>
      <w:r w:rsidR="00FD264B">
        <w:t>NMA results (clinical remission)</w:t>
      </w:r>
      <w:r w:rsidRPr="0073227C">
        <w:t xml:space="preserve"> for OZA vs other included therapies (overall population</w:t>
      </w:r>
      <w:r w:rsidR="005F6157">
        <w:t>, induction</w:t>
      </w:r>
      <w:r w:rsidR="00CD4E7D">
        <w:t>, random effects model</w:t>
      </w:r>
      <w:r w:rsidRPr="0073227C">
        <w:t>)</w:t>
      </w:r>
    </w:p>
    <w:p w14:paraId="3954D865" w14:textId="334D9F82" w:rsidR="00DA3923" w:rsidRDefault="00DA3923" w:rsidP="00D0587E">
      <w:pPr>
        <w:pStyle w:val="3-BodyText"/>
        <w:numPr>
          <w:ilvl w:val="0"/>
          <w:numId w:val="0"/>
        </w:numPr>
        <w:rPr>
          <w:color w:val="0066FF"/>
        </w:rPr>
      </w:pPr>
      <w:r>
        <w:rPr>
          <w:noProof/>
        </w:rPr>
        <w:drawing>
          <wp:inline distT="0" distB="0" distL="0" distR="0" wp14:anchorId="43ED107F" wp14:editId="5F9D2840">
            <wp:extent cx="4838700" cy="3190875"/>
            <wp:effectExtent l="0" t="0" r="0" b="9525"/>
            <wp:docPr id="605" name="Picture 605" descr="Figure 3: NMA results (clinical remission) for OZA vs other included therapies (overall population, induction, random effects model)"/>
            <wp:cNvGraphicFramePr/>
            <a:graphic xmlns:a="http://schemas.openxmlformats.org/drawingml/2006/main">
              <a:graphicData uri="http://schemas.openxmlformats.org/drawingml/2006/picture">
                <pic:pic xmlns:pic="http://schemas.openxmlformats.org/drawingml/2006/picture">
                  <pic:nvPicPr>
                    <pic:cNvPr id="605" name="Picture 605" descr="Figure 3: NMA results (clinical remission) for OZA vs other included therapies (overall population, induction, random effects model)"/>
                    <pic:cNvPicPr/>
                  </pic:nvPicPr>
                  <pic:blipFill>
                    <a:blip r:embed="rId16"/>
                    <a:stretch>
                      <a:fillRect/>
                    </a:stretch>
                  </pic:blipFill>
                  <pic:spPr>
                    <a:xfrm>
                      <a:off x="0" y="0"/>
                      <a:ext cx="4838700" cy="3190875"/>
                    </a:xfrm>
                    <a:prstGeom prst="rect">
                      <a:avLst/>
                    </a:prstGeom>
                  </pic:spPr>
                </pic:pic>
              </a:graphicData>
            </a:graphic>
          </wp:inline>
        </w:drawing>
      </w:r>
    </w:p>
    <w:p w14:paraId="782618E0" w14:textId="039D9190" w:rsidR="00D0587E" w:rsidRPr="007916F9" w:rsidRDefault="00D0587E" w:rsidP="00D0587E">
      <w:pPr>
        <w:pStyle w:val="3-BodyText"/>
        <w:numPr>
          <w:ilvl w:val="0"/>
          <w:numId w:val="0"/>
        </w:numPr>
        <w:contextualSpacing/>
        <w:rPr>
          <w:rFonts w:ascii="Arial Narrow" w:hAnsi="Arial Narrow"/>
          <w:color w:val="000000" w:themeColor="text1"/>
          <w:sz w:val="18"/>
          <w:szCs w:val="18"/>
        </w:rPr>
      </w:pPr>
      <w:r w:rsidRPr="007916F9">
        <w:rPr>
          <w:rFonts w:ascii="Arial Narrow" w:hAnsi="Arial Narrow"/>
          <w:color w:val="000000" w:themeColor="text1"/>
          <w:sz w:val="18"/>
          <w:szCs w:val="18"/>
        </w:rPr>
        <w:t>Source: Figure 6.3(b), Attachment 2 to the submission (NMA Technical Report April 2021)</w:t>
      </w:r>
    </w:p>
    <w:p w14:paraId="4EE5E43A" w14:textId="08302D2F" w:rsidR="00D055C8" w:rsidRPr="007916F9" w:rsidRDefault="00D055C8" w:rsidP="00D0587E">
      <w:pPr>
        <w:pStyle w:val="3-BodyText"/>
        <w:numPr>
          <w:ilvl w:val="0"/>
          <w:numId w:val="0"/>
        </w:numPr>
        <w:contextualSpacing/>
        <w:rPr>
          <w:rFonts w:ascii="Arial Narrow" w:hAnsi="Arial Narrow"/>
          <w:color w:val="000000" w:themeColor="text1"/>
          <w:sz w:val="18"/>
          <w:szCs w:val="18"/>
        </w:rPr>
      </w:pPr>
      <w:r w:rsidRPr="007916F9">
        <w:rPr>
          <w:rFonts w:ascii="Arial Narrow" w:hAnsi="Arial Narrow"/>
          <w:color w:val="000000" w:themeColor="text1"/>
          <w:sz w:val="18"/>
          <w:szCs w:val="18"/>
        </w:rPr>
        <w:t>Abbreviations:</w:t>
      </w:r>
      <w:r w:rsidR="00EC6EB4" w:rsidRPr="007916F9">
        <w:rPr>
          <w:rFonts w:ascii="Arial Narrow" w:hAnsi="Arial Narrow"/>
          <w:color w:val="000000" w:themeColor="text1"/>
          <w:sz w:val="18"/>
          <w:szCs w:val="18"/>
        </w:rPr>
        <w:t xml:space="preserve"> OR = odds ratio;</w:t>
      </w:r>
      <w:r w:rsidRPr="007916F9">
        <w:rPr>
          <w:rFonts w:ascii="Arial Narrow" w:hAnsi="Arial Narrow"/>
          <w:color w:val="000000" w:themeColor="text1"/>
          <w:sz w:val="18"/>
          <w:szCs w:val="18"/>
        </w:rPr>
        <w:t xml:space="preserve"> </w:t>
      </w:r>
      <w:proofErr w:type="spellStart"/>
      <w:r w:rsidRPr="007916F9">
        <w:rPr>
          <w:rFonts w:ascii="Arial Narrow" w:hAnsi="Arial Narrow"/>
          <w:color w:val="000000" w:themeColor="text1"/>
          <w:sz w:val="18"/>
          <w:szCs w:val="18"/>
        </w:rPr>
        <w:t>Crl</w:t>
      </w:r>
      <w:proofErr w:type="spellEnd"/>
      <w:r w:rsidRPr="007916F9">
        <w:rPr>
          <w:rFonts w:ascii="Arial Narrow" w:hAnsi="Arial Narrow"/>
          <w:color w:val="000000" w:themeColor="text1"/>
          <w:sz w:val="18"/>
          <w:szCs w:val="18"/>
        </w:rPr>
        <w:t xml:space="preserve"> = credible interval</w:t>
      </w:r>
    </w:p>
    <w:p w14:paraId="30CA4663" w14:textId="2A31A21A" w:rsidR="00D0587E" w:rsidRDefault="00D0587E" w:rsidP="00D0587E">
      <w:pPr>
        <w:pStyle w:val="Caption"/>
        <w:spacing w:after="120"/>
      </w:pPr>
      <w:r>
        <w:lastRenderedPageBreak/>
        <w:t xml:space="preserve">Figure </w:t>
      </w:r>
      <w:fldSimple w:instr=" SEQ Figure \* ARABIC ">
        <w:r w:rsidR="00340AC7">
          <w:rPr>
            <w:noProof/>
          </w:rPr>
          <w:t>4</w:t>
        </w:r>
      </w:fldSimple>
      <w:r w:rsidRPr="00945994">
        <w:t xml:space="preserve">: </w:t>
      </w:r>
      <w:r w:rsidR="00FD264B">
        <w:t>NMA results (endoscopic improvement)</w:t>
      </w:r>
      <w:r w:rsidRPr="00945994">
        <w:t xml:space="preserve"> for OZA vs other included therapies (overall population</w:t>
      </w:r>
      <w:r w:rsidR="005F6157">
        <w:t>, induction</w:t>
      </w:r>
      <w:r w:rsidR="00CD4E7D">
        <w:t>, random effects model</w:t>
      </w:r>
      <w:r w:rsidRPr="00945994">
        <w:t>)</w:t>
      </w:r>
    </w:p>
    <w:p w14:paraId="4FA16567" w14:textId="3B86F978" w:rsidR="00D0587E" w:rsidRDefault="00D0587E" w:rsidP="00D0587E">
      <w:pPr>
        <w:pStyle w:val="3-BodyText"/>
        <w:numPr>
          <w:ilvl w:val="0"/>
          <w:numId w:val="0"/>
        </w:numPr>
        <w:rPr>
          <w:snapToGrid/>
          <w:color w:val="0066FF"/>
          <w:lang w:val="en-US"/>
        </w:rPr>
      </w:pPr>
      <w:r>
        <w:rPr>
          <w:noProof/>
        </w:rPr>
        <w:drawing>
          <wp:inline distT="0" distB="0" distL="0" distR="0" wp14:anchorId="441D4710" wp14:editId="7B3E36F4">
            <wp:extent cx="5105400" cy="3181350"/>
            <wp:effectExtent l="0" t="0" r="0" b="0"/>
            <wp:docPr id="432" name="Picture 432" descr="Figure 4: NMA results (endoscopic improvement) for OZA vs other included therapies (overall population, induction, random effects model)"/>
            <wp:cNvGraphicFramePr/>
            <a:graphic xmlns:a="http://schemas.openxmlformats.org/drawingml/2006/main">
              <a:graphicData uri="http://schemas.openxmlformats.org/drawingml/2006/picture">
                <pic:pic xmlns:pic="http://schemas.openxmlformats.org/drawingml/2006/picture">
                  <pic:nvPicPr>
                    <pic:cNvPr id="432" name="Picture 432" descr="Figure 4: NMA results (endoscopic improvement) for OZA vs other included therapies (overall population, induction, random effects model)"/>
                    <pic:cNvPicPr/>
                  </pic:nvPicPr>
                  <pic:blipFill>
                    <a:blip r:embed="rId17"/>
                    <a:stretch>
                      <a:fillRect/>
                    </a:stretch>
                  </pic:blipFill>
                  <pic:spPr>
                    <a:xfrm>
                      <a:off x="0" y="0"/>
                      <a:ext cx="5105855" cy="3181634"/>
                    </a:xfrm>
                    <a:prstGeom prst="rect">
                      <a:avLst/>
                    </a:prstGeom>
                  </pic:spPr>
                </pic:pic>
              </a:graphicData>
            </a:graphic>
          </wp:inline>
        </w:drawing>
      </w:r>
    </w:p>
    <w:p w14:paraId="322B88BE" w14:textId="623FDFB9" w:rsidR="00D0587E" w:rsidRPr="007916F9" w:rsidRDefault="00D0587E" w:rsidP="00D0587E">
      <w:pPr>
        <w:pStyle w:val="3-BodyText"/>
        <w:numPr>
          <w:ilvl w:val="0"/>
          <w:numId w:val="0"/>
        </w:numPr>
        <w:contextualSpacing/>
        <w:rPr>
          <w:rFonts w:ascii="Arial Narrow" w:hAnsi="Arial Narrow"/>
          <w:color w:val="000000" w:themeColor="text1"/>
          <w:sz w:val="18"/>
          <w:szCs w:val="18"/>
        </w:rPr>
      </w:pPr>
      <w:r w:rsidRPr="007916F9">
        <w:rPr>
          <w:rFonts w:ascii="Arial Narrow" w:hAnsi="Arial Narrow"/>
          <w:color w:val="000000" w:themeColor="text1"/>
          <w:sz w:val="18"/>
          <w:szCs w:val="18"/>
        </w:rPr>
        <w:t>Source: Figure 6.11(b), Attachment 2 to the submission (NMA Technical Report April 2021)</w:t>
      </w:r>
    </w:p>
    <w:p w14:paraId="4776AC60" w14:textId="2AECA05A" w:rsidR="00D055C8" w:rsidRPr="007916F9" w:rsidRDefault="00D055C8" w:rsidP="00D0587E">
      <w:pPr>
        <w:pStyle w:val="3-BodyText"/>
        <w:numPr>
          <w:ilvl w:val="0"/>
          <w:numId w:val="0"/>
        </w:numPr>
        <w:rPr>
          <w:rFonts w:ascii="Arial Narrow" w:hAnsi="Arial Narrow"/>
          <w:color w:val="000000" w:themeColor="text1"/>
          <w:sz w:val="18"/>
          <w:szCs w:val="18"/>
        </w:rPr>
      </w:pPr>
      <w:r w:rsidRPr="007916F9">
        <w:rPr>
          <w:rFonts w:ascii="Arial Narrow" w:hAnsi="Arial Narrow"/>
          <w:color w:val="000000" w:themeColor="text1"/>
          <w:sz w:val="18"/>
          <w:szCs w:val="18"/>
        </w:rPr>
        <w:t>Abbreviations: Q2W = once every two weeks; Q8W = once every 8 weeks; BID = twice daily;</w:t>
      </w:r>
      <w:r w:rsidR="00EC6EB4" w:rsidRPr="007916F9">
        <w:rPr>
          <w:rFonts w:ascii="Arial Narrow" w:hAnsi="Arial Narrow"/>
          <w:color w:val="000000" w:themeColor="text1"/>
          <w:sz w:val="18"/>
          <w:szCs w:val="18"/>
        </w:rPr>
        <w:t xml:space="preserve"> OR = odds ratio;</w:t>
      </w:r>
      <w:r w:rsidRPr="007916F9">
        <w:rPr>
          <w:rFonts w:ascii="Arial Narrow" w:hAnsi="Arial Narrow"/>
          <w:color w:val="000000" w:themeColor="text1"/>
          <w:sz w:val="18"/>
          <w:szCs w:val="18"/>
        </w:rPr>
        <w:t xml:space="preserve"> </w:t>
      </w:r>
      <w:proofErr w:type="spellStart"/>
      <w:r w:rsidRPr="007916F9">
        <w:rPr>
          <w:rFonts w:ascii="Arial Narrow" w:hAnsi="Arial Narrow"/>
          <w:color w:val="000000" w:themeColor="text1"/>
          <w:sz w:val="18"/>
          <w:szCs w:val="18"/>
        </w:rPr>
        <w:t>Crl</w:t>
      </w:r>
      <w:proofErr w:type="spellEnd"/>
      <w:r w:rsidRPr="007916F9">
        <w:rPr>
          <w:rFonts w:ascii="Arial Narrow" w:hAnsi="Arial Narrow"/>
          <w:color w:val="000000" w:themeColor="text1"/>
          <w:sz w:val="18"/>
          <w:szCs w:val="18"/>
        </w:rPr>
        <w:t xml:space="preserve"> = credible interval</w:t>
      </w:r>
    </w:p>
    <w:p w14:paraId="0808D3A1" w14:textId="6894CD72" w:rsidR="00667084" w:rsidRPr="006D2741" w:rsidRDefault="004671D1" w:rsidP="006C7F6C">
      <w:pPr>
        <w:pStyle w:val="3-BodyText"/>
        <w:rPr>
          <w:color w:val="000000" w:themeColor="text1"/>
        </w:rPr>
      </w:pPr>
      <w:r w:rsidRPr="006D2741">
        <w:rPr>
          <w:snapToGrid/>
          <w:color w:val="000000" w:themeColor="text1"/>
          <w:lang w:val="en-US"/>
        </w:rPr>
        <w:t xml:space="preserve">The results in the figures above found no statistically significant differences between OZA and </w:t>
      </w:r>
      <w:r w:rsidR="003F1395" w:rsidRPr="006D2741">
        <w:rPr>
          <w:snapToGrid/>
          <w:color w:val="000000" w:themeColor="text1"/>
          <w:lang w:val="en-US"/>
        </w:rPr>
        <w:t xml:space="preserve">any of the other therapies included in the NMA, except for the outcome of endoscopic improvement, which </w:t>
      </w:r>
      <w:proofErr w:type="spellStart"/>
      <w:r w:rsidR="003F1395" w:rsidRPr="006D2741">
        <w:rPr>
          <w:snapToGrid/>
          <w:color w:val="000000" w:themeColor="text1"/>
          <w:lang w:val="en-US"/>
        </w:rPr>
        <w:t>favoured</w:t>
      </w:r>
      <w:proofErr w:type="spellEnd"/>
      <w:r w:rsidR="003F1395" w:rsidRPr="006D2741">
        <w:rPr>
          <w:snapToGrid/>
          <w:color w:val="000000" w:themeColor="text1"/>
          <w:lang w:val="en-US"/>
        </w:rPr>
        <w:t xml:space="preserve"> OZA over ADA. </w:t>
      </w:r>
      <w:r w:rsidR="00D0587E" w:rsidRPr="006D2741">
        <w:rPr>
          <w:snapToGrid/>
          <w:color w:val="000000" w:themeColor="text1"/>
          <w:lang w:val="en-US"/>
        </w:rPr>
        <w:t>The results of the random effects model NMA</w:t>
      </w:r>
      <w:r w:rsidR="005F6157" w:rsidRPr="006D2741">
        <w:rPr>
          <w:snapToGrid/>
          <w:color w:val="000000" w:themeColor="text1"/>
          <w:lang w:val="en-US"/>
        </w:rPr>
        <w:t xml:space="preserve"> </w:t>
      </w:r>
      <w:r w:rsidR="003F1395" w:rsidRPr="006D2741">
        <w:rPr>
          <w:snapToGrid/>
          <w:color w:val="000000" w:themeColor="text1"/>
          <w:lang w:val="en-US"/>
        </w:rPr>
        <w:t>do not appear to strongly support</w:t>
      </w:r>
      <w:r w:rsidR="00D0587E" w:rsidRPr="006D2741">
        <w:rPr>
          <w:snapToGrid/>
          <w:color w:val="000000" w:themeColor="text1"/>
          <w:lang w:val="en-US"/>
        </w:rPr>
        <w:t xml:space="preserve"> </w:t>
      </w:r>
      <w:r w:rsidR="005F6157" w:rsidRPr="006D2741">
        <w:rPr>
          <w:snapToGrid/>
          <w:color w:val="000000" w:themeColor="text1"/>
          <w:lang w:val="en-US"/>
        </w:rPr>
        <w:t xml:space="preserve">the claim that OZA is of superior comparative effectiveness to ADA in induction therapy. While the point estimates of the OR </w:t>
      </w:r>
      <w:r w:rsidR="00B052D1" w:rsidRPr="006D2741">
        <w:rPr>
          <w:snapToGrid/>
          <w:color w:val="000000" w:themeColor="text1"/>
          <w:lang w:val="en-US"/>
        </w:rPr>
        <w:t>numerically</w:t>
      </w:r>
      <w:r w:rsidR="005F6157" w:rsidRPr="006D2741">
        <w:rPr>
          <w:snapToGrid/>
          <w:color w:val="000000" w:themeColor="text1"/>
          <w:lang w:val="en-US"/>
        </w:rPr>
        <w:t xml:space="preserve"> </w:t>
      </w:r>
      <w:proofErr w:type="spellStart"/>
      <w:r w:rsidR="005F6157" w:rsidRPr="006D2741">
        <w:rPr>
          <w:snapToGrid/>
          <w:color w:val="000000" w:themeColor="text1"/>
          <w:lang w:val="en-US"/>
        </w:rPr>
        <w:t>favoured</w:t>
      </w:r>
      <w:proofErr w:type="spellEnd"/>
      <w:r w:rsidR="005F6157" w:rsidRPr="006D2741">
        <w:rPr>
          <w:snapToGrid/>
          <w:color w:val="000000" w:themeColor="text1"/>
          <w:lang w:val="en-US"/>
        </w:rPr>
        <w:t xml:space="preserve"> OZA over ADA for the outcomes of clinical response</w:t>
      </w:r>
      <w:r w:rsidR="00B052D1" w:rsidRPr="006D2741">
        <w:rPr>
          <w:snapToGrid/>
          <w:color w:val="000000" w:themeColor="text1"/>
          <w:lang w:val="en-US"/>
        </w:rPr>
        <w:t xml:space="preserve"> (OR 1.69, 95% CI 0.91, 3.10)</w:t>
      </w:r>
      <w:r w:rsidR="005F6157" w:rsidRPr="006D2741">
        <w:rPr>
          <w:snapToGrid/>
          <w:color w:val="000000" w:themeColor="text1"/>
          <w:lang w:val="en-US"/>
        </w:rPr>
        <w:t>, clinical remission</w:t>
      </w:r>
      <w:r w:rsidR="00B052D1" w:rsidRPr="006D2741">
        <w:rPr>
          <w:snapToGrid/>
          <w:color w:val="000000" w:themeColor="text1"/>
          <w:lang w:val="en-US"/>
        </w:rPr>
        <w:t xml:space="preserve"> (OR 1.82, 95% CI 1.90, 3.58)</w:t>
      </w:r>
      <w:r w:rsidR="005F6157" w:rsidRPr="006D2741">
        <w:rPr>
          <w:snapToGrid/>
          <w:color w:val="000000" w:themeColor="text1"/>
          <w:lang w:val="en-US"/>
        </w:rPr>
        <w:t>, and endoscopic improvement (</w:t>
      </w:r>
      <w:r w:rsidR="00B052D1" w:rsidRPr="006D2741">
        <w:rPr>
          <w:snapToGrid/>
          <w:color w:val="000000" w:themeColor="text1"/>
          <w:lang w:val="en-US"/>
        </w:rPr>
        <w:t xml:space="preserve">OR 2.04, 95% CI 1.16, 3.76, statistically significant in </w:t>
      </w:r>
      <w:proofErr w:type="spellStart"/>
      <w:r w:rsidR="00B052D1" w:rsidRPr="006D2741">
        <w:rPr>
          <w:snapToGrid/>
          <w:color w:val="000000" w:themeColor="text1"/>
          <w:lang w:val="en-US"/>
        </w:rPr>
        <w:t>favour</w:t>
      </w:r>
      <w:proofErr w:type="spellEnd"/>
      <w:r w:rsidR="00B052D1" w:rsidRPr="006D2741">
        <w:rPr>
          <w:snapToGrid/>
          <w:color w:val="000000" w:themeColor="text1"/>
          <w:lang w:val="en-US"/>
        </w:rPr>
        <w:t xml:space="preserve"> of OZA)</w:t>
      </w:r>
      <w:r w:rsidR="005F6157" w:rsidRPr="006D2741">
        <w:rPr>
          <w:snapToGrid/>
          <w:color w:val="000000" w:themeColor="text1"/>
          <w:lang w:val="en-US"/>
        </w:rPr>
        <w:t xml:space="preserve"> the lower bounds of the 95% </w:t>
      </w:r>
      <w:r w:rsidR="00D055C8" w:rsidRPr="006D2741">
        <w:rPr>
          <w:snapToGrid/>
          <w:color w:val="000000" w:themeColor="text1"/>
          <w:lang w:val="en-US"/>
        </w:rPr>
        <w:t>credible interval (</w:t>
      </w:r>
      <w:proofErr w:type="spellStart"/>
      <w:r w:rsidR="00D055C8" w:rsidRPr="006D2741">
        <w:rPr>
          <w:snapToGrid/>
          <w:color w:val="000000" w:themeColor="text1"/>
          <w:lang w:val="en-US"/>
        </w:rPr>
        <w:t>Crl</w:t>
      </w:r>
      <w:proofErr w:type="spellEnd"/>
      <w:r w:rsidR="00D055C8" w:rsidRPr="006D2741">
        <w:rPr>
          <w:snapToGrid/>
          <w:color w:val="000000" w:themeColor="text1"/>
          <w:lang w:val="en-US"/>
        </w:rPr>
        <w:t>)</w:t>
      </w:r>
      <w:r w:rsidR="00D055C8" w:rsidRPr="006D2741">
        <w:rPr>
          <w:rStyle w:val="FootnoteReference"/>
          <w:snapToGrid/>
          <w:color w:val="000000" w:themeColor="text1"/>
          <w:lang w:val="en-US"/>
        </w:rPr>
        <w:footnoteReference w:id="3"/>
      </w:r>
      <w:r w:rsidR="005F6157" w:rsidRPr="006D2741">
        <w:rPr>
          <w:snapToGrid/>
          <w:color w:val="000000" w:themeColor="text1"/>
          <w:lang w:val="en-US"/>
        </w:rPr>
        <w:t xml:space="preserve"> </w:t>
      </w:r>
      <w:r w:rsidR="009507DA" w:rsidRPr="006D2741">
        <w:rPr>
          <w:snapToGrid/>
          <w:color w:val="000000" w:themeColor="text1"/>
          <w:lang w:val="en-US"/>
        </w:rPr>
        <w:t>cross</w:t>
      </w:r>
      <w:r w:rsidR="00B052D1" w:rsidRPr="006D2741">
        <w:rPr>
          <w:snapToGrid/>
          <w:color w:val="000000" w:themeColor="text1"/>
          <w:lang w:val="en-US"/>
        </w:rPr>
        <w:t>ed</w:t>
      </w:r>
      <w:r w:rsidR="005F6157" w:rsidRPr="006D2741">
        <w:rPr>
          <w:snapToGrid/>
          <w:color w:val="000000" w:themeColor="text1"/>
          <w:lang w:val="en-US"/>
        </w:rPr>
        <w:t xml:space="preserve"> </w:t>
      </w:r>
      <w:r w:rsidR="00DA5F0C" w:rsidRPr="006D2741">
        <w:rPr>
          <w:snapToGrid/>
          <w:color w:val="000000" w:themeColor="text1"/>
          <w:lang w:val="en-US"/>
        </w:rPr>
        <w:t>1.0</w:t>
      </w:r>
      <w:r w:rsidR="003342C0" w:rsidRPr="006D2741">
        <w:rPr>
          <w:snapToGrid/>
          <w:color w:val="000000" w:themeColor="text1"/>
          <w:lang w:val="en-US"/>
        </w:rPr>
        <w:t xml:space="preserve"> for response and remission outcomes</w:t>
      </w:r>
      <w:r w:rsidR="005F6157" w:rsidRPr="006D2741">
        <w:rPr>
          <w:snapToGrid/>
          <w:color w:val="000000" w:themeColor="text1"/>
          <w:lang w:val="en-US"/>
        </w:rPr>
        <w:t xml:space="preserve">. </w:t>
      </w:r>
    </w:p>
    <w:p w14:paraId="2FE440A9" w14:textId="2F9A7EBC" w:rsidR="000F0C82" w:rsidRDefault="006C7F6C" w:rsidP="00543E3A">
      <w:pPr>
        <w:pStyle w:val="3-BodyText"/>
        <w:rPr>
          <w:color w:val="000000" w:themeColor="text1"/>
        </w:rPr>
      </w:pPr>
      <w:r>
        <w:rPr>
          <w:color w:val="000000" w:themeColor="text1"/>
        </w:rPr>
        <w:t xml:space="preserve">Forest plot results for the fixed effects model for induction therapy were not presented in the NMA. </w:t>
      </w:r>
      <w:r w:rsidR="003F1395">
        <w:rPr>
          <w:color w:val="000000" w:themeColor="text1"/>
        </w:rPr>
        <w:t>Tabularised results</w:t>
      </w:r>
      <w:r>
        <w:rPr>
          <w:color w:val="000000" w:themeColor="text1"/>
        </w:rPr>
        <w:t xml:space="preserve"> from the NMA using a fixed effects model, are presented in the table below.</w:t>
      </w:r>
    </w:p>
    <w:p w14:paraId="4071B8A9" w14:textId="3CD01830" w:rsidR="00194CD8" w:rsidRDefault="00194CD8">
      <w:pPr>
        <w:jc w:val="left"/>
        <w:rPr>
          <w:rFonts w:asciiTheme="minorHAnsi" w:hAnsiTheme="minorHAnsi"/>
          <w:snapToGrid w:val="0"/>
          <w:color w:val="000000" w:themeColor="text1"/>
        </w:rPr>
      </w:pPr>
      <w:r>
        <w:rPr>
          <w:color w:val="000000" w:themeColor="text1"/>
        </w:rPr>
        <w:br w:type="page"/>
      </w:r>
    </w:p>
    <w:p w14:paraId="112DF877" w14:textId="1B45115D" w:rsidR="006C7F6C" w:rsidRDefault="006C7F6C" w:rsidP="006C7F6C">
      <w:pPr>
        <w:pStyle w:val="Caption"/>
      </w:pPr>
      <w:r>
        <w:lastRenderedPageBreak/>
        <w:t xml:space="preserve">Table </w:t>
      </w:r>
      <w:fldSimple w:instr=" SEQ Table \* ARABIC ">
        <w:r w:rsidR="00340AC7">
          <w:rPr>
            <w:noProof/>
          </w:rPr>
          <w:t>8</w:t>
        </w:r>
      </w:fldSimple>
      <w:r>
        <w:t>: Results of the NMA (fixed effects model) - OZA vs intervention</w:t>
      </w:r>
    </w:p>
    <w:tbl>
      <w:tblPr>
        <w:tblW w:w="5000" w:type="pct"/>
        <w:tblBorders>
          <w:top w:val="single" w:sz="8" w:space="0" w:color="595454"/>
          <w:left w:val="single" w:sz="8" w:space="0" w:color="595454"/>
          <w:bottom w:val="single" w:sz="8" w:space="0" w:color="595454"/>
          <w:right w:val="single" w:sz="8" w:space="0" w:color="595454"/>
          <w:insideH w:val="single" w:sz="8" w:space="0" w:color="595454"/>
          <w:insideV w:val="single" w:sz="8" w:space="0" w:color="595454"/>
        </w:tblBorders>
        <w:tblLook w:val="04A0" w:firstRow="1" w:lastRow="0" w:firstColumn="1" w:lastColumn="0" w:noHBand="0" w:noVBand="1"/>
      </w:tblPr>
      <w:tblGrid>
        <w:gridCol w:w="2585"/>
        <w:gridCol w:w="1846"/>
        <w:gridCol w:w="2124"/>
        <w:gridCol w:w="2452"/>
      </w:tblGrid>
      <w:tr w:rsidR="006C7F6C" w:rsidRPr="006C7F6C" w14:paraId="35CEE408" w14:textId="5B986BC9" w:rsidTr="006C7F6C">
        <w:tc>
          <w:tcPr>
            <w:tcW w:w="5000" w:type="pct"/>
            <w:gridSpan w:val="4"/>
            <w:vAlign w:val="center"/>
          </w:tcPr>
          <w:p w14:paraId="016BEE57" w14:textId="4A6BAD55" w:rsidR="006C7F6C" w:rsidRPr="006C7F6C" w:rsidRDefault="006C7F6C" w:rsidP="00664882">
            <w:pPr>
              <w:jc w:val="center"/>
              <w:rPr>
                <w:rFonts w:ascii="Arial Narrow" w:hAnsi="Arial Narrow"/>
                <w:b/>
                <w:bCs/>
                <w:sz w:val="20"/>
                <w:szCs w:val="20"/>
              </w:rPr>
            </w:pPr>
            <w:r w:rsidRPr="006C7F6C">
              <w:rPr>
                <w:rFonts w:ascii="Arial Narrow" w:hAnsi="Arial Narrow"/>
                <w:b/>
                <w:bCs/>
                <w:sz w:val="20"/>
                <w:szCs w:val="20"/>
              </w:rPr>
              <w:t>Ozanimod vs intervention</w:t>
            </w:r>
          </w:p>
        </w:tc>
      </w:tr>
      <w:tr w:rsidR="006C7F6C" w:rsidRPr="006C7F6C" w14:paraId="1A96015B" w14:textId="24A33DCC" w:rsidTr="006C7F6C">
        <w:tc>
          <w:tcPr>
            <w:tcW w:w="1435" w:type="pct"/>
            <w:vAlign w:val="center"/>
          </w:tcPr>
          <w:p w14:paraId="06A1BACF" w14:textId="16F2D168" w:rsidR="006C7F6C" w:rsidRPr="006C7F6C" w:rsidRDefault="006C7F6C" w:rsidP="00664882">
            <w:pPr>
              <w:jc w:val="center"/>
              <w:rPr>
                <w:rFonts w:ascii="Arial Narrow" w:hAnsi="Arial Narrow"/>
                <w:b/>
                <w:bCs/>
                <w:sz w:val="20"/>
                <w:szCs w:val="20"/>
              </w:rPr>
            </w:pPr>
            <w:bookmarkStart w:id="30" w:name="_Hlk113890654"/>
            <w:r>
              <w:rPr>
                <w:rFonts w:ascii="Arial Narrow" w:hAnsi="Arial Narrow"/>
                <w:b/>
                <w:bCs/>
                <w:sz w:val="20"/>
                <w:szCs w:val="20"/>
              </w:rPr>
              <w:t>Ozanimod vs. [t</w:t>
            </w:r>
            <w:r w:rsidRPr="006C7F6C">
              <w:rPr>
                <w:rFonts w:ascii="Arial Narrow" w:hAnsi="Arial Narrow"/>
                <w:b/>
                <w:bCs/>
                <w:sz w:val="20"/>
                <w:szCs w:val="20"/>
              </w:rPr>
              <w:t>reatment</w:t>
            </w:r>
            <w:r>
              <w:rPr>
                <w:rFonts w:ascii="Arial Narrow" w:hAnsi="Arial Narrow"/>
                <w:b/>
                <w:bCs/>
                <w:sz w:val="20"/>
                <w:szCs w:val="20"/>
              </w:rPr>
              <w:t>]</w:t>
            </w:r>
          </w:p>
        </w:tc>
        <w:tc>
          <w:tcPr>
            <w:tcW w:w="1025" w:type="pct"/>
            <w:vAlign w:val="center"/>
          </w:tcPr>
          <w:p w14:paraId="697562CC" w14:textId="77777777" w:rsidR="006C7F6C" w:rsidRPr="006C7F6C" w:rsidRDefault="006C7F6C" w:rsidP="00664882">
            <w:pPr>
              <w:jc w:val="center"/>
              <w:rPr>
                <w:rFonts w:ascii="Arial Narrow" w:hAnsi="Arial Narrow"/>
                <w:b/>
                <w:bCs/>
                <w:sz w:val="20"/>
                <w:szCs w:val="20"/>
              </w:rPr>
            </w:pPr>
            <w:r w:rsidRPr="006C7F6C">
              <w:rPr>
                <w:rFonts w:ascii="Arial Narrow" w:hAnsi="Arial Narrow"/>
                <w:b/>
                <w:bCs/>
                <w:sz w:val="20"/>
                <w:szCs w:val="20"/>
              </w:rPr>
              <w:t xml:space="preserve">Clinical response </w:t>
            </w:r>
          </w:p>
          <w:p w14:paraId="05883BD8" w14:textId="7D463852" w:rsidR="006C7F6C" w:rsidRPr="006C7F6C" w:rsidRDefault="006C7F6C" w:rsidP="00664882">
            <w:pPr>
              <w:jc w:val="center"/>
              <w:rPr>
                <w:rFonts w:ascii="Arial Narrow" w:hAnsi="Arial Narrow"/>
                <w:b/>
                <w:bCs/>
                <w:sz w:val="20"/>
                <w:szCs w:val="20"/>
              </w:rPr>
            </w:pPr>
            <w:r w:rsidRPr="006C7F6C">
              <w:rPr>
                <w:rFonts w:ascii="Arial Narrow" w:hAnsi="Arial Narrow"/>
                <w:b/>
                <w:bCs/>
                <w:sz w:val="20"/>
                <w:szCs w:val="20"/>
              </w:rPr>
              <w:t xml:space="preserve">OR (95% </w:t>
            </w:r>
            <w:proofErr w:type="spellStart"/>
            <w:r w:rsidRPr="006C7F6C">
              <w:rPr>
                <w:rFonts w:ascii="Arial Narrow" w:hAnsi="Arial Narrow"/>
                <w:b/>
                <w:bCs/>
                <w:sz w:val="20"/>
                <w:szCs w:val="20"/>
              </w:rPr>
              <w:t>C</w:t>
            </w:r>
            <w:r w:rsidR="00EC6EB4">
              <w:rPr>
                <w:rFonts w:ascii="Arial Narrow" w:hAnsi="Arial Narrow"/>
                <w:b/>
                <w:bCs/>
                <w:sz w:val="20"/>
                <w:szCs w:val="20"/>
              </w:rPr>
              <w:t>rl</w:t>
            </w:r>
            <w:proofErr w:type="spellEnd"/>
            <w:r w:rsidRPr="006C7F6C">
              <w:rPr>
                <w:rFonts w:ascii="Arial Narrow" w:hAnsi="Arial Narrow"/>
                <w:b/>
                <w:bCs/>
                <w:sz w:val="20"/>
                <w:szCs w:val="20"/>
              </w:rPr>
              <w:t>)</w:t>
            </w:r>
          </w:p>
        </w:tc>
        <w:tc>
          <w:tcPr>
            <w:tcW w:w="1179" w:type="pct"/>
            <w:vAlign w:val="center"/>
          </w:tcPr>
          <w:p w14:paraId="49C1275F" w14:textId="77777777" w:rsidR="006C7F6C" w:rsidRPr="006C7F6C" w:rsidRDefault="006C7F6C" w:rsidP="00664882">
            <w:pPr>
              <w:jc w:val="center"/>
              <w:rPr>
                <w:rFonts w:ascii="Arial Narrow" w:hAnsi="Arial Narrow"/>
                <w:b/>
                <w:bCs/>
                <w:sz w:val="20"/>
                <w:szCs w:val="20"/>
              </w:rPr>
            </w:pPr>
            <w:r w:rsidRPr="006C7F6C">
              <w:rPr>
                <w:rFonts w:ascii="Arial Narrow" w:hAnsi="Arial Narrow"/>
                <w:b/>
                <w:bCs/>
                <w:sz w:val="20"/>
                <w:szCs w:val="20"/>
              </w:rPr>
              <w:t xml:space="preserve">Clinical remission </w:t>
            </w:r>
          </w:p>
          <w:p w14:paraId="566C7A20" w14:textId="6ED4E988" w:rsidR="006C7F6C" w:rsidRPr="006C7F6C" w:rsidRDefault="006C7F6C" w:rsidP="00664882">
            <w:pPr>
              <w:jc w:val="center"/>
              <w:rPr>
                <w:rFonts w:ascii="Arial Narrow" w:hAnsi="Arial Narrow"/>
                <w:b/>
                <w:bCs/>
                <w:sz w:val="20"/>
                <w:szCs w:val="20"/>
              </w:rPr>
            </w:pPr>
            <w:r w:rsidRPr="006C7F6C">
              <w:rPr>
                <w:rFonts w:ascii="Arial Narrow" w:hAnsi="Arial Narrow"/>
                <w:b/>
                <w:bCs/>
                <w:sz w:val="20"/>
                <w:szCs w:val="20"/>
              </w:rPr>
              <w:t xml:space="preserve">OR (95% </w:t>
            </w:r>
            <w:proofErr w:type="spellStart"/>
            <w:r w:rsidRPr="006C7F6C">
              <w:rPr>
                <w:rFonts w:ascii="Arial Narrow" w:hAnsi="Arial Narrow"/>
                <w:b/>
                <w:bCs/>
                <w:sz w:val="20"/>
                <w:szCs w:val="20"/>
              </w:rPr>
              <w:t>C</w:t>
            </w:r>
            <w:r w:rsidR="00EC6EB4">
              <w:rPr>
                <w:rFonts w:ascii="Arial Narrow" w:hAnsi="Arial Narrow"/>
                <w:b/>
                <w:bCs/>
                <w:sz w:val="20"/>
                <w:szCs w:val="20"/>
              </w:rPr>
              <w:t>rl</w:t>
            </w:r>
            <w:proofErr w:type="spellEnd"/>
            <w:r w:rsidR="00EC6EB4">
              <w:rPr>
                <w:rFonts w:ascii="Arial Narrow" w:hAnsi="Arial Narrow"/>
                <w:b/>
                <w:bCs/>
                <w:sz w:val="20"/>
                <w:szCs w:val="20"/>
              </w:rPr>
              <w:t>)</w:t>
            </w:r>
          </w:p>
        </w:tc>
        <w:tc>
          <w:tcPr>
            <w:tcW w:w="1361" w:type="pct"/>
          </w:tcPr>
          <w:p w14:paraId="7F82EE77" w14:textId="77777777" w:rsidR="006C7F6C" w:rsidRDefault="006C7F6C" w:rsidP="00664882">
            <w:pPr>
              <w:jc w:val="center"/>
              <w:rPr>
                <w:rFonts w:ascii="Arial Narrow" w:hAnsi="Arial Narrow"/>
                <w:b/>
                <w:bCs/>
                <w:sz w:val="20"/>
                <w:szCs w:val="20"/>
              </w:rPr>
            </w:pPr>
            <w:r>
              <w:rPr>
                <w:rFonts w:ascii="Arial Narrow" w:hAnsi="Arial Narrow"/>
                <w:b/>
                <w:bCs/>
                <w:sz w:val="20"/>
                <w:szCs w:val="20"/>
              </w:rPr>
              <w:t xml:space="preserve">Endoscopic improvement </w:t>
            </w:r>
          </w:p>
          <w:p w14:paraId="25868BCF" w14:textId="7421AFC3" w:rsidR="006C7F6C" w:rsidRPr="006C7F6C" w:rsidRDefault="006C7F6C" w:rsidP="00664882">
            <w:pPr>
              <w:jc w:val="center"/>
              <w:rPr>
                <w:rFonts w:ascii="Arial Narrow" w:hAnsi="Arial Narrow"/>
                <w:b/>
                <w:bCs/>
                <w:sz w:val="20"/>
                <w:szCs w:val="20"/>
              </w:rPr>
            </w:pPr>
            <w:r>
              <w:rPr>
                <w:rFonts w:ascii="Arial Narrow" w:hAnsi="Arial Narrow"/>
                <w:b/>
                <w:bCs/>
                <w:sz w:val="20"/>
                <w:szCs w:val="20"/>
              </w:rPr>
              <w:t xml:space="preserve">OR (95% </w:t>
            </w:r>
            <w:proofErr w:type="spellStart"/>
            <w:r>
              <w:rPr>
                <w:rFonts w:ascii="Arial Narrow" w:hAnsi="Arial Narrow"/>
                <w:b/>
                <w:bCs/>
                <w:sz w:val="20"/>
                <w:szCs w:val="20"/>
              </w:rPr>
              <w:t>C</w:t>
            </w:r>
            <w:r w:rsidR="00EC6EB4">
              <w:rPr>
                <w:rFonts w:ascii="Arial Narrow" w:hAnsi="Arial Narrow"/>
                <w:b/>
                <w:bCs/>
                <w:sz w:val="20"/>
                <w:szCs w:val="20"/>
              </w:rPr>
              <w:t>rl</w:t>
            </w:r>
            <w:proofErr w:type="spellEnd"/>
            <w:r>
              <w:rPr>
                <w:rFonts w:ascii="Arial Narrow" w:hAnsi="Arial Narrow"/>
                <w:b/>
                <w:bCs/>
                <w:sz w:val="20"/>
                <w:szCs w:val="20"/>
              </w:rPr>
              <w:t>)</w:t>
            </w:r>
          </w:p>
        </w:tc>
      </w:tr>
      <w:tr w:rsidR="006C7F6C" w:rsidRPr="006C7F6C" w14:paraId="2A7D2B77" w14:textId="35AE5B3B" w:rsidTr="006C7F6C">
        <w:tc>
          <w:tcPr>
            <w:tcW w:w="1435" w:type="pct"/>
            <w:vAlign w:val="center"/>
          </w:tcPr>
          <w:p w14:paraId="1264B21A" w14:textId="77777777" w:rsidR="006C7F6C" w:rsidRPr="006C7F6C" w:rsidRDefault="006C7F6C" w:rsidP="006C7F6C">
            <w:pPr>
              <w:jc w:val="center"/>
              <w:rPr>
                <w:rFonts w:ascii="Arial Narrow" w:hAnsi="Arial Narrow"/>
                <w:b/>
                <w:bCs/>
                <w:noProof/>
                <w:sz w:val="20"/>
                <w:szCs w:val="20"/>
              </w:rPr>
            </w:pPr>
            <w:r w:rsidRPr="006C7F6C">
              <w:rPr>
                <w:rFonts w:ascii="Arial Narrow" w:hAnsi="Arial Narrow"/>
                <w:sz w:val="20"/>
                <w:szCs w:val="20"/>
              </w:rPr>
              <w:t>Adalimumab 160/80/40 mg</w:t>
            </w:r>
          </w:p>
        </w:tc>
        <w:tc>
          <w:tcPr>
            <w:tcW w:w="1025" w:type="pct"/>
            <w:vAlign w:val="center"/>
          </w:tcPr>
          <w:p w14:paraId="3C113C8D" w14:textId="77777777" w:rsidR="006C7F6C" w:rsidRPr="006C7F6C" w:rsidRDefault="006C7F6C" w:rsidP="006C7F6C">
            <w:pPr>
              <w:jc w:val="center"/>
              <w:rPr>
                <w:rFonts w:ascii="Arial Narrow" w:hAnsi="Arial Narrow"/>
                <w:sz w:val="20"/>
                <w:szCs w:val="20"/>
              </w:rPr>
            </w:pPr>
            <w:r w:rsidRPr="006C7F6C">
              <w:rPr>
                <w:rFonts w:ascii="Arial Narrow" w:hAnsi="Arial Narrow"/>
                <w:b/>
                <w:bCs/>
                <w:sz w:val="20"/>
                <w:szCs w:val="20"/>
              </w:rPr>
              <w:t>1.72 (1.19, 2.45)</w:t>
            </w:r>
          </w:p>
        </w:tc>
        <w:tc>
          <w:tcPr>
            <w:tcW w:w="1179" w:type="pct"/>
            <w:vAlign w:val="center"/>
          </w:tcPr>
          <w:p w14:paraId="7C4CD465" w14:textId="77777777" w:rsidR="006C7F6C" w:rsidRPr="006C7F6C" w:rsidRDefault="006C7F6C" w:rsidP="006C7F6C">
            <w:pPr>
              <w:jc w:val="center"/>
              <w:rPr>
                <w:rFonts w:ascii="Arial Narrow" w:hAnsi="Arial Narrow"/>
                <w:b/>
                <w:bCs/>
                <w:noProof/>
                <w:sz w:val="20"/>
                <w:szCs w:val="20"/>
              </w:rPr>
            </w:pPr>
            <w:r w:rsidRPr="006C7F6C">
              <w:rPr>
                <w:rFonts w:ascii="Arial Narrow" w:hAnsi="Arial Narrow"/>
                <w:b/>
                <w:bCs/>
                <w:sz w:val="20"/>
                <w:szCs w:val="20"/>
              </w:rPr>
              <w:t>1.85 (1.22, 2.75)</w:t>
            </w:r>
          </w:p>
        </w:tc>
        <w:tc>
          <w:tcPr>
            <w:tcW w:w="1361" w:type="pct"/>
          </w:tcPr>
          <w:p w14:paraId="7CEEAC27" w14:textId="5BCE957E" w:rsidR="006C7F6C" w:rsidRPr="006C7F6C" w:rsidRDefault="006C7F6C" w:rsidP="006C7F6C">
            <w:pPr>
              <w:jc w:val="center"/>
              <w:rPr>
                <w:rFonts w:ascii="Arial Narrow" w:hAnsi="Arial Narrow"/>
                <w:b/>
                <w:bCs/>
                <w:sz w:val="20"/>
                <w:szCs w:val="20"/>
              </w:rPr>
            </w:pPr>
            <w:r w:rsidRPr="006C7F6C">
              <w:rPr>
                <w:rFonts w:ascii="Arial Narrow" w:hAnsi="Arial Narrow"/>
                <w:b/>
                <w:bCs/>
                <w:sz w:val="20"/>
                <w:szCs w:val="20"/>
              </w:rPr>
              <w:t>1.99 (1.22, 3.28)</w:t>
            </w:r>
          </w:p>
        </w:tc>
      </w:tr>
      <w:tr w:rsidR="006C7F6C" w:rsidRPr="006C7F6C" w14:paraId="069A842B" w14:textId="6B4F41DC" w:rsidTr="006C7F6C">
        <w:tc>
          <w:tcPr>
            <w:tcW w:w="1435" w:type="pct"/>
            <w:vAlign w:val="center"/>
          </w:tcPr>
          <w:p w14:paraId="1EF948FA" w14:textId="77777777" w:rsidR="006C7F6C" w:rsidRPr="006C7F6C" w:rsidRDefault="006C7F6C" w:rsidP="006C7F6C">
            <w:pPr>
              <w:jc w:val="center"/>
              <w:rPr>
                <w:rFonts w:ascii="Arial Narrow" w:hAnsi="Arial Narrow"/>
                <w:b/>
                <w:bCs/>
                <w:noProof/>
                <w:sz w:val="20"/>
                <w:szCs w:val="20"/>
              </w:rPr>
            </w:pPr>
            <w:r w:rsidRPr="006C7F6C">
              <w:rPr>
                <w:rFonts w:ascii="Arial Narrow" w:hAnsi="Arial Narrow"/>
                <w:sz w:val="20"/>
                <w:szCs w:val="20"/>
              </w:rPr>
              <w:t>Ustekinumab 130 mg</w:t>
            </w:r>
          </w:p>
        </w:tc>
        <w:tc>
          <w:tcPr>
            <w:tcW w:w="1025" w:type="pct"/>
            <w:vAlign w:val="center"/>
          </w:tcPr>
          <w:p w14:paraId="5C716301" w14:textId="77777777" w:rsidR="006C7F6C" w:rsidRPr="006C7F6C" w:rsidRDefault="006C7F6C" w:rsidP="006C7F6C">
            <w:pPr>
              <w:jc w:val="center"/>
              <w:rPr>
                <w:rFonts w:ascii="Arial Narrow" w:hAnsi="Arial Narrow"/>
                <w:sz w:val="20"/>
                <w:szCs w:val="20"/>
              </w:rPr>
            </w:pPr>
            <w:r w:rsidRPr="006C7F6C">
              <w:rPr>
                <w:rFonts w:ascii="Arial Narrow" w:hAnsi="Arial Narrow"/>
                <w:sz w:val="20"/>
                <w:szCs w:val="20"/>
              </w:rPr>
              <w:t>1.13 (0.75, 1.70)</w:t>
            </w:r>
          </w:p>
        </w:tc>
        <w:tc>
          <w:tcPr>
            <w:tcW w:w="1179" w:type="pct"/>
            <w:vAlign w:val="center"/>
          </w:tcPr>
          <w:p w14:paraId="04F00272" w14:textId="77777777" w:rsidR="006C7F6C" w:rsidRPr="006C7F6C" w:rsidRDefault="006C7F6C" w:rsidP="006C7F6C">
            <w:pPr>
              <w:jc w:val="center"/>
              <w:rPr>
                <w:rFonts w:ascii="Arial Narrow" w:hAnsi="Arial Narrow"/>
                <w:b/>
                <w:bCs/>
                <w:noProof/>
                <w:sz w:val="20"/>
                <w:szCs w:val="20"/>
              </w:rPr>
            </w:pPr>
            <w:r w:rsidRPr="006C7F6C">
              <w:rPr>
                <w:rFonts w:ascii="Arial Narrow" w:hAnsi="Arial Narrow"/>
                <w:sz w:val="20"/>
                <w:szCs w:val="20"/>
              </w:rPr>
              <w:t>1.15 (0.72, 1.80)</w:t>
            </w:r>
          </w:p>
        </w:tc>
        <w:tc>
          <w:tcPr>
            <w:tcW w:w="1361" w:type="pct"/>
          </w:tcPr>
          <w:p w14:paraId="5A9E9220" w14:textId="04E2BC5A" w:rsidR="006C7F6C" w:rsidRPr="006C7F6C" w:rsidRDefault="00AC1121" w:rsidP="006C7F6C">
            <w:pPr>
              <w:jc w:val="center"/>
              <w:rPr>
                <w:rFonts w:ascii="Arial Narrow" w:hAnsi="Arial Narrow"/>
                <w:sz w:val="20"/>
                <w:szCs w:val="20"/>
              </w:rPr>
            </w:pPr>
            <w:r w:rsidRPr="00AC1121">
              <w:rPr>
                <w:rFonts w:ascii="Arial Narrow" w:hAnsi="Arial Narrow"/>
                <w:sz w:val="20"/>
                <w:szCs w:val="20"/>
              </w:rPr>
              <w:t>1.34 (0.75, 2.39)</w:t>
            </w:r>
          </w:p>
        </w:tc>
      </w:tr>
      <w:tr w:rsidR="006C7F6C" w:rsidRPr="006C7F6C" w14:paraId="4E56F3DA" w14:textId="1058C38C" w:rsidTr="006C7F6C">
        <w:tc>
          <w:tcPr>
            <w:tcW w:w="1435" w:type="pct"/>
            <w:vAlign w:val="center"/>
          </w:tcPr>
          <w:p w14:paraId="70CD144C" w14:textId="77777777" w:rsidR="006C7F6C" w:rsidRPr="006C7F6C" w:rsidRDefault="006C7F6C" w:rsidP="006C7F6C">
            <w:pPr>
              <w:jc w:val="center"/>
              <w:rPr>
                <w:rFonts w:ascii="Arial Narrow" w:hAnsi="Arial Narrow"/>
                <w:b/>
                <w:bCs/>
                <w:noProof/>
                <w:sz w:val="20"/>
                <w:szCs w:val="20"/>
              </w:rPr>
            </w:pPr>
            <w:r w:rsidRPr="006C7F6C">
              <w:rPr>
                <w:rFonts w:ascii="Arial Narrow" w:hAnsi="Arial Narrow"/>
                <w:sz w:val="20"/>
                <w:szCs w:val="20"/>
              </w:rPr>
              <w:t>Golimumab 200/100 mg</w:t>
            </w:r>
          </w:p>
        </w:tc>
        <w:tc>
          <w:tcPr>
            <w:tcW w:w="1025" w:type="pct"/>
            <w:vAlign w:val="center"/>
          </w:tcPr>
          <w:p w14:paraId="0690AE09" w14:textId="77777777" w:rsidR="006C7F6C" w:rsidRPr="006C7F6C" w:rsidRDefault="006C7F6C" w:rsidP="006C7F6C">
            <w:pPr>
              <w:jc w:val="center"/>
              <w:rPr>
                <w:rFonts w:ascii="Arial Narrow" w:hAnsi="Arial Narrow"/>
                <w:sz w:val="20"/>
                <w:szCs w:val="20"/>
              </w:rPr>
            </w:pPr>
            <w:r w:rsidRPr="006C7F6C">
              <w:rPr>
                <w:rFonts w:ascii="Arial Narrow" w:hAnsi="Arial Narrow"/>
                <w:sz w:val="20"/>
                <w:szCs w:val="20"/>
              </w:rPr>
              <w:t>1.12 (0.73, 1.72)</w:t>
            </w:r>
          </w:p>
        </w:tc>
        <w:tc>
          <w:tcPr>
            <w:tcW w:w="1179" w:type="pct"/>
            <w:vAlign w:val="center"/>
          </w:tcPr>
          <w:p w14:paraId="77713DA6" w14:textId="77777777" w:rsidR="006C7F6C" w:rsidRPr="006C7F6C" w:rsidRDefault="006C7F6C" w:rsidP="006C7F6C">
            <w:pPr>
              <w:jc w:val="center"/>
              <w:rPr>
                <w:rFonts w:ascii="Arial Narrow" w:hAnsi="Arial Narrow"/>
                <w:b/>
                <w:bCs/>
                <w:noProof/>
                <w:sz w:val="20"/>
                <w:szCs w:val="20"/>
              </w:rPr>
            </w:pPr>
            <w:r w:rsidRPr="006C7F6C">
              <w:rPr>
                <w:rFonts w:ascii="Arial Narrow" w:hAnsi="Arial Narrow"/>
                <w:sz w:val="20"/>
                <w:szCs w:val="20"/>
              </w:rPr>
              <w:t>1.14 (0.71, 1.82)</w:t>
            </w:r>
          </w:p>
        </w:tc>
        <w:tc>
          <w:tcPr>
            <w:tcW w:w="1361" w:type="pct"/>
          </w:tcPr>
          <w:p w14:paraId="3852973E" w14:textId="3CDE9BFD" w:rsidR="006C7F6C" w:rsidRPr="006C7F6C" w:rsidRDefault="00AC1121" w:rsidP="006C7F6C">
            <w:pPr>
              <w:jc w:val="center"/>
              <w:rPr>
                <w:rFonts w:ascii="Arial Narrow" w:hAnsi="Arial Narrow"/>
                <w:sz w:val="20"/>
                <w:szCs w:val="20"/>
              </w:rPr>
            </w:pPr>
            <w:r w:rsidRPr="00AC1121">
              <w:rPr>
                <w:rFonts w:ascii="Arial Narrow" w:hAnsi="Arial Narrow"/>
                <w:sz w:val="20"/>
                <w:szCs w:val="20"/>
              </w:rPr>
              <w:t>1.65 (0.97, 2.84)</w:t>
            </w:r>
          </w:p>
        </w:tc>
      </w:tr>
      <w:tr w:rsidR="006C7F6C" w:rsidRPr="006C7F6C" w14:paraId="46819E56" w14:textId="53810701" w:rsidTr="006C7F6C">
        <w:trPr>
          <w:trHeight w:val="152"/>
        </w:trPr>
        <w:tc>
          <w:tcPr>
            <w:tcW w:w="1435" w:type="pct"/>
            <w:vAlign w:val="center"/>
          </w:tcPr>
          <w:p w14:paraId="78D5D76C" w14:textId="77777777" w:rsidR="006C7F6C" w:rsidRPr="006C7F6C" w:rsidRDefault="006C7F6C" w:rsidP="006C7F6C">
            <w:pPr>
              <w:jc w:val="center"/>
              <w:rPr>
                <w:rFonts w:ascii="Arial Narrow" w:hAnsi="Arial Narrow"/>
                <w:b/>
                <w:bCs/>
                <w:noProof/>
                <w:sz w:val="20"/>
                <w:szCs w:val="20"/>
              </w:rPr>
            </w:pPr>
            <w:r w:rsidRPr="006C7F6C">
              <w:rPr>
                <w:rFonts w:ascii="Arial Narrow" w:hAnsi="Arial Narrow"/>
                <w:sz w:val="20"/>
                <w:szCs w:val="20"/>
              </w:rPr>
              <w:t>Vedolizumab 300 mg</w:t>
            </w:r>
          </w:p>
        </w:tc>
        <w:tc>
          <w:tcPr>
            <w:tcW w:w="1025" w:type="pct"/>
            <w:vAlign w:val="center"/>
          </w:tcPr>
          <w:p w14:paraId="3EB63349" w14:textId="77777777" w:rsidR="006C7F6C" w:rsidRPr="006C7F6C" w:rsidRDefault="006C7F6C" w:rsidP="006C7F6C">
            <w:pPr>
              <w:jc w:val="center"/>
              <w:rPr>
                <w:rFonts w:ascii="Arial Narrow" w:hAnsi="Arial Narrow"/>
                <w:sz w:val="20"/>
                <w:szCs w:val="20"/>
              </w:rPr>
            </w:pPr>
            <w:r w:rsidRPr="006C7F6C">
              <w:rPr>
                <w:rFonts w:ascii="Arial Narrow" w:hAnsi="Arial Narrow"/>
                <w:sz w:val="20"/>
                <w:szCs w:val="20"/>
              </w:rPr>
              <w:t>1.02 (0.69, 1.49)</w:t>
            </w:r>
          </w:p>
        </w:tc>
        <w:tc>
          <w:tcPr>
            <w:tcW w:w="1179" w:type="pct"/>
            <w:vAlign w:val="center"/>
          </w:tcPr>
          <w:p w14:paraId="6EDA4478" w14:textId="77777777" w:rsidR="006C7F6C" w:rsidRPr="006C7F6C" w:rsidRDefault="006C7F6C" w:rsidP="006C7F6C">
            <w:pPr>
              <w:jc w:val="center"/>
              <w:rPr>
                <w:rFonts w:ascii="Arial Narrow" w:hAnsi="Arial Narrow"/>
                <w:b/>
                <w:bCs/>
                <w:noProof/>
                <w:sz w:val="20"/>
                <w:szCs w:val="20"/>
              </w:rPr>
            </w:pPr>
            <w:r w:rsidRPr="006C7F6C">
              <w:rPr>
                <w:rFonts w:ascii="Arial Narrow" w:hAnsi="Arial Narrow"/>
                <w:sz w:val="20"/>
                <w:szCs w:val="20"/>
              </w:rPr>
              <w:t>1.03 (0.67, 1.54)</w:t>
            </w:r>
          </w:p>
        </w:tc>
        <w:tc>
          <w:tcPr>
            <w:tcW w:w="1361" w:type="pct"/>
          </w:tcPr>
          <w:p w14:paraId="17F69745" w14:textId="509EBC56" w:rsidR="006C7F6C" w:rsidRPr="006C7F6C" w:rsidRDefault="00AC1121" w:rsidP="006C7F6C">
            <w:pPr>
              <w:jc w:val="center"/>
              <w:rPr>
                <w:rFonts w:ascii="Arial Narrow" w:hAnsi="Arial Narrow"/>
                <w:sz w:val="20"/>
                <w:szCs w:val="20"/>
              </w:rPr>
            </w:pPr>
            <w:r w:rsidRPr="00AC1121">
              <w:rPr>
                <w:rFonts w:ascii="Arial Narrow" w:hAnsi="Arial Narrow"/>
                <w:sz w:val="20"/>
                <w:szCs w:val="20"/>
              </w:rPr>
              <w:t>1.68 (0.97, 2.92)</w:t>
            </w:r>
          </w:p>
        </w:tc>
      </w:tr>
      <w:tr w:rsidR="006C7F6C" w:rsidRPr="006C7F6C" w14:paraId="5BAA436A" w14:textId="6A15E6BD" w:rsidTr="006C7F6C">
        <w:trPr>
          <w:trHeight w:val="197"/>
        </w:trPr>
        <w:tc>
          <w:tcPr>
            <w:tcW w:w="1435" w:type="pct"/>
            <w:vAlign w:val="center"/>
          </w:tcPr>
          <w:p w14:paraId="75A43510" w14:textId="77777777" w:rsidR="006C7F6C" w:rsidRPr="006C7F6C" w:rsidRDefault="006C7F6C" w:rsidP="006C7F6C">
            <w:pPr>
              <w:jc w:val="center"/>
              <w:rPr>
                <w:rFonts w:ascii="Arial Narrow" w:hAnsi="Arial Narrow"/>
                <w:b/>
                <w:bCs/>
                <w:noProof/>
                <w:sz w:val="20"/>
                <w:szCs w:val="20"/>
              </w:rPr>
            </w:pPr>
            <w:r w:rsidRPr="006C7F6C">
              <w:rPr>
                <w:rFonts w:ascii="Arial Narrow" w:hAnsi="Arial Narrow"/>
                <w:sz w:val="20"/>
                <w:szCs w:val="20"/>
              </w:rPr>
              <w:t>Tofacitinib 10 mg</w:t>
            </w:r>
          </w:p>
        </w:tc>
        <w:tc>
          <w:tcPr>
            <w:tcW w:w="1025" w:type="pct"/>
            <w:vAlign w:val="center"/>
          </w:tcPr>
          <w:p w14:paraId="37948F43" w14:textId="77777777" w:rsidR="006C7F6C" w:rsidRPr="006C7F6C" w:rsidRDefault="006C7F6C" w:rsidP="006C7F6C">
            <w:pPr>
              <w:jc w:val="center"/>
              <w:rPr>
                <w:rFonts w:ascii="Arial Narrow" w:hAnsi="Arial Narrow"/>
                <w:sz w:val="20"/>
                <w:szCs w:val="20"/>
              </w:rPr>
            </w:pPr>
            <w:r w:rsidRPr="006C7F6C">
              <w:rPr>
                <w:rFonts w:ascii="Arial Narrow" w:hAnsi="Arial Narrow"/>
                <w:sz w:val="20"/>
                <w:szCs w:val="20"/>
              </w:rPr>
              <w:t>0.97 (0.65, 1.44)</w:t>
            </w:r>
          </w:p>
        </w:tc>
        <w:tc>
          <w:tcPr>
            <w:tcW w:w="1179" w:type="pct"/>
            <w:vAlign w:val="center"/>
          </w:tcPr>
          <w:p w14:paraId="5948DF45" w14:textId="77777777" w:rsidR="006C7F6C" w:rsidRPr="006C7F6C" w:rsidRDefault="006C7F6C" w:rsidP="006C7F6C">
            <w:pPr>
              <w:jc w:val="center"/>
              <w:rPr>
                <w:rFonts w:ascii="Arial Narrow" w:hAnsi="Arial Narrow"/>
                <w:b/>
                <w:bCs/>
                <w:noProof/>
                <w:sz w:val="20"/>
                <w:szCs w:val="20"/>
              </w:rPr>
            </w:pPr>
            <w:r w:rsidRPr="006C7F6C">
              <w:rPr>
                <w:rFonts w:ascii="Arial Narrow" w:hAnsi="Arial Narrow"/>
                <w:sz w:val="20"/>
                <w:szCs w:val="20"/>
              </w:rPr>
              <w:t>0.97 (0.63, 1.49)</w:t>
            </w:r>
          </w:p>
        </w:tc>
        <w:tc>
          <w:tcPr>
            <w:tcW w:w="1361" w:type="pct"/>
          </w:tcPr>
          <w:p w14:paraId="6541D519" w14:textId="4599FEFE" w:rsidR="006C7F6C" w:rsidRPr="006C7F6C" w:rsidRDefault="00AC1121" w:rsidP="006C7F6C">
            <w:pPr>
              <w:jc w:val="center"/>
              <w:rPr>
                <w:rFonts w:ascii="Arial Narrow" w:hAnsi="Arial Narrow"/>
                <w:sz w:val="20"/>
                <w:szCs w:val="20"/>
              </w:rPr>
            </w:pPr>
            <w:r w:rsidRPr="00AC1121">
              <w:rPr>
                <w:rFonts w:ascii="Arial Narrow" w:hAnsi="Arial Narrow"/>
                <w:sz w:val="20"/>
                <w:szCs w:val="20"/>
              </w:rPr>
              <w:t>1.09 (0.62, 1.95)</w:t>
            </w:r>
          </w:p>
        </w:tc>
      </w:tr>
      <w:tr w:rsidR="006C7F6C" w:rsidRPr="006C7F6C" w14:paraId="7E392C7C" w14:textId="29990443" w:rsidTr="006C7F6C">
        <w:tc>
          <w:tcPr>
            <w:tcW w:w="1435" w:type="pct"/>
            <w:vAlign w:val="center"/>
          </w:tcPr>
          <w:p w14:paraId="2DE9222F" w14:textId="77777777" w:rsidR="006C7F6C" w:rsidRPr="006C7F6C" w:rsidRDefault="006C7F6C" w:rsidP="006C7F6C">
            <w:pPr>
              <w:jc w:val="center"/>
              <w:rPr>
                <w:rFonts w:ascii="Arial Narrow" w:hAnsi="Arial Narrow"/>
                <w:b/>
                <w:bCs/>
                <w:noProof/>
                <w:sz w:val="20"/>
                <w:szCs w:val="20"/>
              </w:rPr>
            </w:pPr>
            <w:r w:rsidRPr="006C7F6C">
              <w:rPr>
                <w:rFonts w:ascii="Arial Narrow" w:hAnsi="Arial Narrow"/>
                <w:sz w:val="20"/>
                <w:szCs w:val="20"/>
              </w:rPr>
              <w:t>Ustekinumab 6 mg/kg</w:t>
            </w:r>
          </w:p>
        </w:tc>
        <w:tc>
          <w:tcPr>
            <w:tcW w:w="1025" w:type="pct"/>
            <w:vAlign w:val="center"/>
          </w:tcPr>
          <w:p w14:paraId="63D13565" w14:textId="77777777" w:rsidR="006C7F6C" w:rsidRPr="006C7F6C" w:rsidRDefault="006C7F6C" w:rsidP="006C7F6C">
            <w:pPr>
              <w:jc w:val="center"/>
              <w:rPr>
                <w:rFonts w:ascii="Arial Narrow" w:hAnsi="Arial Narrow"/>
                <w:sz w:val="20"/>
                <w:szCs w:val="20"/>
              </w:rPr>
            </w:pPr>
            <w:r w:rsidRPr="006C7F6C">
              <w:rPr>
                <w:rFonts w:ascii="Arial Narrow" w:hAnsi="Arial Narrow"/>
                <w:sz w:val="20"/>
                <w:szCs w:val="20"/>
              </w:rPr>
              <w:t>0.87 (0.57, 1.32)</w:t>
            </w:r>
          </w:p>
        </w:tc>
        <w:tc>
          <w:tcPr>
            <w:tcW w:w="1179" w:type="pct"/>
            <w:vAlign w:val="center"/>
          </w:tcPr>
          <w:p w14:paraId="6BFA591A" w14:textId="77777777" w:rsidR="006C7F6C" w:rsidRPr="006C7F6C" w:rsidRDefault="006C7F6C" w:rsidP="006C7F6C">
            <w:pPr>
              <w:jc w:val="center"/>
              <w:rPr>
                <w:rFonts w:ascii="Arial Narrow" w:hAnsi="Arial Narrow"/>
                <w:b/>
                <w:bCs/>
                <w:noProof/>
                <w:sz w:val="20"/>
                <w:szCs w:val="20"/>
              </w:rPr>
            </w:pPr>
            <w:r w:rsidRPr="006C7F6C">
              <w:rPr>
                <w:rFonts w:ascii="Arial Narrow" w:hAnsi="Arial Narrow"/>
                <w:sz w:val="20"/>
                <w:szCs w:val="20"/>
              </w:rPr>
              <w:t>0.86 (0.55, 1.35)</w:t>
            </w:r>
          </w:p>
        </w:tc>
        <w:tc>
          <w:tcPr>
            <w:tcW w:w="1361" w:type="pct"/>
          </w:tcPr>
          <w:p w14:paraId="6E45528F" w14:textId="259E0A07" w:rsidR="006C7F6C" w:rsidRPr="006C7F6C" w:rsidRDefault="00AC1121" w:rsidP="006C7F6C">
            <w:pPr>
              <w:jc w:val="center"/>
              <w:rPr>
                <w:rFonts w:ascii="Arial Narrow" w:hAnsi="Arial Narrow"/>
                <w:sz w:val="20"/>
                <w:szCs w:val="20"/>
              </w:rPr>
            </w:pPr>
            <w:r w:rsidRPr="00AC1121">
              <w:rPr>
                <w:rFonts w:ascii="Arial Narrow" w:hAnsi="Arial Narrow"/>
                <w:sz w:val="20"/>
                <w:szCs w:val="20"/>
              </w:rPr>
              <w:t>1.29 (0.72, 2.32)</w:t>
            </w:r>
          </w:p>
        </w:tc>
      </w:tr>
      <w:tr w:rsidR="006C7F6C" w:rsidRPr="006C7F6C" w14:paraId="7B88E3A5" w14:textId="747D1814" w:rsidTr="006C7F6C">
        <w:tc>
          <w:tcPr>
            <w:tcW w:w="1435" w:type="pct"/>
            <w:vAlign w:val="center"/>
          </w:tcPr>
          <w:p w14:paraId="726C7C91" w14:textId="77777777" w:rsidR="006C7F6C" w:rsidRPr="006C7F6C" w:rsidRDefault="006C7F6C" w:rsidP="006C7F6C">
            <w:pPr>
              <w:jc w:val="center"/>
              <w:rPr>
                <w:rFonts w:ascii="Arial Narrow" w:hAnsi="Arial Narrow"/>
                <w:b/>
                <w:bCs/>
                <w:noProof/>
                <w:sz w:val="20"/>
                <w:szCs w:val="20"/>
              </w:rPr>
            </w:pPr>
            <w:r w:rsidRPr="006C7F6C">
              <w:rPr>
                <w:rFonts w:ascii="Arial Narrow" w:hAnsi="Arial Narrow"/>
                <w:sz w:val="20"/>
                <w:szCs w:val="20"/>
              </w:rPr>
              <w:t>Infliximab 10 mg/kg</w:t>
            </w:r>
          </w:p>
        </w:tc>
        <w:tc>
          <w:tcPr>
            <w:tcW w:w="1025" w:type="pct"/>
            <w:vAlign w:val="center"/>
          </w:tcPr>
          <w:p w14:paraId="46F3B9B1" w14:textId="77777777" w:rsidR="006C7F6C" w:rsidRPr="006C7F6C" w:rsidRDefault="006C7F6C" w:rsidP="006C7F6C">
            <w:pPr>
              <w:jc w:val="center"/>
              <w:rPr>
                <w:rFonts w:ascii="Arial Narrow" w:hAnsi="Arial Narrow"/>
                <w:sz w:val="20"/>
                <w:szCs w:val="20"/>
              </w:rPr>
            </w:pPr>
            <w:r w:rsidRPr="006C7F6C">
              <w:rPr>
                <w:rFonts w:ascii="Arial Narrow" w:hAnsi="Arial Narrow"/>
                <w:sz w:val="20"/>
                <w:szCs w:val="20"/>
              </w:rPr>
              <w:t>0.77 (0.50, 1.19)</w:t>
            </w:r>
          </w:p>
        </w:tc>
        <w:tc>
          <w:tcPr>
            <w:tcW w:w="1179" w:type="pct"/>
            <w:vAlign w:val="center"/>
          </w:tcPr>
          <w:p w14:paraId="0F278E40" w14:textId="77777777" w:rsidR="006C7F6C" w:rsidRPr="006C7F6C" w:rsidRDefault="006C7F6C" w:rsidP="006C7F6C">
            <w:pPr>
              <w:jc w:val="center"/>
              <w:rPr>
                <w:rFonts w:ascii="Arial Narrow" w:hAnsi="Arial Narrow"/>
                <w:b/>
                <w:bCs/>
                <w:noProof/>
                <w:sz w:val="20"/>
                <w:szCs w:val="20"/>
              </w:rPr>
            </w:pPr>
            <w:r w:rsidRPr="006C7F6C">
              <w:rPr>
                <w:rFonts w:ascii="Arial Narrow" w:hAnsi="Arial Narrow"/>
                <w:sz w:val="20"/>
                <w:szCs w:val="20"/>
              </w:rPr>
              <w:t>0.75 (0.48, 1.20)</w:t>
            </w:r>
          </w:p>
        </w:tc>
        <w:tc>
          <w:tcPr>
            <w:tcW w:w="1361" w:type="pct"/>
          </w:tcPr>
          <w:p w14:paraId="7E11B943" w14:textId="145D7F32" w:rsidR="006C7F6C" w:rsidRPr="006C7F6C" w:rsidRDefault="00AC1121" w:rsidP="006C7F6C">
            <w:pPr>
              <w:jc w:val="center"/>
              <w:rPr>
                <w:rFonts w:ascii="Arial Narrow" w:hAnsi="Arial Narrow"/>
                <w:sz w:val="20"/>
                <w:szCs w:val="20"/>
              </w:rPr>
            </w:pPr>
            <w:r w:rsidRPr="00AC1121">
              <w:rPr>
                <w:rFonts w:ascii="Arial Narrow" w:hAnsi="Arial Narrow"/>
                <w:sz w:val="20"/>
                <w:szCs w:val="20"/>
              </w:rPr>
              <w:t>0.96 (0.56, 1.66)</w:t>
            </w:r>
          </w:p>
        </w:tc>
      </w:tr>
      <w:tr w:rsidR="006C7F6C" w:rsidRPr="006C7F6C" w14:paraId="6285D5D4" w14:textId="08FD453E" w:rsidTr="006C7F6C">
        <w:tc>
          <w:tcPr>
            <w:tcW w:w="1435" w:type="pct"/>
            <w:vAlign w:val="center"/>
          </w:tcPr>
          <w:p w14:paraId="4D922C33" w14:textId="77777777" w:rsidR="006C7F6C" w:rsidRPr="006C7F6C" w:rsidRDefault="006C7F6C" w:rsidP="006C7F6C">
            <w:pPr>
              <w:jc w:val="center"/>
              <w:rPr>
                <w:rFonts w:ascii="Arial Narrow" w:hAnsi="Arial Narrow"/>
                <w:b/>
                <w:bCs/>
                <w:noProof/>
                <w:sz w:val="20"/>
                <w:szCs w:val="20"/>
              </w:rPr>
            </w:pPr>
            <w:r w:rsidRPr="006C7F6C">
              <w:rPr>
                <w:rFonts w:ascii="Arial Narrow" w:hAnsi="Arial Narrow"/>
                <w:sz w:val="20"/>
                <w:szCs w:val="20"/>
              </w:rPr>
              <w:t>Infliximab 5 mg/kg</w:t>
            </w:r>
          </w:p>
        </w:tc>
        <w:tc>
          <w:tcPr>
            <w:tcW w:w="1025" w:type="pct"/>
            <w:vAlign w:val="center"/>
          </w:tcPr>
          <w:p w14:paraId="7BB672B8" w14:textId="77777777" w:rsidR="006C7F6C" w:rsidRPr="006C7F6C" w:rsidRDefault="006C7F6C" w:rsidP="006C7F6C">
            <w:pPr>
              <w:jc w:val="center"/>
              <w:rPr>
                <w:rFonts w:ascii="Arial Narrow" w:hAnsi="Arial Narrow"/>
                <w:sz w:val="20"/>
                <w:szCs w:val="20"/>
              </w:rPr>
            </w:pPr>
            <w:r w:rsidRPr="006C7F6C">
              <w:rPr>
                <w:rFonts w:ascii="Arial Narrow" w:hAnsi="Arial Narrow"/>
                <w:sz w:val="20"/>
                <w:szCs w:val="20"/>
              </w:rPr>
              <w:t>0.68 (0.46, 1.02)</w:t>
            </w:r>
          </w:p>
        </w:tc>
        <w:tc>
          <w:tcPr>
            <w:tcW w:w="1179" w:type="pct"/>
            <w:vAlign w:val="center"/>
          </w:tcPr>
          <w:p w14:paraId="215C0704" w14:textId="77777777" w:rsidR="006C7F6C" w:rsidRPr="006C7F6C" w:rsidRDefault="006C7F6C" w:rsidP="006C7F6C">
            <w:pPr>
              <w:jc w:val="center"/>
              <w:rPr>
                <w:rFonts w:ascii="Arial Narrow" w:hAnsi="Arial Narrow"/>
                <w:b/>
                <w:bCs/>
                <w:noProof/>
                <w:sz w:val="20"/>
                <w:szCs w:val="20"/>
              </w:rPr>
            </w:pPr>
            <w:r w:rsidRPr="006C7F6C">
              <w:rPr>
                <w:rFonts w:ascii="Arial Narrow" w:hAnsi="Arial Narrow"/>
                <w:sz w:val="20"/>
                <w:szCs w:val="20"/>
              </w:rPr>
              <w:t>0.67 (0.43, 1.02)</w:t>
            </w:r>
          </w:p>
        </w:tc>
        <w:tc>
          <w:tcPr>
            <w:tcW w:w="1361" w:type="pct"/>
          </w:tcPr>
          <w:p w14:paraId="7755FF69" w14:textId="6D179E73" w:rsidR="006C7F6C" w:rsidRPr="006C7F6C" w:rsidRDefault="00AC1121" w:rsidP="006C7F6C">
            <w:pPr>
              <w:jc w:val="center"/>
              <w:rPr>
                <w:rFonts w:ascii="Arial Narrow" w:hAnsi="Arial Narrow"/>
                <w:sz w:val="20"/>
                <w:szCs w:val="20"/>
              </w:rPr>
            </w:pPr>
            <w:r w:rsidRPr="00AC1121">
              <w:rPr>
                <w:rFonts w:ascii="Arial Narrow" w:hAnsi="Arial Narrow"/>
                <w:sz w:val="20"/>
                <w:szCs w:val="20"/>
              </w:rPr>
              <w:t>0.96 (0.58, 1.61)</w:t>
            </w:r>
          </w:p>
        </w:tc>
      </w:tr>
    </w:tbl>
    <w:bookmarkEnd w:id="30"/>
    <w:p w14:paraId="0A36D2BF" w14:textId="11B3AF7B" w:rsidR="006C7F6C" w:rsidRPr="007916F9" w:rsidRDefault="006C7F6C" w:rsidP="006C7F6C">
      <w:pPr>
        <w:pStyle w:val="3-BodyText"/>
        <w:numPr>
          <w:ilvl w:val="0"/>
          <w:numId w:val="0"/>
        </w:numPr>
        <w:contextualSpacing/>
        <w:rPr>
          <w:rFonts w:ascii="Arial Narrow" w:hAnsi="Arial Narrow"/>
          <w:color w:val="000000" w:themeColor="text1"/>
          <w:sz w:val="18"/>
          <w:szCs w:val="18"/>
        </w:rPr>
      </w:pPr>
      <w:r w:rsidRPr="007916F9">
        <w:rPr>
          <w:rFonts w:ascii="Arial Narrow" w:hAnsi="Arial Narrow"/>
          <w:color w:val="000000" w:themeColor="text1"/>
          <w:sz w:val="18"/>
          <w:szCs w:val="18"/>
        </w:rPr>
        <w:t xml:space="preserve">Source: Tables O.1 and O.4 of Attachment 2 (NMA Technical Report April 2021) </w:t>
      </w:r>
    </w:p>
    <w:p w14:paraId="355FC0A0" w14:textId="26B146B9" w:rsidR="00EC6EB4" w:rsidRPr="007916F9" w:rsidRDefault="00EC6EB4" w:rsidP="006C7F6C">
      <w:pPr>
        <w:pStyle w:val="3-BodyText"/>
        <w:numPr>
          <w:ilvl w:val="0"/>
          <w:numId w:val="0"/>
        </w:numPr>
        <w:contextualSpacing/>
        <w:rPr>
          <w:rFonts w:ascii="Arial Narrow" w:hAnsi="Arial Narrow"/>
          <w:color w:val="000000" w:themeColor="text1"/>
          <w:sz w:val="18"/>
          <w:szCs w:val="18"/>
        </w:rPr>
      </w:pPr>
      <w:r w:rsidRPr="007916F9">
        <w:rPr>
          <w:rFonts w:ascii="Arial Narrow" w:hAnsi="Arial Narrow"/>
          <w:color w:val="000000" w:themeColor="text1"/>
          <w:sz w:val="18"/>
          <w:szCs w:val="18"/>
        </w:rPr>
        <w:t xml:space="preserve">Abbreviations: OR = odds ratio; </w:t>
      </w:r>
      <w:proofErr w:type="spellStart"/>
      <w:r w:rsidRPr="007916F9">
        <w:rPr>
          <w:rFonts w:ascii="Arial Narrow" w:hAnsi="Arial Narrow"/>
          <w:color w:val="000000" w:themeColor="text1"/>
          <w:sz w:val="18"/>
          <w:szCs w:val="18"/>
        </w:rPr>
        <w:t>Crl</w:t>
      </w:r>
      <w:proofErr w:type="spellEnd"/>
      <w:r w:rsidRPr="007916F9">
        <w:rPr>
          <w:rFonts w:ascii="Arial Narrow" w:hAnsi="Arial Narrow"/>
          <w:color w:val="000000" w:themeColor="text1"/>
          <w:sz w:val="18"/>
          <w:szCs w:val="18"/>
        </w:rPr>
        <w:t xml:space="preserve"> = credible interval</w:t>
      </w:r>
    </w:p>
    <w:p w14:paraId="3CDD99C9" w14:textId="7BD1F02A" w:rsidR="006C7F6C" w:rsidRPr="007916F9" w:rsidRDefault="006C7F6C" w:rsidP="006C7F6C">
      <w:pPr>
        <w:pStyle w:val="3-BodyText"/>
        <w:numPr>
          <w:ilvl w:val="0"/>
          <w:numId w:val="0"/>
        </w:numPr>
        <w:rPr>
          <w:rFonts w:ascii="Arial Narrow" w:hAnsi="Arial Narrow"/>
          <w:color w:val="000000" w:themeColor="text1"/>
          <w:sz w:val="18"/>
          <w:szCs w:val="18"/>
        </w:rPr>
      </w:pPr>
      <w:r w:rsidRPr="007916F9">
        <w:rPr>
          <w:rFonts w:ascii="Arial Narrow" w:hAnsi="Arial Narrow"/>
          <w:b/>
          <w:bCs/>
          <w:color w:val="000000" w:themeColor="text1"/>
          <w:sz w:val="18"/>
          <w:szCs w:val="18"/>
        </w:rPr>
        <w:t xml:space="preserve">Bold </w:t>
      </w:r>
      <w:r w:rsidRPr="007916F9">
        <w:rPr>
          <w:rFonts w:ascii="Arial Narrow" w:hAnsi="Arial Narrow"/>
          <w:color w:val="000000" w:themeColor="text1"/>
          <w:sz w:val="18"/>
          <w:szCs w:val="18"/>
        </w:rPr>
        <w:t>values indicate statistical significance</w:t>
      </w:r>
    </w:p>
    <w:p w14:paraId="419CA14F" w14:textId="15C81CB7" w:rsidR="000F0C82" w:rsidRPr="006D2741" w:rsidRDefault="000F0C82" w:rsidP="006C7F6C">
      <w:pPr>
        <w:pStyle w:val="3-BodyText"/>
        <w:rPr>
          <w:color w:val="000000" w:themeColor="text1"/>
        </w:rPr>
      </w:pPr>
      <w:r w:rsidRPr="006D2741">
        <w:rPr>
          <w:color w:val="000000" w:themeColor="text1"/>
        </w:rPr>
        <w:t xml:space="preserve">The results of the fixed effects model found OZA was associated with statistically significantly higher odds of achieving clinical response, clinical </w:t>
      </w:r>
      <w:proofErr w:type="gramStart"/>
      <w:r w:rsidRPr="006D2741">
        <w:rPr>
          <w:color w:val="000000" w:themeColor="text1"/>
        </w:rPr>
        <w:t>remission</w:t>
      </w:r>
      <w:proofErr w:type="gramEnd"/>
      <w:r w:rsidRPr="006D2741">
        <w:rPr>
          <w:color w:val="000000" w:themeColor="text1"/>
        </w:rPr>
        <w:t xml:space="preserve"> and endoscopic improvement versus ADA. Given the previously expressed view of the PBAC that the OZA trials recruited a population with a differen</w:t>
      </w:r>
      <w:r w:rsidR="00630D40">
        <w:rPr>
          <w:color w:val="000000" w:themeColor="text1"/>
        </w:rPr>
        <w:t>t</w:t>
      </w:r>
      <w:r w:rsidRPr="006D2741">
        <w:rPr>
          <w:color w:val="000000" w:themeColor="text1"/>
        </w:rPr>
        <w:t xml:space="preserve"> disease profile to most other comparator trials, relying on the fixed effects model should be </w:t>
      </w:r>
      <w:r w:rsidR="00517A63" w:rsidRPr="006D2741">
        <w:rPr>
          <w:color w:val="000000" w:themeColor="text1"/>
        </w:rPr>
        <w:t>done with</w:t>
      </w:r>
      <w:r w:rsidRPr="006D2741">
        <w:rPr>
          <w:color w:val="000000" w:themeColor="text1"/>
        </w:rPr>
        <w:t xml:space="preserve"> caution, and the underlying assumption the studies are similar enough to support a fixed effects model may not be reasonable.</w:t>
      </w:r>
      <w:r w:rsidR="00372B89" w:rsidRPr="006D2741">
        <w:rPr>
          <w:color w:val="000000" w:themeColor="text1"/>
        </w:rPr>
        <w:t xml:space="preserve"> </w:t>
      </w:r>
    </w:p>
    <w:p w14:paraId="17EA94B3" w14:textId="018EC00C" w:rsidR="00C87612" w:rsidRPr="00D061FD" w:rsidRDefault="00372B89" w:rsidP="004A2F72">
      <w:pPr>
        <w:pStyle w:val="3-BodyText"/>
      </w:pPr>
      <w:r w:rsidRPr="006D2741">
        <w:t>When considering the overall reliability of the NMA, the</w:t>
      </w:r>
      <w:r w:rsidR="00501FBB">
        <w:t xml:space="preserve"> </w:t>
      </w:r>
      <w:r w:rsidR="00501FBB" w:rsidRPr="00A166F8">
        <w:t>evaluation considered the</w:t>
      </w:r>
      <w:r w:rsidRPr="00A166F8">
        <w:t xml:space="preserve"> heterogeneity and transitivity issues discussed in paragraph </w:t>
      </w:r>
      <w:r w:rsidRPr="00A166F8">
        <w:fldChar w:fldCharType="begin"/>
      </w:r>
      <w:r w:rsidRPr="00A166F8">
        <w:instrText xml:space="preserve"> REF _Ref113459567 \r \h </w:instrText>
      </w:r>
      <w:r w:rsidR="006D2741" w:rsidRPr="00A166F8">
        <w:instrText xml:space="preserve"> \* MERGEFORMAT </w:instrText>
      </w:r>
      <w:r w:rsidRPr="00A166F8">
        <w:fldChar w:fldCharType="separate"/>
      </w:r>
      <w:r w:rsidR="00340AC7">
        <w:t>6.7</w:t>
      </w:r>
      <w:r w:rsidRPr="00A166F8">
        <w:fldChar w:fldCharType="end"/>
      </w:r>
      <w:r w:rsidRPr="00A166F8">
        <w:t xml:space="preserve"> </w:t>
      </w:r>
      <w:r w:rsidR="00501FBB" w:rsidRPr="00A166F8">
        <w:t>may</w:t>
      </w:r>
      <w:r w:rsidR="00501FBB">
        <w:rPr>
          <w:i/>
          <w:iCs/>
        </w:rPr>
        <w:t xml:space="preserve"> </w:t>
      </w:r>
      <w:r w:rsidRPr="006D2741">
        <w:t xml:space="preserve">impact the reliability of the comparisons. </w:t>
      </w:r>
      <w:r w:rsidR="00C87612" w:rsidRPr="00D061FD">
        <w:t xml:space="preserve">The PSCR noted the view of the evaluation </w:t>
      </w:r>
      <w:r w:rsidR="000735A1" w:rsidRPr="00D061FD">
        <w:t>regarding the MAIC and argued the NMA</w:t>
      </w:r>
      <w:r w:rsidR="00C87612" w:rsidRPr="00D061FD">
        <w:t xml:space="preserve"> should be considered a supportive analysis. The PSCR also argued that, while a random effects model may be the preferred model given the identified heterogeneity between the various included trials in MSUC, the networks of evidence behind the NMAs largely consisted of single-study pairwise comparisons, inhibiting the ability to estimate between-study heterogeneity parameters, resulting in failure </w:t>
      </w:r>
      <w:r w:rsidR="004A2F72" w:rsidRPr="00D061FD">
        <w:t>of convergence</w:t>
      </w:r>
      <w:r w:rsidR="00C87612" w:rsidRPr="00D061FD">
        <w:t xml:space="preserve"> or imprecise estimates. The PSCR further argued that a consequence of the model is that the random effects model was likely to exacerbate biases introduced by the results of smaller studies (such as Touchstone (OZA) and Suzuki 2014 (ADA)). On that basis, the PSCR argued the fixed effects model is important to the totality of the evidence.</w:t>
      </w:r>
    </w:p>
    <w:p w14:paraId="70CAD9CF" w14:textId="0A6096C3" w:rsidR="00C87612" w:rsidRPr="00C87612" w:rsidRDefault="00C87612" w:rsidP="00C87612">
      <w:pPr>
        <w:pStyle w:val="3-BodyText"/>
        <w:rPr>
          <w:i/>
          <w:iCs/>
        </w:rPr>
      </w:pPr>
      <w:r w:rsidRPr="00D061FD">
        <w:t>The ESC considered the NMA was overall of high quality and the supporting documentation included a rigorous exploration of heterogeneity and sensitivity and was undertaken consistent with the NICE DSU TSD 3</w:t>
      </w:r>
      <w:r w:rsidR="00181D16" w:rsidRPr="00D061FD">
        <w:rPr>
          <w:rStyle w:val="FootnoteReference"/>
        </w:rPr>
        <w:footnoteReference w:id="4"/>
      </w:r>
      <w:r w:rsidRPr="00D061FD">
        <w:t xml:space="preserve"> guidance. The ESC noted the </w:t>
      </w:r>
      <w:r w:rsidRPr="00D061FD">
        <w:lastRenderedPageBreak/>
        <w:t>structure of the network made separating inconsistency and heterogeneity</w:t>
      </w:r>
      <w:r w:rsidR="007814BB" w:rsidRPr="00D061FD">
        <w:rPr>
          <w:rStyle w:val="FootnoteReference"/>
        </w:rPr>
        <w:footnoteReference w:id="5"/>
      </w:r>
      <w:r w:rsidRPr="00D061FD">
        <w:t xml:space="preserve"> difficult, however also noted no evidence of inconsistency was found. The ESC considered the density of the network was variable and was limited for some analyses, including the endoscopic improvement outcome, in maintenance therapy and for the biologic-experienced subgroup. Overall, the ESC considered the NMA was also likely to be reliable supportive evidence for the overall clinical claim, at least for the analyses most relevant to the current submission (</w:t>
      </w:r>
      <w:proofErr w:type="gramStart"/>
      <w:r w:rsidRPr="00D061FD">
        <w:t>i.e.</w:t>
      </w:r>
      <w:proofErr w:type="gramEnd"/>
      <w:r w:rsidRPr="00D061FD">
        <w:t xml:space="preserve"> clinical response/remission and endoscopic improvement in induction therapy in the overall population).</w:t>
      </w:r>
    </w:p>
    <w:p w14:paraId="080935C9" w14:textId="504A2613" w:rsidR="00B548CA" w:rsidRDefault="00C87612" w:rsidP="00F9776F">
      <w:pPr>
        <w:pStyle w:val="3-BodyText"/>
        <w:rPr>
          <w:color w:val="000000" w:themeColor="text1"/>
        </w:rPr>
      </w:pPr>
      <w:bookmarkStart w:id="31" w:name="_Ref112147179"/>
      <w:bookmarkStart w:id="32" w:name="_Ref116887267"/>
      <w:r w:rsidRPr="006D2741">
        <w:rPr>
          <w:color w:val="000000" w:themeColor="text1"/>
        </w:rPr>
        <w:t xml:space="preserve">With regards to the supplementary claim of superior comparative effectiveness versus GOL, the </w:t>
      </w:r>
      <w:bookmarkEnd w:id="31"/>
      <w:r w:rsidRPr="006D2741">
        <w:rPr>
          <w:color w:val="000000" w:themeColor="text1"/>
        </w:rPr>
        <w:t>NMA results (random effects model) for the comparison of OZA vs. GOL overall did not meaningfully favour OZA for the outcomes of clinical response (OR 1.10, 95% CI 0.48, 2.41) or clinical remission (OR 1.11, 95% CI 0.46, 2.65). When a fixed effects model was used, the overall conclusions are the same.</w:t>
      </w:r>
      <w:r>
        <w:rPr>
          <w:color w:val="000000" w:themeColor="text1"/>
        </w:rPr>
        <w:t xml:space="preserve"> </w:t>
      </w:r>
      <w:r w:rsidRPr="00D061FD">
        <w:rPr>
          <w:color w:val="000000" w:themeColor="text1"/>
        </w:rPr>
        <w:t>The PSCR noted the NMA results for the fixed effects model, for the biologic-naïve population results statistically favoured OZA over GOL for in induction therapy (OR 1.88, 95% CI 1.02</w:t>
      </w:r>
      <w:r w:rsidR="00CE6B7D">
        <w:rPr>
          <w:color w:val="000000" w:themeColor="text1"/>
        </w:rPr>
        <w:t>,</w:t>
      </w:r>
      <w:r w:rsidRPr="00D061FD">
        <w:rPr>
          <w:color w:val="000000" w:themeColor="text1"/>
        </w:rPr>
        <w:t xml:space="preserve"> 3.55). The ESC considered it was</w:t>
      </w:r>
      <w:r w:rsidR="00E4724C" w:rsidRPr="00D061FD">
        <w:rPr>
          <w:color w:val="000000" w:themeColor="text1"/>
        </w:rPr>
        <w:t xml:space="preserve"> highly uncertain</w:t>
      </w:r>
      <w:r w:rsidRPr="00D061FD">
        <w:rPr>
          <w:color w:val="000000" w:themeColor="text1"/>
        </w:rPr>
        <w:t xml:space="preserve"> </w:t>
      </w:r>
      <w:r w:rsidR="00E4724C" w:rsidRPr="00D061FD">
        <w:rPr>
          <w:color w:val="000000" w:themeColor="text1"/>
        </w:rPr>
        <w:t>that a</w:t>
      </w:r>
      <w:r w:rsidRPr="00D061FD">
        <w:rPr>
          <w:color w:val="000000" w:themeColor="text1"/>
        </w:rPr>
        <w:t xml:space="preserve"> claim that OZA was of superior comparative effectiveness to GOL was adequately supported by one statistically significant result, in one subgroup (biologic-naïve patients) under one modelling approach (fixed effects model) and given the totality of the available evidence in the NMA, did not consider a conclusion that OZA is of superior comparative effectiveness to GOL was adequately supported.</w:t>
      </w:r>
      <w:bookmarkEnd w:id="32"/>
      <w:r w:rsidR="00F9776F">
        <w:rPr>
          <w:color w:val="000000" w:themeColor="text1"/>
        </w:rPr>
        <w:t xml:space="preserve"> </w:t>
      </w:r>
    </w:p>
    <w:p w14:paraId="6B308F1B" w14:textId="76F6A002" w:rsidR="00C87612" w:rsidRPr="00F9776F" w:rsidRDefault="00F9776F" w:rsidP="00F9776F">
      <w:pPr>
        <w:pStyle w:val="3-BodyText"/>
        <w:rPr>
          <w:color w:val="000000" w:themeColor="text1"/>
        </w:rPr>
      </w:pPr>
      <w:r>
        <w:rPr>
          <w:color w:val="000000" w:themeColor="text1"/>
        </w:rPr>
        <w:t>The Pre-PBAC Response noted the ESC considered the NMA to be overall of high quality and</w:t>
      </w:r>
      <w:r w:rsidRPr="00F9776F">
        <w:rPr>
          <w:color w:val="000000" w:themeColor="text1"/>
        </w:rPr>
        <w:t xml:space="preserve"> argued the NMA represents the best available evidence to compare OZA and GOL in lieu of </w:t>
      </w:r>
      <w:proofErr w:type="gramStart"/>
      <w:r w:rsidRPr="00F9776F">
        <w:rPr>
          <w:color w:val="000000" w:themeColor="text1"/>
        </w:rPr>
        <w:t>head to head</w:t>
      </w:r>
      <w:proofErr w:type="gramEnd"/>
      <w:r w:rsidRPr="00F9776F">
        <w:rPr>
          <w:color w:val="000000" w:themeColor="text1"/>
        </w:rPr>
        <w:t xml:space="preserve"> data and </w:t>
      </w:r>
      <w:r>
        <w:rPr>
          <w:color w:val="000000" w:themeColor="text1"/>
        </w:rPr>
        <w:t>further argued the GOL induction study (PURSUIT-SC</w:t>
      </w:r>
      <w:r>
        <w:rPr>
          <w:rStyle w:val="FootnoteReference"/>
          <w:color w:val="000000" w:themeColor="text1"/>
        </w:rPr>
        <w:footnoteReference w:id="6"/>
      </w:r>
      <w:r>
        <w:rPr>
          <w:color w:val="000000" w:themeColor="text1"/>
        </w:rPr>
        <w:t xml:space="preserve">) was in biologic-naïve patients only, therefore comparing with the biologic-naïve subgroup from True North (OZA) </w:t>
      </w:r>
      <w:r w:rsidR="00B548CA">
        <w:rPr>
          <w:color w:val="000000" w:themeColor="text1"/>
        </w:rPr>
        <w:t>had lower inherent heterogeneity and therefore the comparison presented in the PSCR was valid. The PBAC agreed with the ESC and considered the totality of the evidence presented did not adequately support a claim of superior comparative effectiveness versus GOL.</w:t>
      </w:r>
    </w:p>
    <w:p w14:paraId="6CE8FCCD" w14:textId="77777777" w:rsidR="00C87612" w:rsidRPr="00C87612" w:rsidRDefault="009B4186" w:rsidP="00C87612">
      <w:pPr>
        <w:pStyle w:val="3-BodyText"/>
      </w:pPr>
      <w:r w:rsidRPr="006D2741">
        <w:t xml:space="preserve">The results of the maintenance therapy NMAs (using a fixed effects model) found no statistically significant difference between OZA and ADA in the maintenance phase for the outcomes of clinical response, clinical </w:t>
      </w:r>
      <w:proofErr w:type="gramStart"/>
      <w:r w:rsidRPr="006D2741">
        <w:t>remission</w:t>
      </w:r>
      <w:proofErr w:type="gramEnd"/>
      <w:r w:rsidRPr="006D2741">
        <w:t xml:space="preserve"> or endoscopic improvement.</w:t>
      </w:r>
      <w:r w:rsidR="00C87612">
        <w:t xml:space="preserve"> However, </w:t>
      </w:r>
      <w:r w:rsidR="008547A4" w:rsidRPr="00C87612">
        <w:rPr>
          <w:color w:val="000000" w:themeColor="text1"/>
        </w:rPr>
        <w:t xml:space="preserve">interpretation of the maintenance therapy comparisons </w:t>
      </w:r>
      <w:proofErr w:type="gramStart"/>
      <w:r w:rsidR="008547A4" w:rsidRPr="00C87612">
        <w:rPr>
          <w:color w:val="000000" w:themeColor="text1"/>
        </w:rPr>
        <w:t>are</w:t>
      </w:r>
      <w:proofErr w:type="gramEnd"/>
      <w:r w:rsidR="008547A4" w:rsidRPr="00C87612">
        <w:rPr>
          <w:color w:val="000000" w:themeColor="text1"/>
        </w:rPr>
        <w:t xml:space="preserve"> complicated as adjustments were made to the ADA trial data (which used a treat-through design) to </w:t>
      </w:r>
      <w:r w:rsidR="008547A4" w:rsidRPr="00C87612">
        <w:rPr>
          <w:color w:val="000000" w:themeColor="text1"/>
        </w:rPr>
        <w:lastRenderedPageBreak/>
        <w:t>estimate the maintenance treatment effect</w:t>
      </w:r>
      <w:r w:rsidR="00CB37B5" w:rsidRPr="00C87612">
        <w:rPr>
          <w:color w:val="000000" w:themeColor="text1"/>
        </w:rPr>
        <w:t xml:space="preserve"> as</w:t>
      </w:r>
      <w:r w:rsidR="008547A4" w:rsidRPr="00C87612">
        <w:rPr>
          <w:color w:val="000000" w:themeColor="text1"/>
        </w:rPr>
        <w:t xml:space="preserve"> if the trial used a re-randomised/randomised withdrawal design. </w:t>
      </w:r>
    </w:p>
    <w:p w14:paraId="63A5FF30" w14:textId="6E656090" w:rsidR="008547A4" w:rsidRPr="006D2741" w:rsidRDefault="008547A4" w:rsidP="00C87612">
      <w:pPr>
        <w:pStyle w:val="3-BodyText"/>
      </w:pPr>
      <w:r w:rsidRPr="00C87612">
        <w:rPr>
          <w:color w:val="000000" w:themeColor="text1"/>
        </w:rPr>
        <w:t>The PBAC has previously advised that it was satisfied that tofacitinib (TOF, November 2020) w</w:t>
      </w:r>
      <w:r w:rsidR="00CB37B5" w:rsidRPr="00C87612">
        <w:rPr>
          <w:color w:val="000000" w:themeColor="text1"/>
        </w:rPr>
        <w:t>as</w:t>
      </w:r>
      <w:r w:rsidRPr="00C87612">
        <w:rPr>
          <w:color w:val="000000" w:themeColor="text1"/>
        </w:rPr>
        <w:t xml:space="preserve"> of superior comparative effectiveness to ADA based on comparisons in induction therapy only, where there were alternative therapies with comparable trial designs upon which to consider their comparative effectiveness in maintenance therapy. In its March 2022 consideration of OZA, the PBAC considered a claim of non-inferior comparative effectiveness to infliximab (IFX) was reasonable for both induction and maintenance therapy.</w:t>
      </w:r>
      <w:r w:rsidR="00193692" w:rsidRPr="00C87612">
        <w:rPr>
          <w:color w:val="000000" w:themeColor="text1"/>
        </w:rPr>
        <w:t xml:space="preserve"> </w:t>
      </w:r>
      <w:r w:rsidR="00193692" w:rsidRPr="00D061FD">
        <w:rPr>
          <w:color w:val="000000" w:themeColor="text1"/>
        </w:rPr>
        <w:t>The PSCR noted the submission did not make a claim of superiority in maintenance therapy and acknowledged the prior PBAC recommendation for tofacitinib in November 2020 (discussed earlier in this paragraph).</w:t>
      </w:r>
    </w:p>
    <w:p w14:paraId="1452C351" w14:textId="0D19F1B0" w:rsidR="00B60939" w:rsidRPr="00C9624D" w:rsidRDefault="00B60939" w:rsidP="00D86231">
      <w:pPr>
        <w:pStyle w:val="4-SubsectionHeading"/>
      </w:pPr>
      <w:bookmarkStart w:id="33" w:name="_Toc22897642"/>
      <w:bookmarkStart w:id="34" w:name="_Toc113964284"/>
      <w:r w:rsidRPr="00C9624D">
        <w:t>Comparative harms</w:t>
      </w:r>
      <w:bookmarkEnd w:id="33"/>
      <w:bookmarkEnd w:id="34"/>
    </w:p>
    <w:p w14:paraId="6CC2C2CE" w14:textId="6231749F" w:rsidR="00B5795D" w:rsidRPr="00E824D6" w:rsidRDefault="00E824D6" w:rsidP="00B5795D">
      <w:pPr>
        <w:pStyle w:val="3-BodyText"/>
      </w:pPr>
      <w:r w:rsidRPr="00E824D6">
        <w:t>The MAIC</w:t>
      </w:r>
      <w:r w:rsidR="00AC3DBE">
        <w:t xml:space="preserve"> (of OZA vs ADA)</w:t>
      </w:r>
      <w:r w:rsidRPr="00E824D6">
        <w:t xml:space="preserve"> </w:t>
      </w:r>
      <w:r w:rsidR="00B6495D">
        <w:t>was undertaken</w:t>
      </w:r>
      <w:r w:rsidRPr="00E824D6">
        <w:t xml:space="preserve"> for the outcomes of any serious treatment-emergent adverse event (TEAE), any TEAE leading to discontinuation and any infectious adverse event (AE)</w:t>
      </w:r>
      <w:r w:rsidR="001A1968">
        <w:t xml:space="preserve"> in the maintenance phase</w:t>
      </w:r>
      <w:r w:rsidRPr="00E824D6">
        <w:t>. The results, before and after matching, are presented in the table below.</w:t>
      </w:r>
    </w:p>
    <w:p w14:paraId="063B3AC3" w14:textId="458B9F6F" w:rsidR="00B5795D" w:rsidRDefault="00B5795D" w:rsidP="00B5795D">
      <w:pPr>
        <w:pStyle w:val="Caption"/>
      </w:pPr>
      <w:r>
        <w:t xml:space="preserve">Table </w:t>
      </w:r>
      <w:fldSimple w:instr=" SEQ Table \* ARABIC ">
        <w:r w:rsidR="00340AC7">
          <w:rPr>
            <w:noProof/>
          </w:rPr>
          <w:t>9</w:t>
        </w:r>
      </w:fldSimple>
      <w:r>
        <w:t>: Summary of key safety outcome comparisons in the submission</w:t>
      </w:r>
      <w:r w:rsidR="00AC3DBE">
        <w:t xml:space="preserve"> for ozanimod vs. adalimumab</w:t>
      </w:r>
      <w:r w:rsidR="001A1968">
        <w:t xml:space="preserve"> (maintenance phase)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1642"/>
        <w:gridCol w:w="1056"/>
        <w:gridCol w:w="1463"/>
        <w:gridCol w:w="913"/>
        <w:gridCol w:w="1100"/>
        <w:gridCol w:w="1463"/>
        <w:gridCol w:w="1380"/>
      </w:tblGrid>
      <w:tr w:rsidR="00B5795D" w:rsidRPr="00B5795D" w14:paraId="17CA5060" w14:textId="77777777" w:rsidTr="00983638">
        <w:trPr>
          <w:trHeight w:val="20"/>
        </w:trPr>
        <w:tc>
          <w:tcPr>
            <w:tcW w:w="911" w:type="pct"/>
            <w:vMerge w:val="restart"/>
            <w:shd w:val="clear" w:color="auto" w:fill="FFFFFF" w:themeFill="background1"/>
            <w:tcMar>
              <w:top w:w="13" w:type="dxa"/>
              <w:left w:w="116" w:type="dxa"/>
              <w:bottom w:w="0" w:type="dxa"/>
              <w:right w:w="13" w:type="dxa"/>
            </w:tcMar>
            <w:vAlign w:val="center"/>
            <w:hideMark/>
          </w:tcPr>
          <w:p w14:paraId="5FD30259" w14:textId="0C14B922" w:rsidR="00B5795D" w:rsidRPr="00B5795D" w:rsidRDefault="00B5795D" w:rsidP="007916F9">
            <w:pPr>
              <w:jc w:val="left"/>
              <w:rPr>
                <w:rFonts w:ascii="Arial Narrow" w:hAnsi="Arial Narrow"/>
                <w:b/>
                <w:bCs/>
                <w:sz w:val="20"/>
                <w:szCs w:val="20"/>
              </w:rPr>
            </w:pPr>
            <w:r w:rsidRPr="00B5795D">
              <w:rPr>
                <w:rFonts w:ascii="Arial Narrow" w:hAnsi="Arial Narrow"/>
                <w:b/>
                <w:bCs/>
                <w:sz w:val="20"/>
                <w:szCs w:val="20"/>
              </w:rPr>
              <w:t>Safety outcome</w:t>
            </w:r>
          </w:p>
        </w:tc>
        <w:tc>
          <w:tcPr>
            <w:tcW w:w="1903" w:type="pct"/>
            <w:gridSpan w:val="3"/>
            <w:shd w:val="clear" w:color="auto" w:fill="FFFFFF" w:themeFill="background1"/>
            <w:tcMar>
              <w:top w:w="13" w:type="dxa"/>
              <w:left w:w="13" w:type="dxa"/>
              <w:bottom w:w="0" w:type="dxa"/>
              <w:right w:w="13" w:type="dxa"/>
            </w:tcMar>
            <w:vAlign w:val="center"/>
            <w:hideMark/>
          </w:tcPr>
          <w:p w14:paraId="3D0E090B" w14:textId="77777777" w:rsidR="00B5795D" w:rsidRPr="00B5795D" w:rsidRDefault="00B5795D" w:rsidP="00BB2836">
            <w:pPr>
              <w:jc w:val="center"/>
              <w:rPr>
                <w:rFonts w:ascii="Arial Narrow" w:hAnsi="Arial Narrow"/>
                <w:sz w:val="20"/>
                <w:szCs w:val="20"/>
              </w:rPr>
            </w:pPr>
            <w:r w:rsidRPr="00B5795D">
              <w:rPr>
                <w:rFonts w:ascii="Arial Narrow" w:hAnsi="Arial Narrow"/>
                <w:b/>
                <w:bCs/>
                <w:sz w:val="20"/>
                <w:szCs w:val="20"/>
              </w:rPr>
              <w:t>Before Matching</w:t>
            </w:r>
          </w:p>
        </w:tc>
        <w:tc>
          <w:tcPr>
            <w:tcW w:w="2186" w:type="pct"/>
            <w:gridSpan w:val="3"/>
            <w:shd w:val="clear" w:color="auto" w:fill="FFFFFF" w:themeFill="background1"/>
            <w:tcMar>
              <w:top w:w="72" w:type="dxa"/>
              <w:left w:w="144" w:type="dxa"/>
              <w:bottom w:w="72" w:type="dxa"/>
              <w:right w:w="144" w:type="dxa"/>
            </w:tcMar>
            <w:vAlign w:val="center"/>
            <w:hideMark/>
          </w:tcPr>
          <w:p w14:paraId="5E7DB65F" w14:textId="77777777" w:rsidR="00B5795D" w:rsidRPr="00B5795D" w:rsidRDefault="00B5795D" w:rsidP="00BB2836">
            <w:pPr>
              <w:jc w:val="center"/>
              <w:rPr>
                <w:rFonts w:ascii="Arial Narrow" w:hAnsi="Arial Narrow"/>
                <w:sz w:val="20"/>
                <w:szCs w:val="20"/>
              </w:rPr>
            </w:pPr>
            <w:r w:rsidRPr="00B5795D">
              <w:rPr>
                <w:rFonts w:ascii="Arial Narrow" w:hAnsi="Arial Narrow"/>
                <w:b/>
                <w:bCs/>
                <w:sz w:val="20"/>
                <w:szCs w:val="20"/>
              </w:rPr>
              <w:t>After Matching</w:t>
            </w:r>
          </w:p>
        </w:tc>
      </w:tr>
      <w:tr w:rsidR="00B5795D" w:rsidRPr="00B5795D" w14:paraId="34AFA99E" w14:textId="77777777" w:rsidTr="007916F9">
        <w:trPr>
          <w:trHeight w:val="51"/>
        </w:trPr>
        <w:tc>
          <w:tcPr>
            <w:tcW w:w="911" w:type="pct"/>
            <w:vMerge/>
            <w:shd w:val="clear" w:color="auto" w:fill="FFFFFF" w:themeFill="background1"/>
            <w:vAlign w:val="center"/>
            <w:hideMark/>
          </w:tcPr>
          <w:p w14:paraId="477A4200" w14:textId="77777777" w:rsidR="00B5795D" w:rsidRPr="00B5795D" w:rsidRDefault="00B5795D" w:rsidP="007916F9">
            <w:pPr>
              <w:jc w:val="left"/>
              <w:rPr>
                <w:rFonts w:ascii="Arial Narrow" w:hAnsi="Arial Narrow"/>
                <w:sz w:val="20"/>
                <w:szCs w:val="20"/>
              </w:rPr>
            </w:pPr>
          </w:p>
        </w:tc>
        <w:tc>
          <w:tcPr>
            <w:tcW w:w="586" w:type="pct"/>
            <w:shd w:val="clear" w:color="auto" w:fill="FFFFFF" w:themeFill="background1"/>
            <w:tcMar>
              <w:top w:w="13" w:type="dxa"/>
              <w:left w:w="13" w:type="dxa"/>
              <w:bottom w:w="0" w:type="dxa"/>
              <w:right w:w="13" w:type="dxa"/>
            </w:tcMar>
            <w:vAlign w:val="center"/>
            <w:hideMark/>
          </w:tcPr>
          <w:p w14:paraId="3842CCA6" w14:textId="77777777" w:rsidR="00B5795D" w:rsidRPr="007916F9" w:rsidRDefault="00B5795D" w:rsidP="00BB2836">
            <w:pPr>
              <w:jc w:val="center"/>
              <w:rPr>
                <w:rFonts w:ascii="Arial Narrow" w:hAnsi="Arial Narrow"/>
                <w:b/>
                <w:bCs/>
                <w:sz w:val="20"/>
                <w:szCs w:val="20"/>
              </w:rPr>
            </w:pPr>
            <w:r w:rsidRPr="007916F9">
              <w:rPr>
                <w:rFonts w:ascii="Arial Narrow" w:hAnsi="Arial Narrow"/>
                <w:b/>
                <w:bCs/>
                <w:sz w:val="20"/>
                <w:szCs w:val="20"/>
              </w:rPr>
              <w:t>Risk Diff</w:t>
            </w:r>
          </w:p>
        </w:tc>
        <w:tc>
          <w:tcPr>
            <w:tcW w:w="811" w:type="pct"/>
            <w:shd w:val="clear" w:color="auto" w:fill="FFFFFF" w:themeFill="background1"/>
            <w:tcMar>
              <w:top w:w="13" w:type="dxa"/>
              <w:left w:w="13" w:type="dxa"/>
              <w:bottom w:w="0" w:type="dxa"/>
              <w:right w:w="13" w:type="dxa"/>
            </w:tcMar>
            <w:vAlign w:val="center"/>
            <w:hideMark/>
          </w:tcPr>
          <w:p w14:paraId="75B1BD31" w14:textId="77777777" w:rsidR="00B5795D" w:rsidRPr="007916F9" w:rsidRDefault="00B5795D" w:rsidP="00BB2836">
            <w:pPr>
              <w:jc w:val="center"/>
              <w:rPr>
                <w:rFonts w:ascii="Arial Narrow" w:hAnsi="Arial Narrow"/>
                <w:b/>
                <w:bCs/>
                <w:sz w:val="20"/>
                <w:szCs w:val="20"/>
              </w:rPr>
            </w:pPr>
            <w:r w:rsidRPr="007916F9">
              <w:rPr>
                <w:rFonts w:ascii="Arial Narrow" w:hAnsi="Arial Narrow"/>
                <w:b/>
                <w:bCs/>
                <w:sz w:val="20"/>
                <w:szCs w:val="20"/>
              </w:rPr>
              <w:t>95% CI</w:t>
            </w:r>
          </w:p>
        </w:tc>
        <w:tc>
          <w:tcPr>
            <w:tcW w:w="506" w:type="pct"/>
            <w:shd w:val="clear" w:color="auto" w:fill="FFFFFF" w:themeFill="background1"/>
            <w:tcMar>
              <w:top w:w="13" w:type="dxa"/>
              <w:left w:w="13" w:type="dxa"/>
              <w:bottom w:w="0" w:type="dxa"/>
              <w:right w:w="13" w:type="dxa"/>
            </w:tcMar>
            <w:vAlign w:val="center"/>
            <w:hideMark/>
          </w:tcPr>
          <w:p w14:paraId="3EB3E62E" w14:textId="77777777" w:rsidR="00B5795D" w:rsidRPr="007916F9" w:rsidRDefault="00B5795D" w:rsidP="00BB2836">
            <w:pPr>
              <w:jc w:val="center"/>
              <w:rPr>
                <w:rFonts w:ascii="Arial Narrow" w:hAnsi="Arial Narrow"/>
                <w:b/>
                <w:bCs/>
                <w:sz w:val="20"/>
                <w:szCs w:val="20"/>
              </w:rPr>
            </w:pPr>
            <w:r w:rsidRPr="007916F9">
              <w:rPr>
                <w:rFonts w:ascii="Arial Narrow" w:hAnsi="Arial Narrow"/>
                <w:b/>
                <w:bCs/>
                <w:sz w:val="20"/>
                <w:szCs w:val="20"/>
              </w:rPr>
              <w:t>P-value</w:t>
            </w:r>
          </w:p>
        </w:tc>
        <w:tc>
          <w:tcPr>
            <w:tcW w:w="610" w:type="pct"/>
            <w:shd w:val="clear" w:color="auto" w:fill="FFFFFF" w:themeFill="background1"/>
            <w:tcMar>
              <w:top w:w="13" w:type="dxa"/>
              <w:left w:w="13" w:type="dxa"/>
              <w:bottom w:w="0" w:type="dxa"/>
              <w:right w:w="13" w:type="dxa"/>
            </w:tcMar>
            <w:vAlign w:val="center"/>
            <w:hideMark/>
          </w:tcPr>
          <w:p w14:paraId="16924369" w14:textId="77777777" w:rsidR="00B5795D" w:rsidRPr="007916F9" w:rsidRDefault="00B5795D" w:rsidP="00BB2836">
            <w:pPr>
              <w:jc w:val="center"/>
              <w:rPr>
                <w:rFonts w:ascii="Arial Narrow" w:hAnsi="Arial Narrow"/>
                <w:b/>
                <w:bCs/>
                <w:sz w:val="20"/>
                <w:szCs w:val="20"/>
              </w:rPr>
            </w:pPr>
            <w:r w:rsidRPr="007916F9">
              <w:rPr>
                <w:rFonts w:ascii="Arial Narrow" w:hAnsi="Arial Narrow"/>
                <w:b/>
                <w:bCs/>
                <w:sz w:val="20"/>
                <w:szCs w:val="20"/>
              </w:rPr>
              <w:t>Risk Diff</w:t>
            </w:r>
          </w:p>
        </w:tc>
        <w:tc>
          <w:tcPr>
            <w:tcW w:w="811" w:type="pct"/>
            <w:shd w:val="clear" w:color="auto" w:fill="FFFFFF" w:themeFill="background1"/>
            <w:tcMar>
              <w:top w:w="13" w:type="dxa"/>
              <w:left w:w="13" w:type="dxa"/>
              <w:bottom w:w="0" w:type="dxa"/>
              <w:right w:w="13" w:type="dxa"/>
            </w:tcMar>
            <w:vAlign w:val="center"/>
            <w:hideMark/>
          </w:tcPr>
          <w:p w14:paraId="0430DEAD" w14:textId="77777777" w:rsidR="00B5795D" w:rsidRPr="007916F9" w:rsidRDefault="00B5795D" w:rsidP="00BB2836">
            <w:pPr>
              <w:jc w:val="center"/>
              <w:rPr>
                <w:rFonts w:ascii="Arial Narrow" w:hAnsi="Arial Narrow"/>
                <w:b/>
                <w:bCs/>
                <w:sz w:val="20"/>
                <w:szCs w:val="20"/>
              </w:rPr>
            </w:pPr>
            <w:r w:rsidRPr="007916F9">
              <w:rPr>
                <w:rFonts w:ascii="Arial Narrow" w:hAnsi="Arial Narrow"/>
                <w:b/>
                <w:bCs/>
                <w:sz w:val="20"/>
                <w:szCs w:val="20"/>
              </w:rPr>
              <w:t>95% CI</w:t>
            </w:r>
          </w:p>
        </w:tc>
        <w:tc>
          <w:tcPr>
            <w:tcW w:w="765" w:type="pct"/>
            <w:shd w:val="clear" w:color="auto" w:fill="FFFFFF" w:themeFill="background1"/>
            <w:tcMar>
              <w:top w:w="13" w:type="dxa"/>
              <w:left w:w="13" w:type="dxa"/>
              <w:bottom w:w="0" w:type="dxa"/>
              <w:right w:w="13" w:type="dxa"/>
            </w:tcMar>
            <w:vAlign w:val="center"/>
            <w:hideMark/>
          </w:tcPr>
          <w:p w14:paraId="61DB49EB" w14:textId="77777777" w:rsidR="00B5795D" w:rsidRPr="007916F9" w:rsidRDefault="00B5795D" w:rsidP="00BB2836">
            <w:pPr>
              <w:jc w:val="center"/>
              <w:rPr>
                <w:rFonts w:ascii="Arial Narrow" w:hAnsi="Arial Narrow"/>
                <w:b/>
                <w:bCs/>
                <w:sz w:val="20"/>
                <w:szCs w:val="20"/>
              </w:rPr>
            </w:pPr>
            <w:r w:rsidRPr="007916F9">
              <w:rPr>
                <w:rFonts w:ascii="Arial Narrow" w:hAnsi="Arial Narrow"/>
                <w:b/>
                <w:bCs/>
                <w:sz w:val="20"/>
                <w:szCs w:val="20"/>
              </w:rPr>
              <w:t>P-value</w:t>
            </w:r>
          </w:p>
        </w:tc>
      </w:tr>
      <w:tr w:rsidR="00B5795D" w:rsidRPr="00B5795D" w14:paraId="0E3EB3EB" w14:textId="77777777" w:rsidTr="007916F9">
        <w:trPr>
          <w:trHeight w:val="26"/>
        </w:trPr>
        <w:tc>
          <w:tcPr>
            <w:tcW w:w="911" w:type="pct"/>
            <w:shd w:val="clear" w:color="auto" w:fill="FFFFFF" w:themeFill="background1"/>
            <w:tcMar>
              <w:top w:w="13" w:type="dxa"/>
              <w:left w:w="116" w:type="dxa"/>
              <w:bottom w:w="0" w:type="dxa"/>
              <w:right w:w="13" w:type="dxa"/>
            </w:tcMar>
            <w:vAlign w:val="center"/>
            <w:hideMark/>
          </w:tcPr>
          <w:p w14:paraId="520AE5CB" w14:textId="77777777" w:rsidR="00B5795D" w:rsidRPr="00B5795D" w:rsidRDefault="00B5795D" w:rsidP="007916F9">
            <w:pPr>
              <w:jc w:val="left"/>
              <w:rPr>
                <w:rFonts w:ascii="Arial Narrow" w:hAnsi="Arial Narrow"/>
                <w:sz w:val="20"/>
                <w:szCs w:val="20"/>
              </w:rPr>
            </w:pPr>
            <w:r w:rsidRPr="00B5795D">
              <w:rPr>
                <w:rFonts w:ascii="Arial Narrow" w:hAnsi="Arial Narrow"/>
                <w:sz w:val="20"/>
                <w:szCs w:val="20"/>
              </w:rPr>
              <w:t>Any serious TEAE</w:t>
            </w:r>
          </w:p>
        </w:tc>
        <w:tc>
          <w:tcPr>
            <w:tcW w:w="586" w:type="pct"/>
            <w:shd w:val="clear" w:color="auto" w:fill="FFFFFF" w:themeFill="background1"/>
            <w:tcMar>
              <w:top w:w="120" w:type="dxa"/>
              <w:left w:w="120" w:type="dxa"/>
              <w:bottom w:w="120" w:type="dxa"/>
              <w:right w:w="120" w:type="dxa"/>
            </w:tcMar>
            <w:vAlign w:val="center"/>
            <w:hideMark/>
          </w:tcPr>
          <w:p w14:paraId="071E7CF5" w14:textId="77777777" w:rsidR="00B5795D" w:rsidRPr="00B6495D" w:rsidRDefault="00B5795D" w:rsidP="00BB2836">
            <w:pPr>
              <w:jc w:val="center"/>
              <w:rPr>
                <w:rFonts w:ascii="Arial Narrow" w:hAnsi="Arial Narrow"/>
                <w:b/>
                <w:bCs/>
                <w:sz w:val="20"/>
                <w:szCs w:val="20"/>
              </w:rPr>
            </w:pPr>
            <w:r w:rsidRPr="00B6495D">
              <w:rPr>
                <w:rFonts w:ascii="Arial Narrow" w:hAnsi="Arial Narrow"/>
                <w:b/>
                <w:bCs/>
                <w:sz w:val="20"/>
                <w:szCs w:val="20"/>
              </w:rPr>
              <w:t>-7.943%</w:t>
            </w:r>
          </w:p>
        </w:tc>
        <w:tc>
          <w:tcPr>
            <w:tcW w:w="811" w:type="pct"/>
            <w:shd w:val="clear" w:color="auto" w:fill="FFFFFF" w:themeFill="background1"/>
            <w:tcMar>
              <w:top w:w="120" w:type="dxa"/>
              <w:left w:w="120" w:type="dxa"/>
              <w:bottom w:w="120" w:type="dxa"/>
              <w:right w:w="120" w:type="dxa"/>
            </w:tcMar>
            <w:vAlign w:val="center"/>
            <w:hideMark/>
          </w:tcPr>
          <w:p w14:paraId="37AC7F2C" w14:textId="77777777" w:rsidR="00B5795D" w:rsidRPr="00B6495D" w:rsidRDefault="00B5795D" w:rsidP="00BB2836">
            <w:pPr>
              <w:jc w:val="center"/>
              <w:rPr>
                <w:rFonts w:ascii="Arial Narrow" w:hAnsi="Arial Narrow"/>
                <w:b/>
                <w:bCs/>
                <w:sz w:val="20"/>
                <w:szCs w:val="20"/>
              </w:rPr>
            </w:pPr>
            <w:r w:rsidRPr="00B6495D">
              <w:rPr>
                <w:rFonts w:ascii="Arial Narrow" w:hAnsi="Arial Narrow"/>
                <w:b/>
                <w:bCs/>
                <w:sz w:val="20"/>
                <w:szCs w:val="20"/>
              </w:rPr>
              <w:t>(-15.517, -0.369)</w:t>
            </w:r>
          </w:p>
        </w:tc>
        <w:tc>
          <w:tcPr>
            <w:tcW w:w="506" w:type="pct"/>
            <w:shd w:val="clear" w:color="auto" w:fill="FFFFFF" w:themeFill="background1"/>
            <w:tcMar>
              <w:top w:w="120" w:type="dxa"/>
              <w:left w:w="120" w:type="dxa"/>
              <w:bottom w:w="120" w:type="dxa"/>
              <w:right w:w="120" w:type="dxa"/>
            </w:tcMar>
            <w:vAlign w:val="center"/>
            <w:hideMark/>
          </w:tcPr>
          <w:p w14:paraId="6F978F5A" w14:textId="0836E087" w:rsidR="00B5795D" w:rsidRPr="00B5795D" w:rsidRDefault="00B5795D" w:rsidP="00BB2836">
            <w:pPr>
              <w:jc w:val="center"/>
              <w:rPr>
                <w:rFonts w:ascii="Arial Narrow" w:hAnsi="Arial Narrow"/>
                <w:b/>
                <w:bCs/>
                <w:sz w:val="20"/>
                <w:szCs w:val="20"/>
              </w:rPr>
            </w:pPr>
            <w:r w:rsidRPr="00B5795D">
              <w:rPr>
                <w:rFonts w:ascii="Arial Narrow" w:hAnsi="Arial Narrow"/>
                <w:b/>
                <w:bCs/>
                <w:sz w:val="20"/>
                <w:szCs w:val="20"/>
              </w:rPr>
              <w:t>&lt;0.05</w:t>
            </w:r>
          </w:p>
        </w:tc>
        <w:tc>
          <w:tcPr>
            <w:tcW w:w="610" w:type="pct"/>
            <w:shd w:val="clear" w:color="auto" w:fill="FFFFFF" w:themeFill="background1"/>
            <w:tcMar>
              <w:top w:w="120" w:type="dxa"/>
              <w:left w:w="120" w:type="dxa"/>
              <w:bottom w:w="120" w:type="dxa"/>
              <w:right w:w="120" w:type="dxa"/>
            </w:tcMar>
            <w:vAlign w:val="center"/>
            <w:hideMark/>
          </w:tcPr>
          <w:p w14:paraId="24635DC4" w14:textId="77777777" w:rsidR="00B5795D" w:rsidRPr="00B5795D" w:rsidRDefault="00B5795D" w:rsidP="00BB2836">
            <w:pPr>
              <w:jc w:val="center"/>
              <w:rPr>
                <w:rFonts w:ascii="Arial Narrow" w:hAnsi="Arial Narrow"/>
                <w:sz w:val="20"/>
                <w:szCs w:val="20"/>
              </w:rPr>
            </w:pPr>
            <w:r w:rsidRPr="00B5795D">
              <w:rPr>
                <w:rFonts w:ascii="Arial Narrow" w:hAnsi="Arial Narrow"/>
                <w:sz w:val="20"/>
                <w:szCs w:val="20"/>
              </w:rPr>
              <w:t>-5.612%</w:t>
            </w:r>
          </w:p>
        </w:tc>
        <w:tc>
          <w:tcPr>
            <w:tcW w:w="811" w:type="pct"/>
            <w:shd w:val="clear" w:color="auto" w:fill="FFFFFF" w:themeFill="background1"/>
            <w:tcMar>
              <w:top w:w="120" w:type="dxa"/>
              <w:left w:w="120" w:type="dxa"/>
              <w:bottom w:w="120" w:type="dxa"/>
              <w:right w:w="120" w:type="dxa"/>
            </w:tcMar>
            <w:vAlign w:val="center"/>
            <w:hideMark/>
          </w:tcPr>
          <w:p w14:paraId="1310FB9A" w14:textId="77777777" w:rsidR="00B5795D" w:rsidRPr="00B5795D" w:rsidRDefault="00B5795D" w:rsidP="00BB2836">
            <w:pPr>
              <w:jc w:val="center"/>
              <w:rPr>
                <w:rFonts w:ascii="Arial Narrow" w:hAnsi="Arial Narrow"/>
                <w:sz w:val="20"/>
                <w:szCs w:val="20"/>
              </w:rPr>
            </w:pPr>
            <w:r w:rsidRPr="00B5795D">
              <w:rPr>
                <w:rFonts w:ascii="Arial Narrow" w:hAnsi="Arial Narrow"/>
                <w:sz w:val="20"/>
                <w:szCs w:val="20"/>
              </w:rPr>
              <w:t>(-14.199, 2.975)</w:t>
            </w:r>
          </w:p>
        </w:tc>
        <w:tc>
          <w:tcPr>
            <w:tcW w:w="765" w:type="pct"/>
            <w:shd w:val="clear" w:color="auto" w:fill="FFFFFF" w:themeFill="background1"/>
            <w:tcMar>
              <w:top w:w="120" w:type="dxa"/>
              <w:left w:w="120" w:type="dxa"/>
              <w:bottom w:w="120" w:type="dxa"/>
              <w:right w:w="120" w:type="dxa"/>
            </w:tcMar>
            <w:vAlign w:val="center"/>
            <w:hideMark/>
          </w:tcPr>
          <w:p w14:paraId="0D90FCCB" w14:textId="77777777" w:rsidR="00B5795D" w:rsidRPr="00B5795D" w:rsidRDefault="00B5795D" w:rsidP="00BB2836">
            <w:pPr>
              <w:jc w:val="center"/>
              <w:rPr>
                <w:rFonts w:ascii="Arial Narrow" w:hAnsi="Arial Narrow"/>
                <w:sz w:val="20"/>
                <w:szCs w:val="20"/>
              </w:rPr>
            </w:pPr>
            <w:r w:rsidRPr="00B5795D">
              <w:rPr>
                <w:rFonts w:ascii="Arial Narrow" w:hAnsi="Arial Narrow"/>
                <w:sz w:val="20"/>
                <w:szCs w:val="20"/>
              </w:rPr>
              <w:t>0.20</w:t>
            </w:r>
          </w:p>
        </w:tc>
      </w:tr>
      <w:tr w:rsidR="00B5795D" w:rsidRPr="00B5795D" w14:paraId="3BD5ABD2" w14:textId="77777777" w:rsidTr="007916F9">
        <w:trPr>
          <w:trHeight w:val="26"/>
        </w:trPr>
        <w:tc>
          <w:tcPr>
            <w:tcW w:w="911" w:type="pct"/>
            <w:shd w:val="clear" w:color="auto" w:fill="FFFFFF" w:themeFill="background1"/>
            <w:tcMar>
              <w:top w:w="13" w:type="dxa"/>
              <w:left w:w="116" w:type="dxa"/>
              <w:bottom w:w="0" w:type="dxa"/>
              <w:right w:w="13" w:type="dxa"/>
            </w:tcMar>
            <w:vAlign w:val="center"/>
            <w:hideMark/>
          </w:tcPr>
          <w:p w14:paraId="1688EC61" w14:textId="77777777" w:rsidR="00B5795D" w:rsidRPr="00B5795D" w:rsidRDefault="00B5795D" w:rsidP="007916F9">
            <w:pPr>
              <w:jc w:val="left"/>
              <w:rPr>
                <w:rFonts w:ascii="Arial Narrow" w:hAnsi="Arial Narrow"/>
                <w:sz w:val="20"/>
                <w:szCs w:val="20"/>
              </w:rPr>
            </w:pPr>
            <w:r w:rsidRPr="00B5795D">
              <w:rPr>
                <w:rFonts w:ascii="Arial Narrow" w:hAnsi="Arial Narrow"/>
                <w:sz w:val="20"/>
                <w:szCs w:val="20"/>
              </w:rPr>
              <w:t>Any TEAE leading to discontinuation</w:t>
            </w:r>
          </w:p>
        </w:tc>
        <w:tc>
          <w:tcPr>
            <w:tcW w:w="586" w:type="pct"/>
            <w:shd w:val="clear" w:color="auto" w:fill="FFFFFF" w:themeFill="background1"/>
            <w:tcMar>
              <w:top w:w="120" w:type="dxa"/>
              <w:left w:w="120" w:type="dxa"/>
              <w:bottom w:w="120" w:type="dxa"/>
              <w:right w:w="120" w:type="dxa"/>
            </w:tcMar>
            <w:vAlign w:val="center"/>
            <w:hideMark/>
          </w:tcPr>
          <w:p w14:paraId="1DE10CF2" w14:textId="77777777" w:rsidR="00B5795D" w:rsidRPr="00AC3DBE" w:rsidRDefault="00B5795D" w:rsidP="00BB2836">
            <w:pPr>
              <w:jc w:val="center"/>
              <w:rPr>
                <w:rFonts w:ascii="Arial Narrow" w:hAnsi="Arial Narrow"/>
                <w:b/>
                <w:bCs/>
                <w:sz w:val="20"/>
                <w:szCs w:val="20"/>
              </w:rPr>
            </w:pPr>
            <w:r w:rsidRPr="00AC3DBE">
              <w:rPr>
                <w:rFonts w:ascii="Arial Narrow" w:hAnsi="Arial Narrow"/>
                <w:b/>
                <w:bCs/>
                <w:sz w:val="20"/>
                <w:szCs w:val="20"/>
              </w:rPr>
              <w:t>-6.013%</w:t>
            </w:r>
          </w:p>
        </w:tc>
        <w:tc>
          <w:tcPr>
            <w:tcW w:w="811" w:type="pct"/>
            <w:shd w:val="clear" w:color="auto" w:fill="FFFFFF" w:themeFill="background1"/>
            <w:tcMar>
              <w:top w:w="120" w:type="dxa"/>
              <w:left w:w="120" w:type="dxa"/>
              <w:bottom w:w="120" w:type="dxa"/>
              <w:right w:w="120" w:type="dxa"/>
            </w:tcMar>
            <w:vAlign w:val="center"/>
            <w:hideMark/>
          </w:tcPr>
          <w:p w14:paraId="5DBA733C" w14:textId="77777777" w:rsidR="00B5795D" w:rsidRPr="00AC3DBE" w:rsidRDefault="00B5795D" w:rsidP="00BB2836">
            <w:pPr>
              <w:jc w:val="center"/>
              <w:rPr>
                <w:rFonts w:ascii="Arial Narrow" w:hAnsi="Arial Narrow"/>
                <w:b/>
                <w:bCs/>
                <w:sz w:val="20"/>
                <w:szCs w:val="20"/>
              </w:rPr>
            </w:pPr>
            <w:r w:rsidRPr="00AC3DBE">
              <w:rPr>
                <w:rFonts w:ascii="Arial Narrow" w:hAnsi="Arial Narrow"/>
                <w:b/>
                <w:bCs/>
                <w:sz w:val="20"/>
                <w:szCs w:val="20"/>
              </w:rPr>
              <w:t>(-10.808, -1.218)</w:t>
            </w:r>
          </w:p>
        </w:tc>
        <w:tc>
          <w:tcPr>
            <w:tcW w:w="506" w:type="pct"/>
            <w:shd w:val="clear" w:color="auto" w:fill="FFFFFF" w:themeFill="background1"/>
            <w:tcMar>
              <w:top w:w="120" w:type="dxa"/>
              <w:left w:w="120" w:type="dxa"/>
              <w:bottom w:w="120" w:type="dxa"/>
              <w:right w:w="120" w:type="dxa"/>
            </w:tcMar>
            <w:vAlign w:val="center"/>
            <w:hideMark/>
          </w:tcPr>
          <w:p w14:paraId="54E39E09" w14:textId="3C505257" w:rsidR="00B5795D" w:rsidRPr="00B5795D" w:rsidRDefault="00B5795D" w:rsidP="00BB2836">
            <w:pPr>
              <w:jc w:val="center"/>
              <w:rPr>
                <w:rFonts w:ascii="Arial Narrow" w:hAnsi="Arial Narrow"/>
                <w:b/>
                <w:bCs/>
                <w:sz w:val="20"/>
                <w:szCs w:val="20"/>
              </w:rPr>
            </w:pPr>
            <w:r w:rsidRPr="00B5795D">
              <w:rPr>
                <w:rFonts w:ascii="Arial Narrow" w:hAnsi="Arial Narrow"/>
                <w:b/>
                <w:bCs/>
                <w:sz w:val="20"/>
                <w:szCs w:val="20"/>
              </w:rPr>
              <w:t>&lt;0.05</w:t>
            </w:r>
          </w:p>
        </w:tc>
        <w:tc>
          <w:tcPr>
            <w:tcW w:w="610" w:type="pct"/>
            <w:shd w:val="clear" w:color="auto" w:fill="FFFFFF" w:themeFill="background1"/>
            <w:tcMar>
              <w:top w:w="120" w:type="dxa"/>
              <w:left w:w="120" w:type="dxa"/>
              <w:bottom w:w="120" w:type="dxa"/>
              <w:right w:w="120" w:type="dxa"/>
            </w:tcMar>
            <w:vAlign w:val="center"/>
            <w:hideMark/>
          </w:tcPr>
          <w:p w14:paraId="3B32A5EC" w14:textId="77777777" w:rsidR="00B5795D" w:rsidRPr="00AC3DBE" w:rsidRDefault="00B5795D" w:rsidP="00BB2836">
            <w:pPr>
              <w:jc w:val="center"/>
              <w:rPr>
                <w:rFonts w:ascii="Arial Narrow" w:hAnsi="Arial Narrow"/>
                <w:b/>
                <w:bCs/>
                <w:sz w:val="20"/>
                <w:szCs w:val="20"/>
              </w:rPr>
            </w:pPr>
            <w:r w:rsidRPr="00AC3DBE">
              <w:rPr>
                <w:rFonts w:ascii="Arial Narrow" w:hAnsi="Arial Narrow"/>
                <w:b/>
                <w:bCs/>
                <w:sz w:val="20"/>
                <w:szCs w:val="20"/>
              </w:rPr>
              <w:t>-5.459%</w:t>
            </w:r>
          </w:p>
        </w:tc>
        <w:tc>
          <w:tcPr>
            <w:tcW w:w="811" w:type="pct"/>
            <w:shd w:val="clear" w:color="auto" w:fill="FFFFFF" w:themeFill="background1"/>
            <w:tcMar>
              <w:top w:w="120" w:type="dxa"/>
              <w:left w:w="120" w:type="dxa"/>
              <w:bottom w:w="120" w:type="dxa"/>
              <w:right w:w="120" w:type="dxa"/>
            </w:tcMar>
            <w:vAlign w:val="center"/>
            <w:hideMark/>
          </w:tcPr>
          <w:p w14:paraId="211422BB" w14:textId="77777777" w:rsidR="00B5795D" w:rsidRPr="00AC3DBE" w:rsidRDefault="00B5795D" w:rsidP="00BB2836">
            <w:pPr>
              <w:jc w:val="center"/>
              <w:rPr>
                <w:rFonts w:ascii="Arial Narrow" w:hAnsi="Arial Narrow"/>
                <w:b/>
                <w:bCs/>
                <w:sz w:val="20"/>
                <w:szCs w:val="20"/>
              </w:rPr>
            </w:pPr>
            <w:r w:rsidRPr="00AC3DBE">
              <w:rPr>
                <w:rFonts w:ascii="Arial Narrow" w:hAnsi="Arial Narrow"/>
                <w:b/>
                <w:bCs/>
                <w:sz w:val="20"/>
                <w:szCs w:val="20"/>
              </w:rPr>
              <w:t>(-10.606, -0.312)</w:t>
            </w:r>
          </w:p>
        </w:tc>
        <w:tc>
          <w:tcPr>
            <w:tcW w:w="765" w:type="pct"/>
            <w:shd w:val="clear" w:color="auto" w:fill="FFFFFF" w:themeFill="background1"/>
            <w:tcMar>
              <w:top w:w="120" w:type="dxa"/>
              <w:left w:w="120" w:type="dxa"/>
              <w:bottom w:w="120" w:type="dxa"/>
              <w:right w:w="120" w:type="dxa"/>
            </w:tcMar>
            <w:vAlign w:val="center"/>
            <w:hideMark/>
          </w:tcPr>
          <w:p w14:paraId="1C852B2A" w14:textId="2DDB615D" w:rsidR="00B5795D" w:rsidRPr="00B5795D" w:rsidRDefault="00B5795D" w:rsidP="00BB2836">
            <w:pPr>
              <w:jc w:val="center"/>
              <w:rPr>
                <w:rFonts w:ascii="Arial Narrow" w:hAnsi="Arial Narrow"/>
                <w:b/>
                <w:bCs/>
                <w:sz w:val="20"/>
                <w:szCs w:val="20"/>
              </w:rPr>
            </w:pPr>
            <w:r w:rsidRPr="00B5795D">
              <w:rPr>
                <w:rFonts w:ascii="Arial Narrow" w:hAnsi="Arial Narrow"/>
                <w:b/>
                <w:bCs/>
                <w:sz w:val="20"/>
                <w:szCs w:val="20"/>
              </w:rPr>
              <w:t>&lt;0.05</w:t>
            </w:r>
          </w:p>
        </w:tc>
      </w:tr>
      <w:tr w:rsidR="00B5795D" w:rsidRPr="00B5795D" w14:paraId="0FFB6701" w14:textId="77777777" w:rsidTr="007916F9">
        <w:trPr>
          <w:trHeight w:val="26"/>
        </w:trPr>
        <w:tc>
          <w:tcPr>
            <w:tcW w:w="911" w:type="pct"/>
            <w:shd w:val="clear" w:color="auto" w:fill="FFFFFF" w:themeFill="background1"/>
            <w:tcMar>
              <w:top w:w="13" w:type="dxa"/>
              <w:left w:w="116" w:type="dxa"/>
              <w:bottom w:w="0" w:type="dxa"/>
              <w:right w:w="13" w:type="dxa"/>
            </w:tcMar>
            <w:vAlign w:val="center"/>
          </w:tcPr>
          <w:p w14:paraId="2A9B29C7" w14:textId="2000C53F" w:rsidR="00B5795D" w:rsidRPr="00B5795D" w:rsidRDefault="00B5795D" w:rsidP="007916F9">
            <w:pPr>
              <w:jc w:val="left"/>
              <w:rPr>
                <w:rFonts w:ascii="Arial Narrow" w:hAnsi="Arial Narrow"/>
                <w:sz w:val="20"/>
                <w:szCs w:val="20"/>
              </w:rPr>
            </w:pPr>
            <w:r>
              <w:rPr>
                <w:rFonts w:ascii="Arial Narrow" w:hAnsi="Arial Narrow"/>
                <w:sz w:val="20"/>
                <w:szCs w:val="20"/>
              </w:rPr>
              <w:t>Any infectious AE</w:t>
            </w:r>
          </w:p>
        </w:tc>
        <w:tc>
          <w:tcPr>
            <w:tcW w:w="586" w:type="pct"/>
            <w:shd w:val="clear" w:color="auto" w:fill="FFFFFF" w:themeFill="background1"/>
            <w:tcMar>
              <w:top w:w="120" w:type="dxa"/>
              <w:left w:w="120" w:type="dxa"/>
              <w:bottom w:w="120" w:type="dxa"/>
              <w:right w:w="120" w:type="dxa"/>
            </w:tcMar>
            <w:vAlign w:val="center"/>
          </w:tcPr>
          <w:p w14:paraId="1D9E7B08" w14:textId="4389BE1D" w:rsidR="00B5795D" w:rsidRPr="00AC3DBE" w:rsidRDefault="00B5795D" w:rsidP="00BB2836">
            <w:pPr>
              <w:jc w:val="center"/>
              <w:rPr>
                <w:rFonts w:ascii="Arial Narrow" w:hAnsi="Arial Narrow"/>
                <w:b/>
                <w:bCs/>
                <w:sz w:val="20"/>
                <w:szCs w:val="20"/>
              </w:rPr>
            </w:pPr>
            <w:r w:rsidRPr="00AC3DBE">
              <w:rPr>
                <w:rFonts w:ascii="Arial Narrow" w:hAnsi="Arial Narrow"/>
                <w:b/>
                <w:bCs/>
                <w:sz w:val="20"/>
                <w:szCs w:val="20"/>
              </w:rPr>
              <w:t>-9.517%</w:t>
            </w:r>
          </w:p>
        </w:tc>
        <w:tc>
          <w:tcPr>
            <w:tcW w:w="811" w:type="pct"/>
            <w:shd w:val="clear" w:color="auto" w:fill="FFFFFF" w:themeFill="background1"/>
            <w:tcMar>
              <w:top w:w="120" w:type="dxa"/>
              <w:left w:w="120" w:type="dxa"/>
              <w:bottom w:w="120" w:type="dxa"/>
              <w:right w:w="120" w:type="dxa"/>
            </w:tcMar>
            <w:vAlign w:val="center"/>
          </w:tcPr>
          <w:p w14:paraId="63E29D2C" w14:textId="1C999EDA" w:rsidR="00B5795D" w:rsidRPr="00AC3DBE" w:rsidRDefault="00B5795D" w:rsidP="00BB2836">
            <w:pPr>
              <w:jc w:val="center"/>
              <w:rPr>
                <w:rFonts w:ascii="Arial Narrow" w:hAnsi="Arial Narrow"/>
                <w:b/>
                <w:bCs/>
                <w:sz w:val="20"/>
                <w:szCs w:val="20"/>
              </w:rPr>
            </w:pPr>
            <w:r w:rsidRPr="00AC3DBE">
              <w:rPr>
                <w:rFonts w:ascii="Arial Narrow" w:hAnsi="Arial Narrow"/>
                <w:b/>
                <w:bCs/>
                <w:sz w:val="20"/>
                <w:szCs w:val="20"/>
              </w:rPr>
              <w:t>(</w:t>
            </w:r>
            <w:r w:rsidRPr="00AC3DBE">
              <w:rPr>
                <w:rFonts w:ascii="Arial Narrow" w:hAnsi="Arial Narrow"/>
                <w:b/>
                <w:bCs/>
                <w:sz w:val="20"/>
                <w:szCs w:val="20"/>
              </w:rPr>
              <w:noBreakHyphen/>
              <w:t xml:space="preserve">15.321, </w:t>
            </w:r>
            <w:r w:rsidRPr="00AC3DBE">
              <w:rPr>
                <w:rFonts w:ascii="Arial Narrow" w:hAnsi="Arial Narrow"/>
                <w:b/>
                <w:bCs/>
                <w:sz w:val="20"/>
                <w:szCs w:val="20"/>
              </w:rPr>
              <w:noBreakHyphen/>
              <w:t>3.714)</w:t>
            </w:r>
          </w:p>
        </w:tc>
        <w:tc>
          <w:tcPr>
            <w:tcW w:w="506" w:type="pct"/>
            <w:shd w:val="clear" w:color="auto" w:fill="FFFFFF" w:themeFill="background1"/>
            <w:tcMar>
              <w:top w:w="120" w:type="dxa"/>
              <w:left w:w="120" w:type="dxa"/>
              <w:bottom w:w="120" w:type="dxa"/>
              <w:right w:w="120" w:type="dxa"/>
            </w:tcMar>
            <w:vAlign w:val="center"/>
          </w:tcPr>
          <w:p w14:paraId="07B494D4" w14:textId="39BD13BE" w:rsidR="00B5795D" w:rsidRPr="00B5795D" w:rsidRDefault="00B5795D" w:rsidP="00BB2836">
            <w:pPr>
              <w:jc w:val="center"/>
              <w:rPr>
                <w:rFonts w:ascii="Arial Narrow" w:hAnsi="Arial Narrow"/>
                <w:b/>
                <w:bCs/>
                <w:sz w:val="20"/>
                <w:szCs w:val="20"/>
              </w:rPr>
            </w:pPr>
            <w:r w:rsidRPr="00B5795D">
              <w:rPr>
                <w:rFonts w:ascii="Arial Narrow" w:hAnsi="Arial Narrow"/>
                <w:b/>
                <w:bCs/>
                <w:sz w:val="20"/>
                <w:szCs w:val="20"/>
              </w:rPr>
              <w:t>&lt;0.01</w:t>
            </w:r>
          </w:p>
        </w:tc>
        <w:tc>
          <w:tcPr>
            <w:tcW w:w="610" w:type="pct"/>
            <w:shd w:val="clear" w:color="auto" w:fill="FFFFFF" w:themeFill="background1"/>
            <w:tcMar>
              <w:top w:w="120" w:type="dxa"/>
              <w:left w:w="120" w:type="dxa"/>
              <w:bottom w:w="120" w:type="dxa"/>
              <w:right w:w="120" w:type="dxa"/>
            </w:tcMar>
            <w:vAlign w:val="center"/>
          </w:tcPr>
          <w:p w14:paraId="35BE3573" w14:textId="15212A89" w:rsidR="00B5795D" w:rsidRPr="00AC3DBE" w:rsidRDefault="00B5795D" w:rsidP="00BB2836">
            <w:pPr>
              <w:jc w:val="center"/>
              <w:rPr>
                <w:rFonts w:ascii="Arial Narrow" w:hAnsi="Arial Narrow"/>
                <w:b/>
                <w:bCs/>
                <w:sz w:val="20"/>
                <w:szCs w:val="20"/>
              </w:rPr>
            </w:pPr>
            <w:r w:rsidRPr="00AC3DBE">
              <w:rPr>
                <w:rFonts w:ascii="Arial Narrow" w:hAnsi="Arial Narrow"/>
                <w:b/>
                <w:bCs/>
                <w:sz w:val="20"/>
                <w:szCs w:val="20"/>
              </w:rPr>
              <w:t>-8.931%</w:t>
            </w:r>
          </w:p>
        </w:tc>
        <w:tc>
          <w:tcPr>
            <w:tcW w:w="811" w:type="pct"/>
            <w:shd w:val="clear" w:color="auto" w:fill="FFFFFF" w:themeFill="background1"/>
            <w:tcMar>
              <w:top w:w="120" w:type="dxa"/>
              <w:left w:w="120" w:type="dxa"/>
              <w:bottom w:w="120" w:type="dxa"/>
              <w:right w:w="120" w:type="dxa"/>
            </w:tcMar>
            <w:vAlign w:val="center"/>
          </w:tcPr>
          <w:p w14:paraId="5D154B9A" w14:textId="1A09AAEA" w:rsidR="00B5795D" w:rsidRPr="00AC3DBE" w:rsidRDefault="00B5795D" w:rsidP="00BB2836">
            <w:pPr>
              <w:jc w:val="center"/>
              <w:rPr>
                <w:rFonts w:ascii="Arial Narrow" w:hAnsi="Arial Narrow"/>
                <w:b/>
                <w:bCs/>
                <w:sz w:val="20"/>
                <w:szCs w:val="20"/>
              </w:rPr>
            </w:pPr>
            <w:r w:rsidRPr="00AC3DBE">
              <w:rPr>
                <w:rFonts w:ascii="Arial Narrow" w:hAnsi="Arial Narrow"/>
                <w:b/>
                <w:bCs/>
                <w:sz w:val="20"/>
                <w:szCs w:val="20"/>
              </w:rPr>
              <w:t>(</w:t>
            </w:r>
            <w:r w:rsidRPr="00AC3DBE">
              <w:rPr>
                <w:rFonts w:ascii="Arial Narrow" w:hAnsi="Arial Narrow"/>
                <w:b/>
                <w:bCs/>
                <w:sz w:val="20"/>
                <w:szCs w:val="20"/>
              </w:rPr>
              <w:noBreakHyphen/>
              <w:t xml:space="preserve">14.874, </w:t>
            </w:r>
            <w:r w:rsidRPr="00AC3DBE">
              <w:rPr>
                <w:rFonts w:ascii="Arial Narrow" w:hAnsi="Arial Narrow"/>
                <w:b/>
                <w:bCs/>
                <w:sz w:val="20"/>
                <w:szCs w:val="20"/>
              </w:rPr>
              <w:noBreakHyphen/>
              <w:t>2.987)</w:t>
            </w:r>
          </w:p>
        </w:tc>
        <w:tc>
          <w:tcPr>
            <w:tcW w:w="765" w:type="pct"/>
            <w:shd w:val="clear" w:color="auto" w:fill="FFFFFF" w:themeFill="background1"/>
            <w:tcMar>
              <w:top w:w="120" w:type="dxa"/>
              <w:left w:w="120" w:type="dxa"/>
              <w:bottom w:w="120" w:type="dxa"/>
              <w:right w:w="120" w:type="dxa"/>
            </w:tcMar>
            <w:vAlign w:val="center"/>
          </w:tcPr>
          <w:p w14:paraId="15023016" w14:textId="71784426" w:rsidR="00B5795D" w:rsidRPr="00B5795D" w:rsidRDefault="00B5795D" w:rsidP="00BB2836">
            <w:pPr>
              <w:jc w:val="center"/>
              <w:rPr>
                <w:rFonts w:ascii="Arial Narrow" w:hAnsi="Arial Narrow"/>
                <w:b/>
                <w:bCs/>
                <w:sz w:val="20"/>
                <w:szCs w:val="20"/>
              </w:rPr>
            </w:pPr>
            <w:r w:rsidRPr="00B5795D">
              <w:rPr>
                <w:rFonts w:ascii="Arial Narrow" w:hAnsi="Arial Narrow"/>
                <w:b/>
                <w:bCs/>
                <w:sz w:val="20"/>
                <w:szCs w:val="20"/>
              </w:rPr>
              <w:t>&lt;0.01</w:t>
            </w:r>
          </w:p>
        </w:tc>
      </w:tr>
    </w:tbl>
    <w:p w14:paraId="69A48E1E" w14:textId="23FEED91" w:rsidR="00B5795D" w:rsidRPr="00983638" w:rsidRDefault="00B5795D" w:rsidP="00B5795D">
      <w:pPr>
        <w:pStyle w:val="3-BodyText"/>
        <w:numPr>
          <w:ilvl w:val="0"/>
          <w:numId w:val="0"/>
        </w:numPr>
        <w:contextualSpacing/>
        <w:rPr>
          <w:rFonts w:ascii="Arial Narrow" w:hAnsi="Arial Narrow"/>
          <w:color w:val="000000" w:themeColor="text1"/>
          <w:sz w:val="18"/>
          <w:szCs w:val="18"/>
        </w:rPr>
      </w:pPr>
      <w:r w:rsidRPr="00983638">
        <w:rPr>
          <w:rFonts w:ascii="Arial Narrow" w:hAnsi="Arial Narrow"/>
          <w:color w:val="000000" w:themeColor="text1"/>
          <w:sz w:val="18"/>
          <w:szCs w:val="18"/>
        </w:rPr>
        <w:t>Source: Table 17, Attachment 1</w:t>
      </w:r>
      <w:r w:rsidR="005A5950" w:rsidRPr="00983638">
        <w:rPr>
          <w:rFonts w:ascii="Arial Narrow" w:hAnsi="Arial Narrow"/>
          <w:color w:val="000000" w:themeColor="text1"/>
          <w:sz w:val="18"/>
          <w:szCs w:val="18"/>
        </w:rPr>
        <w:t xml:space="preserve"> to the submission</w:t>
      </w:r>
      <w:r w:rsidRPr="00983638">
        <w:rPr>
          <w:rFonts w:ascii="Arial Narrow" w:hAnsi="Arial Narrow"/>
          <w:color w:val="000000" w:themeColor="text1"/>
          <w:sz w:val="18"/>
          <w:szCs w:val="18"/>
        </w:rPr>
        <w:t xml:space="preserve"> and Table 4 of the submission</w:t>
      </w:r>
    </w:p>
    <w:p w14:paraId="68826DB0" w14:textId="078267AA" w:rsidR="005D1BF1" w:rsidRPr="00983638" w:rsidRDefault="007916F9" w:rsidP="00B5795D">
      <w:pPr>
        <w:pStyle w:val="3-BodyText"/>
        <w:numPr>
          <w:ilvl w:val="0"/>
          <w:numId w:val="0"/>
        </w:numPr>
        <w:contextualSpacing/>
        <w:rPr>
          <w:rFonts w:ascii="Arial Narrow" w:hAnsi="Arial Narrow"/>
          <w:color w:val="000000" w:themeColor="text1"/>
          <w:sz w:val="18"/>
          <w:szCs w:val="18"/>
        </w:rPr>
      </w:pPr>
      <w:r w:rsidRPr="00983638">
        <w:rPr>
          <w:rFonts w:ascii="Arial Narrow" w:hAnsi="Arial Narrow"/>
          <w:color w:val="000000" w:themeColor="text1"/>
          <w:sz w:val="18"/>
          <w:szCs w:val="18"/>
        </w:rPr>
        <w:t>Abbreviations</w:t>
      </w:r>
      <w:r w:rsidR="005D1BF1" w:rsidRPr="00983638">
        <w:rPr>
          <w:rFonts w:ascii="Arial Narrow" w:hAnsi="Arial Narrow"/>
          <w:color w:val="000000" w:themeColor="text1"/>
          <w:sz w:val="18"/>
          <w:szCs w:val="18"/>
        </w:rPr>
        <w:t>: Risk diff = risk difference; CI = confidence interval</w:t>
      </w:r>
    </w:p>
    <w:p w14:paraId="0D1C54EC" w14:textId="1859ACE7" w:rsidR="00B5795D" w:rsidRPr="00983638" w:rsidRDefault="00B5795D" w:rsidP="00B5795D">
      <w:pPr>
        <w:pStyle w:val="3-BodyText"/>
        <w:numPr>
          <w:ilvl w:val="0"/>
          <w:numId w:val="0"/>
        </w:numPr>
        <w:rPr>
          <w:rFonts w:ascii="Arial Narrow" w:hAnsi="Arial Narrow"/>
          <w:color w:val="000000" w:themeColor="text1"/>
          <w:sz w:val="18"/>
          <w:szCs w:val="18"/>
        </w:rPr>
      </w:pPr>
      <w:r w:rsidRPr="00983638">
        <w:rPr>
          <w:rFonts w:ascii="Arial Narrow" w:hAnsi="Arial Narrow"/>
          <w:b/>
          <w:bCs/>
          <w:color w:val="000000" w:themeColor="text1"/>
          <w:sz w:val="18"/>
          <w:szCs w:val="18"/>
        </w:rPr>
        <w:t xml:space="preserve">Bold </w:t>
      </w:r>
      <w:r w:rsidRPr="00983638">
        <w:rPr>
          <w:rFonts w:ascii="Arial Narrow" w:hAnsi="Arial Narrow"/>
          <w:color w:val="000000" w:themeColor="text1"/>
          <w:sz w:val="18"/>
          <w:szCs w:val="18"/>
        </w:rPr>
        <w:t>values indicate statistical significance</w:t>
      </w:r>
      <w:r w:rsidR="00CD4E7D">
        <w:rPr>
          <w:rFonts w:ascii="Arial Narrow" w:hAnsi="Arial Narrow"/>
          <w:color w:val="000000" w:themeColor="text1"/>
          <w:sz w:val="18"/>
          <w:szCs w:val="18"/>
        </w:rPr>
        <w:t>; negative results favour OZA over ADA</w:t>
      </w:r>
    </w:p>
    <w:p w14:paraId="549666FC" w14:textId="434AD5C9" w:rsidR="005A5950" w:rsidRDefault="00915F48" w:rsidP="005A5950">
      <w:pPr>
        <w:pStyle w:val="3-BodyText"/>
        <w:rPr>
          <w:color w:val="000000" w:themeColor="text1"/>
        </w:rPr>
      </w:pPr>
      <w:r w:rsidRPr="00915F48">
        <w:rPr>
          <w:color w:val="000000" w:themeColor="text1"/>
        </w:rPr>
        <w:t>The NMA undertook statistical analyses of comparative safety, however noted the analyses were limited by data availability and overall low event rates across several safety outcomes, and the use of low event rates to inform binomial models led to high levels of uncertainty in the NMA results. Overall, the NMA found ozanimod consistently demonstrated comparable safety outcomes across to the alternative therapies.</w:t>
      </w:r>
    </w:p>
    <w:p w14:paraId="73C06BF3" w14:textId="75D9B127" w:rsidR="005A5950" w:rsidRDefault="005A5950" w:rsidP="005A5950">
      <w:pPr>
        <w:pStyle w:val="3-BodyText"/>
        <w:rPr>
          <w:color w:val="000000" w:themeColor="text1"/>
        </w:rPr>
      </w:pPr>
      <w:r w:rsidRPr="006D2741">
        <w:rPr>
          <w:color w:val="000000" w:themeColor="text1"/>
        </w:rPr>
        <w:t xml:space="preserve">With regards to comparative safety, the PBAC has previously considered, while OZA has a different safety profile to other </w:t>
      </w:r>
      <w:proofErr w:type="spellStart"/>
      <w:r w:rsidRPr="006D2741">
        <w:rPr>
          <w:color w:val="000000" w:themeColor="text1"/>
        </w:rPr>
        <w:t>bDMARDs</w:t>
      </w:r>
      <w:proofErr w:type="spellEnd"/>
      <w:r w:rsidRPr="006D2741">
        <w:rPr>
          <w:color w:val="000000" w:themeColor="text1"/>
        </w:rPr>
        <w:t>/</w:t>
      </w:r>
      <w:proofErr w:type="spellStart"/>
      <w:r w:rsidRPr="006D2741">
        <w:rPr>
          <w:color w:val="000000" w:themeColor="text1"/>
        </w:rPr>
        <w:t>tsDMARDs</w:t>
      </w:r>
      <w:proofErr w:type="spellEnd"/>
      <w:r w:rsidRPr="006D2741">
        <w:rPr>
          <w:color w:val="000000" w:themeColor="text1"/>
        </w:rPr>
        <w:t xml:space="preserve"> currently PBS listed for the treatment of MSUC, that the rates of observed serious adverse events (SAEs) appeared to be similar between therapies and considered a claim of non-inferior comparative safety between OZA and the alternative therapies was likely to be reasonable (paragraph 7.10, OZA March 2022 PSD).</w:t>
      </w:r>
      <w:r w:rsidR="00072277" w:rsidRPr="006D2741">
        <w:rPr>
          <w:color w:val="000000" w:themeColor="text1"/>
        </w:rPr>
        <w:t xml:space="preserve"> Furthermore,</w:t>
      </w:r>
      <w:r w:rsidR="004A3B8D">
        <w:rPr>
          <w:color w:val="000000" w:themeColor="text1"/>
        </w:rPr>
        <w:t xml:space="preserve"> </w:t>
      </w:r>
      <w:r w:rsidR="004A3B8D">
        <w:rPr>
          <w:i/>
          <w:iCs/>
          <w:color w:val="000000" w:themeColor="text1"/>
        </w:rPr>
        <w:t>t</w:t>
      </w:r>
      <w:r w:rsidR="004A3B8D" w:rsidRPr="00D061FD">
        <w:rPr>
          <w:color w:val="000000" w:themeColor="text1"/>
        </w:rPr>
        <w:t xml:space="preserve">he evaluation </w:t>
      </w:r>
      <w:r w:rsidR="004A3B8D" w:rsidRPr="00D061FD">
        <w:rPr>
          <w:color w:val="000000" w:themeColor="text1"/>
        </w:rPr>
        <w:lastRenderedPageBreak/>
        <w:t>considered</w:t>
      </w:r>
      <w:r w:rsidR="00072277" w:rsidRPr="00D061FD">
        <w:rPr>
          <w:color w:val="000000" w:themeColor="text1"/>
        </w:rPr>
        <w:t xml:space="preserve"> </w:t>
      </w:r>
      <w:r w:rsidR="00072277" w:rsidRPr="006D2741">
        <w:rPr>
          <w:color w:val="000000" w:themeColor="text1"/>
        </w:rPr>
        <w:t xml:space="preserve">focusing on a comparison of differing rates of adverse events between therapies may not be sufficient to justify a claim of an overall superior safety profile, as the toxicity profiles of OZA and ADA are different and </w:t>
      </w:r>
      <w:r w:rsidR="001D49C2" w:rsidRPr="006D2741">
        <w:rPr>
          <w:color w:val="000000" w:themeColor="text1"/>
        </w:rPr>
        <w:t>the individual safety profiles of these therapies also merits consideration.</w:t>
      </w:r>
    </w:p>
    <w:p w14:paraId="0C541DC4" w14:textId="42366D9F" w:rsidR="00F74D90" w:rsidRPr="00D061FD" w:rsidRDefault="004A3B8D" w:rsidP="00F74D90">
      <w:pPr>
        <w:pStyle w:val="3-BodyText"/>
        <w:rPr>
          <w:color w:val="000000" w:themeColor="text1"/>
        </w:rPr>
      </w:pPr>
      <w:r w:rsidRPr="00D061FD">
        <w:rPr>
          <w:color w:val="000000" w:themeColor="text1"/>
        </w:rPr>
        <w:t>The PSCR noted OZA was not associated with a statistically significant difference in adverse events to placebo in the True North study and noted ADA was associated with higher rates of injection site reactions</w:t>
      </w:r>
      <w:r w:rsidR="00523395" w:rsidRPr="00D061FD">
        <w:rPr>
          <w:color w:val="000000" w:themeColor="text1"/>
        </w:rPr>
        <w:t xml:space="preserve"> (ADA 12.1% vs. PBO 3.8%)</w:t>
      </w:r>
      <w:r w:rsidRPr="00D061FD">
        <w:rPr>
          <w:color w:val="000000" w:themeColor="text1"/>
        </w:rPr>
        <w:t xml:space="preserve"> and haematologic-related adverse events</w:t>
      </w:r>
      <w:r w:rsidR="00523395" w:rsidRPr="00D061FD">
        <w:rPr>
          <w:color w:val="000000" w:themeColor="text1"/>
        </w:rPr>
        <w:t xml:space="preserve"> (ADA 1.9% vs. PBO 0%)</w:t>
      </w:r>
      <w:r w:rsidRPr="00D061FD">
        <w:rPr>
          <w:color w:val="000000" w:themeColor="text1"/>
        </w:rPr>
        <w:t xml:space="preserve"> than placebo in the ULTRA 2 study. </w:t>
      </w:r>
      <w:r w:rsidR="00F74D90" w:rsidRPr="00D061FD">
        <w:rPr>
          <w:color w:val="000000" w:themeColor="text1"/>
        </w:rPr>
        <w:t>A summary of safety profiles provided in the PSCR is presented in the table below.</w:t>
      </w:r>
    </w:p>
    <w:p w14:paraId="41602BDE" w14:textId="57B15BB7" w:rsidR="00F74D90" w:rsidRPr="00F74D90" w:rsidRDefault="00F74D90" w:rsidP="00F74D90">
      <w:pPr>
        <w:pStyle w:val="Caption"/>
      </w:pPr>
      <w:bookmarkStart w:id="35" w:name="_Ref114161349"/>
      <w:r w:rsidRPr="00F74D90">
        <w:t xml:space="preserve">Table </w:t>
      </w:r>
      <w:fldSimple w:instr=" SEQ Table \* ARABIC ">
        <w:r w:rsidR="00340AC7">
          <w:rPr>
            <w:noProof/>
          </w:rPr>
          <w:t>10</w:t>
        </w:r>
      </w:fldSimple>
      <w:bookmarkEnd w:id="35"/>
      <w:r w:rsidRPr="00F74D90">
        <w:t xml:space="preserve">: </w:t>
      </w:r>
      <w:r>
        <w:t>PSCR s</w:t>
      </w:r>
      <w:r w:rsidRPr="00F74D90">
        <w:t>ummary of safety profiles</w:t>
      </w:r>
      <w:r>
        <w:t xml:space="preserve"> (OZA vs ADA)</w:t>
      </w:r>
    </w:p>
    <w:tbl>
      <w:tblPr>
        <w:tblStyle w:val="TableGrid"/>
        <w:tblW w:w="5000" w:type="pct"/>
        <w:tblLook w:val="04A0" w:firstRow="1" w:lastRow="0" w:firstColumn="1" w:lastColumn="0" w:noHBand="0" w:noVBand="1"/>
      </w:tblPr>
      <w:tblGrid>
        <w:gridCol w:w="3513"/>
        <w:gridCol w:w="1376"/>
        <w:gridCol w:w="1376"/>
        <w:gridCol w:w="1376"/>
        <w:gridCol w:w="1376"/>
      </w:tblGrid>
      <w:tr w:rsidR="00F74D90" w:rsidRPr="00F74D90" w14:paraId="604D9FF1" w14:textId="77777777" w:rsidTr="00F74D90">
        <w:tc>
          <w:tcPr>
            <w:tcW w:w="1948" w:type="pct"/>
          </w:tcPr>
          <w:p w14:paraId="217FBADE" w14:textId="77777777" w:rsidR="00F74D90" w:rsidRPr="00F74D90" w:rsidRDefault="00F74D90" w:rsidP="00FB6F65">
            <w:pPr>
              <w:pStyle w:val="Tablenotes"/>
              <w:rPr>
                <w:rFonts w:ascii="Arial Narrow" w:hAnsi="Arial Narrow"/>
                <w:sz w:val="20"/>
              </w:rPr>
            </w:pPr>
          </w:p>
        </w:tc>
        <w:tc>
          <w:tcPr>
            <w:tcW w:w="1526" w:type="pct"/>
            <w:gridSpan w:val="2"/>
          </w:tcPr>
          <w:p w14:paraId="763F29FC" w14:textId="251F3FC8" w:rsidR="00F74D90" w:rsidRDefault="00F74D90" w:rsidP="00FB6F65">
            <w:pPr>
              <w:pStyle w:val="Tablenotes"/>
              <w:jc w:val="center"/>
              <w:rPr>
                <w:rFonts w:ascii="Arial Narrow" w:hAnsi="Arial Narrow"/>
                <w:b/>
                <w:bCs/>
                <w:sz w:val="20"/>
              </w:rPr>
            </w:pPr>
            <w:r w:rsidRPr="00F74D90">
              <w:rPr>
                <w:rFonts w:ascii="Arial Narrow" w:hAnsi="Arial Narrow"/>
                <w:b/>
                <w:bCs/>
                <w:sz w:val="20"/>
              </w:rPr>
              <w:t xml:space="preserve">True North </w:t>
            </w:r>
            <w:r>
              <w:rPr>
                <w:rFonts w:ascii="Arial Narrow" w:hAnsi="Arial Narrow"/>
                <w:b/>
                <w:bCs/>
                <w:sz w:val="20"/>
              </w:rPr>
              <w:t>(OZA) -</w:t>
            </w:r>
            <w:r w:rsidRPr="00F74D90">
              <w:rPr>
                <w:rFonts w:ascii="Arial Narrow" w:hAnsi="Arial Narrow"/>
                <w:b/>
                <w:bCs/>
                <w:sz w:val="20"/>
              </w:rPr>
              <w:t xml:space="preserve"> </w:t>
            </w:r>
            <w:proofErr w:type="spellStart"/>
            <w:r w:rsidRPr="00F74D90">
              <w:rPr>
                <w:rFonts w:ascii="Arial Narrow" w:hAnsi="Arial Narrow"/>
                <w:b/>
                <w:bCs/>
                <w:sz w:val="20"/>
              </w:rPr>
              <w:t>Wk</w:t>
            </w:r>
            <w:proofErr w:type="spellEnd"/>
            <w:r w:rsidRPr="00F74D90">
              <w:rPr>
                <w:rFonts w:ascii="Arial Narrow" w:hAnsi="Arial Narrow"/>
                <w:b/>
                <w:bCs/>
                <w:sz w:val="20"/>
              </w:rPr>
              <w:t xml:space="preserve"> 10 to 52</w:t>
            </w:r>
          </w:p>
          <w:p w14:paraId="3C309A9C" w14:textId="7C7D0E11" w:rsidR="00F74D90" w:rsidRPr="00F74D90" w:rsidRDefault="00F74D90" w:rsidP="00FB6F65">
            <w:pPr>
              <w:pStyle w:val="Tablenotes"/>
              <w:jc w:val="center"/>
              <w:rPr>
                <w:rFonts w:ascii="Arial Narrow" w:hAnsi="Arial Narrow"/>
                <w:b/>
                <w:bCs/>
                <w:sz w:val="20"/>
              </w:rPr>
            </w:pPr>
            <w:r>
              <w:rPr>
                <w:rFonts w:ascii="Arial Narrow" w:hAnsi="Arial Narrow"/>
                <w:b/>
                <w:bCs/>
                <w:sz w:val="20"/>
              </w:rPr>
              <w:t>(</w:t>
            </w:r>
            <w:proofErr w:type="spellStart"/>
            <w:r>
              <w:rPr>
                <w:rFonts w:ascii="Arial Narrow" w:hAnsi="Arial Narrow"/>
                <w:b/>
                <w:bCs/>
                <w:sz w:val="20"/>
              </w:rPr>
              <w:t>Sandborn</w:t>
            </w:r>
            <w:proofErr w:type="spellEnd"/>
            <w:r>
              <w:rPr>
                <w:rFonts w:ascii="Arial Narrow" w:hAnsi="Arial Narrow"/>
                <w:b/>
                <w:bCs/>
                <w:sz w:val="20"/>
              </w:rPr>
              <w:t xml:space="preserve"> et al 2021)</w:t>
            </w:r>
          </w:p>
        </w:tc>
        <w:tc>
          <w:tcPr>
            <w:tcW w:w="1526" w:type="pct"/>
            <w:gridSpan w:val="2"/>
          </w:tcPr>
          <w:p w14:paraId="3F9F7120" w14:textId="3926DC82" w:rsidR="00F74D90" w:rsidRDefault="00F74D90" w:rsidP="00FB6F65">
            <w:pPr>
              <w:pStyle w:val="Tablenotes"/>
              <w:jc w:val="center"/>
              <w:rPr>
                <w:rFonts w:ascii="Arial Narrow" w:hAnsi="Arial Narrow"/>
                <w:b/>
                <w:bCs/>
                <w:sz w:val="20"/>
              </w:rPr>
            </w:pPr>
            <w:r w:rsidRPr="00F74D90">
              <w:rPr>
                <w:rFonts w:ascii="Arial Narrow" w:hAnsi="Arial Narrow"/>
                <w:b/>
                <w:bCs/>
                <w:sz w:val="20"/>
              </w:rPr>
              <w:t>ULTRA 2</w:t>
            </w:r>
            <w:r>
              <w:rPr>
                <w:rFonts w:ascii="Arial Narrow" w:hAnsi="Arial Narrow"/>
                <w:b/>
                <w:bCs/>
                <w:sz w:val="20"/>
              </w:rPr>
              <w:t xml:space="preserve"> (ADA) - to</w:t>
            </w:r>
            <w:r w:rsidRPr="00F74D90">
              <w:rPr>
                <w:rFonts w:ascii="Arial Narrow" w:hAnsi="Arial Narrow"/>
                <w:b/>
                <w:bCs/>
                <w:sz w:val="20"/>
              </w:rPr>
              <w:t xml:space="preserve"> </w:t>
            </w:r>
            <w:proofErr w:type="spellStart"/>
            <w:r w:rsidRPr="00F74D90">
              <w:rPr>
                <w:rFonts w:ascii="Arial Narrow" w:hAnsi="Arial Narrow"/>
                <w:b/>
                <w:bCs/>
                <w:sz w:val="20"/>
              </w:rPr>
              <w:t>Wk</w:t>
            </w:r>
            <w:proofErr w:type="spellEnd"/>
            <w:r w:rsidRPr="00F74D90">
              <w:rPr>
                <w:rFonts w:ascii="Arial Narrow" w:hAnsi="Arial Narrow"/>
                <w:b/>
                <w:bCs/>
                <w:sz w:val="20"/>
              </w:rPr>
              <w:t xml:space="preserve"> 52</w:t>
            </w:r>
          </w:p>
          <w:p w14:paraId="2FA822D9" w14:textId="508450CA" w:rsidR="00F74D90" w:rsidRPr="00F74D90" w:rsidRDefault="00F74D90" w:rsidP="00FB6F65">
            <w:pPr>
              <w:pStyle w:val="Tablenotes"/>
              <w:jc w:val="center"/>
              <w:rPr>
                <w:rFonts w:ascii="Arial Narrow" w:hAnsi="Arial Narrow"/>
                <w:b/>
                <w:bCs/>
                <w:sz w:val="20"/>
              </w:rPr>
            </w:pPr>
            <w:r>
              <w:rPr>
                <w:rFonts w:ascii="Arial Narrow" w:hAnsi="Arial Narrow"/>
                <w:b/>
                <w:bCs/>
                <w:sz w:val="20"/>
              </w:rPr>
              <w:t>(</w:t>
            </w:r>
            <w:proofErr w:type="spellStart"/>
            <w:r>
              <w:rPr>
                <w:rFonts w:ascii="Arial Narrow" w:hAnsi="Arial Narrow"/>
                <w:b/>
                <w:bCs/>
                <w:sz w:val="20"/>
              </w:rPr>
              <w:t>Sandborn</w:t>
            </w:r>
            <w:proofErr w:type="spellEnd"/>
            <w:r>
              <w:rPr>
                <w:rFonts w:ascii="Arial Narrow" w:hAnsi="Arial Narrow"/>
                <w:b/>
                <w:bCs/>
                <w:sz w:val="20"/>
              </w:rPr>
              <w:t xml:space="preserve"> et al 2012)</w:t>
            </w:r>
          </w:p>
        </w:tc>
      </w:tr>
      <w:tr w:rsidR="00F74D90" w:rsidRPr="00F74D90" w14:paraId="7D24D442" w14:textId="77777777" w:rsidTr="00F74D90">
        <w:tc>
          <w:tcPr>
            <w:tcW w:w="1948" w:type="pct"/>
          </w:tcPr>
          <w:p w14:paraId="1CFDDAD6" w14:textId="77777777" w:rsidR="00F74D90" w:rsidRPr="00F74D90" w:rsidRDefault="00F74D90" w:rsidP="00FB6F65">
            <w:pPr>
              <w:pStyle w:val="Tablenotes"/>
              <w:rPr>
                <w:rFonts w:ascii="Arial Narrow" w:hAnsi="Arial Narrow"/>
                <w:sz w:val="20"/>
              </w:rPr>
            </w:pPr>
          </w:p>
        </w:tc>
        <w:tc>
          <w:tcPr>
            <w:tcW w:w="763" w:type="pct"/>
          </w:tcPr>
          <w:p w14:paraId="51C10800" w14:textId="77777777" w:rsidR="00F74D90" w:rsidRPr="00F74D90" w:rsidRDefault="00F74D90" w:rsidP="00FB6F65">
            <w:pPr>
              <w:pStyle w:val="Tablenotes"/>
              <w:jc w:val="center"/>
              <w:rPr>
                <w:rFonts w:ascii="Arial Narrow" w:hAnsi="Arial Narrow"/>
                <w:b/>
                <w:bCs/>
                <w:sz w:val="20"/>
              </w:rPr>
            </w:pPr>
            <w:r w:rsidRPr="00F74D90">
              <w:rPr>
                <w:rFonts w:ascii="Arial Narrow" w:hAnsi="Arial Narrow"/>
                <w:b/>
                <w:bCs/>
                <w:sz w:val="20"/>
              </w:rPr>
              <w:t>Placebo</w:t>
            </w:r>
          </w:p>
          <w:p w14:paraId="755CD40B" w14:textId="77777777" w:rsidR="00F74D90" w:rsidRPr="00F74D90" w:rsidRDefault="00F74D90" w:rsidP="00FB6F65">
            <w:pPr>
              <w:pStyle w:val="Tablenotes"/>
              <w:jc w:val="center"/>
              <w:rPr>
                <w:rFonts w:ascii="Arial Narrow" w:hAnsi="Arial Narrow"/>
                <w:b/>
                <w:bCs/>
                <w:sz w:val="20"/>
              </w:rPr>
            </w:pPr>
            <w:r w:rsidRPr="00F74D90">
              <w:rPr>
                <w:rFonts w:ascii="Arial Narrow" w:hAnsi="Arial Narrow"/>
                <w:b/>
                <w:bCs/>
                <w:sz w:val="20"/>
              </w:rPr>
              <w:t>(N=227)</w:t>
            </w:r>
          </w:p>
        </w:tc>
        <w:tc>
          <w:tcPr>
            <w:tcW w:w="763" w:type="pct"/>
          </w:tcPr>
          <w:p w14:paraId="053FA75B" w14:textId="77777777" w:rsidR="00F74D90" w:rsidRPr="00F74D90" w:rsidRDefault="00F74D90" w:rsidP="00FB6F65">
            <w:pPr>
              <w:pStyle w:val="Tablenotes"/>
              <w:jc w:val="center"/>
              <w:rPr>
                <w:rFonts w:ascii="Arial Narrow" w:hAnsi="Arial Narrow"/>
                <w:b/>
                <w:bCs/>
                <w:sz w:val="20"/>
              </w:rPr>
            </w:pPr>
            <w:r w:rsidRPr="00F74D90">
              <w:rPr>
                <w:rFonts w:ascii="Arial Narrow" w:hAnsi="Arial Narrow"/>
                <w:b/>
                <w:bCs/>
                <w:sz w:val="20"/>
              </w:rPr>
              <w:t>OZA</w:t>
            </w:r>
          </w:p>
          <w:p w14:paraId="7603FD2F" w14:textId="77777777" w:rsidR="00F74D90" w:rsidRPr="00F74D90" w:rsidRDefault="00F74D90" w:rsidP="00FB6F65">
            <w:pPr>
              <w:pStyle w:val="Tablenotes"/>
              <w:jc w:val="center"/>
              <w:rPr>
                <w:rFonts w:ascii="Arial Narrow" w:hAnsi="Arial Narrow"/>
                <w:b/>
                <w:bCs/>
                <w:sz w:val="20"/>
              </w:rPr>
            </w:pPr>
            <w:r w:rsidRPr="00F74D90">
              <w:rPr>
                <w:rFonts w:ascii="Arial Narrow" w:hAnsi="Arial Narrow"/>
                <w:b/>
                <w:bCs/>
                <w:sz w:val="20"/>
              </w:rPr>
              <w:t>(N=230)</w:t>
            </w:r>
          </w:p>
        </w:tc>
        <w:tc>
          <w:tcPr>
            <w:tcW w:w="763" w:type="pct"/>
          </w:tcPr>
          <w:p w14:paraId="1214FDF2" w14:textId="77777777" w:rsidR="00F74D90" w:rsidRPr="00F74D90" w:rsidRDefault="00F74D90" w:rsidP="00FB6F65">
            <w:pPr>
              <w:pStyle w:val="Tablenotes"/>
              <w:jc w:val="center"/>
              <w:rPr>
                <w:rFonts w:ascii="Arial Narrow" w:hAnsi="Arial Narrow"/>
                <w:b/>
                <w:bCs/>
                <w:sz w:val="20"/>
              </w:rPr>
            </w:pPr>
            <w:r w:rsidRPr="00F74D90">
              <w:rPr>
                <w:rFonts w:ascii="Arial Narrow" w:hAnsi="Arial Narrow"/>
                <w:b/>
                <w:bCs/>
                <w:sz w:val="20"/>
              </w:rPr>
              <w:t>Placebo</w:t>
            </w:r>
          </w:p>
          <w:p w14:paraId="4A5EE8C8" w14:textId="77777777" w:rsidR="00F74D90" w:rsidRPr="00F74D90" w:rsidRDefault="00F74D90" w:rsidP="00FB6F65">
            <w:pPr>
              <w:pStyle w:val="Tablenotes"/>
              <w:jc w:val="center"/>
              <w:rPr>
                <w:rFonts w:ascii="Arial Narrow" w:hAnsi="Arial Narrow"/>
                <w:b/>
                <w:bCs/>
                <w:sz w:val="20"/>
              </w:rPr>
            </w:pPr>
            <w:r w:rsidRPr="00F74D90">
              <w:rPr>
                <w:rFonts w:ascii="Arial Narrow" w:hAnsi="Arial Narrow"/>
                <w:b/>
                <w:bCs/>
                <w:sz w:val="20"/>
              </w:rPr>
              <w:t>(N=260)</w:t>
            </w:r>
          </w:p>
        </w:tc>
        <w:tc>
          <w:tcPr>
            <w:tcW w:w="763" w:type="pct"/>
          </w:tcPr>
          <w:p w14:paraId="36151F84" w14:textId="77777777" w:rsidR="00F74D90" w:rsidRPr="00F74D90" w:rsidRDefault="00F74D90" w:rsidP="00FB6F65">
            <w:pPr>
              <w:pStyle w:val="Tablenotes"/>
              <w:jc w:val="center"/>
              <w:rPr>
                <w:rFonts w:ascii="Arial Narrow" w:hAnsi="Arial Narrow"/>
                <w:b/>
                <w:bCs/>
                <w:sz w:val="20"/>
              </w:rPr>
            </w:pPr>
            <w:r w:rsidRPr="00F74D90">
              <w:rPr>
                <w:rFonts w:ascii="Arial Narrow" w:hAnsi="Arial Narrow"/>
                <w:b/>
                <w:bCs/>
                <w:sz w:val="20"/>
              </w:rPr>
              <w:t>ADA</w:t>
            </w:r>
          </w:p>
          <w:p w14:paraId="6366E324" w14:textId="77777777" w:rsidR="00F74D90" w:rsidRPr="00F74D90" w:rsidRDefault="00F74D90" w:rsidP="00FB6F65">
            <w:pPr>
              <w:pStyle w:val="Tablenotes"/>
              <w:jc w:val="center"/>
              <w:rPr>
                <w:rFonts w:ascii="Arial Narrow" w:hAnsi="Arial Narrow"/>
                <w:b/>
                <w:bCs/>
                <w:sz w:val="20"/>
              </w:rPr>
            </w:pPr>
            <w:r w:rsidRPr="00F74D90">
              <w:rPr>
                <w:rFonts w:ascii="Arial Narrow" w:hAnsi="Arial Narrow"/>
                <w:b/>
                <w:bCs/>
                <w:sz w:val="20"/>
              </w:rPr>
              <w:t>(N=257)</w:t>
            </w:r>
          </w:p>
        </w:tc>
      </w:tr>
      <w:tr w:rsidR="00F74D90" w:rsidRPr="00F74D90" w14:paraId="1A5065E7" w14:textId="77777777" w:rsidTr="00F74D90">
        <w:tc>
          <w:tcPr>
            <w:tcW w:w="1948" w:type="pct"/>
          </w:tcPr>
          <w:p w14:paraId="08EFF5AB" w14:textId="77777777" w:rsidR="00F74D90" w:rsidRPr="00F74D90" w:rsidRDefault="00F74D90" w:rsidP="00FB6F65">
            <w:pPr>
              <w:pStyle w:val="Tablenotes"/>
              <w:rPr>
                <w:rFonts w:ascii="Arial Narrow" w:hAnsi="Arial Narrow"/>
                <w:sz w:val="20"/>
              </w:rPr>
            </w:pPr>
            <w:r w:rsidRPr="00F74D90">
              <w:rPr>
                <w:rFonts w:ascii="Arial Narrow" w:hAnsi="Arial Narrow"/>
                <w:sz w:val="20"/>
              </w:rPr>
              <w:t>Adverse event</w:t>
            </w:r>
          </w:p>
        </w:tc>
        <w:tc>
          <w:tcPr>
            <w:tcW w:w="763" w:type="pct"/>
          </w:tcPr>
          <w:p w14:paraId="78B0672D" w14:textId="77777777" w:rsidR="00F74D90" w:rsidRPr="00F74D90" w:rsidRDefault="00F74D90" w:rsidP="00FB6F65">
            <w:pPr>
              <w:pStyle w:val="Tablenotes"/>
              <w:jc w:val="center"/>
              <w:rPr>
                <w:rFonts w:ascii="Arial Narrow" w:hAnsi="Arial Narrow"/>
                <w:sz w:val="20"/>
              </w:rPr>
            </w:pPr>
            <w:r w:rsidRPr="00F74D90">
              <w:rPr>
                <w:rFonts w:ascii="Arial Narrow" w:hAnsi="Arial Narrow"/>
                <w:sz w:val="20"/>
              </w:rPr>
              <w:t>83 (36.6)</w:t>
            </w:r>
          </w:p>
        </w:tc>
        <w:tc>
          <w:tcPr>
            <w:tcW w:w="763" w:type="pct"/>
          </w:tcPr>
          <w:p w14:paraId="2273232F" w14:textId="77777777" w:rsidR="00F74D90" w:rsidRPr="00F74D90" w:rsidRDefault="00F74D90" w:rsidP="00FB6F65">
            <w:pPr>
              <w:pStyle w:val="Tablenotes"/>
              <w:jc w:val="center"/>
              <w:rPr>
                <w:rFonts w:ascii="Arial Narrow" w:hAnsi="Arial Narrow"/>
                <w:sz w:val="20"/>
              </w:rPr>
            </w:pPr>
            <w:r w:rsidRPr="00F74D90">
              <w:rPr>
                <w:rFonts w:ascii="Arial Narrow" w:hAnsi="Arial Narrow"/>
                <w:sz w:val="20"/>
              </w:rPr>
              <w:t>113 (49.1)</w:t>
            </w:r>
          </w:p>
        </w:tc>
        <w:tc>
          <w:tcPr>
            <w:tcW w:w="763" w:type="pct"/>
          </w:tcPr>
          <w:p w14:paraId="3619830A" w14:textId="77777777" w:rsidR="00F74D90" w:rsidRPr="00F74D90" w:rsidRDefault="00F74D90" w:rsidP="00FB6F65">
            <w:pPr>
              <w:pStyle w:val="Tablenotes"/>
              <w:jc w:val="center"/>
              <w:rPr>
                <w:rFonts w:ascii="Arial Narrow" w:hAnsi="Arial Narrow"/>
                <w:sz w:val="20"/>
              </w:rPr>
            </w:pPr>
            <w:r w:rsidRPr="00F74D90">
              <w:rPr>
                <w:rFonts w:ascii="Arial Narrow" w:hAnsi="Arial Narrow"/>
                <w:sz w:val="20"/>
              </w:rPr>
              <w:t>218 (83.8)</w:t>
            </w:r>
          </w:p>
        </w:tc>
        <w:tc>
          <w:tcPr>
            <w:tcW w:w="763" w:type="pct"/>
          </w:tcPr>
          <w:p w14:paraId="0BC4DC9F" w14:textId="77777777" w:rsidR="00F74D90" w:rsidRPr="00F74D90" w:rsidRDefault="00F74D90" w:rsidP="00FB6F65">
            <w:pPr>
              <w:pStyle w:val="Tablenotes"/>
              <w:jc w:val="center"/>
              <w:rPr>
                <w:rFonts w:ascii="Arial Narrow" w:hAnsi="Arial Narrow"/>
                <w:sz w:val="20"/>
              </w:rPr>
            </w:pPr>
            <w:r w:rsidRPr="00F74D90">
              <w:rPr>
                <w:rFonts w:ascii="Arial Narrow" w:hAnsi="Arial Narrow"/>
                <w:sz w:val="20"/>
              </w:rPr>
              <w:t>213 (82.9)</w:t>
            </w:r>
          </w:p>
        </w:tc>
      </w:tr>
      <w:tr w:rsidR="00F74D90" w:rsidRPr="00F74D90" w14:paraId="01933DB7" w14:textId="77777777" w:rsidTr="00F74D90">
        <w:tc>
          <w:tcPr>
            <w:tcW w:w="1948" w:type="pct"/>
          </w:tcPr>
          <w:p w14:paraId="196213DB" w14:textId="77777777" w:rsidR="00F74D90" w:rsidRPr="00F74D90" w:rsidRDefault="00F74D90" w:rsidP="00FB6F65">
            <w:pPr>
              <w:pStyle w:val="Tablenotes"/>
              <w:rPr>
                <w:rFonts w:ascii="Arial Narrow" w:hAnsi="Arial Narrow"/>
                <w:sz w:val="20"/>
              </w:rPr>
            </w:pPr>
            <w:r w:rsidRPr="00F74D90">
              <w:rPr>
                <w:rFonts w:ascii="Arial Narrow" w:hAnsi="Arial Narrow"/>
                <w:sz w:val="20"/>
              </w:rPr>
              <w:t>Serious adverse event</w:t>
            </w:r>
          </w:p>
        </w:tc>
        <w:tc>
          <w:tcPr>
            <w:tcW w:w="763" w:type="pct"/>
          </w:tcPr>
          <w:p w14:paraId="62A0703B" w14:textId="77777777" w:rsidR="00F74D90" w:rsidRPr="00F74D90" w:rsidRDefault="00F74D90" w:rsidP="00FB6F65">
            <w:pPr>
              <w:pStyle w:val="Tablenotes"/>
              <w:jc w:val="center"/>
              <w:rPr>
                <w:rFonts w:ascii="Arial Narrow" w:hAnsi="Arial Narrow"/>
                <w:sz w:val="20"/>
              </w:rPr>
            </w:pPr>
            <w:r w:rsidRPr="00F74D90">
              <w:rPr>
                <w:rFonts w:ascii="Arial Narrow" w:hAnsi="Arial Narrow"/>
                <w:sz w:val="20"/>
              </w:rPr>
              <w:t>18 (7.9)</w:t>
            </w:r>
          </w:p>
        </w:tc>
        <w:tc>
          <w:tcPr>
            <w:tcW w:w="763" w:type="pct"/>
          </w:tcPr>
          <w:p w14:paraId="3FFE5FB3" w14:textId="77777777" w:rsidR="00F74D90" w:rsidRPr="00F74D90" w:rsidRDefault="00F74D90" w:rsidP="00FB6F65">
            <w:pPr>
              <w:pStyle w:val="Tablenotes"/>
              <w:jc w:val="center"/>
              <w:rPr>
                <w:rFonts w:ascii="Arial Narrow" w:hAnsi="Arial Narrow"/>
                <w:sz w:val="20"/>
              </w:rPr>
            </w:pPr>
            <w:r w:rsidRPr="00F74D90">
              <w:rPr>
                <w:rFonts w:ascii="Arial Narrow" w:hAnsi="Arial Narrow"/>
                <w:sz w:val="20"/>
              </w:rPr>
              <w:t>12 (5.2)</w:t>
            </w:r>
          </w:p>
        </w:tc>
        <w:tc>
          <w:tcPr>
            <w:tcW w:w="763" w:type="pct"/>
          </w:tcPr>
          <w:p w14:paraId="1CAA2ED2" w14:textId="77777777" w:rsidR="00F74D90" w:rsidRPr="00F74D90" w:rsidRDefault="00F74D90" w:rsidP="00FB6F65">
            <w:pPr>
              <w:pStyle w:val="Tablenotes"/>
              <w:jc w:val="center"/>
              <w:rPr>
                <w:rFonts w:ascii="Arial Narrow" w:hAnsi="Arial Narrow"/>
                <w:sz w:val="20"/>
              </w:rPr>
            </w:pPr>
            <w:r w:rsidRPr="00F74D90">
              <w:rPr>
                <w:rFonts w:ascii="Arial Narrow" w:hAnsi="Arial Narrow"/>
                <w:sz w:val="20"/>
              </w:rPr>
              <w:t>32 (12.3)</w:t>
            </w:r>
          </w:p>
        </w:tc>
        <w:tc>
          <w:tcPr>
            <w:tcW w:w="763" w:type="pct"/>
          </w:tcPr>
          <w:p w14:paraId="47D2EB21" w14:textId="77777777" w:rsidR="00F74D90" w:rsidRPr="00F74D90" w:rsidRDefault="00F74D90" w:rsidP="00FB6F65">
            <w:pPr>
              <w:pStyle w:val="Tablenotes"/>
              <w:jc w:val="center"/>
              <w:rPr>
                <w:rFonts w:ascii="Arial Narrow" w:hAnsi="Arial Narrow"/>
                <w:sz w:val="20"/>
              </w:rPr>
            </w:pPr>
            <w:r w:rsidRPr="00F74D90">
              <w:rPr>
                <w:rFonts w:ascii="Arial Narrow" w:hAnsi="Arial Narrow"/>
                <w:sz w:val="20"/>
              </w:rPr>
              <w:t>31 (12.1)</w:t>
            </w:r>
          </w:p>
        </w:tc>
      </w:tr>
      <w:tr w:rsidR="00F74D90" w:rsidRPr="00F74D90" w14:paraId="41AE800D" w14:textId="77777777" w:rsidTr="00F74D90">
        <w:tc>
          <w:tcPr>
            <w:tcW w:w="1948" w:type="pct"/>
          </w:tcPr>
          <w:p w14:paraId="08B3381A" w14:textId="77777777" w:rsidR="00F74D90" w:rsidRPr="00F74D90" w:rsidRDefault="00F74D90" w:rsidP="00FB6F65">
            <w:pPr>
              <w:pStyle w:val="Tablenotes"/>
              <w:rPr>
                <w:rFonts w:ascii="Arial Narrow" w:hAnsi="Arial Narrow"/>
                <w:sz w:val="20"/>
              </w:rPr>
            </w:pPr>
            <w:r w:rsidRPr="00F74D90">
              <w:rPr>
                <w:rFonts w:ascii="Arial Narrow" w:hAnsi="Arial Narrow"/>
                <w:sz w:val="20"/>
              </w:rPr>
              <w:t xml:space="preserve">AE leading to discontinuation </w:t>
            </w:r>
          </w:p>
        </w:tc>
        <w:tc>
          <w:tcPr>
            <w:tcW w:w="763" w:type="pct"/>
          </w:tcPr>
          <w:p w14:paraId="5E7BEDC6" w14:textId="77777777" w:rsidR="00F74D90" w:rsidRPr="00F74D90" w:rsidRDefault="00F74D90" w:rsidP="00FB6F65">
            <w:pPr>
              <w:pStyle w:val="Tablenotes"/>
              <w:jc w:val="center"/>
              <w:rPr>
                <w:rFonts w:ascii="Arial Narrow" w:hAnsi="Arial Narrow"/>
                <w:sz w:val="20"/>
              </w:rPr>
            </w:pPr>
            <w:r w:rsidRPr="00F74D90">
              <w:rPr>
                <w:rFonts w:ascii="Arial Narrow" w:hAnsi="Arial Narrow"/>
                <w:sz w:val="20"/>
              </w:rPr>
              <w:t>6 (2.6)</w:t>
            </w:r>
          </w:p>
        </w:tc>
        <w:tc>
          <w:tcPr>
            <w:tcW w:w="763" w:type="pct"/>
          </w:tcPr>
          <w:p w14:paraId="535DB057" w14:textId="77777777" w:rsidR="00F74D90" w:rsidRPr="00F74D90" w:rsidRDefault="00F74D90" w:rsidP="00FB6F65">
            <w:pPr>
              <w:pStyle w:val="Tablenotes"/>
              <w:jc w:val="center"/>
              <w:rPr>
                <w:rFonts w:ascii="Arial Narrow" w:hAnsi="Arial Narrow"/>
                <w:sz w:val="20"/>
              </w:rPr>
            </w:pPr>
            <w:r w:rsidRPr="00F74D90">
              <w:rPr>
                <w:rFonts w:ascii="Arial Narrow" w:hAnsi="Arial Narrow"/>
                <w:sz w:val="20"/>
              </w:rPr>
              <w:t>3 (1.3)</w:t>
            </w:r>
          </w:p>
        </w:tc>
        <w:tc>
          <w:tcPr>
            <w:tcW w:w="763" w:type="pct"/>
          </w:tcPr>
          <w:p w14:paraId="4C42CEE0" w14:textId="77777777" w:rsidR="00F74D90" w:rsidRPr="00F74D90" w:rsidRDefault="00F74D90" w:rsidP="00FB6F65">
            <w:pPr>
              <w:pStyle w:val="Tablenotes"/>
              <w:jc w:val="center"/>
              <w:rPr>
                <w:rFonts w:ascii="Arial Narrow" w:hAnsi="Arial Narrow"/>
                <w:sz w:val="20"/>
              </w:rPr>
            </w:pPr>
            <w:r w:rsidRPr="00F74D90">
              <w:rPr>
                <w:rFonts w:ascii="Arial Narrow" w:hAnsi="Arial Narrow"/>
                <w:sz w:val="20"/>
              </w:rPr>
              <w:t>34 (13.1)</w:t>
            </w:r>
          </w:p>
        </w:tc>
        <w:tc>
          <w:tcPr>
            <w:tcW w:w="763" w:type="pct"/>
          </w:tcPr>
          <w:p w14:paraId="3A0735FA" w14:textId="77777777" w:rsidR="00F74D90" w:rsidRPr="00F74D90" w:rsidRDefault="00F74D90" w:rsidP="00FB6F65">
            <w:pPr>
              <w:pStyle w:val="Tablenotes"/>
              <w:jc w:val="center"/>
              <w:rPr>
                <w:rFonts w:ascii="Arial Narrow" w:hAnsi="Arial Narrow"/>
                <w:sz w:val="20"/>
              </w:rPr>
            </w:pPr>
            <w:r w:rsidRPr="00F74D90">
              <w:rPr>
                <w:rFonts w:ascii="Arial Narrow" w:hAnsi="Arial Narrow"/>
                <w:sz w:val="20"/>
              </w:rPr>
              <w:t>23 (8.9)</w:t>
            </w:r>
          </w:p>
        </w:tc>
      </w:tr>
      <w:tr w:rsidR="00F74D90" w:rsidRPr="00F74D90" w14:paraId="08E27B43" w14:textId="77777777" w:rsidTr="00F74D90">
        <w:tc>
          <w:tcPr>
            <w:tcW w:w="5000" w:type="pct"/>
            <w:gridSpan w:val="5"/>
          </w:tcPr>
          <w:p w14:paraId="5E735075" w14:textId="77777777" w:rsidR="00F74D90" w:rsidRPr="00F74D90" w:rsidRDefault="00F74D90" w:rsidP="00FB6F65">
            <w:pPr>
              <w:pStyle w:val="Tablenotes"/>
              <w:rPr>
                <w:rFonts w:ascii="Arial Narrow" w:hAnsi="Arial Narrow"/>
                <w:b/>
                <w:bCs/>
                <w:sz w:val="20"/>
              </w:rPr>
            </w:pPr>
            <w:r w:rsidRPr="00F74D90">
              <w:rPr>
                <w:rFonts w:ascii="Arial Narrow" w:hAnsi="Arial Narrow"/>
                <w:b/>
                <w:bCs/>
                <w:sz w:val="20"/>
              </w:rPr>
              <w:t>Most frequent adverse events, reported in ≥5% of patients or with a statistically significant difference vs placebo</w:t>
            </w:r>
          </w:p>
        </w:tc>
      </w:tr>
      <w:tr w:rsidR="00F74D90" w:rsidRPr="00F74D90" w14:paraId="45350538" w14:textId="77777777" w:rsidTr="00F74D90">
        <w:tc>
          <w:tcPr>
            <w:tcW w:w="1948" w:type="pct"/>
          </w:tcPr>
          <w:p w14:paraId="739F7C3F" w14:textId="77777777" w:rsidR="00F74D90" w:rsidRPr="00F74D90" w:rsidRDefault="00F74D90" w:rsidP="00FB6F65">
            <w:pPr>
              <w:pStyle w:val="Tablenotes"/>
              <w:rPr>
                <w:rFonts w:ascii="Arial Narrow" w:hAnsi="Arial Narrow"/>
                <w:sz w:val="20"/>
              </w:rPr>
            </w:pPr>
            <w:r w:rsidRPr="00F74D90">
              <w:rPr>
                <w:rFonts w:ascii="Arial Narrow" w:hAnsi="Arial Narrow"/>
                <w:sz w:val="20"/>
              </w:rPr>
              <w:t>Infection</w:t>
            </w:r>
          </w:p>
        </w:tc>
        <w:tc>
          <w:tcPr>
            <w:tcW w:w="763" w:type="pct"/>
          </w:tcPr>
          <w:p w14:paraId="486E84F5" w14:textId="77777777" w:rsidR="00F74D90" w:rsidRPr="00F74D90" w:rsidRDefault="00F74D90" w:rsidP="00FB6F65">
            <w:pPr>
              <w:pStyle w:val="Tablenotes"/>
              <w:jc w:val="center"/>
              <w:rPr>
                <w:rFonts w:ascii="Arial Narrow" w:hAnsi="Arial Narrow"/>
                <w:sz w:val="20"/>
              </w:rPr>
            </w:pPr>
            <w:r w:rsidRPr="00F74D90">
              <w:rPr>
                <w:rFonts w:ascii="Arial Narrow" w:hAnsi="Arial Narrow"/>
                <w:sz w:val="20"/>
              </w:rPr>
              <w:t>27 (11.9)</w:t>
            </w:r>
          </w:p>
        </w:tc>
        <w:tc>
          <w:tcPr>
            <w:tcW w:w="763" w:type="pct"/>
          </w:tcPr>
          <w:p w14:paraId="52EF7F72" w14:textId="77777777" w:rsidR="00F74D90" w:rsidRPr="00F74D90" w:rsidRDefault="00F74D90" w:rsidP="00FB6F65">
            <w:pPr>
              <w:pStyle w:val="Tablenotes"/>
              <w:jc w:val="center"/>
              <w:rPr>
                <w:rFonts w:ascii="Arial Narrow" w:hAnsi="Arial Narrow"/>
                <w:sz w:val="20"/>
              </w:rPr>
            </w:pPr>
            <w:r w:rsidRPr="00F74D90">
              <w:rPr>
                <w:rFonts w:ascii="Arial Narrow" w:hAnsi="Arial Narrow"/>
                <w:sz w:val="20"/>
              </w:rPr>
              <w:t>53 (23.0)</w:t>
            </w:r>
          </w:p>
        </w:tc>
        <w:tc>
          <w:tcPr>
            <w:tcW w:w="763" w:type="pct"/>
          </w:tcPr>
          <w:p w14:paraId="48F92D74" w14:textId="77777777" w:rsidR="00F74D90" w:rsidRPr="00F74D90" w:rsidRDefault="00F74D90" w:rsidP="00FB6F65">
            <w:pPr>
              <w:pStyle w:val="Tablenotes"/>
              <w:jc w:val="center"/>
              <w:rPr>
                <w:rFonts w:ascii="Arial Narrow" w:hAnsi="Arial Narrow"/>
                <w:sz w:val="20"/>
              </w:rPr>
            </w:pPr>
            <w:r w:rsidRPr="00F74D90">
              <w:rPr>
                <w:rFonts w:ascii="Arial Narrow" w:hAnsi="Arial Narrow"/>
                <w:sz w:val="20"/>
              </w:rPr>
              <w:t>103 (39.6)</w:t>
            </w:r>
          </w:p>
        </w:tc>
        <w:tc>
          <w:tcPr>
            <w:tcW w:w="763" w:type="pct"/>
          </w:tcPr>
          <w:p w14:paraId="1A518A58" w14:textId="77777777" w:rsidR="00F74D90" w:rsidRPr="00F74D90" w:rsidRDefault="00F74D90" w:rsidP="00FB6F65">
            <w:pPr>
              <w:pStyle w:val="Tablenotes"/>
              <w:jc w:val="center"/>
              <w:rPr>
                <w:rFonts w:ascii="Arial Narrow" w:hAnsi="Arial Narrow"/>
                <w:sz w:val="20"/>
              </w:rPr>
            </w:pPr>
            <w:r w:rsidRPr="00F74D90">
              <w:rPr>
                <w:rFonts w:ascii="Arial Narrow" w:hAnsi="Arial Narrow"/>
                <w:sz w:val="20"/>
              </w:rPr>
              <w:t>116 (45.1)</w:t>
            </w:r>
          </w:p>
        </w:tc>
      </w:tr>
      <w:tr w:rsidR="00F74D90" w:rsidRPr="00F74D90" w14:paraId="3D68EFFE" w14:textId="77777777" w:rsidTr="00F74D90">
        <w:tc>
          <w:tcPr>
            <w:tcW w:w="1948" w:type="pct"/>
          </w:tcPr>
          <w:p w14:paraId="1E16187A" w14:textId="77777777" w:rsidR="00F74D90" w:rsidRPr="00F74D90" w:rsidRDefault="00F74D90" w:rsidP="00FB6F65">
            <w:pPr>
              <w:pStyle w:val="Tablenotes"/>
              <w:rPr>
                <w:rFonts w:ascii="Arial Narrow" w:hAnsi="Arial Narrow"/>
                <w:sz w:val="20"/>
              </w:rPr>
            </w:pPr>
            <w:r w:rsidRPr="00F74D90">
              <w:rPr>
                <w:rFonts w:ascii="Arial Narrow" w:hAnsi="Arial Narrow"/>
                <w:sz w:val="20"/>
              </w:rPr>
              <w:t>Alanine aminotransferase ≥2×ULN</w:t>
            </w:r>
          </w:p>
        </w:tc>
        <w:tc>
          <w:tcPr>
            <w:tcW w:w="763" w:type="pct"/>
          </w:tcPr>
          <w:p w14:paraId="50B5BFB5" w14:textId="77777777" w:rsidR="00F74D90" w:rsidRPr="00F74D90" w:rsidRDefault="00F74D90" w:rsidP="00FB6F65">
            <w:pPr>
              <w:pStyle w:val="Tablenotes"/>
              <w:jc w:val="center"/>
              <w:rPr>
                <w:rFonts w:ascii="Arial Narrow" w:hAnsi="Arial Narrow"/>
                <w:sz w:val="20"/>
              </w:rPr>
            </w:pPr>
            <w:r w:rsidRPr="00F74D90">
              <w:rPr>
                <w:rFonts w:ascii="Arial Narrow" w:hAnsi="Arial Narrow"/>
                <w:sz w:val="20"/>
              </w:rPr>
              <w:t>12 (5.3)</w:t>
            </w:r>
          </w:p>
        </w:tc>
        <w:tc>
          <w:tcPr>
            <w:tcW w:w="763" w:type="pct"/>
          </w:tcPr>
          <w:p w14:paraId="67887637" w14:textId="77777777" w:rsidR="00F74D90" w:rsidRPr="00F74D90" w:rsidRDefault="00F74D90" w:rsidP="00FB6F65">
            <w:pPr>
              <w:pStyle w:val="Tablenotes"/>
              <w:jc w:val="center"/>
              <w:rPr>
                <w:rFonts w:ascii="Arial Narrow" w:hAnsi="Arial Narrow"/>
                <w:sz w:val="20"/>
              </w:rPr>
            </w:pPr>
            <w:r w:rsidRPr="00F74D90">
              <w:rPr>
                <w:rFonts w:ascii="Arial Narrow" w:hAnsi="Arial Narrow"/>
                <w:sz w:val="20"/>
              </w:rPr>
              <w:t>32 (13.9)</w:t>
            </w:r>
          </w:p>
        </w:tc>
        <w:tc>
          <w:tcPr>
            <w:tcW w:w="763" w:type="pct"/>
          </w:tcPr>
          <w:p w14:paraId="792C18A8" w14:textId="77777777" w:rsidR="00F74D90" w:rsidRPr="00F74D90" w:rsidRDefault="00F74D90" w:rsidP="00FB6F65">
            <w:pPr>
              <w:pStyle w:val="Tablenotes"/>
              <w:jc w:val="center"/>
              <w:rPr>
                <w:rFonts w:ascii="Arial Narrow" w:hAnsi="Arial Narrow"/>
                <w:sz w:val="20"/>
              </w:rPr>
            </w:pPr>
            <w:r w:rsidRPr="00F74D90">
              <w:rPr>
                <w:rFonts w:ascii="Arial Narrow" w:hAnsi="Arial Narrow"/>
                <w:sz w:val="20"/>
              </w:rPr>
              <w:t>NR</w:t>
            </w:r>
          </w:p>
        </w:tc>
        <w:tc>
          <w:tcPr>
            <w:tcW w:w="763" w:type="pct"/>
          </w:tcPr>
          <w:p w14:paraId="2BBAEED3" w14:textId="77777777" w:rsidR="00F74D90" w:rsidRPr="00F74D90" w:rsidRDefault="00F74D90" w:rsidP="00FB6F65">
            <w:pPr>
              <w:pStyle w:val="Tablenotes"/>
              <w:jc w:val="center"/>
              <w:rPr>
                <w:rFonts w:ascii="Arial Narrow" w:hAnsi="Arial Narrow"/>
                <w:sz w:val="20"/>
              </w:rPr>
            </w:pPr>
            <w:r w:rsidRPr="00F74D90">
              <w:rPr>
                <w:rFonts w:ascii="Arial Narrow" w:hAnsi="Arial Narrow"/>
                <w:sz w:val="20"/>
              </w:rPr>
              <w:t>NR</w:t>
            </w:r>
          </w:p>
        </w:tc>
      </w:tr>
      <w:tr w:rsidR="00F74D90" w:rsidRPr="00F74D90" w14:paraId="5D3A05D7" w14:textId="77777777" w:rsidTr="00F74D90">
        <w:tc>
          <w:tcPr>
            <w:tcW w:w="1948" w:type="pct"/>
          </w:tcPr>
          <w:p w14:paraId="7DCBA6DB" w14:textId="77777777" w:rsidR="00F74D90" w:rsidRPr="00F74D90" w:rsidRDefault="00F74D90" w:rsidP="00FB6F65">
            <w:pPr>
              <w:pStyle w:val="Tablenotes"/>
              <w:rPr>
                <w:rFonts w:ascii="Arial Narrow" w:hAnsi="Arial Narrow"/>
                <w:sz w:val="20"/>
              </w:rPr>
            </w:pPr>
            <w:r w:rsidRPr="00F74D90">
              <w:rPr>
                <w:rFonts w:ascii="Arial Narrow" w:hAnsi="Arial Narrow"/>
                <w:sz w:val="20"/>
              </w:rPr>
              <w:t>Absolute lymphocyte count &lt;500 cells per mm</w:t>
            </w:r>
            <w:r w:rsidRPr="00F74D90">
              <w:rPr>
                <w:rFonts w:ascii="Arial Narrow" w:hAnsi="Arial Narrow"/>
                <w:sz w:val="20"/>
                <w:vertAlign w:val="superscript"/>
              </w:rPr>
              <w:t>3</w:t>
            </w:r>
          </w:p>
        </w:tc>
        <w:tc>
          <w:tcPr>
            <w:tcW w:w="763" w:type="pct"/>
          </w:tcPr>
          <w:p w14:paraId="08CD199F" w14:textId="77777777" w:rsidR="00F74D90" w:rsidRPr="00F74D90" w:rsidRDefault="00F74D90" w:rsidP="00FB6F65">
            <w:pPr>
              <w:pStyle w:val="Tablenotes"/>
              <w:jc w:val="center"/>
              <w:rPr>
                <w:rFonts w:ascii="Arial Narrow" w:hAnsi="Arial Narrow"/>
                <w:sz w:val="20"/>
              </w:rPr>
            </w:pPr>
            <w:r w:rsidRPr="00F74D90">
              <w:rPr>
                <w:rFonts w:ascii="Arial Narrow" w:hAnsi="Arial Narrow"/>
                <w:sz w:val="20"/>
              </w:rPr>
              <w:t>4 (1.8)</w:t>
            </w:r>
          </w:p>
        </w:tc>
        <w:tc>
          <w:tcPr>
            <w:tcW w:w="763" w:type="pct"/>
          </w:tcPr>
          <w:p w14:paraId="3F5C9831" w14:textId="77777777" w:rsidR="00F74D90" w:rsidRPr="00F74D90" w:rsidRDefault="00F74D90" w:rsidP="00FB6F65">
            <w:pPr>
              <w:pStyle w:val="Tablenotes"/>
              <w:jc w:val="center"/>
              <w:rPr>
                <w:rFonts w:ascii="Arial Narrow" w:hAnsi="Arial Narrow"/>
                <w:sz w:val="20"/>
              </w:rPr>
            </w:pPr>
            <w:r w:rsidRPr="00F74D90">
              <w:rPr>
                <w:rFonts w:ascii="Arial Narrow" w:hAnsi="Arial Narrow"/>
                <w:sz w:val="20"/>
              </w:rPr>
              <w:t>100 (43.5)</w:t>
            </w:r>
          </w:p>
        </w:tc>
        <w:tc>
          <w:tcPr>
            <w:tcW w:w="763" w:type="pct"/>
          </w:tcPr>
          <w:p w14:paraId="5E4768D0" w14:textId="77777777" w:rsidR="00F74D90" w:rsidRPr="00F74D90" w:rsidRDefault="00F74D90" w:rsidP="00FB6F65">
            <w:pPr>
              <w:pStyle w:val="Tablenotes"/>
              <w:jc w:val="center"/>
              <w:rPr>
                <w:rFonts w:ascii="Arial Narrow" w:hAnsi="Arial Narrow"/>
                <w:sz w:val="20"/>
              </w:rPr>
            </w:pPr>
            <w:r w:rsidRPr="00F74D90">
              <w:rPr>
                <w:rFonts w:ascii="Arial Narrow" w:hAnsi="Arial Narrow"/>
                <w:sz w:val="20"/>
              </w:rPr>
              <w:t>NR</w:t>
            </w:r>
          </w:p>
        </w:tc>
        <w:tc>
          <w:tcPr>
            <w:tcW w:w="763" w:type="pct"/>
          </w:tcPr>
          <w:p w14:paraId="748CEBAB" w14:textId="77777777" w:rsidR="00F74D90" w:rsidRPr="00F74D90" w:rsidRDefault="00F74D90" w:rsidP="00FB6F65">
            <w:pPr>
              <w:pStyle w:val="Tablenotes"/>
              <w:jc w:val="center"/>
              <w:rPr>
                <w:rFonts w:ascii="Arial Narrow" w:hAnsi="Arial Narrow"/>
                <w:sz w:val="20"/>
              </w:rPr>
            </w:pPr>
            <w:r w:rsidRPr="00F74D90">
              <w:rPr>
                <w:rFonts w:ascii="Arial Narrow" w:hAnsi="Arial Narrow"/>
                <w:sz w:val="20"/>
              </w:rPr>
              <w:t>NR</w:t>
            </w:r>
          </w:p>
        </w:tc>
      </w:tr>
      <w:tr w:rsidR="00F74D90" w:rsidRPr="00F74D90" w14:paraId="032FA47F" w14:textId="77777777" w:rsidTr="00F74D90">
        <w:tc>
          <w:tcPr>
            <w:tcW w:w="1948" w:type="pct"/>
          </w:tcPr>
          <w:p w14:paraId="15FEF9BA" w14:textId="77777777" w:rsidR="00F74D90" w:rsidRPr="00F74D90" w:rsidRDefault="00F74D90" w:rsidP="00FB6F65">
            <w:pPr>
              <w:pStyle w:val="Tablenotes"/>
              <w:rPr>
                <w:rFonts w:ascii="Arial Narrow" w:hAnsi="Arial Narrow"/>
                <w:sz w:val="20"/>
              </w:rPr>
            </w:pPr>
            <w:r w:rsidRPr="00F74D90">
              <w:rPr>
                <w:rFonts w:ascii="Arial Narrow" w:hAnsi="Arial Narrow"/>
                <w:sz w:val="20"/>
              </w:rPr>
              <w:t>Any injection site reaction-related AE</w:t>
            </w:r>
          </w:p>
        </w:tc>
        <w:tc>
          <w:tcPr>
            <w:tcW w:w="763" w:type="pct"/>
          </w:tcPr>
          <w:p w14:paraId="71BF0845" w14:textId="77777777" w:rsidR="00F74D90" w:rsidRPr="00F74D90" w:rsidRDefault="00F74D90" w:rsidP="00FB6F65">
            <w:pPr>
              <w:pStyle w:val="Tablenotes"/>
              <w:jc w:val="center"/>
              <w:rPr>
                <w:rFonts w:ascii="Arial Narrow" w:hAnsi="Arial Narrow"/>
                <w:sz w:val="20"/>
              </w:rPr>
            </w:pPr>
            <w:r w:rsidRPr="00F74D90">
              <w:rPr>
                <w:rFonts w:ascii="Arial Narrow" w:hAnsi="Arial Narrow"/>
                <w:sz w:val="20"/>
              </w:rPr>
              <w:t>NR</w:t>
            </w:r>
          </w:p>
        </w:tc>
        <w:tc>
          <w:tcPr>
            <w:tcW w:w="763" w:type="pct"/>
          </w:tcPr>
          <w:p w14:paraId="48AD25A5" w14:textId="77777777" w:rsidR="00F74D90" w:rsidRPr="00F74D90" w:rsidRDefault="00F74D90" w:rsidP="00FB6F65">
            <w:pPr>
              <w:pStyle w:val="Tablenotes"/>
              <w:jc w:val="center"/>
              <w:rPr>
                <w:rFonts w:ascii="Arial Narrow" w:hAnsi="Arial Narrow"/>
                <w:sz w:val="20"/>
              </w:rPr>
            </w:pPr>
            <w:r w:rsidRPr="00F74D90">
              <w:rPr>
                <w:rFonts w:ascii="Arial Narrow" w:hAnsi="Arial Narrow"/>
                <w:sz w:val="20"/>
              </w:rPr>
              <w:t>NR</w:t>
            </w:r>
          </w:p>
        </w:tc>
        <w:tc>
          <w:tcPr>
            <w:tcW w:w="763" w:type="pct"/>
          </w:tcPr>
          <w:p w14:paraId="3589F80B" w14:textId="77777777" w:rsidR="00F74D90" w:rsidRPr="00F74D90" w:rsidRDefault="00F74D90" w:rsidP="00FB6F65">
            <w:pPr>
              <w:pStyle w:val="Tablenotes"/>
              <w:jc w:val="center"/>
              <w:rPr>
                <w:rFonts w:ascii="Arial Narrow" w:hAnsi="Arial Narrow"/>
                <w:sz w:val="20"/>
              </w:rPr>
            </w:pPr>
            <w:r w:rsidRPr="00F74D90">
              <w:rPr>
                <w:rFonts w:ascii="Arial Narrow" w:hAnsi="Arial Narrow"/>
                <w:sz w:val="20"/>
              </w:rPr>
              <w:t>10 (3.8)</w:t>
            </w:r>
            <w:r w:rsidRPr="00F74D90">
              <w:rPr>
                <w:rFonts w:ascii="Arial Narrow" w:hAnsi="Arial Narrow"/>
                <w:sz w:val="20"/>
                <w:vertAlign w:val="superscript"/>
              </w:rPr>
              <w:t>a</w:t>
            </w:r>
          </w:p>
        </w:tc>
        <w:tc>
          <w:tcPr>
            <w:tcW w:w="763" w:type="pct"/>
          </w:tcPr>
          <w:p w14:paraId="08FD9451" w14:textId="77777777" w:rsidR="00F74D90" w:rsidRPr="00F74D90" w:rsidRDefault="00F74D90" w:rsidP="00FB6F65">
            <w:pPr>
              <w:pStyle w:val="Tablenotes"/>
              <w:jc w:val="center"/>
              <w:rPr>
                <w:rFonts w:ascii="Arial Narrow" w:hAnsi="Arial Narrow"/>
                <w:sz w:val="20"/>
              </w:rPr>
            </w:pPr>
            <w:r w:rsidRPr="00F74D90">
              <w:rPr>
                <w:rFonts w:ascii="Arial Narrow" w:hAnsi="Arial Narrow"/>
                <w:sz w:val="20"/>
              </w:rPr>
              <w:t>31 (12.1)</w:t>
            </w:r>
            <w:r w:rsidRPr="00F74D90">
              <w:rPr>
                <w:rFonts w:ascii="Arial Narrow" w:hAnsi="Arial Narrow"/>
                <w:sz w:val="20"/>
                <w:vertAlign w:val="superscript"/>
              </w:rPr>
              <w:t>a</w:t>
            </w:r>
          </w:p>
        </w:tc>
      </w:tr>
      <w:tr w:rsidR="00F74D90" w:rsidRPr="00F74D90" w14:paraId="363C1AD3" w14:textId="77777777" w:rsidTr="00F74D90">
        <w:tc>
          <w:tcPr>
            <w:tcW w:w="1948" w:type="pct"/>
          </w:tcPr>
          <w:p w14:paraId="55C65109" w14:textId="77777777" w:rsidR="00F74D90" w:rsidRPr="00F74D90" w:rsidRDefault="00F74D90" w:rsidP="00FB6F65">
            <w:pPr>
              <w:pStyle w:val="Tablenotes"/>
              <w:rPr>
                <w:rFonts w:ascii="Arial Narrow" w:hAnsi="Arial Narrow"/>
                <w:sz w:val="20"/>
              </w:rPr>
            </w:pPr>
            <w:r w:rsidRPr="00F74D90">
              <w:rPr>
                <w:rFonts w:ascii="Arial Narrow" w:hAnsi="Arial Narrow"/>
                <w:sz w:val="20"/>
              </w:rPr>
              <w:t>Any hematologic-related AE</w:t>
            </w:r>
          </w:p>
        </w:tc>
        <w:tc>
          <w:tcPr>
            <w:tcW w:w="763" w:type="pct"/>
          </w:tcPr>
          <w:p w14:paraId="341FA941" w14:textId="77777777" w:rsidR="00F74D90" w:rsidRPr="00F74D90" w:rsidRDefault="00F74D90" w:rsidP="00FB6F65">
            <w:pPr>
              <w:pStyle w:val="Tablenotes"/>
              <w:jc w:val="center"/>
              <w:rPr>
                <w:rFonts w:ascii="Arial Narrow" w:hAnsi="Arial Narrow"/>
                <w:sz w:val="20"/>
              </w:rPr>
            </w:pPr>
            <w:r w:rsidRPr="00F74D90">
              <w:rPr>
                <w:rFonts w:ascii="Arial Narrow" w:hAnsi="Arial Narrow"/>
                <w:sz w:val="20"/>
              </w:rPr>
              <w:t>NR</w:t>
            </w:r>
          </w:p>
        </w:tc>
        <w:tc>
          <w:tcPr>
            <w:tcW w:w="763" w:type="pct"/>
          </w:tcPr>
          <w:p w14:paraId="3DACEB12" w14:textId="77777777" w:rsidR="00F74D90" w:rsidRPr="00F74D90" w:rsidRDefault="00F74D90" w:rsidP="00FB6F65">
            <w:pPr>
              <w:pStyle w:val="Tablenotes"/>
              <w:jc w:val="center"/>
              <w:rPr>
                <w:rFonts w:ascii="Arial Narrow" w:hAnsi="Arial Narrow"/>
                <w:sz w:val="20"/>
              </w:rPr>
            </w:pPr>
            <w:r w:rsidRPr="00F74D90">
              <w:rPr>
                <w:rFonts w:ascii="Arial Narrow" w:hAnsi="Arial Narrow"/>
                <w:sz w:val="20"/>
              </w:rPr>
              <w:t>NR</w:t>
            </w:r>
          </w:p>
        </w:tc>
        <w:tc>
          <w:tcPr>
            <w:tcW w:w="763" w:type="pct"/>
          </w:tcPr>
          <w:p w14:paraId="2DC2DDD1" w14:textId="77777777" w:rsidR="00F74D90" w:rsidRPr="00F74D90" w:rsidRDefault="00F74D90" w:rsidP="00FB6F65">
            <w:pPr>
              <w:pStyle w:val="Tablenotes"/>
              <w:jc w:val="center"/>
              <w:rPr>
                <w:rFonts w:ascii="Arial Narrow" w:hAnsi="Arial Narrow"/>
                <w:sz w:val="20"/>
              </w:rPr>
            </w:pPr>
            <w:r w:rsidRPr="00F74D90">
              <w:rPr>
                <w:rFonts w:ascii="Arial Narrow" w:hAnsi="Arial Narrow"/>
                <w:sz w:val="20"/>
              </w:rPr>
              <w:t>0</w:t>
            </w:r>
            <w:r w:rsidRPr="00F74D90">
              <w:rPr>
                <w:rFonts w:ascii="Arial Narrow" w:hAnsi="Arial Narrow"/>
                <w:sz w:val="20"/>
                <w:vertAlign w:val="superscript"/>
              </w:rPr>
              <w:t>b</w:t>
            </w:r>
          </w:p>
        </w:tc>
        <w:tc>
          <w:tcPr>
            <w:tcW w:w="763" w:type="pct"/>
          </w:tcPr>
          <w:p w14:paraId="27C47152" w14:textId="77777777" w:rsidR="00F74D90" w:rsidRPr="00F74D90" w:rsidRDefault="00F74D90" w:rsidP="00FB6F65">
            <w:pPr>
              <w:pStyle w:val="Tablenotes"/>
              <w:jc w:val="center"/>
              <w:rPr>
                <w:rFonts w:ascii="Arial Narrow" w:hAnsi="Arial Narrow"/>
                <w:sz w:val="20"/>
              </w:rPr>
            </w:pPr>
            <w:r w:rsidRPr="00F74D90">
              <w:rPr>
                <w:rFonts w:ascii="Arial Narrow" w:hAnsi="Arial Narrow"/>
                <w:sz w:val="20"/>
              </w:rPr>
              <w:t>5 (1.9)</w:t>
            </w:r>
            <w:r w:rsidRPr="00F74D90">
              <w:rPr>
                <w:rFonts w:ascii="Arial Narrow" w:hAnsi="Arial Narrow"/>
                <w:sz w:val="20"/>
                <w:vertAlign w:val="superscript"/>
              </w:rPr>
              <w:t>b</w:t>
            </w:r>
          </w:p>
        </w:tc>
      </w:tr>
    </w:tbl>
    <w:p w14:paraId="22D430C8" w14:textId="61C2DF28" w:rsidR="00F74D90" w:rsidRPr="00E4724C" w:rsidRDefault="00F74D90" w:rsidP="00F74D90">
      <w:pPr>
        <w:pStyle w:val="Default"/>
        <w:spacing w:after="120"/>
        <w:rPr>
          <w:rFonts w:ascii="Arial Narrow" w:hAnsi="Arial Narrow"/>
          <w:bCs/>
          <w:color w:val="auto"/>
          <w:sz w:val="20"/>
          <w:szCs w:val="20"/>
        </w:rPr>
      </w:pPr>
      <w:r w:rsidRPr="00E4724C">
        <w:rPr>
          <w:rFonts w:ascii="Arial Narrow" w:hAnsi="Arial Narrow"/>
          <w:bCs/>
          <w:color w:val="auto"/>
          <w:sz w:val="20"/>
          <w:szCs w:val="20"/>
        </w:rPr>
        <w:t>Abbreviations: ADA = adalimumab; AE = adverse event; NR = not reported; OZA = ozanimod; ULN = upper limit normal</w:t>
      </w:r>
      <w:r w:rsidRPr="00E4724C">
        <w:rPr>
          <w:rFonts w:ascii="Arial Narrow" w:hAnsi="Arial Narrow"/>
          <w:bCs/>
          <w:color w:val="auto"/>
          <w:sz w:val="20"/>
          <w:szCs w:val="20"/>
        </w:rPr>
        <w:br/>
        <w:t>a. p&lt;0.001; b=0.030</w:t>
      </w:r>
    </w:p>
    <w:p w14:paraId="3B6E2419" w14:textId="6CE6A9AB" w:rsidR="004A3B8D" w:rsidRPr="00D061FD" w:rsidRDefault="00F74D90" w:rsidP="005A5950">
      <w:pPr>
        <w:pStyle w:val="3-BodyText"/>
        <w:rPr>
          <w:color w:val="000000" w:themeColor="text1"/>
        </w:rPr>
      </w:pPr>
      <w:r w:rsidRPr="00D061FD">
        <w:rPr>
          <w:color w:val="000000" w:themeColor="text1"/>
        </w:rPr>
        <w:t>In addition to the outcomes noted in the PSCR,</w:t>
      </w:r>
      <w:r w:rsidR="00523395" w:rsidRPr="00D061FD">
        <w:rPr>
          <w:color w:val="000000" w:themeColor="text1"/>
        </w:rPr>
        <w:t xml:space="preserve"> the ESC</w:t>
      </w:r>
      <w:r w:rsidRPr="00D061FD">
        <w:rPr>
          <w:color w:val="000000" w:themeColor="text1"/>
        </w:rPr>
        <w:t xml:space="preserve"> also</w:t>
      </w:r>
      <w:r w:rsidR="00523395" w:rsidRPr="00D061FD">
        <w:rPr>
          <w:color w:val="000000" w:themeColor="text1"/>
        </w:rPr>
        <w:t xml:space="preserve"> noted OZA appeared to be associated with numerically higher infection events (OZA 23% vs. PBO 11.9%) and liver function test derangement (ALT &gt;2x ULN, OZA 13.9% vs PBO 5.3%). Overall, the ESC considered the safety profiles of </w:t>
      </w:r>
      <w:proofErr w:type="gramStart"/>
      <w:r w:rsidR="00523395" w:rsidRPr="00D061FD">
        <w:rPr>
          <w:color w:val="000000" w:themeColor="text1"/>
        </w:rPr>
        <w:t>OZA</w:t>
      </w:r>
      <w:proofErr w:type="gramEnd"/>
      <w:r w:rsidR="00523395" w:rsidRPr="00D061FD">
        <w:rPr>
          <w:color w:val="000000" w:themeColor="text1"/>
        </w:rPr>
        <w:t xml:space="preserve"> and ADA was most reasonably characterised as different</w:t>
      </w:r>
      <w:r w:rsidR="00245900" w:rsidRPr="00D061FD">
        <w:rPr>
          <w:color w:val="000000" w:themeColor="text1"/>
        </w:rPr>
        <w:t xml:space="preserve">, with neither being </w:t>
      </w:r>
      <w:r w:rsidR="00D84C1F" w:rsidRPr="00D061FD">
        <w:rPr>
          <w:color w:val="000000" w:themeColor="text1"/>
        </w:rPr>
        <w:t>superior to the other.</w:t>
      </w:r>
    </w:p>
    <w:p w14:paraId="7A1772B6" w14:textId="4C5865D0" w:rsidR="00B60939" w:rsidRPr="00C9624D" w:rsidRDefault="00B60939" w:rsidP="00E9094A">
      <w:pPr>
        <w:pStyle w:val="4-SubsectionHeading"/>
      </w:pPr>
      <w:bookmarkStart w:id="36" w:name="_Toc22897644"/>
      <w:bookmarkStart w:id="37" w:name="_Toc113964285"/>
      <w:r w:rsidRPr="00C9624D">
        <w:t>Clinical claim</w:t>
      </w:r>
      <w:bookmarkEnd w:id="36"/>
      <w:bookmarkEnd w:id="37"/>
    </w:p>
    <w:p w14:paraId="289EAA5E" w14:textId="60F37BE4" w:rsidR="007C70FF" w:rsidRPr="006D2741" w:rsidRDefault="007D2102" w:rsidP="00B34BE4">
      <w:pPr>
        <w:pStyle w:val="3-BodyText"/>
        <w:rPr>
          <w:color w:val="0066FF"/>
        </w:rPr>
      </w:pPr>
      <w:r w:rsidRPr="006D2741">
        <w:t xml:space="preserve">The March 2022 submission </w:t>
      </w:r>
      <w:r w:rsidR="00B34BE4" w:rsidRPr="006D2741">
        <w:t xml:space="preserve">described OZA as non-inferior in terms of effectiveness and safety compared to IFX. The PBAC considered, at that time, whilst there were numerous uncertainties with the indirect comparisons due to differences in the trial designs and recruited populations, </w:t>
      </w:r>
      <w:proofErr w:type="gramStart"/>
      <w:r w:rsidR="00B34BE4" w:rsidRPr="006D2741">
        <w:t>taking into account</w:t>
      </w:r>
      <w:proofErr w:type="gramEnd"/>
      <w:r w:rsidR="00B34BE4" w:rsidRPr="006D2741">
        <w:t xml:space="preserve"> the totality of the available evidence, that the claim of non-inferior comparative effectiveness to the primary comparator, IFX, was adequately supported. The Committee considered that the analysis of OZA against the secondary comparators</w:t>
      </w:r>
      <w:r w:rsidR="00FB2630">
        <w:t xml:space="preserve"> (non-inferior comparative effectiveness and safety)</w:t>
      </w:r>
      <w:r w:rsidR="00B34BE4" w:rsidRPr="006D2741">
        <w:t xml:space="preserve"> was not informative. </w:t>
      </w:r>
      <w:r w:rsidR="00B34BE4" w:rsidRPr="006D2741">
        <w:rPr>
          <w:color w:val="000000" w:themeColor="text1"/>
        </w:rPr>
        <w:t xml:space="preserve">The PBAC also considered that the claim of non-inferior comparative safety to alternative therapies was adequately supported, however noted OZA appeared to have a different safety profile to other </w:t>
      </w:r>
      <w:proofErr w:type="spellStart"/>
      <w:r w:rsidR="00B855B3" w:rsidRPr="006D2741">
        <w:rPr>
          <w:color w:val="000000" w:themeColor="text1"/>
        </w:rPr>
        <w:t>b</w:t>
      </w:r>
      <w:r w:rsidR="00B34BE4" w:rsidRPr="006D2741">
        <w:rPr>
          <w:color w:val="000000" w:themeColor="text1"/>
        </w:rPr>
        <w:t>DMARDs</w:t>
      </w:r>
      <w:proofErr w:type="spellEnd"/>
      <w:r w:rsidR="00B855B3" w:rsidRPr="006D2741">
        <w:rPr>
          <w:color w:val="000000" w:themeColor="text1"/>
        </w:rPr>
        <w:t>/</w:t>
      </w:r>
      <w:proofErr w:type="spellStart"/>
      <w:r w:rsidR="00B855B3" w:rsidRPr="006D2741">
        <w:rPr>
          <w:color w:val="000000" w:themeColor="text1"/>
        </w:rPr>
        <w:t>tsDMARDs</w:t>
      </w:r>
      <w:proofErr w:type="spellEnd"/>
      <w:r w:rsidR="00B34BE4" w:rsidRPr="006D2741">
        <w:rPr>
          <w:color w:val="000000" w:themeColor="text1"/>
        </w:rPr>
        <w:t>.</w:t>
      </w:r>
    </w:p>
    <w:p w14:paraId="54D3A82D" w14:textId="6E0FE0ED" w:rsidR="005F7588" w:rsidRPr="006D2741" w:rsidRDefault="005F7588" w:rsidP="00E9094A">
      <w:pPr>
        <w:pStyle w:val="3-BodyText"/>
        <w:rPr>
          <w:rFonts w:eastAsia="Calibri"/>
        </w:rPr>
      </w:pPr>
      <w:r w:rsidRPr="006D2741">
        <w:rPr>
          <w:rFonts w:eastAsia="Calibri"/>
        </w:rPr>
        <w:lastRenderedPageBreak/>
        <w:t>The</w:t>
      </w:r>
      <w:r w:rsidR="00B34BE4" w:rsidRPr="006D2741">
        <w:rPr>
          <w:rFonts w:eastAsia="Calibri"/>
        </w:rPr>
        <w:t xml:space="preserve"> current</w:t>
      </w:r>
      <w:r w:rsidRPr="006D2741">
        <w:rPr>
          <w:rFonts w:eastAsia="Calibri"/>
        </w:rPr>
        <w:t xml:space="preserve"> submission described </w:t>
      </w:r>
      <w:r w:rsidR="007D2102" w:rsidRPr="006D2741">
        <w:rPr>
          <w:rFonts w:eastAsia="Calibri"/>
        </w:rPr>
        <w:t>OZA</w:t>
      </w:r>
      <w:r w:rsidRPr="006D2741">
        <w:rPr>
          <w:rFonts w:eastAsia="Calibri"/>
        </w:rPr>
        <w:t xml:space="preserve"> as superior</w:t>
      </w:r>
      <w:r w:rsidR="007D2102" w:rsidRPr="006D2741">
        <w:rPr>
          <w:rFonts w:eastAsia="Calibri"/>
        </w:rPr>
        <w:t xml:space="preserve"> </w:t>
      </w:r>
      <w:r w:rsidRPr="006D2741">
        <w:rPr>
          <w:rFonts w:eastAsia="Calibri"/>
        </w:rPr>
        <w:t xml:space="preserve">in terms of effectiveness compared to </w:t>
      </w:r>
      <w:r w:rsidR="007D2102" w:rsidRPr="006D2741">
        <w:rPr>
          <w:rFonts w:eastAsia="Calibri"/>
        </w:rPr>
        <w:t>ADA</w:t>
      </w:r>
      <w:r w:rsidR="00B34BE4" w:rsidRPr="006D2741">
        <w:rPr>
          <w:rFonts w:eastAsia="Calibri"/>
        </w:rPr>
        <w:t xml:space="preserve"> (as well as maintaining the previous</w:t>
      </w:r>
      <w:r w:rsidR="00440FFF">
        <w:rPr>
          <w:rFonts w:eastAsia="Calibri"/>
        </w:rPr>
        <w:t xml:space="preserve"> non-inferiority</w:t>
      </w:r>
      <w:r w:rsidR="00B34BE4" w:rsidRPr="006D2741">
        <w:rPr>
          <w:rFonts w:eastAsia="Calibri"/>
        </w:rPr>
        <w:t xml:space="preserve"> claim versus IFX</w:t>
      </w:r>
      <w:r w:rsidR="002D05D1">
        <w:rPr>
          <w:rFonts w:eastAsia="Calibri"/>
        </w:rPr>
        <w:t xml:space="preserve">). </w:t>
      </w:r>
      <w:r w:rsidR="002D05D1" w:rsidRPr="00D061FD">
        <w:rPr>
          <w:rFonts w:eastAsia="Calibri"/>
        </w:rPr>
        <w:t>The submission also made a supplementary claim of superiority over GOL (on the basis the PBAC previously considered GOL to be inferior to IFX in induction therapy)</w:t>
      </w:r>
      <w:r w:rsidRPr="00D061FD">
        <w:rPr>
          <w:rFonts w:eastAsia="Calibri"/>
        </w:rPr>
        <w:t xml:space="preserve">. </w:t>
      </w:r>
      <w:r w:rsidR="007D2102" w:rsidRPr="006D2741">
        <w:rPr>
          <w:rFonts w:eastAsia="Calibri"/>
        </w:rPr>
        <w:t>While the results of the MAIC (after matching) found statistically significant results favouring OZA for the outcomes of clinical response and endoscopic improvement in induction therapy</w:t>
      </w:r>
      <w:r w:rsidR="00440FFF">
        <w:rPr>
          <w:rFonts w:eastAsia="Calibri"/>
        </w:rPr>
        <w:t>, i</w:t>
      </w:r>
      <w:r w:rsidR="007D2102" w:rsidRPr="006D2741">
        <w:rPr>
          <w:rFonts w:eastAsia="Calibri"/>
        </w:rPr>
        <w:t>nterpretation of the results is complicated by</w:t>
      </w:r>
      <w:r w:rsidR="00AC3DBE" w:rsidRPr="006D2741">
        <w:rPr>
          <w:rFonts w:eastAsia="Calibri"/>
        </w:rPr>
        <w:t xml:space="preserve"> the </w:t>
      </w:r>
      <w:r w:rsidR="007D2102" w:rsidRPr="006D2741">
        <w:rPr>
          <w:rFonts w:eastAsia="Calibri"/>
        </w:rPr>
        <w:t>lack of an established MCID</w:t>
      </w:r>
      <w:r w:rsidR="00CB37B5" w:rsidRPr="006D2741">
        <w:rPr>
          <w:rFonts w:eastAsia="Calibri"/>
        </w:rPr>
        <w:t xml:space="preserve"> or </w:t>
      </w:r>
      <w:r w:rsidR="001D49C2" w:rsidRPr="006D2741">
        <w:rPr>
          <w:rFonts w:eastAsia="Calibri"/>
        </w:rPr>
        <w:t xml:space="preserve">NIM </w:t>
      </w:r>
      <w:r w:rsidR="007D2102" w:rsidRPr="006D2741">
        <w:rPr>
          <w:rFonts w:eastAsia="Calibri"/>
        </w:rPr>
        <w:t xml:space="preserve">in MSUC. </w:t>
      </w:r>
      <w:r w:rsidR="00523395" w:rsidRPr="00D061FD">
        <w:rPr>
          <w:rFonts w:eastAsia="Calibri"/>
        </w:rPr>
        <w:t>Overall, the ESC considered the claim that OZA is superior in terms of effectiveness compared to ADA was, on balance, likely to be reasonable, at least for some patients.</w:t>
      </w:r>
      <w:r w:rsidR="002D05D1" w:rsidRPr="00D061FD">
        <w:rPr>
          <w:rFonts w:eastAsia="Calibri"/>
        </w:rPr>
        <w:t xml:space="preserve"> For the reasons outlined in paragraph </w:t>
      </w:r>
      <w:r w:rsidR="002D05D1" w:rsidRPr="00D061FD">
        <w:rPr>
          <w:rFonts w:eastAsia="Calibri"/>
        </w:rPr>
        <w:fldChar w:fldCharType="begin"/>
      </w:r>
      <w:r w:rsidR="002D05D1" w:rsidRPr="00D061FD">
        <w:rPr>
          <w:rFonts w:eastAsia="Calibri"/>
        </w:rPr>
        <w:instrText xml:space="preserve"> REF _Ref116887267 \r \h </w:instrText>
      </w:r>
      <w:r w:rsidR="00D061FD">
        <w:rPr>
          <w:rFonts w:eastAsia="Calibri"/>
        </w:rPr>
        <w:instrText xml:space="preserve"> \* MERGEFORMAT </w:instrText>
      </w:r>
      <w:r w:rsidR="002D05D1" w:rsidRPr="00D061FD">
        <w:rPr>
          <w:rFonts w:eastAsia="Calibri"/>
        </w:rPr>
      </w:r>
      <w:r w:rsidR="002D05D1" w:rsidRPr="00D061FD">
        <w:rPr>
          <w:rFonts w:eastAsia="Calibri"/>
        </w:rPr>
        <w:fldChar w:fldCharType="separate"/>
      </w:r>
      <w:r w:rsidR="00340AC7">
        <w:rPr>
          <w:rFonts w:eastAsia="Calibri"/>
        </w:rPr>
        <w:t>6.30</w:t>
      </w:r>
      <w:r w:rsidR="002D05D1" w:rsidRPr="00D061FD">
        <w:rPr>
          <w:rFonts w:eastAsia="Calibri"/>
        </w:rPr>
        <w:fldChar w:fldCharType="end"/>
      </w:r>
      <w:r w:rsidR="002D05D1" w:rsidRPr="00D061FD">
        <w:rPr>
          <w:rFonts w:eastAsia="Calibri"/>
        </w:rPr>
        <w:t xml:space="preserve"> above, the ESC did not consider the claim of superior comparative effectiveness over GOL was adequately supported.</w:t>
      </w:r>
    </w:p>
    <w:p w14:paraId="7F613CD1" w14:textId="5334324A" w:rsidR="005F7588" w:rsidRPr="00CD4E7D" w:rsidRDefault="005F7588" w:rsidP="00E9094A">
      <w:pPr>
        <w:pStyle w:val="3-BodyText"/>
        <w:rPr>
          <w:rFonts w:eastAsia="Calibri"/>
        </w:rPr>
      </w:pPr>
      <w:r w:rsidRPr="006D2741">
        <w:rPr>
          <w:rFonts w:eastAsia="Calibri"/>
        </w:rPr>
        <w:t>The submission described</w:t>
      </w:r>
      <w:r w:rsidR="007D2102" w:rsidRPr="006D2741">
        <w:rPr>
          <w:rFonts w:eastAsia="Calibri"/>
        </w:rPr>
        <w:t xml:space="preserve"> OZA as having </w:t>
      </w:r>
      <w:r w:rsidR="00E23B77" w:rsidRPr="006D2741">
        <w:rPr>
          <w:rFonts w:eastAsia="Calibri"/>
        </w:rPr>
        <w:t xml:space="preserve">a </w:t>
      </w:r>
      <w:r w:rsidR="007D2102" w:rsidRPr="006D2741">
        <w:rPr>
          <w:rFonts w:eastAsia="Calibri"/>
        </w:rPr>
        <w:t>reduced risk of some adverse events (specifically the risk of infection) compared to ADA. While this specific claim may be supported</w:t>
      </w:r>
      <w:r w:rsidR="00B34BE4" w:rsidRPr="006D2741">
        <w:rPr>
          <w:rFonts w:eastAsia="Calibri"/>
        </w:rPr>
        <w:t xml:space="preserve"> (based on the MAIC)</w:t>
      </w:r>
      <w:r w:rsidR="007D2102" w:rsidRPr="006D2741">
        <w:rPr>
          <w:rFonts w:eastAsia="Calibri"/>
        </w:rPr>
        <w:t>, the</w:t>
      </w:r>
      <w:r w:rsidR="00523395">
        <w:rPr>
          <w:rFonts w:eastAsia="Calibri"/>
        </w:rPr>
        <w:t xml:space="preserve"> </w:t>
      </w:r>
      <w:r w:rsidR="00523395" w:rsidRPr="00D061FD">
        <w:rPr>
          <w:rFonts w:eastAsia="Calibri"/>
        </w:rPr>
        <w:t>ESC considered the</w:t>
      </w:r>
      <w:r w:rsidR="007D2102" w:rsidRPr="00D061FD">
        <w:rPr>
          <w:rFonts w:eastAsia="Calibri"/>
        </w:rPr>
        <w:t xml:space="preserve"> </w:t>
      </w:r>
      <w:r w:rsidR="00523395" w:rsidRPr="00D061FD">
        <w:rPr>
          <w:rFonts w:eastAsia="Calibri"/>
        </w:rPr>
        <w:t>individual</w:t>
      </w:r>
      <w:r w:rsidR="007B019F" w:rsidRPr="00D061FD">
        <w:rPr>
          <w:rFonts w:eastAsia="Calibri"/>
        </w:rPr>
        <w:t xml:space="preserve"> safety profile</w:t>
      </w:r>
      <w:r w:rsidR="00523395" w:rsidRPr="00D061FD">
        <w:rPr>
          <w:rFonts w:eastAsia="Calibri"/>
        </w:rPr>
        <w:t>s</w:t>
      </w:r>
      <w:r w:rsidR="007B019F" w:rsidRPr="00D061FD">
        <w:rPr>
          <w:rFonts w:eastAsia="Calibri"/>
        </w:rPr>
        <w:t xml:space="preserve"> of OZA </w:t>
      </w:r>
      <w:r w:rsidR="00523395" w:rsidRPr="00D061FD">
        <w:rPr>
          <w:rFonts w:eastAsia="Calibri"/>
        </w:rPr>
        <w:t>and ADA also require</w:t>
      </w:r>
      <w:r w:rsidR="00440FFF" w:rsidRPr="00D061FD">
        <w:rPr>
          <w:rFonts w:eastAsia="Calibri"/>
        </w:rPr>
        <w:t>d</w:t>
      </w:r>
      <w:r w:rsidR="00523395" w:rsidRPr="00D061FD">
        <w:rPr>
          <w:rFonts w:eastAsia="Calibri"/>
        </w:rPr>
        <w:t xml:space="preserve"> consideration and considered, on balance</w:t>
      </w:r>
      <w:r w:rsidR="0030139B" w:rsidRPr="00D061FD">
        <w:rPr>
          <w:rFonts w:eastAsia="Calibri"/>
        </w:rPr>
        <w:t>,</w:t>
      </w:r>
      <w:r w:rsidR="00523395" w:rsidRPr="00D061FD">
        <w:rPr>
          <w:rFonts w:eastAsia="Calibri"/>
        </w:rPr>
        <w:t xml:space="preserve"> that a claim of different but not worse safety was reasonable.</w:t>
      </w:r>
    </w:p>
    <w:p w14:paraId="6687DA7B" w14:textId="03695554" w:rsidR="00CD4E7D" w:rsidRPr="00B548CA" w:rsidRDefault="00CD4E7D" w:rsidP="00E9094A">
      <w:pPr>
        <w:pStyle w:val="3-BodyText"/>
        <w:rPr>
          <w:rFonts w:eastAsia="Calibri"/>
        </w:rPr>
      </w:pPr>
      <w:r w:rsidRPr="00D061FD">
        <w:rPr>
          <w:rFonts w:eastAsia="Calibri"/>
        </w:rPr>
        <w:t xml:space="preserve">The ESC also considered there </w:t>
      </w:r>
      <w:r w:rsidR="00D55AC3" w:rsidRPr="00D061FD">
        <w:rPr>
          <w:rFonts w:eastAsia="Calibri"/>
        </w:rPr>
        <w:t xml:space="preserve">was a modest overall clinical need for additional therapies for severe MSUC, however considered OZA, as an oral therapy with a new mechanism of action and comparable effectiveness to existing PBS listed therapies, </w:t>
      </w:r>
      <w:r w:rsidR="00D55AC3" w:rsidRPr="00B548CA">
        <w:rPr>
          <w:rFonts w:eastAsia="Calibri"/>
        </w:rPr>
        <w:t>may address a clinical need for some patients.</w:t>
      </w:r>
    </w:p>
    <w:p w14:paraId="5D70BC4B" w14:textId="162891A4" w:rsidR="00D061FD" w:rsidRPr="00B548CA" w:rsidRDefault="00D061FD" w:rsidP="00D061FD">
      <w:pPr>
        <w:widowControl w:val="0"/>
        <w:numPr>
          <w:ilvl w:val="1"/>
          <w:numId w:val="1"/>
        </w:numPr>
        <w:spacing w:after="120"/>
        <w:rPr>
          <w:rFonts w:asciiTheme="minorHAnsi" w:hAnsiTheme="minorHAnsi"/>
          <w:snapToGrid w:val="0"/>
          <w:szCs w:val="20"/>
        </w:rPr>
      </w:pPr>
      <w:bookmarkStart w:id="38" w:name="_Hlk76376200"/>
      <w:r w:rsidRPr="00B548CA">
        <w:rPr>
          <w:rFonts w:asciiTheme="minorHAnsi" w:hAnsiTheme="minorHAnsi"/>
          <w:iCs/>
          <w:snapToGrid w:val="0"/>
        </w:rPr>
        <w:t>The</w:t>
      </w:r>
      <w:r w:rsidRPr="00B548CA">
        <w:rPr>
          <w:rFonts w:asciiTheme="minorHAnsi" w:hAnsiTheme="minorHAnsi"/>
          <w:snapToGrid w:val="0"/>
          <w:szCs w:val="20"/>
        </w:rPr>
        <w:t xml:space="preserve"> PBAC</w:t>
      </w:r>
      <w:r w:rsidR="00B548CA" w:rsidRPr="00B548CA">
        <w:rPr>
          <w:rFonts w:asciiTheme="minorHAnsi" w:hAnsiTheme="minorHAnsi"/>
          <w:snapToGrid w:val="0"/>
          <w:szCs w:val="20"/>
        </w:rPr>
        <w:t xml:space="preserve"> reaffirmed its view previously expressed view (in March 2022) that a claim of non-inferior comparative effectiveness to IFX was adequately supported. The PBAC also considered</w:t>
      </w:r>
      <w:r w:rsidRPr="00B548CA">
        <w:rPr>
          <w:rFonts w:asciiTheme="minorHAnsi" w:hAnsiTheme="minorHAnsi"/>
          <w:snapToGrid w:val="0"/>
          <w:szCs w:val="20"/>
        </w:rPr>
        <w:t xml:space="preserve"> that the claim of superior comparative effectiveness</w:t>
      </w:r>
      <w:r w:rsidR="00B548CA" w:rsidRPr="00B548CA">
        <w:rPr>
          <w:rFonts w:asciiTheme="minorHAnsi" w:hAnsiTheme="minorHAnsi"/>
          <w:snapToGrid w:val="0"/>
          <w:szCs w:val="20"/>
        </w:rPr>
        <w:t xml:space="preserve"> to ADA</w:t>
      </w:r>
      <w:r w:rsidRPr="00B548CA">
        <w:rPr>
          <w:rFonts w:asciiTheme="minorHAnsi" w:hAnsiTheme="minorHAnsi"/>
          <w:snapToGrid w:val="0"/>
          <w:szCs w:val="20"/>
        </w:rPr>
        <w:t xml:space="preserve"> was </w:t>
      </w:r>
      <w:r w:rsidR="00B548CA" w:rsidRPr="00B548CA">
        <w:rPr>
          <w:rFonts w:asciiTheme="minorHAnsi" w:hAnsiTheme="minorHAnsi"/>
          <w:snapToGrid w:val="0"/>
          <w:szCs w:val="20"/>
        </w:rPr>
        <w:t>reasonable, however considered the claim of superior comparative effectiveness o</w:t>
      </w:r>
      <w:r w:rsidR="00740DBF">
        <w:rPr>
          <w:rFonts w:asciiTheme="minorHAnsi" w:hAnsiTheme="minorHAnsi"/>
          <w:snapToGrid w:val="0"/>
          <w:szCs w:val="20"/>
        </w:rPr>
        <w:t>ver</w:t>
      </w:r>
      <w:r w:rsidR="00B548CA" w:rsidRPr="00B548CA">
        <w:rPr>
          <w:rFonts w:asciiTheme="minorHAnsi" w:hAnsiTheme="minorHAnsi"/>
          <w:snapToGrid w:val="0"/>
          <w:szCs w:val="20"/>
        </w:rPr>
        <w:t xml:space="preserve"> GOL was not adequately supported.</w:t>
      </w:r>
    </w:p>
    <w:p w14:paraId="7AFB16FB" w14:textId="6572F086" w:rsidR="00D061FD" w:rsidRPr="00B548CA" w:rsidRDefault="00D061FD" w:rsidP="00D061FD">
      <w:pPr>
        <w:widowControl w:val="0"/>
        <w:numPr>
          <w:ilvl w:val="1"/>
          <w:numId w:val="1"/>
        </w:numPr>
        <w:spacing w:after="120"/>
        <w:rPr>
          <w:rFonts w:asciiTheme="minorHAnsi" w:hAnsiTheme="minorHAnsi"/>
          <w:snapToGrid w:val="0"/>
          <w:szCs w:val="20"/>
        </w:rPr>
      </w:pPr>
      <w:r w:rsidRPr="00B548CA">
        <w:rPr>
          <w:rFonts w:asciiTheme="minorHAnsi" w:hAnsiTheme="minorHAnsi"/>
          <w:snapToGrid w:val="0"/>
          <w:szCs w:val="20"/>
        </w:rPr>
        <w:t>The PBAC considered that</w:t>
      </w:r>
      <w:r w:rsidR="00B548CA" w:rsidRPr="00B548CA">
        <w:rPr>
          <w:rFonts w:asciiTheme="minorHAnsi" w:hAnsiTheme="minorHAnsi"/>
          <w:snapToGrid w:val="0"/>
          <w:szCs w:val="20"/>
        </w:rPr>
        <w:t xml:space="preserve"> a</w:t>
      </w:r>
      <w:r w:rsidRPr="00B548CA">
        <w:rPr>
          <w:rFonts w:asciiTheme="minorHAnsi" w:hAnsiTheme="minorHAnsi"/>
          <w:snapToGrid w:val="0"/>
          <w:szCs w:val="20"/>
        </w:rPr>
        <w:t xml:space="preserve"> claim of </w:t>
      </w:r>
      <w:bookmarkEnd w:id="38"/>
      <w:r w:rsidR="00B548CA" w:rsidRPr="00B548CA">
        <w:rPr>
          <w:rFonts w:asciiTheme="minorHAnsi" w:hAnsiTheme="minorHAnsi"/>
          <w:snapToGrid w:val="0"/>
          <w:szCs w:val="20"/>
        </w:rPr>
        <w:t xml:space="preserve">different but not worse safety to ADA and overall non-inferior comparative safety to the alternative </w:t>
      </w:r>
      <w:proofErr w:type="spellStart"/>
      <w:r w:rsidR="00B548CA" w:rsidRPr="00B548CA">
        <w:rPr>
          <w:rFonts w:asciiTheme="minorHAnsi" w:hAnsiTheme="minorHAnsi"/>
          <w:snapToGrid w:val="0"/>
          <w:szCs w:val="20"/>
        </w:rPr>
        <w:t>bDMARDs</w:t>
      </w:r>
      <w:proofErr w:type="spellEnd"/>
      <w:r w:rsidR="00B548CA" w:rsidRPr="00B548CA">
        <w:rPr>
          <w:rFonts w:asciiTheme="minorHAnsi" w:hAnsiTheme="minorHAnsi"/>
          <w:snapToGrid w:val="0"/>
          <w:szCs w:val="20"/>
        </w:rPr>
        <w:t>/</w:t>
      </w:r>
      <w:proofErr w:type="spellStart"/>
      <w:r w:rsidR="00B548CA" w:rsidRPr="00B548CA">
        <w:rPr>
          <w:rFonts w:asciiTheme="minorHAnsi" w:hAnsiTheme="minorHAnsi"/>
          <w:snapToGrid w:val="0"/>
          <w:szCs w:val="20"/>
        </w:rPr>
        <w:t>tsDMARDs</w:t>
      </w:r>
      <w:proofErr w:type="spellEnd"/>
      <w:r w:rsidR="00B548CA" w:rsidRPr="00B548CA">
        <w:rPr>
          <w:rFonts w:asciiTheme="minorHAnsi" w:hAnsiTheme="minorHAnsi"/>
          <w:snapToGrid w:val="0"/>
          <w:szCs w:val="20"/>
        </w:rPr>
        <w:t xml:space="preserve"> was reasonable.</w:t>
      </w:r>
    </w:p>
    <w:p w14:paraId="74A1172E" w14:textId="128C170E" w:rsidR="00B60939" w:rsidRPr="00C9624D" w:rsidRDefault="00B60939" w:rsidP="00E9094A">
      <w:pPr>
        <w:pStyle w:val="4-SubsectionHeading"/>
      </w:pPr>
      <w:bookmarkStart w:id="39" w:name="_Toc22897645"/>
      <w:bookmarkStart w:id="40" w:name="_Toc113964286"/>
      <w:r w:rsidRPr="00C9624D">
        <w:t>Economic analysis</w:t>
      </w:r>
      <w:bookmarkEnd w:id="39"/>
      <w:bookmarkEnd w:id="40"/>
      <w:r w:rsidR="00491B3A" w:rsidRPr="00C9624D">
        <w:t xml:space="preserve"> </w:t>
      </w:r>
    </w:p>
    <w:p w14:paraId="14C1E8F9" w14:textId="540DF5AD" w:rsidR="00275C5A" w:rsidRPr="006D2741" w:rsidRDefault="00915F48" w:rsidP="00641FB3">
      <w:pPr>
        <w:pStyle w:val="3-BodyText"/>
        <w:rPr>
          <w:b/>
          <w:bCs/>
          <w:color w:val="000000" w:themeColor="text1"/>
          <w:lang w:val="en-US"/>
        </w:rPr>
      </w:pPr>
      <w:r w:rsidRPr="006D2741">
        <w:rPr>
          <w:color w:val="000000" w:themeColor="text1"/>
        </w:rPr>
        <w:t xml:space="preserve">The submission did not present a revised economic analysis or request a change to the methodology of the cost minimisation approach </w:t>
      </w:r>
      <w:r w:rsidR="00440FFF">
        <w:rPr>
          <w:color w:val="000000" w:themeColor="text1"/>
        </w:rPr>
        <w:t xml:space="preserve">(CMA) </w:t>
      </w:r>
      <w:r w:rsidRPr="006D2741">
        <w:rPr>
          <w:color w:val="000000" w:themeColor="text1"/>
        </w:rPr>
        <w:t xml:space="preserve">from the previous submission; however, the </w:t>
      </w:r>
      <w:r w:rsidR="007B019F" w:rsidRPr="006D2741">
        <w:rPr>
          <w:color w:val="000000" w:themeColor="text1"/>
        </w:rPr>
        <w:t>main request in</w:t>
      </w:r>
      <w:r w:rsidRPr="006D2741">
        <w:rPr>
          <w:color w:val="000000" w:themeColor="text1"/>
        </w:rPr>
        <w:t xml:space="preserve"> the submission relates to which therapies should (or should not) be considered alternatives for the purposes of the cost minimisation approach.</w:t>
      </w:r>
      <w:r w:rsidR="00F97951" w:rsidRPr="006D2741">
        <w:rPr>
          <w:color w:val="000000" w:themeColor="text1"/>
        </w:rPr>
        <w:t xml:space="preserve"> Relevant detail from the March 2022 economic analysis section </w:t>
      </w:r>
      <w:proofErr w:type="gramStart"/>
      <w:r w:rsidR="00F97951" w:rsidRPr="006D2741">
        <w:rPr>
          <w:color w:val="000000" w:themeColor="text1"/>
        </w:rPr>
        <w:t>are</w:t>
      </w:r>
      <w:proofErr w:type="gramEnd"/>
      <w:r w:rsidR="00F97951" w:rsidRPr="006D2741">
        <w:rPr>
          <w:color w:val="000000" w:themeColor="text1"/>
        </w:rPr>
        <w:t xml:space="preserve"> presented below.</w:t>
      </w:r>
    </w:p>
    <w:p w14:paraId="495BA002" w14:textId="2F0BF297" w:rsidR="00523395" w:rsidRPr="0030139B" w:rsidRDefault="008633B9" w:rsidP="0030139B">
      <w:pPr>
        <w:pStyle w:val="3-BodyText"/>
        <w:rPr>
          <w:bCs/>
        </w:rPr>
      </w:pPr>
      <w:r w:rsidRPr="006D2741">
        <w:rPr>
          <w:bCs/>
        </w:rPr>
        <w:t>The</w:t>
      </w:r>
      <w:r w:rsidR="007B019F" w:rsidRPr="006D2741">
        <w:rPr>
          <w:bCs/>
        </w:rPr>
        <w:t xml:space="preserve"> March 2022</w:t>
      </w:r>
      <w:r w:rsidRPr="006D2741">
        <w:rPr>
          <w:bCs/>
        </w:rPr>
        <w:t xml:space="preserve"> submission presented a CMA of OZA compared with IFX IV, consistent with the claim of non-inferiority. The proposed </w:t>
      </w:r>
      <w:proofErr w:type="spellStart"/>
      <w:r w:rsidRPr="006D2741">
        <w:rPr>
          <w:bCs/>
        </w:rPr>
        <w:t>equi</w:t>
      </w:r>
      <w:proofErr w:type="spellEnd"/>
      <w:r w:rsidRPr="006D2741">
        <w:rPr>
          <w:bCs/>
        </w:rPr>
        <w:t>-effective doses were based on the recommended doses:</w:t>
      </w:r>
    </w:p>
    <w:p w14:paraId="732E5569" w14:textId="6BA974B7" w:rsidR="008633B9" w:rsidRPr="00523395" w:rsidRDefault="008633B9" w:rsidP="00523395">
      <w:pPr>
        <w:pStyle w:val="3-BodyText"/>
        <w:numPr>
          <w:ilvl w:val="0"/>
          <w:numId w:val="18"/>
        </w:numPr>
        <w:rPr>
          <w:bCs/>
        </w:rPr>
      </w:pPr>
      <w:r w:rsidRPr="006D2741">
        <w:rPr>
          <w:bCs/>
        </w:rPr>
        <w:lastRenderedPageBreak/>
        <w:t>OZA 0.23</w:t>
      </w:r>
      <w:r w:rsidR="00194CD8">
        <w:rPr>
          <w:bCs/>
        </w:rPr>
        <w:t> </w:t>
      </w:r>
      <w:r w:rsidRPr="006D2741">
        <w:rPr>
          <w:bCs/>
        </w:rPr>
        <w:t>mg on Days 1 to 4, 0.46</w:t>
      </w:r>
      <w:r w:rsidR="00194CD8">
        <w:rPr>
          <w:bCs/>
        </w:rPr>
        <w:t> </w:t>
      </w:r>
      <w:r w:rsidRPr="006D2741">
        <w:rPr>
          <w:bCs/>
        </w:rPr>
        <w:t>mg on Days 5 to 7, then 0.92</w:t>
      </w:r>
      <w:r w:rsidR="00194CD8">
        <w:rPr>
          <w:bCs/>
        </w:rPr>
        <w:t> </w:t>
      </w:r>
      <w:r w:rsidRPr="006D2741">
        <w:rPr>
          <w:bCs/>
        </w:rPr>
        <w:t>mg orally once daily</w:t>
      </w:r>
      <w:r w:rsidR="00523395">
        <w:rPr>
          <w:bCs/>
        </w:rPr>
        <w:t xml:space="preserve"> </w:t>
      </w:r>
      <w:r w:rsidRPr="00523395">
        <w:rPr>
          <w:rFonts w:cstheme="minorHAnsi"/>
          <w:snapToGrid/>
        </w:rPr>
        <w:t xml:space="preserve">≡ </w:t>
      </w:r>
      <w:r w:rsidRPr="00523395">
        <w:rPr>
          <w:bCs/>
        </w:rPr>
        <w:t>IFX 5</w:t>
      </w:r>
      <w:r w:rsidR="00194CD8">
        <w:rPr>
          <w:bCs/>
        </w:rPr>
        <w:t> </w:t>
      </w:r>
      <w:r w:rsidRPr="00523395">
        <w:rPr>
          <w:bCs/>
        </w:rPr>
        <w:t>mg/kg IV at Weeks 0, 2, 6 and then every 8 weeks from Week 14 on the assumption of four vials per infusion (average patient weight of 80 kg).</w:t>
      </w:r>
    </w:p>
    <w:p w14:paraId="05CDB8F5" w14:textId="18121DE9" w:rsidR="00D201BA" w:rsidRPr="006D2741" w:rsidRDefault="00D201BA" w:rsidP="008633B9">
      <w:pPr>
        <w:pStyle w:val="3-BodyText"/>
        <w:rPr>
          <w:bCs/>
        </w:rPr>
      </w:pPr>
      <w:r w:rsidRPr="006D2741">
        <w:rPr>
          <w:bCs/>
        </w:rPr>
        <w:t xml:space="preserve">At its March 2022 meeting, the PBAC considered the </w:t>
      </w:r>
      <w:proofErr w:type="spellStart"/>
      <w:r w:rsidRPr="006D2741">
        <w:rPr>
          <w:bCs/>
        </w:rPr>
        <w:t>equi</w:t>
      </w:r>
      <w:proofErr w:type="spellEnd"/>
      <w:r w:rsidRPr="006D2741">
        <w:rPr>
          <w:bCs/>
        </w:rPr>
        <w:t xml:space="preserve">-effective doses of OZA and the alternative </w:t>
      </w:r>
      <w:proofErr w:type="spellStart"/>
      <w:r w:rsidRPr="006D2741">
        <w:rPr>
          <w:bCs/>
        </w:rPr>
        <w:t>bDMARDs</w:t>
      </w:r>
      <w:proofErr w:type="spellEnd"/>
      <w:r w:rsidRPr="006D2741">
        <w:rPr>
          <w:bCs/>
        </w:rPr>
        <w:t>/</w:t>
      </w:r>
      <w:proofErr w:type="spellStart"/>
      <w:r w:rsidRPr="006D2741">
        <w:rPr>
          <w:bCs/>
        </w:rPr>
        <w:t>tsDMARDs</w:t>
      </w:r>
      <w:proofErr w:type="spellEnd"/>
      <w:r w:rsidRPr="006D2741">
        <w:rPr>
          <w:bCs/>
        </w:rPr>
        <w:t xml:space="preserve"> could be derived with reference to the relevant Product Information documents, noting the </w:t>
      </w:r>
      <w:proofErr w:type="spellStart"/>
      <w:r w:rsidRPr="006D2741">
        <w:rPr>
          <w:bCs/>
        </w:rPr>
        <w:t>equi</w:t>
      </w:r>
      <w:proofErr w:type="spellEnd"/>
      <w:r w:rsidRPr="006D2741">
        <w:rPr>
          <w:bCs/>
        </w:rPr>
        <w:t>-effective doses should account for the one-week titration period (noted above).</w:t>
      </w:r>
    </w:p>
    <w:p w14:paraId="10FB2C33" w14:textId="314CD422" w:rsidR="007B019F" w:rsidRPr="006D2741" w:rsidRDefault="007B019F" w:rsidP="008633B9">
      <w:pPr>
        <w:pStyle w:val="3-BodyText"/>
        <w:rPr>
          <w:bCs/>
        </w:rPr>
      </w:pPr>
      <w:r w:rsidRPr="006D2741">
        <w:rPr>
          <w:bCs/>
        </w:rPr>
        <w:t>At its March 2022 meeting, the PBAC considered</w:t>
      </w:r>
      <w:r w:rsidR="008C4C78" w:rsidRPr="006D2741">
        <w:rPr>
          <w:bCs/>
        </w:rPr>
        <w:t xml:space="preserve"> that a listing of OZA on a cost minimisation </w:t>
      </w:r>
      <w:r w:rsidR="00D201BA" w:rsidRPr="006D2741">
        <w:rPr>
          <w:bCs/>
        </w:rPr>
        <w:t>basis</w:t>
      </w:r>
      <w:r w:rsidR="008C4C78" w:rsidRPr="006D2741">
        <w:rPr>
          <w:bCs/>
        </w:rPr>
        <w:t xml:space="preserve"> with costs over two years, consistent with previous approaches for </w:t>
      </w:r>
      <w:proofErr w:type="spellStart"/>
      <w:r w:rsidR="00D201BA" w:rsidRPr="006D2741">
        <w:rPr>
          <w:bCs/>
        </w:rPr>
        <w:t>bDMARDs</w:t>
      </w:r>
      <w:proofErr w:type="spellEnd"/>
      <w:r w:rsidR="00D201BA" w:rsidRPr="006D2741">
        <w:rPr>
          <w:bCs/>
        </w:rPr>
        <w:t>/</w:t>
      </w:r>
      <w:proofErr w:type="spellStart"/>
      <w:r w:rsidR="00D201BA" w:rsidRPr="006D2741">
        <w:rPr>
          <w:bCs/>
        </w:rPr>
        <w:t>tsDMARDs</w:t>
      </w:r>
      <w:proofErr w:type="spellEnd"/>
      <w:r w:rsidR="008C4C78" w:rsidRPr="006D2741">
        <w:rPr>
          <w:bCs/>
        </w:rPr>
        <w:t xml:space="preserve"> was the most appropriate approach to determine the cost minimised effective price of OZA</w:t>
      </w:r>
      <w:r w:rsidR="00D201BA" w:rsidRPr="006D2741">
        <w:rPr>
          <w:bCs/>
        </w:rPr>
        <w:t xml:space="preserve"> for MSUC</w:t>
      </w:r>
      <w:r w:rsidR="008C4C78" w:rsidRPr="006D2741">
        <w:rPr>
          <w:bCs/>
        </w:rPr>
        <w:t>. The PBAC considered</w:t>
      </w:r>
      <w:r w:rsidR="00FB2630">
        <w:rPr>
          <w:bCs/>
        </w:rPr>
        <w:t xml:space="preserve"> in March 2022</w:t>
      </w:r>
      <w:r w:rsidR="008C4C78" w:rsidRPr="006D2741">
        <w:rPr>
          <w:bCs/>
        </w:rPr>
        <w:t xml:space="preserve"> that on a similar basis over a </w:t>
      </w:r>
      <w:r w:rsidR="00740DBF" w:rsidRPr="006D2741">
        <w:rPr>
          <w:bCs/>
        </w:rPr>
        <w:t>two-year</w:t>
      </w:r>
      <w:r w:rsidR="008C4C78" w:rsidRPr="006D2741">
        <w:rPr>
          <w:bCs/>
        </w:rPr>
        <w:t xml:space="preserve"> period, the cost of OZA should be no greater than any of the alternative therapies, including V</w:t>
      </w:r>
      <w:r w:rsidR="003872DE">
        <w:rPr>
          <w:bCs/>
        </w:rPr>
        <w:t>DZ</w:t>
      </w:r>
      <w:r w:rsidR="008C4C78" w:rsidRPr="006D2741">
        <w:rPr>
          <w:bCs/>
        </w:rPr>
        <w:t>, GOL, TOF or ADA.</w:t>
      </w:r>
    </w:p>
    <w:p w14:paraId="57BF8CBD" w14:textId="701EE733" w:rsidR="00DE4273" w:rsidRPr="00D061FD" w:rsidRDefault="00980F6C" w:rsidP="001E2F24">
      <w:pPr>
        <w:pStyle w:val="3-BodyText"/>
        <w:rPr>
          <w:color w:val="000000" w:themeColor="text1"/>
        </w:rPr>
      </w:pPr>
      <w:r w:rsidRPr="006D2741">
        <w:rPr>
          <w:bCs/>
        </w:rPr>
        <w:t xml:space="preserve">As no changes to the overall methodology of the </w:t>
      </w:r>
      <w:r w:rsidR="00A305A1" w:rsidRPr="006D2741">
        <w:rPr>
          <w:bCs/>
        </w:rPr>
        <w:t>CMA</w:t>
      </w:r>
      <w:r w:rsidRPr="006D2741">
        <w:rPr>
          <w:bCs/>
        </w:rPr>
        <w:t xml:space="preserve"> were proposed in the submission, </w:t>
      </w:r>
      <w:r w:rsidR="00D201BA" w:rsidRPr="006D2741">
        <w:rPr>
          <w:bCs/>
        </w:rPr>
        <w:t>a full summary is not presented</w:t>
      </w:r>
      <w:r w:rsidR="00523395">
        <w:rPr>
          <w:bCs/>
        </w:rPr>
        <w:t>.</w:t>
      </w:r>
      <w:r w:rsidR="00D201BA" w:rsidRPr="006D2741">
        <w:rPr>
          <w:bCs/>
        </w:rPr>
        <w:t xml:space="preserve"> The results of the </w:t>
      </w:r>
      <w:r w:rsidR="00A305A1" w:rsidRPr="006D2741">
        <w:rPr>
          <w:bCs/>
        </w:rPr>
        <w:t>CMA</w:t>
      </w:r>
      <w:r w:rsidR="00D201BA" w:rsidRPr="006D2741">
        <w:rPr>
          <w:bCs/>
        </w:rPr>
        <w:t xml:space="preserve"> and </w:t>
      </w:r>
      <w:r w:rsidR="00A305A1" w:rsidRPr="006D2741">
        <w:rPr>
          <w:bCs/>
        </w:rPr>
        <w:t xml:space="preserve">the </w:t>
      </w:r>
      <w:r w:rsidR="00D201BA" w:rsidRPr="006D2741">
        <w:rPr>
          <w:bCs/>
        </w:rPr>
        <w:t>cost-minimised effective price of OZA can be determined based on the overall methodology previously recommended by the PBAC at its March 2022 meeting (</w:t>
      </w:r>
      <w:r w:rsidR="00740DBF" w:rsidRPr="006D2741">
        <w:rPr>
          <w:bCs/>
        </w:rPr>
        <w:t>i.e.,</w:t>
      </w:r>
      <w:r w:rsidR="00D201BA" w:rsidRPr="006D2741">
        <w:rPr>
          <w:bCs/>
        </w:rPr>
        <w:t xml:space="preserve"> cost minimised over two years), based on the Committee’s advice regarding which therapies should be considered alternative therapies for the purposes of the </w:t>
      </w:r>
      <w:r w:rsidR="00A305A1" w:rsidRPr="006D2741">
        <w:rPr>
          <w:bCs/>
        </w:rPr>
        <w:t>CMA</w:t>
      </w:r>
      <w:r w:rsidR="00D201BA" w:rsidRPr="006D2741">
        <w:rPr>
          <w:bCs/>
        </w:rPr>
        <w:t xml:space="preserve">, </w:t>
      </w:r>
      <w:r w:rsidR="00A305A1" w:rsidRPr="006D2741">
        <w:rPr>
          <w:bCs/>
        </w:rPr>
        <w:t>noting</w:t>
      </w:r>
      <w:r w:rsidR="00D201BA" w:rsidRPr="006D2741">
        <w:rPr>
          <w:bCs/>
        </w:rPr>
        <w:t xml:space="preserve"> </w:t>
      </w:r>
      <w:proofErr w:type="spellStart"/>
      <w:r w:rsidR="00D201BA" w:rsidRPr="006D2741">
        <w:rPr>
          <w:bCs/>
        </w:rPr>
        <w:t>equi</w:t>
      </w:r>
      <w:proofErr w:type="spellEnd"/>
      <w:r w:rsidR="00D201BA" w:rsidRPr="006D2741">
        <w:rPr>
          <w:bCs/>
        </w:rPr>
        <w:t>-effective doses can be determined from the relevant Product Information documents.</w:t>
      </w:r>
      <w:r w:rsidR="00B72896" w:rsidRPr="00D061FD">
        <w:rPr>
          <w:bCs/>
        </w:rPr>
        <w:t xml:space="preserve"> </w:t>
      </w:r>
      <w:r w:rsidR="00523395" w:rsidRPr="00D061FD">
        <w:rPr>
          <w:color w:val="000000" w:themeColor="text1"/>
        </w:rPr>
        <w:t>Given the evaluation and ESC considered the claim of superior comparative effectiveness to GOL was not adequately supported</w:t>
      </w:r>
      <w:r w:rsidR="00BB4CA4" w:rsidRPr="00D061FD">
        <w:rPr>
          <w:color w:val="000000" w:themeColor="text1"/>
        </w:rPr>
        <w:t xml:space="preserve"> (paragraph </w:t>
      </w:r>
      <w:r w:rsidR="00BB4CA4" w:rsidRPr="00D061FD">
        <w:rPr>
          <w:color w:val="000000" w:themeColor="text1"/>
        </w:rPr>
        <w:fldChar w:fldCharType="begin"/>
      </w:r>
      <w:r w:rsidR="00BB4CA4" w:rsidRPr="00D061FD">
        <w:rPr>
          <w:color w:val="000000" w:themeColor="text1"/>
        </w:rPr>
        <w:instrText xml:space="preserve"> REF _Ref112147179 \r \h </w:instrText>
      </w:r>
      <w:r w:rsidR="006D2741" w:rsidRPr="00D061FD">
        <w:rPr>
          <w:color w:val="000000" w:themeColor="text1"/>
        </w:rPr>
        <w:instrText xml:space="preserve"> \* MERGEFORMAT </w:instrText>
      </w:r>
      <w:r w:rsidR="00BB4CA4" w:rsidRPr="00D061FD">
        <w:rPr>
          <w:color w:val="000000" w:themeColor="text1"/>
        </w:rPr>
      </w:r>
      <w:r w:rsidR="00BB4CA4" w:rsidRPr="00D061FD">
        <w:rPr>
          <w:color w:val="000000" w:themeColor="text1"/>
        </w:rPr>
        <w:fldChar w:fldCharType="separate"/>
      </w:r>
      <w:r w:rsidR="00340AC7">
        <w:rPr>
          <w:color w:val="000000" w:themeColor="text1"/>
        </w:rPr>
        <w:t>6.30</w:t>
      </w:r>
      <w:r w:rsidR="00BB4CA4" w:rsidRPr="00D061FD">
        <w:rPr>
          <w:color w:val="000000" w:themeColor="text1"/>
        </w:rPr>
        <w:fldChar w:fldCharType="end"/>
      </w:r>
      <w:r w:rsidR="00BB4CA4" w:rsidRPr="00D061FD">
        <w:rPr>
          <w:color w:val="000000" w:themeColor="text1"/>
        </w:rPr>
        <w:t>)</w:t>
      </w:r>
      <w:r w:rsidR="00523395" w:rsidRPr="00D061FD">
        <w:rPr>
          <w:color w:val="000000" w:themeColor="text1"/>
        </w:rPr>
        <w:t xml:space="preserve">, </w:t>
      </w:r>
      <w:r w:rsidR="00A305A1" w:rsidRPr="00D061FD">
        <w:rPr>
          <w:color w:val="000000" w:themeColor="text1"/>
        </w:rPr>
        <w:t>it may not be rea</w:t>
      </w:r>
      <w:r w:rsidR="00771C64" w:rsidRPr="00D061FD">
        <w:rPr>
          <w:color w:val="000000" w:themeColor="text1"/>
        </w:rPr>
        <w:t>sonable to</w:t>
      </w:r>
      <w:r w:rsidR="003872DE">
        <w:rPr>
          <w:color w:val="000000" w:themeColor="text1"/>
        </w:rPr>
        <w:t xml:space="preserve"> for OZA to be more costly than GOL</w:t>
      </w:r>
      <w:r w:rsidR="00AC3DBE" w:rsidRPr="00D061FD">
        <w:rPr>
          <w:color w:val="000000" w:themeColor="text1"/>
        </w:rPr>
        <w:t>.</w:t>
      </w:r>
      <w:r w:rsidR="00BB4CA4" w:rsidRPr="00D061FD">
        <w:rPr>
          <w:color w:val="000000" w:themeColor="text1"/>
        </w:rPr>
        <w:t xml:space="preserve"> </w:t>
      </w:r>
    </w:p>
    <w:p w14:paraId="0A65BB86" w14:textId="694A8360" w:rsidR="00D55AC3" w:rsidRPr="00D061FD" w:rsidRDefault="00D55AC3" w:rsidP="001E2F24">
      <w:pPr>
        <w:pStyle w:val="3-BodyText"/>
        <w:rPr>
          <w:color w:val="000000" w:themeColor="text1"/>
        </w:rPr>
      </w:pPr>
      <w:r w:rsidRPr="00D061FD">
        <w:rPr>
          <w:color w:val="000000" w:themeColor="text1"/>
        </w:rPr>
        <w:t>The ESC</w:t>
      </w:r>
      <w:r w:rsidR="00740DBF">
        <w:rPr>
          <w:color w:val="000000" w:themeColor="text1"/>
        </w:rPr>
        <w:t xml:space="preserve"> also</w:t>
      </w:r>
      <w:r w:rsidRPr="00D061FD">
        <w:rPr>
          <w:color w:val="000000" w:themeColor="text1"/>
        </w:rPr>
        <w:t xml:space="preserve"> noted IFX was subject to price disclosure-related reductions on 1 October 2022.</w:t>
      </w:r>
    </w:p>
    <w:p w14:paraId="472842D7" w14:textId="6C6C3446" w:rsidR="00C25D9C" w:rsidRDefault="00C25D9C" w:rsidP="00BB732D">
      <w:pPr>
        <w:pStyle w:val="4-SubsectionHeading"/>
      </w:pPr>
      <w:bookmarkStart w:id="41" w:name="_Toc22897646"/>
      <w:bookmarkStart w:id="42" w:name="_Toc113964287"/>
      <w:r w:rsidRPr="002C2775">
        <w:t>Drug</w:t>
      </w:r>
      <w:r w:rsidR="00F67468">
        <w:t xml:space="preserve"> </w:t>
      </w:r>
      <w:r w:rsidRPr="002C2775">
        <w:t>cost/patient</w:t>
      </w:r>
      <w:r w:rsidR="00F67468">
        <w:t>/</w:t>
      </w:r>
      <w:r w:rsidRPr="002C2775">
        <w:t>year</w:t>
      </w:r>
      <w:bookmarkEnd w:id="41"/>
      <w:bookmarkEnd w:id="42"/>
    </w:p>
    <w:p w14:paraId="4282C5E1" w14:textId="4EE40517" w:rsidR="00F67468" w:rsidRPr="00E073BE" w:rsidRDefault="00F67468" w:rsidP="00F67468">
      <w:pPr>
        <w:pStyle w:val="3-BodyText"/>
        <w:rPr>
          <w:snapToGrid/>
          <w:lang w:val="en-US"/>
        </w:rPr>
      </w:pPr>
      <w:bookmarkStart w:id="43" w:name="_Ref104805102"/>
      <w:r>
        <w:rPr>
          <w:snapToGrid/>
          <w:lang w:val="en-US"/>
        </w:rPr>
        <w:t>The expected cost per patient of OZA, at the effective price proposed in the March 2022 submission, is $</w:t>
      </w:r>
      <w:proofErr w:type="gramStart"/>
      <w:r w:rsidR="008B5381" w:rsidRPr="00340AC7">
        <w:rPr>
          <w:snapToGrid/>
          <w:color w:val="000000"/>
          <w:w w:val="15"/>
          <w:shd w:val="solid" w:color="000000" w:fill="000000"/>
          <w:fitText w:val="-20" w:id="-1305204992"/>
          <w:lang w:val="en-US"/>
          <w14:textFill>
            <w14:solidFill>
              <w14:srgbClr w14:val="000000">
                <w14:alpha w14:val="100000"/>
              </w14:srgbClr>
            </w14:solidFill>
          </w14:textFill>
        </w:rPr>
        <w:t xml:space="preserve">|  </w:t>
      </w:r>
      <w:r w:rsidR="008B5381" w:rsidRPr="00340AC7">
        <w:rPr>
          <w:snapToGrid/>
          <w:color w:val="000000"/>
          <w:spacing w:val="-69"/>
          <w:w w:val="15"/>
          <w:shd w:val="solid" w:color="000000" w:fill="000000"/>
          <w:fitText w:val="-20" w:id="-1305204992"/>
          <w:lang w:val="en-US"/>
          <w14:textFill>
            <w14:solidFill>
              <w14:srgbClr w14:val="000000">
                <w14:alpha w14:val="100000"/>
              </w14:srgbClr>
            </w14:solidFill>
          </w14:textFill>
        </w:rPr>
        <w:t>|</w:t>
      </w:r>
      <w:proofErr w:type="gramEnd"/>
      <w:r>
        <w:rPr>
          <w:snapToGrid/>
          <w:lang w:val="en-US"/>
        </w:rPr>
        <w:t xml:space="preserve"> over 52 weeks (a new effective price was not explicitly proposed in the submission</w:t>
      </w:r>
      <w:r w:rsidR="00455A9C">
        <w:rPr>
          <w:snapToGrid/>
          <w:lang w:val="en-US"/>
        </w:rPr>
        <w:t>);</w:t>
      </w:r>
      <w:r w:rsidR="00380C7B" w:rsidRPr="00D061FD">
        <w:rPr>
          <w:snapToGrid/>
          <w:lang w:val="en-US"/>
        </w:rPr>
        <w:t xml:space="preserve"> </w:t>
      </w:r>
      <w:r w:rsidR="00740DBF" w:rsidRPr="00D061FD">
        <w:rPr>
          <w:snapToGrid/>
          <w:lang w:val="en-US"/>
        </w:rPr>
        <w:t>however,</w:t>
      </w:r>
      <w:r w:rsidR="00380C7B" w:rsidRPr="00D061FD">
        <w:rPr>
          <w:snapToGrid/>
          <w:lang w:val="en-US"/>
        </w:rPr>
        <w:t xml:space="preserve"> the ESC noted the cost per patient per year will require re-calculation</w:t>
      </w:r>
      <w:r w:rsidR="00740DBF">
        <w:rPr>
          <w:snapToGrid/>
          <w:lang w:val="en-US"/>
        </w:rPr>
        <w:t xml:space="preserve"> following a recommendation,</w:t>
      </w:r>
      <w:r w:rsidR="00380C7B" w:rsidRPr="00D061FD">
        <w:rPr>
          <w:snapToGrid/>
          <w:lang w:val="en-US"/>
        </w:rPr>
        <w:t xml:space="preserve"> based on the advice of the PBAC.</w:t>
      </w:r>
    </w:p>
    <w:p w14:paraId="268768EF" w14:textId="3626F292" w:rsidR="00B60939" w:rsidRPr="00C9624D" w:rsidRDefault="00B60939" w:rsidP="002B05A1">
      <w:pPr>
        <w:pStyle w:val="4-SubsectionHeading"/>
      </w:pPr>
      <w:bookmarkStart w:id="44" w:name="_Toc22897647"/>
      <w:bookmarkStart w:id="45" w:name="_Toc113964288"/>
      <w:bookmarkEnd w:id="43"/>
      <w:r w:rsidRPr="00C9624D">
        <w:t>Estimated PBS usage &amp; financial implications</w:t>
      </w:r>
      <w:bookmarkEnd w:id="44"/>
      <w:bookmarkEnd w:id="45"/>
    </w:p>
    <w:p w14:paraId="2B1F911D" w14:textId="50136898" w:rsidR="00AB1AFE" w:rsidRPr="00AB1AFE" w:rsidRDefault="00C25D9C" w:rsidP="00AB1AFE">
      <w:pPr>
        <w:pStyle w:val="3-BodyText"/>
        <w:rPr>
          <w:color w:val="0066FF"/>
        </w:rPr>
      </w:pPr>
      <w:r>
        <w:t xml:space="preserve">This submission </w:t>
      </w:r>
      <w:r w:rsidR="006D2741">
        <w:t>was not</w:t>
      </w:r>
      <w:r w:rsidR="00D23D11">
        <w:t xml:space="preserve"> </w:t>
      </w:r>
      <w:r>
        <w:t>considered by DUSC</w:t>
      </w:r>
      <w:r w:rsidRPr="00B50DB8">
        <w:rPr>
          <w:color w:val="0070C0"/>
        </w:rPr>
        <w:t>.</w:t>
      </w:r>
      <w:r w:rsidR="009F1127">
        <w:rPr>
          <w:color w:val="0070C0"/>
        </w:rPr>
        <w:t xml:space="preserve"> </w:t>
      </w:r>
      <w:r w:rsidR="009F1127" w:rsidRPr="00AB1AFE">
        <w:rPr>
          <w:color w:val="000000" w:themeColor="text1"/>
        </w:rPr>
        <w:t xml:space="preserve">The submission did not request any changes to the utilisation and financial estimates previously considered by the PBAC. </w:t>
      </w:r>
      <w:r w:rsidR="00B72896">
        <w:rPr>
          <w:color w:val="000000" w:themeColor="text1"/>
        </w:rPr>
        <w:t>R</w:t>
      </w:r>
      <w:r w:rsidR="00AB1AFE" w:rsidRPr="00AB1AFE">
        <w:rPr>
          <w:color w:val="000000" w:themeColor="text1"/>
        </w:rPr>
        <w:t>elevant extracts from the March 2022 PSD are reproduced here.</w:t>
      </w:r>
    </w:p>
    <w:p w14:paraId="234B6475" w14:textId="15F85A4E" w:rsidR="00AB1AFE" w:rsidRPr="009A0E7B" w:rsidRDefault="00AB1AFE" w:rsidP="00AB1AFE">
      <w:pPr>
        <w:pStyle w:val="3-BodyText"/>
      </w:pPr>
      <w:r w:rsidRPr="009A0E7B">
        <w:t>The estimated net financial implications for the proposed listing of OZA for MSUC over the first 6 years are summarised in</w:t>
      </w:r>
      <w:r>
        <w:t xml:space="preserve"> the table below</w:t>
      </w:r>
      <w:r w:rsidRPr="009A0E7B">
        <w:t xml:space="preserve"> </w:t>
      </w:r>
      <w:r>
        <w:t xml:space="preserve">(revised during the </w:t>
      </w:r>
      <w:r w:rsidR="00AC3DBE">
        <w:t xml:space="preserve">March 2022 </w:t>
      </w:r>
      <w:r>
        <w:t xml:space="preserve">evaluation to correct for </w:t>
      </w:r>
      <w:r w:rsidRPr="009A0E7B">
        <w:t xml:space="preserve">annual growth rates and weighted uptake rates of individual </w:t>
      </w:r>
      <w:proofErr w:type="spellStart"/>
      <w:r w:rsidRPr="009A0E7B">
        <w:t>bDMARDs</w:t>
      </w:r>
      <w:proofErr w:type="spellEnd"/>
      <w:r w:rsidR="00B855B3">
        <w:t>/</w:t>
      </w:r>
      <w:proofErr w:type="spellStart"/>
      <w:r w:rsidR="00B855B3">
        <w:t>tsDMARDs</w:t>
      </w:r>
      <w:proofErr w:type="spellEnd"/>
      <w:r>
        <w:t xml:space="preserve">, the corrected daily cost of OZA on the basis of the CMA compared to IFX </w:t>
      </w:r>
      <w:proofErr w:type="gramStart"/>
      <w:r>
        <w:t>IV, and</w:t>
      </w:r>
      <w:proofErr w:type="gramEnd"/>
      <w:r>
        <w:t xml:space="preserve"> using MBS item 116)</w:t>
      </w:r>
      <w:r w:rsidRPr="009A0E7B">
        <w:t xml:space="preserve">. </w:t>
      </w:r>
      <w:r w:rsidRPr="006D2741">
        <w:t xml:space="preserve">The below is based on the original </w:t>
      </w:r>
      <w:r w:rsidRPr="006D2741">
        <w:lastRenderedPageBreak/>
        <w:t>submission requested published DPMQs of $588.01 for the titration pack, and $2,219.51 for the standard pack of OZA.</w:t>
      </w:r>
    </w:p>
    <w:p w14:paraId="694BB8D6" w14:textId="77DBD6EC" w:rsidR="00AB1AFE" w:rsidRDefault="00AB1AFE" w:rsidP="00AB1AFE">
      <w:pPr>
        <w:pStyle w:val="Caption"/>
      </w:pPr>
      <w:r>
        <w:t xml:space="preserve">Table </w:t>
      </w:r>
      <w:fldSimple w:instr=" SEQ Table \* ARABIC ">
        <w:r w:rsidR="00340AC7">
          <w:rPr>
            <w:noProof/>
          </w:rPr>
          <w:t>11</w:t>
        </w:r>
      </w:fldSimple>
      <w:r w:rsidRPr="00752C48">
        <w:t>: Estimated use and financial implications (based on effective price of OZA, using published price of comparators)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3"/>
        <w:gridCol w:w="916"/>
        <w:gridCol w:w="209"/>
        <w:gridCol w:w="958"/>
        <w:gridCol w:w="168"/>
        <w:gridCol w:w="999"/>
        <w:gridCol w:w="126"/>
        <w:gridCol w:w="1041"/>
        <w:gridCol w:w="85"/>
        <w:gridCol w:w="1082"/>
        <w:gridCol w:w="43"/>
        <w:gridCol w:w="1127"/>
      </w:tblGrid>
      <w:tr w:rsidR="00AB1AFE" w:rsidRPr="009A0E7B" w14:paraId="1BD90052" w14:textId="77777777" w:rsidTr="00936492">
        <w:trPr>
          <w:tblHeader/>
        </w:trPr>
        <w:tc>
          <w:tcPr>
            <w:tcW w:w="1255" w:type="pct"/>
            <w:shd w:val="clear" w:color="auto" w:fill="auto"/>
            <w:vAlign w:val="center"/>
          </w:tcPr>
          <w:p w14:paraId="0ACB155A" w14:textId="77777777" w:rsidR="00AB1AFE" w:rsidRPr="009A0E7B" w:rsidRDefault="00AB1AFE" w:rsidP="00936492">
            <w:pPr>
              <w:pStyle w:val="In-tableHeading"/>
              <w:keepLines/>
              <w:jc w:val="center"/>
              <w:rPr>
                <w:lang w:val="en-AU"/>
              </w:rPr>
            </w:pPr>
          </w:p>
        </w:tc>
        <w:tc>
          <w:tcPr>
            <w:tcW w:w="508" w:type="pct"/>
            <w:shd w:val="clear" w:color="auto" w:fill="auto"/>
          </w:tcPr>
          <w:p w14:paraId="2BFED944" w14:textId="77777777" w:rsidR="00AB1AFE" w:rsidRPr="009A0E7B" w:rsidRDefault="00AB1AFE" w:rsidP="00936492">
            <w:pPr>
              <w:pStyle w:val="In-tableHeading"/>
              <w:keepLines/>
              <w:jc w:val="center"/>
              <w:rPr>
                <w:lang w:val="en-AU"/>
              </w:rPr>
            </w:pPr>
            <w:r w:rsidRPr="009A0E7B">
              <w:rPr>
                <w:lang w:val="en-AU"/>
              </w:rPr>
              <w:t>2022</w:t>
            </w:r>
          </w:p>
        </w:tc>
        <w:tc>
          <w:tcPr>
            <w:tcW w:w="647" w:type="pct"/>
            <w:gridSpan w:val="2"/>
            <w:shd w:val="clear" w:color="auto" w:fill="auto"/>
          </w:tcPr>
          <w:p w14:paraId="6AE1C8B0" w14:textId="77777777" w:rsidR="00AB1AFE" w:rsidRPr="009A0E7B" w:rsidRDefault="00AB1AFE" w:rsidP="00936492">
            <w:pPr>
              <w:pStyle w:val="In-tableHeading"/>
              <w:keepLines/>
              <w:jc w:val="center"/>
              <w:rPr>
                <w:lang w:val="en-AU"/>
              </w:rPr>
            </w:pPr>
            <w:r w:rsidRPr="009A0E7B">
              <w:rPr>
                <w:lang w:val="en-AU"/>
              </w:rPr>
              <w:t>2023</w:t>
            </w:r>
          </w:p>
        </w:tc>
        <w:tc>
          <w:tcPr>
            <w:tcW w:w="647" w:type="pct"/>
            <w:gridSpan w:val="2"/>
            <w:shd w:val="clear" w:color="auto" w:fill="auto"/>
          </w:tcPr>
          <w:p w14:paraId="72DCF09C" w14:textId="77777777" w:rsidR="00AB1AFE" w:rsidRPr="009A0E7B" w:rsidRDefault="00AB1AFE" w:rsidP="00936492">
            <w:pPr>
              <w:pStyle w:val="In-tableHeading"/>
              <w:keepLines/>
              <w:jc w:val="center"/>
              <w:rPr>
                <w:lang w:val="en-AU"/>
              </w:rPr>
            </w:pPr>
            <w:r w:rsidRPr="009A0E7B">
              <w:rPr>
                <w:lang w:val="en-AU"/>
              </w:rPr>
              <w:t>2024</w:t>
            </w:r>
          </w:p>
        </w:tc>
        <w:tc>
          <w:tcPr>
            <w:tcW w:w="647" w:type="pct"/>
            <w:gridSpan w:val="2"/>
            <w:shd w:val="clear" w:color="auto" w:fill="auto"/>
          </w:tcPr>
          <w:p w14:paraId="2107876F" w14:textId="77777777" w:rsidR="00AB1AFE" w:rsidRPr="009A0E7B" w:rsidRDefault="00AB1AFE" w:rsidP="00936492">
            <w:pPr>
              <w:pStyle w:val="In-tableHeading"/>
              <w:keepLines/>
              <w:jc w:val="center"/>
              <w:rPr>
                <w:lang w:val="en-AU"/>
              </w:rPr>
            </w:pPr>
            <w:r w:rsidRPr="009A0E7B">
              <w:rPr>
                <w:lang w:val="en-AU"/>
              </w:rPr>
              <w:t>2025</w:t>
            </w:r>
          </w:p>
        </w:tc>
        <w:tc>
          <w:tcPr>
            <w:tcW w:w="647" w:type="pct"/>
            <w:gridSpan w:val="2"/>
            <w:shd w:val="clear" w:color="auto" w:fill="auto"/>
          </w:tcPr>
          <w:p w14:paraId="38E3836B" w14:textId="77777777" w:rsidR="00AB1AFE" w:rsidRPr="009A0E7B" w:rsidRDefault="00AB1AFE" w:rsidP="00936492">
            <w:pPr>
              <w:pStyle w:val="In-tableHeading"/>
              <w:keepLines/>
              <w:jc w:val="center"/>
              <w:rPr>
                <w:lang w:val="en-AU"/>
              </w:rPr>
            </w:pPr>
            <w:r w:rsidRPr="009A0E7B">
              <w:rPr>
                <w:lang w:val="en-AU"/>
              </w:rPr>
              <w:t>2026</w:t>
            </w:r>
          </w:p>
        </w:tc>
        <w:tc>
          <w:tcPr>
            <w:tcW w:w="649" w:type="pct"/>
            <w:gridSpan w:val="2"/>
          </w:tcPr>
          <w:p w14:paraId="0B356E66" w14:textId="77777777" w:rsidR="00AB1AFE" w:rsidRPr="009A0E7B" w:rsidRDefault="00AB1AFE" w:rsidP="00936492">
            <w:pPr>
              <w:pStyle w:val="In-tableHeading"/>
              <w:keepLines/>
              <w:jc w:val="center"/>
              <w:rPr>
                <w:lang w:val="en-AU"/>
              </w:rPr>
            </w:pPr>
            <w:r w:rsidRPr="009A0E7B">
              <w:rPr>
                <w:lang w:val="en-AU"/>
              </w:rPr>
              <w:t>2027</w:t>
            </w:r>
          </w:p>
        </w:tc>
      </w:tr>
      <w:tr w:rsidR="00AB1AFE" w:rsidRPr="009A0E7B" w14:paraId="3C4D7D8A" w14:textId="77777777" w:rsidTr="00936492">
        <w:tc>
          <w:tcPr>
            <w:tcW w:w="5000" w:type="pct"/>
            <w:gridSpan w:val="12"/>
            <w:shd w:val="clear" w:color="auto" w:fill="auto"/>
            <w:vAlign w:val="center"/>
          </w:tcPr>
          <w:p w14:paraId="6EEE0548" w14:textId="77777777" w:rsidR="00AB1AFE" w:rsidRPr="009A0E7B" w:rsidRDefault="00AB1AFE" w:rsidP="00936492">
            <w:pPr>
              <w:pStyle w:val="In-tableHeading"/>
              <w:keepLines/>
              <w:rPr>
                <w:bCs/>
                <w:color w:val="000000"/>
                <w:lang w:val="en-AU"/>
              </w:rPr>
            </w:pPr>
            <w:r w:rsidRPr="009A0E7B">
              <w:rPr>
                <w:bCs/>
                <w:color w:val="000000"/>
                <w:lang w:val="en-AU"/>
              </w:rPr>
              <w:t>Estimated extent of use</w:t>
            </w:r>
          </w:p>
        </w:tc>
      </w:tr>
      <w:tr w:rsidR="00AB1AFE" w:rsidRPr="009A0E7B" w14:paraId="0657CC05" w14:textId="77777777" w:rsidTr="00FB2630">
        <w:tc>
          <w:tcPr>
            <w:tcW w:w="1255" w:type="pct"/>
            <w:shd w:val="clear" w:color="auto" w:fill="DBE5F1" w:themeFill="accent1" w:themeFillTint="33"/>
            <w:vAlign w:val="center"/>
          </w:tcPr>
          <w:p w14:paraId="3ADAD155" w14:textId="77777777" w:rsidR="00AB1AFE" w:rsidRPr="009A0E7B" w:rsidRDefault="00AB1AFE" w:rsidP="00936492">
            <w:pPr>
              <w:pStyle w:val="TableText0"/>
              <w:keepLines/>
            </w:pPr>
            <w:r w:rsidRPr="009A0E7B">
              <w:t>Number of scripts dispensed (OZA initiation)</w:t>
            </w:r>
            <w:r w:rsidRPr="009A0E7B">
              <w:rPr>
                <w:vertAlign w:val="superscript"/>
              </w:rPr>
              <w:t>a</w:t>
            </w:r>
          </w:p>
        </w:tc>
        <w:tc>
          <w:tcPr>
            <w:tcW w:w="624" w:type="pct"/>
            <w:gridSpan w:val="2"/>
            <w:shd w:val="clear" w:color="auto" w:fill="DBE5F1" w:themeFill="accent1" w:themeFillTint="33"/>
            <w:vAlign w:val="center"/>
          </w:tcPr>
          <w:p w14:paraId="779D8357" w14:textId="0CC658F3" w:rsidR="00AB1AFE" w:rsidRPr="009A0E7B" w:rsidRDefault="008B5381" w:rsidP="00936492">
            <w:pPr>
              <w:pStyle w:val="TableText0"/>
              <w:keepLines/>
              <w:jc w:val="center"/>
            </w:pPr>
            <w:r w:rsidRPr="008B5381">
              <w:rPr>
                <w:rFonts w:hint="eastAsia"/>
                <w:color w:val="000000"/>
                <w:w w:val="22"/>
                <w:shd w:val="solid" w:color="000000" w:fill="000000"/>
                <w:fitText w:val="100" w:id="-1305204991"/>
                <w14:textFill>
                  <w14:solidFill>
                    <w14:srgbClr w14:val="000000">
                      <w14:alpha w14:val="100000"/>
                    </w14:srgbClr>
                  </w14:solidFill>
                </w14:textFill>
              </w:rPr>
              <w:t xml:space="preserve">　</w:t>
            </w:r>
            <w:r w:rsidRPr="008B5381">
              <w:rPr>
                <w:color w:val="000000"/>
                <w:w w:val="22"/>
                <w:shd w:val="solid" w:color="000000" w:fill="000000"/>
                <w:fitText w:val="100" w:id="-1305204991"/>
                <w14:textFill>
                  <w14:solidFill>
                    <w14:srgbClr w14:val="000000">
                      <w14:alpha w14:val="100000"/>
                    </w14:srgbClr>
                  </w14:solidFill>
                </w14:textFill>
              </w:rPr>
              <w:t>|</w:t>
            </w:r>
            <w:r w:rsidRPr="008B5381">
              <w:rPr>
                <w:rFonts w:hint="eastAsia"/>
                <w:color w:val="000000"/>
                <w:spacing w:val="3"/>
                <w:w w:val="22"/>
                <w:shd w:val="solid" w:color="000000" w:fill="000000"/>
                <w:fitText w:val="100" w:id="-1305204991"/>
                <w14:textFill>
                  <w14:solidFill>
                    <w14:srgbClr w14:val="000000">
                      <w14:alpha w14:val="100000"/>
                    </w14:srgbClr>
                  </w14:solidFill>
                </w14:textFill>
              </w:rPr>
              <w:t xml:space="preserve">　</w:t>
            </w:r>
            <w:r w:rsidR="00194CD8">
              <w:rPr>
                <w:vertAlign w:val="superscript"/>
              </w:rPr>
              <w:t>1</w:t>
            </w:r>
          </w:p>
        </w:tc>
        <w:tc>
          <w:tcPr>
            <w:tcW w:w="624" w:type="pct"/>
            <w:gridSpan w:val="2"/>
            <w:shd w:val="clear" w:color="auto" w:fill="DBE5F1" w:themeFill="accent1" w:themeFillTint="33"/>
            <w:vAlign w:val="center"/>
          </w:tcPr>
          <w:p w14:paraId="70C49C29" w14:textId="64E76B4E" w:rsidR="00AB1AFE" w:rsidRPr="009A0E7B" w:rsidRDefault="008B5381" w:rsidP="00936492">
            <w:pPr>
              <w:pStyle w:val="TableText0"/>
              <w:keepLines/>
              <w:jc w:val="center"/>
            </w:pPr>
            <w:r w:rsidRPr="008B5381">
              <w:rPr>
                <w:rFonts w:hint="eastAsia"/>
                <w:color w:val="000000"/>
                <w:w w:val="22"/>
                <w:shd w:val="solid" w:color="000000" w:fill="000000"/>
                <w:fitText w:val="100" w:id="-1305204990"/>
                <w14:textFill>
                  <w14:solidFill>
                    <w14:srgbClr w14:val="000000">
                      <w14:alpha w14:val="100000"/>
                    </w14:srgbClr>
                  </w14:solidFill>
                </w14:textFill>
              </w:rPr>
              <w:t xml:space="preserve">　</w:t>
            </w:r>
            <w:r w:rsidRPr="008B5381">
              <w:rPr>
                <w:color w:val="000000"/>
                <w:w w:val="22"/>
                <w:shd w:val="solid" w:color="000000" w:fill="000000"/>
                <w:fitText w:val="100" w:id="-1305204990"/>
                <w14:textFill>
                  <w14:solidFill>
                    <w14:srgbClr w14:val="000000">
                      <w14:alpha w14:val="100000"/>
                    </w14:srgbClr>
                  </w14:solidFill>
                </w14:textFill>
              </w:rPr>
              <w:t>|</w:t>
            </w:r>
            <w:r w:rsidRPr="008B5381">
              <w:rPr>
                <w:rFonts w:hint="eastAsia"/>
                <w:color w:val="000000"/>
                <w:spacing w:val="3"/>
                <w:w w:val="22"/>
                <w:shd w:val="solid" w:color="000000" w:fill="000000"/>
                <w:fitText w:val="100" w:id="-1305204990"/>
                <w14:textFill>
                  <w14:solidFill>
                    <w14:srgbClr w14:val="000000">
                      <w14:alpha w14:val="100000"/>
                    </w14:srgbClr>
                  </w14:solidFill>
                </w14:textFill>
              </w:rPr>
              <w:t xml:space="preserve">　</w:t>
            </w:r>
            <w:r w:rsidR="00194CD8">
              <w:rPr>
                <w:vertAlign w:val="superscript"/>
              </w:rPr>
              <w:t>1</w:t>
            </w:r>
            <w:r w:rsidR="00AB1AFE" w:rsidRPr="009A0E7B">
              <w:t xml:space="preserve"> </w:t>
            </w:r>
          </w:p>
        </w:tc>
        <w:tc>
          <w:tcPr>
            <w:tcW w:w="624" w:type="pct"/>
            <w:gridSpan w:val="2"/>
            <w:shd w:val="clear" w:color="auto" w:fill="DBE5F1" w:themeFill="accent1" w:themeFillTint="33"/>
            <w:vAlign w:val="center"/>
          </w:tcPr>
          <w:p w14:paraId="41A7BEF7" w14:textId="6FAAF5C2" w:rsidR="00AB1AFE" w:rsidRPr="009A0E7B" w:rsidRDefault="008B5381" w:rsidP="00936492">
            <w:pPr>
              <w:pStyle w:val="TableText0"/>
              <w:keepLines/>
              <w:jc w:val="center"/>
            </w:pPr>
            <w:r w:rsidRPr="008B5381">
              <w:rPr>
                <w:rFonts w:hint="eastAsia"/>
                <w:color w:val="000000"/>
                <w:w w:val="22"/>
                <w:shd w:val="solid" w:color="000000" w:fill="000000"/>
                <w:fitText w:val="100" w:id="-1305204989"/>
                <w14:textFill>
                  <w14:solidFill>
                    <w14:srgbClr w14:val="000000">
                      <w14:alpha w14:val="100000"/>
                    </w14:srgbClr>
                  </w14:solidFill>
                </w14:textFill>
              </w:rPr>
              <w:t xml:space="preserve">　</w:t>
            </w:r>
            <w:r w:rsidRPr="008B5381">
              <w:rPr>
                <w:color w:val="000000"/>
                <w:w w:val="22"/>
                <w:shd w:val="solid" w:color="000000" w:fill="000000"/>
                <w:fitText w:val="100" w:id="-1305204989"/>
                <w14:textFill>
                  <w14:solidFill>
                    <w14:srgbClr w14:val="000000">
                      <w14:alpha w14:val="100000"/>
                    </w14:srgbClr>
                  </w14:solidFill>
                </w14:textFill>
              </w:rPr>
              <w:t>|</w:t>
            </w:r>
            <w:r w:rsidRPr="008B5381">
              <w:rPr>
                <w:rFonts w:hint="eastAsia"/>
                <w:color w:val="000000"/>
                <w:spacing w:val="3"/>
                <w:w w:val="22"/>
                <w:shd w:val="solid" w:color="000000" w:fill="000000"/>
                <w:fitText w:val="100" w:id="-1305204989"/>
                <w14:textFill>
                  <w14:solidFill>
                    <w14:srgbClr w14:val="000000">
                      <w14:alpha w14:val="100000"/>
                    </w14:srgbClr>
                  </w14:solidFill>
                </w14:textFill>
              </w:rPr>
              <w:t xml:space="preserve">　</w:t>
            </w:r>
            <w:r w:rsidR="00194CD8">
              <w:rPr>
                <w:vertAlign w:val="superscript"/>
              </w:rPr>
              <w:t>1</w:t>
            </w:r>
          </w:p>
        </w:tc>
        <w:tc>
          <w:tcPr>
            <w:tcW w:w="624" w:type="pct"/>
            <w:gridSpan w:val="2"/>
            <w:shd w:val="clear" w:color="auto" w:fill="DBE5F1" w:themeFill="accent1" w:themeFillTint="33"/>
            <w:vAlign w:val="center"/>
          </w:tcPr>
          <w:p w14:paraId="5B55DD20" w14:textId="574E3036" w:rsidR="00AB1AFE" w:rsidRPr="009A0E7B" w:rsidRDefault="008B5381" w:rsidP="00936492">
            <w:pPr>
              <w:pStyle w:val="TableText0"/>
              <w:keepLines/>
              <w:jc w:val="center"/>
            </w:pPr>
            <w:r w:rsidRPr="008B5381">
              <w:rPr>
                <w:rFonts w:hint="eastAsia"/>
                <w:color w:val="000000"/>
                <w:w w:val="22"/>
                <w:shd w:val="solid" w:color="000000" w:fill="000000"/>
                <w:fitText w:val="101" w:id="-1305204988"/>
                <w14:textFill>
                  <w14:solidFill>
                    <w14:srgbClr w14:val="000000">
                      <w14:alpha w14:val="100000"/>
                    </w14:srgbClr>
                  </w14:solidFill>
                </w14:textFill>
              </w:rPr>
              <w:t xml:space="preserve">　</w:t>
            </w:r>
            <w:r w:rsidRPr="008B5381">
              <w:rPr>
                <w:color w:val="000000"/>
                <w:w w:val="22"/>
                <w:shd w:val="solid" w:color="000000" w:fill="000000"/>
                <w:fitText w:val="101" w:id="-1305204988"/>
                <w14:textFill>
                  <w14:solidFill>
                    <w14:srgbClr w14:val="000000">
                      <w14:alpha w14:val="100000"/>
                    </w14:srgbClr>
                  </w14:solidFill>
                </w14:textFill>
              </w:rPr>
              <w:t>|</w:t>
            </w:r>
            <w:r w:rsidRPr="008B5381">
              <w:rPr>
                <w:rFonts w:hint="eastAsia"/>
                <w:color w:val="000000"/>
                <w:spacing w:val="4"/>
                <w:w w:val="22"/>
                <w:shd w:val="solid" w:color="000000" w:fill="000000"/>
                <w:fitText w:val="101" w:id="-1305204988"/>
                <w14:textFill>
                  <w14:solidFill>
                    <w14:srgbClr w14:val="000000">
                      <w14:alpha w14:val="100000"/>
                    </w14:srgbClr>
                  </w14:solidFill>
                </w14:textFill>
              </w:rPr>
              <w:t xml:space="preserve">　</w:t>
            </w:r>
            <w:r w:rsidR="00194CD8">
              <w:rPr>
                <w:vertAlign w:val="superscript"/>
              </w:rPr>
              <w:t>1</w:t>
            </w:r>
            <w:r w:rsidR="00AB1AFE" w:rsidRPr="009A0E7B">
              <w:t xml:space="preserve"> </w:t>
            </w:r>
          </w:p>
        </w:tc>
        <w:tc>
          <w:tcPr>
            <w:tcW w:w="624" w:type="pct"/>
            <w:gridSpan w:val="2"/>
            <w:shd w:val="clear" w:color="auto" w:fill="DBE5F1" w:themeFill="accent1" w:themeFillTint="33"/>
            <w:vAlign w:val="center"/>
          </w:tcPr>
          <w:p w14:paraId="0810F4D6" w14:textId="6BBE3A88" w:rsidR="00AB1AFE" w:rsidRPr="009A0E7B" w:rsidRDefault="008B5381" w:rsidP="00936492">
            <w:pPr>
              <w:pStyle w:val="TableText0"/>
              <w:keepLines/>
              <w:jc w:val="center"/>
            </w:pPr>
            <w:r w:rsidRPr="008B5381">
              <w:rPr>
                <w:rFonts w:hint="eastAsia"/>
                <w:color w:val="000000"/>
                <w:w w:val="22"/>
                <w:shd w:val="solid" w:color="000000" w:fill="000000"/>
                <w:fitText w:val="101" w:id="-1305204987"/>
                <w14:textFill>
                  <w14:solidFill>
                    <w14:srgbClr w14:val="000000">
                      <w14:alpha w14:val="100000"/>
                    </w14:srgbClr>
                  </w14:solidFill>
                </w14:textFill>
              </w:rPr>
              <w:t xml:space="preserve">　</w:t>
            </w:r>
            <w:r w:rsidRPr="008B5381">
              <w:rPr>
                <w:color w:val="000000"/>
                <w:w w:val="22"/>
                <w:shd w:val="solid" w:color="000000" w:fill="000000"/>
                <w:fitText w:val="101" w:id="-1305204987"/>
                <w14:textFill>
                  <w14:solidFill>
                    <w14:srgbClr w14:val="000000">
                      <w14:alpha w14:val="100000"/>
                    </w14:srgbClr>
                  </w14:solidFill>
                </w14:textFill>
              </w:rPr>
              <w:t>|</w:t>
            </w:r>
            <w:r w:rsidRPr="008B5381">
              <w:rPr>
                <w:rFonts w:hint="eastAsia"/>
                <w:color w:val="000000"/>
                <w:spacing w:val="4"/>
                <w:w w:val="22"/>
                <w:shd w:val="solid" w:color="000000" w:fill="000000"/>
                <w:fitText w:val="101" w:id="-1305204987"/>
                <w14:textFill>
                  <w14:solidFill>
                    <w14:srgbClr w14:val="000000">
                      <w14:alpha w14:val="100000"/>
                    </w14:srgbClr>
                  </w14:solidFill>
                </w14:textFill>
              </w:rPr>
              <w:t xml:space="preserve">　</w:t>
            </w:r>
            <w:r w:rsidR="00194CD8">
              <w:rPr>
                <w:vertAlign w:val="superscript"/>
              </w:rPr>
              <w:t>1</w:t>
            </w:r>
            <w:r w:rsidR="00AB1AFE" w:rsidRPr="009A0E7B">
              <w:t xml:space="preserve"> </w:t>
            </w:r>
          </w:p>
        </w:tc>
        <w:tc>
          <w:tcPr>
            <w:tcW w:w="625" w:type="pct"/>
            <w:shd w:val="clear" w:color="auto" w:fill="DBE5F1" w:themeFill="accent1" w:themeFillTint="33"/>
            <w:vAlign w:val="center"/>
          </w:tcPr>
          <w:p w14:paraId="0D8D71EA" w14:textId="5D7B9042" w:rsidR="00AB1AFE" w:rsidRPr="009A0E7B" w:rsidRDefault="008B5381" w:rsidP="00936492">
            <w:pPr>
              <w:pStyle w:val="TableText0"/>
              <w:keepLines/>
              <w:jc w:val="center"/>
            </w:pPr>
            <w:r w:rsidRPr="008B5381">
              <w:rPr>
                <w:rFonts w:hint="eastAsia"/>
                <w:color w:val="000000"/>
                <w:w w:val="22"/>
                <w:shd w:val="solid" w:color="000000" w:fill="000000"/>
                <w:fitText w:val="101" w:id="-1305204986"/>
                <w14:textFill>
                  <w14:solidFill>
                    <w14:srgbClr w14:val="000000">
                      <w14:alpha w14:val="100000"/>
                    </w14:srgbClr>
                  </w14:solidFill>
                </w14:textFill>
              </w:rPr>
              <w:t xml:space="preserve">　</w:t>
            </w:r>
            <w:r w:rsidRPr="008B5381">
              <w:rPr>
                <w:color w:val="000000"/>
                <w:w w:val="22"/>
                <w:shd w:val="solid" w:color="000000" w:fill="000000"/>
                <w:fitText w:val="101" w:id="-1305204986"/>
                <w14:textFill>
                  <w14:solidFill>
                    <w14:srgbClr w14:val="000000">
                      <w14:alpha w14:val="100000"/>
                    </w14:srgbClr>
                  </w14:solidFill>
                </w14:textFill>
              </w:rPr>
              <w:t>|</w:t>
            </w:r>
            <w:r w:rsidRPr="008B5381">
              <w:rPr>
                <w:rFonts w:hint="eastAsia"/>
                <w:color w:val="000000"/>
                <w:spacing w:val="4"/>
                <w:w w:val="22"/>
                <w:shd w:val="solid" w:color="000000" w:fill="000000"/>
                <w:fitText w:val="101" w:id="-1305204986"/>
                <w14:textFill>
                  <w14:solidFill>
                    <w14:srgbClr w14:val="000000">
                      <w14:alpha w14:val="100000"/>
                    </w14:srgbClr>
                  </w14:solidFill>
                </w14:textFill>
              </w:rPr>
              <w:t xml:space="preserve">　</w:t>
            </w:r>
            <w:r w:rsidR="00194CD8">
              <w:rPr>
                <w:vertAlign w:val="superscript"/>
              </w:rPr>
              <w:t>1</w:t>
            </w:r>
            <w:r w:rsidR="00AB1AFE" w:rsidRPr="009A0E7B">
              <w:t xml:space="preserve"> </w:t>
            </w:r>
          </w:p>
        </w:tc>
      </w:tr>
      <w:tr w:rsidR="00AB1AFE" w:rsidRPr="009A0E7B" w14:paraId="70485367" w14:textId="77777777" w:rsidTr="00FB2630">
        <w:tc>
          <w:tcPr>
            <w:tcW w:w="1255" w:type="pct"/>
            <w:shd w:val="clear" w:color="auto" w:fill="DBE5F1" w:themeFill="accent1" w:themeFillTint="33"/>
            <w:vAlign w:val="center"/>
          </w:tcPr>
          <w:p w14:paraId="713A7D28" w14:textId="77777777" w:rsidR="00AB1AFE" w:rsidRPr="009A0E7B" w:rsidRDefault="00AB1AFE" w:rsidP="00936492">
            <w:pPr>
              <w:pStyle w:val="TableText0"/>
              <w:keepLines/>
            </w:pPr>
            <w:r w:rsidRPr="009A0E7B">
              <w:t>Number of scripts dispensed (OZA continuing)</w:t>
            </w:r>
            <w:r w:rsidRPr="009A0E7B">
              <w:rPr>
                <w:vertAlign w:val="superscript"/>
              </w:rPr>
              <w:t>a</w:t>
            </w:r>
          </w:p>
        </w:tc>
        <w:tc>
          <w:tcPr>
            <w:tcW w:w="624" w:type="pct"/>
            <w:gridSpan w:val="2"/>
            <w:shd w:val="clear" w:color="auto" w:fill="DBE5F1" w:themeFill="accent1" w:themeFillTint="33"/>
            <w:vAlign w:val="center"/>
          </w:tcPr>
          <w:p w14:paraId="6BE06136" w14:textId="4775A5F2" w:rsidR="00AB1AFE" w:rsidRPr="009A0E7B" w:rsidRDefault="008B5381" w:rsidP="00936492">
            <w:pPr>
              <w:pStyle w:val="TableText0"/>
              <w:keepLines/>
              <w:jc w:val="center"/>
            </w:pPr>
            <w:r w:rsidRPr="008B5381">
              <w:rPr>
                <w:rFonts w:hint="eastAsia"/>
                <w:color w:val="000000"/>
                <w:w w:val="22"/>
                <w:shd w:val="solid" w:color="000000" w:fill="000000"/>
                <w:fitText w:val="100" w:id="-1305204985"/>
                <w14:textFill>
                  <w14:solidFill>
                    <w14:srgbClr w14:val="000000">
                      <w14:alpha w14:val="100000"/>
                    </w14:srgbClr>
                  </w14:solidFill>
                </w14:textFill>
              </w:rPr>
              <w:t xml:space="preserve">　</w:t>
            </w:r>
            <w:r w:rsidRPr="008B5381">
              <w:rPr>
                <w:color w:val="000000"/>
                <w:w w:val="22"/>
                <w:shd w:val="solid" w:color="000000" w:fill="000000"/>
                <w:fitText w:val="100" w:id="-1305204985"/>
                <w14:textFill>
                  <w14:solidFill>
                    <w14:srgbClr w14:val="000000">
                      <w14:alpha w14:val="100000"/>
                    </w14:srgbClr>
                  </w14:solidFill>
                </w14:textFill>
              </w:rPr>
              <w:t>|</w:t>
            </w:r>
            <w:r w:rsidRPr="008B5381">
              <w:rPr>
                <w:rFonts w:hint="eastAsia"/>
                <w:color w:val="000000"/>
                <w:spacing w:val="3"/>
                <w:w w:val="22"/>
                <w:shd w:val="solid" w:color="000000" w:fill="000000"/>
                <w:fitText w:val="100" w:id="-1305204985"/>
                <w14:textFill>
                  <w14:solidFill>
                    <w14:srgbClr w14:val="000000">
                      <w14:alpha w14:val="100000"/>
                    </w14:srgbClr>
                  </w14:solidFill>
                </w14:textFill>
              </w:rPr>
              <w:t xml:space="preserve">　</w:t>
            </w:r>
            <w:r w:rsidR="00194CD8">
              <w:rPr>
                <w:vertAlign w:val="superscript"/>
              </w:rPr>
              <w:t>2</w:t>
            </w:r>
            <w:r w:rsidR="00AB1AFE" w:rsidRPr="009A0E7B">
              <w:t xml:space="preserve"> </w:t>
            </w:r>
          </w:p>
        </w:tc>
        <w:tc>
          <w:tcPr>
            <w:tcW w:w="624" w:type="pct"/>
            <w:gridSpan w:val="2"/>
            <w:shd w:val="clear" w:color="auto" w:fill="DBE5F1" w:themeFill="accent1" w:themeFillTint="33"/>
            <w:vAlign w:val="center"/>
          </w:tcPr>
          <w:p w14:paraId="19FE5439" w14:textId="0B33CE8D" w:rsidR="00AB1AFE" w:rsidRPr="009A0E7B" w:rsidRDefault="008B5381" w:rsidP="00936492">
            <w:pPr>
              <w:pStyle w:val="TableText0"/>
              <w:keepLines/>
              <w:jc w:val="center"/>
            </w:pPr>
            <w:r w:rsidRPr="008B5381">
              <w:rPr>
                <w:rFonts w:hint="eastAsia"/>
                <w:color w:val="000000"/>
                <w:w w:val="22"/>
                <w:shd w:val="solid" w:color="000000" w:fill="000000"/>
                <w:fitText w:val="100" w:id="-1305204984"/>
                <w14:textFill>
                  <w14:solidFill>
                    <w14:srgbClr w14:val="000000">
                      <w14:alpha w14:val="100000"/>
                    </w14:srgbClr>
                  </w14:solidFill>
                </w14:textFill>
              </w:rPr>
              <w:t xml:space="preserve">　</w:t>
            </w:r>
            <w:r w:rsidRPr="008B5381">
              <w:rPr>
                <w:color w:val="000000"/>
                <w:w w:val="22"/>
                <w:shd w:val="solid" w:color="000000" w:fill="000000"/>
                <w:fitText w:val="100" w:id="-1305204984"/>
                <w14:textFill>
                  <w14:solidFill>
                    <w14:srgbClr w14:val="000000">
                      <w14:alpha w14:val="100000"/>
                    </w14:srgbClr>
                  </w14:solidFill>
                </w14:textFill>
              </w:rPr>
              <w:t>|</w:t>
            </w:r>
            <w:r w:rsidRPr="008B5381">
              <w:rPr>
                <w:rFonts w:hint="eastAsia"/>
                <w:color w:val="000000"/>
                <w:spacing w:val="3"/>
                <w:w w:val="22"/>
                <w:shd w:val="solid" w:color="000000" w:fill="000000"/>
                <w:fitText w:val="100" w:id="-1305204984"/>
                <w14:textFill>
                  <w14:solidFill>
                    <w14:srgbClr w14:val="000000">
                      <w14:alpha w14:val="100000"/>
                    </w14:srgbClr>
                  </w14:solidFill>
                </w14:textFill>
              </w:rPr>
              <w:t xml:space="preserve">　</w:t>
            </w:r>
            <w:r w:rsidR="00194CD8" w:rsidRPr="008555E5">
              <w:rPr>
                <w:vertAlign w:val="superscript"/>
              </w:rPr>
              <w:t>2</w:t>
            </w:r>
            <w:r w:rsidR="00AB1AFE" w:rsidRPr="009A0E7B">
              <w:t xml:space="preserve"> </w:t>
            </w:r>
          </w:p>
        </w:tc>
        <w:tc>
          <w:tcPr>
            <w:tcW w:w="624" w:type="pct"/>
            <w:gridSpan w:val="2"/>
            <w:shd w:val="clear" w:color="auto" w:fill="DBE5F1" w:themeFill="accent1" w:themeFillTint="33"/>
            <w:vAlign w:val="center"/>
          </w:tcPr>
          <w:p w14:paraId="4CF1CF12" w14:textId="1A84B028" w:rsidR="00AB1AFE" w:rsidRPr="009A0E7B" w:rsidRDefault="008B5381" w:rsidP="00936492">
            <w:pPr>
              <w:pStyle w:val="TableText0"/>
              <w:keepLines/>
              <w:jc w:val="center"/>
            </w:pPr>
            <w:r w:rsidRPr="008B5381">
              <w:rPr>
                <w:rFonts w:hint="eastAsia"/>
                <w:color w:val="000000"/>
                <w:w w:val="22"/>
                <w:shd w:val="solid" w:color="000000" w:fill="000000"/>
                <w:fitText w:val="100" w:id="-1305204983"/>
                <w14:textFill>
                  <w14:solidFill>
                    <w14:srgbClr w14:val="000000">
                      <w14:alpha w14:val="100000"/>
                    </w14:srgbClr>
                  </w14:solidFill>
                </w14:textFill>
              </w:rPr>
              <w:t xml:space="preserve">　</w:t>
            </w:r>
            <w:r w:rsidRPr="008B5381">
              <w:rPr>
                <w:color w:val="000000"/>
                <w:w w:val="22"/>
                <w:shd w:val="solid" w:color="000000" w:fill="000000"/>
                <w:fitText w:val="100" w:id="-1305204983"/>
                <w14:textFill>
                  <w14:solidFill>
                    <w14:srgbClr w14:val="000000">
                      <w14:alpha w14:val="100000"/>
                    </w14:srgbClr>
                  </w14:solidFill>
                </w14:textFill>
              </w:rPr>
              <w:t>|</w:t>
            </w:r>
            <w:r w:rsidRPr="008B5381">
              <w:rPr>
                <w:rFonts w:hint="eastAsia"/>
                <w:color w:val="000000"/>
                <w:spacing w:val="3"/>
                <w:w w:val="22"/>
                <w:shd w:val="solid" w:color="000000" w:fill="000000"/>
                <w:fitText w:val="100" w:id="-1305204983"/>
                <w14:textFill>
                  <w14:solidFill>
                    <w14:srgbClr w14:val="000000">
                      <w14:alpha w14:val="100000"/>
                    </w14:srgbClr>
                  </w14:solidFill>
                </w14:textFill>
              </w:rPr>
              <w:t xml:space="preserve">　</w:t>
            </w:r>
            <w:r w:rsidR="00194CD8">
              <w:rPr>
                <w:vertAlign w:val="superscript"/>
              </w:rPr>
              <w:t>2</w:t>
            </w:r>
            <w:r w:rsidR="00AB1AFE" w:rsidRPr="009A0E7B">
              <w:t xml:space="preserve"> </w:t>
            </w:r>
          </w:p>
        </w:tc>
        <w:tc>
          <w:tcPr>
            <w:tcW w:w="624" w:type="pct"/>
            <w:gridSpan w:val="2"/>
            <w:shd w:val="clear" w:color="auto" w:fill="DBE5F1" w:themeFill="accent1" w:themeFillTint="33"/>
            <w:vAlign w:val="center"/>
          </w:tcPr>
          <w:p w14:paraId="73A1C080" w14:textId="32D14845" w:rsidR="00AB1AFE" w:rsidRPr="009A0E7B" w:rsidRDefault="008B5381" w:rsidP="00936492">
            <w:pPr>
              <w:pStyle w:val="TableText0"/>
              <w:keepLines/>
              <w:jc w:val="center"/>
            </w:pPr>
            <w:r w:rsidRPr="008B5381">
              <w:rPr>
                <w:rFonts w:hint="eastAsia"/>
                <w:color w:val="000000"/>
                <w:w w:val="22"/>
                <w:shd w:val="solid" w:color="000000" w:fill="000000"/>
                <w:fitText w:val="101" w:id="-1305204982"/>
                <w14:textFill>
                  <w14:solidFill>
                    <w14:srgbClr w14:val="000000">
                      <w14:alpha w14:val="100000"/>
                    </w14:srgbClr>
                  </w14:solidFill>
                </w14:textFill>
              </w:rPr>
              <w:t xml:space="preserve">　</w:t>
            </w:r>
            <w:r w:rsidRPr="008B5381">
              <w:rPr>
                <w:color w:val="000000"/>
                <w:w w:val="22"/>
                <w:shd w:val="solid" w:color="000000" w:fill="000000"/>
                <w:fitText w:val="101" w:id="-1305204982"/>
                <w14:textFill>
                  <w14:solidFill>
                    <w14:srgbClr w14:val="000000">
                      <w14:alpha w14:val="100000"/>
                    </w14:srgbClr>
                  </w14:solidFill>
                </w14:textFill>
              </w:rPr>
              <w:t>|</w:t>
            </w:r>
            <w:r w:rsidRPr="008B5381">
              <w:rPr>
                <w:rFonts w:hint="eastAsia"/>
                <w:color w:val="000000"/>
                <w:spacing w:val="4"/>
                <w:w w:val="22"/>
                <w:shd w:val="solid" w:color="000000" w:fill="000000"/>
                <w:fitText w:val="101" w:id="-1305204982"/>
                <w14:textFill>
                  <w14:solidFill>
                    <w14:srgbClr w14:val="000000">
                      <w14:alpha w14:val="100000"/>
                    </w14:srgbClr>
                  </w14:solidFill>
                </w14:textFill>
              </w:rPr>
              <w:t xml:space="preserve">　</w:t>
            </w:r>
            <w:r w:rsidR="00194CD8">
              <w:rPr>
                <w:vertAlign w:val="superscript"/>
              </w:rPr>
              <w:t>2</w:t>
            </w:r>
            <w:r w:rsidR="00AB1AFE" w:rsidRPr="009A0E7B">
              <w:t xml:space="preserve"> </w:t>
            </w:r>
          </w:p>
        </w:tc>
        <w:tc>
          <w:tcPr>
            <w:tcW w:w="624" w:type="pct"/>
            <w:gridSpan w:val="2"/>
            <w:shd w:val="clear" w:color="auto" w:fill="DBE5F1" w:themeFill="accent1" w:themeFillTint="33"/>
            <w:vAlign w:val="center"/>
          </w:tcPr>
          <w:p w14:paraId="1F62DBF9" w14:textId="554E19D9" w:rsidR="00AB1AFE" w:rsidRPr="009A0E7B" w:rsidRDefault="008B5381" w:rsidP="00936492">
            <w:pPr>
              <w:pStyle w:val="TableText0"/>
              <w:keepLines/>
              <w:jc w:val="center"/>
            </w:pPr>
            <w:r w:rsidRPr="008B5381">
              <w:rPr>
                <w:rFonts w:hint="eastAsia"/>
                <w:color w:val="000000"/>
                <w:w w:val="22"/>
                <w:shd w:val="solid" w:color="000000" w:fill="000000"/>
                <w:fitText w:val="101" w:id="-1305204981"/>
                <w14:textFill>
                  <w14:solidFill>
                    <w14:srgbClr w14:val="000000">
                      <w14:alpha w14:val="100000"/>
                    </w14:srgbClr>
                  </w14:solidFill>
                </w14:textFill>
              </w:rPr>
              <w:t xml:space="preserve">　</w:t>
            </w:r>
            <w:r w:rsidRPr="008B5381">
              <w:rPr>
                <w:color w:val="000000"/>
                <w:w w:val="22"/>
                <w:shd w:val="solid" w:color="000000" w:fill="000000"/>
                <w:fitText w:val="101" w:id="-1305204981"/>
                <w14:textFill>
                  <w14:solidFill>
                    <w14:srgbClr w14:val="000000">
                      <w14:alpha w14:val="100000"/>
                    </w14:srgbClr>
                  </w14:solidFill>
                </w14:textFill>
              </w:rPr>
              <w:t>|</w:t>
            </w:r>
            <w:r w:rsidRPr="008B5381">
              <w:rPr>
                <w:rFonts w:hint="eastAsia"/>
                <w:color w:val="000000"/>
                <w:spacing w:val="4"/>
                <w:w w:val="22"/>
                <w:shd w:val="solid" w:color="000000" w:fill="000000"/>
                <w:fitText w:val="101" w:id="-1305204981"/>
                <w14:textFill>
                  <w14:solidFill>
                    <w14:srgbClr w14:val="000000">
                      <w14:alpha w14:val="100000"/>
                    </w14:srgbClr>
                  </w14:solidFill>
                </w14:textFill>
              </w:rPr>
              <w:t xml:space="preserve">　</w:t>
            </w:r>
            <w:r w:rsidR="00194CD8">
              <w:rPr>
                <w:vertAlign w:val="superscript"/>
              </w:rPr>
              <w:t>2</w:t>
            </w:r>
            <w:r w:rsidR="00AB1AFE" w:rsidRPr="009A0E7B">
              <w:t xml:space="preserve"> </w:t>
            </w:r>
          </w:p>
        </w:tc>
        <w:tc>
          <w:tcPr>
            <w:tcW w:w="625" w:type="pct"/>
            <w:shd w:val="clear" w:color="auto" w:fill="DBE5F1" w:themeFill="accent1" w:themeFillTint="33"/>
            <w:vAlign w:val="center"/>
          </w:tcPr>
          <w:p w14:paraId="2E9DA178" w14:textId="1CA23315" w:rsidR="00AB1AFE" w:rsidRPr="009A0E7B" w:rsidRDefault="008B5381" w:rsidP="00936492">
            <w:pPr>
              <w:pStyle w:val="TableText0"/>
              <w:keepLines/>
              <w:jc w:val="center"/>
            </w:pPr>
            <w:r w:rsidRPr="008B5381">
              <w:rPr>
                <w:rFonts w:hint="eastAsia"/>
                <w:color w:val="000000"/>
                <w:w w:val="22"/>
                <w:shd w:val="solid" w:color="000000" w:fill="000000"/>
                <w:fitText w:val="101" w:id="-1305204980"/>
                <w14:textFill>
                  <w14:solidFill>
                    <w14:srgbClr w14:val="000000">
                      <w14:alpha w14:val="100000"/>
                    </w14:srgbClr>
                  </w14:solidFill>
                </w14:textFill>
              </w:rPr>
              <w:t xml:space="preserve">　</w:t>
            </w:r>
            <w:r w:rsidRPr="008B5381">
              <w:rPr>
                <w:color w:val="000000"/>
                <w:w w:val="22"/>
                <w:shd w:val="solid" w:color="000000" w:fill="000000"/>
                <w:fitText w:val="101" w:id="-1305204980"/>
                <w14:textFill>
                  <w14:solidFill>
                    <w14:srgbClr w14:val="000000">
                      <w14:alpha w14:val="100000"/>
                    </w14:srgbClr>
                  </w14:solidFill>
                </w14:textFill>
              </w:rPr>
              <w:t>|</w:t>
            </w:r>
            <w:r w:rsidRPr="008B5381">
              <w:rPr>
                <w:rFonts w:hint="eastAsia"/>
                <w:color w:val="000000"/>
                <w:spacing w:val="4"/>
                <w:w w:val="22"/>
                <w:shd w:val="solid" w:color="000000" w:fill="000000"/>
                <w:fitText w:val="101" w:id="-1305204980"/>
                <w14:textFill>
                  <w14:solidFill>
                    <w14:srgbClr w14:val="000000">
                      <w14:alpha w14:val="100000"/>
                    </w14:srgbClr>
                  </w14:solidFill>
                </w14:textFill>
              </w:rPr>
              <w:t xml:space="preserve">　</w:t>
            </w:r>
            <w:r w:rsidR="00194CD8">
              <w:rPr>
                <w:vertAlign w:val="superscript"/>
              </w:rPr>
              <w:t>2</w:t>
            </w:r>
            <w:r w:rsidR="00AB1AFE" w:rsidRPr="009A0E7B">
              <w:t xml:space="preserve"> </w:t>
            </w:r>
          </w:p>
        </w:tc>
      </w:tr>
      <w:tr w:rsidR="00AB1AFE" w:rsidRPr="009A0E7B" w14:paraId="28DD99AE" w14:textId="77777777" w:rsidTr="00FB2630">
        <w:tc>
          <w:tcPr>
            <w:tcW w:w="5000" w:type="pct"/>
            <w:gridSpan w:val="12"/>
            <w:shd w:val="clear" w:color="auto" w:fill="DBE5F1" w:themeFill="accent1" w:themeFillTint="33"/>
            <w:vAlign w:val="center"/>
          </w:tcPr>
          <w:p w14:paraId="21B49C51" w14:textId="77777777" w:rsidR="00AB1AFE" w:rsidRPr="009A0E7B" w:rsidRDefault="00AB1AFE" w:rsidP="00936492">
            <w:pPr>
              <w:pStyle w:val="In-tableHeading"/>
              <w:keepLines/>
              <w:rPr>
                <w:lang w:val="en-AU"/>
              </w:rPr>
            </w:pPr>
            <w:r w:rsidRPr="009A0E7B">
              <w:rPr>
                <w:lang w:val="en-AU"/>
              </w:rPr>
              <w:t>Estimated financial implications of OZA</w:t>
            </w:r>
          </w:p>
        </w:tc>
      </w:tr>
      <w:tr w:rsidR="00AB1AFE" w:rsidRPr="009A0E7B" w14:paraId="4DFC95E5" w14:textId="77777777" w:rsidTr="00FB2630">
        <w:tc>
          <w:tcPr>
            <w:tcW w:w="1255" w:type="pct"/>
            <w:shd w:val="clear" w:color="auto" w:fill="DBE5F1" w:themeFill="accent1" w:themeFillTint="33"/>
            <w:vAlign w:val="center"/>
          </w:tcPr>
          <w:p w14:paraId="585D8246" w14:textId="34ADC86E" w:rsidR="00AB1AFE" w:rsidRPr="009A0E7B" w:rsidRDefault="00AB1AFE" w:rsidP="00936492">
            <w:pPr>
              <w:pStyle w:val="TableText0"/>
              <w:keepLines/>
              <w:rPr>
                <w:szCs w:val="20"/>
              </w:rPr>
            </w:pPr>
            <w:r w:rsidRPr="009A0E7B">
              <w:rPr>
                <w:sz w:val="19"/>
                <w:szCs w:val="19"/>
              </w:rPr>
              <w:t xml:space="preserve">Cost to PBS/RPBS less </w:t>
            </w:r>
            <w:proofErr w:type="spellStart"/>
            <w:r w:rsidRPr="009A0E7B">
              <w:rPr>
                <w:sz w:val="19"/>
                <w:szCs w:val="19"/>
              </w:rPr>
              <w:t>copayments</w:t>
            </w:r>
            <w:r w:rsidRPr="009A0E7B">
              <w:rPr>
                <w:vertAlign w:val="superscript"/>
              </w:rPr>
              <w:t>b</w:t>
            </w:r>
            <w:proofErr w:type="spellEnd"/>
            <w:r w:rsidR="008555E5" w:rsidRPr="008555E5">
              <w:t xml:space="preserve"> ($)</w:t>
            </w:r>
          </w:p>
        </w:tc>
        <w:tc>
          <w:tcPr>
            <w:tcW w:w="624" w:type="pct"/>
            <w:gridSpan w:val="2"/>
            <w:shd w:val="clear" w:color="auto" w:fill="DBE5F1" w:themeFill="accent1" w:themeFillTint="33"/>
            <w:vAlign w:val="center"/>
          </w:tcPr>
          <w:p w14:paraId="165B9E02" w14:textId="1FACA0EF" w:rsidR="00AB1AFE" w:rsidRPr="009A0E7B" w:rsidRDefault="008B5381" w:rsidP="00936492">
            <w:pPr>
              <w:pStyle w:val="TableText0"/>
              <w:keepLines/>
              <w:jc w:val="center"/>
              <w:rPr>
                <w:rFonts w:cs="Calibri"/>
                <w:color w:val="000000"/>
              </w:rPr>
            </w:pPr>
            <w:r w:rsidRPr="008B5381">
              <w:rPr>
                <w:rFonts w:hint="eastAsia"/>
                <w:color w:val="000000"/>
                <w:w w:val="22"/>
                <w:shd w:val="solid" w:color="000000" w:fill="000000"/>
                <w:fitText w:val="100" w:id="-1305204979"/>
                <w14:textFill>
                  <w14:solidFill>
                    <w14:srgbClr w14:val="000000">
                      <w14:alpha w14:val="100000"/>
                    </w14:srgbClr>
                  </w14:solidFill>
                </w14:textFill>
              </w:rPr>
              <w:t xml:space="preserve">　</w:t>
            </w:r>
            <w:r w:rsidRPr="008B5381">
              <w:rPr>
                <w:color w:val="000000"/>
                <w:w w:val="22"/>
                <w:shd w:val="solid" w:color="000000" w:fill="000000"/>
                <w:fitText w:val="100" w:id="-1305204979"/>
                <w14:textFill>
                  <w14:solidFill>
                    <w14:srgbClr w14:val="000000">
                      <w14:alpha w14:val="100000"/>
                    </w14:srgbClr>
                  </w14:solidFill>
                </w14:textFill>
              </w:rPr>
              <w:t>|</w:t>
            </w:r>
            <w:r w:rsidRPr="008B5381">
              <w:rPr>
                <w:rFonts w:hint="eastAsia"/>
                <w:color w:val="000000"/>
                <w:spacing w:val="3"/>
                <w:w w:val="22"/>
                <w:shd w:val="solid" w:color="000000" w:fill="000000"/>
                <w:fitText w:val="100" w:id="-1305204979"/>
                <w14:textFill>
                  <w14:solidFill>
                    <w14:srgbClr w14:val="000000">
                      <w14:alpha w14:val="100000"/>
                    </w14:srgbClr>
                  </w14:solidFill>
                </w14:textFill>
              </w:rPr>
              <w:t xml:space="preserve">　</w:t>
            </w:r>
            <w:r w:rsidR="00194CD8">
              <w:rPr>
                <w:vertAlign w:val="superscript"/>
              </w:rPr>
              <w:t>3</w:t>
            </w:r>
          </w:p>
        </w:tc>
        <w:tc>
          <w:tcPr>
            <w:tcW w:w="624" w:type="pct"/>
            <w:gridSpan w:val="2"/>
            <w:shd w:val="clear" w:color="auto" w:fill="DBE5F1" w:themeFill="accent1" w:themeFillTint="33"/>
            <w:vAlign w:val="center"/>
          </w:tcPr>
          <w:p w14:paraId="53C97FC1" w14:textId="5945BE78" w:rsidR="00AB1AFE" w:rsidRPr="009A0E7B" w:rsidRDefault="008B5381" w:rsidP="00936492">
            <w:pPr>
              <w:pStyle w:val="TableText0"/>
              <w:keepLines/>
              <w:jc w:val="center"/>
              <w:rPr>
                <w:rFonts w:cs="Calibri"/>
                <w:color w:val="000000"/>
              </w:rPr>
            </w:pPr>
            <w:r w:rsidRPr="008B5381">
              <w:rPr>
                <w:rFonts w:hint="eastAsia"/>
                <w:color w:val="000000"/>
                <w:w w:val="22"/>
                <w:shd w:val="solid" w:color="000000" w:fill="000000"/>
                <w:fitText w:val="100" w:id="-1305204978"/>
                <w14:textFill>
                  <w14:solidFill>
                    <w14:srgbClr w14:val="000000">
                      <w14:alpha w14:val="100000"/>
                    </w14:srgbClr>
                  </w14:solidFill>
                </w14:textFill>
              </w:rPr>
              <w:t xml:space="preserve">　</w:t>
            </w:r>
            <w:r w:rsidRPr="008B5381">
              <w:rPr>
                <w:color w:val="000000"/>
                <w:w w:val="22"/>
                <w:shd w:val="solid" w:color="000000" w:fill="000000"/>
                <w:fitText w:val="100" w:id="-1305204978"/>
                <w14:textFill>
                  <w14:solidFill>
                    <w14:srgbClr w14:val="000000">
                      <w14:alpha w14:val="100000"/>
                    </w14:srgbClr>
                  </w14:solidFill>
                </w14:textFill>
              </w:rPr>
              <w:t>|</w:t>
            </w:r>
            <w:r w:rsidRPr="008B5381">
              <w:rPr>
                <w:rFonts w:hint="eastAsia"/>
                <w:color w:val="000000"/>
                <w:spacing w:val="3"/>
                <w:w w:val="22"/>
                <w:shd w:val="solid" w:color="000000" w:fill="000000"/>
                <w:fitText w:val="100" w:id="-1305204978"/>
                <w14:textFill>
                  <w14:solidFill>
                    <w14:srgbClr w14:val="000000">
                      <w14:alpha w14:val="100000"/>
                    </w14:srgbClr>
                  </w14:solidFill>
                </w14:textFill>
              </w:rPr>
              <w:t xml:space="preserve">　</w:t>
            </w:r>
            <w:r w:rsidR="00194CD8">
              <w:rPr>
                <w:vertAlign w:val="superscript"/>
              </w:rPr>
              <w:t>3</w:t>
            </w:r>
          </w:p>
        </w:tc>
        <w:tc>
          <w:tcPr>
            <w:tcW w:w="624" w:type="pct"/>
            <w:gridSpan w:val="2"/>
            <w:shd w:val="clear" w:color="auto" w:fill="DBE5F1" w:themeFill="accent1" w:themeFillTint="33"/>
            <w:vAlign w:val="center"/>
          </w:tcPr>
          <w:p w14:paraId="7436DE76" w14:textId="543B6F22" w:rsidR="00AB1AFE" w:rsidRPr="009A0E7B" w:rsidRDefault="008B5381" w:rsidP="00936492">
            <w:pPr>
              <w:pStyle w:val="TableText0"/>
              <w:keepLines/>
              <w:jc w:val="center"/>
              <w:rPr>
                <w:rFonts w:cs="Calibri"/>
                <w:color w:val="000000"/>
              </w:rPr>
            </w:pPr>
            <w:r w:rsidRPr="008B5381">
              <w:rPr>
                <w:rFonts w:hint="eastAsia"/>
                <w:color w:val="000000"/>
                <w:w w:val="22"/>
                <w:shd w:val="solid" w:color="000000" w:fill="000000"/>
                <w:fitText w:val="100" w:id="-1305204977"/>
                <w14:textFill>
                  <w14:solidFill>
                    <w14:srgbClr w14:val="000000">
                      <w14:alpha w14:val="100000"/>
                    </w14:srgbClr>
                  </w14:solidFill>
                </w14:textFill>
              </w:rPr>
              <w:t xml:space="preserve">　</w:t>
            </w:r>
            <w:r w:rsidRPr="008B5381">
              <w:rPr>
                <w:color w:val="000000"/>
                <w:w w:val="22"/>
                <w:shd w:val="solid" w:color="000000" w:fill="000000"/>
                <w:fitText w:val="100" w:id="-1305204977"/>
                <w14:textFill>
                  <w14:solidFill>
                    <w14:srgbClr w14:val="000000">
                      <w14:alpha w14:val="100000"/>
                    </w14:srgbClr>
                  </w14:solidFill>
                </w14:textFill>
              </w:rPr>
              <w:t>|</w:t>
            </w:r>
            <w:r w:rsidRPr="008B5381">
              <w:rPr>
                <w:rFonts w:hint="eastAsia"/>
                <w:color w:val="000000"/>
                <w:spacing w:val="3"/>
                <w:w w:val="22"/>
                <w:shd w:val="solid" w:color="000000" w:fill="000000"/>
                <w:fitText w:val="100" w:id="-1305204977"/>
                <w14:textFill>
                  <w14:solidFill>
                    <w14:srgbClr w14:val="000000">
                      <w14:alpha w14:val="100000"/>
                    </w14:srgbClr>
                  </w14:solidFill>
                </w14:textFill>
              </w:rPr>
              <w:t xml:space="preserve">　</w:t>
            </w:r>
            <w:r w:rsidR="00194CD8">
              <w:rPr>
                <w:vertAlign w:val="superscript"/>
              </w:rPr>
              <w:t>3</w:t>
            </w:r>
          </w:p>
        </w:tc>
        <w:tc>
          <w:tcPr>
            <w:tcW w:w="624" w:type="pct"/>
            <w:gridSpan w:val="2"/>
            <w:shd w:val="clear" w:color="auto" w:fill="DBE5F1" w:themeFill="accent1" w:themeFillTint="33"/>
            <w:vAlign w:val="center"/>
          </w:tcPr>
          <w:p w14:paraId="78013C6A" w14:textId="374DB1E6" w:rsidR="00AB1AFE" w:rsidRPr="009A0E7B" w:rsidRDefault="008B5381" w:rsidP="00936492">
            <w:pPr>
              <w:pStyle w:val="TableText0"/>
              <w:keepLines/>
              <w:jc w:val="center"/>
              <w:rPr>
                <w:rFonts w:cs="Calibri"/>
                <w:color w:val="000000"/>
              </w:rPr>
            </w:pPr>
            <w:r w:rsidRPr="008B5381">
              <w:rPr>
                <w:rFonts w:hint="eastAsia"/>
                <w:color w:val="000000"/>
                <w:w w:val="22"/>
                <w:shd w:val="solid" w:color="000000" w:fill="000000"/>
                <w:fitText w:val="101" w:id="-1305204976"/>
                <w14:textFill>
                  <w14:solidFill>
                    <w14:srgbClr w14:val="000000">
                      <w14:alpha w14:val="100000"/>
                    </w14:srgbClr>
                  </w14:solidFill>
                </w14:textFill>
              </w:rPr>
              <w:t xml:space="preserve">　</w:t>
            </w:r>
            <w:r w:rsidRPr="008B5381">
              <w:rPr>
                <w:color w:val="000000"/>
                <w:w w:val="22"/>
                <w:shd w:val="solid" w:color="000000" w:fill="000000"/>
                <w:fitText w:val="101" w:id="-1305204976"/>
                <w14:textFill>
                  <w14:solidFill>
                    <w14:srgbClr w14:val="000000">
                      <w14:alpha w14:val="100000"/>
                    </w14:srgbClr>
                  </w14:solidFill>
                </w14:textFill>
              </w:rPr>
              <w:t>|</w:t>
            </w:r>
            <w:r w:rsidRPr="008B5381">
              <w:rPr>
                <w:rFonts w:hint="eastAsia"/>
                <w:color w:val="000000"/>
                <w:spacing w:val="4"/>
                <w:w w:val="22"/>
                <w:shd w:val="solid" w:color="000000" w:fill="000000"/>
                <w:fitText w:val="101" w:id="-1305204976"/>
                <w14:textFill>
                  <w14:solidFill>
                    <w14:srgbClr w14:val="000000">
                      <w14:alpha w14:val="100000"/>
                    </w14:srgbClr>
                  </w14:solidFill>
                </w14:textFill>
              </w:rPr>
              <w:t xml:space="preserve">　</w:t>
            </w:r>
            <w:r w:rsidR="00194CD8">
              <w:rPr>
                <w:vertAlign w:val="superscript"/>
              </w:rPr>
              <w:t>3</w:t>
            </w:r>
          </w:p>
        </w:tc>
        <w:tc>
          <w:tcPr>
            <w:tcW w:w="624" w:type="pct"/>
            <w:gridSpan w:val="2"/>
            <w:shd w:val="clear" w:color="auto" w:fill="DBE5F1" w:themeFill="accent1" w:themeFillTint="33"/>
            <w:vAlign w:val="center"/>
          </w:tcPr>
          <w:p w14:paraId="6277AFE8" w14:textId="7F9A82BD" w:rsidR="00AB1AFE" w:rsidRPr="009A0E7B" w:rsidRDefault="008B5381" w:rsidP="00936492">
            <w:pPr>
              <w:pStyle w:val="TableText0"/>
              <w:keepLines/>
              <w:jc w:val="center"/>
              <w:rPr>
                <w:rFonts w:cs="Calibri"/>
                <w:color w:val="000000"/>
              </w:rPr>
            </w:pPr>
            <w:r w:rsidRPr="008B5381">
              <w:rPr>
                <w:rFonts w:hint="eastAsia"/>
                <w:color w:val="000000"/>
                <w:w w:val="22"/>
                <w:shd w:val="solid" w:color="000000" w:fill="000000"/>
                <w:fitText w:val="101" w:id="-1305204992"/>
                <w14:textFill>
                  <w14:solidFill>
                    <w14:srgbClr w14:val="000000">
                      <w14:alpha w14:val="100000"/>
                    </w14:srgbClr>
                  </w14:solidFill>
                </w14:textFill>
              </w:rPr>
              <w:t xml:space="preserve">　</w:t>
            </w:r>
            <w:r w:rsidRPr="008B5381">
              <w:rPr>
                <w:color w:val="000000"/>
                <w:w w:val="22"/>
                <w:shd w:val="solid" w:color="000000" w:fill="000000"/>
                <w:fitText w:val="101" w:id="-1305204992"/>
                <w14:textFill>
                  <w14:solidFill>
                    <w14:srgbClr w14:val="000000">
                      <w14:alpha w14:val="100000"/>
                    </w14:srgbClr>
                  </w14:solidFill>
                </w14:textFill>
              </w:rPr>
              <w:t>|</w:t>
            </w:r>
            <w:r w:rsidRPr="008B5381">
              <w:rPr>
                <w:rFonts w:hint="eastAsia"/>
                <w:color w:val="000000"/>
                <w:spacing w:val="4"/>
                <w:w w:val="22"/>
                <w:shd w:val="solid" w:color="000000" w:fill="000000"/>
                <w:fitText w:val="101" w:id="-1305204992"/>
                <w14:textFill>
                  <w14:solidFill>
                    <w14:srgbClr w14:val="000000">
                      <w14:alpha w14:val="100000"/>
                    </w14:srgbClr>
                  </w14:solidFill>
                </w14:textFill>
              </w:rPr>
              <w:t xml:space="preserve">　</w:t>
            </w:r>
            <w:r w:rsidR="00194CD8">
              <w:rPr>
                <w:vertAlign w:val="superscript"/>
              </w:rPr>
              <w:t>3</w:t>
            </w:r>
          </w:p>
        </w:tc>
        <w:tc>
          <w:tcPr>
            <w:tcW w:w="625" w:type="pct"/>
            <w:shd w:val="clear" w:color="auto" w:fill="DBE5F1" w:themeFill="accent1" w:themeFillTint="33"/>
            <w:vAlign w:val="center"/>
          </w:tcPr>
          <w:p w14:paraId="24A44BCC" w14:textId="5A1CF9C3" w:rsidR="00AB1AFE" w:rsidRPr="009A0E7B" w:rsidRDefault="008B5381" w:rsidP="00936492">
            <w:pPr>
              <w:pStyle w:val="TableText0"/>
              <w:keepLines/>
              <w:jc w:val="center"/>
              <w:rPr>
                <w:rFonts w:cs="Calibri"/>
                <w:color w:val="000000"/>
              </w:rPr>
            </w:pPr>
            <w:r w:rsidRPr="008B5381">
              <w:rPr>
                <w:rFonts w:hint="eastAsia"/>
                <w:color w:val="000000"/>
                <w:w w:val="22"/>
                <w:shd w:val="solid" w:color="000000" w:fill="000000"/>
                <w:fitText w:val="101" w:id="-1305204991"/>
                <w14:textFill>
                  <w14:solidFill>
                    <w14:srgbClr w14:val="000000">
                      <w14:alpha w14:val="100000"/>
                    </w14:srgbClr>
                  </w14:solidFill>
                </w14:textFill>
              </w:rPr>
              <w:t xml:space="preserve">　</w:t>
            </w:r>
            <w:r w:rsidRPr="008B5381">
              <w:rPr>
                <w:color w:val="000000"/>
                <w:w w:val="22"/>
                <w:shd w:val="solid" w:color="000000" w:fill="000000"/>
                <w:fitText w:val="101" w:id="-1305204991"/>
                <w14:textFill>
                  <w14:solidFill>
                    <w14:srgbClr w14:val="000000">
                      <w14:alpha w14:val="100000"/>
                    </w14:srgbClr>
                  </w14:solidFill>
                </w14:textFill>
              </w:rPr>
              <w:t>|</w:t>
            </w:r>
            <w:r w:rsidRPr="008B5381">
              <w:rPr>
                <w:rFonts w:hint="eastAsia"/>
                <w:color w:val="000000"/>
                <w:spacing w:val="4"/>
                <w:w w:val="22"/>
                <w:shd w:val="solid" w:color="000000" w:fill="000000"/>
                <w:fitText w:val="101" w:id="-1305204991"/>
                <w14:textFill>
                  <w14:solidFill>
                    <w14:srgbClr w14:val="000000">
                      <w14:alpha w14:val="100000"/>
                    </w14:srgbClr>
                  </w14:solidFill>
                </w14:textFill>
              </w:rPr>
              <w:t xml:space="preserve">　</w:t>
            </w:r>
            <w:r w:rsidR="00194CD8">
              <w:rPr>
                <w:vertAlign w:val="superscript"/>
              </w:rPr>
              <w:t>3</w:t>
            </w:r>
          </w:p>
        </w:tc>
      </w:tr>
      <w:tr w:rsidR="00AB1AFE" w:rsidRPr="009A0E7B" w14:paraId="5A6EF164" w14:textId="77777777" w:rsidTr="00FB2630">
        <w:tc>
          <w:tcPr>
            <w:tcW w:w="5000" w:type="pct"/>
            <w:gridSpan w:val="12"/>
            <w:shd w:val="clear" w:color="auto" w:fill="DBE5F1" w:themeFill="accent1" w:themeFillTint="33"/>
            <w:vAlign w:val="center"/>
          </w:tcPr>
          <w:p w14:paraId="6E0F424A" w14:textId="285F4A95" w:rsidR="00AB1AFE" w:rsidRPr="009A0E7B" w:rsidRDefault="00AB1AFE" w:rsidP="00936492">
            <w:pPr>
              <w:pStyle w:val="TableText0"/>
              <w:keepLines/>
              <w:rPr>
                <w:b/>
              </w:rPr>
            </w:pPr>
            <w:r w:rsidRPr="009A0E7B">
              <w:rPr>
                <w:b/>
              </w:rPr>
              <w:t xml:space="preserve">Estimated financial implications for other </w:t>
            </w:r>
            <w:proofErr w:type="spellStart"/>
            <w:r w:rsidRPr="009A0E7B">
              <w:rPr>
                <w:b/>
              </w:rPr>
              <w:t>bDMARDs</w:t>
            </w:r>
            <w:proofErr w:type="spellEnd"/>
            <w:r w:rsidR="00B855B3">
              <w:rPr>
                <w:b/>
              </w:rPr>
              <w:t>/</w:t>
            </w:r>
            <w:proofErr w:type="spellStart"/>
            <w:r w:rsidR="00B855B3">
              <w:rPr>
                <w:b/>
              </w:rPr>
              <w:t>tsDMARDs</w:t>
            </w:r>
            <w:proofErr w:type="spellEnd"/>
            <w:r w:rsidRPr="009A0E7B">
              <w:rPr>
                <w:b/>
              </w:rPr>
              <w:t xml:space="preserve"> </w:t>
            </w:r>
          </w:p>
        </w:tc>
      </w:tr>
      <w:tr w:rsidR="00AB1AFE" w:rsidRPr="009A0E7B" w14:paraId="5C884E7B" w14:textId="77777777" w:rsidTr="00FB2630">
        <w:tc>
          <w:tcPr>
            <w:tcW w:w="1255" w:type="pct"/>
            <w:shd w:val="clear" w:color="auto" w:fill="DBE5F1" w:themeFill="accent1" w:themeFillTint="33"/>
          </w:tcPr>
          <w:p w14:paraId="6D2F615E" w14:textId="160A2680" w:rsidR="00AB1AFE" w:rsidRPr="009A0E7B" w:rsidRDefault="00AB1AFE" w:rsidP="00936492">
            <w:pPr>
              <w:pStyle w:val="TableText0"/>
              <w:keepLines/>
              <w:rPr>
                <w:sz w:val="19"/>
                <w:szCs w:val="19"/>
              </w:rPr>
            </w:pPr>
            <w:r w:rsidRPr="009A0E7B">
              <w:rPr>
                <w:sz w:val="19"/>
                <w:szCs w:val="19"/>
              </w:rPr>
              <w:t xml:space="preserve">Cost to PBS/RPBS less </w:t>
            </w:r>
            <w:proofErr w:type="spellStart"/>
            <w:r w:rsidRPr="009A0E7B">
              <w:rPr>
                <w:sz w:val="19"/>
                <w:szCs w:val="19"/>
              </w:rPr>
              <w:t>copayments</w:t>
            </w:r>
            <w:r w:rsidRPr="009A0E7B">
              <w:rPr>
                <w:vertAlign w:val="superscript"/>
              </w:rPr>
              <w:t>a</w:t>
            </w:r>
            <w:proofErr w:type="spellEnd"/>
            <w:r w:rsidR="008555E5" w:rsidRPr="008555E5">
              <w:t xml:space="preserve"> ($)</w:t>
            </w:r>
          </w:p>
        </w:tc>
        <w:tc>
          <w:tcPr>
            <w:tcW w:w="624" w:type="pct"/>
            <w:gridSpan w:val="2"/>
            <w:shd w:val="clear" w:color="auto" w:fill="DBE5F1" w:themeFill="accent1" w:themeFillTint="33"/>
            <w:vAlign w:val="center"/>
          </w:tcPr>
          <w:p w14:paraId="4DB73D65" w14:textId="6BB4AEB5" w:rsidR="00AB1AFE" w:rsidRPr="008555E5" w:rsidRDefault="008B5381" w:rsidP="00936492">
            <w:pPr>
              <w:pStyle w:val="TableText0"/>
              <w:keepLines/>
              <w:jc w:val="center"/>
            </w:pPr>
            <w:r w:rsidRPr="008B5381">
              <w:rPr>
                <w:rFonts w:hint="eastAsia"/>
                <w:color w:val="000000"/>
                <w:w w:val="22"/>
                <w:shd w:val="solid" w:color="000000" w:fill="000000"/>
                <w:fitText w:val="100" w:id="-1305204990"/>
                <w14:textFill>
                  <w14:solidFill>
                    <w14:srgbClr w14:val="000000">
                      <w14:alpha w14:val="100000"/>
                    </w14:srgbClr>
                  </w14:solidFill>
                </w14:textFill>
              </w:rPr>
              <w:t xml:space="preserve">　</w:t>
            </w:r>
            <w:r w:rsidRPr="008B5381">
              <w:rPr>
                <w:color w:val="000000"/>
                <w:w w:val="22"/>
                <w:shd w:val="solid" w:color="000000" w:fill="000000"/>
                <w:fitText w:val="100" w:id="-1305204990"/>
                <w14:textFill>
                  <w14:solidFill>
                    <w14:srgbClr w14:val="000000">
                      <w14:alpha w14:val="100000"/>
                    </w14:srgbClr>
                  </w14:solidFill>
                </w14:textFill>
              </w:rPr>
              <w:t>|</w:t>
            </w:r>
            <w:r w:rsidRPr="008B5381">
              <w:rPr>
                <w:rFonts w:hint="eastAsia"/>
                <w:color w:val="000000"/>
                <w:spacing w:val="3"/>
                <w:w w:val="22"/>
                <w:shd w:val="solid" w:color="000000" w:fill="000000"/>
                <w:fitText w:val="100" w:id="-1305204990"/>
                <w14:textFill>
                  <w14:solidFill>
                    <w14:srgbClr w14:val="000000">
                      <w14:alpha w14:val="100000"/>
                    </w14:srgbClr>
                  </w14:solidFill>
                </w14:textFill>
              </w:rPr>
              <w:t xml:space="preserve">　</w:t>
            </w:r>
            <w:r w:rsidR="008555E5" w:rsidRPr="008555E5">
              <w:rPr>
                <w:vertAlign w:val="superscript"/>
              </w:rPr>
              <w:t>4</w:t>
            </w:r>
          </w:p>
        </w:tc>
        <w:tc>
          <w:tcPr>
            <w:tcW w:w="624" w:type="pct"/>
            <w:gridSpan w:val="2"/>
            <w:shd w:val="clear" w:color="auto" w:fill="DBE5F1" w:themeFill="accent1" w:themeFillTint="33"/>
            <w:vAlign w:val="center"/>
          </w:tcPr>
          <w:p w14:paraId="09BB3B6A" w14:textId="068365C7" w:rsidR="00AB1AFE" w:rsidRPr="009A0E7B" w:rsidRDefault="008B5381" w:rsidP="00936492">
            <w:pPr>
              <w:pStyle w:val="TableText0"/>
              <w:keepLines/>
              <w:jc w:val="center"/>
            </w:pPr>
            <w:r w:rsidRPr="008B5381">
              <w:rPr>
                <w:rFonts w:hint="eastAsia"/>
                <w:color w:val="000000"/>
                <w:w w:val="22"/>
                <w:shd w:val="solid" w:color="000000" w:fill="000000"/>
                <w:fitText w:val="100" w:id="-1305204989"/>
                <w14:textFill>
                  <w14:solidFill>
                    <w14:srgbClr w14:val="000000">
                      <w14:alpha w14:val="100000"/>
                    </w14:srgbClr>
                  </w14:solidFill>
                </w14:textFill>
              </w:rPr>
              <w:t xml:space="preserve">　</w:t>
            </w:r>
            <w:r w:rsidRPr="008B5381">
              <w:rPr>
                <w:color w:val="000000"/>
                <w:w w:val="22"/>
                <w:shd w:val="solid" w:color="000000" w:fill="000000"/>
                <w:fitText w:val="100" w:id="-1305204989"/>
                <w14:textFill>
                  <w14:solidFill>
                    <w14:srgbClr w14:val="000000">
                      <w14:alpha w14:val="100000"/>
                    </w14:srgbClr>
                  </w14:solidFill>
                </w14:textFill>
              </w:rPr>
              <w:t>|</w:t>
            </w:r>
            <w:r w:rsidRPr="008B5381">
              <w:rPr>
                <w:rFonts w:hint="eastAsia"/>
                <w:color w:val="000000"/>
                <w:spacing w:val="3"/>
                <w:w w:val="22"/>
                <w:shd w:val="solid" w:color="000000" w:fill="000000"/>
                <w:fitText w:val="100" w:id="-1305204989"/>
                <w14:textFill>
                  <w14:solidFill>
                    <w14:srgbClr w14:val="000000">
                      <w14:alpha w14:val="100000"/>
                    </w14:srgbClr>
                  </w14:solidFill>
                </w14:textFill>
              </w:rPr>
              <w:t xml:space="preserve">　</w:t>
            </w:r>
            <w:r w:rsidR="008555E5">
              <w:rPr>
                <w:vertAlign w:val="superscript"/>
              </w:rPr>
              <w:t>4</w:t>
            </w:r>
          </w:p>
        </w:tc>
        <w:tc>
          <w:tcPr>
            <w:tcW w:w="624" w:type="pct"/>
            <w:gridSpan w:val="2"/>
            <w:shd w:val="clear" w:color="auto" w:fill="DBE5F1" w:themeFill="accent1" w:themeFillTint="33"/>
            <w:vAlign w:val="center"/>
          </w:tcPr>
          <w:p w14:paraId="6EE2FE50" w14:textId="49F65775" w:rsidR="00AB1AFE" w:rsidRPr="009A0E7B" w:rsidRDefault="008B5381" w:rsidP="00936492">
            <w:pPr>
              <w:pStyle w:val="TableText0"/>
              <w:keepLines/>
              <w:jc w:val="center"/>
            </w:pPr>
            <w:r w:rsidRPr="008B5381">
              <w:rPr>
                <w:rFonts w:hint="eastAsia"/>
                <w:color w:val="000000"/>
                <w:w w:val="22"/>
                <w:shd w:val="solid" w:color="000000" w:fill="000000"/>
                <w:fitText w:val="100" w:id="-1305204988"/>
                <w14:textFill>
                  <w14:solidFill>
                    <w14:srgbClr w14:val="000000">
                      <w14:alpha w14:val="100000"/>
                    </w14:srgbClr>
                  </w14:solidFill>
                </w14:textFill>
              </w:rPr>
              <w:t xml:space="preserve">　</w:t>
            </w:r>
            <w:r w:rsidRPr="008B5381">
              <w:rPr>
                <w:color w:val="000000"/>
                <w:w w:val="22"/>
                <w:shd w:val="solid" w:color="000000" w:fill="000000"/>
                <w:fitText w:val="100" w:id="-1305204988"/>
                <w14:textFill>
                  <w14:solidFill>
                    <w14:srgbClr w14:val="000000">
                      <w14:alpha w14:val="100000"/>
                    </w14:srgbClr>
                  </w14:solidFill>
                </w14:textFill>
              </w:rPr>
              <w:t>|</w:t>
            </w:r>
            <w:r w:rsidRPr="008B5381">
              <w:rPr>
                <w:rFonts w:hint="eastAsia"/>
                <w:color w:val="000000"/>
                <w:spacing w:val="3"/>
                <w:w w:val="22"/>
                <w:shd w:val="solid" w:color="000000" w:fill="000000"/>
                <w:fitText w:val="100" w:id="-1305204988"/>
                <w14:textFill>
                  <w14:solidFill>
                    <w14:srgbClr w14:val="000000">
                      <w14:alpha w14:val="100000"/>
                    </w14:srgbClr>
                  </w14:solidFill>
                </w14:textFill>
              </w:rPr>
              <w:t xml:space="preserve">　</w:t>
            </w:r>
            <w:r w:rsidR="008555E5">
              <w:rPr>
                <w:vertAlign w:val="superscript"/>
              </w:rPr>
              <w:t>4</w:t>
            </w:r>
          </w:p>
        </w:tc>
        <w:tc>
          <w:tcPr>
            <w:tcW w:w="624" w:type="pct"/>
            <w:gridSpan w:val="2"/>
            <w:shd w:val="clear" w:color="auto" w:fill="DBE5F1" w:themeFill="accent1" w:themeFillTint="33"/>
            <w:vAlign w:val="center"/>
          </w:tcPr>
          <w:p w14:paraId="154334BB" w14:textId="1CAEE153" w:rsidR="00AB1AFE" w:rsidRPr="008555E5" w:rsidRDefault="008B5381" w:rsidP="00936492">
            <w:pPr>
              <w:pStyle w:val="TableText0"/>
              <w:keepLines/>
              <w:jc w:val="center"/>
              <w:rPr>
                <w:highlight w:val="darkGray"/>
              </w:rPr>
            </w:pPr>
            <w:r w:rsidRPr="008B5381">
              <w:rPr>
                <w:rFonts w:hint="eastAsia"/>
                <w:color w:val="000000"/>
                <w:w w:val="22"/>
                <w:shd w:val="solid" w:color="000000" w:fill="000000"/>
                <w:fitText w:val="101" w:id="-1305204987"/>
                <w14:textFill>
                  <w14:solidFill>
                    <w14:srgbClr w14:val="000000">
                      <w14:alpha w14:val="100000"/>
                    </w14:srgbClr>
                  </w14:solidFill>
                </w14:textFill>
              </w:rPr>
              <w:t xml:space="preserve">　</w:t>
            </w:r>
            <w:r w:rsidRPr="008B5381">
              <w:rPr>
                <w:color w:val="000000"/>
                <w:w w:val="22"/>
                <w:shd w:val="solid" w:color="000000" w:fill="000000"/>
                <w:fitText w:val="101" w:id="-1305204987"/>
                <w14:textFill>
                  <w14:solidFill>
                    <w14:srgbClr w14:val="000000">
                      <w14:alpha w14:val="100000"/>
                    </w14:srgbClr>
                  </w14:solidFill>
                </w14:textFill>
              </w:rPr>
              <w:t>|</w:t>
            </w:r>
            <w:r w:rsidRPr="008B5381">
              <w:rPr>
                <w:rFonts w:hint="eastAsia"/>
                <w:color w:val="000000"/>
                <w:spacing w:val="4"/>
                <w:w w:val="22"/>
                <w:shd w:val="solid" w:color="000000" w:fill="000000"/>
                <w:fitText w:val="101" w:id="-1305204987"/>
                <w14:textFill>
                  <w14:solidFill>
                    <w14:srgbClr w14:val="000000">
                      <w14:alpha w14:val="100000"/>
                    </w14:srgbClr>
                  </w14:solidFill>
                </w14:textFill>
              </w:rPr>
              <w:t xml:space="preserve">　</w:t>
            </w:r>
            <w:r w:rsidR="008555E5" w:rsidRPr="008555E5">
              <w:rPr>
                <w:vertAlign w:val="superscript"/>
              </w:rPr>
              <w:t>4</w:t>
            </w:r>
          </w:p>
        </w:tc>
        <w:tc>
          <w:tcPr>
            <w:tcW w:w="624" w:type="pct"/>
            <w:gridSpan w:val="2"/>
            <w:shd w:val="clear" w:color="auto" w:fill="DBE5F1" w:themeFill="accent1" w:themeFillTint="33"/>
            <w:vAlign w:val="center"/>
          </w:tcPr>
          <w:p w14:paraId="4E4AB28A" w14:textId="6838EADA" w:rsidR="00AB1AFE" w:rsidRPr="009A0E7B" w:rsidRDefault="008B5381" w:rsidP="00936492">
            <w:pPr>
              <w:pStyle w:val="TableText0"/>
              <w:keepLines/>
              <w:jc w:val="center"/>
            </w:pPr>
            <w:r w:rsidRPr="008B5381">
              <w:rPr>
                <w:rFonts w:hint="eastAsia"/>
                <w:color w:val="000000"/>
                <w:w w:val="22"/>
                <w:shd w:val="solid" w:color="000000" w:fill="000000"/>
                <w:fitText w:val="101" w:id="-1305204986"/>
                <w14:textFill>
                  <w14:solidFill>
                    <w14:srgbClr w14:val="000000">
                      <w14:alpha w14:val="100000"/>
                    </w14:srgbClr>
                  </w14:solidFill>
                </w14:textFill>
              </w:rPr>
              <w:t xml:space="preserve">　</w:t>
            </w:r>
            <w:r w:rsidRPr="008B5381">
              <w:rPr>
                <w:color w:val="000000"/>
                <w:w w:val="22"/>
                <w:shd w:val="solid" w:color="000000" w:fill="000000"/>
                <w:fitText w:val="101" w:id="-1305204986"/>
                <w14:textFill>
                  <w14:solidFill>
                    <w14:srgbClr w14:val="000000">
                      <w14:alpha w14:val="100000"/>
                    </w14:srgbClr>
                  </w14:solidFill>
                </w14:textFill>
              </w:rPr>
              <w:t>|</w:t>
            </w:r>
            <w:r w:rsidRPr="008B5381">
              <w:rPr>
                <w:rFonts w:hint="eastAsia"/>
                <w:color w:val="000000"/>
                <w:spacing w:val="4"/>
                <w:w w:val="22"/>
                <w:shd w:val="solid" w:color="000000" w:fill="000000"/>
                <w:fitText w:val="101" w:id="-1305204986"/>
                <w14:textFill>
                  <w14:solidFill>
                    <w14:srgbClr w14:val="000000">
                      <w14:alpha w14:val="100000"/>
                    </w14:srgbClr>
                  </w14:solidFill>
                </w14:textFill>
              </w:rPr>
              <w:t xml:space="preserve">　</w:t>
            </w:r>
            <w:r w:rsidR="008555E5">
              <w:rPr>
                <w:vertAlign w:val="superscript"/>
              </w:rPr>
              <w:t>4</w:t>
            </w:r>
          </w:p>
        </w:tc>
        <w:tc>
          <w:tcPr>
            <w:tcW w:w="625" w:type="pct"/>
            <w:shd w:val="clear" w:color="auto" w:fill="DBE5F1" w:themeFill="accent1" w:themeFillTint="33"/>
            <w:vAlign w:val="center"/>
          </w:tcPr>
          <w:p w14:paraId="22B03259" w14:textId="050D5775" w:rsidR="00AB1AFE" w:rsidRPr="009A0E7B" w:rsidRDefault="008B5381" w:rsidP="00936492">
            <w:pPr>
              <w:pStyle w:val="TableText0"/>
              <w:keepLines/>
              <w:jc w:val="center"/>
            </w:pPr>
            <w:r w:rsidRPr="008B5381">
              <w:rPr>
                <w:rFonts w:hint="eastAsia"/>
                <w:color w:val="000000"/>
                <w:w w:val="22"/>
                <w:shd w:val="solid" w:color="000000" w:fill="000000"/>
                <w:fitText w:val="101" w:id="-1305204985"/>
                <w14:textFill>
                  <w14:solidFill>
                    <w14:srgbClr w14:val="000000">
                      <w14:alpha w14:val="100000"/>
                    </w14:srgbClr>
                  </w14:solidFill>
                </w14:textFill>
              </w:rPr>
              <w:t xml:space="preserve">　</w:t>
            </w:r>
            <w:r w:rsidRPr="008B5381">
              <w:rPr>
                <w:color w:val="000000"/>
                <w:w w:val="22"/>
                <w:shd w:val="solid" w:color="000000" w:fill="000000"/>
                <w:fitText w:val="101" w:id="-1305204985"/>
                <w14:textFill>
                  <w14:solidFill>
                    <w14:srgbClr w14:val="000000">
                      <w14:alpha w14:val="100000"/>
                    </w14:srgbClr>
                  </w14:solidFill>
                </w14:textFill>
              </w:rPr>
              <w:t>|</w:t>
            </w:r>
            <w:r w:rsidRPr="008B5381">
              <w:rPr>
                <w:rFonts w:hint="eastAsia"/>
                <w:color w:val="000000"/>
                <w:spacing w:val="4"/>
                <w:w w:val="22"/>
                <w:shd w:val="solid" w:color="000000" w:fill="000000"/>
                <w:fitText w:val="101" w:id="-1305204985"/>
                <w14:textFill>
                  <w14:solidFill>
                    <w14:srgbClr w14:val="000000">
                      <w14:alpha w14:val="100000"/>
                    </w14:srgbClr>
                  </w14:solidFill>
                </w14:textFill>
              </w:rPr>
              <w:t xml:space="preserve">　</w:t>
            </w:r>
            <w:r w:rsidR="008555E5">
              <w:rPr>
                <w:vertAlign w:val="superscript"/>
              </w:rPr>
              <w:t>4</w:t>
            </w:r>
          </w:p>
        </w:tc>
      </w:tr>
      <w:tr w:rsidR="00AB1AFE" w:rsidRPr="009A0E7B" w14:paraId="17614E7B" w14:textId="77777777" w:rsidTr="00FB2630">
        <w:tc>
          <w:tcPr>
            <w:tcW w:w="5000" w:type="pct"/>
            <w:gridSpan w:val="12"/>
            <w:shd w:val="clear" w:color="auto" w:fill="DBE5F1" w:themeFill="accent1" w:themeFillTint="33"/>
            <w:vAlign w:val="center"/>
          </w:tcPr>
          <w:p w14:paraId="7437AFD4" w14:textId="77777777" w:rsidR="00AB1AFE" w:rsidRPr="009A0E7B" w:rsidRDefault="00AB1AFE" w:rsidP="00936492">
            <w:pPr>
              <w:pStyle w:val="In-tableHeading"/>
              <w:keepLines/>
              <w:rPr>
                <w:lang w:val="en-AU"/>
              </w:rPr>
            </w:pPr>
            <w:r w:rsidRPr="009A0E7B">
              <w:rPr>
                <w:lang w:val="en-AU"/>
              </w:rPr>
              <w:t>Net financial implications</w:t>
            </w:r>
            <w:r w:rsidRPr="009A0E7B">
              <w:rPr>
                <w:color w:val="4BACC6" w:themeColor="accent5"/>
                <w:lang w:val="en-AU"/>
              </w:rPr>
              <w:t xml:space="preserve"> </w:t>
            </w:r>
          </w:p>
        </w:tc>
      </w:tr>
      <w:tr w:rsidR="00AB1AFE" w:rsidRPr="009A0E7B" w14:paraId="2E00622A" w14:textId="77777777" w:rsidTr="00FB2630">
        <w:tc>
          <w:tcPr>
            <w:tcW w:w="1255" w:type="pct"/>
            <w:shd w:val="clear" w:color="auto" w:fill="DBE5F1" w:themeFill="accent1" w:themeFillTint="33"/>
            <w:vAlign w:val="center"/>
          </w:tcPr>
          <w:p w14:paraId="0B0C7EE8" w14:textId="1E73B2FA" w:rsidR="00AB1AFE" w:rsidRPr="009A0E7B" w:rsidRDefault="00AB1AFE" w:rsidP="00936492">
            <w:pPr>
              <w:pStyle w:val="TableText0"/>
              <w:keepLines/>
              <w:rPr>
                <w:sz w:val="19"/>
                <w:szCs w:val="19"/>
              </w:rPr>
            </w:pPr>
            <w:r w:rsidRPr="009A0E7B">
              <w:rPr>
                <w:sz w:val="19"/>
                <w:szCs w:val="19"/>
              </w:rPr>
              <w:t>Net cost to PBS/</w:t>
            </w:r>
            <w:proofErr w:type="spellStart"/>
            <w:r w:rsidRPr="009A0E7B">
              <w:rPr>
                <w:sz w:val="19"/>
                <w:szCs w:val="19"/>
              </w:rPr>
              <w:t>RPBS</w:t>
            </w:r>
            <w:r w:rsidRPr="009A0E7B">
              <w:rPr>
                <w:vertAlign w:val="superscript"/>
              </w:rPr>
              <w:t>b</w:t>
            </w:r>
            <w:proofErr w:type="spellEnd"/>
            <w:r w:rsidR="008555E5" w:rsidRPr="008555E5">
              <w:t xml:space="preserve"> ($)</w:t>
            </w:r>
          </w:p>
        </w:tc>
        <w:tc>
          <w:tcPr>
            <w:tcW w:w="624" w:type="pct"/>
            <w:gridSpan w:val="2"/>
            <w:shd w:val="clear" w:color="auto" w:fill="DBE5F1" w:themeFill="accent1" w:themeFillTint="33"/>
          </w:tcPr>
          <w:p w14:paraId="796D42ED" w14:textId="35053268" w:rsidR="00AB1AFE" w:rsidRPr="009A0E7B" w:rsidRDefault="008B5381" w:rsidP="00936492">
            <w:pPr>
              <w:pStyle w:val="TableText0"/>
              <w:keepLines/>
              <w:jc w:val="center"/>
              <w:rPr>
                <w:szCs w:val="20"/>
              </w:rPr>
            </w:pPr>
            <w:r w:rsidRPr="008B5381">
              <w:rPr>
                <w:rFonts w:hint="eastAsia"/>
                <w:color w:val="000000"/>
                <w:w w:val="22"/>
                <w:shd w:val="solid" w:color="000000" w:fill="000000"/>
                <w:fitText w:val="100" w:id="-1305204984"/>
                <w14:textFill>
                  <w14:solidFill>
                    <w14:srgbClr w14:val="000000">
                      <w14:alpha w14:val="100000"/>
                    </w14:srgbClr>
                  </w14:solidFill>
                </w14:textFill>
              </w:rPr>
              <w:t xml:space="preserve">　</w:t>
            </w:r>
            <w:r w:rsidRPr="008B5381">
              <w:rPr>
                <w:color w:val="000000"/>
                <w:w w:val="22"/>
                <w:shd w:val="solid" w:color="000000" w:fill="000000"/>
                <w:fitText w:val="100" w:id="-1305204984"/>
                <w14:textFill>
                  <w14:solidFill>
                    <w14:srgbClr w14:val="000000">
                      <w14:alpha w14:val="100000"/>
                    </w14:srgbClr>
                  </w14:solidFill>
                </w14:textFill>
              </w:rPr>
              <w:t>|</w:t>
            </w:r>
            <w:r w:rsidRPr="008B5381">
              <w:rPr>
                <w:rFonts w:hint="eastAsia"/>
                <w:color w:val="000000"/>
                <w:spacing w:val="3"/>
                <w:w w:val="22"/>
                <w:shd w:val="solid" w:color="000000" w:fill="000000"/>
                <w:fitText w:val="100" w:id="-1305204984"/>
                <w14:textFill>
                  <w14:solidFill>
                    <w14:srgbClr w14:val="000000">
                      <w14:alpha w14:val="100000"/>
                    </w14:srgbClr>
                  </w14:solidFill>
                </w14:textFill>
              </w:rPr>
              <w:t xml:space="preserve">　</w:t>
            </w:r>
            <w:r w:rsidR="008555E5">
              <w:rPr>
                <w:vertAlign w:val="superscript"/>
              </w:rPr>
              <w:t>4</w:t>
            </w:r>
          </w:p>
        </w:tc>
        <w:tc>
          <w:tcPr>
            <w:tcW w:w="624" w:type="pct"/>
            <w:gridSpan w:val="2"/>
            <w:shd w:val="clear" w:color="auto" w:fill="DBE5F1" w:themeFill="accent1" w:themeFillTint="33"/>
          </w:tcPr>
          <w:p w14:paraId="6FAD6439" w14:textId="3EFFB3C3" w:rsidR="00AB1AFE" w:rsidRPr="009A0E7B" w:rsidRDefault="008B5381" w:rsidP="00936492">
            <w:pPr>
              <w:pStyle w:val="TableText0"/>
              <w:keepLines/>
              <w:jc w:val="center"/>
              <w:rPr>
                <w:szCs w:val="20"/>
              </w:rPr>
            </w:pPr>
            <w:r w:rsidRPr="008B5381">
              <w:rPr>
                <w:rFonts w:hint="eastAsia"/>
                <w:color w:val="000000"/>
                <w:w w:val="22"/>
                <w:shd w:val="solid" w:color="000000" w:fill="000000"/>
                <w:fitText w:val="100" w:id="-1305204983"/>
                <w14:textFill>
                  <w14:solidFill>
                    <w14:srgbClr w14:val="000000">
                      <w14:alpha w14:val="100000"/>
                    </w14:srgbClr>
                  </w14:solidFill>
                </w14:textFill>
              </w:rPr>
              <w:t xml:space="preserve">　</w:t>
            </w:r>
            <w:r w:rsidRPr="008B5381">
              <w:rPr>
                <w:color w:val="000000"/>
                <w:w w:val="22"/>
                <w:shd w:val="solid" w:color="000000" w:fill="000000"/>
                <w:fitText w:val="100" w:id="-1305204983"/>
                <w14:textFill>
                  <w14:solidFill>
                    <w14:srgbClr w14:val="000000">
                      <w14:alpha w14:val="100000"/>
                    </w14:srgbClr>
                  </w14:solidFill>
                </w14:textFill>
              </w:rPr>
              <w:t>|</w:t>
            </w:r>
            <w:r w:rsidRPr="008B5381">
              <w:rPr>
                <w:rFonts w:hint="eastAsia"/>
                <w:color w:val="000000"/>
                <w:spacing w:val="3"/>
                <w:w w:val="22"/>
                <w:shd w:val="solid" w:color="000000" w:fill="000000"/>
                <w:fitText w:val="100" w:id="-1305204983"/>
                <w14:textFill>
                  <w14:solidFill>
                    <w14:srgbClr w14:val="000000">
                      <w14:alpha w14:val="100000"/>
                    </w14:srgbClr>
                  </w14:solidFill>
                </w14:textFill>
              </w:rPr>
              <w:t xml:space="preserve">　</w:t>
            </w:r>
            <w:r w:rsidR="008555E5">
              <w:rPr>
                <w:vertAlign w:val="superscript"/>
              </w:rPr>
              <w:t>4</w:t>
            </w:r>
          </w:p>
        </w:tc>
        <w:tc>
          <w:tcPr>
            <w:tcW w:w="624" w:type="pct"/>
            <w:gridSpan w:val="2"/>
            <w:shd w:val="clear" w:color="auto" w:fill="DBE5F1" w:themeFill="accent1" w:themeFillTint="33"/>
          </w:tcPr>
          <w:p w14:paraId="69EACEB9" w14:textId="14E13678" w:rsidR="00AB1AFE" w:rsidRPr="009A0E7B" w:rsidRDefault="008B5381" w:rsidP="00936492">
            <w:pPr>
              <w:pStyle w:val="TableText0"/>
              <w:keepLines/>
              <w:jc w:val="center"/>
              <w:rPr>
                <w:szCs w:val="20"/>
              </w:rPr>
            </w:pPr>
            <w:r w:rsidRPr="008B5381">
              <w:rPr>
                <w:rFonts w:hint="eastAsia"/>
                <w:color w:val="000000"/>
                <w:w w:val="22"/>
                <w:shd w:val="solid" w:color="000000" w:fill="000000"/>
                <w:fitText w:val="100" w:id="-1305204982"/>
                <w14:textFill>
                  <w14:solidFill>
                    <w14:srgbClr w14:val="000000">
                      <w14:alpha w14:val="100000"/>
                    </w14:srgbClr>
                  </w14:solidFill>
                </w14:textFill>
              </w:rPr>
              <w:t xml:space="preserve">　</w:t>
            </w:r>
            <w:r w:rsidRPr="008B5381">
              <w:rPr>
                <w:color w:val="000000"/>
                <w:w w:val="22"/>
                <w:shd w:val="solid" w:color="000000" w:fill="000000"/>
                <w:fitText w:val="100" w:id="-1305204982"/>
                <w14:textFill>
                  <w14:solidFill>
                    <w14:srgbClr w14:val="000000">
                      <w14:alpha w14:val="100000"/>
                    </w14:srgbClr>
                  </w14:solidFill>
                </w14:textFill>
              </w:rPr>
              <w:t>|</w:t>
            </w:r>
            <w:r w:rsidRPr="008B5381">
              <w:rPr>
                <w:rFonts w:hint="eastAsia"/>
                <w:color w:val="000000"/>
                <w:spacing w:val="3"/>
                <w:w w:val="22"/>
                <w:shd w:val="solid" w:color="000000" w:fill="000000"/>
                <w:fitText w:val="100" w:id="-1305204982"/>
                <w14:textFill>
                  <w14:solidFill>
                    <w14:srgbClr w14:val="000000">
                      <w14:alpha w14:val="100000"/>
                    </w14:srgbClr>
                  </w14:solidFill>
                </w14:textFill>
              </w:rPr>
              <w:t xml:space="preserve">　</w:t>
            </w:r>
            <w:r w:rsidR="008555E5">
              <w:rPr>
                <w:vertAlign w:val="superscript"/>
              </w:rPr>
              <w:t>4</w:t>
            </w:r>
          </w:p>
        </w:tc>
        <w:tc>
          <w:tcPr>
            <w:tcW w:w="624" w:type="pct"/>
            <w:gridSpan w:val="2"/>
            <w:shd w:val="clear" w:color="auto" w:fill="DBE5F1" w:themeFill="accent1" w:themeFillTint="33"/>
          </w:tcPr>
          <w:p w14:paraId="70097E53" w14:textId="61E9125E" w:rsidR="00AB1AFE" w:rsidRPr="009A0E7B" w:rsidRDefault="008B5381" w:rsidP="00936492">
            <w:pPr>
              <w:pStyle w:val="TableText0"/>
              <w:keepLines/>
              <w:jc w:val="center"/>
              <w:rPr>
                <w:szCs w:val="20"/>
              </w:rPr>
            </w:pPr>
            <w:r w:rsidRPr="008B5381">
              <w:rPr>
                <w:rFonts w:hint="eastAsia"/>
                <w:color w:val="000000"/>
                <w:w w:val="22"/>
                <w:shd w:val="solid" w:color="000000" w:fill="000000"/>
                <w:fitText w:val="101" w:id="-1305204981"/>
                <w14:textFill>
                  <w14:solidFill>
                    <w14:srgbClr w14:val="000000">
                      <w14:alpha w14:val="100000"/>
                    </w14:srgbClr>
                  </w14:solidFill>
                </w14:textFill>
              </w:rPr>
              <w:t xml:space="preserve">　</w:t>
            </w:r>
            <w:r w:rsidRPr="008B5381">
              <w:rPr>
                <w:color w:val="000000"/>
                <w:w w:val="22"/>
                <w:shd w:val="solid" w:color="000000" w:fill="000000"/>
                <w:fitText w:val="101" w:id="-1305204981"/>
                <w14:textFill>
                  <w14:solidFill>
                    <w14:srgbClr w14:val="000000">
                      <w14:alpha w14:val="100000"/>
                    </w14:srgbClr>
                  </w14:solidFill>
                </w14:textFill>
              </w:rPr>
              <w:t>|</w:t>
            </w:r>
            <w:r w:rsidRPr="008B5381">
              <w:rPr>
                <w:rFonts w:hint="eastAsia"/>
                <w:color w:val="000000"/>
                <w:spacing w:val="4"/>
                <w:w w:val="22"/>
                <w:shd w:val="solid" w:color="000000" w:fill="000000"/>
                <w:fitText w:val="101" w:id="-1305204981"/>
                <w14:textFill>
                  <w14:solidFill>
                    <w14:srgbClr w14:val="000000">
                      <w14:alpha w14:val="100000"/>
                    </w14:srgbClr>
                  </w14:solidFill>
                </w14:textFill>
              </w:rPr>
              <w:t xml:space="preserve">　</w:t>
            </w:r>
            <w:r w:rsidR="008555E5">
              <w:rPr>
                <w:vertAlign w:val="superscript"/>
              </w:rPr>
              <w:t>4</w:t>
            </w:r>
          </w:p>
        </w:tc>
        <w:tc>
          <w:tcPr>
            <w:tcW w:w="624" w:type="pct"/>
            <w:gridSpan w:val="2"/>
            <w:shd w:val="clear" w:color="auto" w:fill="DBE5F1" w:themeFill="accent1" w:themeFillTint="33"/>
          </w:tcPr>
          <w:p w14:paraId="37401E4E" w14:textId="63501D3F" w:rsidR="00AB1AFE" w:rsidRPr="009A0E7B" w:rsidRDefault="008B5381" w:rsidP="00936492">
            <w:pPr>
              <w:pStyle w:val="TableText0"/>
              <w:keepLines/>
              <w:jc w:val="center"/>
              <w:rPr>
                <w:szCs w:val="20"/>
              </w:rPr>
            </w:pPr>
            <w:r w:rsidRPr="008B5381">
              <w:rPr>
                <w:rFonts w:hint="eastAsia"/>
                <w:color w:val="000000"/>
                <w:w w:val="22"/>
                <w:shd w:val="solid" w:color="000000" w:fill="000000"/>
                <w:fitText w:val="101" w:id="-1305204980"/>
                <w14:textFill>
                  <w14:solidFill>
                    <w14:srgbClr w14:val="000000">
                      <w14:alpha w14:val="100000"/>
                    </w14:srgbClr>
                  </w14:solidFill>
                </w14:textFill>
              </w:rPr>
              <w:t xml:space="preserve">　</w:t>
            </w:r>
            <w:r w:rsidRPr="008B5381">
              <w:rPr>
                <w:color w:val="000000"/>
                <w:w w:val="22"/>
                <w:shd w:val="solid" w:color="000000" w:fill="000000"/>
                <w:fitText w:val="101" w:id="-1305204980"/>
                <w14:textFill>
                  <w14:solidFill>
                    <w14:srgbClr w14:val="000000">
                      <w14:alpha w14:val="100000"/>
                    </w14:srgbClr>
                  </w14:solidFill>
                </w14:textFill>
              </w:rPr>
              <w:t>|</w:t>
            </w:r>
            <w:r w:rsidRPr="008B5381">
              <w:rPr>
                <w:rFonts w:hint="eastAsia"/>
                <w:color w:val="000000"/>
                <w:spacing w:val="4"/>
                <w:w w:val="22"/>
                <w:shd w:val="solid" w:color="000000" w:fill="000000"/>
                <w:fitText w:val="101" w:id="-1305204980"/>
                <w14:textFill>
                  <w14:solidFill>
                    <w14:srgbClr w14:val="000000">
                      <w14:alpha w14:val="100000"/>
                    </w14:srgbClr>
                  </w14:solidFill>
                </w14:textFill>
              </w:rPr>
              <w:t xml:space="preserve">　</w:t>
            </w:r>
            <w:r w:rsidR="008555E5">
              <w:rPr>
                <w:vertAlign w:val="superscript"/>
              </w:rPr>
              <w:t>4</w:t>
            </w:r>
          </w:p>
        </w:tc>
        <w:tc>
          <w:tcPr>
            <w:tcW w:w="625" w:type="pct"/>
            <w:shd w:val="clear" w:color="auto" w:fill="DBE5F1" w:themeFill="accent1" w:themeFillTint="33"/>
          </w:tcPr>
          <w:p w14:paraId="31D75C65" w14:textId="1AECC9C3" w:rsidR="00AB1AFE" w:rsidRPr="009A0E7B" w:rsidRDefault="008B5381" w:rsidP="00936492">
            <w:pPr>
              <w:pStyle w:val="TableText0"/>
              <w:keepLines/>
              <w:jc w:val="center"/>
              <w:rPr>
                <w:szCs w:val="20"/>
              </w:rPr>
            </w:pPr>
            <w:r w:rsidRPr="008B5381">
              <w:rPr>
                <w:rFonts w:hint="eastAsia"/>
                <w:color w:val="000000"/>
                <w:w w:val="22"/>
                <w:shd w:val="solid" w:color="000000" w:fill="000000"/>
                <w:fitText w:val="101" w:id="-1305204979"/>
                <w14:textFill>
                  <w14:solidFill>
                    <w14:srgbClr w14:val="000000">
                      <w14:alpha w14:val="100000"/>
                    </w14:srgbClr>
                  </w14:solidFill>
                </w14:textFill>
              </w:rPr>
              <w:t xml:space="preserve">　</w:t>
            </w:r>
            <w:r w:rsidRPr="008B5381">
              <w:rPr>
                <w:color w:val="000000"/>
                <w:w w:val="22"/>
                <w:shd w:val="solid" w:color="000000" w:fill="000000"/>
                <w:fitText w:val="101" w:id="-1305204979"/>
                <w14:textFill>
                  <w14:solidFill>
                    <w14:srgbClr w14:val="000000">
                      <w14:alpha w14:val="100000"/>
                    </w14:srgbClr>
                  </w14:solidFill>
                </w14:textFill>
              </w:rPr>
              <w:t>|</w:t>
            </w:r>
            <w:r w:rsidRPr="008B5381">
              <w:rPr>
                <w:rFonts w:hint="eastAsia"/>
                <w:color w:val="000000"/>
                <w:spacing w:val="4"/>
                <w:w w:val="22"/>
                <w:shd w:val="solid" w:color="000000" w:fill="000000"/>
                <w:fitText w:val="101" w:id="-1305204979"/>
                <w14:textFill>
                  <w14:solidFill>
                    <w14:srgbClr w14:val="000000">
                      <w14:alpha w14:val="100000"/>
                    </w14:srgbClr>
                  </w14:solidFill>
                </w14:textFill>
              </w:rPr>
              <w:t xml:space="preserve">　</w:t>
            </w:r>
            <w:r w:rsidR="008555E5">
              <w:rPr>
                <w:vertAlign w:val="superscript"/>
              </w:rPr>
              <w:t>4</w:t>
            </w:r>
          </w:p>
        </w:tc>
      </w:tr>
      <w:tr w:rsidR="00AB1AFE" w:rsidRPr="009A0E7B" w14:paraId="7387958B" w14:textId="77777777" w:rsidTr="00FB2630">
        <w:tc>
          <w:tcPr>
            <w:tcW w:w="1255" w:type="pct"/>
            <w:shd w:val="clear" w:color="auto" w:fill="DBE5F1" w:themeFill="accent1" w:themeFillTint="33"/>
            <w:vAlign w:val="center"/>
          </w:tcPr>
          <w:p w14:paraId="5FC2A612" w14:textId="57A5D651" w:rsidR="00AB1AFE" w:rsidRPr="009A0E7B" w:rsidRDefault="00AB1AFE" w:rsidP="00936492">
            <w:pPr>
              <w:pStyle w:val="TableText0"/>
              <w:keepLines/>
              <w:rPr>
                <w:sz w:val="19"/>
                <w:szCs w:val="19"/>
              </w:rPr>
            </w:pPr>
            <w:r w:rsidRPr="009A0E7B">
              <w:rPr>
                <w:sz w:val="19"/>
                <w:szCs w:val="19"/>
              </w:rPr>
              <w:t xml:space="preserve">Net cost to </w:t>
            </w:r>
            <w:proofErr w:type="spellStart"/>
            <w:r w:rsidRPr="009A0E7B">
              <w:rPr>
                <w:sz w:val="19"/>
                <w:szCs w:val="19"/>
              </w:rPr>
              <w:t>MBS</w:t>
            </w:r>
            <w:r w:rsidRPr="009A0E7B">
              <w:rPr>
                <w:rFonts w:cstheme="minorHAnsi"/>
                <w:szCs w:val="20"/>
                <w:vertAlign w:val="superscript"/>
              </w:rPr>
              <w:t>c</w:t>
            </w:r>
            <w:proofErr w:type="spellEnd"/>
            <w:r w:rsidR="008555E5" w:rsidRPr="008555E5">
              <w:t xml:space="preserve"> ($)</w:t>
            </w:r>
          </w:p>
        </w:tc>
        <w:tc>
          <w:tcPr>
            <w:tcW w:w="624" w:type="pct"/>
            <w:gridSpan w:val="2"/>
            <w:shd w:val="clear" w:color="auto" w:fill="DBE5F1" w:themeFill="accent1" w:themeFillTint="33"/>
          </w:tcPr>
          <w:p w14:paraId="4969DEF3" w14:textId="5964E1B4" w:rsidR="00AB1AFE" w:rsidRPr="009A0E7B" w:rsidRDefault="008B5381" w:rsidP="00936492">
            <w:pPr>
              <w:pStyle w:val="TableText0"/>
              <w:keepLines/>
              <w:jc w:val="center"/>
            </w:pPr>
            <w:r w:rsidRPr="008B5381">
              <w:rPr>
                <w:rFonts w:hint="eastAsia"/>
                <w:color w:val="000000"/>
                <w:w w:val="22"/>
                <w:szCs w:val="20"/>
                <w:shd w:val="solid" w:color="000000" w:fill="000000"/>
                <w:fitText w:val="100" w:id="-1305204978"/>
                <w14:textFill>
                  <w14:solidFill>
                    <w14:srgbClr w14:val="000000">
                      <w14:alpha w14:val="100000"/>
                    </w14:srgbClr>
                  </w14:solidFill>
                </w14:textFill>
              </w:rPr>
              <w:t xml:space="preserve">　</w:t>
            </w:r>
            <w:r w:rsidRPr="008B5381">
              <w:rPr>
                <w:color w:val="000000"/>
                <w:w w:val="22"/>
                <w:szCs w:val="20"/>
                <w:shd w:val="solid" w:color="000000" w:fill="000000"/>
                <w:fitText w:val="100" w:id="-1305204978"/>
                <w14:textFill>
                  <w14:solidFill>
                    <w14:srgbClr w14:val="000000">
                      <w14:alpha w14:val="100000"/>
                    </w14:srgbClr>
                  </w14:solidFill>
                </w14:textFill>
              </w:rPr>
              <w:t>|</w:t>
            </w:r>
            <w:r w:rsidRPr="008B5381">
              <w:rPr>
                <w:rFonts w:hint="eastAsia"/>
                <w:color w:val="000000"/>
                <w:spacing w:val="3"/>
                <w:w w:val="22"/>
                <w:szCs w:val="20"/>
                <w:shd w:val="solid" w:color="000000" w:fill="000000"/>
                <w:fitText w:val="100" w:id="-1305204978"/>
                <w14:textFill>
                  <w14:solidFill>
                    <w14:srgbClr w14:val="000000">
                      <w14:alpha w14:val="100000"/>
                    </w14:srgbClr>
                  </w14:solidFill>
                </w14:textFill>
              </w:rPr>
              <w:t xml:space="preserve">　</w:t>
            </w:r>
            <w:r w:rsidR="008555E5">
              <w:rPr>
                <w:vertAlign w:val="superscript"/>
              </w:rPr>
              <w:t>4</w:t>
            </w:r>
          </w:p>
        </w:tc>
        <w:tc>
          <w:tcPr>
            <w:tcW w:w="624" w:type="pct"/>
            <w:gridSpan w:val="2"/>
            <w:shd w:val="clear" w:color="auto" w:fill="DBE5F1" w:themeFill="accent1" w:themeFillTint="33"/>
          </w:tcPr>
          <w:p w14:paraId="7D9AE505" w14:textId="1BE26912" w:rsidR="00AB1AFE" w:rsidRPr="009A0E7B" w:rsidRDefault="008B5381" w:rsidP="00936492">
            <w:pPr>
              <w:pStyle w:val="TableText0"/>
              <w:keepLines/>
              <w:jc w:val="center"/>
            </w:pPr>
            <w:r w:rsidRPr="008B5381">
              <w:rPr>
                <w:rFonts w:hint="eastAsia"/>
                <w:color w:val="000000"/>
                <w:w w:val="22"/>
                <w:szCs w:val="20"/>
                <w:shd w:val="solid" w:color="000000" w:fill="000000"/>
                <w:fitText w:val="100" w:id="-1305204977"/>
                <w14:textFill>
                  <w14:solidFill>
                    <w14:srgbClr w14:val="000000">
                      <w14:alpha w14:val="100000"/>
                    </w14:srgbClr>
                  </w14:solidFill>
                </w14:textFill>
              </w:rPr>
              <w:t xml:space="preserve">　</w:t>
            </w:r>
            <w:r w:rsidRPr="008B5381">
              <w:rPr>
                <w:color w:val="000000"/>
                <w:w w:val="22"/>
                <w:szCs w:val="20"/>
                <w:shd w:val="solid" w:color="000000" w:fill="000000"/>
                <w:fitText w:val="100" w:id="-1305204977"/>
                <w14:textFill>
                  <w14:solidFill>
                    <w14:srgbClr w14:val="000000">
                      <w14:alpha w14:val="100000"/>
                    </w14:srgbClr>
                  </w14:solidFill>
                </w14:textFill>
              </w:rPr>
              <w:t>|</w:t>
            </w:r>
            <w:r w:rsidRPr="008B5381">
              <w:rPr>
                <w:rFonts w:hint="eastAsia"/>
                <w:color w:val="000000"/>
                <w:spacing w:val="3"/>
                <w:w w:val="22"/>
                <w:szCs w:val="20"/>
                <w:shd w:val="solid" w:color="000000" w:fill="000000"/>
                <w:fitText w:val="100" w:id="-1305204977"/>
                <w14:textFill>
                  <w14:solidFill>
                    <w14:srgbClr w14:val="000000">
                      <w14:alpha w14:val="100000"/>
                    </w14:srgbClr>
                  </w14:solidFill>
                </w14:textFill>
              </w:rPr>
              <w:t xml:space="preserve">　</w:t>
            </w:r>
            <w:r w:rsidR="008555E5">
              <w:rPr>
                <w:vertAlign w:val="superscript"/>
              </w:rPr>
              <w:t>4</w:t>
            </w:r>
          </w:p>
        </w:tc>
        <w:tc>
          <w:tcPr>
            <w:tcW w:w="624" w:type="pct"/>
            <w:gridSpan w:val="2"/>
            <w:shd w:val="clear" w:color="auto" w:fill="DBE5F1" w:themeFill="accent1" w:themeFillTint="33"/>
          </w:tcPr>
          <w:p w14:paraId="3A50DB5D" w14:textId="39621F83" w:rsidR="00AB1AFE" w:rsidRPr="009A0E7B" w:rsidRDefault="008B5381" w:rsidP="00936492">
            <w:pPr>
              <w:pStyle w:val="TableText0"/>
              <w:keepLines/>
              <w:jc w:val="center"/>
            </w:pPr>
            <w:r w:rsidRPr="008B5381">
              <w:rPr>
                <w:rFonts w:hint="eastAsia"/>
                <w:color w:val="000000"/>
                <w:w w:val="22"/>
                <w:szCs w:val="20"/>
                <w:shd w:val="solid" w:color="000000" w:fill="000000"/>
                <w:fitText w:val="100" w:id="-1305204976"/>
                <w14:textFill>
                  <w14:solidFill>
                    <w14:srgbClr w14:val="000000">
                      <w14:alpha w14:val="100000"/>
                    </w14:srgbClr>
                  </w14:solidFill>
                </w14:textFill>
              </w:rPr>
              <w:t xml:space="preserve">　</w:t>
            </w:r>
            <w:r w:rsidRPr="008B5381">
              <w:rPr>
                <w:color w:val="000000"/>
                <w:w w:val="22"/>
                <w:szCs w:val="20"/>
                <w:shd w:val="solid" w:color="000000" w:fill="000000"/>
                <w:fitText w:val="100" w:id="-1305204976"/>
                <w14:textFill>
                  <w14:solidFill>
                    <w14:srgbClr w14:val="000000">
                      <w14:alpha w14:val="100000"/>
                    </w14:srgbClr>
                  </w14:solidFill>
                </w14:textFill>
              </w:rPr>
              <w:t>|</w:t>
            </w:r>
            <w:r w:rsidRPr="008B5381">
              <w:rPr>
                <w:rFonts w:hint="eastAsia"/>
                <w:color w:val="000000"/>
                <w:spacing w:val="3"/>
                <w:w w:val="22"/>
                <w:szCs w:val="20"/>
                <w:shd w:val="solid" w:color="000000" w:fill="000000"/>
                <w:fitText w:val="100" w:id="-1305204976"/>
                <w14:textFill>
                  <w14:solidFill>
                    <w14:srgbClr w14:val="000000">
                      <w14:alpha w14:val="100000"/>
                    </w14:srgbClr>
                  </w14:solidFill>
                </w14:textFill>
              </w:rPr>
              <w:t xml:space="preserve">　</w:t>
            </w:r>
            <w:r w:rsidR="008555E5">
              <w:rPr>
                <w:vertAlign w:val="superscript"/>
              </w:rPr>
              <w:t>4</w:t>
            </w:r>
          </w:p>
        </w:tc>
        <w:tc>
          <w:tcPr>
            <w:tcW w:w="624" w:type="pct"/>
            <w:gridSpan w:val="2"/>
            <w:shd w:val="clear" w:color="auto" w:fill="DBE5F1" w:themeFill="accent1" w:themeFillTint="33"/>
          </w:tcPr>
          <w:p w14:paraId="4AFC6403" w14:textId="1F8DA8FC" w:rsidR="00AB1AFE" w:rsidRPr="009A0E7B" w:rsidRDefault="008B5381" w:rsidP="00936492">
            <w:pPr>
              <w:pStyle w:val="TableText0"/>
              <w:keepLines/>
              <w:jc w:val="center"/>
            </w:pPr>
            <w:r w:rsidRPr="008B5381">
              <w:rPr>
                <w:rFonts w:hint="eastAsia"/>
                <w:color w:val="000000"/>
                <w:w w:val="22"/>
                <w:szCs w:val="20"/>
                <w:shd w:val="solid" w:color="000000" w:fill="000000"/>
                <w:fitText w:val="101" w:id="-1305204992"/>
                <w14:textFill>
                  <w14:solidFill>
                    <w14:srgbClr w14:val="000000">
                      <w14:alpha w14:val="100000"/>
                    </w14:srgbClr>
                  </w14:solidFill>
                </w14:textFill>
              </w:rPr>
              <w:t xml:space="preserve">　</w:t>
            </w:r>
            <w:r w:rsidRPr="008B5381">
              <w:rPr>
                <w:color w:val="000000"/>
                <w:w w:val="22"/>
                <w:szCs w:val="20"/>
                <w:shd w:val="solid" w:color="000000" w:fill="000000"/>
                <w:fitText w:val="101" w:id="-1305204992"/>
                <w14:textFill>
                  <w14:solidFill>
                    <w14:srgbClr w14:val="000000">
                      <w14:alpha w14:val="100000"/>
                    </w14:srgbClr>
                  </w14:solidFill>
                </w14:textFill>
              </w:rPr>
              <w:t>|</w:t>
            </w:r>
            <w:r w:rsidRPr="008B5381">
              <w:rPr>
                <w:rFonts w:hint="eastAsia"/>
                <w:color w:val="000000"/>
                <w:spacing w:val="4"/>
                <w:w w:val="22"/>
                <w:szCs w:val="20"/>
                <w:shd w:val="solid" w:color="000000" w:fill="000000"/>
                <w:fitText w:val="101" w:id="-1305204992"/>
                <w14:textFill>
                  <w14:solidFill>
                    <w14:srgbClr w14:val="000000">
                      <w14:alpha w14:val="100000"/>
                    </w14:srgbClr>
                  </w14:solidFill>
                </w14:textFill>
              </w:rPr>
              <w:t xml:space="preserve">　</w:t>
            </w:r>
            <w:r w:rsidR="008555E5">
              <w:rPr>
                <w:vertAlign w:val="superscript"/>
              </w:rPr>
              <w:t>4</w:t>
            </w:r>
          </w:p>
        </w:tc>
        <w:tc>
          <w:tcPr>
            <w:tcW w:w="624" w:type="pct"/>
            <w:gridSpan w:val="2"/>
            <w:shd w:val="clear" w:color="auto" w:fill="DBE5F1" w:themeFill="accent1" w:themeFillTint="33"/>
          </w:tcPr>
          <w:p w14:paraId="4F95B024" w14:textId="6033055D" w:rsidR="00AB1AFE" w:rsidRPr="008555E5" w:rsidRDefault="008B5381" w:rsidP="00936492">
            <w:pPr>
              <w:pStyle w:val="TableText0"/>
              <w:keepLines/>
              <w:jc w:val="center"/>
              <w:rPr>
                <w:highlight w:val="darkGray"/>
              </w:rPr>
            </w:pPr>
            <w:r w:rsidRPr="008B5381">
              <w:rPr>
                <w:rFonts w:hint="eastAsia"/>
                <w:color w:val="000000"/>
                <w:w w:val="22"/>
                <w:szCs w:val="20"/>
                <w:shd w:val="solid" w:color="000000" w:fill="000000"/>
                <w:fitText w:val="101" w:id="-1305204991"/>
                <w14:textFill>
                  <w14:solidFill>
                    <w14:srgbClr w14:val="000000">
                      <w14:alpha w14:val="100000"/>
                    </w14:srgbClr>
                  </w14:solidFill>
                </w14:textFill>
              </w:rPr>
              <w:t xml:space="preserve">　</w:t>
            </w:r>
            <w:r w:rsidRPr="008B5381">
              <w:rPr>
                <w:color w:val="000000"/>
                <w:w w:val="22"/>
                <w:szCs w:val="20"/>
                <w:shd w:val="solid" w:color="000000" w:fill="000000"/>
                <w:fitText w:val="101" w:id="-1305204991"/>
                <w14:textFill>
                  <w14:solidFill>
                    <w14:srgbClr w14:val="000000">
                      <w14:alpha w14:val="100000"/>
                    </w14:srgbClr>
                  </w14:solidFill>
                </w14:textFill>
              </w:rPr>
              <w:t>|</w:t>
            </w:r>
            <w:r w:rsidRPr="008B5381">
              <w:rPr>
                <w:rFonts w:hint="eastAsia"/>
                <w:color w:val="000000"/>
                <w:spacing w:val="4"/>
                <w:w w:val="22"/>
                <w:szCs w:val="20"/>
                <w:shd w:val="solid" w:color="000000" w:fill="000000"/>
                <w:fitText w:val="101" w:id="-1305204991"/>
                <w14:textFill>
                  <w14:solidFill>
                    <w14:srgbClr w14:val="000000">
                      <w14:alpha w14:val="100000"/>
                    </w14:srgbClr>
                  </w14:solidFill>
                </w14:textFill>
              </w:rPr>
              <w:t xml:space="preserve">　</w:t>
            </w:r>
            <w:r w:rsidR="008555E5" w:rsidRPr="008555E5">
              <w:rPr>
                <w:vertAlign w:val="superscript"/>
              </w:rPr>
              <w:t>4</w:t>
            </w:r>
          </w:p>
        </w:tc>
        <w:tc>
          <w:tcPr>
            <w:tcW w:w="625" w:type="pct"/>
            <w:shd w:val="clear" w:color="auto" w:fill="DBE5F1" w:themeFill="accent1" w:themeFillTint="33"/>
          </w:tcPr>
          <w:p w14:paraId="3C9321E1" w14:textId="6A8AAC8A" w:rsidR="00AB1AFE" w:rsidRPr="009A0E7B" w:rsidRDefault="008B5381" w:rsidP="00936492">
            <w:pPr>
              <w:pStyle w:val="TableText0"/>
              <w:keepLines/>
              <w:jc w:val="center"/>
            </w:pPr>
            <w:r w:rsidRPr="008B5381">
              <w:rPr>
                <w:rFonts w:hint="eastAsia"/>
                <w:color w:val="000000"/>
                <w:w w:val="22"/>
                <w:szCs w:val="20"/>
                <w:shd w:val="solid" w:color="000000" w:fill="000000"/>
                <w:fitText w:val="101" w:id="-1305204990"/>
                <w14:textFill>
                  <w14:solidFill>
                    <w14:srgbClr w14:val="000000">
                      <w14:alpha w14:val="100000"/>
                    </w14:srgbClr>
                  </w14:solidFill>
                </w14:textFill>
              </w:rPr>
              <w:t xml:space="preserve">　</w:t>
            </w:r>
            <w:r w:rsidRPr="008B5381">
              <w:rPr>
                <w:color w:val="000000"/>
                <w:w w:val="22"/>
                <w:szCs w:val="20"/>
                <w:shd w:val="solid" w:color="000000" w:fill="000000"/>
                <w:fitText w:val="101" w:id="-1305204990"/>
                <w14:textFill>
                  <w14:solidFill>
                    <w14:srgbClr w14:val="000000">
                      <w14:alpha w14:val="100000"/>
                    </w14:srgbClr>
                  </w14:solidFill>
                </w14:textFill>
              </w:rPr>
              <w:t>|</w:t>
            </w:r>
            <w:r w:rsidRPr="008B5381">
              <w:rPr>
                <w:rFonts w:hint="eastAsia"/>
                <w:color w:val="000000"/>
                <w:spacing w:val="4"/>
                <w:w w:val="22"/>
                <w:szCs w:val="20"/>
                <w:shd w:val="solid" w:color="000000" w:fill="000000"/>
                <w:fitText w:val="101" w:id="-1305204990"/>
                <w14:textFill>
                  <w14:solidFill>
                    <w14:srgbClr w14:val="000000">
                      <w14:alpha w14:val="100000"/>
                    </w14:srgbClr>
                  </w14:solidFill>
                </w14:textFill>
              </w:rPr>
              <w:t xml:space="preserve">　</w:t>
            </w:r>
            <w:r w:rsidR="008555E5">
              <w:rPr>
                <w:vertAlign w:val="superscript"/>
              </w:rPr>
              <w:t>4</w:t>
            </w:r>
          </w:p>
        </w:tc>
      </w:tr>
      <w:tr w:rsidR="00AB1AFE" w:rsidRPr="009A0E7B" w14:paraId="56223998" w14:textId="77777777" w:rsidTr="00FB2630">
        <w:tc>
          <w:tcPr>
            <w:tcW w:w="1255" w:type="pct"/>
            <w:shd w:val="clear" w:color="auto" w:fill="DBE5F1" w:themeFill="accent1" w:themeFillTint="33"/>
            <w:vAlign w:val="center"/>
          </w:tcPr>
          <w:p w14:paraId="3380E969" w14:textId="101BD5CB" w:rsidR="00AB1AFE" w:rsidRPr="009A0E7B" w:rsidRDefault="00AB1AFE" w:rsidP="00936492">
            <w:pPr>
              <w:pStyle w:val="TableText0"/>
              <w:keepLines/>
              <w:rPr>
                <w:sz w:val="19"/>
                <w:szCs w:val="19"/>
              </w:rPr>
            </w:pPr>
            <w:r w:rsidRPr="009A0E7B">
              <w:rPr>
                <w:b/>
                <w:sz w:val="19"/>
                <w:szCs w:val="19"/>
              </w:rPr>
              <w:t>Net cost to PBS/RPBS/MBS</w:t>
            </w:r>
            <w:r w:rsidRPr="009A0E7B" w:rsidDel="00301069">
              <w:t xml:space="preserve"> </w:t>
            </w:r>
            <w:r w:rsidRPr="009A0E7B">
              <w:rPr>
                <w:vertAlign w:val="superscript"/>
              </w:rPr>
              <w:t>b</w:t>
            </w:r>
            <w:r w:rsidR="008555E5" w:rsidRPr="008555E5">
              <w:t xml:space="preserve"> ($)</w:t>
            </w:r>
          </w:p>
        </w:tc>
        <w:tc>
          <w:tcPr>
            <w:tcW w:w="624" w:type="pct"/>
            <w:gridSpan w:val="2"/>
            <w:shd w:val="clear" w:color="auto" w:fill="DBE5F1" w:themeFill="accent1" w:themeFillTint="33"/>
          </w:tcPr>
          <w:p w14:paraId="73873AFB" w14:textId="592412EA" w:rsidR="00AB1AFE" w:rsidRPr="00301069" w:rsidRDefault="008B5381" w:rsidP="00936492">
            <w:pPr>
              <w:pStyle w:val="TableText0"/>
              <w:keepLines/>
              <w:jc w:val="center"/>
              <w:rPr>
                <w:b/>
              </w:rPr>
            </w:pPr>
            <w:r w:rsidRPr="008B5381">
              <w:rPr>
                <w:rFonts w:hint="eastAsia"/>
                <w:b/>
                <w:color w:val="000000"/>
                <w:w w:val="22"/>
                <w:shd w:val="solid" w:color="000000" w:fill="000000"/>
                <w:fitText w:val="100" w:id="-1305204989"/>
                <w14:textFill>
                  <w14:solidFill>
                    <w14:srgbClr w14:val="000000">
                      <w14:alpha w14:val="100000"/>
                    </w14:srgbClr>
                  </w14:solidFill>
                </w14:textFill>
              </w:rPr>
              <w:t xml:space="preserve">　</w:t>
            </w:r>
            <w:r w:rsidRPr="008B5381">
              <w:rPr>
                <w:b/>
                <w:color w:val="000000"/>
                <w:w w:val="22"/>
                <w:shd w:val="solid" w:color="000000" w:fill="000000"/>
                <w:fitText w:val="100" w:id="-1305204989"/>
                <w14:textFill>
                  <w14:solidFill>
                    <w14:srgbClr w14:val="000000">
                      <w14:alpha w14:val="100000"/>
                    </w14:srgbClr>
                  </w14:solidFill>
                </w14:textFill>
              </w:rPr>
              <w:t>|</w:t>
            </w:r>
            <w:r w:rsidRPr="008B5381">
              <w:rPr>
                <w:rFonts w:hint="eastAsia"/>
                <w:b/>
                <w:color w:val="000000"/>
                <w:spacing w:val="2"/>
                <w:w w:val="22"/>
                <w:shd w:val="solid" w:color="000000" w:fill="000000"/>
                <w:fitText w:val="100" w:id="-1305204989"/>
                <w14:textFill>
                  <w14:solidFill>
                    <w14:srgbClr w14:val="000000">
                      <w14:alpha w14:val="100000"/>
                    </w14:srgbClr>
                  </w14:solidFill>
                </w14:textFill>
              </w:rPr>
              <w:t xml:space="preserve">　</w:t>
            </w:r>
            <w:r w:rsidR="008555E5">
              <w:rPr>
                <w:vertAlign w:val="superscript"/>
              </w:rPr>
              <w:t>4</w:t>
            </w:r>
          </w:p>
        </w:tc>
        <w:tc>
          <w:tcPr>
            <w:tcW w:w="624" w:type="pct"/>
            <w:gridSpan w:val="2"/>
            <w:shd w:val="clear" w:color="auto" w:fill="DBE5F1" w:themeFill="accent1" w:themeFillTint="33"/>
          </w:tcPr>
          <w:p w14:paraId="25EEA738" w14:textId="21F0A199" w:rsidR="00AB1AFE" w:rsidRPr="00301069" w:rsidRDefault="008B5381" w:rsidP="00936492">
            <w:pPr>
              <w:pStyle w:val="TableText0"/>
              <w:keepLines/>
              <w:jc w:val="center"/>
              <w:rPr>
                <w:b/>
              </w:rPr>
            </w:pPr>
            <w:r w:rsidRPr="008B5381">
              <w:rPr>
                <w:rFonts w:hint="eastAsia"/>
                <w:b/>
                <w:color w:val="000000"/>
                <w:w w:val="22"/>
                <w:shd w:val="solid" w:color="000000" w:fill="000000"/>
                <w:fitText w:val="100" w:id="-1305204988"/>
                <w14:textFill>
                  <w14:solidFill>
                    <w14:srgbClr w14:val="000000">
                      <w14:alpha w14:val="100000"/>
                    </w14:srgbClr>
                  </w14:solidFill>
                </w14:textFill>
              </w:rPr>
              <w:t xml:space="preserve">　</w:t>
            </w:r>
            <w:r w:rsidRPr="008B5381">
              <w:rPr>
                <w:b/>
                <w:color w:val="000000"/>
                <w:w w:val="22"/>
                <w:shd w:val="solid" w:color="000000" w:fill="000000"/>
                <w:fitText w:val="100" w:id="-1305204988"/>
                <w14:textFill>
                  <w14:solidFill>
                    <w14:srgbClr w14:val="000000">
                      <w14:alpha w14:val="100000"/>
                    </w14:srgbClr>
                  </w14:solidFill>
                </w14:textFill>
              </w:rPr>
              <w:t>|</w:t>
            </w:r>
            <w:r w:rsidRPr="008B5381">
              <w:rPr>
                <w:rFonts w:hint="eastAsia"/>
                <w:b/>
                <w:color w:val="000000"/>
                <w:spacing w:val="2"/>
                <w:w w:val="22"/>
                <w:shd w:val="solid" w:color="000000" w:fill="000000"/>
                <w:fitText w:val="100" w:id="-1305204988"/>
                <w14:textFill>
                  <w14:solidFill>
                    <w14:srgbClr w14:val="000000">
                      <w14:alpha w14:val="100000"/>
                    </w14:srgbClr>
                  </w14:solidFill>
                </w14:textFill>
              </w:rPr>
              <w:t xml:space="preserve">　</w:t>
            </w:r>
            <w:r w:rsidR="008555E5">
              <w:rPr>
                <w:vertAlign w:val="superscript"/>
              </w:rPr>
              <w:t>4</w:t>
            </w:r>
          </w:p>
        </w:tc>
        <w:tc>
          <w:tcPr>
            <w:tcW w:w="624" w:type="pct"/>
            <w:gridSpan w:val="2"/>
            <w:shd w:val="clear" w:color="auto" w:fill="DBE5F1" w:themeFill="accent1" w:themeFillTint="33"/>
          </w:tcPr>
          <w:p w14:paraId="4F91E8E2" w14:textId="53B645A5" w:rsidR="00AB1AFE" w:rsidRPr="00301069" w:rsidRDefault="008B5381" w:rsidP="00936492">
            <w:pPr>
              <w:pStyle w:val="TableText0"/>
              <w:keepLines/>
              <w:jc w:val="center"/>
              <w:rPr>
                <w:b/>
              </w:rPr>
            </w:pPr>
            <w:r w:rsidRPr="008B5381">
              <w:rPr>
                <w:rFonts w:hint="eastAsia"/>
                <w:b/>
                <w:color w:val="000000"/>
                <w:w w:val="22"/>
                <w:shd w:val="solid" w:color="000000" w:fill="000000"/>
                <w:fitText w:val="100" w:id="-1305204987"/>
                <w14:textFill>
                  <w14:solidFill>
                    <w14:srgbClr w14:val="000000">
                      <w14:alpha w14:val="100000"/>
                    </w14:srgbClr>
                  </w14:solidFill>
                </w14:textFill>
              </w:rPr>
              <w:t xml:space="preserve">　</w:t>
            </w:r>
            <w:r w:rsidRPr="008B5381">
              <w:rPr>
                <w:b/>
                <w:color w:val="000000"/>
                <w:w w:val="22"/>
                <w:shd w:val="solid" w:color="000000" w:fill="000000"/>
                <w:fitText w:val="100" w:id="-1305204987"/>
                <w14:textFill>
                  <w14:solidFill>
                    <w14:srgbClr w14:val="000000">
                      <w14:alpha w14:val="100000"/>
                    </w14:srgbClr>
                  </w14:solidFill>
                </w14:textFill>
              </w:rPr>
              <w:t>|</w:t>
            </w:r>
            <w:r w:rsidRPr="008B5381">
              <w:rPr>
                <w:rFonts w:hint="eastAsia"/>
                <w:b/>
                <w:color w:val="000000"/>
                <w:spacing w:val="2"/>
                <w:w w:val="22"/>
                <w:shd w:val="solid" w:color="000000" w:fill="000000"/>
                <w:fitText w:val="100" w:id="-1305204987"/>
                <w14:textFill>
                  <w14:solidFill>
                    <w14:srgbClr w14:val="000000">
                      <w14:alpha w14:val="100000"/>
                    </w14:srgbClr>
                  </w14:solidFill>
                </w14:textFill>
              </w:rPr>
              <w:t xml:space="preserve">　</w:t>
            </w:r>
            <w:r w:rsidR="008555E5">
              <w:rPr>
                <w:vertAlign w:val="superscript"/>
              </w:rPr>
              <w:t>4</w:t>
            </w:r>
          </w:p>
        </w:tc>
        <w:tc>
          <w:tcPr>
            <w:tcW w:w="624" w:type="pct"/>
            <w:gridSpan w:val="2"/>
            <w:shd w:val="clear" w:color="auto" w:fill="DBE5F1" w:themeFill="accent1" w:themeFillTint="33"/>
          </w:tcPr>
          <w:p w14:paraId="2BA00244" w14:textId="13849622" w:rsidR="00AB1AFE" w:rsidRPr="00301069" w:rsidRDefault="008B5381" w:rsidP="00936492">
            <w:pPr>
              <w:pStyle w:val="TableText0"/>
              <w:keepLines/>
              <w:jc w:val="center"/>
              <w:rPr>
                <w:b/>
              </w:rPr>
            </w:pPr>
            <w:r w:rsidRPr="008B5381">
              <w:rPr>
                <w:rFonts w:hint="eastAsia"/>
                <w:b/>
                <w:color w:val="000000"/>
                <w:w w:val="22"/>
                <w:shd w:val="solid" w:color="000000" w:fill="000000"/>
                <w:fitText w:val="101" w:id="-1305204986"/>
                <w14:textFill>
                  <w14:solidFill>
                    <w14:srgbClr w14:val="000000">
                      <w14:alpha w14:val="100000"/>
                    </w14:srgbClr>
                  </w14:solidFill>
                </w14:textFill>
              </w:rPr>
              <w:t xml:space="preserve">　</w:t>
            </w:r>
            <w:r w:rsidRPr="008B5381">
              <w:rPr>
                <w:b/>
                <w:color w:val="000000"/>
                <w:w w:val="22"/>
                <w:shd w:val="solid" w:color="000000" w:fill="000000"/>
                <w:fitText w:val="101" w:id="-1305204986"/>
                <w14:textFill>
                  <w14:solidFill>
                    <w14:srgbClr w14:val="000000">
                      <w14:alpha w14:val="100000"/>
                    </w14:srgbClr>
                  </w14:solidFill>
                </w14:textFill>
              </w:rPr>
              <w:t>|</w:t>
            </w:r>
            <w:r w:rsidRPr="008B5381">
              <w:rPr>
                <w:rFonts w:hint="eastAsia"/>
                <w:b/>
                <w:color w:val="000000"/>
                <w:spacing w:val="3"/>
                <w:w w:val="22"/>
                <w:shd w:val="solid" w:color="000000" w:fill="000000"/>
                <w:fitText w:val="101" w:id="-1305204986"/>
                <w14:textFill>
                  <w14:solidFill>
                    <w14:srgbClr w14:val="000000">
                      <w14:alpha w14:val="100000"/>
                    </w14:srgbClr>
                  </w14:solidFill>
                </w14:textFill>
              </w:rPr>
              <w:t xml:space="preserve">　</w:t>
            </w:r>
            <w:r w:rsidR="008555E5">
              <w:rPr>
                <w:vertAlign w:val="superscript"/>
              </w:rPr>
              <w:t>4</w:t>
            </w:r>
          </w:p>
        </w:tc>
        <w:tc>
          <w:tcPr>
            <w:tcW w:w="624" w:type="pct"/>
            <w:gridSpan w:val="2"/>
            <w:shd w:val="clear" w:color="auto" w:fill="DBE5F1" w:themeFill="accent1" w:themeFillTint="33"/>
          </w:tcPr>
          <w:p w14:paraId="3483AE37" w14:textId="4C2F142E" w:rsidR="00AB1AFE" w:rsidRPr="008555E5" w:rsidRDefault="008B5381" w:rsidP="00936492">
            <w:pPr>
              <w:pStyle w:val="TableText0"/>
              <w:keepLines/>
              <w:jc w:val="center"/>
              <w:rPr>
                <w:b/>
                <w:highlight w:val="darkGray"/>
              </w:rPr>
            </w:pPr>
            <w:r w:rsidRPr="008B5381">
              <w:rPr>
                <w:rFonts w:hint="eastAsia"/>
                <w:b/>
                <w:color w:val="000000"/>
                <w:w w:val="22"/>
                <w:shd w:val="solid" w:color="000000" w:fill="000000"/>
                <w:fitText w:val="101" w:id="-1305204985"/>
                <w14:textFill>
                  <w14:solidFill>
                    <w14:srgbClr w14:val="000000">
                      <w14:alpha w14:val="100000"/>
                    </w14:srgbClr>
                  </w14:solidFill>
                </w14:textFill>
              </w:rPr>
              <w:t xml:space="preserve">　</w:t>
            </w:r>
            <w:r w:rsidRPr="008B5381">
              <w:rPr>
                <w:b/>
                <w:color w:val="000000"/>
                <w:w w:val="22"/>
                <w:shd w:val="solid" w:color="000000" w:fill="000000"/>
                <w:fitText w:val="101" w:id="-1305204985"/>
                <w14:textFill>
                  <w14:solidFill>
                    <w14:srgbClr w14:val="000000">
                      <w14:alpha w14:val="100000"/>
                    </w14:srgbClr>
                  </w14:solidFill>
                </w14:textFill>
              </w:rPr>
              <w:t>|</w:t>
            </w:r>
            <w:r w:rsidRPr="008B5381">
              <w:rPr>
                <w:rFonts w:hint="eastAsia"/>
                <w:b/>
                <w:color w:val="000000"/>
                <w:spacing w:val="3"/>
                <w:w w:val="22"/>
                <w:shd w:val="solid" w:color="000000" w:fill="000000"/>
                <w:fitText w:val="101" w:id="-1305204985"/>
                <w14:textFill>
                  <w14:solidFill>
                    <w14:srgbClr w14:val="000000">
                      <w14:alpha w14:val="100000"/>
                    </w14:srgbClr>
                  </w14:solidFill>
                </w14:textFill>
              </w:rPr>
              <w:t xml:space="preserve">　</w:t>
            </w:r>
            <w:r w:rsidR="008555E5" w:rsidRPr="008555E5">
              <w:rPr>
                <w:vertAlign w:val="superscript"/>
              </w:rPr>
              <w:t>4</w:t>
            </w:r>
          </w:p>
        </w:tc>
        <w:tc>
          <w:tcPr>
            <w:tcW w:w="625" w:type="pct"/>
            <w:shd w:val="clear" w:color="auto" w:fill="DBE5F1" w:themeFill="accent1" w:themeFillTint="33"/>
          </w:tcPr>
          <w:p w14:paraId="3ABF40B5" w14:textId="0BD8A0A4" w:rsidR="00AB1AFE" w:rsidRPr="00301069" w:rsidRDefault="008B5381" w:rsidP="00936492">
            <w:pPr>
              <w:pStyle w:val="TableText0"/>
              <w:keepLines/>
              <w:jc w:val="center"/>
              <w:rPr>
                <w:b/>
              </w:rPr>
            </w:pPr>
            <w:r w:rsidRPr="008B5381">
              <w:rPr>
                <w:rFonts w:hint="eastAsia"/>
                <w:b/>
                <w:color w:val="000000"/>
                <w:w w:val="22"/>
                <w:shd w:val="solid" w:color="000000" w:fill="000000"/>
                <w:fitText w:val="101" w:id="-1305204984"/>
                <w14:textFill>
                  <w14:solidFill>
                    <w14:srgbClr w14:val="000000">
                      <w14:alpha w14:val="100000"/>
                    </w14:srgbClr>
                  </w14:solidFill>
                </w14:textFill>
              </w:rPr>
              <w:t xml:space="preserve">　</w:t>
            </w:r>
            <w:r w:rsidRPr="008B5381">
              <w:rPr>
                <w:b/>
                <w:color w:val="000000"/>
                <w:w w:val="22"/>
                <w:shd w:val="solid" w:color="000000" w:fill="000000"/>
                <w:fitText w:val="101" w:id="-1305204984"/>
                <w14:textFill>
                  <w14:solidFill>
                    <w14:srgbClr w14:val="000000">
                      <w14:alpha w14:val="100000"/>
                    </w14:srgbClr>
                  </w14:solidFill>
                </w14:textFill>
              </w:rPr>
              <w:t>|</w:t>
            </w:r>
            <w:r w:rsidRPr="008B5381">
              <w:rPr>
                <w:rFonts w:hint="eastAsia"/>
                <w:b/>
                <w:color w:val="000000"/>
                <w:spacing w:val="3"/>
                <w:w w:val="22"/>
                <w:shd w:val="solid" w:color="000000" w:fill="000000"/>
                <w:fitText w:val="101" w:id="-1305204984"/>
                <w14:textFill>
                  <w14:solidFill>
                    <w14:srgbClr w14:val="000000">
                      <w14:alpha w14:val="100000"/>
                    </w14:srgbClr>
                  </w14:solidFill>
                </w14:textFill>
              </w:rPr>
              <w:t xml:space="preserve">　</w:t>
            </w:r>
            <w:r w:rsidR="008555E5">
              <w:rPr>
                <w:vertAlign w:val="superscript"/>
              </w:rPr>
              <w:t>4</w:t>
            </w:r>
          </w:p>
        </w:tc>
      </w:tr>
    </w:tbl>
    <w:p w14:paraId="7A084DE3" w14:textId="77777777" w:rsidR="00AB1AFE" w:rsidRPr="009A0E7B" w:rsidRDefault="00AB1AFE" w:rsidP="00AB1AFE">
      <w:pPr>
        <w:pStyle w:val="TableFigureFooter"/>
        <w:keepNext/>
        <w:keepLines/>
        <w:rPr>
          <w:rStyle w:val="CommentReference"/>
          <w:b w:val="0"/>
        </w:rPr>
      </w:pPr>
      <w:r w:rsidRPr="009A0E7B">
        <w:t>Source: Table 165-170, p253-7 of the submission and the Excel Workbook “Attachment 3_Ozanimod MSUC Utilisation and Cost Model”</w:t>
      </w:r>
    </w:p>
    <w:p w14:paraId="2BA0FD38" w14:textId="5465C0BC" w:rsidR="00AB1AFE" w:rsidRPr="009A0E7B" w:rsidRDefault="00AB1AFE" w:rsidP="00AB1AFE">
      <w:pPr>
        <w:pStyle w:val="TableFigureFooter"/>
        <w:keepNext/>
        <w:keepLines/>
        <w:rPr>
          <w:rStyle w:val="CommentReference"/>
          <w:b w:val="0"/>
        </w:rPr>
      </w:pPr>
      <w:proofErr w:type="spellStart"/>
      <w:r w:rsidRPr="009A0E7B">
        <w:t>bDMARD</w:t>
      </w:r>
      <w:proofErr w:type="spellEnd"/>
      <w:r w:rsidRPr="009A0E7B">
        <w:t xml:space="preserve"> =</w:t>
      </w:r>
      <w:r w:rsidRPr="009A0E7B">
        <w:rPr>
          <w:rFonts w:eastAsiaTheme="minorHAnsi"/>
        </w:rPr>
        <w:t xml:space="preserve"> biologic disease-modifying anti-rheumatic drug</w:t>
      </w:r>
      <w:r w:rsidRPr="009A0E7B">
        <w:t>; CMA = cost-minimisation analysis; EMP = ex-manufacturer price; IFX = infliximab; IV = intravenous;</w:t>
      </w:r>
      <w:r w:rsidRPr="009A0E7B">
        <w:rPr>
          <w:rFonts w:ascii="Calibri" w:hAnsi="Calibri"/>
          <w:snapToGrid/>
          <w:sz w:val="24"/>
          <w:szCs w:val="24"/>
        </w:rPr>
        <w:t xml:space="preserve"> </w:t>
      </w:r>
      <w:r w:rsidRPr="009A0E7B">
        <w:t xml:space="preserve">MBS = Medicare Benefits Schedule; MSUC = moderate to severe ulcerative colitis; OZA = ozanimod; PBS = Pharmaceutical Benefits Scheme; PSD = public summary document; RPBS = Repatriation Pharmaceutical Benefits Scheme; SC = </w:t>
      </w:r>
      <w:proofErr w:type="gramStart"/>
      <w:r w:rsidRPr="009A0E7B">
        <w:t>subcutaneous;</w:t>
      </w:r>
      <w:proofErr w:type="gramEnd"/>
    </w:p>
    <w:p w14:paraId="5A1F1BA4" w14:textId="078C2B36" w:rsidR="00AB1AFE" w:rsidRPr="009A0E7B" w:rsidRDefault="00AB1AFE" w:rsidP="00AB1AFE">
      <w:pPr>
        <w:pStyle w:val="TableFigureFooter"/>
        <w:keepNext/>
        <w:keepLines/>
      </w:pPr>
      <w:r w:rsidRPr="009A0E7B">
        <w:rPr>
          <w:vertAlign w:val="superscript"/>
        </w:rPr>
        <w:t>a</w:t>
      </w:r>
      <w:r w:rsidRPr="009A0E7B">
        <w:t xml:space="preserve"> Script numbers and estimated financial implications for other </w:t>
      </w:r>
      <w:proofErr w:type="spellStart"/>
      <w:r w:rsidRPr="009A0E7B">
        <w:t>bDMARDs</w:t>
      </w:r>
      <w:proofErr w:type="spellEnd"/>
      <w:r w:rsidR="00B855B3">
        <w:t>/</w:t>
      </w:r>
      <w:proofErr w:type="spellStart"/>
      <w:r w:rsidR="00B855B3">
        <w:t>tsDMARDs</w:t>
      </w:r>
      <w:proofErr w:type="spellEnd"/>
      <w:r w:rsidRPr="009A0E7B">
        <w:t xml:space="preserve"> were revised during the evaluation </w:t>
      </w:r>
      <w:proofErr w:type="gramStart"/>
      <w:r w:rsidRPr="009A0E7B">
        <w:t>as a result of</w:t>
      </w:r>
      <w:proofErr w:type="gramEnd"/>
      <w:r w:rsidRPr="009A0E7B">
        <w:t xml:space="preserve"> the corrections made in annual growth rates and weighted uptake rates of individual </w:t>
      </w:r>
      <w:proofErr w:type="spellStart"/>
      <w:r w:rsidRPr="009A0E7B">
        <w:t>bDMARDs</w:t>
      </w:r>
      <w:proofErr w:type="spellEnd"/>
      <w:r w:rsidR="00B855B3">
        <w:t>/</w:t>
      </w:r>
      <w:proofErr w:type="spellStart"/>
      <w:r w:rsidR="00B855B3">
        <w:t>tsDMARDs</w:t>
      </w:r>
      <w:proofErr w:type="spellEnd"/>
      <w:r w:rsidRPr="009A0E7B">
        <w:t xml:space="preserve"> in the “Attachment 3_Ozanimod MSUC Utilisation and Cost Model, 2e. Scripts – market and 4a. Scripts – affected”.</w:t>
      </w:r>
    </w:p>
    <w:p w14:paraId="76745BA9" w14:textId="7CE7DEE1" w:rsidR="00AB1AFE" w:rsidRPr="009A0E7B" w:rsidRDefault="00AB1AFE" w:rsidP="00AB1AFE">
      <w:pPr>
        <w:pStyle w:val="TableFigureFooter"/>
        <w:keepNext/>
        <w:keepLines/>
      </w:pPr>
      <w:r w:rsidRPr="009A0E7B">
        <w:rPr>
          <w:vertAlign w:val="superscript"/>
        </w:rPr>
        <w:t>b</w:t>
      </w:r>
      <w:r w:rsidRPr="009A0E7B">
        <w:t xml:space="preserve"> These figures are calculated using the corrected daily cost of $</w:t>
      </w:r>
      <w:r w:rsidR="008B5381" w:rsidRPr="008B5381">
        <w:rPr>
          <w:color w:val="000000"/>
          <w:spacing w:val="12"/>
          <w:shd w:val="solid" w:color="000000" w:fill="000000"/>
          <w:fitText w:val="306" w:id="-1305204983"/>
          <w14:textFill>
            <w14:solidFill>
              <w14:srgbClr w14:val="000000">
                <w14:alpha w14:val="100000"/>
              </w14:srgbClr>
            </w14:solidFill>
          </w14:textFill>
        </w:rPr>
        <w:t>||  ||</w:t>
      </w:r>
      <w:r w:rsidRPr="009A0E7B">
        <w:t xml:space="preserve"> for OZA ($</w:t>
      </w:r>
      <w:r w:rsidR="008B5381" w:rsidRPr="008B5381">
        <w:rPr>
          <w:color w:val="000000"/>
          <w:spacing w:val="12"/>
          <w:shd w:val="solid" w:color="000000" w:fill="000000"/>
          <w:fitText w:val="319" w:id="-1305204982"/>
          <w14:textFill>
            <w14:solidFill>
              <w14:srgbClr w14:val="000000">
                <w14:alpha w14:val="100000"/>
              </w14:srgbClr>
            </w14:solidFill>
          </w14:textFill>
        </w:rPr>
        <w:t>||  |</w:t>
      </w:r>
      <w:r w:rsidR="008B5381" w:rsidRPr="008B5381">
        <w:rPr>
          <w:color w:val="000000"/>
          <w:spacing w:val="24"/>
          <w:shd w:val="solid" w:color="000000" w:fill="000000"/>
          <w:fitText w:val="319" w:id="-1305204982"/>
          <w14:textFill>
            <w14:solidFill>
              <w14:srgbClr w14:val="000000">
                <w14:alpha w14:val="100000"/>
              </w14:srgbClr>
            </w14:solidFill>
          </w14:textFill>
        </w:rPr>
        <w:t>|</w:t>
      </w:r>
      <w:r w:rsidRPr="009A0E7B">
        <w:t xml:space="preserve"> in the submission). The cells D302 and D303 in worksheet “3c. Impact – proposed (eff)” were revised using the effective EMP $</w:t>
      </w:r>
      <w:r w:rsidR="008B5381" w:rsidRPr="008B5381">
        <w:rPr>
          <w:color w:val="000000"/>
          <w:spacing w:val="12"/>
          <w:shd w:val="solid" w:color="000000" w:fill="000000"/>
          <w:fitText w:val="306" w:id="-1305204981"/>
          <w14:textFill>
            <w14:solidFill>
              <w14:srgbClr w14:val="000000">
                <w14:alpha w14:val="100000"/>
              </w14:srgbClr>
            </w14:solidFill>
          </w14:textFill>
        </w:rPr>
        <w:t>||  ||</w:t>
      </w:r>
      <w:r w:rsidRPr="009A0E7B">
        <w:t xml:space="preserve"> and $</w:t>
      </w:r>
      <w:r w:rsidR="008B5381" w:rsidRPr="008B5381">
        <w:rPr>
          <w:color w:val="000000"/>
          <w:spacing w:val="12"/>
          <w:shd w:val="solid" w:color="000000" w:fill="000000"/>
          <w:fitText w:val="318" w:id="-1305204980"/>
          <w14:textFill>
            <w14:solidFill>
              <w14:srgbClr w14:val="000000">
                <w14:alpha w14:val="100000"/>
              </w14:srgbClr>
            </w14:solidFill>
          </w14:textFill>
        </w:rPr>
        <w:t>||  |</w:t>
      </w:r>
      <w:r w:rsidR="008B5381" w:rsidRPr="008B5381">
        <w:rPr>
          <w:color w:val="000000"/>
          <w:spacing w:val="24"/>
          <w:shd w:val="solid" w:color="000000" w:fill="000000"/>
          <w:fitText w:val="318" w:id="-1305204980"/>
          <w14:textFill>
            <w14:solidFill>
              <w14:srgbClr w14:val="000000">
                <w14:alpha w14:val="100000"/>
              </w14:srgbClr>
            </w14:solidFill>
          </w14:textFill>
        </w:rPr>
        <w:t>|</w:t>
      </w:r>
      <w:r w:rsidRPr="009A0E7B">
        <w:t xml:space="preserve"> for OZA initiation and continuing packs, respectively, </w:t>
      </w:r>
      <w:proofErr w:type="gramStart"/>
      <w:r w:rsidRPr="009A0E7B">
        <w:t>on the basis of</w:t>
      </w:r>
      <w:proofErr w:type="gramEnd"/>
      <w:r w:rsidRPr="009A0E7B">
        <w:t xml:space="preserve"> CMA compared to IFX IV.</w:t>
      </w:r>
    </w:p>
    <w:p w14:paraId="68ED509D" w14:textId="59606611" w:rsidR="00AB1AFE" w:rsidRDefault="00AB1AFE" w:rsidP="00AB1AFE">
      <w:pPr>
        <w:pStyle w:val="TableFigureFooter"/>
        <w:keepNext/>
        <w:keepLines/>
      </w:pPr>
      <w:r w:rsidRPr="009A0E7B">
        <w:rPr>
          <w:vertAlign w:val="superscript"/>
        </w:rPr>
        <w:t>c</w:t>
      </w:r>
      <w:r w:rsidRPr="009A0E7B">
        <w:t xml:space="preserve"> These figures obtained during the evaluation using MBS item 116 for V</w:t>
      </w:r>
      <w:r w:rsidR="003872DE">
        <w:t>DZ</w:t>
      </w:r>
      <w:r w:rsidRPr="009A0E7B">
        <w:t xml:space="preserve"> IV (para 5.19, Vedolizumab PSD, July 2014 PBAC Meeting &amp; para 6.46, Vedolizumab PSD, November 2020 PBAC Meeting). The cell O461 was revised as $79.75 in the “Attachment 3_Ozanimod MSUC Utilisation and Cost Model, 7. Net changes – MBS”.</w:t>
      </w:r>
    </w:p>
    <w:p w14:paraId="4DB94816" w14:textId="7955A11A" w:rsidR="00FB2630" w:rsidRDefault="00FB2630" w:rsidP="00AB1AFE">
      <w:pPr>
        <w:pStyle w:val="TableFigureFooter"/>
        <w:keepNext/>
        <w:keepLines/>
      </w:pPr>
      <w:r w:rsidRPr="00FB2630">
        <w:rPr>
          <w:shd w:val="clear" w:color="auto" w:fill="DBE5F1" w:themeFill="accent1" w:themeFillTint="33"/>
        </w:rPr>
        <w:t>Shaded</w:t>
      </w:r>
      <w:r>
        <w:t xml:space="preserve"> cells indicate data previous seen by the PBAC.</w:t>
      </w:r>
    </w:p>
    <w:p w14:paraId="0F1CEF03" w14:textId="77777777" w:rsidR="008555E5" w:rsidRPr="009A6D58" w:rsidRDefault="008555E5" w:rsidP="008555E5">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640A046E" w14:textId="66D9CC2D" w:rsidR="008555E5" w:rsidRPr="009A6D58" w:rsidRDefault="008555E5" w:rsidP="008555E5">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500 to &lt; 5000</w:t>
      </w:r>
    </w:p>
    <w:p w14:paraId="6F58CE98" w14:textId="41BA7CC6" w:rsidR="008555E5" w:rsidRPr="009A6D58" w:rsidRDefault="008555E5" w:rsidP="008555E5">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10,000 to &lt; 20,000</w:t>
      </w:r>
    </w:p>
    <w:p w14:paraId="3CFA86DE" w14:textId="18127011" w:rsidR="008555E5" w:rsidRDefault="008555E5" w:rsidP="008555E5">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8555E5">
        <w:rPr>
          <w:rFonts w:ascii="Arial Narrow" w:hAnsi="Arial Narrow"/>
          <w:i/>
          <w:sz w:val="18"/>
          <w:szCs w:val="18"/>
        </w:rPr>
        <w:t>$10 million to &lt; $20 million</w:t>
      </w:r>
    </w:p>
    <w:p w14:paraId="65126E43" w14:textId="385D23D6" w:rsidR="008555E5" w:rsidRPr="00DE096F" w:rsidRDefault="008555E5" w:rsidP="00DE096F">
      <w:pPr>
        <w:spacing w:after="120"/>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Net </w:t>
      </w:r>
      <w:proofErr w:type="gramStart"/>
      <w:r>
        <w:rPr>
          <w:rFonts w:ascii="Arial Narrow" w:hAnsi="Arial Narrow"/>
          <w:i/>
          <w:sz w:val="18"/>
          <w:szCs w:val="18"/>
        </w:rPr>
        <w:t>cost</w:t>
      </w:r>
      <w:proofErr w:type="gramEnd"/>
      <w:r>
        <w:rPr>
          <w:rFonts w:ascii="Arial Narrow" w:hAnsi="Arial Narrow"/>
          <w:i/>
          <w:sz w:val="18"/>
          <w:szCs w:val="18"/>
        </w:rPr>
        <w:t xml:space="preserve"> save</w:t>
      </w:r>
    </w:p>
    <w:p w14:paraId="494C9E9F" w14:textId="6113260A" w:rsidR="006D2741" w:rsidRDefault="00AB1AFE" w:rsidP="00CE27FC">
      <w:pPr>
        <w:widowControl w:val="0"/>
        <w:numPr>
          <w:ilvl w:val="1"/>
          <w:numId w:val="1"/>
        </w:numPr>
        <w:spacing w:after="120"/>
      </w:pPr>
      <w:r>
        <w:t xml:space="preserve">At its March 2022 meeting, </w:t>
      </w:r>
      <w:r>
        <w:rPr>
          <w:rFonts w:asciiTheme="minorHAnsi" w:hAnsiTheme="minorHAnsi"/>
          <w:snapToGrid w:val="0"/>
          <w:lang w:val="en-GB"/>
        </w:rPr>
        <w:t>t</w:t>
      </w:r>
      <w:r w:rsidRPr="007D0254">
        <w:rPr>
          <w:rFonts w:asciiTheme="minorHAnsi" w:hAnsiTheme="minorHAnsi"/>
          <w:snapToGrid w:val="0"/>
          <w:lang w:val="en-GB"/>
        </w:rPr>
        <w:t xml:space="preserve">he PBAC noted that the listing of OZA was likely to be cost neutral or modestly </w:t>
      </w:r>
      <w:r w:rsidR="00983638" w:rsidRPr="007D0254">
        <w:rPr>
          <w:rFonts w:asciiTheme="minorHAnsi" w:hAnsiTheme="minorHAnsi"/>
          <w:snapToGrid w:val="0"/>
          <w:lang w:val="en-GB"/>
        </w:rPr>
        <w:t>cost saving</w:t>
      </w:r>
      <w:r w:rsidRPr="007D0254">
        <w:rPr>
          <w:rFonts w:asciiTheme="minorHAnsi" w:hAnsiTheme="minorHAnsi"/>
          <w:snapToGrid w:val="0"/>
          <w:lang w:val="en-GB"/>
        </w:rPr>
        <w:t xml:space="preserve"> to the PBS, as it may also substitute for more costly </w:t>
      </w:r>
      <w:proofErr w:type="spellStart"/>
      <w:r w:rsidR="00B855B3">
        <w:rPr>
          <w:rFonts w:asciiTheme="minorHAnsi" w:hAnsiTheme="minorHAnsi"/>
          <w:snapToGrid w:val="0"/>
          <w:lang w:val="en-GB"/>
        </w:rPr>
        <w:t>b</w:t>
      </w:r>
      <w:r w:rsidRPr="007D0254">
        <w:rPr>
          <w:rFonts w:asciiTheme="minorHAnsi" w:hAnsiTheme="minorHAnsi"/>
          <w:snapToGrid w:val="0"/>
          <w:lang w:val="en-GB"/>
        </w:rPr>
        <w:t>DMARDs</w:t>
      </w:r>
      <w:proofErr w:type="spellEnd"/>
      <w:r w:rsidR="00B855B3">
        <w:rPr>
          <w:rFonts w:asciiTheme="minorHAnsi" w:hAnsiTheme="minorHAnsi"/>
          <w:snapToGrid w:val="0"/>
          <w:lang w:val="en-GB"/>
        </w:rPr>
        <w:t>/</w:t>
      </w:r>
      <w:proofErr w:type="spellStart"/>
      <w:r w:rsidR="00B855B3">
        <w:rPr>
          <w:rFonts w:asciiTheme="minorHAnsi" w:hAnsiTheme="minorHAnsi"/>
          <w:snapToGrid w:val="0"/>
          <w:lang w:val="en-GB"/>
        </w:rPr>
        <w:t>tsDMARDs</w:t>
      </w:r>
      <w:proofErr w:type="spellEnd"/>
      <w:r w:rsidRPr="007D0254">
        <w:rPr>
          <w:rFonts w:asciiTheme="minorHAnsi" w:hAnsiTheme="minorHAnsi"/>
          <w:snapToGrid w:val="0"/>
          <w:lang w:val="en-GB"/>
        </w:rPr>
        <w:t xml:space="preserve">. </w:t>
      </w:r>
      <w:bookmarkStart w:id="46" w:name="_Toc113964291"/>
    </w:p>
    <w:p w14:paraId="28E9D3CA" w14:textId="7A70ECDA" w:rsidR="008B418A" w:rsidRDefault="00CE27FC" w:rsidP="00194CD8">
      <w:pPr>
        <w:ind w:firstLine="709"/>
      </w:pPr>
      <w:r w:rsidRPr="00C33D30">
        <w:rPr>
          <w:rFonts w:asciiTheme="minorHAnsi" w:hAnsiTheme="minorHAnsi"/>
          <w:i/>
        </w:rPr>
        <w:t>For more detail on PBAC’s view, see section 7 PBAC outcome.</w:t>
      </w:r>
    </w:p>
    <w:p w14:paraId="2F1EE93A" w14:textId="77777777" w:rsidR="003F315D" w:rsidRPr="0090150D" w:rsidRDefault="003F315D" w:rsidP="00103DFB">
      <w:pPr>
        <w:pStyle w:val="2-SectionHeading"/>
        <w:numPr>
          <w:ilvl w:val="0"/>
          <w:numId w:val="1"/>
        </w:numPr>
      </w:pPr>
      <w:bookmarkStart w:id="47" w:name="_Hlk76381249"/>
      <w:bookmarkStart w:id="48" w:name="_Hlk76377955"/>
      <w:r w:rsidRPr="0090150D">
        <w:t>PBAC Outcome</w:t>
      </w:r>
    </w:p>
    <w:p w14:paraId="041984CC" w14:textId="01DEE712" w:rsidR="009D0BBC" w:rsidRDefault="009D0BBC" w:rsidP="003F315D">
      <w:pPr>
        <w:widowControl w:val="0"/>
        <w:numPr>
          <w:ilvl w:val="1"/>
          <w:numId w:val="1"/>
        </w:numPr>
        <w:spacing w:after="120"/>
        <w:rPr>
          <w:rFonts w:asciiTheme="minorHAnsi" w:hAnsiTheme="minorHAnsi"/>
          <w:snapToGrid w:val="0"/>
          <w:lang w:val="en-GB"/>
        </w:rPr>
      </w:pPr>
      <w:bookmarkStart w:id="49" w:name="_Hlk111543188"/>
      <w:r>
        <w:rPr>
          <w:rFonts w:asciiTheme="minorHAnsi" w:hAnsiTheme="minorHAnsi"/>
          <w:snapToGrid w:val="0"/>
          <w:lang w:val="en-GB"/>
        </w:rPr>
        <w:t xml:space="preserve">The PBAC amended its March 2022 recommendation for the General Schedule, Authority Required (in writing) listing of ozanimod (OZA) for the treatment of moderate to severe ulcerative colitis (MSUC). In considering the additional evidence </w:t>
      </w:r>
      <w:r>
        <w:rPr>
          <w:rFonts w:asciiTheme="minorHAnsi" w:hAnsiTheme="minorHAnsi"/>
          <w:snapToGrid w:val="0"/>
          <w:lang w:val="en-GB"/>
        </w:rPr>
        <w:lastRenderedPageBreak/>
        <w:t>presented in the current submission, t</w:t>
      </w:r>
      <w:r w:rsidRPr="009D0BBC">
        <w:rPr>
          <w:rFonts w:asciiTheme="minorHAnsi" w:hAnsiTheme="minorHAnsi"/>
          <w:snapToGrid w:val="0"/>
          <w:lang w:val="en-GB"/>
        </w:rPr>
        <w:t>he PBAC’s</w:t>
      </w:r>
      <w:r>
        <w:rPr>
          <w:rFonts w:asciiTheme="minorHAnsi" w:hAnsiTheme="minorHAnsi"/>
          <w:snapToGrid w:val="0"/>
          <w:lang w:val="en-GB"/>
        </w:rPr>
        <w:t xml:space="preserve"> revised</w:t>
      </w:r>
      <w:r w:rsidRPr="009D0BBC">
        <w:rPr>
          <w:rFonts w:asciiTheme="minorHAnsi" w:hAnsiTheme="minorHAnsi"/>
          <w:snapToGrid w:val="0"/>
          <w:lang w:val="en-GB"/>
        </w:rPr>
        <w:t xml:space="preserve"> recommendation for listing was based on, among other matters, its assessment that the cost-effectiveness of </w:t>
      </w:r>
      <w:r>
        <w:rPr>
          <w:rFonts w:asciiTheme="minorHAnsi" w:hAnsiTheme="minorHAnsi"/>
          <w:snapToGrid w:val="0"/>
          <w:lang w:val="en-GB"/>
        </w:rPr>
        <w:t>OZA</w:t>
      </w:r>
      <w:r w:rsidRPr="009D0BBC">
        <w:rPr>
          <w:rFonts w:asciiTheme="minorHAnsi" w:hAnsiTheme="minorHAnsi"/>
          <w:snapToGrid w:val="0"/>
          <w:lang w:val="en-GB"/>
        </w:rPr>
        <w:t xml:space="preserve"> would be acceptable if it were cost minimised to the least costly alternative therapy out of infliximab (IFX), tofacitinib (TOF), vedolizumab (VDZ)</w:t>
      </w:r>
      <w:r w:rsidR="00596DF9">
        <w:rPr>
          <w:rFonts w:asciiTheme="minorHAnsi" w:hAnsiTheme="minorHAnsi"/>
          <w:snapToGrid w:val="0"/>
          <w:lang w:val="en-GB"/>
        </w:rPr>
        <w:t>,</w:t>
      </w:r>
      <w:r w:rsidRPr="009D0BBC">
        <w:rPr>
          <w:rFonts w:asciiTheme="minorHAnsi" w:hAnsiTheme="minorHAnsi"/>
          <w:snapToGrid w:val="0"/>
          <w:lang w:val="en-GB"/>
        </w:rPr>
        <w:t xml:space="preserve"> golimumab (GOL)</w:t>
      </w:r>
      <w:r w:rsidR="00596DF9">
        <w:rPr>
          <w:rFonts w:asciiTheme="minorHAnsi" w:hAnsiTheme="minorHAnsi"/>
          <w:snapToGrid w:val="0"/>
          <w:lang w:val="en-GB"/>
        </w:rPr>
        <w:t xml:space="preserve">, </w:t>
      </w:r>
      <w:proofErr w:type="spellStart"/>
      <w:r w:rsidR="00596DF9">
        <w:rPr>
          <w:rFonts w:asciiTheme="minorHAnsi" w:hAnsiTheme="minorHAnsi"/>
          <w:snapToGrid w:val="0"/>
          <w:lang w:val="en-GB"/>
        </w:rPr>
        <w:t>upadacitinib</w:t>
      </w:r>
      <w:proofErr w:type="spellEnd"/>
      <w:r w:rsidR="00596DF9">
        <w:rPr>
          <w:rFonts w:asciiTheme="minorHAnsi" w:hAnsiTheme="minorHAnsi"/>
          <w:snapToGrid w:val="0"/>
          <w:lang w:val="en-GB"/>
        </w:rPr>
        <w:t xml:space="preserve"> (UPA) and </w:t>
      </w:r>
      <w:proofErr w:type="spellStart"/>
      <w:r w:rsidR="00596DF9">
        <w:rPr>
          <w:rFonts w:asciiTheme="minorHAnsi" w:hAnsiTheme="minorHAnsi"/>
          <w:snapToGrid w:val="0"/>
          <w:lang w:val="en-GB"/>
        </w:rPr>
        <w:t>ustekinumab</w:t>
      </w:r>
      <w:proofErr w:type="spellEnd"/>
      <w:r w:rsidR="00596DF9">
        <w:rPr>
          <w:rFonts w:asciiTheme="minorHAnsi" w:hAnsiTheme="minorHAnsi"/>
          <w:snapToGrid w:val="0"/>
          <w:lang w:val="en-GB"/>
        </w:rPr>
        <w:t xml:space="preserve"> (UST), noting the last two had been considered since March 2022</w:t>
      </w:r>
      <w:r w:rsidRPr="009D0BBC">
        <w:rPr>
          <w:rFonts w:asciiTheme="minorHAnsi" w:hAnsiTheme="minorHAnsi"/>
          <w:snapToGrid w:val="0"/>
          <w:lang w:val="en-GB"/>
        </w:rPr>
        <w:t>.</w:t>
      </w:r>
    </w:p>
    <w:bookmarkEnd w:id="49"/>
    <w:p w14:paraId="227DB3B2" w14:textId="6851B3CC" w:rsidR="00176400" w:rsidRPr="007B21DB" w:rsidRDefault="00176400" w:rsidP="00FB2630">
      <w:pPr>
        <w:pStyle w:val="3-BodyText"/>
        <w:rPr>
          <w:lang w:val="en-GB"/>
        </w:rPr>
      </w:pPr>
      <w:r w:rsidRPr="007B21DB">
        <w:rPr>
          <w:lang w:val="en-GB"/>
        </w:rPr>
        <w:t xml:space="preserve">The PBAC </w:t>
      </w:r>
      <w:r>
        <w:rPr>
          <w:lang w:val="en-GB"/>
        </w:rPr>
        <w:t>reaffirmed its view (from March 2022)</w:t>
      </w:r>
      <w:r w:rsidRPr="007B21DB">
        <w:rPr>
          <w:lang w:val="en-GB"/>
        </w:rPr>
        <w:t xml:space="preserve"> the </w:t>
      </w:r>
      <w:proofErr w:type="spellStart"/>
      <w:r w:rsidRPr="007B21DB">
        <w:rPr>
          <w:lang w:val="en-GB"/>
        </w:rPr>
        <w:t>equi</w:t>
      </w:r>
      <w:proofErr w:type="spellEnd"/>
      <w:r w:rsidRPr="007B21DB">
        <w:rPr>
          <w:lang w:val="en-GB"/>
        </w:rPr>
        <w:t xml:space="preserve">-effective doses of </w:t>
      </w:r>
      <w:proofErr w:type="gramStart"/>
      <w:r w:rsidRPr="007B21DB">
        <w:rPr>
          <w:lang w:val="en-GB"/>
        </w:rPr>
        <w:t>OZA</w:t>
      </w:r>
      <w:proofErr w:type="gramEnd"/>
      <w:r w:rsidRPr="007B21DB">
        <w:rPr>
          <w:lang w:val="en-GB"/>
        </w:rPr>
        <w:t xml:space="preserve"> and alternative </w:t>
      </w:r>
      <w:r w:rsidR="00FB2630">
        <w:rPr>
          <w:lang w:val="en-GB"/>
        </w:rPr>
        <w:t>therapies</w:t>
      </w:r>
      <w:r w:rsidRPr="007B21DB">
        <w:rPr>
          <w:lang w:val="en-GB"/>
        </w:rPr>
        <w:t xml:space="preserve"> could be derived with reference to the Therapeutic Relativity Sheets and relevant Product Information documents, noting the OZA </w:t>
      </w:r>
      <w:proofErr w:type="spellStart"/>
      <w:r w:rsidRPr="007B21DB">
        <w:rPr>
          <w:lang w:val="en-GB"/>
        </w:rPr>
        <w:t>equi</w:t>
      </w:r>
      <w:proofErr w:type="spellEnd"/>
      <w:r w:rsidRPr="007B21DB">
        <w:rPr>
          <w:lang w:val="en-GB"/>
        </w:rPr>
        <w:t xml:space="preserve">-effective dose component should account for the titration period </w:t>
      </w:r>
      <w:r w:rsidR="00FB2630">
        <w:rPr>
          <w:lang w:val="en-GB"/>
        </w:rPr>
        <w:t xml:space="preserve">in be based on an OZA dose of </w:t>
      </w:r>
      <w:r w:rsidRPr="00FB2630">
        <w:rPr>
          <w:lang w:val="en-GB"/>
        </w:rPr>
        <w:t>0.23 mg on Days 1 to 4, 0.46 mg on Days 5 to 7, then 0.92 mg orally once daily in both induction and maintenance therapy</w:t>
      </w:r>
      <w:r w:rsidR="00FB2630">
        <w:rPr>
          <w:lang w:val="en-GB"/>
        </w:rPr>
        <w:t>.</w:t>
      </w:r>
    </w:p>
    <w:p w14:paraId="3E72071A" w14:textId="2DDE0B90" w:rsidR="00176400" w:rsidRPr="00176400" w:rsidRDefault="00176400" w:rsidP="00176400">
      <w:pPr>
        <w:widowControl w:val="0"/>
        <w:numPr>
          <w:ilvl w:val="1"/>
          <w:numId w:val="1"/>
        </w:numPr>
        <w:spacing w:after="120"/>
        <w:rPr>
          <w:rFonts w:asciiTheme="minorHAnsi" w:hAnsiTheme="minorHAnsi"/>
          <w:snapToGrid w:val="0"/>
          <w:lang w:val="en-GB"/>
        </w:rPr>
      </w:pPr>
      <w:r w:rsidRPr="00CE42B4">
        <w:rPr>
          <w:rFonts w:asciiTheme="minorHAnsi" w:hAnsiTheme="minorHAnsi"/>
          <w:snapToGrid w:val="0"/>
          <w:lang w:val="en-GB"/>
        </w:rPr>
        <w:t xml:space="preserve">The PBAC </w:t>
      </w:r>
      <w:r>
        <w:rPr>
          <w:rFonts w:asciiTheme="minorHAnsi" w:hAnsiTheme="minorHAnsi"/>
          <w:snapToGrid w:val="0"/>
          <w:lang w:val="en-GB"/>
        </w:rPr>
        <w:t xml:space="preserve">considered that while the clinical need for additional therapies for the treatment of MSUC was low, also considered OZA, as an </w:t>
      </w:r>
      <w:r w:rsidR="00DE2896">
        <w:rPr>
          <w:rFonts w:asciiTheme="minorHAnsi" w:hAnsiTheme="minorHAnsi"/>
          <w:snapToGrid w:val="0"/>
          <w:lang w:val="en-GB"/>
        </w:rPr>
        <w:t xml:space="preserve">additional </w:t>
      </w:r>
      <w:r>
        <w:rPr>
          <w:rFonts w:asciiTheme="minorHAnsi" w:hAnsiTheme="minorHAnsi"/>
          <w:snapToGrid w:val="0"/>
          <w:lang w:val="en-GB"/>
        </w:rPr>
        <w:t>oral therapy with a new mechanism of action, was likely to be of value for some patients.</w:t>
      </w:r>
    </w:p>
    <w:p w14:paraId="4B638795" w14:textId="134EBF09" w:rsidR="00176400" w:rsidRDefault="00176400" w:rsidP="00176400">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considered the nominated primary comparators of </w:t>
      </w:r>
      <w:proofErr w:type="gramStart"/>
      <w:r>
        <w:rPr>
          <w:rFonts w:asciiTheme="minorHAnsi" w:hAnsiTheme="minorHAnsi"/>
          <w:snapToGrid w:val="0"/>
          <w:lang w:val="en-GB"/>
        </w:rPr>
        <w:t>IFX</w:t>
      </w:r>
      <w:proofErr w:type="gramEnd"/>
      <w:r>
        <w:rPr>
          <w:rFonts w:asciiTheme="minorHAnsi" w:hAnsiTheme="minorHAnsi"/>
          <w:snapToGrid w:val="0"/>
          <w:lang w:val="en-GB"/>
        </w:rPr>
        <w:t xml:space="preserve"> and adalimumab (ADA) were reasonable, and considered the nominated secondary comparators of TOF, VDZ and GOL were also appropriate. The Committee agreed </w:t>
      </w:r>
      <w:proofErr w:type="spellStart"/>
      <w:r>
        <w:rPr>
          <w:rFonts w:asciiTheme="minorHAnsi" w:hAnsiTheme="minorHAnsi"/>
          <w:snapToGrid w:val="0"/>
          <w:lang w:val="en-GB"/>
        </w:rPr>
        <w:t>ustekinumab</w:t>
      </w:r>
      <w:proofErr w:type="spellEnd"/>
      <w:r>
        <w:rPr>
          <w:rFonts w:asciiTheme="minorHAnsi" w:hAnsiTheme="minorHAnsi"/>
          <w:snapToGrid w:val="0"/>
          <w:lang w:val="en-GB"/>
        </w:rPr>
        <w:t xml:space="preserve"> (UST) and </w:t>
      </w:r>
      <w:proofErr w:type="spellStart"/>
      <w:r>
        <w:rPr>
          <w:rFonts w:asciiTheme="minorHAnsi" w:hAnsiTheme="minorHAnsi"/>
          <w:snapToGrid w:val="0"/>
          <w:lang w:val="en-GB"/>
        </w:rPr>
        <w:t>upadacitinib</w:t>
      </w:r>
      <w:proofErr w:type="spellEnd"/>
      <w:r>
        <w:rPr>
          <w:rFonts w:asciiTheme="minorHAnsi" w:hAnsiTheme="minorHAnsi"/>
          <w:snapToGrid w:val="0"/>
          <w:lang w:val="en-GB"/>
        </w:rPr>
        <w:t xml:space="preserve"> (UPA), which were</w:t>
      </w:r>
      <w:r w:rsidR="00FB2630">
        <w:rPr>
          <w:rFonts w:asciiTheme="minorHAnsi" w:hAnsiTheme="minorHAnsi"/>
          <w:snapToGrid w:val="0"/>
          <w:lang w:val="en-GB"/>
        </w:rPr>
        <w:t xml:space="preserve"> considered</w:t>
      </w:r>
      <w:r w:rsidR="00DE2896">
        <w:rPr>
          <w:rFonts w:asciiTheme="minorHAnsi" w:hAnsiTheme="minorHAnsi"/>
          <w:snapToGrid w:val="0"/>
          <w:lang w:val="en-GB"/>
        </w:rPr>
        <w:t xml:space="preserve"> </w:t>
      </w:r>
      <w:r w:rsidR="008B418A">
        <w:rPr>
          <w:rFonts w:asciiTheme="minorHAnsi" w:hAnsiTheme="minorHAnsi"/>
          <w:snapToGrid w:val="0"/>
          <w:lang w:val="en-GB"/>
        </w:rPr>
        <w:t>in</w:t>
      </w:r>
      <w:r>
        <w:rPr>
          <w:rFonts w:asciiTheme="minorHAnsi" w:hAnsiTheme="minorHAnsi"/>
          <w:snapToGrid w:val="0"/>
          <w:lang w:val="en-GB"/>
        </w:rPr>
        <w:t xml:space="preserve"> July 2022, could </w:t>
      </w:r>
      <w:r w:rsidR="00A24256">
        <w:rPr>
          <w:rFonts w:asciiTheme="minorHAnsi" w:hAnsiTheme="minorHAnsi"/>
          <w:snapToGrid w:val="0"/>
          <w:lang w:val="en-GB"/>
        </w:rPr>
        <w:t xml:space="preserve">also </w:t>
      </w:r>
      <w:r>
        <w:rPr>
          <w:rFonts w:asciiTheme="minorHAnsi" w:hAnsiTheme="minorHAnsi"/>
          <w:snapToGrid w:val="0"/>
          <w:lang w:val="en-GB"/>
        </w:rPr>
        <w:t xml:space="preserve">be considered </w:t>
      </w:r>
      <w:r w:rsidR="00A24256">
        <w:rPr>
          <w:rFonts w:asciiTheme="minorHAnsi" w:hAnsiTheme="minorHAnsi"/>
          <w:snapToGrid w:val="0"/>
          <w:lang w:val="en-GB"/>
        </w:rPr>
        <w:t>alternate</w:t>
      </w:r>
      <w:r>
        <w:rPr>
          <w:rFonts w:asciiTheme="minorHAnsi" w:hAnsiTheme="minorHAnsi"/>
          <w:snapToGrid w:val="0"/>
          <w:lang w:val="en-GB"/>
        </w:rPr>
        <w:t xml:space="preserve"> </w:t>
      </w:r>
      <w:r w:rsidR="00596129">
        <w:rPr>
          <w:rFonts w:asciiTheme="minorHAnsi" w:hAnsiTheme="minorHAnsi"/>
          <w:snapToGrid w:val="0"/>
          <w:lang w:val="en-GB"/>
        </w:rPr>
        <w:t xml:space="preserve">therapies </w:t>
      </w:r>
      <w:r>
        <w:rPr>
          <w:rFonts w:asciiTheme="minorHAnsi" w:hAnsiTheme="minorHAnsi"/>
          <w:snapToGrid w:val="0"/>
          <w:lang w:val="en-GB"/>
        </w:rPr>
        <w:t>(</w:t>
      </w:r>
      <w:r w:rsidR="00A24256">
        <w:rPr>
          <w:rFonts w:asciiTheme="minorHAnsi" w:hAnsiTheme="minorHAnsi"/>
          <w:snapToGrid w:val="0"/>
          <w:lang w:val="en-GB"/>
        </w:rPr>
        <w:t>however</w:t>
      </w:r>
      <w:r>
        <w:rPr>
          <w:rFonts w:asciiTheme="minorHAnsi" w:hAnsiTheme="minorHAnsi"/>
          <w:snapToGrid w:val="0"/>
          <w:lang w:val="en-GB"/>
        </w:rPr>
        <w:t xml:space="preserve"> not yet PBS listed</w:t>
      </w:r>
      <w:r w:rsidR="00A24256">
        <w:rPr>
          <w:rFonts w:asciiTheme="minorHAnsi" w:hAnsiTheme="minorHAnsi"/>
          <w:snapToGrid w:val="0"/>
          <w:lang w:val="en-GB"/>
        </w:rPr>
        <w:t xml:space="preserve"> at the time of consideration</w:t>
      </w:r>
      <w:r>
        <w:rPr>
          <w:rFonts w:asciiTheme="minorHAnsi" w:hAnsiTheme="minorHAnsi"/>
          <w:snapToGrid w:val="0"/>
          <w:lang w:val="en-GB"/>
        </w:rPr>
        <w:t xml:space="preserve">). </w:t>
      </w:r>
    </w:p>
    <w:p w14:paraId="2DD94F69" w14:textId="5A5677F2" w:rsidR="00176400" w:rsidRPr="00176400" w:rsidRDefault="00176400" w:rsidP="00176400">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no new clinical trials were presented in the </w:t>
      </w:r>
      <w:r w:rsidR="00FB2630">
        <w:rPr>
          <w:lang w:val="en-GB"/>
        </w:rPr>
        <w:t>matching-adjusted indirect comparison (MAIC</w:t>
      </w:r>
      <w:r w:rsidR="00FB2630">
        <w:rPr>
          <w:rFonts w:asciiTheme="minorHAnsi" w:hAnsiTheme="minorHAnsi"/>
          <w:snapToGrid w:val="0"/>
          <w:lang w:val="en-GB"/>
        </w:rPr>
        <w:t>)</w:t>
      </w:r>
      <w:r>
        <w:rPr>
          <w:rFonts w:asciiTheme="minorHAnsi" w:hAnsiTheme="minorHAnsi"/>
          <w:snapToGrid w:val="0"/>
          <w:lang w:val="en-GB"/>
        </w:rPr>
        <w:t xml:space="preserve">and further noted </w:t>
      </w:r>
      <w:proofErr w:type="gramStart"/>
      <w:r>
        <w:rPr>
          <w:rFonts w:asciiTheme="minorHAnsi" w:hAnsiTheme="minorHAnsi"/>
          <w:snapToGrid w:val="0"/>
          <w:lang w:val="en-GB"/>
        </w:rPr>
        <w:t>the vast majority of</w:t>
      </w:r>
      <w:proofErr w:type="gramEnd"/>
      <w:r>
        <w:rPr>
          <w:rFonts w:asciiTheme="minorHAnsi" w:hAnsiTheme="minorHAnsi"/>
          <w:snapToGrid w:val="0"/>
          <w:lang w:val="en-GB"/>
        </w:rPr>
        <w:t xml:space="preserve"> trials included in the </w:t>
      </w:r>
      <w:r w:rsidR="00FB2630">
        <w:rPr>
          <w:lang w:val="en-GB"/>
        </w:rPr>
        <w:t>network meta-analysis (NMA)</w:t>
      </w:r>
      <w:r w:rsidR="00FB2630" w:rsidRPr="00292444">
        <w:rPr>
          <w:lang w:val="en-GB"/>
        </w:rPr>
        <w:t>,</w:t>
      </w:r>
      <w:r w:rsidR="00FB2630">
        <w:rPr>
          <w:lang w:val="en-GB"/>
        </w:rPr>
        <w:t xml:space="preserve"> </w:t>
      </w:r>
      <w:r w:rsidR="00FB2630">
        <w:rPr>
          <w:rFonts w:asciiTheme="minorHAnsi" w:hAnsiTheme="minorHAnsi"/>
          <w:snapToGrid w:val="0"/>
          <w:lang w:val="en-GB"/>
        </w:rPr>
        <w:t>had</w:t>
      </w:r>
      <w:r>
        <w:rPr>
          <w:rFonts w:asciiTheme="minorHAnsi" w:hAnsiTheme="minorHAnsi"/>
          <w:snapToGrid w:val="0"/>
          <w:lang w:val="en-GB"/>
        </w:rPr>
        <w:t xml:space="preserve"> previously been considered across the breadth of </w:t>
      </w:r>
      <w:proofErr w:type="spellStart"/>
      <w:r>
        <w:rPr>
          <w:rFonts w:asciiTheme="minorHAnsi" w:hAnsiTheme="minorHAnsi"/>
          <w:snapToGrid w:val="0"/>
          <w:lang w:val="en-GB"/>
        </w:rPr>
        <w:t>bDMARD</w:t>
      </w:r>
      <w:proofErr w:type="spellEnd"/>
      <w:r>
        <w:rPr>
          <w:rFonts w:asciiTheme="minorHAnsi" w:hAnsiTheme="minorHAnsi"/>
          <w:snapToGrid w:val="0"/>
          <w:lang w:val="en-GB"/>
        </w:rPr>
        <w:t>/</w:t>
      </w:r>
      <w:proofErr w:type="spellStart"/>
      <w:r>
        <w:rPr>
          <w:rFonts w:asciiTheme="minorHAnsi" w:hAnsiTheme="minorHAnsi"/>
          <w:snapToGrid w:val="0"/>
          <w:lang w:val="en-GB"/>
        </w:rPr>
        <w:t>tsDMARD</w:t>
      </w:r>
      <w:proofErr w:type="spellEnd"/>
      <w:r>
        <w:rPr>
          <w:rFonts w:asciiTheme="minorHAnsi" w:hAnsiTheme="minorHAnsi"/>
          <w:snapToGrid w:val="0"/>
          <w:lang w:val="en-GB"/>
        </w:rPr>
        <w:t xml:space="preserve"> submissions for MSUC.</w:t>
      </w:r>
    </w:p>
    <w:p w14:paraId="4ADD456E" w14:textId="2F15F851" w:rsidR="003F315D" w:rsidRPr="00CE42B4" w:rsidRDefault="009D0BBC" w:rsidP="003F315D">
      <w:pPr>
        <w:widowControl w:val="0"/>
        <w:numPr>
          <w:ilvl w:val="1"/>
          <w:numId w:val="1"/>
        </w:numPr>
        <w:spacing w:after="120"/>
        <w:rPr>
          <w:rFonts w:asciiTheme="minorHAnsi" w:hAnsiTheme="minorHAnsi"/>
          <w:snapToGrid w:val="0"/>
          <w:lang w:val="en-GB"/>
        </w:rPr>
      </w:pPr>
      <w:r w:rsidRPr="00292444">
        <w:rPr>
          <w:lang w:val="en-GB"/>
        </w:rPr>
        <w:t xml:space="preserve">The PBAC </w:t>
      </w:r>
      <w:r>
        <w:rPr>
          <w:lang w:val="en-GB"/>
        </w:rPr>
        <w:t xml:space="preserve">noted additional analyses were presented in the submission, including a </w:t>
      </w:r>
      <w:r w:rsidR="00FB2630">
        <w:rPr>
          <w:lang w:val="en-GB"/>
        </w:rPr>
        <w:t>MAIC</w:t>
      </w:r>
      <w:r>
        <w:rPr>
          <w:lang w:val="en-GB"/>
        </w:rPr>
        <w:t xml:space="preserve"> and </w:t>
      </w:r>
      <w:r w:rsidR="00FB2630">
        <w:rPr>
          <w:lang w:val="en-GB"/>
        </w:rPr>
        <w:t>NMA</w:t>
      </w:r>
      <w:r w:rsidRPr="00292444">
        <w:rPr>
          <w:lang w:val="en-GB"/>
        </w:rPr>
        <w:t>,</w:t>
      </w:r>
      <w:r>
        <w:rPr>
          <w:lang w:val="en-GB"/>
        </w:rPr>
        <w:t xml:space="preserve"> and considered these provided additional confidence regarding the comparative effectiveness of OZA with </w:t>
      </w:r>
      <w:r w:rsidR="00176400">
        <w:rPr>
          <w:lang w:val="en-GB"/>
        </w:rPr>
        <w:t>ADA</w:t>
      </w:r>
      <w:r>
        <w:rPr>
          <w:lang w:val="en-GB"/>
        </w:rPr>
        <w:t xml:space="preserve"> and the alternative therapies.</w:t>
      </w:r>
      <w:r w:rsidR="00C576F6" w:rsidRPr="00C576F6">
        <w:rPr>
          <w:lang w:val="en-GB"/>
        </w:rPr>
        <w:t xml:space="preserve"> </w:t>
      </w:r>
      <w:r w:rsidR="00C576F6">
        <w:rPr>
          <w:lang w:val="en-GB"/>
        </w:rPr>
        <w:t xml:space="preserve">The PBAC </w:t>
      </w:r>
      <w:r w:rsidR="00C576F6" w:rsidRPr="00292444">
        <w:rPr>
          <w:lang w:val="en-GB"/>
        </w:rPr>
        <w:t xml:space="preserve">considered there is likely sufficient evidence that </w:t>
      </w:r>
      <w:r w:rsidR="00C576F6">
        <w:rPr>
          <w:lang w:val="en-GB"/>
        </w:rPr>
        <w:t>OZA</w:t>
      </w:r>
      <w:r w:rsidR="00C576F6" w:rsidRPr="00292444">
        <w:rPr>
          <w:lang w:val="en-GB"/>
        </w:rPr>
        <w:t>, for some patients, provides a significant improvement in effectiveness in the induction phase compared to adalimumab (ADA)</w:t>
      </w:r>
      <w:r w:rsidR="00C576F6">
        <w:rPr>
          <w:lang w:val="en-GB"/>
        </w:rPr>
        <w:t xml:space="preserve"> </w:t>
      </w:r>
      <w:r w:rsidR="00FC319B">
        <w:rPr>
          <w:lang w:val="en-GB"/>
        </w:rPr>
        <w:t>and</w:t>
      </w:r>
      <w:r>
        <w:rPr>
          <w:lang w:val="en-GB"/>
        </w:rPr>
        <w:t xml:space="preserve"> considered</w:t>
      </w:r>
      <w:r w:rsidRPr="00292444">
        <w:rPr>
          <w:lang w:val="en-GB"/>
        </w:rPr>
        <w:t xml:space="preserve"> </w:t>
      </w:r>
      <w:r>
        <w:rPr>
          <w:lang w:val="en-GB"/>
        </w:rPr>
        <w:t>OZA</w:t>
      </w:r>
      <w:r w:rsidRPr="00292444">
        <w:rPr>
          <w:lang w:val="en-GB"/>
        </w:rPr>
        <w:t xml:space="preserve"> is likely to be of non-inferior comparative effectiveness and safety to </w:t>
      </w:r>
      <w:r>
        <w:rPr>
          <w:lang w:val="en-GB"/>
        </w:rPr>
        <w:t>IFX, TOF, VDZ</w:t>
      </w:r>
      <w:r w:rsidR="00596DF9">
        <w:rPr>
          <w:lang w:val="en-GB"/>
        </w:rPr>
        <w:t xml:space="preserve">, </w:t>
      </w:r>
      <w:r w:rsidR="009E783E">
        <w:rPr>
          <w:lang w:val="en-GB"/>
        </w:rPr>
        <w:t>GOL</w:t>
      </w:r>
      <w:r w:rsidR="00596DF9">
        <w:rPr>
          <w:lang w:val="en-GB"/>
        </w:rPr>
        <w:t>, UPA and UST</w:t>
      </w:r>
      <w:r w:rsidRPr="00292444">
        <w:rPr>
          <w:lang w:val="en-GB"/>
        </w:rPr>
        <w:t xml:space="preserve"> in MSUC</w:t>
      </w:r>
      <w:r w:rsidR="00FC319B">
        <w:rPr>
          <w:lang w:val="en-GB"/>
        </w:rPr>
        <w:t xml:space="preserve"> for both induction and maintenance therapy.</w:t>
      </w:r>
    </w:p>
    <w:p w14:paraId="75196F0A" w14:textId="7912CC0D" w:rsidR="006175CC" w:rsidRDefault="007B21DB" w:rsidP="003F315D">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w:t>
      </w:r>
      <w:r w:rsidR="006A0674">
        <w:rPr>
          <w:rFonts w:asciiTheme="minorHAnsi" w:hAnsiTheme="minorHAnsi"/>
          <w:snapToGrid w:val="0"/>
          <w:lang w:val="en-GB"/>
        </w:rPr>
        <w:t>agreed with the ESC and considered</w:t>
      </w:r>
      <w:r>
        <w:rPr>
          <w:rFonts w:asciiTheme="minorHAnsi" w:hAnsiTheme="minorHAnsi"/>
          <w:snapToGrid w:val="0"/>
          <w:lang w:val="en-GB"/>
        </w:rPr>
        <w:t xml:space="preserve"> </w:t>
      </w:r>
      <w:r w:rsidR="006A0674">
        <w:rPr>
          <w:rFonts w:asciiTheme="minorHAnsi" w:hAnsiTheme="minorHAnsi"/>
          <w:snapToGrid w:val="0"/>
          <w:lang w:val="en-GB"/>
        </w:rPr>
        <w:t xml:space="preserve">the MAIC and NMA presented in the submission were methodologically sound and informative for assessing the comparative effectiveness of OZA and ADA (and to a lesser extent GOL). The Committee noted the MAIC adjusted for differences in the trial populations, such as extent of colitis or pancolitis and </w:t>
      </w:r>
      <w:r w:rsidR="00FB2630">
        <w:rPr>
          <w:rFonts w:asciiTheme="minorHAnsi" w:hAnsiTheme="minorHAnsi"/>
          <w:snapToGrid w:val="0"/>
          <w:lang w:val="en-GB"/>
        </w:rPr>
        <w:t>extent of prior</w:t>
      </w:r>
      <w:r w:rsidR="006A0674">
        <w:rPr>
          <w:rFonts w:asciiTheme="minorHAnsi" w:hAnsiTheme="minorHAnsi"/>
          <w:snapToGrid w:val="0"/>
          <w:lang w:val="en-GB"/>
        </w:rPr>
        <w:t xml:space="preserve"> treatment compared to other </w:t>
      </w:r>
      <w:proofErr w:type="spellStart"/>
      <w:r w:rsidR="006A0674">
        <w:rPr>
          <w:rFonts w:asciiTheme="minorHAnsi" w:hAnsiTheme="minorHAnsi"/>
          <w:snapToGrid w:val="0"/>
          <w:lang w:val="en-GB"/>
        </w:rPr>
        <w:t>bDMARD</w:t>
      </w:r>
      <w:proofErr w:type="spellEnd"/>
      <w:r w:rsidR="006A0674">
        <w:rPr>
          <w:rFonts w:asciiTheme="minorHAnsi" w:hAnsiTheme="minorHAnsi"/>
          <w:snapToGrid w:val="0"/>
          <w:lang w:val="en-GB"/>
        </w:rPr>
        <w:t>/</w:t>
      </w:r>
      <w:proofErr w:type="spellStart"/>
      <w:r w:rsidR="006A0674">
        <w:rPr>
          <w:rFonts w:asciiTheme="minorHAnsi" w:hAnsiTheme="minorHAnsi"/>
          <w:snapToGrid w:val="0"/>
          <w:lang w:val="en-GB"/>
        </w:rPr>
        <w:t>tsDMARD</w:t>
      </w:r>
      <w:proofErr w:type="spellEnd"/>
      <w:r w:rsidR="006A0674">
        <w:rPr>
          <w:rFonts w:asciiTheme="minorHAnsi" w:hAnsiTheme="minorHAnsi"/>
          <w:snapToGrid w:val="0"/>
          <w:lang w:val="en-GB"/>
        </w:rPr>
        <w:t xml:space="preserve"> trials it previously considered were likely to be impactful for assessing the clinical claim. The PBAC noted the results of the MAIC found statistically significant results in favour of OZA over ADA for the outcomes of clinical response </w:t>
      </w:r>
      <w:r w:rsidR="006A0674" w:rsidRPr="006A0674">
        <w:rPr>
          <w:rFonts w:asciiTheme="minorHAnsi" w:hAnsiTheme="minorHAnsi"/>
          <w:snapToGrid w:val="0"/>
          <w:lang w:val="en-GB"/>
        </w:rPr>
        <w:t xml:space="preserve">(odds ratio (OR) 1.532, 95% CI 1.036, 2.265) and endoscopic improvement (OR 1.660, </w:t>
      </w:r>
      <w:r w:rsidR="006A0674" w:rsidRPr="006A0674">
        <w:rPr>
          <w:rFonts w:asciiTheme="minorHAnsi" w:hAnsiTheme="minorHAnsi"/>
          <w:snapToGrid w:val="0"/>
          <w:lang w:val="en-GB"/>
        </w:rPr>
        <w:lastRenderedPageBreak/>
        <w:t>95% CI 1.008, 2.734), but not for clinical remission (OR 1.216, 95% CI 0.523, 2.831)</w:t>
      </w:r>
      <w:r w:rsidR="006A0674">
        <w:rPr>
          <w:rFonts w:asciiTheme="minorHAnsi" w:hAnsiTheme="minorHAnsi"/>
          <w:snapToGrid w:val="0"/>
          <w:lang w:val="en-GB"/>
        </w:rPr>
        <w:t xml:space="preserve"> in induction therapy</w:t>
      </w:r>
      <w:r w:rsidR="00DE2896">
        <w:rPr>
          <w:rFonts w:asciiTheme="minorHAnsi" w:hAnsiTheme="minorHAnsi"/>
          <w:snapToGrid w:val="0"/>
          <w:lang w:val="en-GB"/>
        </w:rPr>
        <w:t>. The PBAC</w:t>
      </w:r>
      <w:r w:rsidR="006A0674">
        <w:rPr>
          <w:rFonts w:asciiTheme="minorHAnsi" w:hAnsiTheme="minorHAnsi"/>
          <w:snapToGrid w:val="0"/>
          <w:lang w:val="en-GB"/>
        </w:rPr>
        <w:t xml:space="preserve"> considered, on balance, the results of the MAIC likely support a conclusion that OZA, for some patients, provides a significant improvement in effectiveness over ADA. The PBAC also considered the results of the NMA were overall likely supportive of this </w:t>
      </w:r>
      <w:r w:rsidR="00FB2630">
        <w:rPr>
          <w:rFonts w:asciiTheme="minorHAnsi" w:hAnsiTheme="minorHAnsi"/>
          <w:snapToGrid w:val="0"/>
          <w:lang w:val="en-GB"/>
        </w:rPr>
        <w:t>conclusion and</w:t>
      </w:r>
      <w:r w:rsidR="006A0674">
        <w:rPr>
          <w:rFonts w:asciiTheme="minorHAnsi" w:hAnsiTheme="minorHAnsi"/>
          <w:snapToGrid w:val="0"/>
          <w:lang w:val="en-GB"/>
        </w:rPr>
        <w:t xml:space="preserve"> </w:t>
      </w:r>
      <w:r w:rsidR="00315E03">
        <w:rPr>
          <w:rFonts w:asciiTheme="minorHAnsi" w:hAnsiTheme="minorHAnsi"/>
          <w:snapToGrid w:val="0"/>
          <w:lang w:val="en-GB"/>
        </w:rPr>
        <w:t>noted</w:t>
      </w:r>
      <w:r w:rsidR="006A0674">
        <w:rPr>
          <w:rFonts w:asciiTheme="minorHAnsi" w:hAnsiTheme="minorHAnsi"/>
          <w:snapToGrid w:val="0"/>
          <w:lang w:val="en-GB"/>
        </w:rPr>
        <w:t xml:space="preserve"> there were uncertainties with the</w:t>
      </w:r>
      <w:r w:rsidR="00020824">
        <w:rPr>
          <w:rFonts w:asciiTheme="minorHAnsi" w:hAnsiTheme="minorHAnsi"/>
          <w:snapToGrid w:val="0"/>
          <w:lang w:val="en-GB"/>
        </w:rPr>
        <w:t xml:space="preserve"> results of the</w:t>
      </w:r>
      <w:r w:rsidR="006A0674">
        <w:rPr>
          <w:rFonts w:asciiTheme="minorHAnsi" w:hAnsiTheme="minorHAnsi"/>
          <w:snapToGrid w:val="0"/>
          <w:lang w:val="en-GB"/>
        </w:rPr>
        <w:t xml:space="preserve"> NMA due to differences arising between the fixed effects and random effects model approaches</w:t>
      </w:r>
      <w:r w:rsidR="00FB2630">
        <w:rPr>
          <w:rFonts w:asciiTheme="minorHAnsi" w:hAnsiTheme="minorHAnsi"/>
          <w:snapToGrid w:val="0"/>
          <w:lang w:val="en-GB"/>
        </w:rPr>
        <w:t>.</w:t>
      </w:r>
      <w:r w:rsidR="00315E03">
        <w:rPr>
          <w:rFonts w:asciiTheme="minorHAnsi" w:hAnsiTheme="minorHAnsi"/>
          <w:snapToGrid w:val="0"/>
          <w:lang w:val="en-GB"/>
        </w:rPr>
        <w:t xml:space="preserve"> However,</w:t>
      </w:r>
      <w:r w:rsidR="00FB2630">
        <w:rPr>
          <w:rFonts w:asciiTheme="minorHAnsi" w:hAnsiTheme="minorHAnsi"/>
          <w:snapToGrid w:val="0"/>
          <w:lang w:val="en-GB"/>
        </w:rPr>
        <w:t xml:space="preserve"> </w:t>
      </w:r>
      <w:r w:rsidR="00315E03">
        <w:rPr>
          <w:rFonts w:asciiTheme="minorHAnsi" w:hAnsiTheme="minorHAnsi"/>
          <w:snapToGrid w:val="0"/>
          <w:lang w:val="en-GB"/>
        </w:rPr>
        <w:t>t</w:t>
      </w:r>
      <w:r w:rsidR="00FB2630">
        <w:rPr>
          <w:rFonts w:asciiTheme="minorHAnsi" w:hAnsiTheme="minorHAnsi"/>
          <w:snapToGrid w:val="0"/>
          <w:lang w:val="en-GB"/>
        </w:rPr>
        <w:t>he Committee</w:t>
      </w:r>
      <w:r w:rsidR="006A0674">
        <w:rPr>
          <w:rFonts w:asciiTheme="minorHAnsi" w:hAnsiTheme="minorHAnsi"/>
          <w:snapToGrid w:val="0"/>
          <w:lang w:val="en-GB"/>
        </w:rPr>
        <w:t xml:space="preserve"> agreed with the ESC and PSCR/Pre-PBAC Response that there were strengths and weaknesses with</w:t>
      </w:r>
      <w:r w:rsidR="00020824">
        <w:rPr>
          <w:rFonts w:asciiTheme="minorHAnsi" w:hAnsiTheme="minorHAnsi"/>
          <w:snapToGrid w:val="0"/>
          <w:lang w:val="en-GB"/>
        </w:rPr>
        <w:t xml:space="preserve"> both these statistical model approaches in the context of the MSUC comparison and considered it was reasonable to consider the totality of evidence presented in the NMA. </w:t>
      </w:r>
    </w:p>
    <w:p w14:paraId="147CB8B3" w14:textId="3CA25281" w:rsidR="003F315D" w:rsidRPr="00CE42B4" w:rsidRDefault="00020824" w:rsidP="003F315D">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agreed with the ESC that </w:t>
      </w:r>
      <w:r w:rsidR="006175CC" w:rsidRPr="006175CC">
        <w:rPr>
          <w:rFonts w:asciiTheme="minorHAnsi" w:hAnsiTheme="minorHAnsi"/>
          <w:snapToGrid w:val="0"/>
          <w:lang w:val="en-GB"/>
        </w:rPr>
        <w:t>it was highly uncertain that a claim that OZA was of superior comparative effectiveness to GOL was adequately supported by one statistically significant result, in one</w:t>
      </w:r>
      <w:r w:rsidR="006175CC">
        <w:rPr>
          <w:rFonts w:asciiTheme="minorHAnsi" w:hAnsiTheme="minorHAnsi"/>
          <w:snapToGrid w:val="0"/>
          <w:lang w:val="en-GB"/>
        </w:rPr>
        <w:t xml:space="preserve"> outcome, for one</w:t>
      </w:r>
      <w:r w:rsidR="006175CC" w:rsidRPr="006175CC">
        <w:rPr>
          <w:rFonts w:asciiTheme="minorHAnsi" w:hAnsiTheme="minorHAnsi"/>
          <w:snapToGrid w:val="0"/>
          <w:lang w:val="en-GB"/>
        </w:rPr>
        <w:t xml:space="preserve"> subgroup</w:t>
      </w:r>
      <w:r w:rsidR="006175CC">
        <w:rPr>
          <w:rFonts w:asciiTheme="minorHAnsi" w:hAnsiTheme="minorHAnsi"/>
          <w:snapToGrid w:val="0"/>
          <w:lang w:val="en-GB"/>
        </w:rPr>
        <w:t>,</w:t>
      </w:r>
      <w:r w:rsidR="006175CC" w:rsidRPr="006175CC">
        <w:rPr>
          <w:rFonts w:asciiTheme="minorHAnsi" w:hAnsiTheme="minorHAnsi"/>
          <w:snapToGrid w:val="0"/>
          <w:lang w:val="en-GB"/>
        </w:rPr>
        <w:t xml:space="preserve"> under one modelling approach</w:t>
      </w:r>
      <w:r w:rsidR="00DE2896">
        <w:rPr>
          <w:rFonts w:asciiTheme="minorHAnsi" w:hAnsiTheme="minorHAnsi"/>
          <w:snapToGrid w:val="0"/>
          <w:lang w:val="en-GB"/>
        </w:rPr>
        <w:t xml:space="preserve">. Therefore, the PBAC </w:t>
      </w:r>
      <w:r w:rsidR="006175CC" w:rsidRPr="006175CC">
        <w:rPr>
          <w:rFonts w:asciiTheme="minorHAnsi" w:hAnsiTheme="minorHAnsi"/>
          <w:snapToGrid w:val="0"/>
          <w:lang w:val="en-GB"/>
        </w:rPr>
        <w:t>did not consider a conclusion that OZA is of superior comparative effectiveness to GOL was adequately supported</w:t>
      </w:r>
      <w:r w:rsidR="00176400">
        <w:rPr>
          <w:rFonts w:asciiTheme="minorHAnsi" w:hAnsiTheme="minorHAnsi"/>
          <w:snapToGrid w:val="0"/>
          <w:lang w:val="en-GB"/>
        </w:rPr>
        <w:t xml:space="preserve"> (discussed further in paragraph </w:t>
      </w:r>
      <w:r w:rsidR="00176400">
        <w:rPr>
          <w:rFonts w:asciiTheme="minorHAnsi" w:hAnsiTheme="minorHAnsi"/>
          <w:snapToGrid w:val="0"/>
          <w:lang w:val="en-GB"/>
        </w:rPr>
        <w:fldChar w:fldCharType="begin"/>
      </w:r>
      <w:r w:rsidR="00176400">
        <w:rPr>
          <w:rFonts w:asciiTheme="minorHAnsi" w:hAnsiTheme="minorHAnsi"/>
          <w:snapToGrid w:val="0"/>
          <w:lang w:val="en-GB"/>
        </w:rPr>
        <w:instrText xml:space="preserve"> REF _Ref116887267 \r \h </w:instrText>
      </w:r>
      <w:r w:rsidR="00176400">
        <w:rPr>
          <w:rFonts w:asciiTheme="minorHAnsi" w:hAnsiTheme="minorHAnsi"/>
          <w:snapToGrid w:val="0"/>
          <w:lang w:val="en-GB"/>
        </w:rPr>
      </w:r>
      <w:r w:rsidR="00176400">
        <w:rPr>
          <w:rFonts w:asciiTheme="minorHAnsi" w:hAnsiTheme="minorHAnsi"/>
          <w:snapToGrid w:val="0"/>
          <w:lang w:val="en-GB"/>
        </w:rPr>
        <w:fldChar w:fldCharType="separate"/>
      </w:r>
      <w:r w:rsidR="00340AC7">
        <w:rPr>
          <w:rFonts w:asciiTheme="minorHAnsi" w:hAnsiTheme="minorHAnsi"/>
          <w:snapToGrid w:val="0"/>
          <w:lang w:val="en-GB"/>
        </w:rPr>
        <w:t>6.30</w:t>
      </w:r>
      <w:r w:rsidR="00176400">
        <w:rPr>
          <w:rFonts w:asciiTheme="minorHAnsi" w:hAnsiTheme="minorHAnsi"/>
          <w:snapToGrid w:val="0"/>
          <w:lang w:val="en-GB"/>
        </w:rPr>
        <w:fldChar w:fldCharType="end"/>
      </w:r>
      <w:r w:rsidR="00176400">
        <w:rPr>
          <w:rFonts w:asciiTheme="minorHAnsi" w:hAnsiTheme="minorHAnsi"/>
          <w:snapToGrid w:val="0"/>
          <w:lang w:val="en-GB"/>
        </w:rPr>
        <w:t>)</w:t>
      </w:r>
      <w:r w:rsidR="006175CC" w:rsidRPr="006175CC">
        <w:rPr>
          <w:rFonts w:asciiTheme="minorHAnsi" w:hAnsiTheme="minorHAnsi"/>
          <w:snapToGrid w:val="0"/>
          <w:lang w:val="en-GB"/>
        </w:rPr>
        <w:t>.</w:t>
      </w:r>
    </w:p>
    <w:p w14:paraId="0FC65D88" w14:textId="352DA4B2" w:rsidR="003F315D" w:rsidRDefault="006175CC" w:rsidP="003F315D">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With regards to comparative safety, the PBAC agreed with the ESC and considered </w:t>
      </w:r>
      <w:proofErr w:type="gramStart"/>
      <w:r>
        <w:rPr>
          <w:rFonts w:asciiTheme="minorHAnsi" w:hAnsiTheme="minorHAnsi"/>
          <w:snapToGrid w:val="0"/>
          <w:lang w:val="en-GB"/>
        </w:rPr>
        <w:t>OZA</w:t>
      </w:r>
      <w:proofErr w:type="gramEnd"/>
      <w:r>
        <w:rPr>
          <w:rFonts w:asciiTheme="minorHAnsi" w:hAnsiTheme="minorHAnsi"/>
          <w:snapToGrid w:val="0"/>
          <w:lang w:val="en-GB"/>
        </w:rPr>
        <w:t xml:space="preserve"> and ADA had different but generally well-characterised safety profiles and considered a claim of different but not worse safety was reasonable. Overall, the Committee reaffirmed its view expressed in March 2022 that OZA is likely to be of overall non-inferior comparative safety to the alternative </w:t>
      </w:r>
      <w:proofErr w:type="spellStart"/>
      <w:r>
        <w:rPr>
          <w:rFonts w:asciiTheme="minorHAnsi" w:hAnsiTheme="minorHAnsi"/>
          <w:snapToGrid w:val="0"/>
          <w:lang w:val="en-GB"/>
        </w:rPr>
        <w:t>bDMARDs</w:t>
      </w:r>
      <w:proofErr w:type="spellEnd"/>
      <w:r>
        <w:rPr>
          <w:rFonts w:asciiTheme="minorHAnsi" w:hAnsiTheme="minorHAnsi"/>
          <w:snapToGrid w:val="0"/>
          <w:lang w:val="en-GB"/>
        </w:rPr>
        <w:t>/</w:t>
      </w:r>
      <w:proofErr w:type="spellStart"/>
      <w:r>
        <w:rPr>
          <w:rFonts w:asciiTheme="minorHAnsi" w:hAnsiTheme="minorHAnsi"/>
          <w:snapToGrid w:val="0"/>
          <w:lang w:val="en-GB"/>
        </w:rPr>
        <w:t>tsDMARDs</w:t>
      </w:r>
      <w:proofErr w:type="spellEnd"/>
      <w:r>
        <w:rPr>
          <w:rFonts w:asciiTheme="minorHAnsi" w:hAnsiTheme="minorHAnsi"/>
          <w:snapToGrid w:val="0"/>
          <w:lang w:val="en-GB"/>
        </w:rPr>
        <w:t xml:space="preserve"> in </w:t>
      </w:r>
      <w:r w:rsidR="00176400">
        <w:rPr>
          <w:rFonts w:asciiTheme="minorHAnsi" w:hAnsiTheme="minorHAnsi"/>
          <w:snapToGrid w:val="0"/>
          <w:lang w:val="en-GB"/>
        </w:rPr>
        <w:t>MSUC but noted OZA has a different safety profile to these therapies</w:t>
      </w:r>
      <w:r>
        <w:rPr>
          <w:rFonts w:asciiTheme="minorHAnsi" w:hAnsiTheme="minorHAnsi"/>
          <w:snapToGrid w:val="0"/>
          <w:lang w:val="en-GB"/>
        </w:rPr>
        <w:t>.</w:t>
      </w:r>
    </w:p>
    <w:p w14:paraId="5F84EB5E" w14:textId="4A663841" w:rsidR="00682355" w:rsidRPr="00682355" w:rsidRDefault="00682355" w:rsidP="00682355">
      <w:pPr>
        <w:pStyle w:val="3-BodyText"/>
        <w:rPr>
          <w:lang w:val="en-GB"/>
        </w:rPr>
      </w:pPr>
      <w:r w:rsidRPr="00682355">
        <w:rPr>
          <w:lang w:val="en-GB"/>
        </w:rPr>
        <w:t>The PBAC considered its view that the claim of non-inferior comparative effectiveness and safety to IFX in MSUC had been adequately supported</w:t>
      </w:r>
      <w:r>
        <w:rPr>
          <w:lang w:val="en-GB"/>
        </w:rPr>
        <w:t xml:space="preserve"> (March 2022)</w:t>
      </w:r>
      <w:r w:rsidR="00FB2630">
        <w:rPr>
          <w:lang w:val="en-GB"/>
        </w:rPr>
        <w:t>,</w:t>
      </w:r>
      <w:r>
        <w:rPr>
          <w:lang w:val="en-GB"/>
        </w:rPr>
        <w:t xml:space="preserve"> </w:t>
      </w:r>
      <w:r w:rsidR="00FB2630" w:rsidRPr="00682355">
        <w:rPr>
          <w:lang w:val="en-GB"/>
        </w:rPr>
        <w:t>that a listing on a cost minimisation approach</w:t>
      </w:r>
      <w:r w:rsidR="00FB2630">
        <w:rPr>
          <w:lang w:val="en-GB"/>
        </w:rPr>
        <w:t xml:space="preserve"> was reasonable. Furthermore, given</w:t>
      </w:r>
      <w:r>
        <w:rPr>
          <w:lang w:val="en-GB"/>
        </w:rPr>
        <w:t xml:space="preserve"> superior comparative effectiveness to ADA had been adequately supported (current submission)</w:t>
      </w:r>
      <w:r w:rsidRPr="00682355">
        <w:rPr>
          <w:lang w:val="en-GB"/>
        </w:rPr>
        <w:t xml:space="preserve">, </w:t>
      </w:r>
      <w:r w:rsidR="00FB2630">
        <w:rPr>
          <w:lang w:val="en-GB"/>
        </w:rPr>
        <w:t>it was reasonable for OZA to be more costly than ADA</w:t>
      </w:r>
      <w:r w:rsidRPr="00682355">
        <w:rPr>
          <w:lang w:val="en-GB"/>
        </w:rPr>
        <w:t xml:space="preserve">. The PBAC </w:t>
      </w:r>
      <w:r w:rsidR="00FB2630">
        <w:rPr>
          <w:lang w:val="en-GB"/>
        </w:rPr>
        <w:t xml:space="preserve">considered </w:t>
      </w:r>
      <w:r w:rsidRPr="00682355">
        <w:rPr>
          <w:lang w:val="en-GB"/>
        </w:rPr>
        <w:t>the cost should be no greater than any of the alternative therapies,</w:t>
      </w:r>
      <w:r w:rsidR="00176400">
        <w:rPr>
          <w:lang w:val="en-GB"/>
        </w:rPr>
        <w:t xml:space="preserve"> IFX,</w:t>
      </w:r>
      <w:r w:rsidRPr="00682355">
        <w:rPr>
          <w:lang w:val="en-GB"/>
        </w:rPr>
        <w:t xml:space="preserve"> V</w:t>
      </w:r>
      <w:r w:rsidR="003872DE">
        <w:rPr>
          <w:lang w:val="en-GB"/>
        </w:rPr>
        <w:t>DZ</w:t>
      </w:r>
      <w:r w:rsidRPr="00682355">
        <w:rPr>
          <w:lang w:val="en-GB"/>
        </w:rPr>
        <w:t>, GOL</w:t>
      </w:r>
      <w:r w:rsidR="00596DF9">
        <w:rPr>
          <w:lang w:val="en-GB"/>
        </w:rPr>
        <w:t>, TOF, UPA or UST</w:t>
      </w:r>
      <w:r w:rsidR="00FB2630">
        <w:rPr>
          <w:lang w:val="en-GB"/>
        </w:rPr>
        <w:t>, based on a cost minimisation approach over two years, consistent with prior PBAC recommendations for MSUC</w:t>
      </w:r>
      <w:r w:rsidRPr="00682355">
        <w:rPr>
          <w:lang w:val="en-GB"/>
        </w:rPr>
        <w:t>.</w:t>
      </w:r>
    </w:p>
    <w:p w14:paraId="1A059C95" w14:textId="099D6602" w:rsidR="003F315D" w:rsidRPr="00274B50" w:rsidRDefault="00E845AD" w:rsidP="00274B50">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affirmed its previous</w:t>
      </w:r>
      <w:r w:rsidR="008C7611">
        <w:rPr>
          <w:rFonts w:asciiTheme="minorHAnsi" w:hAnsiTheme="minorHAnsi"/>
          <w:snapToGrid w:val="0"/>
          <w:lang w:val="en-GB"/>
        </w:rPr>
        <w:t>ly</w:t>
      </w:r>
      <w:r>
        <w:rPr>
          <w:rFonts w:asciiTheme="minorHAnsi" w:hAnsiTheme="minorHAnsi"/>
          <w:snapToGrid w:val="0"/>
          <w:lang w:val="en-GB"/>
        </w:rPr>
        <w:t xml:space="preserve"> </w:t>
      </w:r>
      <w:r w:rsidR="008C7611">
        <w:rPr>
          <w:rFonts w:asciiTheme="minorHAnsi" w:hAnsiTheme="minorHAnsi"/>
          <w:snapToGrid w:val="0"/>
          <w:lang w:val="en-GB"/>
        </w:rPr>
        <w:t xml:space="preserve">expressed </w:t>
      </w:r>
      <w:r>
        <w:rPr>
          <w:rFonts w:asciiTheme="minorHAnsi" w:hAnsiTheme="minorHAnsi"/>
          <w:snapToGrid w:val="0"/>
          <w:lang w:val="en-GB"/>
        </w:rPr>
        <w:t xml:space="preserve">view </w:t>
      </w:r>
      <w:r w:rsidR="006175CC">
        <w:rPr>
          <w:rFonts w:asciiTheme="minorHAnsi" w:hAnsiTheme="minorHAnsi"/>
          <w:snapToGrid w:val="0"/>
          <w:lang w:val="en-GB"/>
        </w:rPr>
        <w:t xml:space="preserve">in March 2022 that, if listed on a cost minimisation basis with the least costly </w:t>
      </w:r>
      <w:r w:rsidR="00FB2630">
        <w:rPr>
          <w:rFonts w:asciiTheme="minorHAnsi" w:hAnsiTheme="minorHAnsi"/>
          <w:snapToGrid w:val="0"/>
          <w:lang w:val="en-GB"/>
        </w:rPr>
        <w:t>of IFX, V</w:t>
      </w:r>
      <w:r w:rsidR="003872DE">
        <w:rPr>
          <w:rFonts w:asciiTheme="minorHAnsi" w:hAnsiTheme="minorHAnsi"/>
          <w:snapToGrid w:val="0"/>
          <w:lang w:val="en-GB"/>
        </w:rPr>
        <w:t>DZ</w:t>
      </w:r>
      <w:r w:rsidR="00FB2630">
        <w:rPr>
          <w:rFonts w:asciiTheme="minorHAnsi" w:hAnsiTheme="minorHAnsi"/>
          <w:snapToGrid w:val="0"/>
          <w:lang w:val="en-GB"/>
        </w:rPr>
        <w:t>, GOL</w:t>
      </w:r>
      <w:r w:rsidR="00596DF9">
        <w:rPr>
          <w:rFonts w:asciiTheme="minorHAnsi" w:hAnsiTheme="minorHAnsi"/>
          <w:snapToGrid w:val="0"/>
          <w:lang w:val="en-GB"/>
        </w:rPr>
        <w:t xml:space="preserve">, </w:t>
      </w:r>
      <w:r w:rsidR="00FB2630">
        <w:rPr>
          <w:rFonts w:asciiTheme="minorHAnsi" w:hAnsiTheme="minorHAnsi"/>
          <w:snapToGrid w:val="0"/>
          <w:lang w:val="en-GB"/>
        </w:rPr>
        <w:t>TOF</w:t>
      </w:r>
      <w:r w:rsidR="00596DF9">
        <w:rPr>
          <w:rFonts w:asciiTheme="minorHAnsi" w:hAnsiTheme="minorHAnsi"/>
          <w:snapToGrid w:val="0"/>
          <w:lang w:val="en-GB"/>
        </w:rPr>
        <w:t>, UPA or UST</w:t>
      </w:r>
      <w:r w:rsidR="00FB2630">
        <w:rPr>
          <w:rFonts w:asciiTheme="minorHAnsi" w:hAnsiTheme="minorHAnsi"/>
          <w:snapToGrid w:val="0"/>
          <w:lang w:val="en-GB"/>
        </w:rPr>
        <w:t xml:space="preserve"> </w:t>
      </w:r>
      <w:proofErr w:type="spellStart"/>
      <w:r w:rsidR="006175CC">
        <w:rPr>
          <w:rFonts w:asciiTheme="minorHAnsi" w:hAnsiTheme="minorHAnsi"/>
          <w:snapToGrid w:val="0"/>
          <w:lang w:val="en-GB"/>
        </w:rPr>
        <w:t>bDMARD</w:t>
      </w:r>
      <w:proofErr w:type="spellEnd"/>
      <w:r w:rsidR="006175CC">
        <w:rPr>
          <w:rFonts w:asciiTheme="minorHAnsi" w:hAnsiTheme="minorHAnsi"/>
          <w:snapToGrid w:val="0"/>
          <w:lang w:val="en-GB"/>
        </w:rPr>
        <w:t>/</w:t>
      </w:r>
      <w:proofErr w:type="spellStart"/>
      <w:r w:rsidR="006175CC">
        <w:rPr>
          <w:rFonts w:asciiTheme="minorHAnsi" w:hAnsiTheme="minorHAnsi"/>
          <w:snapToGrid w:val="0"/>
          <w:lang w:val="en-GB"/>
        </w:rPr>
        <w:t>tsDMARD</w:t>
      </w:r>
      <w:proofErr w:type="spellEnd"/>
      <w:r w:rsidR="006175CC">
        <w:rPr>
          <w:rFonts w:asciiTheme="minorHAnsi" w:hAnsiTheme="minorHAnsi"/>
          <w:snapToGrid w:val="0"/>
          <w:lang w:val="en-GB"/>
        </w:rPr>
        <w:t>, the listing of OZA for MSUC was likely to be cost neutral or modestly cost saving to the PBS</w:t>
      </w:r>
      <w:r w:rsidR="00682355">
        <w:rPr>
          <w:rFonts w:asciiTheme="minorHAnsi" w:hAnsiTheme="minorHAnsi"/>
          <w:snapToGrid w:val="0"/>
          <w:lang w:val="en-GB"/>
        </w:rPr>
        <w:t xml:space="preserve"> (as it may also substitute for mo</w:t>
      </w:r>
      <w:r w:rsidR="008C7611">
        <w:rPr>
          <w:rFonts w:asciiTheme="minorHAnsi" w:hAnsiTheme="minorHAnsi"/>
          <w:snapToGrid w:val="0"/>
          <w:lang w:val="en-GB"/>
        </w:rPr>
        <w:t>re</w:t>
      </w:r>
      <w:r w:rsidR="00682355">
        <w:rPr>
          <w:rFonts w:asciiTheme="minorHAnsi" w:hAnsiTheme="minorHAnsi"/>
          <w:snapToGrid w:val="0"/>
          <w:lang w:val="en-GB"/>
        </w:rPr>
        <w:t xml:space="preserve"> costly alternatives)</w:t>
      </w:r>
      <w:r w:rsidR="006175CC">
        <w:rPr>
          <w:rFonts w:asciiTheme="minorHAnsi" w:hAnsiTheme="minorHAnsi"/>
          <w:snapToGrid w:val="0"/>
          <w:lang w:val="en-GB"/>
        </w:rPr>
        <w:t xml:space="preserve">. </w:t>
      </w:r>
      <w:r w:rsidRPr="00274B50">
        <w:rPr>
          <w:rFonts w:asciiTheme="minorHAnsi" w:hAnsiTheme="minorHAnsi"/>
          <w:snapToGrid w:val="0"/>
          <w:lang w:val="en-GB"/>
        </w:rPr>
        <w:t xml:space="preserve">The </w:t>
      </w:r>
      <w:r w:rsidR="00176400" w:rsidRPr="00274B50">
        <w:rPr>
          <w:rFonts w:asciiTheme="minorHAnsi" w:hAnsiTheme="minorHAnsi"/>
          <w:snapToGrid w:val="0"/>
          <w:lang w:val="en-GB"/>
        </w:rPr>
        <w:t>PBAC noted</w:t>
      </w:r>
      <w:r w:rsidR="00682355" w:rsidRPr="00274B50">
        <w:rPr>
          <w:rFonts w:asciiTheme="minorHAnsi" w:hAnsiTheme="minorHAnsi"/>
          <w:snapToGrid w:val="0"/>
          <w:lang w:val="en-GB"/>
        </w:rPr>
        <w:t xml:space="preserve"> the submission did not provide updated utilisation or financial estimates and therefore </w:t>
      </w:r>
      <w:r w:rsidR="00274B50" w:rsidRPr="00274B50">
        <w:rPr>
          <w:rFonts w:asciiTheme="minorHAnsi" w:hAnsiTheme="minorHAnsi"/>
          <w:snapToGrid w:val="0"/>
          <w:lang w:val="en-GB"/>
        </w:rPr>
        <w:t>considered the estimates of utilisation remained reasonable</w:t>
      </w:r>
      <w:r w:rsidR="00176400">
        <w:rPr>
          <w:rFonts w:asciiTheme="minorHAnsi" w:hAnsiTheme="minorHAnsi"/>
          <w:snapToGrid w:val="0"/>
          <w:lang w:val="en-GB"/>
        </w:rPr>
        <w:t xml:space="preserve">, </w:t>
      </w:r>
      <w:r w:rsidR="00274B50" w:rsidRPr="00274B50">
        <w:rPr>
          <w:rFonts w:asciiTheme="minorHAnsi" w:hAnsiTheme="minorHAnsi"/>
          <w:snapToGrid w:val="0"/>
          <w:lang w:val="en-GB"/>
        </w:rPr>
        <w:t>however noted prices of some items had changed since its March 2022 recommendation.</w:t>
      </w:r>
    </w:p>
    <w:p w14:paraId="234BAD3F" w14:textId="3A6E57F3" w:rsidR="006175CC" w:rsidRPr="00CE42B4" w:rsidRDefault="006175CC" w:rsidP="003F315D">
      <w:pPr>
        <w:widowControl w:val="0"/>
        <w:numPr>
          <w:ilvl w:val="1"/>
          <w:numId w:val="1"/>
        </w:numPr>
        <w:spacing w:after="120"/>
      </w:pPr>
      <w:r>
        <w:rPr>
          <w:rFonts w:asciiTheme="minorHAnsi" w:hAnsiTheme="minorHAnsi"/>
          <w:snapToGrid w:val="0"/>
          <w:lang w:val="en-GB"/>
        </w:rPr>
        <w:t xml:space="preserve">The PBAC noted in its March 2022 recommendation for OZA that it would consider a future submission </w:t>
      </w:r>
      <w:r w:rsidR="00176400">
        <w:rPr>
          <w:rFonts w:asciiTheme="minorHAnsi" w:hAnsiTheme="minorHAnsi"/>
          <w:snapToGrid w:val="0"/>
          <w:lang w:val="en-GB"/>
        </w:rPr>
        <w:t>to request</w:t>
      </w:r>
      <w:r>
        <w:rPr>
          <w:rFonts w:asciiTheme="minorHAnsi" w:hAnsiTheme="minorHAnsi"/>
          <w:snapToGrid w:val="0"/>
          <w:lang w:val="en-GB"/>
        </w:rPr>
        <w:t xml:space="preserve"> revision to the number of drugs </w:t>
      </w:r>
      <w:r w:rsidR="008C7611">
        <w:rPr>
          <w:rFonts w:asciiTheme="minorHAnsi" w:hAnsiTheme="minorHAnsi"/>
          <w:snapToGrid w:val="0"/>
          <w:lang w:val="en-GB"/>
        </w:rPr>
        <w:t xml:space="preserve">listed for MSUC </w:t>
      </w:r>
      <w:r>
        <w:rPr>
          <w:rFonts w:asciiTheme="minorHAnsi" w:hAnsiTheme="minorHAnsi"/>
          <w:snapToGrid w:val="0"/>
          <w:lang w:val="en-GB"/>
        </w:rPr>
        <w:t xml:space="preserve">that can be attempted within a treatment cycle before a patient must enter a 5-year break. </w:t>
      </w:r>
      <w:r>
        <w:rPr>
          <w:rFonts w:asciiTheme="minorHAnsi" w:hAnsiTheme="minorHAnsi"/>
          <w:snapToGrid w:val="0"/>
          <w:lang w:val="en-GB"/>
        </w:rPr>
        <w:lastRenderedPageBreak/>
        <w:t>Further to its earlier</w:t>
      </w:r>
      <w:r w:rsidR="00682355">
        <w:rPr>
          <w:rFonts w:asciiTheme="minorHAnsi" w:hAnsiTheme="minorHAnsi"/>
          <w:snapToGrid w:val="0"/>
          <w:lang w:val="en-GB"/>
        </w:rPr>
        <w:t>-</w:t>
      </w:r>
      <w:r>
        <w:rPr>
          <w:rFonts w:asciiTheme="minorHAnsi" w:hAnsiTheme="minorHAnsi"/>
          <w:snapToGrid w:val="0"/>
          <w:lang w:val="en-GB"/>
        </w:rPr>
        <w:t xml:space="preserve">expressed view, the PBAC considered it may be reasonable to review the design of treatment cycle requirements for </w:t>
      </w:r>
      <w:proofErr w:type="spellStart"/>
      <w:r>
        <w:rPr>
          <w:rFonts w:asciiTheme="minorHAnsi" w:hAnsiTheme="minorHAnsi"/>
          <w:snapToGrid w:val="0"/>
          <w:lang w:val="en-GB"/>
        </w:rPr>
        <w:t>bDMARDs</w:t>
      </w:r>
      <w:proofErr w:type="spellEnd"/>
      <w:r>
        <w:rPr>
          <w:rFonts w:asciiTheme="minorHAnsi" w:hAnsiTheme="minorHAnsi"/>
          <w:snapToGrid w:val="0"/>
          <w:lang w:val="en-GB"/>
        </w:rPr>
        <w:t>/</w:t>
      </w:r>
      <w:proofErr w:type="spellStart"/>
      <w:r>
        <w:rPr>
          <w:rFonts w:asciiTheme="minorHAnsi" w:hAnsiTheme="minorHAnsi"/>
          <w:snapToGrid w:val="0"/>
          <w:lang w:val="en-GB"/>
        </w:rPr>
        <w:t>tsDMARDs</w:t>
      </w:r>
      <w:proofErr w:type="spellEnd"/>
      <w:r>
        <w:rPr>
          <w:rFonts w:asciiTheme="minorHAnsi" w:hAnsiTheme="minorHAnsi"/>
          <w:snapToGrid w:val="0"/>
          <w:lang w:val="en-GB"/>
        </w:rPr>
        <w:t xml:space="preserve"> broadly</w:t>
      </w:r>
      <w:r w:rsidR="00176400">
        <w:rPr>
          <w:rFonts w:asciiTheme="minorHAnsi" w:hAnsiTheme="minorHAnsi"/>
          <w:snapToGrid w:val="0"/>
          <w:lang w:val="en-GB"/>
        </w:rPr>
        <w:t xml:space="preserve"> given the range of available treatments with different mechanisms of action</w:t>
      </w:r>
      <w:r>
        <w:rPr>
          <w:rFonts w:asciiTheme="minorHAnsi" w:hAnsiTheme="minorHAnsi"/>
          <w:snapToGrid w:val="0"/>
          <w:lang w:val="en-GB"/>
        </w:rPr>
        <w:t xml:space="preserve"> </w:t>
      </w:r>
      <w:r w:rsidR="00176400">
        <w:rPr>
          <w:rFonts w:asciiTheme="minorHAnsi" w:hAnsiTheme="minorHAnsi"/>
          <w:snapToGrid w:val="0"/>
          <w:lang w:val="en-GB"/>
        </w:rPr>
        <w:t>since these requirements were originally devised. The PBAC</w:t>
      </w:r>
      <w:r>
        <w:rPr>
          <w:rFonts w:asciiTheme="minorHAnsi" w:hAnsiTheme="minorHAnsi"/>
          <w:snapToGrid w:val="0"/>
          <w:lang w:val="en-GB"/>
        </w:rPr>
        <w:t xml:space="preserve"> noted such a review was </w:t>
      </w:r>
      <w:r w:rsidR="00682355">
        <w:rPr>
          <w:rFonts w:asciiTheme="minorHAnsi" w:hAnsiTheme="minorHAnsi"/>
          <w:snapToGrid w:val="0"/>
          <w:lang w:val="en-GB"/>
        </w:rPr>
        <w:t>broader than the</w:t>
      </w:r>
      <w:r>
        <w:rPr>
          <w:rFonts w:asciiTheme="minorHAnsi" w:hAnsiTheme="minorHAnsi"/>
          <w:snapToGrid w:val="0"/>
          <w:lang w:val="en-GB"/>
        </w:rPr>
        <w:t xml:space="preserve"> scope of</w:t>
      </w:r>
      <w:r w:rsidR="00682355">
        <w:rPr>
          <w:rFonts w:asciiTheme="minorHAnsi" w:hAnsiTheme="minorHAnsi"/>
          <w:snapToGrid w:val="0"/>
          <w:lang w:val="en-GB"/>
        </w:rPr>
        <w:t xml:space="preserve"> the OZA recommendation and </w:t>
      </w:r>
      <w:r w:rsidR="00FB2630">
        <w:rPr>
          <w:rFonts w:asciiTheme="minorHAnsi" w:hAnsiTheme="minorHAnsi"/>
          <w:snapToGrid w:val="0"/>
          <w:lang w:val="en-GB"/>
        </w:rPr>
        <w:t>considered</w:t>
      </w:r>
      <w:r w:rsidR="00682355">
        <w:rPr>
          <w:rFonts w:asciiTheme="minorHAnsi" w:hAnsiTheme="minorHAnsi"/>
          <w:snapToGrid w:val="0"/>
          <w:lang w:val="en-GB"/>
        </w:rPr>
        <w:t xml:space="preserve"> listing could progress under current arrangements</w:t>
      </w:r>
      <w:r w:rsidR="00870F84">
        <w:rPr>
          <w:rFonts w:asciiTheme="minorHAnsi" w:hAnsiTheme="minorHAnsi"/>
          <w:snapToGrid w:val="0"/>
          <w:lang w:val="en-GB"/>
        </w:rPr>
        <w:t xml:space="preserve"> (</w:t>
      </w:r>
      <w:proofErr w:type="gramStart"/>
      <w:r w:rsidR="00870F84">
        <w:rPr>
          <w:rFonts w:asciiTheme="minorHAnsi" w:hAnsiTheme="minorHAnsi"/>
          <w:snapToGrid w:val="0"/>
          <w:lang w:val="en-GB"/>
        </w:rPr>
        <w:t>i.e.</w:t>
      </w:r>
      <w:proofErr w:type="gramEnd"/>
      <w:r w:rsidR="00870F84">
        <w:rPr>
          <w:rFonts w:asciiTheme="minorHAnsi" w:hAnsiTheme="minorHAnsi"/>
          <w:snapToGrid w:val="0"/>
          <w:lang w:val="en-GB"/>
        </w:rPr>
        <w:t xml:space="preserve"> 3 treatment failures)</w:t>
      </w:r>
      <w:r w:rsidR="00682355">
        <w:rPr>
          <w:rFonts w:asciiTheme="minorHAnsi" w:hAnsiTheme="minorHAnsi"/>
          <w:snapToGrid w:val="0"/>
          <w:lang w:val="en-GB"/>
        </w:rPr>
        <w:t>.</w:t>
      </w:r>
    </w:p>
    <w:p w14:paraId="45691741" w14:textId="59BA5DDB" w:rsidR="006175CC" w:rsidRPr="006175CC" w:rsidRDefault="006175CC" w:rsidP="006175CC">
      <w:pPr>
        <w:pStyle w:val="3-BodyText"/>
        <w:rPr>
          <w:lang w:val="en-GB"/>
        </w:rPr>
      </w:pPr>
      <w:r>
        <w:rPr>
          <w:lang w:val="en-GB"/>
        </w:rPr>
        <w:t xml:space="preserve">The PBAC noted the submission did not request a change to the restriction recommended at the March 2022 meeting </w:t>
      </w:r>
      <w:r w:rsidR="00870F84">
        <w:rPr>
          <w:lang w:val="en-GB"/>
        </w:rPr>
        <w:t>but</w:t>
      </w:r>
      <w:r>
        <w:rPr>
          <w:lang w:val="en-GB"/>
        </w:rPr>
        <w:t xml:space="preserve"> advised</w:t>
      </w:r>
      <w:r w:rsidR="00870F84">
        <w:rPr>
          <w:lang w:val="en-GB"/>
        </w:rPr>
        <w:t xml:space="preserve"> </w:t>
      </w:r>
      <w:r>
        <w:rPr>
          <w:lang w:val="en-GB"/>
        </w:rPr>
        <w:t xml:space="preserve">the restriction </w:t>
      </w:r>
      <w:r w:rsidR="00870F84">
        <w:rPr>
          <w:lang w:val="en-GB"/>
        </w:rPr>
        <w:t xml:space="preserve">corrections suggested by the Secretariat at this November 2022 consideration are </w:t>
      </w:r>
      <w:r>
        <w:rPr>
          <w:lang w:val="en-GB"/>
        </w:rPr>
        <w:t>appropriate</w:t>
      </w:r>
      <w:r w:rsidR="00933776">
        <w:rPr>
          <w:lang w:val="en-GB"/>
        </w:rPr>
        <w:t xml:space="preserve"> (noting a corrigendum was issued after the March 2022 recommendation to account for the titration period in the timing of assessment of response)</w:t>
      </w:r>
      <w:r>
        <w:rPr>
          <w:lang w:val="en-GB"/>
        </w:rPr>
        <w:t xml:space="preserve">. </w:t>
      </w:r>
      <w:r w:rsidRPr="006175CC">
        <w:rPr>
          <w:lang w:val="en-GB"/>
        </w:rPr>
        <w:t>The PBAC noted the flow-on restriction changes previously noted in its March 2022 recommendation for MSUC remained applicable.</w:t>
      </w:r>
    </w:p>
    <w:p w14:paraId="1A20DDA3" w14:textId="1E087479" w:rsidR="003F315D" w:rsidRPr="00E845AD" w:rsidRDefault="003F315D" w:rsidP="00E845AD">
      <w:pPr>
        <w:widowControl w:val="0"/>
        <w:numPr>
          <w:ilvl w:val="1"/>
          <w:numId w:val="1"/>
        </w:numPr>
        <w:spacing w:after="120"/>
        <w:rPr>
          <w:rFonts w:asciiTheme="minorHAnsi" w:hAnsiTheme="minorHAnsi"/>
          <w:bCs/>
          <w:snapToGrid w:val="0"/>
          <w:lang w:val="en-GB"/>
        </w:rPr>
      </w:pPr>
      <w:r w:rsidRPr="00E845AD">
        <w:rPr>
          <w:rFonts w:asciiTheme="minorHAnsi" w:hAnsiTheme="minorHAnsi"/>
          <w:bCs/>
          <w:snapToGrid w:val="0"/>
          <w:lang w:val="en-GB"/>
        </w:rPr>
        <w:t xml:space="preserve">The PBAC noted that its recommendation was on a cost-minimisation basis and advised that, because </w:t>
      </w:r>
      <w:r w:rsidR="00E845AD" w:rsidRPr="00E845AD">
        <w:rPr>
          <w:rFonts w:asciiTheme="minorHAnsi" w:hAnsiTheme="minorHAnsi"/>
          <w:bCs/>
          <w:snapToGrid w:val="0"/>
          <w:lang w:val="en-GB"/>
        </w:rPr>
        <w:t>OZA</w:t>
      </w:r>
      <w:r w:rsidRPr="00E845AD">
        <w:rPr>
          <w:rFonts w:asciiTheme="minorHAnsi" w:hAnsiTheme="minorHAnsi"/>
          <w:bCs/>
          <w:snapToGrid w:val="0"/>
          <w:lang w:val="en-GB"/>
        </w:rPr>
        <w:t xml:space="preserve"> is not expected to provide a substantial and clinically relevant improvement in efficacy, or reduction of toxicity, over </w:t>
      </w:r>
      <w:r w:rsidR="00E845AD" w:rsidRPr="00E845AD">
        <w:rPr>
          <w:rFonts w:asciiTheme="minorHAnsi" w:hAnsiTheme="minorHAnsi"/>
          <w:bCs/>
          <w:snapToGrid w:val="0"/>
          <w:lang w:val="en-GB"/>
        </w:rPr>
        <w:t xml:space="preserve">the alternative </w:t>
      </w:r>
      <w:proofErr w:type="spellStart"/>
      <w:r w:rsidR="00E845AD" w:rsidRPr="00E845AD">
        <w:rPr>
          <w:rFonts w:asciiTheme="minorHAnsi" w:hAnsiTheme="minorHAnsi"/>
          <w:bCs/>
          <w:snapToGrid w:val="0"/>
          <w:lang w:val="en-GB"/>
        </w:rPr>
        <w:t>bDMARDs</w:t>
      </w:r>
      <w:proofErr w:type="spellEnd"/>
      <w:r w:rsidR="00E845AD" w:rsidRPr="00E845AD">
        <w:rPr>
          <w:rFonts w:asciiTheme="minorHAnsi" w:hAnsiTheme="minorHAnsi"/>
          <w:bCs/>
          <w:snapToGrid w:val="0"/>
          <w:lang w:val="en-GB"/>
        </w:rPr>
        <w:t>/</w:t>
      </w:r>
      <w:proofErr w:type="spellStart"/>
      <w:r w:rsidR="00E845AD" w:rsidRPr="00E845AD">
        <w:rPr>
          <w:rFonts w:asciiTheme="minorHAnsi" w:hAnsiTheme="minorHAnsi"/>
          <w:bCs/>
          <w:snapToGrid w:val="0"/>
          <w:lang w:val="en-GB"/>
        </w:rPr>
        <w:t>tsDMARDs</w:t>
      </w:r>
      <w:proofErr w:type="spellEnd"/>
      <w:r w:rsidRPr="00E845AD">
        <w:rPr>
          <w:rFonts w:asciiTheme="minorHAnsi" w:hAnsiTheme="minorHAnsi"/>
          <w:bCs/>
          <w:snapToGrid w:val="0"/>
          <w:lang w:val="en-GB"/>
        </w:rPr>
        <w:t xml:space="preserve">, or not expected to address a high and urgent unmet clinical need given the presence of an alternative therapy, the criteria prescribed by the </w:t>
      </w:r>
      <w:r w:rsidRPr="00176400">
        <w:rPr>
          <w:rFonts w:asciiTheme="minorHAnsi" w:hAnsiTheme="minorHAnsi"/>
          <w:bCs/>
          <w:i/>
          <w:iCs/>
          <w:snapToGrid w:val="0"/>
          <w:lang w:val="en-GB"/>
        </w:rPr>
        <w:t>National Health (Pharmaceuticals and Vaccines – Cost Recovery) Regulations 2022</w:t>
      </w:r>
      <w:r w:rsidRPr="00E845AD">
        <w:rPr>
          <w:rFonts w:asciiTheme="minorHAnsi" w:hAnsiTheme="minorHAnsi"/>
          <w:bCs/>
          <w:snapToGrid w:val="0"/>
          <w:lang w:val="en-GB"/>
        </w:rPr>
        <w:t xml:space="preserve"> for Pricing Pathway A were not met.</w:t>
      </w:r>
    </w:p>
    <w:p w14:paraId="20E2BEFC" w14:textId="77777777" w:rsidR="00E845AD" w:rsidRPr="00E845AD" w:rsidRDefault="003F315D" w:rsidP="00E845AD">
      <w:pPr>
        <w:widowControl w:val="0"/>
        <w:numPr>
          <w:ilvl w:val="1"/>
          <w:numId w:val="1"/>
        </w:numPr>
        <w:spacing w:after="120"/>
        <w:rPr>
          <w:rFonts w:asciiTheme="minorHAnsi" w:hAnsiTheme="minorHAnsi"/>
          <w:b/>
          <w:bCs/>
          <w:snapToGrid w:val="0"/>
          <w:lang w:val="en-GB"/>
        </w:rPr>
      </w:pPr>
      <w:r w:rsidRPr="00525B39">
        <w:rPr>
          <w:rFonts w:asciiTheme="minorHAnsi" w:hAnsiTheme="minorHAnsi"/>
          <w:bCs/>
          <w:snapToGrid w:val="0"/>
          <w:lang w:val="en-GB"/>
        </w:rPr>
        <w:t>The PBAC noted that this submission is not eligible for an Independent Review</w:t>
      </w:r>
      <w:r w:rsidR="00E845AD">
        <w:rPr>
          <w:rFonts w:asciiTheme="minorHAnsi" w:hAnsiTheme="minorHAnsi"/>
          <w:bCs/>
          <w:snapToGrid w:val="0"/>
          <w:lang w:val="en-GB"/>
        </w:rPr>
        <w:t xml:space="preserve"> as it received a positive recommendation</w:t>
      </w:r>
      <w:r w:rsidRPr="00525B39">
        <w:rPr>
          <w:rFonts w:asciiTheme="minorHAnsi" w:hAnsiTheme="minorHAnsi"/>
          <w:bCs/>
          <w:snapToGrid w:val="0"/>
          <w:lang w:val="en-GB"/>
        </w:rPr>
        <w:t xml:space="preserve">. </w:t>
      </w:r>
    </w:p>
    <w:p w14:paraId="5BA79E4B" w14:textId="7A056C5F" w:rsidR="003F315D" w:rsidRPr="00E845AD" w:rsidRDefault="003F315D" w:rsidP="00E845AD">
      <w:pPr>
        <w:widowControl w:val="0"/>
        <w:spacing w:after="120"/>
        <w:rPr>
          <w:rFonts w:asciiTheme="minorHAnsi" w:hAnsiTheme="minorHAnsi"/>
          <w:b/>
          <w:bCs/>
          <w:snapToGrid w:val="0"/>
          <w:lang w:val="en-GB"/>
        </w:rPr>
      </w:pPr>
      <w:r w:rsidRPr="00525B39">
        <w:rPr>
          <w:rFonts w:asciiTheme="minorHAnsi" w:hAnsiTheme="minorHAnsi"/>
          <w:b/>
          <w:bCs/>
          <w:snapToGrid w:val="0"/>
          <w:lang w:val="en-GB"/>
        </w:rPr>
        <w:t>Outcome:</w:t>
      </w:r>
      <w:r w:rsidR="00E845AD">
        <w:rPr>
          <w:rFonts w:asciiTheme="minorHAnsi" w:hAnsiTheme="minorHAnsi"/>
          <w:b/>
          <w:bCs/>
          <w:snapToGrid w:val="0"/>
          <w:lang w:val="en-GB"/>
        </w:rPr>
        <w:t xml:space="preserve"> </w:t>
      </w:r>
      <w:r w:rsidR="00E845AD">
        <w:rPr>
          <w:rFonts w:asciiTheme="minorHAnsi" w:hAnsiTheme="minorHAnsi"/>
          <w:b/>
          <w:bCs/>
          <w:snapToGrid w:val="0"/>
          <w:lang w:val="en-GB"/>
        </w:rPr>
        <w:br/>
      </w:r>
      <w:r w:rsidRPr="00525B39">
        <w:rPr>
          <w:rFonts w:asciiTheme="minorHAnsi" w:hAnsiTheme="minorHAnsi"/>
          <w:bCs/>
          <w:snapToGrid w:val="0"/>
          <w:lang w:val="en-GB"/>
        </w:rPr>
        <w:t xml:space="preserve">Recommended </w:t>
      </w:r>
    </w:p>
    <w:p w14:paraId="7E35C7CA" w14:textId="49CB801F" w:rsidR="008B418A" w:rsidRDefault="008B418A">
      <w:pPr>
        <w:jc w:val="left"/>
        <w:rPr>
          <w:rFonts w:asciiTheme="minorHAnsi" w:hAnsiTheme="minorHAnsi"/>
          <w:b/>
          <w:bCs/>
          <w:snapToGrid w:val="0"/>
        </w:rPr>
      </w:pPr>
    </w:p>
    <w:bookmarkEnd w:id="47"/>
    <w:p w14:paraId="7AF847D5" w14:textId="77777777" w:rsidR="003F315D" w:rsidRPr="00103DFB" w:rsidRDefault="003F315D" w:rsidP="00103DFB">
      <w:pPr>
        <w:pStyle w:val="2-SectionHeading"/>
        <w:numPr>
          <w:ilvl w:val="0"/>
          <w:numId w:val="1"/>
        </w:numPr>
      </w:pPr>
      <w:r w:rsidRPr="00103DFB">
        <w:t>Recommended listing</w:t>
      </w:r>
    </w:p>
    <w:p w14:paraId="76ABAF91" w14:textId="3A443037" w:rsidR="003F315D" w:rsidRPr="00596DF9" w:rsidRDefault="003F315D" w:rsidP="00F9776F">
      <w:pPr>
        <w:widowControl w:val="0"/>
        <w:numPr>
          <w:ilvl w:val="1"/>
          <w:numId w:val="1"/>
        </w:numPr>
        <w:spacing w:after="120"/>
        <w:contextualSpacing/>
        <w:rPr>
          <w:rFonts w:asciiTheme="minorHAnsi" w:hAnsiTheme="minorHAnsi"/>
          <w:b/>
          <w:bCs/>
          <w:snapToGrid w:val="0"/>
        </w:rPr>
      </w:pPr>
      <w:r w:rsidRPr="00F9776F">
        <w:rPr>
          <w:rFonts w:asciiTheme="minorHAnsi" w:hAnsiTheme="minorHAnsi"/>
          <w:bCs/>
          <w:snapToGrid w:val="0"/>
        </w:rPr>
        <w:t xml:space="preserve">Add </w:t>
      </w:r>
      <w:r w:rsidR="00870F84">
        <w:rPr>
          <w:rFonts w:asciiTheme="minorHAnsi" w:hAnsiTheme="minorHAnsi"/>
          <w:bCs/>
          <w:snapToGrid w:val="0"/>
        </w:rPr>
        <w:t>indication as follows</w:t>
      </w:r>
      <w:r w:rsidR="00063566">
        <w:rPr>
          <w:rFonts w:asciiTheme="minorHAnsi" w:hAnsiTheme="minorHAnsi"/>
          <w:bCs/>
          <w:snapToGrid w:val="0"/>
        </w:rPr>
        <w:t>:</w:t>
      </w:r>
    </w:p>
    <w:bookmarkEnd w:id="48"/>
    <w:tbl>
      <w:tblPr>
        <w:tblStyle w:val="HTATableshaded"/>
        <w:tblW w:w="9209" w:type="dxa"/>
        <w:tblLayout w:type="fixed"/>
        <w:tblLook w:val="04A0" w:firstRow="1" w:lastRow="0" w:firstColumn="1" w:lastColumn="0" w:noHBand="0" w:noVBand="1"/>
      </w:tblPr>
      <w:tblGrid>
        <w:gridCol w:w="1129"/>
        <w:gridCol w:w="2831"/>
        <w:gridCol w:w="992"/>
        <w:gridCol w:w="849"/>
        <w:gridCol w:w="709"/>
        <w:gridCol w:w="709"/>
        <w:gridCol w:w="1990"/>
      </w:tblGrid>
      <w:tr w:rsidR="00870F84" w:rsidRPr="00870F84" w14:paraId="4FE52A65" w14:textId="77777777" w:rsidTr="006D1A95">
        <w:trPr>
          <w:cnfStyle w:val="100000000000" w:firstRow="1" w:lastRow="0" w:firstColumn="0" w:lastColumn="0" w:oddVBand="0" w:evenVBand="0" w:oddHBand="0" w:evenHBand="0" w:firstRowFirstColumn="0" w:firstRowLastColumn="0" w:lastRowFirstColumn="0" w:lastRowLastColumn="0"/>
          <w:trHeight w:val="471"/>
        </w:trPr>
        <w:tc>
          <w:tcPr>
            <w:tcW w:w="3960" w:type="dxa"/>
            <w:gridSpan w:val="2"/>
            <w:hideMark/>
          </w:tcPr>
          <w:p w14:paraId="651AE465" w14:textId="79ABE420" w:rsidR="00870F84" w:rsidRPr="00870F84" w:rsidRDefault="00D55AC3" w:rsidP="00870F84">
            <w:pPr>
              <w:keepNext/>
              <w:ind w:left="-57"/>
              <w:jc w:val="left"/>
              <w:rPr>
                <w:rFonts w:ascii="Arial Narrow" w:hAnsi="Arial Narrow" w:cs="Times New Roman"/>
                <w:b/>
                <w:bCs/>
                <w:sz w:val="18"/>
                <w:szCs w:val="18"/>
              </w:rPr>
            </w:pPr>
            <w:r>
              <w:br w:type="page"/>
            </w:r>
            <w:bookmarkEnd w:id="46"/>
            <w:r w:rsidR="00870F84" w:rsidRPr="00870F84">
              <w:rPr>
                <w:rFonts w:ascii="Arial Narrow" w:hAnsi="Arial Narrow" w:cs="Times New Roman"/>
                <w:b/>
                <w:bCs/>
                <w:sz w:val="18"/>
                <w:szCs w:val="18"/>
              </w:rPr>
              <w:t>MEDICINAL PRODUCT</w:t>
            </w:r>
          </w:p>
          <w:p w14:paraId="53B8D3FA" w14:textId="77777777" w:rsidR="00870F84" w:rsidRPr="00870F84" w:rsidRDefault="00870F84" w:rsidP="00870F84">
            <w:pPr>
              <w:keepNext/>
              <w:ind w:left="-57"/>
              <w:jc w:val="left"/>
              <w:rPr>
                <w:rFonts w:ascii="Arial Narrow" w:hAnsi="Arial Narrow" w:cs="Times New Roman"/>
                <w:b/>
                <w:sz w:val="18"/>
                <w:szCs w:val="18"/>
              </w:rPr>
            </w:pPr>
            <w:r w:rsidRPr="00870F84">
              <w:rPr>
                <w:rFonts w:ascii="Arial Narrow" w:hAnsi="Arial Narrow" w:cs="Times New Roman"/>
                <w:b/>
                <w:bCs/>
                <w:sz w:val="18"/>
                <w:szCs w:val="18"/>
              </w:rPr>
              <w:t>medicinal product pack</w:t>
            </w:r>
          </w:p>
        </w:tc>
        <w:tc>
          <w:tcPr>
            <w:tcW w:w="992" w:type="dxa"/>
            <w:hideMark/>
          </w:tcPr>
          <w:p w14:paraId="74A8FD20" w14:textId="77777777" w:rsidR="00870F84" w:rsidRPr="00870F84" w:rsidRDefault="00870F84" w:rsidP="00870F84">
            <w:pPr>
              <w:keepNext/>
              <w:ind w:left="-108"/>
              <w:jc w:val="center"/>
              <w:rPr>
                <w:rFonts w:ascii="Arial Narrow" w:hAnsi="Arial Narrow" w:cs="Times New Roman"/>
                <w:b/>
                <w:sz w:val="18"/>
                <w:szCs w:val="18"/>
              </w:rPr>
            </w:pPr>
            <w:r w:rsidRPr="00870F84">
              <w:rPr>
                <w:rFonts w:ascii="Arial Narrow" w:hAnsi="Arial Narrow" w:cs="Times New Roman"/>
                <w:b/>
                <w:sz w:val="18"/>
                <w:szCs w:val="18"/>
              </w:rPr>
              <w:t>PBS item code</w:t>
            </w:r>
          </w:p>
        </w:tc>
        <w:tc>
          <w:tcPr>
            <w:tcW w:w="849" w:type="dxa"/>
            <w:hideMark/>
          </w:tcPr>
          <w:p w14:paraId="1203B6A1" w14:textId="77777777" w:rsidR="00870F84" w:rsidRPr="00870F84" w:rsidRDefault="00870F84" w:rsidP="00870F84">
            <w:pPr>
              <w:keepNext/>
              <w:ind w:left="-108"/>
              <w:jc w:val="center"/>
              <w:rPr>
                <w:rFonts w:ascii="Arial Narrow" w:hAnsi="Arial Narrow" w:cs="Times New Roman"/>
                <w:b/>
                <w:sz w:val="18"/>
                <w:szCs w:val="18"/>
              </w:rPr>
            </w:pPr>
            <w:r w:rsidRPr="00870F84">
              <w:rPr>
                <w:rFonts w:ascii="Arial Narrow" w:hAnsi="Arial Narrow" w:cs="Times New Roman"/>
                <w:b/>
                <w:sz w:val="18"/>
                <w:szCs w:val="18"/>
              </w:rPr>
              <w:t>Max. qty packs</w:t>
            </w:r>
          </w:p>
        </w:tc>
        <w:tc>
          <w:tcPr>
            <w:tcW w:w="709" w:type="dxa"/>
            <w:hideMark/>
          </w:tcPr>
          <w:p w14:paraId="3381F7A9" w14:textId="77777777" w:rsidR="00870F84" w:rsidRPr="00870F84" w:rsidRDefault="00870F84" w:rsidP="00870F84">
            <w:pPr>
              <w:keepNext/>
              <w:ind w:left="-108"/>
              <w:jc w:val="center"/>
              <w:rPr>
                <w:rFonts w:ascii="Arial Narrow" w:hAnsi="Arial Narrow" w:cs="Times New Roman"/>
                <w:b/>
                <w:sz w:val="18"/>
                <w:szCs w:val="18"/>
              </w:rPr>
            </w:pPr>
            <w:r w:rsidRPr="00870F84">
              <w:rPr>
                <w:rFonts w:ascii="Arial Narrow" w:hAnsi="Arial Narrow" w:cs="Times New Roman"/>
                <w:b/>
                <w:sz w:val="18"/>
                <w:szCs w:val="18"/>
              </w:rPr>
              <w:t>Max. qty units</w:t>
            </w:r>
          </w:p>
        </w:tc>
        <w:tc>
          <w:tcPr>
            <w:tcW w:w="709" w:type="dxa"/>
            <w:hideMark/>
          </w:tcPr>
          <w:p w14:paraId="1C06D893" w14:textId="77777777" w:rsidR="00870F84" w:rsidRPr="00870F84" w:rsidRDefault="00870F84" w:rsidP="00870F84">
            <w:pPr>
              <w:keepNext/>
              <w:ind w:left="-108"/>
              <w:jc w:val="center"/>
              <w:rPr>
                <w:rFonts w:ascii="Arial Narrow" w:hAnsi="Arial Narrow" w:cs="Times New Roman"/>
                <w:b/>
                <w:sz w:val="18"/>
                <w:szCs w:val="18"/>
              </w:rPr>
            </w:pPr>
            <w:r w:rsidRPr="00870F84">
              <w:rPr>
                <w:rFonts w:ascii="Arial Narrow" w:hAnsi="Arial Narrow" w:cs="Times New Roman"/>
                <w:b/>
                <w:sz w:val="18"/>
                <w:szCs w:val="18"/>
              </w:rPr>
              <w:t>№.of</w:t>
            </w:r>
          </w:p>
          <w:p w14:paraId="4DAF527F" w14:textId="77777777" w:rsidR="00870F84" w:rsidRPr="00870F84" w:rsidRDefault="00870F84" w:rsidP="00870F84">
            <w:pPr>
              <w:keepNext/>
              <w:ind w:left="-108"/>
              <w:jc w:val="center"/>
              <w:rPr>
                <w:rFonts w:ascii="Arial Narrow" w:hAnsi="Arial Narrow" w:cs="Times New Roman"/>
                <w:b/>
                <w:sz w:val="18"/>
                <w:szCs w:val="18"/>
              </w:rPr>
            </w:pPr>
            <w:r w:rsidRPr="00870F84">
              <w:rPr>
                <w:rFonts w:ascii="Arial Narrow" w:hAnsi="Arial Narrow" w:cs="Times New Roman"/>
                <w:b/>
                <w:sz w:val="18"/>
                <w:szCs w:val="18"/>
              </w:rPr>
              <w:t>Rpts</w:t>
            </w:r>
          </w:p>
        </w:tc>
        <w:tc>
          <w:tcPr>
            <w:tcW w:w="1990" w:type="dxa"/>
            <w:hideMark/>
          </w:tcPr>
          <w:p w14:paraId="59FCBCD5" w14:textId="77777777" w:rsidR="00870F84" w:rsidRPr="00870F84" w:rsidRDefault="00870F84" w:rsidP="00870F84">
            <w:pPr>
              <w:keepNext/>
              <w:jc w:val="left"/>
              <w:rPr>
                <w:rFonts w:ascii="Arial Narrow" w:hAnsi="Arial Narrow" w:cs="Times New Roman"/>
                <w:b/>
                <w:sz w:val="18"/>
                <w:szCs w:val="18"/>
                <w:lang w:val="fr-FR"/>
              </w:rPr>
            </w:pPr>
            <w:r w:rsidRPr="00870F84">
              <w:rPr>
                <w:rFonts w:ascii="Arial Narrow" w:hAnsi="Arial Narrow" w:cs="Times New Roman"/>
                <w:b/>
                <w:sz w:val="18"/>
                <w:szCs w:val="18"/>
              </w:rPr>
              <w:t>Available brands</w:t>
            </w:r>
          </w:p>
        </w:tc>
      </w:tr>
      <w:tr w:rsidR="00870F84" w:rsidRPr="00870F84" w14:paraId="5B98651B" w14:textId="77777777" w:rsidTr="006D1A95">
        <w:trPr>
          <w:trHeight w:val="83"/>
        </w:trPr>
        <w:tc>
          <w:tcPr>
            <w:tcW w:w="9209" w:type="dxa"/>
            <w:gridSpan w:val="7"/>
            <w:hideMark/>
          </w:tcPr>
          <w:p w14:paraId="25983790" w14:textId="77777777" w:rsidR="00870F84" w:rsidRPr="00870F84" w:rsidRDefault="00870F84" w:rsidP="00870F84">
            <w:pPr>
              <w:keepNext/>
              <w:ind w:left="-57"/>
              <w:jc w:val="left"/>
              <w:rPr>
                <w:rFonts w:ascii="Arial Narrow" w:eastAsia="Calibri" w:hAnsi="Arial Narrow" w:cs="Times New Roman"/>
                <w:sz w:val="18"/>
                <w:szCs w:val="18"/>
              </w:rPr>
            </w:pPr>
            <w:r w:rsidRPr="00870F84">
              <w:rPr>
                <w:rFonts w:ascii="Arial Narrow" w:eastAsia="Calibri" w:hAnsi="Arial Narrow" w:cs="Times New Roman"/>
                <w:sz w:val="18"/>
                <w:szCs w:val="18"/>
              </w:rPr>
              <w:t>OZANIMOD</w:t>
            </w:r>
          </w:p>
        </w:tc>
      </w:tr>
      <w:tr w:rsidR="00870F84" w:rsidRPr="00870F84" w14:paraId="383E1F90" w14:textId="77777777" w:rsidTr="006D1A95">
        <w:trPr>
          <w:trHeight w:val="270"/>
        </w:trPr>
        <w:tc>
          <w:tcPr>
            <w:tcW w:w="3960" w:type="dxa"/>
            <w:gridSpan w:val="2"/>
            <w:hideMark/>
          </w:tcPr>
          <w:p w14:paraId="006B95D4" w14:textId="77777777" w:rsidR="00870F84" w:rsidRPr="00870F84" w:rsidRDefault="00870F84" w:rsidP="00870F84">
            <w:pPr>
              <w:keepNext/>
              <w:ind w:left="-57"/>
              <w:jc w:val="left"/>
              <w:rPr>
                <w:rFonts w:ascii="Arial Narrow" w:hAnsi="Arial Narrow" w:cs="Times New Roman"/>
                <w:sz w:val="18"/>
                <w:szCs w:val="18"/>
              </w:rPr>
            </w:pPr>
            <w:r w:rsidRPr="00870F84">
              <w:rPr>
                <w:rFonts w:ascii="Arial Narrow" w:hAnsi="Arial Narrow" w:cs="Times New Roman"/>
                <w:sz w:val="18"/>
                <w:szCs w:val="18"/>
              </w:rPr>
              <w:t xml:space="preserve">ozanimod 920 </w:t>
            </w:r>
            <w:r w:rsidRPr="00870F84">
              <w:rPr>
                <w:rFonts w:ascii="Arial Narrow" w:hAnsi="Arial Narrow" w:cs="Calibri"/>
                <w:color w:val="222222"/>
                <w:sz w:val="18"/>
                <w:szCs w:val="18"/>
                <w:bdr w:val="none" w:sz="0" w:space="0" w:color="auto" w:frame="1"/>
              </w:rPr>
              <w:t xml:space="preserve">microgram </w:t>
            </w:r>
            <w:r w:rsidRPr="00870F84">
              <w:rPr>
                <w:rFonts w:ascii="Arial Narrow" w:hAnsi="Arial Narrow" w:cs="Times New Roman"/>
                <w:sz w:val="18"/>
                <w:szCs w:val="18"/>
              </w:rPr>
              <w:t xml:space="preserve">capsule, 28 </w:t>
            </w:r>
          </w:p>
        </w:tc>
        <w:tc>
          <w:tcPr>
            <w:tcW w:w="992" w:type="dxa"/>
            <w:hideMark/>
          </w:tcPr>
          <w:p w14:paraId="3A5F9166" w14:textId="77777777" w:rsidR="00870F84" w:rsidRPr="00870F84" w:rsidRDefault="00870F84" w:rsidP="00870F84">
            <w:pPr>
              <w:keepNext/>
              <w:jc w:val="center"/>
              <w:rPr>
                <w:rFonts w:ascii="Arial Narrow" w:hAnsi="Arial Narrow" w:cs="Times New Roman"/>
                <w:sz w:val="18"/>
                <w:szCs w:val="18"/>
              </w:rPr>
            </w:pPr>
            <w:r w:rsidRPr="00870F84">
              <w:rPr>
                <w:rFonts w:ascii="Arial Narrow" w:hAnsi="Arial Narrow" w:cs="Times New Roman"/>
                <w:sz w:val="18"/>
                <w:szCs w:val="18"/>
              </w:rPr>
              <w:t>NEW</w:t>
            </w:r>
          </w:p>
        </w:tc>
        <w:tc>
          <w:tcPr>
            <w:tcW w:w="849" w:type="dxa"/>
            <w:hideMark/>
          </w:tcPr>
          <w:p w14:paraId="7F59D669" w14:textId="77777777" w:rsidR="00870F84" w:rsidRPr="00870F84" w:rsidRDefault="00870F84" w:rsidP="00870F84">
            <w:pPr>
              <w:keepNext/>
              <w:jc w:val="center"/>
              <w:rPr>
                <w:rFonts w:ascii="Arial Narrow" w:hAnsi="Arial Narrow" w:cs="Times New Roman"/>
                <w:sz w:val="18"/>
                <w:szCs w:val="18"/>
              </w:rPr>
            </w:pPr>
            <w:r w:rsidRPr="00870F84">
              <w:rPr>
                <w:rFonts w:ascii="Arial Narrow" w:hAnsi="Arial Narrow" w:cs="Times New Roman"/>
                <w:sz w:val="18"/>
                <w:szCs w:val="18"/>
              </w:rPr>
              <w:t>1</w:t>
            </w:r>
          </w:p>
        </w:tc>
        <w:tc>
          <w:tcPr>
            <w:tcW w:w="709" w:type="dxa"/>
            <w:hideMark/>
          </w:tcPr>
          <w:p w14:paraId="34837614" w14:textId="77777777" w:rsidR="00870F84" w:rsidRPr="00870F84" w:rsidRDefault="00870F84" w:rsidP="00870F84">
            <w:pPr>
              <w:keepNext/>
              <w:jc w:val="center"/>
              <w:rPr>
                <w:rFonts w:ascii="Arial Narrow" w:hAnsi="Arial Narrow" w:cs="Times New Roman"/>
                <w:sz w:val="18"/>
                <w:szCs w:val="18"/>
              </w:rPr>
            </w:pPr>
            <w:r w:rsidRPr="00870F84">
              <w:rPr>
                <w:rFonts w:ascii="Arial Narrow" w:hAnsi="Arial Narrow" w:cs="Times New Roman"/>
                <w:sz w:val="18"/>
                <w:szCs w:val="18"/>
              </w:rPr>
              <w:t>28</w:t>
            </w:r>
          </w:p>
        </w:tc>
        <w:tc>
          <w:tcPr>
            <w:tcW w:w="709" w:type="dxa"/>
            <w:hideMark/>
          </w:tcPr>
          <w:p w14:paraId="3255A187" w14:textId="77777777" w:rsidR="00870F84" w:rsidRPr="00870F84" w:rsidRDefault="00870F84" w:rsidP="00870F84">
            <w:pPr>
              <w:keepNext/>
              <w:jc w:val="center"/>
              <w:rPr>
                <w:rFonts w:ascii="Arial Narrow" w:hAnsi="Arial Narrow" w:cs="Times New Roman"/>
                <w:sz w:val="18"/>
                <w:szCs w:val="18"/>
              </w:rPr>
            </w:pPr>
            <w:r w:rsidRPr="00870F84">
              <w:rPr>
                <w:rFonts w:ascii="Arial Narrow" w:hAnsi="Arial Narrow" w:cs="Times New Roman"/>
                <w:sz w:val="18"/>
                <w:szCs w:val="18"/>
              </w:rPr>
              <w:t>3</w:t>
            </w:r>
          </w:p>
        </w:tc>
        <w:tc>
          <w:tcPr>
            <w:tcW w:w="1990" w:type="dxa"/>
            <w:hideMark/>
          </w:tcPr>
          <w:p w14:paraId="1A227DBB" w14:textId="77777777" w:rsidR="00870F84" w:rsidRPr="00870F84" w:rsidRDefault="00870F84" w:rsidP="00870F84">
            <w:pPr>
              <w:keepNext/>
              <w:jc w:val="left"/>
              <w:rPr>
                <w:rFonts w:ascii="Arial Narrow" w:hAnsi="Arial Narrow" w:cs="Times New Roman"/>
                <w:sz w:val="18"/>
                <w:szCs w:val="18"/>
              </w:rPr>
            </w:pPr>
            <w:proofErr w:type="spellStart"/>
            <w:r w:rsidRPr="00870F84">
              <w:rPr>
                <w:rFonts w:ascii="Arial Narrow" w:hAnsi="Arial Narrow" w:cs="Times New Roman"/>
                <w:sz w:val="18"/>
                <w:szCs w:val="18"/>
              </w:rPr>
              <w:t>Zeposia</w:t>
            </w:r>
            <w:proofErr w:type="spellEnd"/>
          </w:p>
        </w:tc>
      </w:tr>
      <w:tr w:rsidR="00870F84" w:rsidRPr="00870F84" w14:paraId="68A6AD65" w14:textId="77777777" w:rsidTr="006D1A95">
        <w:tc>
          <w:tcPr>
            <w:tcW w:w="9209" w:type="dxa"/>
            <w:gridSpan w:val="7"/>
            <w:hideMark/>
          </w:tcPr>
          <w:p w14:paraId="457D07F2" w14:textId="77777777" w:rsidR="00870F84" w:rsidRPr="00870F84" w:rsidRDefault="00870F84" w:rsidP="00870F84">
            <w:pPr>
              <w:spacing w:line="256" w:lineRule="auto"/>
              <w:jc w:val="left"/>
              <w:rPr>
                <w:rFonts w:ascii="Arial Narrow" w:hAnsi="Arial Narrow" w:cs="Times New Roman"/>
                <w:sz w:val="18"/>
                <w:szCs w:val="18"/>
              </w:rPr>
            </w:pPr>
          </w:p>
        </w:tc>
      </w:tr>
      <w:tr w:rsidR="00870F84" w:rsidRPr="00870F84" w14:paraId="6D522EA1" w14:textId="77777777" w:rsidTr="006D1A95">
        <w:tc>
          <w:tcPr>
            <w:tcW w:w="9209" w:type="dxa"/>
            <w:gridSpan w:val="7"/>
            <w:hideMark/>
          </w:tcPr>
          <w:p w14:paraId="5D56FDC4" w14:textId="2E974C8D" w:rsidR="00870F84" w:rsidRPr="00870F84" w:rsidRDefault="00870F84" w:rsidP="00870F84">
            <w:pPr>
              <w:spacing w:line="256" w:lineRule="auto"/>
              <w:jc w:val="left"/>
              <w:rPr>
                <w:rFonts w:ascii="Arial Narrow" w:hAnsi="Arial Narrow" w:cs="Times New Roman"/>
                <w:b/>
                <w:sz w:val="18"/>
                <w:szCs w:val="18"/>
              </w:rPr>
            </w:pPr>
            <w:r w:rsidRPr="00870F84">
              <w:rPr>
                <w:rFonts w:ascii="Arial Narrow" w:hAnsi="Arial Narrow" w:cs="Times New Roman"/>
                <w:b/>
                <w:sz w:val="18"/>
                <w:szCs w:val="18"/>
              </w:rPr>
              <w:t xml:space="preserve">Restriction Summary </w:t>
            </w:r>
            <w:r w:rsidR="00960FD9" w:rsidRPr="00960FD9">
              <w:rPr>
                <w:rFonts w:ascii="Arial Narrow" w:hAnsi="Arial Narrow" w:cs="Times New Roman"/>
                <w:b/>
                <w:sz w:val="18"/>
                <w:szCs w:val="18"/>
              </w:rPr>
              <w:t>[NEW]</w:t>
            </w:r>
            <w:r w:rsidRPr="00870F84">
              <w:rPr>
                <w:rFonts w:ascii="Arial Narrow" w:hAnsi="Arial Narrow" w:cs="Times New Roman"/>
                <w:b/>
                <w:sz w:val="18"/>
                <w:szCs w:val="18"/>
              </w:rPr>
              <w:t xml:space="preserve"> / Treatment of Concept: </w:t>
            </w:r>
            <w:r w:rsidR="00960FD9">
              <w:rPr>
                <w:rFonts w:ascii="Arial Narrow" w:hAnsi="Arial Narrow" w:cs="Times New Roman"/>
                <w:b/>
                <w:sz w:val="18"/>
                <w:szCs w:val="18"/>
              </w:rPr>
              <w:t>[</w:t>
            </w:r>
            <w:r w:rsidR="00960FD9" w:rsidRPr="00960FD9">
              <w:rPr>
                <w:rFonts w:ascii="Arial Narrow" w:hAnsi="Arial Narrow" w:cs="Times New Roman"/>
                <w:b/>
                <w:sz w:val="18"/>
                <w:szCs w:val="18"/>
              </w:rPr>
              <w:t>NEW</w:t>
            </w:r>
            <w:r w:rsidR="00960FD9">
              <w:rPr>
                <w:rFonts w:ascii="Arial Narrow" w:hAnsi="Arial Narrow" w:cs="Times New Roman"/>
                <w:b/>
                <w:sz w:val="18"/>
                <w:szCs w:val="18"/>
              </w:rPr>
              <w:t>]</w:t>
            </w:r>
          </w:p>
        </w:tc>
      </w:tr>
      <w:tr w:rsidR="00870F84" w:rsidRPr="00870F84" w14:paraId="5B9415E0" w14:textId="77777777" w:rsidTr="006D1A95">
        <w:tc>
          <w:tcPr>
            <w:tcW w:w="1129" w:type="dxa"/>
            <w:vMerge w:val="restart"/>
          </w:tcPr>
          <w:p w14:paraId="04D3BBF2" w14:textId="77777777" w:rsidR="00870F84" w:rsidRPr="00870F84" w:rsidRDefault="00870F84" w:rsidP="00870F84">
            <w:pPr>
              <w:spacing w:line="256" w:lineRule="auto"/>
              <w:jc w:val="center"/>
              <w:rPr>
                <w:rFonts w:ascii="Arial Narrow" w:hAnsi="Arial Narrow" w:cs="Times New Roman"/>
                <w:b/>
                <w:sz w:val="18"/>
                <w:szCs w:val="18"/>
              </w:rPr>
            </w:pPr>
            <w:r w:rsidRPr="00870F84">
              <w:rPr>
                <w:rFonts w:ascii="Arial Narrow" w:hAnsi="Arial Narrow" w:cs="Times New Roman"/>
                <w:b/>
                <w:sz w:val="18"/>
                <w:szCs w:val="18"/>
              </w:rPr>
              <w:t>Concept ID</w:t>
            </w:r>
          </w:p>
          <w:p w14:paraId="49DDE44B" w14:textId="77777777" w:rsidR="00870F84" w:rsidRPr="00870F84" w:rsidRDefault="00870F84" w:rsidP="00870F84">
            <w:pPr>
              <w:spacing w:line="256" w:lineRule="auto"/>
              <w:jc w:val="center"/>
              <w:rPr>
                <w:rFonts w:ascii="Arial Narrow" w:hAnsi="Arial Narrow" w:cs="Times New Roman"/>
                <w:sz w:val="18"/>
                <w:szCs w:val="18"/>
              </w:rPr>
            </w:pPr>
            <w:r w:rsidRPr="00870F84">
              <w:rPr>
                <w:rFonts w:ascii="Arial Narrow" w:hAnsi="Arial Narrow" w:cs="Times New Roman"/>
                <w:sz w:val="18"/>
                <w:szCs w:val="18"/>
              </w:rPr>
              <w:t>(</w:t>
            </w:r>
            <w:proofErr w:type="gramStart"/>
            <w:r w:rsidRPr="00870F84">
              <w:rPr>
                <w:rFonts w:ascii="Arial Narrow" w:hAnsi="Arial Narrow" w:cs="Times New Roman"/>
                <w:sz w:val="18"/>
                <w:szCs w:val="18"/>
              </w:rPr>
              <w:t>for</w:t>
            </w:r>
            <w:proofErr w:type="gramEnd"/>
            <w:r w:rsidRPr="00870F84">
              <w:rPr>
                <w:rFonts w:ascii="Arial Narrow" w:hAnsi="Arial Narrow" w:cs="Times New Roman"/>
                <w:sz w:val="18"/>
                <w:szCs w:val="18"/>
              </w:rPr>
              <w:t xml:space="preserve"> internal Dept. use)</w:t>
            </w:r>
          </w:p>
        </w:tc>
        <w:tc>
          <w:tcPr>
            <w:tcW w:w="8080" w:type="dxa"/>
            <w:gridSpan w:val="6"/>
            <w:hideMark/>
          </w:tcPr>
          <w:p w14:paraId="608BDF9F" w14:textId="1C35AF97" w:rsidR="00870F84" w:rsidRPr="00870F84" w:rsidRDefault="00870F84" w:rsidP="00870F84">
            <w:pPr>
              <w:spacing w:line="256" w:lineRule="auto"/>
              <w:jc w:val="left"/>
              <w:rPr>
                <w:rFonts w:ascii="Arial Narrow" w:hAnsi="Arial Narrow" w:cs="Times New Roman"/>
                <w:sz w:val="18"/>
                <w:szCs w:val="18"/>
              </w:rPr>
            </w:pPr>
            <w:r w:rsidRPr="00870F84">
              <w:rPr>
                <w:rFonts w:ascii="Arial Narrow" w:hAnsi="Arial Narrow" w:cs="Times New Roman"/>
                <w:b/>
                <w:sz w:val="18"/>
                <w:szCs w:val="18"/>
              </w:rPr>
              <w:t xml:space="preserve">Category / Program:  </w:t>
            </w:r>
            <w:r w:rsidRPr="00870F84">
              <w:rPr>
                <w:rFonts w:ascii="Arial Narrow" w:hAnsi="Arial Narrow" w:cs="Times New Roman"/>
                <w:sz w:val="18"/>
                <w:szCs w:val="18"/>
              </w:rPr>
              <w:t>GENERAL – General Schedule (Code GE)</w:t>
            </w:r>
            <w:r w:rsidRPr="00870F84">
              <w:rPr>
                <w:rFonts w:ascii="Arial Narrow" w:hAnsi="Arial Narrow" w:cs="Times New Roman"/>
                <w:color w:val="FF0000"/>
                <w:sz w:val="18"/>
                <w:szCs w:val="18"/>
              </w:rPr>
              <w:t xml:space="preserve"> </w:t>
            </w:r>
          </w:p>
          <w:p w14:paraId="710EB073" w14:textId="77777777" w:rsidR="00870F84" w:rsidRPr="00870F84" w:rsidRDefault="00870F84" w:rsidP="00870F84">
            <w:pPr>
              <w:spacing w:line="256" w:lineRule="auto"/>
              <w:jc w:val="left"/>
              <w:rPr>
                <w:rFonts w:ascii="Arial Narrow" w:hAnsi="Arial Narrow" w:cs="Times New Roman"/>
                <w:sz w:val="18"/>
                <w:szCs w:val="18"/>
              </w:rPr>
            </w:pPr>
          </w:p>
        </w:tc>
      </w:tr>
      <w:tr w:rsidR="00870F84" w:rsidRPr="00870F84" w14:paraId="195EC3B0" w14:textId="77777777" w:rsidTr="006D1A95">
        <w:trPr>
          <w:trHeight w:val="240"/>
        </w:trPr>
        <w:tc>
          <w:tcPr>
            <w:tcW w:w="1129" w:type="dxa"/>
            <w:vMerge/>
            <w:hideMark/>
          </w:tcPr>
          <w:p w14:paraId="5B181401" w14:textId="77777777" w:rsidR="00870F84" w:rsidRPr="00870F84" w:rsidRDefault="00870F84" w:rsidP="00870F84">
            <w:pPr>
              <w:spacing w:line="256" w:lineRule="auto"/>
              <w:jc w:val="left"/>
              <w:rPr>
                <w:rFonts w:ascii="Arial Narrow" w:hAnsi="Arial Narrow" w:cs="Times New Roman"/>
                <w:b/>
                <w:sz w:val="18"/>
                <w:szCs w:val="18"/>
              </w:rPr>
            </w:pPr>
          </w:p>
        </w:tc>
        <w:tc>
          <w:tcPr>
            <w:tcW w:w="8080" w:type="dxa"/>
            <w:gridSpan w:val="6"/>
            <w:hideMark/>
          </w:tcPr>
          <w:p w14:paraId="45C45E34" w14:textId="4EF8071C" w:rsidR="00870F84" w:rsidRPr="00870F84" w:rsidRDefault="00870F84" w:rsidP="00870F84">
            <w:pPr>
              <w:spacing w:line="256" w:lineRule="auto"/>
              <w:jc w:val="left"/>
              <w:rPr>
                <w:rFonts w:ascii="Arial Narrow" w:hAnsi="Arial Narrow" w:cs="Times New Roman"/>
                <w:b/>
                <w:sz w:val="18"/>
                <w:szCs w:val="18"/>
              </w:rPr>
            </w:pPr>
            <w:r w:rsidRPr="00870F84">
              <w:rPr>
                <w:rFonts w:ascii="Arial Narrow" w:hAnsi="Arial Narrow" w:cs="Times New Roman"/>
                <w:b/>
                <w:sz w:val="18"/>
                <w:szCs w:val="18"/>
              </w:rPr>
              <w:t>Prescriber type:</w:t>
            </w:r>
            <w:r w:rsidRPr="00870F84">
              <w:rPr>
                <w:rFonts w:ascii="Arial Narrow" w:hAnsi="Arial Narrow" w:cs="Times New Roman"/>
                <w:sz w:val="18"/>
                <w:szCs w:val="18"/>
              </w:rPr>
              <w:t xml:space="preserve">  </w:t>
            </w:r>
            <w:r w:rsidRPr="00870F84">
              <w:rPr>
                <w:rFonts w:ascii="Arial Narrow" w:hAnsi="Arial Narrow" w:cs="Times New Roman"/>
                <w:sz w:val="18"/>
                <w:szCs w:val="18"/>
              </w:rPr>
              <w:fldChar w:fldCharType="begin">
                <w:ffData>
                  <w:name w:val=""/>
                  <w:enabled/>
                  <w:calcOnExit w:val="0"/>
                  <w:checkBox>
                    <w:sizeAuto/>
                    <w:default w:val="1"/>
                  </w:checkBox>
                </w:ffData>
              </w:fldChar>
            </w:r>
            <w:r w:rsidRPr="00870F84">
              <w:rPr>
                <w:rFonts w:ascii="Arial Narrow" w:hAnsi="Arial Narrow" w:cs="Times New Roman"/>
                <w:sz w:val="18"/>
                <w:szCs w:val="18"/>
              </w:rPr>
              <w:instrText xml:space="preserve"> FORMCHECKBOX </w:instrText>
            </w:r>
            <w:r w:rsidR="00340AC7">
              <w:rPr>
                <w:rFonts w:ascii="Arial Narrow" w:hAnsi="Arial Narrow" w:cs="Times New Roman"/>
                <w:sz w:val="18"/>
                <w:szCs w:val="18"/>
              </w:rPr>
            </w:r>
            <w:r w:rsidR="00340AC7">
              <w:rPr>
                <w:rFonts w:ascii="Arial Narrow" w:hAnsi="Arial Narrow" w:cs="Times New Roman"/>
                <w:sz w:val="18"/>
                <w:szCs w:val="18"/>
              </w:rPr>
              <w:fldChar w:fldCharType="separate"/>
            </w:r>
            <w:r w:rsidRPr="00870F84">
              <w:rPr>
                <w:rFonts w:ascii="Arial Narrow" w:hAnsi="Arial Narrow" w:cs="Times New Roman"/>
                <w:sz w:val="18"/>
                <w:szCs w:val="18"/>
              </w:rPr>
              <w:fldChar w:fldCharType="end"/>
            </w:r>
            <w:r w:rsidRPr="00870F84">
              <w:rPr>
                <w:rFonts w:ascii="Arial Narrow" w:hAnsi="Arial Narrow" w:cs="Times New Roman"/>
                <w:sz w:val="18"/>
                <w:szCs w:val="18"/>
              </w:rPr>
              <w:t>Medical Practitioners</w:t>
            </w:r>
          </w:p>
        </w:tc>
      </w:tr>
      <w:tr w:rsidR="00870F84" w:rsidRPr="00870F84" w14:paraId="0984D632" w14:textId="77777777" w:rsidTr="006D1A95">
        <w:trPr>
          <w:trHeight w:val="302"/>
        </w:trPr>
        <w:tc>
          <w:tcPr>
            <w:tcW w:w="1129" w:type="dxa"/>
            <w:vMerge/>
            <w:hideMark/>
          </w:tcPr>
          <w:p w14:paraId="638605C3" w14:textId="77777777" w:rsidR="00870F84" w:rsidRPr="00870F84" w:rsidRDefault="00870F84" w:rsidP="00870F84">
            <w:pPr>
              <w:spacing w:line="256" w:lineRule="auto"/>
              <w:jc w:val="left"/>
              <w:rPr>
                <w:rFonts w:ascii="Arial Narrow" w:hAnsi="Arial Narrow" w:cs="Times New Roman"/>
                <w:b/>
                <w:sz w:val="18"/>
                <w:szCs w:val="18"/>
              </w:rPr>
            </w:pPr>
          </w:p>
        </w:tc>
        <w:tc>
          <w:tcPr>
            <w:tcW w:w="8080" w:type="dxa"/>
            <w:gridSpan w:val="6"/>
            <w:hideMark/>
          </w:tcPr>
          <w:p w14:paraId="2797E6FA" w14:textId="77777777" w:rsidR="00870F84" w:rsidRPr="00870F84" w:rsidRDefault="00870F84" w:rsidP="00870F84">
            <w:pPr>
              <w:spacing w:line="256" w:lineRule="auto"/>
              <w:jc w:val="left"/>
              <w:rPr>
                <w:rFonts w:ascii="Arial Narrow" w:eastAsia="Calibri" w:hAnsi="Arial Narrow" w:cs="Times New Roman"/>
                <w:color w:val="FF00FF"/>
                <w:sz w:val="18"/>
                <w:szCs w:val="18"/>
              </w:rPr>
            </w:pPr>
            <w:r w:rsidRPr="00870F84">
              <w:rPr>
                <w:rFonts w:ascii="Arial Narrow" w:hAnsi="Arial Narrow" w:cs="Times New Roman"/>
                <w:b/>
                <w:sz w:val="18"/>
                <w:szCs w:val="18"/>
              </w:rPr>
              <w:t xml:space="preserve">Restriction type: </w:t>
            </w:r>
            <w:r w:rsidRPr="00870F84">
              <w:rPr>
                <w:rFonts w:ascii="Arial Narrow" w:eastAsia="Calibri" w:hAnsi="Arial Narrow" w:cs="Times New Roman"/>
                <w:sz w:val="18"/>
                <w:szCs w:val="18"/>
              </w:rPr>
              <w:fldChar w:fldCharType="begin">
                <w:ffData>
                  <w:name w:val=""/>
                  <w:enabled/>
                  <w:calcOnExit w:val="0"/>
                  <w:checkBox>
                    <w:sizeAuto/>
                    <w:default w:val="1"/>
                  </w:checkBox>
                </w:ffData>
              </w:fldChar>
            </w:r>
            <w:r w:rsidRPr="00870F84">
              <w:rPr>
                <w:rFonts w:ascii="Arial Narrow" w:eastAsia="Calibri" w:hAnsi="Arial Narrow" w:cs="Times New Roman"/>
                <w:sz w:val="18"/>
                <w:szCs w:val="18"/>
              </w:rPr>
              <w:instrText xml:space="preserve"> FORMCHECKBOX </w:instrText>
            </w:r>
            <w:r w:rsidR="00340AC7">
              <w:rPr>
                <w:rFonts w:ascii="Arial Narrow" w:eastAsia="Calibri" w:hAnsi="Arial Narrow" w:cs="Times New Roman"/>
                <w:sz w:val="18"/>
                <w:szCs w:val="18"/>
              </w:rPr>
            </w:r>
            <w:r w:rsidR="00340AC7">
              <w:rPr>
                <w:rFonts w:ascii="Arial Narrow" w:eastAsia="Calibri" w:hAnsi="Arial Narrow" w:cs="Times New Roman"/>
                <w:sz w:val="18"/>
                <w:szCs w:val="18"/>
              </w:rPr>
              <w:fldChar w:fldCharType="separate"/>
            </w:r>
            <w:r w:rsidRPr="00870F84">
              <w:rPr>
                <w:rFonts w:ascii="Arial Narrow" w:eastAsia="Calibri" w:hAnsi="Arial Narrow" w:cs="Times New Roman"/>
                <w:sz w:val="18"/>
                <w:szCs w:val="18"/>
              </w:rPr>
              <w:fldChar w:fldCharType="end"/>
            </w:r>
            <w:r w:rsidRPr="00870F84">
              <w:rPr>
                <w:rFonts w:ascii="Arial Narrow" w:eastAsia="Calibri" w:hAnsi="Arial Narrow" w:cs="Times New Roman"/>
                <w:sz w:val="18"/>
                <w:szCs w:val="18"/>
              </w:rPr>
              <w:t xml:space="preserve">Authority Required (in writing only via post/HPOS upload) </w:t>
            </w:r>
          </w:p>
        </w:tc>
      </w:tr>
    </w:tbl>
    <w:tbl>
      <w:tblPr>
        <w:tblStyle w:val="LashStyleTable2"/>
        <w:tblW w:w="9209" w:type="dxa"/>
        <w:tblInd w:w="0" w:type="dxa"/>
        <w:tblLook w:val="04A0" w:firstRow="1" w:lastRow="0" w:firstColumn="1" w:lastColumn="0" w:noHBand="0" w:noVBand="1"/>
      </w:tblPr>
      <w:tblGrid>
        <w:gridCol w:w="1129"/>
        <w:gridCol w:w="8080"/>
      </w:tblGrid>
      <w:tr w:rsidR="00870F84" w:rsidRPr="00870F84" w14:paraId="505535FD" w14:textId="77777777" w:rsidTr="006D1A95">
        <w:tc>
          <w:tcPr>
            <w:tcW w:w="1129" w:type="dxa"/>
          </w:tcPr>
          <w:p w14:paraId="4819F9AE" w14:textId="77777777"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tcPr>
          <w:p w14:paraId="278C66EC" w14:textId="77777777" w:rsidR="00870F84" w:rsidRPr="00870F84" w:rsidRDefault="00870F84" w:rsidP="00870F84">
            <w:pPr>
              <w:spacing w:line="256" w:lineRule="auto"/>
              <w:jc w:val="left"/>
              <w:textAlignment w:val="baseline"/>
              <w:rPr>
                <w:rFonts w:ascii="Arial Narrow" w:hAnsi="Arial Narrow" w:cs="Open Sans"/>
                <w:b/>
                <w:bCs/>
                <w:color w:val="333333"/>
                <w:sz w:val="18"/>
                <w:szCs w:val="18"/>
                <w:bdr w:val="none" w:sz="0" w:space="0" w:color="auto" w:frame="1"/>
              </w:rPr>
            </w:pPr>
          </w:p>
        </w:tc>
      </w:tr>
      <w:tr w:rsidR="00870F84" w:rsidRPr="00870F84" w14:paraId="145A4560" w14:textId="77777777" w:rsidTr="006D1A95">
        <w:tc>
          <w:tcPr>
            <w:tcW w:w="1129" w:type="dxa"/>
          </w:tcPr>
          <w:p w14:paraId="700504F9" w14:textId="77777777"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tcPr>
          <w:p w14:paraId="0B9CAB0A" w14:textId="77777777" w:rsidR="00870F84" w:rsidRPr="00870F84" w:rsidRDefault="00870F84" w:rsidP="00870F84">
            <w:pPr>
              <w:spacing w:line="256" w:lineRule="auto"/>
              <w:jc w:val="left"/>
              <w:textAlignment w:val="baseline"/>
              <w:rPr>
                <w:rFonts w:ascii="Arial Narrow" w:hAnsi="Arial Narrow" w:cs="Open Sans"/>
                <w:i/>
                <w:iCs/>
                <w:color w:val="333333"/>
                <w:sz w:val="18"/>
                <w:szCs w:val="18"/>
                <w:bdr w:val="none" w:sz="0" w:space="0" w:color="auto" w:frame="1"/>
              </w:rPr>
            </w:pPr>
            <w:r w:rsidRPr="00870F84">
              <w:rPr>
                <w:rFonts w:ascii="Arial Narrow" w:hAnsi="Arial Narrow" w:cs="Open Sans"/>
                <w:i/>
                <w:iCs/>
                <w:color w:val="333333"/>
                <w:sz w:val="18"/>
                <w:szCs w:val="18"/>
                <w:bdr w:val="none" w:sz="0" w:space="0" w:color="auto" w:frame="1"/>
              </w:rPr>
              <w:t>(NOTEs applying to all restriction summaries below)</w:t>
            </w:r>
          </w:p>
        </w:tc>
      </w:tr>
      <w:tr w:rsidR="00870F84" w:rsidRPr="00870F84" w14:paraId="322B6E67" w14:textId="77777777" w:rsidTr="006D1A95">
        <w:tc>
          <w:tcPr>
            <w:tcW w:w="1129" w:type="dxa"/>
            <w:tcBorders>
              <w:bottom w:val="single" w:sz="4" w:space="0" w:color="auto"/>
            </w:tcBorders>
          </w:tcPr>
          <w:p w14:paraId="187D73AE" w14:textId="3654D80A"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tcBorders>
              <w:bottom w:val="single" w:sz="4" w:space="0" w:color="auto"/>
            </w:tcBorders>
          </w:tcPr>
          <w:p w14:paraId="1FCB96D5" w14:textId="77777777" w:rsidR="00870F84" w:rsidRPr="00870F84" w:rsidRDefault="00870F84" w:rsidP="00870F84">
            <w:pPr>
              <w:shd w:val="clear" w:color="auto" w:fill="FFFFFF"/>
              <w:jc w:val="left"/>
              <w:textAlignment w:val="baseline"/>
              <w:rPr>
                <w:rFonts w:ascii="Arial Narrow" w:hAnsi="Arial Narrow" w:cs="Open Sans"/>
                <w:snapToGrid w:val="0"/>
                <w:color w:val="333333"/>
                <w:sz w:val="18"/>
                <w:szCs w:val="18"/>
                <w:bdr w:val="none" w:sz="0" w:space="0" w:color="auto" w:frame="1"/>
                <w:lang w:val="en-GB"/>
              </w:rPr>
            </w:pPr>
            <w:r w:rsidRPr="00870F84">
              <w:rPr>
                <w:rFonts w:ascii="Arial Narrow" w:hAnsi="Arial Narrow" w:cs="Open Sans"/>
                <w:b/>
                <w:bCs/>
                <w:snapToGrid w:val="0"/>
                <w:color w:val="333333"/>
                <w:sz w:val="18"/>
                <w:szCs w:val="18"/>
                <w:u w:val="single"/>
                <w:bdr w:val="none" w:sz="0" w:space="0" w:color="auto" w:frame="1"/>
                <w:lang w:val="en-GB"/>
              </w:rPr>
              <w:t>N</w:t>
            </w:r>
            <w:r w:rsidRPr="00870F84">
              <w:rPr>
                <w:rFonts w:ascii="Arial Narrow" w:hAnsi="Arial Narrow" w:cs="Open Sans"/>
                <w:b/>
                <w:bCs/>
                <w:snapToGrid w:val="0"/>
                <w:color w:val="333333"/>
                <w:sz w:val="18"/>
                <w:szCs w:val="18"/>
                <w:u w:val="single"/>
                <w:lang w:val="en-GB"/>
              </w:rPr>
              <w:t>OTE</w:t>
            </w:r>
            <w:r w:rsidRPr="00870F84">
              <w:rPr>
                <w:rFonts w:ascii="Arial Narrow" w:hAnsi="Arial Narrow" w:cs="Open Sans"/>
                <w:b/>
                <w:bCs/>
                <w:snapToGrid w:val="0"/>
                <w:color w:val="333333"/>
                <w:sz w:val="18"/>
                <w:szCs w:val="18"/>
                <w:bdr w:val="none" w:sz="0" w:space="0" w:color="auto" w:frame="1"/>
                <w:lang w:val="en-GB"/>
              </w:rPr>
              <w:t>:</w:t>
            </w:r>
          </w:p>
          <w:p w14:paraId="60661AD4" w14:textId="77777777" w:rsidR="00870F84" w:rsidRPr="00870F84" w:rsidRDefault="00870F84" w:rsidP="00870F84">
            <w:pPr>
              <w:shd w:val="clear" w:color="auto" w:fill="FFFFFF"/>
              <w:jc w:val="left"/>
              <w:textAlignment w:val="baseline"/>
              <w:rPr>
                <w:rFonts w:ascii="Arial Narrow" w:hAnsi="Arial Narrow" w:cs="Times New Roman"/>
                <w:b/>
                <w:bCs/>
                <w:snapToGrid w:val="0"/>
                <w:sz w:val="18"/>
                <w:szCs w:val="18"/>
                <w:bdr w:val="none" w:sz="0" w:space="0" w:color="auto" w:frame="1"/>
                <w:lang w:val="en-GB"/>
              </w:rPr>
            </w:pPr>
            <w:r w:rsidRPr="00870F84">
              <w:rPr>
                <w:rFonts w:ascii="Arial Narrow" w:hAnsi="Arial Narrow" w:cs="Times New Roman"/>
                <w:b/>
                <w:bCs/>
                <w:snapToGrid w:val="0"/>
                <w:sz w:val="18"/>
                <w:szCs w:val="18"/>
                <w:bdr w:val="none" w:sz="0" w:space="0" w:color="auto" w:frame="1"/>
                <w:lang w:val="en-GB"/>
              </w:rPr>
              <w:t>TREATMENT OF ADULT PATIENTS WITH MODERATE TO SEVERE ULCERATIVE COLITIS</w:t>
            </w:r>
          </w:p>
          <w:p w14:paraId="482032B9" w14:textId="77777777" w:rsidR="00870F84" w:rsidRPr="00870F84" w:rsidRDefault="00870F84" w:rsidP="00870F84">
            <w:pPr>
              <w:shd w:val="clear" w:color="auto" w:fill="FFFFFF"/>
              <w:jc w:val="left"/>
              <w:textAlignment w:val="baseline"/>
              <w:rPr>
                <w:rFonts w:ascii="Times New Roman" w:hAnsi="Times New Roman" w:cs="Times New Roman"/>
                <w:snapToGrid w:val="0"/>
                <w:sz w:val="22"/>
                <w:szCs w:val="22"/>
                <w:lang w:val="en-GB"/>
              </w:rPr>
            </w:pPr>
            <w:r w:rsidRPr="00870F84">
              <w:rPr>
                <w:rFonts w:ascii="Times New Roman" w:hAnsi="Times New Roman" w:cs="Times New Roman"/>
                <w:snapToGrid w:val="0"/>
                <w:sz w:val="22"/>
                <w:szCs w:val="22"/>
                <w:lang w:val="en-GB"/>
              </w:rPr>
              <w:lastRenderedPageBreak/>
              <w:t>--- ---</w:t>
            </w:r>
          </w:p>
          <w:p w14:paraId="1646B8C7" w14:textId="77777777" w:rsidR="00870F84" w:rsidRPr="00870F84" w:rsidRDefault="00870F84" w:rsidP="00870F84">
            <w:pPr>
              <w:shd w:val="clear" w:color="auto" w:fill="FFFFFF"/>
              <w:jc w:val="left"/>
              <w:textAlignment w:val="baseline"/>
              <w:rPr>
                <w:rFonts w:ascii="Arial Narrow" w:hAnsi="Arial Narrow" w:cs="Times New Roman"/>
                <w:i/>
                <w:iCs/>
                <w:snapToGrid w:val="0"/>
                <w:sz w:val="18"/>
                <w:szCs w:val="18"/>
                <w:lang w:val="en-GB"/>
              </w:rPr>
            </w:pPr>
            <w:r w:rsidRPr="00870F84">
              <w:rPr>
                <w:rFonts w:ascii="Arial Narrow" w:hAnsi="Arial Narrow" w:cs="Times New Roman"/>
                <w:i/>
                <w:iCs/>
                <w:snapToGrid w:val="0"/>
                <w:sz w:val="18"/>
                <w:szCs w:val="18"/>
                <w:lang w:val="en-GB"/>
              </w:rPr>
              <w:t xml:space="preserve">See end of listing for revised concept </w:t>
            </w:r>
          </w:p>
        </w:tc>
      </w:tr>
      <w:tr w:rsidR="00870F84" w:rsidRPr="00870F84" w14:paraId="13D48577" w14:textId="77777777" w:rsidTr="006D1A95">
        <w:tc>
          <w:tcPr>
            <w:tcW w:w="1129" w:type="dxa"/>
            <w:shd w:val="clear" w:color="auto" w:fill="auto"/>
          </w:tcPr>
          <w:p w14:paraId="47374387" w14:textId="6FF0C88E"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shd w:val="clear" w:color="auto" w:fill="auto"/>
          </w:tcPr>
          <w:p w14:paraId="2E267147" w14:textId="77777777" w:rsidR="00870F84" w:rsidRPr="00870F84" w:rsidRDefault="00870F84" w:rsidP="00870F84">
            <w:pPr>
              <w:shd w:val="clear" w:color="auto" w:fill="F4F4F4"/>
              <w:jc w:val="left"/>
              <w:textAlignment w:val="baseline"/>
              <w:rPr>
                <w:rFonts w:ascii="Arial Narrow" w:hAnsi="Arial Narrow" w:cs="Times New Roman"/>
                <w:snapToGrid w:val="0"/>
                <w:sz w:val="18"/>
                <w:szCs w:val="18"/>
                <w:lang w:val="en-GB"/>
              </w:rPr>
            </w:pPr>
            <w:r w:rsidRPr="00870F84">
              <w:rPr>
                <w:rFonts w:ascii="Arial Narrow" w:hAnsi="Arial Narrow" w:cs="Open Sans"/>
                <w:b/>
                <w:bCs/>
                <w:snapToGrid w:val="0"/>
                <w:color w:val="333333"/>
                <w:sz w:val="18"/>
                <w:szCs w:val="18"/>
                <w:u w:val="single"/>
                <w:bdr w:val="none" w:sz="0" w:space="0" w:color="auto" w:frame="1"/>
                <w:lang w:val="en-GB"/>
              </w:rPr>
              <w:t xml:space="preserve">NOTE: </w:t>
            </w:r>
            <w:r w:rsidRPr="00870F84">
              <w:rPr>
                <w:rFonts w:ascii="Arial Narrow" w:hAnsi="Arial Narrow" w:cs="Times New Roman"/>
                <w:snapToGrid w:val="0"/>
                <w:sz w:val="18"/>
                <w:szCs w:val="18"/>
                <w:lang w:val="en-GB"/>
              </w:rPr>
              <w:t>No increase in the maximum quantity or number of units may be authorised.</w:t>
            </w:r>
          </w:p>
        </w:tc>
      </w:tr>
      <w:tr w:rsidR="00870F84" w:rsidRPr="00870F84" w14:paraId="3D96E2C6" w14:textId="77777777" w:rsidTr="006D1A95">
        <w:tc>
          <w:tcPr>
            <w:tcW w:w="1129" w:type="dxa"/>
          </w:tcPr>
          <w:p w14:paraId="5B10E372" w14:textId="034AD006"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tcPr>
          <w:p w14:paraId="31F2759D" w14:textId="77777777" w:rsidR="00870F84" w:rsidRPr="00870F84" w:rsidRDefault="00870F84" w:rsidP="00870F84">
            <w:pPr>
              <w:shd w:val="clear" w:color="auto" w:fill="F4F4F4"/>
              <w:jc w:val="left"/>
              <w:textAlignment w:val="baseline"/>
              <w:rPr>
                <w:rFonts w:ascii="Arial Narrow" w:hAnsi="Arial Narrow" w:cs="Open Sans"/>
                <w:b/>
                <w:bCs/>
                <w:snapToGrid w:val="0"/>
                <w:color w:val="333333"/>
                <w:sz w:val="18"/>
                <w:szCs w:val="18"/>
                <w:bdr w:val="none" w:sz="0" w:space="0" w:color="auto" w:frame="1"/>
                <w:lang w:val="en-GB"/>
              </w:rPr>
            </w:pPr>
            <w:r w:rsidRPr="00870F84">
              <w:rPr>
                <w:rFonts w:ascii="Arial Narrow" w:hAnsi="Arial Narrow" w:cs="Open Sans"/>
                <w:b/>
                <w:bCs/>
                <w:snapToGrid w:val="0"/>
                <w:color w:val="333333"/>
                <w:sz w:val="18"/>
                <w:szCs w:val="18"/>
                <w:u w:val="single"/>
                <w:bdr w:val="none" w:sz="0" w:space="0" w:color="auto" w:frame="1"/>
                <w:lang w:val="en-GB"/>
              </w:rPr>
              <w:t xml:space="preserve">NOTE: </w:t>
            </w:r>
            <w:r w:rsidRPr="00870F84">
              <w:rPr>
                <w:rFonts w:ascii="Arial Narrow" w:hAnsi="Arial Narrow" w:cs="Open Sans"/>
                <w:snapToGrid w:val="0"/>
                <w:color w:val="333333"/>
                <w:sz w:val="18"/>
                <w:szCs w:val="18"/>
                <w:shd w:val="clear" w:color="auto" w:fill="F4F4F4"/>
                <w:lang w:val="en-GB"/>
              </w:rPr>
              <w:t>No increase in the maximum number of repeats may be authorised.</w:t>
            </w:r>
          </w:p>
        </w:tc>
      </w:tr>
      <w:tr w:rsidR="00870F84" w:rsidRPr="00870F84" w14:paraId="3DCA6769" w14:textId="77777777" w:rsidTr="006D1A95">
        <w:tc>
          <w:tcPr>
            <w:tcW w:w="1129" w:type="dxa"/>
          </w:tcPr>
          <w:p w14:paraId="60869E7E" w14:textId="681B20F6"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tcPr>
          <w:p w14:paraId="277B3C70" w14:textId="77777777" w:rsidR="00870F84" w:rsidRPr="00870F84" w:rsidRDefault="00870F84" w:rsidP="00870F84">
            <w:pPr>
              <w:shd w:val="clear" w:color="auto" w:fill="F4F4F4"/>
              <w:jc w:val="left"/>
              <w:textAlignment w:val="baseline"/>
              <w:rPr>
                <w:rFonts w:ascii="Arial Narrow" w:hAnsi="Arial Narrow" w:cs="Open Sans"/>
                <w:b/>
                <w:bCs/>
                <w:snapToGrid w:val="0"/>
                <w:color w:val="333333"/>
                <w:sz w:val="18"/>
                <w:szCs w:val="18"/>
                <w:bdr w:val="none" w:sz="0" w:space="0" w:color="auto" w:frame="1"/>
                <w:lang w:val="en-GB"/>
              </w:rPr>
            </w:pPr>
            <w:r w:rsidRPr="00870F84">
              <w:rPr>
                <w:rFonts w:ascii="Arial Narrow" w:hAnsi="Arial Narrow" w:cs="Open Sans"/>
                <w:b/>
                <w:bCs/>
                <w:snapToGrid w:val="0"/>
                <w:color w:val="333333"/>
                <w:sz w:val="18"/>
                <w:szCs w:val="18"/>
                <w:u w:val="single"/>
                <w:bdr w:val="none" w:sz="0" w:space="0" w:color="auto" w:frame="1"/>
                <w:lang w:val="en-GB"/>
              </w:rPr>
              <w:t xml:space="preserve">NOTE: </w:t>
            </w:r>
            <w:r w:rsidRPr="00870F84">
              <w:rPr>
                <w:rFonts w:ascii="Arial Narrow" w:hAnsi="Arial Narrow" w:cs="Open Sans"/>
                <w:snapToGrid w:val="0"/>
                <w:color w:val="333333"/>
                <w:sz w:val="18"/>
                <w:szCs w:val="18"/>
                <w:shd w:val="clear" w:color="auto" w:fill="F4F4F4"/>
                <w:lang w:val="en-GB"/>
              </w:rPr>
              <w:t>Special Pricing Arrangements apply.</w:t>
            </w:r>
          </w:p>
        </w:tc>
      </w:tr>
      <w:tr w:rsidR="00870F84" w:rsidRPr="00870F84" w14:paraId="656E18F9" w14:textId="77777777" w:rsidTr="006D1A95">
        <w:tc>
          <w:tcPr>
            <w:tcW w:w="1129" w:type="dxa"/>
          </w:tcPr>
          <w:p w14:paraId="18EDEF01" w14:textId="77777777"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tcPr>
          <w:p w14:paraId="7AF6B441" w14:textId="77777777" w:rsidR="00870F84" w:rsidRPr="00870F84" w:rsidRDefault="00870F84" w:rsidP="00870F84">
            <w:pPr>
              <w:spacing w:line="256" w:lineRule="auto"/>
              <w:jc w:val="left"/>
              <w:textAlignment w:val="baseline"/>
              <w:rPr>
                <w:rFonts w:ascii="Arial Narrow" w:hAnsi="Arial Narrow" w:cs="Open Sans"/>
                <w:b/>
                <w:bCs/>
                <w:color w:val="333333"/>
                <w:sz w:val="18"/>
                <w:szCs w:val="18"/>
                <w:bdr w:val="none" w:sz="0" w:space="0" w:color="auto" w:frame="1"/>
              </w:rPr>
            </w:pPr>
          </w:p>
        </w:tc>
      </w:tr>
      <w:tr w:rsidR="00870F84" w:rsidRPr="00870F84" w14:paraId="701B9EA5" w14:textId="77777777" w:rsidTr="00955601">
        <w:tc>
          <w:tcPr>
            <w:tcW w:w="1129" w:type="dxa"/>
          </w:tcPr>
          <w:p w14:paraId="4BC0EFEF" w14:textId="73CC72B4"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43C177BE"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 xml:space="preserve">Indication: </w:t>
            </w:r>
            <w:r w:rsidRPr="00870F84">
              <w:rPr>
                <w:rFonts w:ascii="Arial Narrow" w:hAnsi="Arial Narrow" w:cs="Open Sans"/>
                <w:color w:val="333333"/>
                <w:sz w:val="18"/>
                <w:szCs w:val="18"/>
              </w:rPr>
              <w:t>Moderate to severe ulcerative colitis</w:t>
            </w:r>
          </w:p>
        </w:tc>
      </w:tr>
      <w:tr w:rsidR="00870F84" w:rsidRPr="00870F84" w14:paraId="397E9627" w14:textId="77777777" w:rsidTr="006D1A95">
        <w:tc>
          <w:tcPr>
            <w:tcW w:w="1129" w:type="dxa"/>
          </w:tcPr>
          <w:p w14:paraId="6EA20BFC" w14:textId="77777777"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tcPr>
          <w:p w14:paraId="59B2C00D" w14:textId="77777777" w:rsidR="00870F84" w:rsidRPr="00870F84" w:rsidRDefault="00870F84" w:rsidP="00870F84">
            <w:pPr>
              <w:spacing w:line="256" w:lineRule="auto"/>
              <w:jc w:val="left"/>
              <w:textAlignment w:val="baseline"/>
              <w:rPr>
                <w:rFonts w:ascii="Arial Narrow" w:hAnsi="Arial Narrow" w:cs="Open Sans"/>
                <w:b/>
                <w:bCs/>
                <w:color w:val="333333"/>
                <w:sz w:val="18"/>
                <w:szCs w:val="18"/>
                <w:bdr w:val="none" w:sz="0" w:space="0" w:color="auto" w:frame="1"/>
              </w:rPr>
            </w:pPr>
          </w:p>
        </w:tc>
      </w:tr>
      <w:tr w:rsidR="00870F84" w:rsidRPr="00870F84" w14:paraId="144E945F" w14:textId="77777777" w:rsidTr="00955601">
        <w:tc>
          <w:tcPr>
            <w:tcW w:w="1129" w:type="dxa"/>
          </w:tcPr>
          <w:p w14:paraId="4853316E" w14:textId="77777777" w:rsidR="00870F84" w:rsidRPr="00870F84" w:rsidRDefault="00870F84" w:rsidP="00870F84">
            <w:pPr>
              <w:spacing w:line="256" w:lineRule="auto"/>
              <w:jc w:val="center"/>
              <w:rPr>
                <w:rFonts w:ascii="Arial Narrow" w:hAnsi="Arial Narrow" w:cs="Open Sans"/>
                <w:color w:val="333333"/>
                <w:sz w:val="18"/>
                <w:szCs w:val="18"/>
              </w:rPr>
            </w:pPr>
          </w:p>
        </w:tc>
        <w:tc>
          <w:tcPr>
            <w:tcW w:w="8080" w:type="dxa"/>
            <w:hideMark/>
          </w:tcPr>
          <w:p w14:paraId="3A9C2BF1"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 xml:space="preserve">Treatment Phase: </w:t>
            </w:r>
            <w:r w:rsidRPr="00870F84">
              <w:rPr>
                <w:rFonts w:ascii="Arial Narrow" w:hAnsi="Arial Narrow" w:cs="Open Sans"/>
                <w:color w:val="333333"/>
                <w:sz w:val="18"/>
                <w:szCs w:val="18"/>
              </w:rPr>
              <w:t>Initial treatment - Initial 1 (new patient)</w:t>
            </w:r>
          </w:p>
        </w:tc>
      </w:tr>
      <w:tr w:rsidR="00870F84" w:rsidRPr="00870F84" w14:paraId="6C93D614" w14:textId="77777777" w:rsidTr="006D1A95">
        <w:tc>
          <w:tcPr>
            <w:tcW w:w="1129" w:type="dxa"/>
          </w:tcPr>
          <w:p w14:paraId="259EAF7E" w14:textId="77777777" w:rsidR="00870F84" w:rsidRPr="00870F84" w:rsidRDefault="00870F84" w:rsidP="00870F84">
            <w:pPr>
              <w:spacing w:line="256" w:lineRule="auto"/>
              <w:jc w:val="center"/>
              <w:rPr>
                <w:rFonts w:ascii="Arial Narrow" w:hAnsi="Arial Narrow" w:cs="Open Sans"/>
                <w:color w:val="333333"/>
                <w:sz w:val="18"/>
                <w:szCs w:val="18"/>
              </w:rPr>
            </w:pPr>
          </w:p>
        </w:tc>
        <w:tc>
          <w:tcPr>
            <w:tcW w:w="8080" w:type="dxa"/>
          </w:tcPr>
          <w:p w14:paraId="53BF4A57" w14:textId="77777777" w:rsidR="00870F84" w:rsidRPr="00870F84" w:rsidRDefault="00870F84" w:rsidP="00870F84">
            <w:pPr>
              <w:spacing w:line="256" w:lineRule="auto"/>
              <w:jc w:val="left"/>
              <w:textAlignment w:val="baseline"/>
              <w:rPr>
                <w:rFonts w:ascii="Arial Narrow" w:hAnsi="Arial Narrow" w:cs="Open Sans"/>
                <w:b/>
                <w:bCs/>
                <w:color w:val="333333"/>
                <w:sz w:val="18"/>
                <w:szCs w:val="18"/>
                <w:bdr w:val="none" w:sz="0" w:space="0" w:color="auto" w:frame="1"/>
              </w:rPr>
            </w:pPr>
          </w:p>
        </w:tc>
      </w:tr>
      <w:tr w:rsidR="00870F84" w:rsidRPr="00870F84" w14:paraId="5874B3EA" w14:textId="77777777" w:rsidTr="00955601">
        <w:tc>
          <w:tcPr>
            <w:tcW w:w="1129" w:type="dxa"/>
          </w:tcPr>
          <w:p w14:paraId="7E889B5F" w14:textId="05596578"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59BD911C"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Treatment criteria:</w:t>
            </w:r>
          </w:p>
        </w:tc>
      </w:tr>
      <w:tr w:rsidR="00870F84" w:rsidRPr="00870F84" w14:paraId="0232E2E0" w14:textId="77777777" w:rsidTr="00955601">
        <w:tc>
          <w:tcPr>
            <w:tcW w:w="1129" w:type="dxa"/>
          </w:tcPr>
          <w:p w14:paraId="1027028F" w14:textId="51966CA8"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4399E6AA"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color w:val="333333"/>
                <w:sz w:val="18"/>
                <w:szCs w:val="18"/>
              </w:rPr>
              <w:t xml:space="preserve"> Must be treated by a gastroenterologist (code 87); or</w:t>
            </w:r>
          </w:p>
        </w:tc>
      </w:tr>
      <w:tr w:rsidR="00870F84" w:rsidRPr="00870F84" w14:paraId="7697961C" w14:textId="77777777" w:rsidTr="00955601">
        <w:tc>
          <w:tcPr>
            <w:tcW w:w="1129" w:type="dxa"/>
          </w:tcPr>
          <w:p w14:paraId="75365A0D" w14:textId="12D34E7D"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4129AB26"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color w:val="333333"/>
                <w:sz w:val="18"/>
                <w:szCs w:val="18"/>
              </w:rPr>
              <w:t xml:space="preserve"> Must be treated by a consultant physician [internal medicine specialising in gastroenterology (code 81)]; or</w:t>
            </w:r>
          </w:p>
        </w:tc>
      </w:tr>
      <w:tr w:rsidR="00870F84" w:rsidRPr="00870F84" w14:paraId="7EC5A143" w14:textId="77777777" w:rsidTr="00955601">
        <w:tc>
          <w:tcPr>
            <w:tcW w:w="1129" w:type="dxa"/>
          </w:tcPr>
          <w:p w14:paraId="3066B10D" w14:textId="4F76C2A3"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6EA30361"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color w:val="333333"/>
                <w:sz w:val="18"/>
                <w:szCs w:val="18"/>
              </w:rPr>
              <w:t xml:space="preserve"> Must be treated by a consultant physician [general medicine specialising in gastroenterology (code 82)]</w:t>
            </w:r>
          </w:p>
        </w:tc>
      </w:tr>
      <w:tr w:rsidR="00870F84" w:rsidRPr="00870F84" w14:paraId="3F5BCBC4" w14:textId="77777777" w:rsidTr="00955601">
        <w:tc>
          <w:tcPr>
            <w:tcW w:w="1129" w:type="dxa"/>
          </w:tcPr>
          <w:p w14:paraId="7EC87F72" w14:textId="77777777" w:rsidR="00870F84" w:rsidRPr="00870F84" w:rsidRDefault="00870F84" w:rsidP="00870F84">
            <w:pPr>
              <w:spacing w:line="256" w:lineRule="auto"/>
              <w:jc w:val="center"/>
              <w:rPr>
                <w:rFonts w:ascii="Arial Narrow" w:hAnsi="Arial Narrow" w:cs="Open Sans"/>
                <w:color w:val="333333"/>
                <w:sz w:val="18"/>
                <w:szCs w:val="18"/>
              </w:rPr>
            </w:pPr>
          </w:p>
        </w:tc>
        <w:tc>
          <w:tcPr>
            <w:tcW w:w="8080" w:type="dxa"/>
            <w:hideMark/>
          </w:tcPr>
          <w:p w14:paraId="6CCE3F35"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AND</w:t>
            </w:r>
          </w:p>
        </w:tc>
      </w:tr>
      <w:tr w:rsidR="00870F84" w:rsidRPr="00870F84" w14:paraId="5914DC41" w14:textId="77777777" w:rsidTr="00955601">
        <w:tc>
          <w:tcPr>
            <w:tcW w:w="1129" w:type="dxa"/>
          </w:tcPr>
          <w:p w14:paraId="3FA4ED41" w14:textId="1A15CE05"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352EA24B"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Clinical criteria:</w:t>
            </w:r>
          </w:p>
        </w:tc>
      </w:tr>
      <w:tr w:rsidR="00870F84" w:rsidRPr="00870F84" w14:paraId="52831B14" w14:textId="77777777" w:rsidTr="00955601">
        <w:tc>
          <w:tcPr>
            <w:tcW w:w="1129" w:type="dxa"/>
          </w:tcPr>
          <w:p w14:paraId="4A36178B" w14:textId="518D5162"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183208AA"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color w:val="333333"/>
                <w:sz w:val="18"/>
                <w:szCs w:val="18"/>
              </w:rPr>
              <w:t>Patient must have failed to achieve an adequate response to a 5-aminosalicylate oral preparation in a standard dose for induction of remission for 3 or more consecutive months or have intolerance necessitating permanent treatment withdrawal</w:t>
            </w:r>
          </w:p>
        </w:tc>
      </w:tr>
      <w:tr w:rsidR="00870F84" w:rsidRPr="00870F84" w14:paraId="2D07F597" w14:textId="77777777" w:rsidTr="00955601">
        <w:tc>
          <w:tcPr>
            <w:tcW w:w="1129" w:type="dxa"/>
          </w:tcPr>
          <w:p w14:paraId="0AB2A663" w14:textId="77777777" w:rsidR="00870F84" w:rsidRPr="00870F84" w:rsidRDefault="00870F84" w:rsidP="00870F84">
            <w:pPr>
              <w:spacing w:line="256" w:lineRule="auto"/>
              <w:jc w:val="center"/>
              <w:rPr>
                <w:rFonts w:ascii="Arial Narrow" w:hAnsi="Arial Narrow" w:cs="Open Sans"/>
                <w:color w:val="333333"/>
                <w:sz w:val="18"/>
                <w:szCs w:val="18"/>
              </w:rPr>
            </w:pPr>
          </w:p>
        </w:tc>
        <w:tc>
          <w:tcPr>
            <w:tcW w:w="8080" w:type="dxa"/>
            <w:hideMark/>
          </w:tcPr>
          <w:p w14:paraId="02A5C876"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AND</w:t>
            </w:r>
          </w:p>
        </w:tc>
      </w:tr>
      <w:tr w:rsidR="00870F84" w:rsidRPr="00870F84" w14:paraId="17D1DF74" w14:textId="77777777" w:rsidTr="00955601">
        <w:tc>
          <w:tcPr>
            <w:tcW w:w="1129" w:type="dxa"/>
          </w:tcPr>
          <w:p w14:paraId="25656778" w14:textId="357805F4"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3E3F2742"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Clinical criteria:</w:t>
            </w:r>
          </w:p>
        </w:tc>
      </w:tr>
      <w:tr w:rsidR="00870F84" w:rsidRPr="00870F84" w14:paraId="5F29E656" w14:textId="77777777" w:rsidTr="00955601">
        <w:tc>
          <w:tcPr>
            <w:tcW w:w="1129" w:type="dxa"/>
          </w:tcPr>
          <w:p w14:paraId="69761BC3" w14:textId="588923F3"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7313F1A3"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color w:val="333333"/>
                <w:sz w:val="18"/>
                <w:szCs w:val="18"/>
              </w:rPr>
              <w:t xml:space="preserve">Patient must have failed to achieve an adequate response to azathioprine at a dose of at least 2 mg per kg daily for 3 or more consecutive months or have intolerance necessitating permanent treatment </w:t>
            </w:r>
            <w:proofErr w:type="gramStart"/>
            <w:r w:rsidRPr="00870F84">
              <w:rPr>
                <w:rFonts w:ascii="Arial Narrow" w:hAnsi="Arial Narrow" w:cs="Open Sans"/>
                <w:color w:val="333333"/>
                <w:sz w:val="18"/>
                <w:szCs w:val="18"/>
              </w:rPr>
              <w:t>withdrawal;</w:t>
            </w:r>
            <w:proofErr w:type="gramEnd"/>
            <w:r w:rsidRPr="00870F84">
              <w:rPr>
                <w:rFonts w:ascii="Arial Narrow" w:hAnsi="Arial Narrow" w:cs="Open Sans"/>
                <w:color w:val="333333"/>
                <w:sz w:val="18"/>
                <w:szCs w:val="18"/>
              </w:rPr>
              <w:t xml:space="preserve"> or</w:t>
            </w:r>
          </w:p>
        </w:tc>
      </w:tr>
      <w:tr w:rsidR="00870F84" w:rsidRPr="00870F84" w14:paraId="62362B3D" w14:textId="77777777" w:rsidTr="00955601">
        <w:tc>
          <w:tcPr>
            <w:tcW w:w="1129" w:type="dxa"/>
          </w:tcPr>
          <w:p w14:paraId="65764F46" w14:textId="203517F7"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06CC2F10"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color w:val="333333"/>
                <w:sz w:val="18"/>
                <w:szCs w:val="18"/>
              </w:rPr>
              <w:t xml:space="preserve">Patient must have failed to achieve an adequate response to 6-mercaptopurine at a dose of at least 1 mg per kg daily for 3 or more consecutive months or have intolerance necessitating permanent treatment </w:t>
            </w:r>
            <w:proofErr w:type="gramStart"/>
            <w:r w:rsidRPr="00870F84">
              <w:rPr>
                <w:rFonts w:ascii="Arial Narrow" w:hAnsi="Arial Narrow" w:cs="Open Sans"/>
                <w:color w:val="333333"/>
                <w:sz w:val="18"/>
                <w:szCs w:val="18"/>
              </w:rPr>
              <w:t>withdrawal;</w:t>
            </w:r>
            <w:proofErr w:type="gramEnd"/>
            <w:r w:rsidRPr="00870F84">
              <w:rPr>
                <w:rFonts w:ascii="Arial Narrow" w:hAnsi="Arial Narrow" w:cs="Open Sans"/>
                <w:color w:val="333333"/>
                <w:sz w:val="18"/>
                <w:szCs w:val="18"/>
              </w:rPr>
              <w:t xml:space="preserve"> or</w:t>
            </w:r>
          </w:p>
        </w:tc>
      </w:tr>
      <w:tr w:rsidR="00870F84" w:rsidRPr="00870F84" w14:paraId="5BD475F2" w14:textId="77777777" w:rsidTr="00955601">
        <w:tc>
          <w:tcPr>
            <w:tcW w:w="1129" w:type="dxa"/>
          </w:tcPr>
          <w:p w14:paraId="666C2A81" w14:textId="2FE52DC8"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5EA78635"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color w:val="333333"/>
                <w:sz w:val="18"/>
                <w:szCs w:val="18"/>
              </w:rPr>
              <w:t xml:space="preserve">Patient must have failed to achieve an adequate response to a tapered course of oral steroids, starting at a dose of at least 40 mg prednisolone (or equivalent), over a </w:t>
            </w:r>
            <w:proofErr w:type="gramStart"/>
            <w:r w:rsidRPr="00870F84">
              <w:rPr>
                <w:rFonts w:ascii="Arial Narrow" w:hAnsi="Arial Narrow" w:cs="Open Sans"/>
                <w:color w:val="333333"/>
                <w:sz w:val="18"/>
                <w:szCs w:val="18"/>
              </w:rPr>
              <w:t>6 week</w:t>
            </w:r>
            <w:proofErr w:type="gramEnd"/>
            <w:r w:rsidRPr="00870F84">
              <w:rPr>
                <w:rFonts w:ascii="Arial Narrow" w:hAnsi="Arial Narrow" w:cs="Open Sans"/>
                <w:color w:val="333333"/>
                <w:sz w:val="18"/>
                <w:szCs w:val="18"/>
              </w:rPr>
              <w:t xml:space="preserve"> period or have intolerance necessitating permanent treatment withdrawal, and followed by a failure to achieve an adequate response to 3 or more consecutive months of treatment of an appropriately dosed thiopurine agent</w:t>
            </w:r>
          </w:p>
        </w:tc>
      </w:tr>
      <w:tr w:rsidR="00870F84" w:rsidRPr="00870F84" w14:paraId="0431308F" w14:textId="77777777" w:rsidTr="00955601">
        <w:tc>
          <w:tcPr>
            <w:tcW w:w="1129" w:type="dxa"/>
          </w:tcPr>
          <w:p w14:paraId="00BDA4D4" w14:textId="77777777" w:rsidR="00870F84" w:rsidRPr="00870F84" w:rsidRDefault="00870F84" w:rsidP="00870F84">
            <w:pPr>
              <w:spacing w:line="256" w:lineRule="auto"/>
              <w:jc w:val="center"/>
              <w:rPr>
                <w:rFonts w:ascii="Arial Narrow" w:hAnsi="Arial Narrow" w:cs="Open Sans"/>
                <w:color w:val="333333"/>
                <w:sz w:val="18"/>
                <w:szCs w:val="18"/>
              </w:rPr>
            </w:pPr>
          </w:p>
        </w:tc>
        <w:tc>
          <w:tcPr>
            <w:tcW w:w="8080" w:type="dxa"/>
            <w:hideMark/>
          </w:tcPr>
          <w:p w14:paraId="0668F950"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AND</w:t>
            </w:r>
          </w:p>
        </w:tc>
      </w:tr>
      <w:tr w:rsidR="00870F84" w:rsidRPr="00870F84" w14:paraId="365AECC8" w14:textId="77777777" w:rsidTr="00955601">
        <w:tc>
          <w:tcPr>
            <w:tcW w:w="1129" w:type="dxa"/>
          </w:tcPr>
          <w:p w14:paraId="6E20894A" w14:textId="061A1D56"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713FC44F"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Clinical criteria:</w:t>
            </w:r>
          </w:p>
        </w:tc>
      </w:tr>
      <w:tr w:rsidR="00870F84" w:rsidRPr="00870F84" w14:paraId="174E627E" w14:textId="77777777" w:rsidTr="00955601">
        <w:tc>
          <w:tcPr>
            <w:tcW w:w="1129" w:type="dxa"/>
          </w:tcPr>
          <w:p w14:paraId="593A85A7" w14:textId="32E43141"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35263F12"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color w:val="333333"/>
                <w:sz w:val="18"/>
                <w:szCs w:val="18"/>
              </w:rPr>
              <w:t>Patient must have a Mayo clinic score greater than or equal to 6; or</w:t>
            </w:r>
          </w:p>
        </w:tc>
      </w:tr>
      <w:tr w:rsidR="00870F84" w:rsidRPr="00870F84" w14:paraId="33664D9F" w14:textId="77777777" w:rsidTr="00955601">
        <w:tc>
          <w:tcPr>
            <w:tcW w:w="1129" w:type="dxa"/>
          </w:tcPr>
          <w:p w14:paraId="35254428" w14:textId="77424940"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71B477D6"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color w:val="333333"/>
                <w:sz w:val="18"/>
                <w:szCs w:val="18"/>
              </w:rPr>
              <w:t xml:space="preserve">Patient must have a partial Mayo clinic score greater than or equal to 6, provided the rectal bleeding and stool frequency </w:t>
            </w:r>
            <w:proofErr w:type="spellStart"/>
            <w:r w:rsidRPr="00870F84">
              <w:rPr>
                <w:rFonts w:ascii="Arial Narrow" w:hAnsi="Arial Narrow" w:cs="Open Sans"/>
                <w:color w:val="333333"/>
                <w:sz w:val="18"/>
                <w:szCs w:val="18"/>
              </w:rPr>
              <w:t>subscores</w:t>
            </w:r>
            <w:proofErr w:type="spellEnd"/>
            <w:r w:rsidRPr="00870F84">
              <w:rPr>
                <w:rFonts w:ascii="Arial Narrow" w:hAnsi="Arial Narrow" w:cs="Open Sans"/>
                <w:color w:val="333333"/>
                <w:sz w:val="18"/>
                <w:szCs w:val="18"/>
              </w:rPr>
              <w:t xml:space="preserve"> are both greater than or equal to 2 (endoscopy </w:t>
            </w:r>
            <w:proofErr w:type="spellStart"/>
            <w:r w:rsidRPr="00870F84">
              <w:rPr>
                <w:rFonts w:ascii="Arial Narrow" w:hAnsi="Arial Narrow" w:cs="Open Sans"/>
                <w:color w:val="333333"/>
                <w:sz w:val="18"/>
                <w:szCs w:val="18"/>
              </w:rPr>
              <w:t>subscore</w:t>
            </w:r>
            <w:proofErr w:type="spellEnd"/>
            <w:r w:rsidRPr="00870F84">
              <w:rPr>
                <w:rFonts w:ascii="Arial Narrow" w:hAnsi="Arial Narrow" w:cs="Open Sans"/>
                <w:color w:val="333333"/>
                <w:sz w:val="18"/>
                <w:szCs w:val="18"/>
              </w:rPr>
              <w:t xml:space="preserve"> is not required for a partial Mayo clinic score)</w:t>
            </w:r>
          </w:p>
        </w:tc>
      </w:tr>
      <w:tr w:rsidR="00870F84" w:rsidRPr="00870F84" w14:paraId="246E9E4E" w14:textId="77777777" w:rsidTr="00955601">
        <w:tc>
          <w:tcPr>
            <w:tcW w:w="1129" w:type="dxa"/>
          </w:tcPr>
          <w:p w14:paraId="76BC906B" w14:textId="77777777" w:rsidR="00870F84" w:rsidRPr="00870F84" w:rsidRDefault="00870F84" w:rsidP="00870F84">
            <w:pPr>
              <w:spacing w:line="256" w:lineRule="auto"/>
              <w:jc w:val="center"/>
              <w:rPr>
                <w:rFonts w:ascii="Arial Narrow" w:hAnsi="Arial Narrow" w:cs="Open Sans"/>
                <w:color w:val="333333"/>
                <w:sz w:val="18"/>
                <w:szCs w:val="18"/>
              </w:rPr>
            </w:pPr>
          </w:p>
        </w:tc>
        <w:tc>
          <w:tcPr>
            <w:tcW w:w="8080" w:type="dxa"/>
            <w:hideMark/>
          </w:tcPr>
          <w:p w14:paraId="3AFD59E6"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AND</w:t>
            </w:r>
          </w:p>
        </w:tc>
      </w:tr>
      <w:tr w:rsidR="00870F84" w:rsidRPr="00870F84" w14:paraId="0EE1EE4F" w14:textId="77777777" w:rsidTr="00955601">
        <w:tc>
          <w:tcPr>
            <w:tcW w:w="1129" w:type="dxa"/>
          </w:tcPr>
          <w:p w14:paraId="3A3416FC" w14:textId="77777777"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7B628DAC"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Population criteria:</w:t>
            </w:r>
          </w:p>
        </w:tc>
      </w:tr>
      <w:tr w:rsidR="00870F84" w:rsidRPr="00870F84" w14:paraId="1F8674E4" w14:textId="77777777" w:rsidTr="00955601">
        <w:tc>
          <w:tcPr>
            <w:tcW w:w="1129" w:type="dxa"/>
          </w:tcPr>
          <w:p w14:paraId="0C7FF2B1" w14:textId="450116C2"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238E274D"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color w:val="333333"/>
                <w:sz w:val="18"/>
                <w:szCs w:val="18"/>
              </w:rPr>
              <w:t>Patient must be at least 18 years of age.</w:t>
            </w:r>
          </w:p>
        </w:tc>
      </w:tr>
      <w:tr w:rsidR="00870F84" w:rsidRPr="00870F84" w14:paraId="13AC1F82" w14:textId="77777777" w:rsidTr="006D1A95">
        <w:tc>
          <w:tcPr>
            <w:tcW w:w="1129" w:type="dxa"/>
          </w:tcPr>
          <w:p w14:paraId="043EFFFC" w14:textId="77777777"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tcPr>
          <w:p w14:paraId="7FEF2003" w14:textId="77777777" w:rsidR="00870F84" w:rsidRPr="00870F84" w:rsidRDefault="00870F84" w:rsidP="00870F84">
            <w:pPr>
              <w:spacing w:line="256" w:lineRule="auto"/>
              <w:jc w:val="left"/>
              <w:rPr>
                <w:rFonts w:ascii="Arial Narrow" w:hAnsi="Arial Narrow" w:cs="Open Sans"/>
                <w:color w:val="333333"/>
                <w:sz w:val="18"/>
                <w:szCs w:val="18"/>
              </w:rPr>
            </w:pPr>
          </w:p>
        </w:tc>
      </w:tr>
      <w:tr w:rsidR="00870F84" w:rsidRPr="00870F84" w14:paraId="1733B712" w14:textId="77777777" w:rsidTr="00955601">
        <w:tc>
          <w:tcPr>
            <w:tcW w:w="1129" w:type="dxa"/>
          </w:tcPr>
          <w:p w14:paraId="4174FD7B" w14:textId="55D2E9B7"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402D2DED"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Prescribing Instructions:</w:t>
            </w:r>
          </w:p>
          <w:p w14:paraId="2047B990"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The authority application must be made in writing and must include:</w:t>
            </w:r>
          </w:p>
          <w:p w14:paraId="7AA68254"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(1) a completed authority prescription form; and</w:t>
            </w:r>
          </w:p>
          <w:p w14:paraId="60E2D97C"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(2) a completed authority application form relevant to the indication and treatment phase (the latest version is located on the website specified in the Administrative Advice), which includes:</w:t>
            </w:r>
          </w:p>
          <w:p w14:paraId="79BE4562"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w:t>
            </w:r>
            <w:proofErr w:type="spellStart"/>
            <w:r w:rsidRPr="00870F84">
              <w:rPr>
                <w:rFonts w:ascii="Arial Narrow" w:hAnsi="Arial Narrow" w:cs="Open Sans"/>
                <w:color w:val="333333"/>
                <w:sz w:val="18"/>
                <w:szCs w:val="18"/>
              </w:rPr>
              <w:t>i</w:t>
            </w:r>
            <w:proofErr w:type="spellEnd"/>
            <w:r w:rsidRPr="00870F84">
              <w:rPr>
                <w:rFonts w:ascii="Arial Narrow" w:hAnsi="Arial Narrow" w:cs="Open Sans"/>
                <w:color w:val="333333"/>
                <w:sz w:val="18"/>
                <w:szCs w:val="18"/>
              </w:rPr>
              <w:t>) the completed current Mayo clinic or partial Mayo clinic calculation sheet including the date of assessment of the patient's condition; and</w:t>
            </w:r>
          </w:p>
          <w:p w14:paraId="1378AA8E"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(ii) details of prior systemic drug therapy [dosage, date of commencement and duration of therapy].</w:t>
            </w:r>
          </w:p>
        </w:tc>
      </w:tr>
      <w:tr w:rsidR="00870F84" w:rsidRPr="00870F84" w14:paraId="4804D44D" w14:textId="77777777" w:rsidTr="00955601">
        <w:tc>
          <w:tcPr>
            <w:tcW w:w="1129" w:type="dxa"/>
          </w:tcPr>
          <w:p w14:paraId="28F7B72F" w14:textId="175CF823"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423B5CB1"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Prescribing Instructions:</w:t>
            </w:r>
          </w:p>
          <w:p w14:paraId="7A5FCB3D"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All tests and assessments should be performed preferably whilst still on treatment, but no longer than 4 weeks following cessation of the most recent prior conventional treatment.</w:t>
            </w:r>
          </w:p>
        </w:tc>
      </w:tr>
      <w:tr w:rsidR="00870F84" w:rsidRPr="00870F84" w14:paraId="08419F9B" w14:textId="77777777" w:rsidTr="00955601">
        <w:tc>
          <w:tcPr>
            <w:tcW w:w="1129" w:type="dxa"/>
          </w:tcPr>
          <w:p w14:paraId="7C517299" w14:textId="64A80458"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5BA6559C"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Prescribing Instructions:</w:t>
            </w:r>
          </w:p>
          <w:p w14:paraId="172F2F98"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The most recent Mayo clinic or partial Mayo clinic score must be no more than 4 weeks old at the time of application.</w:t>
            </w:r>
          </w:p>
        </w:tc>
      </w:tr>
      <w:tr w:rsidR="00870F84" w:rsidRPr="00870F84" w14:paraId="3E8F5195" w14:textId="77777777" w:rsidTr="00955601">
        <w:tc>
          <w:tcPr>
            <w:tcW w:w="1129" w:type="dxa"/>
          </w:tcPr>
          <w:p w14:paraId="5C741380" w14:textId="1CBB9590"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6C1CF089"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Prescribing Instructions:</w:t>
            </w:r>
          </w:p>
          <w:p w14:paraId="2D44AC36"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 xml:space="preserve">An assessment of a patient's response to this initial course of treatment must be conducted between 9 and 17 weeks of therapy. </w:t>
            </w:r>
          </w:p>
        </w:tc>
      </w:tr>
      <w:tr w:rsidR="00870F84" w:rsidRPr="00870F84" w14:paraId="0272FD21" w14:textId="77777777" w:rsidTr="00955601">
        <w:tc>
          <w:tcPr>
            <w:tcW w:w="1129" w:type="dxa"/>
          </w:tcPr>
          <w:p w14:paraId="0D39FF6A" w14:textId="636576DF"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05083B76"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Prescribing Instructions:</w:t>
            </w:r>
          </w:p>
          <w:p w14:paraId="27DDC8F4"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lastRenderedPageBreak/>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870F84" w:rsidRPr="00870F84" w14:paraId="12A8E4FA" w14:textId="77777777" w:rsidTr="00955601">
        <w:tc>
          <w:tcPr>
            <w:tcW w:w="1129" w:type="dxa"/>
          </w:tcPr>
          <w:p w14:paraId="2333FB9D" w14:textId="468E46BE"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1C487D38"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Prescribing Instructions:</w:t>
            </w:r>
          </w:p>
          <w:p w14:paraId="23F89640"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 xml:space="preserve">If a patient fails to demonstrate a response to treatment with this </w:t>
            </w:r>
            <w:proofErr w:type="gramStart"/>
            <w:r w:rsidRPr="00870F84">
              <w:rPr>
                <w:rFonts w:ascii="Arial Narrow" w:hAnsi="Arial Narrow" w:cs="Open Sans"/>
                <w:color w:val="333333"/>
                <w:sz w:val="18"/>
                <w:szCs w:val="18"/>
              </w:rPr>
              <w:t>drug</w:t>
            </w:r>
            <w:proofErr w:type="gramEnd"/>
            <w:r w:rsidRPr="00870F84">
              <w:rPr>
                <w:rFonts w:ascii="Arial Narrow" w:hAnsi="Arial Narrow" w:cs="Open Sans"/>
                <w:color w:val="333333"/>
                <w:sz w:val="18"/>
                <w:szCs w:val="18"/>
              </w:rPr>
              <w:t xml:space="preserve">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870F84" w:rsidRPr="00870F84" w14:paraId="3A97BCB6" w14:textId="77777777" w:rsidTr="00955601">
        <w:tc>
          <w:tcPr>
            <w:tcW w:w="1129" w:type="dxa"/>
          </w:tcPr>
          <w:p w14:paraId="630369B1" w14:textId="5B3CB8EB"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14FA93D4"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Prescribing Instructions:</w:t>
            </w:r>
          </w:p>
          <w:p w14:paraId="6C05EE66"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If treatment with any of the above-mentioned drugs is contraindicated according to the relevant TGA-approved Product Information, details must be provided at the time of application.</w:t>
            </w:r>
          </w:p>
        </w:tc>
      </w:tr>
      <w:tr w:rsidR="00870F84" w:rsidRPr="00870F84" w14:paraId="363471A8" w14:textId="77777777" w:rsidTr="00955601">
        <w:tc>
          <w:tcPr>
            <w:tcW w:w="1129" w:type="dxa"/>
          </w:tcPr>
          <w:p w14:paraId="36144148" w14:textId="438EFDAA"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42194AE3"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Prescribing Instructions:</w:t>
            </w:r>
          </w:p>
          <w:p w14:paraId="5F5AB73C"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If intolerance to treatment develops during the relevant period of use, which is of a severity necessitating permanent treatment withdrawal, details of this toxicity must be provided at the time of application.</w:t>
            </w:r>
          </w:p>
        </w:tc>
      </w:tr>
      <w:tr w:rsidR="00870F84" w:rsidRPr="00870F84" w14:paraId="1447A58A" w14:textId="77777777" w:rsidTr="00955601">
        <w:tc>
          <w:tcPr>
            <w:tcW w:w="1129" w:type="dxa"/>
          </w:tcPr>
          <w:p w14:paraId="14F91359" w14:textId="5FA64AFB"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32680497"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Prescribing Instructions:</w:t>
            </w:r>
          </w:p>
          <w:p w14:paraId="5B84E4BA"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 xml:space="preserve">A maximum of </w:t>
            </w:r>
            <w:r w:rsidRPr="00870F84">
              <w:rPr>
                <w:rFonts w:ascii="Arial Narrow" w:hAnsi="Arial Narrow" w:cs="Open Sans"/>
                <w:sz w:val="18"/>
                <w:szCs w:val="18"/>
              </w:rPr>
              <w:t>16 weeks of treatment with this drug will be approved under this criterion.</w:t>
            </w:r>
          </w:p>
        </w:tc>
      </w:tr>
      <w:tr w:rsidR="00870F84" w:rsidRPr="00870F84" w14:paraId="06712317" w14:textId="77777777" w:rsidTr="00955601">
        <w:tc>
          <w:tcPr>
            <w:tcW w:w="1129" w:type="dxa"/>
          </w:tcPr>
          <w:p w14:paraId="58514A1C" w14:textId="0997726D"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4194E7F1"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Administrative Advice:</w:t>
            </w:r>
          </w:p>
          <w:p w14:paraId="0892E53E"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The Services Australia website (www.servicesaustralia.gov.au) has details of the toxicities, including severity, which will be accepted where one is claimed.</w:t>
            </w:r>
          </w:p>
        </w:tc>
      </w:tr>
      <w:tr w:rsidR="00870F84" w:rsidRPr="00870F84" w14:paraId="6126FB1B" w14:textId="77777777" w:rsidTr="00955601">
        <w:tc>
          <w:tcPr>
            <w:tcW w:w="1129" w:type="dxa"/>
          </w:tcPr>
          <w:p w14:paraId="3C2D46B0" w14:textId="710CBF97" w:rsidR="00870F84" w:rsidRPr="00870F84" w:rsidRDefault="00870F84" w:rsidP="00870F84">
            <w:pPr>
              <w:spacing w:line="256" w:lineRule="auto"/>
              <w:textAlignment w:val="baseline"/>
              <w:rPr>
                <w:rFonts w:ascii="Arial Narrow" w:hAnsi="Arial Narrow" w:cs="Open Sans"/>
                <w:color w:val="333333"/>
                <w:sz w:val="18"/>
                <w:szCs w:val="18"/>
              </w:rPr>
            </w:pPr>
          </w:p>
        </w:tc>
        <w:tc>
          <w:tcPr>
            <w:tcW w:w="8080" w:type="dxa"/>
            <w:hideMark/>
          </w:tcPr>
          <w:p w14:paraId="2FFDA1C9"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Administrative Advice:</w:t>
            </w:r>
          </w:p>
          <w:p w14:paraId="30345950"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Any queries concerning the arrangements to prescribe may be directed to Services Australia on 1800 700 270 (hours of operation 8 a.m. to 5 p.m. Monday to Friday).</w:t>
            </w:r>
          </w:p>
          <w:p w14:paraId="63531BDD"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Prescribing information (including Authority Application forms and other relevant documentation as applicable) is available on the Services Australia website at www.servicesaustralia.gov.au</w:t>
            </w:r>
          </w:p>
          <w:p w14:paraId="0660EA45"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Applications for authority to prescribe should be submitted online using the form upload facility in Health Professional Online Services (HPOS) at www.servicesaustralia.gov.au/hpos</w:t>
            </w:r>
          </w:p>
          <w:p w14:paraId="4F080BA4"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Or mailed to:</w:t>
            </w:r>
          </w:p>
          <w:p w14:paraId="02B383B9"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Services Australia</w:t>
            </w:r>
          </w:p>
          <w:p w14:paraId="3BD10E53"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Complex Drugs</w:t>
            </w:r>
          </w:p>
          <w:p w14:paraId="5E1F4FE2"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Reply Paid 9826</w:t>
            </w:r>
          </w:p>
          <w:p w14:paraId="724877C0"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HOBART TAS 7001</w:t>
            </w:r>
          </w:p>
        </w:tc>
      </w:tr>
      <w:tr w:rsidR="00870F84" w:rsidRPr="00870F84" w14:paraId="5AD0DA70" w14:textId="77777777" w:rsidTr="006D1A95">
        <w:tc>
          <w:tcPr>
            <w:tcW w:w="9209" w:type="dxa"/>
            <w:gridSpan w:val="2"/>
          </w:tcPr>
          <w:p w14:paraId="49C30CDA" w14:textId="77777777" w:rsidR="00870F84" w:rsidRPr="00870F84" w:rsidRDefault="00870F84" w:rsidP="00870F84">
            <w:pPr>
              <w:spacing w:line="256" w:lineRule="auto"/>
              <w:jc w:val="left"/>
              <w:textAlignment w:val="baseline"/>
              <w:rPr>
                <w:rFonts w:ascii="Arial Narrow" w:hAnsi="Arial Narrow" w:cs="Open Sans"/>
                <w:b/>
                <w:bCs/>
                <w:color w:val="333333"/>
                <w:sz w:val="18"/>
                <w:szCs w:val="18"/>
                <w:bdr w:val="none" w:sz="0" w:space="0" w:color="auto" w:frame="1"/>
              </w:rPr>
            </w:pPr>
          </w:p>
        </w:tc>
      </w:tr>
      <w:tr w:rsidR="00870F84" w:rsidRPr="00870F84" w14:paraId="047B7B91" w14:textId="77777777" w:rsidTr="006D1A95">
        <w:tc>
          <w:tcPr>
            <w:tcW w:w="9209" w:type="dxa"/>
            <w:gridSpan w:val="2"/>
          </w:tcPr>
          <w:p w14:paraId="1958F353" w14:textId="77777777" w:rsidR="00870F84" w:rsidRPr="00870F84" w:rsidRDefault="00870F84" w:rsidP="00870F84">
            <w:pPr>
              <w:spacing w:line="256" w:lineRule="auto"/>
              <w:jc w:val="left"/>
              <w:textAlignment w:val="baseline"/>
              <w:rPr>
                <w:rFonts w:ascii="Arial Narrow" w:hAnsi="Arial Narrow" w:cs="Open Sans"/>
                <w:b/>
                <w:bCs/>
                <w:color w:val="333333"/>
                <w:sz w:val="18"/>
                <w:szCs w:val="18"/>
                <w:bdr w:val="none" w:sz="0" w:space="0" w:color="auto" w:frame="1"/>
              </w:rPr>
            </w:pPr>
            <w:r w:rsidRPr="00870F84">
              <w:rPr>
                <w:rFonts w:ascii="Arial Narrow" w:hAnsi="Arial Narrow" w:cs="Times New Roman"/>
                <w:b/>
                <w:sz w:val="18"/>
                <w:szCs w:val="18"/>
              </w:rPr>
              <w:t>Restriction Summary 11830 / Treatment of Concept: 11915</w:t>
            </w:r>
          </w:p>
        </w:tc>
      </w:tr>
      <w:tr w:rsidR="00870F84" w:rsidRPr="00870F84" w14:paraId="2FF5E692" w14:textId="77777777" w:rsidTr="00955601">
        <w:tc>
          <w:tcPr>
            <w:tcW w:w="1129" w:type="dxa"/>
          </w:tcPr>
          <w:p w14:paraId="104016F0" w14:textId="6D924C59"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05BC9D94"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 xml:space="preserve">Indication: </w:t>
            </w:r>
            <w:r w:rsidRPr="00870F84">
              <w:rPr>
                <w:rFonts w:ascii="Arial Narrow" w:hAnsi="Arial Narrow" w:cs="Open Sans"/>
                <w:color w:val="333333"/>
                <w:sz w:val="18"/>
                <w:szCs w:val="18"/>
              </w:rPr>
              <w:t>Moderate to severe ulcerative colitis</w:t>
            </w:r>
          </w:p>
        </w:tc>
      </w:tr>
      <w:tr w:rsidR="00870F84" w:rsidRPr="00870F84" w14:paraId="3C79E4E0" w14:textId="77777777" w:rsidTr="006D1A95">
        <w:tc>
          <w:tcPr>
            <w:tcW w:w="1129" w:type="dxa"/>
          </w:tcPr>
          <w:p w14:paraId="079B4489" w14:textId="77777777" w:rsidR="00870F84" w:rsidRPr="00870F84" w:rsidRDefault="00870F84" w:rsidP="00870F84">
            <w:pPr>
              <w:spacing w:line="256" w:lineRule="auto"/>
              <w:jc w:val="center"/>
              <w:rPr>
                <w:rFonts w:ascii="Arial Narrow" w:hAnsi="Arial Narrow" w:cs="Open Sans"/>
                <w:color w:val="333333"/>
                <w:sz w:val="18"/>
                <w:szCs w:val="18"/>
              </w:rPr>
            </w:pPr>
          </w:p>
        </w:tc>
        <w:tc>
          <w:tcPr>
            <w:tcW w:w="8080" w:type="dxa"/>
          </w:tcPr>
          <w:p w14:paraId="6AA0F8E9" w14:textId="77777777" w:rsidR="00870F84" w:rsidRPr="00870F84" w:rsidRDefault="00870F84" w:rsidP="00870F84">
            <w:pPr>
              <w:spacing w:line="256" w:lineRule="auto"/>
              <w:jc w:val="left"/>
              <w:textAlignment w:val="baseline"/>
              <w:rPr>
                <w:rFonts w:ascii="Arial Narrow" w:hAnsi="Arial Narrow" w:cs="Open Sans"/>
                <w:b/>
                <w:bCs/>
                <w:color w:val="333333"/>
                <w:sz w:val="18"/>
                <w:szCs w:val="18"/>
                <w:bdr w:val="none" w:sz="0" w:space="0" w:color="auto" w:frame="1"/>
              </w:rPr>
            </w:pPr>
          </w:p>
        </w:tc>
      </w:tr>
      <w:tr w:rsidR="00870F84" w:rsidRPr="00870F84" w14:paraId="346680BC" w14:textId="77777777" w:rsidTr="00955601">
        <w:tc>
          <w:tcPr>
            <w:tcW w:w="1129" w:type="dxa"/>
          </w:tcPr>
          <w:p w14:paraId="2B4E443C" w14:textId="77777777" w:rsidR="00870F84" w:rsidRPr="00870F84" w:rsidRDefault="00870F84" w:rsidP="00870F84">
            <w:pPr>
              <w:spacing w:line="256" w:lineRule="auto"/>
              <w:jc w:val="center"/>
              <w:rPr>
                <w:rFonts w:ascii="Arial Narrow" w:hAnsi="Arial Narrow" w:cs="Open Sans"/>
                <w:color w:val="333333"/>
                <w:sz w:val="18"/>
                <w:szCs w:val="18"/>
              </w:rPr>
            </w:pPr>
          </w:p>
        </w:tc>
        <w:tc>
          <w:tcPr>
            <w:tcW w:w="8080" w:type="dxa"/>
            <w:hideMark/>
          </w:tcPr>
          <w:p w14:paraId="749C89FC"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 xml:space="preserve">Treatment Phase: </w:t>
            </w:r>
            <w:r w:rsidRPr="00870F84">
              <w:rPr>
                <w:rFonts w:ascii="Arial Narrow" w:hAnsi="Arial Narrow" w:cs="Open Sans"/>
                <w:color w:val="333333"/>
                <w:sz w:val="18"/>
                <w:szCs w:val="18"/>
              </w:rPr>
              <w:t>Initial treatment - Initial 2 (change or re-commencement of treatment after a break in biological medicine of less than 5 years)</w:t>
            </w:r>
          </w:p>
        </w:tc>
      </w:tr>
      <w:tr w:rsidR="00870F84" w:rsidRPr="00870F84" w14:paraId="4C5E61A7" w14:textId="77777777" w:rsidTr="006D1A95">
        <w:tc>
          <w:tcPr>
            <w:tcW w:w="1129" w:type="dxa"/>
          </w:tcPr>
          <w:p w14:paraId="5B656D42" w14:textId="77777777" w:rsidR="00870F84" w:rsidRPr="00870F84" w:rsidRDefault="00870F84" w:rsidP="00870F84">
            <w:pPr>
              <w:spacing w:line="256" w:lineRule="auto"/>
              <w:jc w:val="center"/>
              <w:rPr>
                <w:rFonts w:ascii="Arial Narrow" w:hAnsi="Arial Narrow" w:cs="Open Sans"/>
                <w:color w:val="333333"/>
                <w:sz w:val="18"/>
                <w:szCs w:val="18"/>
              </w:rPr>
            </w:pPr>
          </w:p>
        </w:tc>
        <w:tc>
          <w:tcPr>
            <w:tcW w:w="8080" w:type="dxa"/>
          </w:tcPr>
          <w:p w14:paraId="5D1D6952" w14:textId="77777777" w:rsidR="00870F84" w:rsidRPr="00870F84" w:rsidRDefault="00870F84" w:rsidP="00870F84">
            <w:pPr>
              <w:spacing w:line="256" w:lineRule="auto"/>
              <w:jc w:val="left"/>
              <w:textAlignment w:val="baseline"/>
              <w:rPr>
                <w:rFonts w:ascii="Arial Narrow" w:hAnsi="Arial Narrow" w:cs="Open Sans"/>
                <w:b/>
                <w:bCs/>
                <w:color w:val="333333"/>
                <w:sz w:val="18"/>
                <w:szCs w:val="18"/>
                <w:bdr w:val="none" w:sz="0" w:space="0" w:color="auto" w:frame="1"/>
              </w:rPr>
            </w:pPr>
          </w:p>
        </w:tc>
      </w:tr>
      <w:tr w:rsidR="00870F84" w:rsidRPr="00870F84" w14:paraId="33061278" w14:textId="77777777" w:rsidTr="00955601">
        <w:tc>
          <w:tcPr>
            <w:tcW w:w="1129" w:type="dxa"/>
          </w:tcPr>
          <w:p w14:paraId="5BD52EF7" w14:textId="2087D337"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1C7797C5"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Treatment criteria:</w:t>
            </w:r>
          </w:p>
        </w:tc>
      </w:tr>
      <w:tr w:rsidR="00870F84" w:rsidRPr="00870F84" w14:paraId="58C2A38E" w14:textId="77777777" w:rsidTr="00955601">
        <w:tc>
          <w:tcPr>
            <w:tcW w:w="1129" w:type="dxa"/>
          </w:tcPr>
          <w:p w14:paraId="0AFF5E63" w14:textId="15BEB994"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01D4B8D0"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color w:val="333333"/>
                <w:sz w:val="18"/>
                <w:szCs w:val="18"/>
              </w:rPr>
              <w:t>Must be treated by a gastroenterologist (code 87); or</w:t>
            </w:r>
          </w:p>
        </w:tc>
      </w:tr>
      <w:tr w:rsidR="00870F84" w:rsidRPr="00870F84" w14:paraId="3029A260" w14:textId="77777777" w:rsidTr="00955601">
        <w:tc>
          <w:tcPr>
            <w:tcW w:w="1129" w:type="dxa"/>
          </w:tcPr>
          <w:p w14:paraId="3E096DEF" w14:textId="50E21903"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0ACB3129"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color w:val="333333"/>
                <w:sz w:val="18"/>
                <w:szCs w:val="18"/>
              </w:rPr>
              <w:t>Must be treated by a consultant physician [internal medicine specialising in gastroenterology (code 81)]; or</w:t>
            </w:r>
          </w:p>
        </w:tc>
      </w:tr>
      <w:tr w:rsidR="00870F84" w:rsidRPr="00870F84" w14:paraId="0D902659" w14:textId="77777777" w:rsidTr="00955601">
        <w:tc>
          <w:tcPr>
            <w:tcW w:w="1129" w:type="dxa"/>
          </w:tcPr>
          <w:p w14:paraId="4847045B" w14:textId="0CE6756A"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677EFBD6"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color w:val="333333"/>
                <w:sz w:val="18"/>
                <w:szCs w:val="18"/>
              </w:rPr>
              <w:t>Must be treated by a consultant physician [general medicine specialising in gastroenterology (code 82)]</w:t>
            </w:r>
          </w:p>
        </w:tc>
      </w:tr>
      <w:tr w:rsidR="00870F84" w:rsidRPr="00870F84" w14:paraId="195E587F" w14:textId="77777777" w:rsidTr="00955601">
        <w:tc>
          <w:tcPr>
            <w:tcW w:w="1129" w:type="dxa"/>
          </w:tcPr>
          <w:p w14:paraId="6E1BE37E" w14:textId="77777777" w:rsidR="00870F84" w:rsidRPr="00870F84" w:rsidRDefault="00870F84" w:rsidP="00870F84">
            <w:pPr>
              <w:spacing w:line="256" w:lineRule="auto"/>
              <w:jc w:val="center"/>
              <w:rPr>
                <w:rFonts w:ascii="Arial Narrow" w:hAnsi="Arial Narrow" w:cs="Open Sans"/>
                <w:color w:val="333333"/>
                <w:sz w:val="18"/>
                <w:szCs w:val="18"/>
              </w:rPr>
            </w:pPr>
          </w:p>
        </w:tc>
        <w:tc>
          <w:tcPr>
            <w:tcW w:w="8080" w:type="dxa"/>
            <w:hideMark/>
          </w:tcPr>
          <w:p w14:paraId="3EF35DB2"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AND</w:t>
            </w:r>
          </w:p>
        </w:tc>
      </w:tr>
      <w:tr w:rsidR="00870F84" w:rsidRPr="00870F84" w14:paraId="223A2974" w14:textId="77777777" w:rsidTr="00955601">
        <w:tc>
          <w:tcPr>
            <w:tcW w:w="1129" w:type="dxa"/>
          </w:tcPr>
          <w:p w14:paraId="5375CA04" w14:textId="00331783"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68D3D909"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Clinical criteria:</w:t>
            </w:r>
          </w:p>
        </w:tc>
      </w:tr>
      <w:tr w:rsidR="00870F84" w:rsidRPr="00870F84" w14:paraId="1260AE62" w14:textId="77777777" w:rsidTr="00955601">
        <w:tc>
          <w:tcPr>
            <w:tcW w:w="1129" w:type="dxa"/>
          </w:tcPr>
          <w:p w14:paraId="2C55124C" w14:textId="4319B250"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56ABA834"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color w:val="333333"/>
                <w:sz w:val="18"/>
                <w:szCs w:val="18"/>
              </w:rPr>
              <w:t>Patient must have received prior PBS-subsidised treatment with a biological medicine for this condition in this treatment cycle</w:t>
            </w:r>
          </w:p>
        </w:tc>
      </w:tr>
      <w:tr w:rsidR="00870F84" w:rsidRPr="00870F84" w14:paraId="23B297B7" w14:textId="77777777" w:rsidTr="00955601">
        <w:tc>
          <w:tcPr>
            <w:tcW w:w="1129" w:type="dxa"/>
          </w:tcPr>
          <w:p w14:paraId="220E90C3" w14:textId="77777777" w:rsidR="00870F84" w:rsidRPr="00870F84" w:rsidRDefault="00870F84" w:rsidP="00870F84">
            <w:pPr>
              <w:spacing w:line="256" w:lineRule="auto"/>
              <w:jc w:val="center"/>
              <w:rPr>
                <w:rFonts w:ascii="Arial Narrow" w:hAnsi="Arial Narrow" w:cs="Open Sans"/>
                <w:color w:val="333333"/>
                <w:sz w:val="18"/>
                <w:szCs w:val="18"/>
              </w:rPr>
            </w:pPr>
          </w:p>
        </w:tc>
        <w:tc>
          <w:tcPr>
            <w:tcW w:w="8080" w:type="dxa"/>
            <w:hideMark/>
          </w:tcPr>
          <w:p w14:paraId="23D4544B"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AND</w:t>
            </w:r>
          </w:p>
        </w:tc>
      </w:tr>
      <w:tr w:rsidR="00870F84" w:rsidRPr="00870F84" w14:paraId="588B59E7" w14:textId="77777777" w:rsidTr="00955601">
        <w:tc>
          <w:tcPr>
            <w:tcW w:w="1129" w:type="dxa"/>
          </w:tcPr>
          <w:p w14:paraId="1573127D" w14:textId="4BDA89F8"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7A98F210"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Clinical criteria:</w:t>
            </w:r>
          </w:p>
        </w:tc>
      </w:tr>
      <w:tr w:rsidR="00870F84" w:rsidRPr="00870F84" w14:paraId="2C54B07C" w14:textId="77777777" w:rsidTr="00955601">
        <w:tc>
          <w:tcPr>
            <w:tcW w:w="1129" w:type="dxa"/>
          </w:tcPr>
          <w:p w14:paraId="7504EA20" w14:textId="19EBCE55"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5896CD74"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color w:val="333333"/>
                <w:sz w:val="18"/>
                <w:szCs w:val="18"/>
              </w:rPr>
              <w:t>Patient must not have already failed, or ceased to respond to, PBS-subsidised treatment with this drug for this condition during the current treatment cycle</w:t>
            </w:r>
          </w:p>
        </w:tc>
      </w:tr>
      <w:tr w:rsidR="00870F84" w:rsidRPr="00870F84" w14:paraId="0A371057" w14:textId="77777777" w:rsidTr="00955601">
        <w:tc>
          <w:tcPr>
            <w:tcW w:w="1129" w:type="dxa"/>
          </w:tcPr>
          <w:p w14:paraId="48035A9D" w14:textId="77777777" w:rsidR="00870F84" w:rsidRPr="00870F84" w:rsidRDefault="00870F84" w:rsidP="00870F84">
            <w:pPr>
              <w:spacing w:line="256" w:lineRule="auto"/>
              <w:jc w:val="center"/>
              <w:rPr>
                <w:rFonts w:ascii="Arial Narrow" w:hAnsi="Arial Narrow" w:cs="Open Sans"/>
                <w:color w:val="333333"/>
                <w:sz w:val="18"/>
                <w:szCs w:val="18"/>
              </w:rPr>
            </w:pPr>
          </w:p>
        </w:tc>
        <w:tc>
          <w:tcPr>
            <w:tcW w:w="8080" w:type="dxa"/>
            <w:hideMark/>
          </w:tcPr>
          <w:p w14:paraId="43B82382"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AND</w:t>
            </w:r>
          </w:p>
        </w:tc>
      </w:tr>
      <w:tr w:rsidR="00870F84" w:rsidRPr="00870F84" w14:paraId="04AE9BA5" w14:textId="77777777" w:rsidTr="00955601">
        <w:tc>
          <w:tcPr>
            <w:tcW w:w="1129" w:type="dxa"/>
          </w:tcPr>
          <w:p w14:paraId="7D7A9279" w14:textId="06574130"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625226FD"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Population criteria:</w:t>
            </w:r>
          </w:p>
        </w:tc>
      </w:tr>
      <w:tr w:rsidR="00870F84" w:rsidRPr="00870F84" w14:paraId="240D6F1E" w14:textId="77777777" w:rsidTr="00955601">
        <w:tc>
          <w:tcPr>
            <w:tcW w:w="1129" w:type="dxa"/>
          </w:tcPr>
          <w:p w14:paraId="3995B35A" w14:textId="5C6C8BA7"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3F0E5631"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color w:val="333333"/>
                <w:sz w:val="18"/>
                <w:szCs w:val="18"/>
              </w:rPr>
              <w:t>Patient must be at least 18 years of age</w:t>
            </w:r>
          </w:p>
        </w:tc>
      </w:tr>
      <w:tr w:rsidR="00870F84" w:rsidRPr="00870F84" w14:paraId="26BE5863" w14:textId="77777777" w:rsidTr="006D1A95">
        <w:tc>
          <w:tcPr>
            <w:tcW w:w="1129" w:type="dxa"/>
          </w:tcPr>
          <w:p w14:paraId="326C9928" w14:textId="77777777"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tcPr>
          <w:p w14:paraId="0B3C6369" w14:textId="77777777" w:rsidR="00870F84" w:rsidRPr="00870F84" w:rsidRDefault="00870F84" w:rsidP="00870F84">
            <w:pPr>
              <w:spacing w:line="256" w:lineRule="auto"/>
              <w:jc w:val="left"/>
              <w:textAlignment w:val="baseline"/>
              <w:rPr>
                <w:rFonts w:ascii="Arial Narrow" w:hAnsi="Arial Narrow" w:cs="Open Sans"/>
                <w:b/>
                <w:bCs/>
                <w:color w:val="333333"/>
                <w:sz w:val="18"/>
                <w:szCs w:val="18"/>
                <w:bdr w:val="none" w:sz="0" w:space="0" w:color="auto" w:frame="1"/>
              </w:rPr>
            </w:pPr>
          </w:p>
        </w:tc>
      </w:tr>
      <w:tr w:rsidR="00870F84" w:rsidRPr="00870F84" w14:paraId="6C71CBE4" w14:textId="77777777" w:rsidTr="00955601">
        <w:tc>
          <w:tcPr>
            <w:tcW w:w="1129" w:type="dxa"/>
          </w:tcPr>
          <w:p w14:paraId="7D131744" w14:textId="4B366EDE"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60707C05"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Prescribing Instructions:</w:t>
            </w:r>
          </w:p>
          <w:p w14:paraId="5652B072"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The authority application must be made in writing and must include:</w:t>
            </w:r>
          </w:p>
          <w:p w14:paraId="3D47DD15"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(1) a completed authority prescription form; and</w:t>
            </w:r>
          </w:p>
          <w:p w14:paraId="08F9360A"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lastRenderedPageBreak/>
              <w:t>(2) a completed authority application form relevant to the indication and treatment phase (the latest version is located on the website specified in the Administrative Advice), which includes:</w:t>
            </w:r>
          </w:p>
          <w:p w14:paraId="5B9AD514"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w:t>
            </w:r>
            <w:proofErr w:type="spellStart"/>
            <w:r w:rsidRPr="00870F84">
              <w:rPr>
                <w:rFonts w:ascii="Arial Narrow" w:hAnsi="Arial Narrow" w:cs="Open Sans"/>
                <w:color w:val="333333"/>
                <w:sz w:val="18"/>
                <w:szCs w:val="18"/>
              </w:rPr>
              <w:t>i</w:t>
            </w:r>
            <w:proofErr w:type="spellEnd"/>
            <w:r w:rsidRPr="00870F84">
              <w:rPr>
                <w:rFonts w:ascii="Arial Narrow" w:hAnsi="Arial Narrow" w:cs="Open Sans"/>
                <w:color w:val="333333"/>
                <w:sz w:val="18"/>
                <w:szCs w:val="18"/>
              </w:rPr>
              <w:t>) the completed current Mayo clinic or partial Mayo clinic calculation sheet including the date of assessment of the patient's condition if relevant; and</w:t>
            </w:r>
          </w:p>
          <w:p w14:paraId="5DED49FD"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(ii) the details of prior biological medicine treatment including the details of date and duration of treatment.</w:t>
            </w:r>
          </w:p>
          <w:p w14:paraId="733C5410"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p>
        </w:tc>
      </w:tr>
      <w:tr w:rsidR="00870F84" w:rsidRPr="00870F84" w14:paraId="56BCA1E4" w14:textId="77777777" w:rsidTr="00955601">
        <w:tc>
          <w:tcPr>
            <w:tcW w:w="1129" w:type="dxa"/>
          </w:tcPr>
          <w:p w14:paraId="1776D5EB" w14:textId="02481564"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44F945ED"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Prescribing Instructions:</w:t>
            </w:r>
          </w:p>
          <w:p w14:paraId="29FC7FB9"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A</w:t>
            </w:r>
            <w:r w:rsidRPr="00870F84">
              <w:rPr>
                <w:rFonts w:ascii="Arial Narrow" w:hAnsi="Arial Narrow" w:cs="Open Sans"/>
                <w:sz w:val="18"/>
                <w:szCs w:val="18"/>
              </w:rPr>
              <w:t>n assessment of a patient's response to this initial course of treatment must be conducted between 9 and 17 weeks of therapy.</w:t>
            </w:r>
          </w:p>
        </w:tc>
      </w:tr>
      <w:tr w:rsidR="00870F84" w:rsidRPr="00870F84" w14:paraId="7477E026" w14:textId="77777777" w:rsidTr="00955601">
        <w:tc>
          <w:tcPr>
            <w:tcW w:w="1129" w:type="dxa"/>
          </w:tcPr>
          <w:p w14:paraId="715D13B4" w14:textId="22694F88"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1AC9E34B"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Prescribing Instructions:</w:t>
            </w:r>
          </w:p>
          <w:p w14:paraId="4E21744F"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870F84" w:rsidRPr="00870F84" w14:paraId="0963E378" w14:textId="77777777" w:rsidTr="00955601">
        <w:tc>
          <w:tcPr>
            <w:tcW w:w="1129" w:type="dxa"/>
          </w:tcPr>
          <w:p w14:paraId="496C6C5A" w14:textId="3D1CE2B6"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5F85A198"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Prescribing Instructions:</w:t>
            </w:r>
          </w:p>
          <w:p w14:paraId="24952973"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 xml:space="preserve">If a patient fails to demonstrate a response to treatment with this </w:t>
            </w:r>
            <w:proofErr w:type="gramStart"/>
            <w:r w:rsidRPr="00870F84">
              <w:rPr>
                <w:rFonts w:ascii="Arial Narrow" w:hAnsi="Arial Narrow" w:cs="Open Sans"/>
                <w:color w:val="333333"/>
                <w:sz w:val="18"/>
                <w:szCs w:val="18"/>
              </w:rPr>
              <w:t>drug</w:t>
            </w:r>
            <w:proofErr w:type="gramEnd"/>
            <w:r w:rsidRPr="00870F84">
              <w:rPr>
                <w:rFonts w:ascii="Arial Narrow" w:hAnsi="Arial Narrow" w:cs="Open Sans"/>
                <w:color w:val="333333"/>
                <w:sz w:val="18"/>
                <w:szCs w:val="18"/>
              </w:rPr>
              <w:t xml:space="preserve">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870F84" w:rsidRPr="00870F84" w14:paraId="0CEF1F10" w14:textId="77777777" w:rsidTr="00955601">
        <w:tc>
          <w:tcPr>
            <w:tcW w:w="1129" w:type="dxa"/>
          </w:tcPr>
          <w:p w14:paraId="7C3F28B6" w14:textId="1832237B"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1E09C209"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Prescribing Instructions:</w:t>
            </w:r>
          </w:p>
          <w:p w14:paraId="776586BE"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A patient who fails to demonstrate a response to treatment with this drug under this restriction will not be eligible to receive further PBS-subsidised treatment with this drug in this treatment cycle. 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r>
      <w:tr w:rsidR="00870F84" w:rsidRPr="00870F84" w14:paraId="10B89850" w14:textId="77777777" w:rsidTr="00955601">
        <w:tc>
          <w:tcPr>
            <w:tcW w:w="1129" w:type="dxa"/>
          </w:tcPr>
          <w:p w14:paraId="4C875BFD" w14:textId="5687E479"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7FE0D512"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Prescribing Instructions:</w:t>
            </w:r>
          </w:p>
          <w:p w14:paraId="6F5AFD69"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 xml:space="preserve">A maximum of 16 weeks of treatment with this drug will be approved under this </w:t>
            </w:r>
            <w:r w:rsidRPr="00870F84">
              <w:rPr>
                <w:rFonts w:ascii="Arial Narrow" w:hAnsi="Arial Narrow" w:cs="Open Sans"/>
                <w:sz w:val="18"/>
                <w:szCs w:val="18"/>
              </w:rPr>
              <w:t>criterion</w:t>
            </w:r>
            <w:r w:rsidRPr="00870F84">
              <w:rPr>
                <w:rFonts w:ascii="Arial Narrow" w:hAnsi="Arial Narrow" w:cs="Open Sans"/>
                <w:color w:val="333333"/>
                <w:sz w:val="18"/>
                <w:szCs w:val="18"/>
              </w:rPr>
              <w:t>.</w:t>
            </w:r>
          </w:p>
        </w:tc>
      </w:tr>
      <w:tr w:rsidR="00870F84" w:rsidRPr="00870F84" w14:paraId="0FB8E4F3" w14:textId="77777777" w:rsidTr="006D1A95">
        <w:tc>
          <w:tcPr>
            <w:tcW w:w="1129" w:type="dxa"/>
          </w:tcPr>
          <w:p w14:paraId="14B7EF96" w14:textId="77777777"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tcPr>
          <w:p w14:paraId="6F6EFBA5" w14:textId="77777777" w:rsidR="00870F84" w:rsidRPr="00870F84" w:rsidRDefault="00870F84" w:rsidP="00870F84">
            <w:pPr>
              <w:spacing w:line="256" w:lineRule="auto"/>
              <w:jc w:val="left"/>
              <w:textAlignment w:val="baseline"/>
              <w:rPr>
                <w:rFonts w:ascii="Arial Narrow" w:hAnsi="Arial Narrow" w:cs="Open Sans"/>
                <w:b/>
                <w:bCs/>
                <w:color w:val="333333"/>
                <w:sz w:val="18"/>
                <w:szCs w:val="18"/>
                <w:bdr w:val="none" w:sz="0" w:space="0" w:color="auto" w:frame="1"/>
              </w:rPr>
            </w:pPr>
          </w:p>
        </w:tc>
      </w:tr>
      <w:tr w:rsidR="00870F84" w:rsidRPr="00870F84" w14:paraId="17B793B9" w14:textId="77777777" w:rsidTr="00955601">
        <w:tc>
          <w:tcPr>
            <w:tcW w:w="1129" w:type="dxa"/>
          </w:tcPr>
          <w:p w14:paraId="6A65171D" w14:textId="75DFFF85"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4334A4E7"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Administrative Advice:</w:t>
            </w:r>
          </w:p>
          <w:p w14:paraId="55A704F0"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Any queries concerning the arrangements to prescribe may be directed to Services Australia on 1800 700 270 (hours of operation 8 a.m. to 5 p.m. Monday to Friday).</w:t>
            </w:r>
          </w:p>
          <w:p w14:paraId="03754EEC"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Prescribing information (including Authority Application forms and other relevant documentation as applicable) is available on the Services Australia website at www.servicesaustralia.gov.au</w:t>
            </w:r>
          </w:p>
          <w:p w14:paraId="46615E25"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Applications for authority to prescribe should be submitted online using the form upload facility in Health Professional Online Services (HPOS) at www.servicesaustralia.gov.au/hpos</w:t>
            </w:r>
          </w:p>
          <w:p w14:paraId="206583F1"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Or mailed to:</w:t>
            </w:r>
          </w:p>
          <w:p w14:paraId="71836780"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Services Australia</w:t>
            </w:r>
          </w:p>
          <w:p w14:paraId="5926871E"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Complex Drugs</w:t>
            </w:r>
          </w:p>
          <w:p w14:paraId="361A8036"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Reply Paid 9826</w:t>
            </w:r>
          </w:p>
          <w:p w14:paraId="31B56A30"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HOBART TAS 7001</w:t>
            </w:r>
          </w:p>
        </w:tc>
      </w:tr>
      <w:tr w:rsidR="00870F84" w:rsidRPr="00870F84" w14:paraId="144A6781" w14:textId="77777777" w:rsidTr="00955601">
        <w:trPr>
          <w:trHeight w:val="340"/>
        </w:trPr>
        <w:tc>
          <w:tcPr>
            <w:tcW w:w="9209" w:type="dxa"/>
            <w:gridSpan w:val="2"/>
          </w:tcPr>
          <w:p w14:paraId="4EE07737" w14:textId="77777777" w:rsidR="00870F84" w:rsidRPr="00870F84" w:rsidRDefault="00870F84" w:rsidP="00870F84">
            <w:pPr>
              <w:spacing w:line="256" w:lineRule="auto"/>
              <w:jc w:val="left"/>
              <w:textAlignment w:val="baseline"/>
              <w:rPr>
                <w:rFonts w:ascii="Arial Narrow" w:hAnsi="Arial Narrow" w:cs="Open Sans"/>
                <w:b/>
                <w:bCs/>
                <w:color w:val="333333"/>
                <w:sz w:val="18"/>
                <w:szCs w:val="18"/>
                <w:bdr w:val="none" w:sz="0" w:space="0" w:color="auto" w:frame="1"/>
              </w:rPr>
            </w:pPr>
          </w:p>
        </w:tc>
      </w:tr>
      <w:tr w:rsidR="00870F84" w:rsidRPr="00870F84" w14:paraId="6BECC794" w14:textId="77777777" w:rsidTr="006D1A95">
        <w:tc>
          <w:tcPr>
            <w:tcW w:w="9209" w:type="dxa"/>
            <w:gridSpan w:val="2"/>
          </w:tcPr>
          <w:p w14:paraId="05717045" w14:textId="1F080922" w:rsidR="00870F84" w:rsidRPr="00870F84" w:rsidRDefault="00870F84" w:rsidP="00870F84">
            <w:pPr>
              <w:spacing w:line="256" w:lineRule="auto"/>
              <w:jc w:val="left"/>
              <w:textAlignment w:val="baseline"/>
              <w:rPr>
                <w:rFonts w:ascii="Arial Narrow" w:hAnsi="Arial Narrow" w:cs="Open Sans"/>
                <w:b/>
                <w:bCs/>
                <w:color w:val="333333"/>
                <w:sz w:val="18"/>
                <w:szCs w:val="18"/>
                <w:bdr w:val="none" w:sz="0" w:space="0" w:color="auto" w:frame="1"/>
              </w:rPr>
            </w:pPr>
            <w:r w:rsidRPr="00870F84">
              <w:rPr>
                <w:rFonts w:ascii="Arial Narrow" w:hAnsi="Arial Narrow" w:cs="Times New Roman"/>
                <w:b/>
                <w:sz w:val="18"/>
                <w:szCs w:val="18"/>
              </w:rPr>
              <w:t>Restriction Summary TMP</w:t>
            </w:r>
            <w:r w:rsidRPr="00870F84">
              <w:rPr>
                <w:rFonts w:ascii="Arial Narrow" w:hAnsi="Arial Narrow" w:cs="Times New Roman"/>
                <w:b/>
                <w:color w:val="BFBFBF"/>
                <w:sz w:val="18"/>
                <w:szCs w:val="18"/>
              </w:rPr>
              <w:t xml:space="preserve"> </w:t>
            </w:r>
            <w:r w:rsidRPr="00870F84">
              <w:rPr>
                <w:rFonts w:ascii="Arial Narrow" w:hAnsi="Arial Narrow" w:cs="Times New Roman"/>
                <w:b/>
                <w:sz w:val="18"/>
                <w:szCs w:val="18"/>
              </w:rPr>
              <w:t>/ Treatment of Concept: TMP</w:t>
            </w:r>
            <w:r w:rsidRPr="00870F84">
              <w:rPr>
                <w:rFonts w:ascii="Arial Narrow" w:hAnsi="Arial Narrow" w:cs="Times New Roman"/>
                <w:b/>
                <w:color w:val="BFBFBF"/>
                <w:sz w:val="18"/>
                <w:szCs w:val="18"/>
              </w:rPr>
              <w:t xml:space="preserve"> </w:t>
            </w:r>
            <w:r w:rsidRPr="00870F84">
              <w:rPr>
                <w:rFonts w:ascii="Arial Narrow" w:hAnsi="Arial Narrow" w:cs="Times New Roman"/>
                <w:b/>
                <w:sz w:val="18"/>
                <w:szCs w:val="18"/>
              </w:rPr>
              <w:t>Authority Required</w:t>
            </w:r>
          </w:p>
        </w:tc>
      </w:tr>
      <w:tr w:rsidR="00870F84" w:rsidRPr="00870F84" w14:paraId="65F8FBAB" w14:textId="77777777" w:rsidTr="00955601">
        <w:tc>
          <w:tcPr>
            <w:tcW w:w="1129" w:type="dxa"/>
          </w:tcPr>
          <w:p w14:paraId="75B161AA" w14:textId="16BDCDFC"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30FC9BFD"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 xml:space="preserve">Indication: </w:t>
            </w:r>
            <w:r w:rsidRPr="00870F84">
              <w:rPr>
                <w:rFonts w:ascii="Arial Narrow" w:hAnsi="Arial Narrow" w:cs="Open Sans"/>
                <w:color w:val="333333"/>
                <w:sz w:val="18"/>
                <w:szCs w:val="18"/>
              </w:rPr>
              <w:t>Moderate to severe ulcerative colitis</w:t>
            </w:r>
          </w:p>
        </w:tc>
      </w:tr>
      <w:tr w:rsidR="00870F84" w:rsidRPr="00870F84" w14:paraId="67201AE5" w14:textId="77777777" w:rsidTr="006D1A95">
        <w:tc>
          <w:tcPr>
            <w:tcW w:w="1129" w:type="dxa"/>
          </w:tcPr>
          <w:p w14:paraId="1BDBC942" w14:textId="77777777"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tcPr>
          <w:p w14:paraId="59C49F4C" w14:textId="77777777" w:rsidR="00870F84" w:rsidRPr="00870F84" w:rsidRDefault="00870F84" w:rsidP="00870F84">
            <w:pPr>
              <w:spacing w:line="256" w:lineRule="auto"/>
              <w:jc w:val="left"/>
              <w:textAlignment w:val="baseline"/>
              <w:rPr>
                <w:rFonts w:ascii="Arial Narrow" w:hAnsi="Arial Narrow" w:cs="Open Sans"/>
                <w:b/>
                <w:bCs/>
                <w:color w:val="333333"/>
                <w:sz w:val="18"/>
                <w:szCs w:val="18"/>
                <w:bdr w:val="none" w:sz="0" w:space="0" w:color="auto" w:frame="1"/>
              </w:rPr>
            </w:pPr>
          </w:p>
        </w:tc>
      </w:tr>
      <w:tr w:rsidR="00870F84" w:rsidRPr="00870F84" w14:paraId="292AAD6D" w14:textId="77777777" w:rsidTr="00955601">
        <w:tc>
          <w:tcPr>
            <w:tcW w:w="1129" w:type="dxa"/>
          </w:tcPr>
          <w:p w14:paraId="55B4BFCC" w14:textId="77777777" w:rsidR="00870F84" w:rsidRPr="00870F84" w:rsidRDefault="00870F84" w:rsidP="00870F84">
            <w:pPr>
              <w:spacing w:line="256" w:lineRule="auto"/>
              <w:jc w:val="center"/>
              <w:rPr>
                <w:rFonts w:ascii="Arial Narrow" w:hAnsi="Arial Narrow" w:cs="Open Sans"/>
                <w:color w:val="333333"/>
                <w:sz w:val="18"/>
                <w:szCs w:val="18"/>
              </w:rPr>
            </w:pPr>
          </w:p>
        </w:tc>
        <w:tc>
          <w:tcPr>
            <w:tcW w:w="8080" w:type="dxa"/>
            <w:hideMark/>
          </w:tcPr>
          <w:p w14:paraId="122ED193"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 xml:space="preserve">Treatment Phase: </w:t>
            </w:r>
            <w:r w:rsidRPr="00870F84">
              <w:rPr>
                <w:rFonts w:ascii="Arial Narrow" w:hAnsi="Arial Narrow" w:cs="Open Sans"/>
                <w:color w:val="333333"/>
                <w:sz w:val="18"/>
                <w:szCs w:val="18"/>
              </w:rPr>
              <w:t>Initial treatment - Initial 3 (recommencement of treatment after a break in biological medicine of more than 5 years)</w:t>
            </w:r>
          </w:p>
        </w:tc>
      </w:tr>
      <w:tr w:rsidR="00870F84" w:rsidRPr="00870F84" w14:paraId="55AC7A00" w14:textId="77777777" w:rsidTr="006D1A95">
        <w:tc>
          <w:tcPr>
            <w:tcW w:w="1129" w:type="dxa"/>
          </w:tcPr>
          <w:p w14:paraId="654BEAD7" w14:textId="77777777" w:rsidR="00870F84" w:rsidRPr="00870F84" w:rsidRDefault="00870F84" w:rsidP="00870F84">
            <w:pPr>
              <w:spacing w:line="256" w:lineRule="auto"/>
              <w:jc w:val="center"/>
              <w:rPr>
                <w:rFonts w:ascii="Arial Narrow" w:hAnsi="Arial Narrow" w:cs="Open Sans"/>
                <w:color w:val="333333"/>
                <w:sz w:val="18"/>
                <w:szCs w:val="18"/>
              </w:rPr>
            </w:pPr>
          </w:p>
        </w:tc>
        <w:tc>
          <w:tcPr>
            <w:tcW w:w="8080" w:type="dxa"/>
          </w:tcPr>
          <w:p w14:paraId="2C7D1572" w14:textId="77777777" w:rsidR="00870F84" w:rsidRPr="00870F84" w:rsidRDefault="00870F84" w:rsidP="00870F84">
            <w:pPr>
              <w:spacing w:line="256" w:lineRule="auto"/>
              <w:jc w:val="left"/>
              <w:textAlignment w:val="baseline"/>
              <w:rPr>
                <w:rFonts w:ascii="Arial Narrow" w:hAnsi="Arial Narrow" w:cs="Open Sans"/>
                <w:b/>
                <w:bCs/>
                <w:color w:val="333333"/>
                <w:sz w:val="18"/>
                <w:szCs w:val="18"/>
                <w:bdr w:val="none" w:sz="0" w:space="0" w:color="auto" w:frame="1"/>
              </w:rPr>
            </w:pPr>
          </w:p>
        </w:tc>
      </w:tr>
      <w:tr w:rsidR="00870F84" w:rsidRPr="00870F84" w14:paraId="7148C8A5" w14:textId="77777777" w:rsidTr="00955601">
        <w:tc>
          <w:tcPr>
            <w:tcW w:w="1129" w:type="dxa"/>
          </w:tcPr>
          <w:p w14:paraId="54D125B2" w14:textId="0A940921"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769FF361"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Treatment criteria:</w:t>
            </w:r>
          </w:p>
        </w:tc>
      </w:tr>
      <w:tr w:rsidR="00870F84" w:rsidRPr="00870F84" w14:paraId="1FDD4A7C" w14:textId="77777777" w:rsidTr="00955601">
        <w:tc>
          <w:tcPr>
            <w:tcW w:w="1129" w:type="dxa"/>
          </w:tcPr>
          <w:p w14:paraId="10465E40" w14:textId="6C2EDC86"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769A7DE9"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color w:val="333333"/>
                <w:sz w:val="18"/>
                <w:szCs w:val="18"/>
              </w:rPr>
              <w:t>Must be treated by a gastroenterologist (code 87); or</w:t>
            </w:r>
          </w:p>
        </w:tc>
      </w:tr>
      <w:tr w:rsidR="00870F84" w:rsidRPr="00870F84" w14:paraId="67261146" w14:textId="77777777" w:rsidTr="00955601">
        <w:tc>
          <w:tcPr>
            <w:tcW w:w="1129" w:type="dxa"/>
          </w:tcPr>
          <w:p w14:paraId="077F2DD3" w14:textId="5CCF00F5"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350DA2AA"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color w:val="333333"/>
                <w:sz w:val="18"/>
                <w:szCs w:val="18"/>
              </w:rPr>
              <w:t>Must be treated by a consultant physician [internal medicine specialising in gastroenterology (code 81)]; or</w:t>
            </w:r>
          </w:p>
        </w:tc>
      </w:tr>
      <w:tr w:rsidR="00870F84" w:rsidRPr="00870F84" w14:paraId="0FF83AF2" w14:textId="77777777" w:rsidTr="00955601">
        <w:tc>
          <w:tcPr>
            <w:tcW w:w="1129" w:type="dxa"/>
          </w:tcPr>
          <w:p w14:paraId="3A718924" w14:textId="0C648FA6"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30A6F455"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color w:val="333333"/>
                <w:sz w:val="18"/>
                <w:szCs w:val="18"/>
              </w:rPr>
              <w:t>Must be treated by a consultant physician [general medicine specialising in gastroenterology (code 82)]</w:t>
            </w:r>
          </w:p>
        </w:tc>
      </w:tr>
      <w:tr w:rsidR="00870F84" w:rsidRPr="00870F84" w14:paraId="237311CE" w14:textId="77777777" w:rsidTr="00955601">
        <w:tc>
          <w:tcPr>
            <w:tcW w:w="1129" w:type="dxa"/>
          </w:tcPr>
          <w:p w14:paraId="40FA1621" w14:textId="77777777" w:rsidR="00870F84" w:rsidRPr="00870F84" w:rsidRDefault="00870F84" w:rsidP="00870F84">
            <w:pPr>
              <w:spacing w:line="256" w:lineRule="auto"/>
              <w:jc w:val="center"/>
              <w:rPr>
                <w:rFonts w:ascii="Arial Narrow" w:hAnsi="Arial Narrow" w:cs="Open Sans"/>
                <w:color w:val="333333"/>
                <w:sz w:val="18"/>
                <w:szCs w:val="18"/>
              </w:rPr>
            </w:pPr>
          </w:p>
        </w:tc>
        <w:tc>
          <w:tcPr>
            <w:tcW w:w="8080" w:type="dxa"/>
            <w:hideMark/>
          </w:tcPr>
          <w:p w14:paraId="552FBD03"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AND</w:t>
            </w:r>
          </w:p>
        </w:tc>
      </w:tr>
      <w:tr w:rsidR="00870F84" w:rsidRPr="00870F84" w14:paraId="7D9C84AD" w14:textId="77777777" w:rsidTr="00955601">
        <w:tc>
          <w:tcPr>
            <w:tcW w:w="1129" w:type="dxa"/>
          </w:tcPr>
          <w:p w14:paraId="107ECD07" w14:textId="08E78237"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6B8C3A11"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Clinical criteria:</w:t>
            </w:r>
          </w:p>
        </w:tc>
      </w:tr>
      <w:tr w:rsidR="00870F84" w:rsidRPr="00870F84" w14:paraId="50AE85E4" w14:textId="77777777" w:rsidTr="00955601">
        <w:tc>
          <w:tcPr>
            <w:tcW w:w="1129" w:type="dxa"/>
          </w:tcPr>
          <w:p w14:paraId="789ACD44" w14:textId="347B2038"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65C1A39C"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color w:val="333333"/>
                <w:sz w:val="18"/>
                <w:szCs w:val="18"/>
              </w:rPr>
              <w:t>Patient must have previously received PBS-subsidised treatment with a biological medicine for this condition</w:t>
            </w:r>
          </w:p>
        </w:tc>
      </w:tr>
      <w:tr w:rsidR="00870F84" w:rsidRPr="00870F84" w14:paraId="6652024F" w14:textId="77777777" w:rsidTr="00955601">
        <w:tc>
          <w:tcPr>
            <w:tcW w:w="1129" w:type="dxa"/>
          </w:tcPr>
          <w:p w14:paraId="52535D16" w14:textId="77777777" w:rsidR="00870F84" w:rsidRPr="00870F84" w:rsidRDefault="00870F84" w:rsidP="00870F84">
            <w:pPr>
              <w:spacing w:line="256" w:lineRule="auto"/>
              <w:jc w:val="center"/>
              <w:rPr>
                <w:rFonts w:ascii="Arial Narrow" w:hAnsi="Arial Narrow" w:cs="Open Sans"/>
                <w:color w:val="333333"/>
                <w:sz w:val="18"/>
                <w:szCs w:val="18"/>
              </w:rPr>
            </w:pPr>
          </w:p>
        </w:tc>
        <w:tc>
          <w:tcPr>
            <w:tcW w:w="8080" w:type="dxa"/>
            <w:hideMark/>
          </w:tcPr>
          <w:p w14:paraId="6326E5FD"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AND</w:t>
            </w:r>
          </w:p>
        </w:tc>
      </w:tr>
      <w:tr w:rsidR="00870F84" w:rsidRPr="00870F84" w14:paraId="6C31B833" w14:textId="77777777" w:rsidTr="00955601">
        <w:tc>
          <w:tcPr>
            <w:tcW w:w="1129" w:type="dxa"/>
          </w:tcPr>
          <w:p w14:paraId="732F8403" w14:textId="728FCC92"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00E855D7"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Clinical criteria:</w:t>
            </w:r>
          </w:p>
        </w:tc>
      </w:tr>
      <w:tr w:rsidR="00870F84" w:rsidRPr="00870F84" w14:paraId="766F1770" w14:textId="77777777" w:rsidTr="00955601">
        <w:tc>
          <w:tcPr>
            <w:tcW w:w="1129" w:type="dxa"/>
          </w:tcPr>
          <w:p w14:paraId="4A7464FA" w14:textId="11A80124"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6E52B823"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color w:val="333333"/>
                <w:sz w:val="18"/>
                <w:szCs w:val="18"/>
              </w:rPr>
              <w:t>Patient must have had a break in treatment of 5 years or more from the most recently approved PBS-subsidised biological medicine for this condition</w:t>
            </w:r>
          </w:p>
        </w:tc>
      </w:tr>
      <w:tr w:rsidR="00870F84" w:rsidRPr="00870F84" w14:paraId="4B972B43" w14:textId="77777777" w:rsidTr="00955601">
        <w:tc>
          <w:tcPr>
            <w:tcW w:w="1129" w:type="dxa"/>
          </w:tcPr>
          <w:p w14:paraId="1EE3264A" w14:textId="77777777" w:rsidR="00870F84" w:rsidRPr="00870F84" w:rsidRDefault="00870F84" w:rsidP="00870F84">
            <w:pPr>
              <w:spacing w:line="256" w:lineRule="auto"/>
              <w:jc w:val="center"/>
              <w:rPr>
                <w:rFonts w:ascii="Arial Narrow" w:hAnsi="Arial Narrow" w:cs="Open Sans"/>
                <w:color w:val="333333"/>
                <w:sz w:val="18"/>
                <w:szCs w:val="18"/>
              </w:rPr>
            </w:pPr>
          </w:p>
        </w:tc>
        <w:tc>
          <w:tcPr>
            <w:tcW w:w="8080" w:type="dxa"/>
            <w:hideMark/>
          </w:tcPr>
          <w:p w14:paraId="0B40AF71"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AND</w:t>
            </w:r>
          </w:p>
        </w:tc>
      </w:tr>
      <w:tr w:rsidR="00870F84" w:rsidRPr="00870F84" w14:paraId="2060D376" w14:textId="77777777" w:rsidTr="00955601">
        <w:tc>
          <w:tcPr>
            <w:tcW w:w="1129" w:type="dxa"/>
          </w:tcPr>
          <w:p w14:paraId="01637F70" w14:textId="75407E8B"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611C93D9"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Clinical criteria:</w:t>
            </w:r>
          </w:p>
        </w:tc>
      </w:tr>
      <w:tr w:rsidR="00870F84" w:rsidRPr="00870F84" w14:paraId="5632668A" w14:textId="77777777" w:rsidTr="00955601">
        <w:tc>
          <w:tcPr>
            <w:tcW w:w="1129" w:type="dxa"/>
          </w:tcPr>
          <w:p w14:paraId="3D9D1CD3" w14:textId="46438ABD"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4F67A504"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color w:val="333333"/>
                <w:sz w:val="18"/>
                <w:szCs w:val="18"/>
              </w:rPr>
              <w:t>Patient must have a Mayo clinic score greater than or equal to 6; or</w:t>
            </w:r>
          </w:p>
        </w:tc>
      </w:tr>
      <w:tr w:rsidR="00870F84" w:rsidRPr="00870F84" w14:paraId="74462F25" w14:textId="77777777" w:rsidTr="00955601">
        <w:tc>
          <w:tcPr>
            <w:tcW w:w="1129" w:type="dxa"/>
          </w:tcPr>
          <w:p w14:paraId="66949F09" w14:textId="282E5266"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6EA6137A"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color w:val="333333"/>
                <w:sz w:val="18"/>
                <w:szCs w:val="18"/>
              </w:rPr>
              <w:t xml:space="preserve">Patient must have a partial Mayo clinic score greater than or equal to 6, provided the rectal bleeding and stool frequency </w:t>
            </w:r>
            <w:proofErr w:type="spellStart"/>
            <w:r w:rsidRPr="00870F84">
              <w:rPr>
                <w:rFonts w:ascii="Arial Narrow" w:hAnsi="Arial Narrow" w:cs="Open Sans"/>
                <w:color w:val="333333"/>
                <w:sz w:val="18"/>
                <w:szCs w:val="18"/>
              </w:rPr>
              <w:t>subscores</w:t>
            </w:r>
            <w:proofErr w:type="spellEnd"/>
            <w:r w:rsidRPr="00870F84">
              <w:rPr>
                <w:rFonts w:ascii="Arial Narrow" w:hAnsi="Arial Narrow" w:cs="Open Sans"/>
                <w:color w:val="333333"/>
                <w:sz w:val="18"/>
                <w:szCs w:val="18"/>
              </w:rPr>
              <w:t xml:space="preserve"> are both greater than or equal to 2 (endoscopy </w:t>
            </w:r>
            <w:proofErr w:type="spellStart"/>
            <w:r w:rsidRPr="00870F84">
              <w:rPr>
                <w:rFonts w:ascii="Arial Narrow" w:hAnsi="Arial Narrow" w:cs="Open Sans"/>
                <w:color w:val="333333"/>
                <w:sz w:val="18"/>
                <w:szCs w:val="18"/>
              </w:rPr>
              <w:t>subscore</w:t>
            </w:r>
            <w:proofErr w:type="spellEnd"/>
            <w:r w:rsidRPr="00870F84">
              <w:rPr>
                <w:rFonts w:ascii="Arial Narrow" w:hAnsi="Arial Narrow" w:cs="Open Sans"/>
                <w:color w:val="333333"/>
                <w:sz w:val="18"/>
                <w:szCs w:val="18"/>
              </w:rPr>
              <w:t xml:space="preserve"> is not required for a partial Mayo clinic score)</w:t>
            </w:r>
          </w:p>
        </w:tc>
      </w:tr>
      <w:tr w:rsidR="00870F84" w:rsidRPr="00870F84" w14:paraId="3030FBDB" w14:textId="77777777" w:rsidTr="00955601">
        <w:tc>
          <w:tcPr>
            <w:tcW w:w="1129" w:type="dxa"/>
          </w:tcPr>
          <w:p w14:paraId="438B9A26" w14:textId="77777777" w:rsidR="00870F84" w:rsidRPr="00870F84" w:rsidRDefault="00870F84" w:rsidP="00870F84">
            <w:pPr>
              <w:spacing w:line="256" w:lineRule="auto"/>
              <w:jc w:val="center"/>
              <w:rPr>
                <w:rFonts w:ascii="Arial Narrow" w:hAnsi="Arial Narrow" w:cs="Open Sans"/>
                <w:color w:val="333333"/>
                <w:sz w:val="18"/>
                <w:szCs w:val="18"/>
              </w:rPr>
            </w:pPr>
          </w:p>
        </w:tc>
        <w:tc>
          <w:tcPr>
            <w:tcW w:w="8080" w:type="dxa"/>
            <w:hideMark/>
          </w:tcPr>
          <w:p w14:paraId="5DA57972"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AND</w:t>
            </w:r>
          </w:p>
        </w:tc>
      </w:tr>
      <w:tr w:rsidR="00870F84" w:rsidRPr="00870F84" w14:paraId="35EE28BE" w14:textId="77777777" w:rsidTr="00955601">
        <w:tc>
          <w:tcPr>
            <w:tcW w:w="1129" w:type="dxa"/>
          </w:tcPr>
          <w:p w14:paraId="623ADA8C" w14:textId="141BCF73"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06DF0C79"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Population criteria:</w:t>
            </w:r>
          </w:p>
        </w:tc>
      </w:tr>
      <w:tr w:rsidR="00870F84" w:rsidRPr="00870F84" w14:paraId="6E5B933F" w14:textId="77777777" w:rsidTr="00955601">
        <w:tc>
          <w:tcPr>
            <w:tcW w:w="1129" w:type="dxa"/>
          </w:tcPr>
          <w:p w14:paraId="0C9DD000" w14:textId="09F231B1"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1D4154B6" w14:textId="77777777" w:rsidR="00870F84" w:rsidRPr="00870F84" w:rsidRDefault="00870F84" w:rsidP="00870F84">
            <w:pPr>
              <w:spacing w:line="256" w:lineRule="auto"/>
              <w:jc w:val="left"/>
              <w:rPr>
                <w:rFonts w:ascii="Arial Narrow" w:hAnsi="Arial Narrow" w:cs="Open Sans"/>
                <w:strike/>
                <w:sz w:val="18"/>
                <w:szCs w:val="18"/>
              </w:rPr>
            </w:pPr>
            <w:r w:rsidRPr="00870F84">
              <w:rPr>
                <w:rFonts w:ascii="Arial Narrow" w:hAnsi="Arial Narrow" w:cs="Open Sans"/>
                <w:sz w:val="18"/>
                <w:szCs w:val="18"/>
              </w:rPr>
              <w:t>Patients must be at least 18 years of age</w:t>
            </w:r>
          </w:p>
        </w:tc>
      </w:tr>
      <w:tr w:rsidR="00870F84" w:rsidRPr="00870F84" w14:paraId="5586DA0A" w14:textId="77777777" w:rsidTr="006D1A95">
        <w:tc>
          <w:tcPr>
            <w:tcW w:w="1129" w:type="dxa"/>
          </w:tcPr>
          <w:p w14:paraId="4A2CBC84" w14:textId="77777777" w:rsidR="00870F84" w:rsidRPr="00870F84" w:rsidRDefault="00870F84" w:rsidP="00870F84">
            <w:pPr>
              <w:spacing w:line="256" w:lineRule="auto"/>
              <w:jc w:val="center"/>
              <w:textAlignment w:val="baseline"/>
              <w:rPr>
                <w:rFonts w:ascii="Arial Narrow" w:hAnsi="Arial Narrow" w:cs="Open Sans"/>
                <w:sz w:val="18"/>
                <w:szCs w:val="18"/>
              </w:rPr>
            </w:pPr>
          </w:p>
        </w:tc>
        <w:tc>
          <w:tcPr>
            <w:tcW w:w="8080" w:type="dxa"/>
          </w:tcPr>
          <w:p w14:paraId="3148EBB2" w14:textId="77777777" w:rsidR="00870F84" w:rsidRPr="00870F84" w:rsidRDefault="00870F84" w:rsidP="00870F84">
            <w:pPr>
              <w:spacing w:line="256" w:lineRule="auto"/>
              <w:jc w:val="left"/>
              <w:rPr>
                <w:rFonts w:ascii="Arial Narrow" w:hAnsi="Arial Narrow" w:cs="Open Sans"/>
                <w:sz w:val="18"/>
                <w:szCs w:val="18"/>
              </w:rPr>
            </w:pPr>
          </w:p>
        </w:tc>
      </w:tr>
      <w:tr w:rsidR="00870F84" w:rsidRPr="00870F84" w14:paraId="35005561" w14:textId="77777777" w:rsidTr="00955601">
        <w:tc>
          <w:tcPr>
            <w:tcW w:w="1129" w:type="dxa"/>
          </w:tcPr>
          <w:p w14:paraId="4C4BDCA2" w14:textId="2B690EA5"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155C0C9E"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Prescribing Instructions:</w:t>
            </w:r>
          </w:p>
          <w:p w14:paraId="075CD41B"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The authority application must be made in writing and must include:</w:t>
            </w:r>
          </w:p>
          <w:p w14:paraId="0F41C6F6"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(1) a completed authority prescription form; and</w:t>
            </w:r>
          </w:p>
          <w:p w14:paraId="697A72DA"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(2) a completed authority application form relevant to the indication and treatment phase (the latest version is located on the website specified in the Administrative Advice), which includes:</w:t>
            </w:r>
          </w:p>
          <w:p w14:paraId="19950AD6"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w:t>
            </w:r>
            <w:proofErr w:type="spellStart"/>
            <w:r w:rsidRPr="00870F84">
              <w:rPr>
                <w:rFonts w:ascii="Arial Narrow" w:hAnsi="Arial Narrow" w:cs="Open Sans"/>
                <w:color w:val="333333"/>
                <w:sz w:val="18"/>
                <w:szCs w:val="18"/>
              </w:rPr>
              <w:t>i</w:t>
            </w:r>
            <w:proofErr w:type="spellEnd"/>
            <w:r w:rsidRPr="00870F84">
              <w:rPr>
                <w:rFonts w:ascii="Arial Narrow" w:hAnsi="Arial Narrow" w:cs="Open Sans"/>
                <w:color w:val="333333"/>
                <w:sz w:val="18"/>
                <w:szCs w:val="18"/>
              </w:rPr>
              <w:t>) the completed current Mayo clinic or partial Mayo clinic calculation sheet including the date of assessment of the patient's condition; and</w:t>
            </w:r>
          </w:p>
          <w:p w14:paraId="05CD6DF7"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(ii) the details of prior biological medicine treatment including the details of date and duration of treatment.</w:t>
            </w:r>
          </w:p>
        </w:tc>
      </w:tr>
      <w:tr w:rsidR="00870F84" w:rsidRPr="00870F84" w14:paraId="6855296D" w14:textId="77777777" w:rsidTr="00955601">
        <w:tc>
          <w:tcPr>
            <w:tcW w:w="1129" w:type="dxa"/>
          </w:tcPr>
          <w:p w14:paraId="68D82A00" w14:textId="7863A462"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47D031F1"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Prescribing Instructions:</w:t>
            </w:r>
          </w:p>
          <w:p w14:paraId="1918D2A1"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The most recent Mayo clinic or partial Mayo clinic score must be no more than 4 weeks old at the time of application.</w:t>
            </w:r>
          </w:p>
        </w:tc>
      </w:tr>
      <w:tr w:rsidR="00870F84" w:rsidRPr="00870F84" w14:paraId="502A135B" w14:textId="77777777" w:rsidTr="00955601">
        <w:tc>
          <w:tcPr>
            <w:tcW w:w="1129" w:type="dxa"/>
          </w:tcPr>
          <w:p w14:paraId="2E26B815" w14:textId="21A638A4"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1E70B873"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Prescribing Instructions:</w:t>
            </w:r>
          </w:p>
          <w:p w14:paraId="6560DDCE"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 xml:space="preserve">An assessment of a patient's response to this initial course of treatment must be conducted between </w:t>
            </w:r>
            <w:r w:rsidRPr="00870F84">
              <w:rPr>
                <w:rFonts w:ascii="Arial Narrow" w:hAnsi="Arial Narrow" w:cs="Open Sans"/>
                <w:sz w:val="18"/>
                <w:szCs w:val="18"/>
              </w:rPr>
              <w:t>9 and 17</w:t>
            </w:r>
            <w:r w:rsidRPr="00870F84">
              <w:rPr>
                <w:rFonts w:ascii="Arial Narrow" w:hAnsi="Arial Narrow" w:cs="Open Sans"/>
                <w:color w:val="333333"/>
                <w:sz w:val="18"/>
                <w:szCs w:val="18"/>
              </w:rPr>
              <w:t xml:space="preserve"> weeks of therapy.</w:t>
            </w:r>
          </w:p>
        </w:tc>
      </w:tr>
      <w:tr w:rsidR="00870F84" w:rsidRPr="00870F84" w14:paraId="2A9CA5FA" w14:textId="77777777" w:rsidTr="00955601">
        <w:tc>
          <w:tcPr>
            <w:tcW w:w="1129" w:type="dxa"/>
          </w:tcPr>
          <w:p w14:paraId="140934E8" w14:textId="00D7BAEE"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403F5BE8"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Prescribing Instructions:</w:t>
            </w:r>
          </w:p>
          <w:p w14:paraId="59B5B2E3"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870F84" w:rsidRPr="00870F84" w14:paraId="3592EC2B" w14:textId="77777777" w:rsidTr="00955601">
        <w:tc>
          <w:tcPr>
            <w:tcW w:w="1129" w:type="dxa"/>
          </w:tcPr>
          <w:p w14:paraId="287AF4D2" w14:textId="6F2AFDA5"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100EE56C"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Prescribing Instructions:</w:t>
            </w:r>
          </w:p>
          <w:p w14:paraId="26841E80"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 xml:space="preserve">If a patient fails to demonstrate a response to treatment with this </w:t>
            </w:r>
            <w:proofErr w:type="gramStart"/>
            <w:r w:rsidRPr="00870F84">
              <w:rPr>
                <w:rFonts w:ascii="Arial Narrow" w:hAnsi="Arial Narrow" w:cs="Open Sans"/>
                <w:color w:val="333333"/>
                <w:sz w:val="18"/>
                <w:szCs w:val="18"/>
              </w:rPr>
              <w:t>drug</w:t>
            </w:r>
            <w:proofErr w:type="gramEnd"/>
            <w:r w:rsidRPr="00870F84">
              <w:rPr>
                <w:rFonts w:ascii="Arial Narrow" w:hAnsi="Arial Narrow" w:cs="Open Sans"/>
                <w:color w:val="333333"/>
                <w:sz w:val="18"/>
                <w:szCs w:val="18"/>
              </w:rPr>
              <w:t xml:space="preserve">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870F84" w:rsidRPr="00870F84" w14:paraId="59557F06" w14:textId="77777777" w:rsidTr="00955601">
        <w:tc>
          <w:tcPr>
            <w:tcW w:w="1129" w:type="dxa"/>
          </w:tcPr>
          <w:p w14:paraId="607AF507" w14:textId="5F51A431"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6816EB5A"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Prescribing Instructions:</w:t>
            </w:r>
          </w:p>
          <w:p w14:paraId="524FC56B"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A maximum of 16 weeks of treatment with this drug will be approved under this criterion.</w:t>
            </w:r>
          </w:p>
        </w:tc>
      </w:tr>
      <w:tr w:rsidR="00870F84" w:rsidRPr="00870F84" w14:paraId="3043FCC6" w14:textId="77777777" w:rsidTr="006D1A95">
        <w:tc>
          <w:tcPr>
            <w:tcW w:w="1129" w:type="dxa"/>
          </w:tcPr>
          <w:p w14:paraId="3FF6EB43" w14:textId="77777777"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tcPr>
          <w:p w14:paraId="7EAC3A42" w14:textId="77777777" w:rsidR="00870F84" w:rsidRPr="00870F84" w:rsidRDefault="00870F84" w:rsidP="00870F84">
            <w:pPr>
              <w:spacing w:line="256" w:lineRule="auto"/>
              <w:jc w:val="left"/>
              <w:textAlignment w:val="baseline"/>
              <w:rPr>
                <w:rFonts w:ascii="Arial Narrow" w:hAnsi="Arial Narrow" w:cs="Open Sans"/>
                <w:b/>
                <w:bCs/>
                <w:color w:val="333333"/>
                <w:sz w:val="18"/>
                <w:szCs w:val="18"/>
                <w:bdr w:val="none" w:sz="0" w:space="0" w:color="auto" w:frame="1"/>
              </w:rPr>
            </w:pPr>
          </w:p>
        </w:tc>
      </w:tr>
      <w:tr w:rsidR="00870F84" w:rsidRPr="00870F84" w14:paraId="40E074FC" w14:textId="77777777" w:rsidTr="00955601">
        <w:tc>
          <w:tcPr>
            <w:tcW w:w="1129" w:type="dxa"/>
          </w:tcPr>
          <w:p w14:paraId="573324ED" w14:textId="5A14DDEA"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601C7CBA"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Administrative Advice:</w:t>
            </w:r>
          </w:p>
          <w:p w14:paraId="3FE9D19F"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Any queries concerning the arrangements to prescribe may be directed to Services Australia on 1800 700 270 (hours of operation 8 a.m. to 5 p.m. Monday to Friday).</w:t>
            </w:r>
          </w:p>
          <w:p w14:paraId="081BA9BD"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Prescribing information (including Authority Application forms and other relevant documentation as applicable) is available on the Services Australia website at www.servicesaustralia.gov.au</w:t>
            </w:r>
          </w:p>
          <w:p w14:paraId="284B7D7F"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Applications for authority to prescribe should be submitted online using the form upload facility in Health Professional Online Services (HPOS) at www.servicesaustralia.gov.au/hpos</w:t>
            </w:r>
          </w:p>
          <w:p w14:paraId="731A2FB3"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Or mailed to:</w:t>
            </w:r>
          </w:p>
          <w:p w14:paraId="4EA4D991"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Services Australia</w:t>
            </w:r>
          </w:p>
          <w:p w14:paraId="253B6D1D"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Complex Drugs</w:t>
            </w:r>
          </w:p>
          <w:p w14:paraId="73D5B86A"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Reply Paid 9826</w:t>
            </w:r>
          </w:p>
          <w:p w14:paraId="6910B444"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HOBART TAS 7001</w:t>
            </w:r>
          </w:p>
        </w:tc>
      </w:tr>
      <w:tr w:rsidR="00870F84" w:rsidRPr="00870F84" w14:paraId="3404899C" w14:textId="77777777" w:rsidTr="00955601">
        <w:trPr>
          <w:trHeight w:val="340"/>
        </w:trPr>
        <w:tc>
          <w:tcPr>
            <w:tcW w:w="9209" w:type="dxa"/>
            <w:gridSpan w:val="2"/>
          </w:tcPr>
          <w:p w14:paraId="7DF4D10B" w14:textId="77777777" w:rsidR="00870F84" w:rsidRPr="00870F84" w:rsidRDefault="00870F84" w:rsidP="00870F84">
            <w:pPr>
              <w:spacing w:line="256" w:lineRule="auto"/>
              <w:jc w:val="left"/>
              <w:textAlignment w:val="baseline"/>
              <w:rPr>
                <w:rFonts w:ascii="Arial Narrow" w:hAnsi="Arial Narrow" w:cs="Open Sans"/>
                <w:b/>
                <w:bCs/>
                <w:color w:val="333333"/>
                <w:sz w:val="18"/>
                <w:szCs w:val="18"/>
                <w:bdr w:val="none" w:sz="0" w:space="0" w:color="auto" w:frame="1"/>
              </w:rPr>
            </w:pPr>
          </w:p>
        </w:tc>
      </w:tr>
      <w:tr w:rsidR="00870F84" w:rsidRPr="00870F84" w14:paraId="3CF3B4C8" w14:textId="77777777" w:rsidTr="006D1A95">
        <w:tc>
          <w:tcPr>
            <w:tcW w:w="9209" w:type="dxa"/>
            <w:gridSpan w:val="2"/>
          </w:tcPr>
          <w:p w14:paraId="2D1FEDD4" w14:textId="0D21365A" w:rsidR="00870F84" w:rsidRPr="00870F84" w:rsidRDefault="00870F84" w:rsidP="00870F84">
            <w:pPr>
              <w:spacing w:line="256" w:lineRule="auto"/>
              <w:jc w:val="left"/>
              <w:textAlignment w:val="baseline"/>
              <w:rPr>
                <w:rFonts w:ascii="Arial Narrow" w:hAnsi="Arial Narrow" w:cs="Open Sans"/>
                <w:b/>
                <w:bCs/>
                <w:color w:val="333333"/>
                <w:sz w:val="18"/>
                <w:szCs w:val="18"/>
                <w:bdr w:val="none" w:sz="0" w:space="0" w:color="auto" w:frame="1"/>
              </w:rPr>
            </w:pPr>
            <w:r w:rsidRPr="00870F84">
              <w:rPr>
                <w:rFonts w:ascii="Arial Narrow" w:hAnsi="Arial Narrow" w:cs="Times New Roman"/>
                <w:b/>
                <w:sz w:val="18"/>
                <w:szCs w:val="18"/>
              </w:rPr>
              <w:t>Restriction Summary TMP24858 / Treatment of Concept: TMP24858 Authority Required</w:t>
            </w:r>
          </w:p>
        </w:tc>
      </w:tr>
      <w:tr w:rsidR="00870F84" w:rsidRPr="00870F84" w14:paraId="34DB1291" w14:textId="77777777" w:rsidTr="00955601">
        <w:tc>
          <w:tcPr>
            <w:tcW w:w="1129" w:type="dxa"/>
          </w:tcPr>
          <w:p w14:paraId="6C6B4388" w14:textId="675EC96B"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6A0AA14E"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 xml:space="preserve">Indication: </w:t>
            </w:r>
            <w:r w:rsidRPr="00870F84">
              <w:rPr>
                <w:rFonts w:ascii="Arial Narrow" w:hAnsi="Arial Narrow" w:cs="Open Sans"/>
                <w:color w:val="333333"/>
                <w:sz w:val="18"/>
                <w:szCs w:val="18"/>
              </w:rPr>
              <w:t>Moderate to severe ulcerative colitis</w:t>
            </w:r>
          </w:p>
        </w:tc>
      </w:tr>
      <w:tr w:rsidR="00870F84" w:rsidRPr="00870F84" w14:paraId="7776264C" w14:textId="77777777" w:rsidTr="006D1A95">
        <w:tc>
          <w:tcPr>
            <w:tcW w:w="1129" w:type="dxa"/>
          </w:tcPr>
          <w:p w14:paraId="5364075C"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p>
        </w:tc>
        <w:tc>
          <w:tcPr>
            <w:tcW w:w="8080" w:type="dxa"/>
          </w:tcPr>
          <w:p w14:paraId="3F7B4796" w14:textId="77777777" w:rsidR="00870F84" w:rsidRPr="00870F84" w:rsidRDefault="00870F84" w:rsidP="00870F84">
            <w:pPr>
              <w:spacing w:line="256" w:lineRule="auto"/>
              <w:jc w:val="left"/>
              <w:textAlignment w:val="baseline"/>
              <w:rPr>
                <w:rFonts w:ascii="Arial Narrow" w:hAnsi="Arial Narrow" w:cs="Open Sans"/>
                <w:b/>
                <w:bCs/>
                <w:color w:val="333333"/>
                <w:sz w:val="18"/>
                <w:szCs w:val="18"/>
                <w:bdr w:val="none" w:sz="0" w:space="0" w:color="auto" w:frame="1"/>
              </w:rPr>
            </w:pPr>
          </w:p>
        </w:tc>
      </w:tr>
      <w:tr w:rsidR="00870F84" w:rsidRPr="00870F84" w14:paraId="75C142FC" w14:textId="77777777" w:rsidTr="00955601">
        <w:tc>
          <w:tcPr>
            <w:tcW w:w="1129" w:type="dxa"/>
          </w:tcPr>
          <w:p w14:paraId="0AA82587" w14:textId="77777777" w:rsidR="00870F84" w:rsidRPr="00870F84" w:rsidRDefault="00870F84" w:rsidP="00870F84">
            <w:pPr>
              <w:spacing w:line="256" w:lineRule="auto"/>
              <w:jc w:val="left"/>
              <w:rPr>
                <w:rFonts w:ascii="Arial Narrow" w:hAnsi="Arial Narrow" w:cs="Open Sans"/>
                <w:color w:val="333333"/>
                <w:sz w:val="18"/>
                <w:szCs w:val="18"/>
              </w:rPr>
            </w:pPr>
          </w:p>
        </w:tc>
        <w:tc>
          <w:tcPr>
            <w:tcW w:w="8080" w:type="dxa"/>
            <w:hideMark/>
          </w:tcPr>
          <w:p w14:paraId="6FB45F84"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 xml:space="preserve">Treatment Phase: </w:t>
            </w:r>
            <w:r w:rsidRPr="00870F84">
              <w:rPr>
                <w:rFonts w:ascii="Arial Narrow" w:hAnsi="Arial Narrow" w:cs="Open Sans"/>
                <w:color w:val="333333"/>
                <w:sz w:val="18"/>
                <w:szCs w:val="18"/>
              </w:rPr>
              <w:t>Initial 1 (new patient) or Initial 2 (change or recommencement of treatment after a break in biological medicine of less than 5 years) or Initial 3 (recommencement of treatment after a break in biological medicine of more than 5 years) - balance of supply</w:t>
            </w:r>
          </w:p>
        </w:tc>
      </w:tr>
      <w:tr w:rsidR="00870F84" w:rsidRPr="00870F84" w14:paraId="6CB480EE" w14:textId="77777777" w:rsidTr="006D1A95">
        <w:tc>
          <w:tcPr>
            <w:tcW w:w="1129" w:type="dxa"/>
          </w:tcPr>
          <w:p w14:paraId="1233BD74" w14:textId="77777777" w:rsidR="00870F84" w:rsidRPr="00870F84" w:rsidRDefault="00870F84" w:rsidP="00870F84">
            <w:pPr>
              <w:spacing w:line="256" w:lineRule="auto"/>
              <w:jc w:val="left"/>
              <w:rPr>
                <w:rFonts w:ascii="Arial Narrow" w:hAnsi="Arial Narrow" w:cs="Open Sans"/>
                <w:color w:val="333333"/>
                <w:sz w:val="18"/>
                <w:szCs w:val="18"/>
              </w:rPr>
            </w:pPr>
          </w:p>
        </w:tc>
        <w:tc>
          <w:tcPr>
            <w:tcW w:w="8080" w:type="dxa"/>
          </w:tcPr>
          <w:p w14:paraId="65F7C103" w14:textId="77777777" w:rsidR="00870F84" w:rsidRPr="00870F84" w:rsidRDefault="00870F84" w:rsidP="00870F84">
            <w:pPr>
              <w:spacing w:line="256" w:lineRule="auto"/>
              <w:jc w:val="left"/>
              <w:textAlignment w:val="baseline"/>
              <w:rPr>
                <w:rFonts w:ascii="Arial Narrow" w:hAnsi="Arial Narrow" w:cs="Open Sans"/>
                <w:b/>
                <w:bCs/>
                <w:color w:val="333333"/>
                <w:sz w:val="18"/>
                <w:szCs w:val="18"/>
                <w:bdr w:val="none" w:sz="0" w:space="0" w:color="auto" w:frame="1"/>
              </w:rPr>
            </w:pPr>
          </w:p>
        </w:tc>
      </w:tr>
      <w:tr w:rsidR="00870F84" w:rsidRPr="00870F84" w14:paraId="54264B5E" w14:textId="77777777" w:rsidTr="00955601">
        <w:tc>
          <w:tcPr>
            <w:tcW w:w="1129" w:type="dxa"/>
          </w:tcPr>
          <w:p w14:paraId="63C3196E" w14:textId="3A61FA85"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4EB36B40"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Treatment criteria:</w:t>
            </w:r>
          </w:p>
        </w:tc>
      </w:tr>
      <w:tr w:rsidR="00870F84" w:rsidRPr="00870F84" w14:paraId="30AC0747" w14:textId="77777777" w:rsidTr="00955601">
        <w:tc>
          <w:tcPr>
            <w:tcW w:w="1129" w:type="dxa"/>
          </w:tcPr>
          <w:p w14:paraId="5C263C2C" w14:textId="5BD48254"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41DF5AD2"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color w:val="333333"/>
                <w:sz w:val="18"/>
                <w:szCs w:val="18"/>
              </w:rPr>
              <w:t>Must be treated by a gastroenterologist (code 87); or</w:t>
            </w:r>
          </w:p>
        </w:tc>
      </w:tr>
      <w:tr w:rsidR="00870F84" w:rsidRPr="00870F84" w14:paraId="2A7B40C3" w14:textId="77777777" w:rsidTr="00955601">
        <w:tc>
          <w:tcPr>
            <w:tcW w:w="1129" w:type="dxa"/>
          </w:tcPr>
          <w:p w14:paraId="529FF23A" w14:textId="0298AB55"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5D1C8731"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color w:val="333333"/>
                <w:sz w:val="18"/>
                <w:szCs w:val="18"/>
              </w:rPr>
              <w:t>Must be treated by a consultant physician [internal medicine specialising in gastroenterology (code 81)]; or</w:t>
            </w:r>
          </w:p>
        </w:tc>
      </w:tr>
      <w:tr w:rsidR="00870F84" w:rsidRPr="00870F84" w14:paraId="5286C5F4" w14:textId="77777777" w:rsidTr="00955601">
        <w:tc>
          <w:tcPr>
            <w:tcW w:w="1129" w:type="dxa"/>
          </w:tcPr>
          <w:p w14:paraId="55704A23" w14:textId="35F1950D"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4FD8FDA0"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color w:val="333333"/>
                <w:sz w:val="18"/>
                <w:szCs w:val="18"/>
              </w:rPr>
              <w:t>Must be treated by a consultant physician [general medicine specialising in gastroenterology (code 82)]</w:t>
            </w:r>
          </w:p>
        </w:tc>
      </w:tr>
      <w:tr w:rsidR="00870F84" w:rsidRPr="00870F84" w14:paraId="15CA7CC2" w14:textId="77777777" w:rsidTr="00955601">
        <w:tc>
          <w:tcPr>
            <w:tcW w:w="1129" w:type="dxa"/>
          </w:tcPr>
          <w:p w14:paraId="176511E3" w14:textId="77777777" w:rsidR="00870F84" w:rsidRPr="00870F84" w:rsidRDefault="00870F84" w:rsidP="00870F84">
            <w:pPr>
              <w:spacing w:line="256" w:lineRule="auto"/>
              <w:jc w:val="center"/>
              <w:rPr>
                <w:rFonts w:ascii="Arial Narrow" w:hAnsi="Arial Narrow" w:cs="Open Sans"/>
                <w:color w:val="333333"/>
                <w:sz w:val="18"/>
                <w:szCs w:val="18"/>
              </w:rPr>
            </w:pPr>
          </w:p>
        </w:tc>
        <w:tc>
          <w:tcPr>
            <w:tcW w:w="8080" w:type="dxa"/>
            <w:hideMark/>
          </w:tcPr>
          <w:p w14:paraId="1B6BE8B1"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AND</w:t>
            </w:r>
          </w:p>
        </w:tc>
      </w:tr>
      <w:tr w:rsidR="00870F84" w:rsidRPr="00870F84" w14:paraId="66913EE6" w14:textId="77777777" w:rsidTr="00955601">
        <w:tc>
          <w:tcPr>
            <w:tcW w:w="1129" w:type="dxa"/>
          </w:tcPr>
          <w:p w14:paraId="1420E9A2" w14:textId="0FEFDDE8"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4DAFA672"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Clinical criteria:</w:t>
            </w:r>
          </w:p>
        </w:tc>
      </w:tr>
      <w:tr w:rsidR="00870F84" w:rsidRPr="00870F84" w14:paraId="20001A68" w14:textId="77777777" w:rsidTr="00955601">
        <w:tc>
          <w:tcPr>
            <w:tcW w:w="1129" w:type="dxa"/>
          </w:tcPr>
          <w:p w14:paraId="6D26F570" w14:textId="0020D105"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0AA2BB82"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color w:val="333333"/>
                <w:sz w:val="18"/>
                <w:szCs w:val="18"/>
              </w:rPr>
              <w:t>Patient must have received insufficient therapy with this drug for this condition under the Initial 1 (new patient) restriction to complete 17 weeks treatment; or</w:t>
            </w:r>
          </w:p>
        </w:tc>
      </w:tr>
      <w:tr w:rsidR="00870F84" w:rsidRPr="00870F84" w14:paraId="67A0A731" w14:textId="77777777" w:rsidTr="00955601">
        <w:tc>
          <w:tcPr>
            <w:tcW w:w="1129" w:type="dxa"/>
          </w:tcPr>
          <w:p w14:paraId="3F01D9C1" w14:textId="05FF6817"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450B9003"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color w:val="333333"/>
                <w:sz w:val="18"/>
                <w:szCs w:val="18"/>
              </w:rPr>
              <w:t xml:space="preserve">Patient must have received insufficient therapy with this drug for this condition under the Initial 2 (change or recommencement of treatment after a break in biological medicine of less than 5 years) restriction to </w:t>
            </w:r>
            <w:r w:rsidRPr="00870F84">
              <w:rPr>
                <w:rFonts w:ascii="Arial Narrow" w:hAnsi="Arial Narrow" w:cs="Open Sans"/>
                <w:sz w:val="18"/>
                <w:szCs w:val="18"/>
              </w:rPr>
              <w:t xml:space="preserve">complete 17 weeks </w:t>
            </w:r>
            <w:r w:rsidRPr="00870F84">
              <w:rPr>
                <w:rFonts w:ascii="Arial Narrow" w:hAnsi="Arial Narrow" w:cs="Open Sans"/>
                <w:color w:val="333333"/>
                <w:sz w:val="18"/>
                <w:szCs w:val="18"/>
              </w:rPr>
              <w:t>treatment; or</w:t>
            </w:r>
          </w:p>
        </w:tc>
      </w:tr>
      <w:tr w:rsidR="00870F84" w:rsidRPr="00870F84" w14:paraId="1AEB2808" w14:textId="77777777" w:rsidTr="00955601">
        <w:tc>
          <w:tcPr>
            <w:tcW w:w="1129" w:type="dxa"/>
          </w:tcPr>
          <w:p w14:paraId="193AF66B" w14:textId="3248E178"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060C24C4"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color w:val="333333"/>
                <w:sz w:val="18"/>
                <w:szCs w:val="18"/>
              </w:rPr>
              <w:t>Patient must have received insufficient therapy with this drug for this condition under the Initial 3 (recommencement of treatment after a break in biological medicine of more than 5 years) restriction to complete 17 weeks treatment</w:t>
            </w:r>
          </w:p>
        </w:tc>
      </w:tr>
      <w:tr w:rsidR="00870F84" w:rsidRPr="00870F84" w14:paraId="57C490A6" w14:textId="77777777" w:rsidTr="00955601">
        <w:tc>
          <w:tcPr>
            <w:tcW w:w="1129" w:type="dxa"/>
          </w:tcPr>
          <w:p w14:paraId="4A6B708E" w14:textId="77777777" w:rsidR="00870F84" w:rsidRPr="00870F84" w:rsidRDefault="00870F84" w:rsidP="00870F84">
            <w:pPr>
              <w:spacing w:line="256" w:lineRule="auto"/>
              <w:jc w:val="center"/>
              <w:rPr>
                <w:rFonts w:ascii="Arial Narrow" w:hAnsi="Arial Narrow" w:cs="Open Sans"/>
                <w:color w:val="333333"/>
                <w:sz w:val="18"/>
                <w:szCs w:val="18"/>
              </w:rPr>
            </w:pPr>
          </w:p>
        </w:tc>
        <w:tc>
          <w:tcPr>
            <w:tcW w:w="8080" w:type="dxa"/>
            <w:hideMark/>
          </w:tcPr>
          <w:p w14:paraId="16C9D387"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AND</w:t>
            </w:r>
          </w:p>
        </w:tc>
      </w:tr>
      <w:tr w:rsidR="00870F84" w:rsidRPr="00870F84" w14:paraId="4412B205" w14:textId="77777777" w:rsidTr="00955601">
        <w:tc>
          <w:tcPr>
            <w:tcW w:w="1129" w:type="dxa"/>
          </w:tcPr>
          <w:p w14:paraId="2AEE0965" w14:textId="30FE99C3"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08EB4069"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Clinical criteria:</w:t>
            </w:r>
          </w:p>
        </w:tc>
      </w:tr>
      <w:tr w:rsidR="00870F84" w:rsidRPr="00870F84" w14:paraId="6155E831" w14:textId="77777777" w:rsidTr="00955601">
        <w:tc>
          <w:tcPr>
            <w:tcW w:w="1129" w:type="dxa"/>
          </w:tcPr>
          <w:p w14:paraId="1C44344C" w14:textId="325DA758"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7F971036"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color w:val="333333"/>
                <w:sz w:val="18"/>
                <w:szCs w:val="18"/>
              </w:rPr>
              <w:t>The treatment must provide no more than the balance of up to 16 weeks treatment available under the above restrictions</w:t>
            </w:r>
          </w:p>
        </w:tc>
      </w:tr>
      <w:tr w:rsidR="00870F84" w:rsidRPr="00870F84" w14:paraId="548A63B7" w14:textId="77777777" w:rsidTr="006D1A95">
        <w:tc>
          <w:tcPr>
            <w:tcW w:w="1129" w:type="dxa"/>
          </w:tcPr>
          <w:p w14:paraId="37B99451" w14:textId="77777777"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tcPr>
          <w:p w14:paraId="657BAC35" w14:textId="77777777" w:rsidR="00870F84" w:rsidRPr="00870F84" w:rsidRDefault="00870F84" w:rsidP="00870F84">
            <w:pPr>
              <w:spacing w:line="256" w:lineRule="auto"/>
              <w:jc w:val="left"/>
              <w:rPr>
                <w:rFonts w:ascii="Arial Narrow" w:hAnsi="Arial Narrow" w:cs="Open Sans"/>
                <w:color w:val="333333"/>
                <w:sz w:val="18"/>
                <w:szCs w:val="18"/>
              </w:rPr>
            </w:pPr>
          </w:p>
        </w:tc>
      </w:tr>
      <w:tr w:rsidR="00870F84" w:rsidRPr="00870F84" w14:paraId="5A9C7300" w14:textId="77777777" w:rsidTr="00955601">
        <w:tc>
          <w:tcPr>
            <w:tcW w:w="1129" w:type="dxa"/>
          </w:tcPr>
          <w:p w14:paraId="5AD4603F" w14:textId="4DE9A077"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207D3C7C"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Administrative Advice:</w:t>
            </w:r>
          </w:p>
          <w:p w14:paraId="7F863497"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bl>
    <w:p w14:paraId="3EF4A170" w14:textId="77777777" w:rsidR="00870F84" w:rsidRPr="00955601" w:rsidRDefault="00870F84" w:rsidP="00955601">
      <w:pPr>
        <w:spacing w:after="120"/>
        <w:jc w:val="left"/>
        <w:rPr>
          <w:rFonts w:asciiTheme="minorHAnsi" w:eastAsia="Calibri" w:hAnsiTheme="minorHAnsi" w:cstheme="minorHAnsi"/>
          <w:lang w:eastAsia="en-US"/>
        </w:rPr>
      </w:pPr>
    </w:p>
    <w:tbl>
      <w:tblPr>
        <w:tblStyle w:val="LashStyleTable2"/>
        <w:tblW w:w="9209" w:type="dxa"/>
        <w:tblInd w:w="0" w:type="dxa"/>
        <w:tblLayout w:type="fixed"/>
        <w:tblLook w:val="04A0" w:firstRow="1" w:lastRow="0" w:firstColumn="1" w:lastColumn="0" w:noHBand="0" w:noVBand="1"/>
      </w:tblPr>
      <w:tblGrid>
        <w:gridCol w:w="1129"/>
        <w:gridCol w:w="2127"/>
        <w:gridCol w:w="1620"/>
        <w:gridCol w:w="931"/>
        <w:gridCol w:w="992"/>
        <w:gridCol w:w="709"/>
        <w:gridCol w:w="1701"/>
      </w:tblGrid>
      <w:tr w:rsidR="00870F84" w:rsidRPr="00870F84" w14:paraId="1699949D" w14:textId="77777777" w:rsidTr="006D1A95">
        <w:trPr>
          <w:trHeight w:val="471"/>
        </w:trPr>
        <w:tc>
          <w:tcPr>
            <w:tcW w:w="3256" w:type="dxa"/>
            <w:gridSpan w:val="2"/>
            <w:hideMark/>
          </w:tcPr>
          <w:p w14:paraId="49E228BE" w14:textId="77777777" w:rsidR="00870F84" w:rsidRPr="00870F84" w:rsidRDefault="00870F84" w:rsidP="00870F84">
            <w:pPr>
              <w:keepNext/>
              <w:ind w:left="-57"/>
              <w:jc w:val="left"/>
              <w:rPr>
                <w:rFonts w:ascii="Arial Narrow" w:hAnsi="Arial Narrow" w:cs="Times New Roman"/>
                <w:b/>
                <w:bCs/>
                <w:sz w:val="18"/>
                <w:szCs w:val="18"/>
              </w:rPr>
            </w:pPr>
            <w:r w:rsidRPr="00870F84">
              <w:rPr>
                <w:rFonts w:ascii="Arial Narrow" w:hAnsi="Arial Narrow" w:cs="Times New Roman"/>
                <w:b/>
                <w:bCs/>
                <w:sz w:val="18"/>
                <w:szCs w:val="18"/>
              </w:rPr>
              <w:t>MEDICINAL PRODUCT</w:t>
            </w:r>
          </w:p>
          <w:p w14:paraId="0441DFD0" w14:textId="77777777" w:rsidR="00870F84" w:rsidRPr="00870F84" w:rsidRDefault="00870F84" w:rsidP="00870F84">
            <w:pPr>
              <w:keepNext/>
              <w:ind w:left="-57"/>
              <w:jc w:val="left"/>
              <w:rPr>
                <w:rFonts w:ascii="Arial Narrow" w:hAnsi="Arial Narrow" w:cs="Times New Roman"/>
                <w:b/>
                <w:sz w:val="18"/>
                <w:szCs w:val="18"/>
              </w:rPr>
            </w:pPr>
            <w:r w:rsidRPr="00870F84">
              <w:rPr>
                <w:rFonts w:ascii="Arial Narrow" w:hAnsi="Arial Narrow" w:cs="Times New Roman"/>
                <w:b/>
                <w:bCs/>
                <w:sz w:val="18"/>
                <w:szCs w:val="18"/>
              </w:rPr>
              <w:t>medicinal product pack</w:t>
            </w:r>
          </w:p>
        </w:tc>
        <w:tc>
          <w:tcPr>
            <w:tcW w:w="1620" w:type="dxa"/>
            <w:hideMark/>
          </w:tcPr>
          <w:p w14:paraId="6E33D96B" w14:textId="77777777" w:rsidR="00870F84" w:rsidRPr="00870F84" w:rsidRDefault="00870F84" w:rsidP="00870F84">
            <w:pPr>
              <w:keepNext/>
              <w:ind w:left="-108"/>
              <w:jc w:val="center"/>
              <w:rPr>
                <w:rFonts w:ascii="Arial Narrow" w:hAnsi="Arial Narrow" w:cs="Times New Roman"/>
                <w:b/>
                <w:sz w:val="18"/>
                <w:szCs w:val="18"/>
              </w:rPr>
            </w:pPr>
            <w:r w:rsidRPr="00870F84">
              <w:rPr>
                <w:rFonts w:ascii="Arial Narrow" w:hAnsi="Arial Narrow" w:cs="Times New Roman"/>
                <w:b/>
                <w:sz w:val="18"/>
                <w:szCs w:val="18"/>
              </w:rPr>
              <w:t>PBS item code</w:t>
            </w:r>
          </w:p>
        </w:tc>
        <w:tc>
          <w:tcPr>
            <w:tcW w:w="931" w:type="dxa"/>
            <w:hideMark/>
          </w:tcPr>
          <w:p w14:paraId="5628DA2D" w14:textId="77777777" w:rsidR="00870F84" w:rsidRPr="00870F84" w:rsidRDefault="00870F84" w:rsidP="00870F84">
            <w:pPr>
              <w:keepNext/>
              <w:ind w:left="-108"/>
              <w:jc w:val="center"/>
              <w:rPr>
                <w:rFonts w:ascii="Arial Narrow" w:hAnsi="Arial Narrow" w:cs="Times New Roman"/>
                <w:b/>
                <w:sz w:val="18"/>
                <w:szCs w:val="18"/>
              </w:rPr>
            </w:pPr>
            <w:r w:rsidRPr="00870F84">
              <w:rPr>
                <w:rFonts w:ascii="Arial Narrow" w:hAnsi="Arial Narrow" w:cs="Times New Roman"/>
                <w:b/>
                <w:sz w:val="18"/>
                <w:szCs w:val="18"/>
              </w:rPr>
              <w:t>Max. qty packs</w:t>
            </w:r>
          </w:p>
        </w:tc>
        <w:tc>
          <w:tcPr>
            <w:tcW w:w="992" w:type="dxa"/>
            <w:hideMark/>
          </w:tcPr>
          <w:p w14:paraId="7846D75F" w14:textId="77777777" w:rsidR="00870F84" w:rsidRPr="00870F84" w:rsidRDefault="00870F84" w:rsidP="00870F84">
            <w:pPr>
              <w:keepNext/>
              <w:ind w:left="-108"/>
              <w:jc w:val="center"/>
              <w:rPr>
                <w:rFonts w:ascii="Arial Narrow" w:hAnsi="Arial Narrow" w:cs="Times New Roman"/>
                <w:b/>
                <w:sz w:val="18"/>
                <w:szCs w:val="18"/>
              </w:rPr>
            </w:pPr>
            <w:r w:rsidRPr="00870F84">
              <w:rPr>
                <w:rFonts w:ascii="Arial Narrow" w:hAnsi="Arial Narrow" w:cs="Times New Roman"/>
                <w:b/>
                <w:sz w:val="18"/>
                <w:szCs w:val="18"/>
              </w:rPr>
              <w:t>Max. qty units</w:t>
            </w:r>
          </w:p>
        </w:tc>
        <w:tc>
          <w:tcPr>
            <w:tcW w:w="709" w:type="dxa"/>
            <w:hideMark/>
          </w:tcPr>
          <w:p w14:paraId="50C14E59" w14:textId="77777777" w:rsidR="00870F84" w:rsidRPr="00870F84" w:rsidRDefault="00870F84" w:rsidP="00870F84">
            <w:pPr>
              <w:keepNext/>
              <w:ind w:left="-108"/>
              <w:jc w:val="center"/>
              <w:rPr>
                <w:rFonts w:ascii="Arial Narrow" w:hAnsi="Arial Narrow" w:cs="Times New Roman"/>
                <w:b/>
                <w:sz w:val="18"/>
                <w:szCs w:val="18"/>
              </w:rPr>
            </w:pPr>
            <w:r w:rsidRPr="00870F84">
              <w:rPr>
                <w:rFonts w:ascii="Arial Narrow" w:hAnsi="Arial Narrow" w:cs="Times New Roman"/>
                <w:b/>
                <w:sz w:val="18"/>
                <w:szCs w:val="18"/>
              </w:rPr>
              <w:t>№.of</w:t>
            </w:r>
          </w:p>
          <w:p w14:paraId="22E78978" w14:textId="77777777" w:rsidR="00870F84" w:rsidRPr="00870F84" w:rsidRDefault="00870F84" w:rsidP="00870F84">
            <w:pPr>
              <w:keepNext/>
              <w:ind w:left="-108"/>
              <w:jc w:val="center"/>
              <w:rPr>
                <w:rFonts w:ascii="Arial Narrow" w:hAnsi="Arial Narrow" w:cs="Times New Roman"/>
                <w:b/>
                <w:sz w:val="18"/>
                <w:szCs w:val="18"/>
              </w:rPr>
            </w:pPr>
            <w:r w:rsidRPr="00870F84">
              <w:rPr>
                <w:rFonts w:ascii="Arial Narrow" w:hAnsi="Arial Narrow" w:cs="Times New Roman"/>
                <w:b/>
                <w:sz w:val="18"/>
                <w:szCs w:val="18"/>
              </w:rPr>
              <w:t>Rpts</w:t>
            </w:r>
          </w:p>
        </w:tc>
        <w:tc>
          <w:tcPr>
            <w:tcW w:w="1701" w:type="dxa"/>
            <w:hideMark/>
          </w:tcPr>
          <w:p w14:paraId="279191F8" w14:textId="77777777" w:rsidR="00870F84" w:rsidRPr="00870F84" w:rsidRDefault="00870F84" w:rsidP="00870F84">
            <w:pPr>
              <w:keepNext/>
              <w:jc w:val="left"/>
              <w:rPr>
                <w:rFonts w:ascii="Arial Narrow" w:hAnsi="Arial Narrow" w:cs="Times New Roman"/>
                <w:b/>
                <w:sz w:val="18"/>
                <w:szCs w:val="18"/>
                <w:lang w:val="fr-FR"/>
              </w:rPr>
            </w:pPr>
            <w:r w:rsidRPr="00870F84">
              <w:rPr>
                <w:rFonts w:ascii="Arial Narrow" w:hAnsi="Arial Narrow" w:cs="Times New Roman"/>
                <w:b/>
                <w:sz w:val="18"/>
                <w:szCs w:val="18"/>
              </w:rPr>
              <w:t>Available brands</w:t>
            </w:r>
          </w:p>
        </w:tc>
      </w:tr>
      <w:tr w:rsidR="00870F84" w:rsidRPr="00870F84" w14:paraId="657990DB" w14:textId="77777777" w:rsidTr="006D1A95">
        <w:trPr>
          <w:trHeight w:val="83"/>
        </w:trPr>
        <w:tc>
          <w:tcPr>
            <w:tcW w:w="9209" w:type="dxa"/>
            <w:gridSpan w:val="7"/>
            <w:hideMark/>
          </w:tcPr>
          <w:p w14:paraId="1CE70362" w14:textId="77777777" w:rsidR="00870F84" w:rsidRPr="00870F84" w:rsidRDefault="00870F84" w:rsidP="00870F84">
            <w:pPr>
              <w:keepNext/>
              <w:ind w:left="-57"/>
              <w:jc w:val="left"/>
              <w:rPr>
                <w:rFonts w:ascii="Arial Narrow" w:hAnsi="Arial Narrow" w:cs="Times New Roman"/>
                <w:sz w:val="18"/>
                <w:szCs w:val="18"/>
              </w:rPr>
            </w:pPr>
            <w:r w:rsidRPr="00870F84">
              <w:rPr>
                <w:rFonts w:ascii="Arial Narrow" w:hAnsi="Arial Narrow" w:cs="Times New Roman"/>
                <w:sz w:val="18"/>
                <w:szCs w:val="18"/>
              </w:rPr>
              <w:t>OZANIMOD</w:t>
            </w:r>
          </w:p>
        </w:tc>
      </w:tr>
      <w:tr w:rsidR="00870F84" w:rsidRPr="00870F84" w14:paraId="0A30B5AC" w14:textId="77777777" w:rsidTr="006D1A95">
        <w:trPr>
          <w:trHeight w:val="270"/>
        </w:trPr>
        <w:tc>
          <w:tcPr>
            <w:tcW w:w="3256" w:type="dxa"/>
            <w:gridSpan w:val="2"/>
            <w:hideMark/>
          </w:tcPr>
          <w:p w14:paraId="03B6FBA0" w14:textId="77777777" w:rsidR="00870F84" w:rsidRPr="00870F84" w:rsidRDefault="00870F84" w:rsidP="00870F84">
            <w:pPr>
              <w:keepNext/>
              <w:ind w:left="-57"/>
              <w:jc w:val="left"/>
              <w:rPr>
                <w:rFonts w:ascii="Arial Narrow" w:hAnsi="Arial Narrow" w:cs="Times New Roman"/>
                <w:sz w:val="18"/>
                <w:szCs w:val="18"/>
              </w:rPr>
            </w:pPr>
            <w:r w:rsidRPr="00870F84">
              <w:rPr>
                <w:rFonts w:ascii="Arial Narrow" w:hAnsi="Arial Narrow" w:cs="Times New Roman"/>
                <w:sz w:val="18"/>
                <w:szCs w:val="18"/>
              </w:rPr>
              <w:t xml:space="preserve">ozanimod 920 </w:t>
            </w:r>
            <w:r w:rsidRPr="00870F84">
              <w:rPr>
                <w:rFonts w:ascii="Arial Narrow" w:hAnsi="Arial Narrow" w:cs="Calibri"/>
                <w:color w:val="222222"/>
                <w:sz w:val="18"/>
                <w:szCs w:val="18"/>
                <w:bdr w:val="none" w:sz="0" w:space="0" w:color="auto" w:frame="1"/>
              </w:rPr>
              <w:t xml:space="preserve">microgram </w:t>
            </w:r>
            <w:r w:rsidRPr="00870F84">
              <w:rPr>
                <w:rFonts w:ascii="Arial Narrow" w:hAnsi="Arial Narrow" w:cs="Times New Roman"/>
                <w:sz w:val="18"/>
                <w:szCs w:val="18"/>
              </w:rPr>
              <w:t xml:space="preserve">capsule, 28 </w:t>
            </w:r>
          </w:p>
        </w:tc>
        <w:tc>
          <w:tcPr>
            <w:tcW w:w="1620" w:type="dxa"/>
            <w:hideMark/>
          </w:tcPr>
          <w:p w14:paraId="1DDFE957" w14:textId="77777777" w:rsidR="00870F84" w:rsidRPr="00870F84" w:rsidRDefault="00870F84" w:rsidP="00870F84">
            <w:pPr>
              <w:keepNext/>
              <w:jc w:val="center"/>
              <w:rPr>
                <w:rFonts w:ascii="Arial Narrow" w:hAnsi="Arial Narrow" w:cs="Times New Roman"/>
                <w:sz w:val="18"/>
                <w:szCs w:val="18"/>
              </w:rPr>
            </w:pPr>
            <w:r w:rsidRPr="00870F84">
              <w:rPr>
                <w:rFonts w:ascii="Arial Narrow" w:hAnsi="Arial Narrow" w:cs="Times New Roman"/>
                <w:sz w:val="18"/>
                <w:szCs w:val="18"/>
              </w:rPr>
              <w:t>NEW</w:t>
            </w:r>
          </w:p>
        </w:tc>
        <w:tc>
          <w:tcPr>
            <w:tcW w:w="931" w:type="dxa"/>
            <w:hideMark/>
          </w:tcPr>
          <w:p w14:paraId="32077BA2" w14:textId="77777777" w:rsidR="00870F84" w:rsidRPr="00870F84" w:rsidRDefault="00870F84" w:rsidP="00870F84">
            <w:pPr>
              <w:keepNext/>
              <w:jc w:val="center"/>
              <w:rPr>
                <w:rFonts w:ascii="Arial Narrow" w:hAnsi="Arial Narrow" w:cs="Times New Roman"/>
                <w:sz w:val="18"/>
                <w:szCs w:val="18"/>
              </w:rPr>
            </w:pPr>
            <w:r w:rsidRPr="00870F84">
              <w:rPr>
                <w:rFonts w:ascii="Arial Narrow" w:hAnsi="Arial Narrow" w:cs="Times New Roman"/>
                <w:sz w:val="18"/>
                <w:szCs w:val="18"/>
              </w:rPr>
              <w:t>1</w:t>
            </w:r>
          </w:p>
        </w:tc>
        <w:tc>
          <w:tcPr>
            <w:tcW w:w="992" w:type="dxa"/>
            <w:hideMark/>
          </w:tcPr>
          <w:p w14:paraId="641EC533" w14:textId="77777777" w:rsidR="00870F84" w:rsidRPr="00870F84" w:rsidRDefault="00870F84" w:rsidP="00870F84">
            <w:pPr>
              <w:keepNext/>
              <w:jc w:val="center"/>
              <w:rPr>
                <w:rFonts w:ascii="Arial Narrow" w:hAnsi="Arial Narrow" w:cs="Times New Roman"/>
                <w:sz w:val="18"/>
                <w:szCs w:val="18"/>
              </w:rPr>
            </w:pPr>
            <w:r w:rsidRPr="00870F84">
              <w:rPr>
                <w:rFonts w:ascii="Arial Narrow" w:hAnsi="Arial Narrow" w:cs="Times New Roman"/>
                <w:sz w:val="18"/>
                <w:szCs w:val="18"/>
              </w:rPr>
              <w:t>28</w:t>
            </w:r>
          </w:p>
        </w:tc>
        <w:tc>
          <w:tcPr>
            <w:tcW w:w="709" w:type="dxa"/>
            <w:hideMark/>
          </w:tcPr>
          <w:p w14:paraId="0B801D15" w14:textId="77777777" w:rsidR="00870F84" w:rsidRPr="00870F84" w:rsidRDefault="00870F84" w:rsidP="00870F84">
            <w:pPr>
              <w:keepNext/>
              <w:jc w:val="center"/>
              <w:rPr>
                <w:rFonts w:ascii="Arial Narrow" w:hAnsi="Arial Narrow" w:cs="Times New Roman"/>
                <w:sz w:val="18"/>
                <w:szCs w:val="18"/>
              </w:rPr>
            </w:pPr>
            <w:r w:rsidRPr="00870F84">
              <w:rPr>
                <w:rFonts w:ascii="Arial Narrow" w:hAnsi="Arial Narrow" w:cs="Times New Roman"/>
                <w:sz w:val="18"/>
                <w:szCs w:val="18"/>
              </w:rPr>
              <w:t>5</w:t>
            </w:r>
          </w:p>
        </w:tc>
        <w:tc>
          <w:tcPr>
            <w:tcW w:w="1701" w:type="dxa"/>
            <w:hideMark/>
          </w:tcPr>
          <w:p w14:paraId="4CE86327" w14:textId="77777777" w:rsidR="00870F84" w:rsidRPr="00870F84" w:rsidRDefault="00870F84" w:rsidP="00870F84">
            <w:pPr>
              <w:keepNext/>
              <w:jc w:val="left"/>
              <w:rPr>
                <w:rFonts w:ascii="Arial Narrow" w:hAnsi="Arial Narrow" w:cs="Times New Roman"/>
                <w:sz w:val="18"/>
                <w:szCs w:val="18"/>
              </w:rPr>
            </w:pPr>
            <w:proofErr w:type="spellStart"/>
            <w:r w:rsidRPr="00870F84">
              <w:rPr>
                <w:rFonts w:ascii="Arial Narrow" w:hAnsi="Arial Narrow" w:cs="Times New Roman"/>
                <w:sz w:val="18"/>
                <w:szCs w:val="18"/>
              </w:rPr>
              <w:t>Zeposia</w:t>
            </w:r>
            <w:proofErr w:type="spellEnd"/>
          </w:p>
        </w:tc>
      </w:tr>
      <w:tr w:rsidR="00870F84" w:rsidRPr="00870F84" w14:paraId="31C9A0F8" w14:textId="77777777" w:rsidTr="006D1A95">
        <w:trPr>
          <w:trHeight w:val="270"/>
        </w:trPr>
        <w:tc>
          <w:tcPr>
            <w:tcW w:w="9209" w:type="dxa"/>
            <w:gridSpan w:val="7"/>
          </w:tcPr>
          <w:p w14:paraId="09B64D8C" w14:textId="77777777" w:rsidR="00870F84" w:rsidRPr="00870F84" w:rsidRDefault="00870F84" w:rsidP="00870F84">
            <w:pPr>
              <w:keepNext/>
              <w:spacing w:line="256" w:lineRule="auto"/>
              <w:jc w:val="left"/>
              <w:rPr>
                <w:rFonts w:ascii="Arial Narrow" w:hAnsi="Arial Narrow" w:cs="Times New Roman"/>
                <w:sz w:val="18"/>
                <w:szCs w:val="18"/>
              </w:rPr>
            </w:pPr>
          </w:p>
        </w:tc>
      </w:tr>
      <w:tr w:rsidR="00870F84" w:rsidRPr="00870F84" w14:paraId="5AA2038B" w14:textId="77777777" w:rsidTr="006D1A95">
        <w:tc>
          <w:tcPr>
            <w:tcW w:w="9209" w:type="dxa"/>
            <w:gridSpan w:val="7"/>
            <w:hideMark/>
          </w:tcPr>
          <w:p w14:paraId="35640F0C" w14:textId="5DE321BE" w:rsidR="00870F84" w:rsidRPr="00870F84" w:rsidRDefault="00870F84" w:rsidP="00870F84">
            <w:pPr>
              <w:spacing w:line="256" w:lineRule="auto"/>
              <w:jc w:val="left"/>
              <w:rPr>
                <w:rFonts w:ascii="Arial Narrow" w:hAnsi="Arial Narrow" w:cs="Times New Roman"/>
                <w:b/>
                <w:sz w:val="18"/>
                <w:szCs w:val="18"/>
              </w:rPr>
            </w:pPr>
            <w:r w:rsidRPr="00870F84">
              <w:rPr>
                <w:rFonts w:ascii="Arial Narrow" w:hAnsi="Arial Narrow" w:cs="Times New Roman"/>
                <w:b/>
                <w:sz w:val="18"/>
                <w:szCs w:val="18"/>
              </w:rPr>
              <w:t>Restriction Summary TMP24860 / Treatment of Concept: TMP24859 Authority Required</w:t>
            </w:r>
          </w:p>
        </w:tc>
      </w:tr>
      <w:tr w:rsidR="00870F84" w:rsidRPr="00870F84" w14:paraId="282A1521" w14:textId="77777777" w:rsidTr="006D1A95">
        <w:tc>
          <w:tcPr>
            <w:tcW w:w="1129" w:type="dxa"/>
            <w:vMerge w:val="restart"/>
          </w:tcPr>
          <w:p w14:paraId="146ED094" w14:textId="77777777" w:rsidR="00870F84" w:rsidRPr="00870F84" w:rsidRDefault="00870F84" w:rsidP="00870F84">
            <w:pPr>
              <w:spacing w:line="256" w:lineRule="auto"/>
              <w:jc w:val="center"/>
              <w:rPr>
                <w:rFonts w:ascii="Arial Narrow" w:hAnsi="Arial Narrow" w:cs="Times New Roman"/>
                <w:b/>
                <w:sz w:val="18"/>
                <w:szCs w:val="18"/>
              </w:rPr>
            </w:pPr>
            <w:r w:rsidRPr="00870F84">
              <w:rPr>
                <w:rFonts w:ascii="Arial Narrow" w:hAnsi="Arial Narrow" w:cs="Times New Roman"/>
                <w:b/>
                <w:sz w:val="18"/>
                <w:szCs w:val="18"/>
              </w:rPr>
              <w:t>Concept ID</w:t>
            </w:r>
          </w:p>
          <w:p w14:paraId="7A447283" w14:textId="77777777" w:rsidR="00870F84" w:rsidRPr="00870F84" w:rsidRDefault="00870F84" w:rsidP="00870F84">
            <w:pPr>
              <w:spacing w:line="256" w:lineRule="auto"/>
              <w:jc w:val="center"/>
              <w:rPr>
                <w:rFonts w:ascii="Arial Narrow" w:hAnsi="Arial Narrow" w:cs="Times New Roman"/>
                <w:sz w:val="18"/>
                <w:szCs w:val="18"/>
              </w:rPr>
            </w:pPr>
            <w:r w:rsidRPr="00870F84">
              <w:rPr>
                <w:rFonts w:ascii="Arial Narrow" w:hAnsi="Arial Narrow" w:cs="Times New Roman"/>
                <w:sz w:val="18"/>
                <w:szCs w:val="18"/>
              </w:rPr>
              <w:t>(</w:t>
            </w:r>
            <w:proofErr w:type="gramStart"/>
            <w:r w:rsidRPr="00870F84">
              <w:rPr>
                <w:rFonts w:ascii="Arial Narrow" w:hAnsi="Arial Narrow" w:cs="Times New Roman"/>
                <w:sz w:val="18"/>
                <w:szCs w:val="18"/>
              </w:rPr>
              <w:t>for</w:t>
            </w:r>
            <w:proofErr w:type="gramEnd"/>
            <w:r w:rsidRPr="00870F84">
              <w:rPr>
                <w:rFonts w:ascii="Arial Narrow" w:hAnsi="Arial Narrow" w:cs="Times New Roman"/>
                <w:sz w:val="18"/>
                <w:szCs w:val="18"/>
              </w:rPr>
              <w:t xml:space="preserve"> internal Dept. use)</w:t>
            </w:r>
          </w:p>
        </w:tc>
        <w:tc>
          <w:tcPr>
            <w:tcW w:w="8080" w:type="dxa"/>
            <w:gridSpan w:val="6"/>
            <w:hideMark/>
          </w:tcPr>
          <w:p w14:paraId="2EEA0700" w14:textId="77777777" w:rsidR="00870F84" w:rsidRPr="00870F84" w:rsidRDefault="00870F84" w:rsidP="00870F84">
            <w:pPr>
              <w:spacing w:line="256" w:lineRule="auto"/>
              <w:jc w:val="left"/>
              <w:rPr>
                <w:rFonts w:ascii="Arial Narrow" w:hAnsi="Arial Narrow" w:cs="Times New Roman"/>
                <w:sz w:val="18"/>
                <w:szCs w:val="18"/>
              </w:rPr>
            </w:pPr>
            <w:r w:rsidRPr="00870F84">
              <w:rPr>
                <w:rFonts w:ascii="Arial Narrow" w:hAnsi="Arial Narrow" w:cs="Times New Roman"/>
                <w:b/>
                <w:sz w:val="18"/>
                <w:szCs w:val="18"/>
              </w:rPr>
              <w:t xml:space="preserve">Category / Program:   </w:t>
            </w:r>
            <w:r w:rsidRPr="00870F84">
              <w:rPr>
                <w:rFonts w:ascii="Arial Narrow" w:hAnsi="Arial Narrow" w:cs="Times New Roman"/>
                <w:sz w:val="18"/>
                <w:szCs w:val="18"/>
              </w:rPr>
              <w:t>GENERAL – General Schedule (Code GE)</w:t>
            </w:r>
            <w:r w:rsidRPr="00870F84">
              <w:rPr>
                <w:rFonts w:ascii="Arial Narrow" w:hAnsi="Arial Narrow" w:cs="Times New Roman"/>
                <w:color w:val="FF0000"/>
                <w:sz w:val="18"/>
                <w:szCs w:val="18"/>
              </w:rPr>
              <w:t xml:space="preserve"> </w:t>
            </w:r>
          </w:p>
          <w:p w14:paraId="631B44C5" w14:textId="77777777" w:rsidR="00870F84" w:rsidRPr="00870F84" w:rsidRDefault="00870F84" w:rsidP="00870F84">
            <w:pPr>
              <w:spacing w:line="256" w:lineRule="auto"/>
              <w:jc w:val="left"/>
              <w:rPr>
                <w:rFonts w:ascii="Arial Narrow" w:hAnsi="Arial Narrow" w:cs="Times New Roman"/>
                <w:sz w:val="18"/>
                <w:szCs w:val="18"/>
              </w:rPr>
            </w:pPr>
          </w:p>
        </w:tc>
      </w:tr>
      <w:tr w:rsidR="00870F84" w:rsidRPr="00870F84" w14:paraId="28BC114C" w14:textId="77777777" w:rsidTr="006D1A95">
        <w:trPr>
          <w:trHeight w:val="240"/>
        </w:trPr>
        <w:tc>
          <w:tcPr>
            <w:tcW w:w="1129" w:type="dxa"/>
            <w:vMerge/>
            <w:hideMark/>
          </w:tcPr>
          <w:p w14:paraId="71796B7A" w14:textId="77777777" w:rsidR="00870F84" w:rsidRPr="00870F84" w:rsidRDefault="00870F84" w:rsidP="00870F84">
            <w:pPr>
              <w:spacing w:line="256" w:lineRule="auto"/>
              <w:jc w:val="left"/>
              <w:rPr>
                <w:rFonts w:ascii="Arial Narrow" w:hAnsi="Arial Narrow" w:cs="Times New Roman"/>
                <w:b/>
                <w:sz w:val="18"/>
                <w:szCs w:val="18"/>
              </w:rPr>
            </w:pPr>
          </w:p>
        </w:tc>
        <w:tc>
          <w:tcPr>
            <w:tcW w:w="8080" w:type="dxa"/>
            <w:gridSpan w:val="6"/>
            <w:hideMark/>
          </w:tcPr>
          <w:p w14:paraId="5A1D1504" w14:textId="77777777" w:rsidR="00870F84" w:rsidRPr="00870F84" w:rsidRDefault="00870F84" w:rsidP="00870F84">
            <w:pPr>
              <w:spacing w:line="256" w:lineRule="auto"/>
              <w:jc w:val="left"/>
              <w:rPr>
                <w:rFonts w:ascii="Arial Narrow" w:hAnsi="Arial Narrow" w:cs="Times New Roman"/>
                <w:b/>
                <w:sz w:val="18"/>
                <w:szCs w:val="18"/>
              </w:rPr>
            </w:pPr>
            <w:r w:rsidRPr="00870F84">
              <w:rPr>
                <w:rFonts w:ascii="Arial Narrow" w:hAnsi="Arial Narrow" w:cs="Times New Roman"/>
                <w:b/>
                <w:sz w:val="18"/>
                <w:szCs w:val="18"/>
              </w:rPr>
              <w:t>Prescriber type:</w:t>
            </w:r>
            <w:r w:rsidRPr="00870F84">
              <w:rPr>
                <w:rFonts w:ascii="Arial Narrow" w:hAnsi="Arial Narrow" w:cs="Times New Roman"/>
                <w:sz w:val="18"/>
                <w:szCs w:val="18"/>
              </w:rPr>
              <w:t xml:space="preserve">    </w:t>
            </w:r>
            <w:r w:rsidRPr="00870F84">
              <w:rPr>
                <w:rFonts w:ascii="Arial Narrow" w:hAnsi="Arial Narrow" w:cs="Times New Roman"/>
                <w:sz w:val="18"/>
                <w:szCs w:val="18"/>
              </w:rPr>
              <w:fldChar w:fldCharType="begin">
                <w:ffData>
                  <w:name w:val=""/>
                  <w:enabled/>
                  <w:calcOnExit w:val="0"/>
                  <w:checkBox>
                    <w:sizeAuto/>
                    <w:default w:val="1"/>
                  </w:checkBox>
                </w:ffData>
              </w:fldChar>
            </w:r>
            <w:r w:rsidRPr="00870F84">
              <w:rPr>
                <w:rFonts w:ascii="Arial Narrow" w:hAnsi="Arial Narrow" w:cs="Times New Roman"/>
                <w:sz w:val="18"/>
                <w:szCs w:val="18"/>
              </w:rPr>
              <w:instrText xml:space="preserve"> FORMCHECKBOX </w:instrText>
            </w:r>
            <w:r w:rsidR="00340AC7">
              <w:rPr>
                <w:rFonts w:ascii="Arial Narrow" w:hAnsi="Arial Narrow" w:cs="Times New Roman"/>
                <w:sz w:val="18"/>
                <w:szCs w:val="18"/>
              </w:rPr>
            </w:r>
            <w:r w:rsidR="00340AC7">
              <w:rPr>
                <w:rFonts w:ascii="Arial Narrow" w:hAnsi="Arial Narrow" w:cs="Times New Roman"/>
                <w:sz w:val="18"/>
                <w:szCs w:val="18"/>
              </w:rPr>
              <w:fldChar w:fldCharType="separate"/>
            </w:r>
            <w:r w:rsidRPr="00870F84">
              <w:rPr>
                <w:rFonts w:ascii="Arial Narrow" w:hAnsi="Arial Narrow" w:cs="Times New Roman"/>
                <w:sz w:val="18"/>
                <w:szCs w:val="18"/>
              </w:rPr>
              <w:fldChar w:fldCharType="end"/>
            </w:r>
            <w:r w:rsidRPr="00870F84">
              <w:rPr>
                <w:rFonts w:ascii="Arial Narrow" w:hAnsi="Arial Narrow" w:cs="Times New Roman"/>
                <w:sz w:val="18"/>
                <w:szCs w:val="18"/>
              </w:rPr>
              <w:t xml:space="preserve">Medical Practitioners    </w:t>
            </w:r>
          </w:p>
        </w:tc>
      </w:tr>
      <w:tr w:rsidR="00870F84" w:rsidRPr="00870F84" w14:paraId="4B98B0F4" w14:textId="77777777" w:rsidTr="006D1A95">
        <w:trPr>
          <w:trHeight w:val="302"/>
        </w:trPr>
        <w:tc>
          <w:tcPr>
            <w:tcW w:w="1129" w:type="dxa"/>
            <w:vMerge/>
            <w:hideMark/>
          </w:tcPr>
          <w:p w14:paraId="51F05817" w14:textId="77777777" w:rsidR="00870F84" w:rsidRPr="00870F84" w:rsidRDefault="00870F84" w:rsidP="00870F84">
            <w:pPr>
              <w:spacing w:line="256" w:lineRule="auto"/>
              <w:jc w:val="left"/>
              <w:rPr>
                <w:rFonts w:ascii="Arial Narrow" w:hAnsi="Arial Narrow" w:cs="Times New Roman"/>
                <w:b/>
                <w:sz w:val="18"/>
                <w:szCs w:val="18"/>
              </w:rPr>
            </w:pPr>
          </w:p>
        </w:tc>
        <w:tc>
          <w:tcPr>
            <w:tcW w:w="8080" w:type="dxa"/>
            <w:gridSpan w:val="6"/>
            <w:hideMark/>
          </w:tcPr>
          <w:p w14:paraId="0C704F23" w14:textId="77777777" w:rsidR="00870F84" w:rsidRPr="00870F84" w:rsidRDefault="00870F84" w:rsidP="00870F84">
            <w:pPr>
              <w:spacing w:line="256" w:lineRule="auto"/>
              <w:jc w:val="left"/>
              <w:rPr>
                <w:rFonts w:ascii="Arial Narrow" w:hAnsi="Arial Narrow" w:cs="Times New Roman"/>
                <w:color w:val="FF00FF"/>
                <w:sz w:val="18"/>
                <w:szCs w:val="18"/>
              </w:rPr>
            </w:pPr>
            <w:r w:rsidRPr="00870F84">
              <w:rPr>
                <w:rFonts w:ascii="Arial Narrow" w:hAnsi="Arial Narrow" w:cs="Times New Roman"/>
                <w:b/>
                <w:sz w:val="18"/>
                <w:szCs w:val="18"/>
              </w:rPr>
              <w:t xml:space="preserve">Restriction type: </w:t>
            </w:r>
            <w:r w:rsidRPr="00870F84">
              <w:rPr>
                <w:rFonts w:ascii="Arial Narrow" w:hAnsi="Arial Narrow" w:cs="Times New Roman"/>
                <w:sz w:val="18"/>
                <w:szCs w:val="18"/>
              </w:rPr>
              <w:fldChar w:fldCharType="begin">
                <w:ffData>
                  <w:name w:val=""/>
                  <w:enabled/>
                  <w:calcOnExit w:val="0"/>
                  <w:checkBox>
                    <w:sizeAuto/>
                    <w:default w:val="1"/>
                  </w:checkBox>
                </w:ffData>
              </w:fldChar>
            </w:r>
            <w:r w:rsidRPr="00870F84">
              <w:rPr>
                <w:rFonts w:ascii="Arial Narrow" w:hAnsi="Arial Narrow" w:cs="Times New Roman"/>
                <w:sz w:val="18"/>
                <w:szCs w:val="18"/>
              </w:rPr>
              <w:instrText xml:space="preserve"> FORMCHECKBOX </w:instrText>
            </w:r>
            <w:r w:rsidR="00340AC7">
              <w:rPr>
                <w:rFonts w:ascii="Arial Narrow" w:hAnsi="Arial Narrow" w:cs="Times New Roman"/>
                <w:sz w:val="18"/>
                <w:szCs w:val="18"/>
              </w:rPr>
            </w:r>
            <w:r w:rsidR="00340AC7">
              <w:rPr>
                <w:rFonts w:ascii="Arial Narrow" w:hAnsi="Arial Narrow" w:cs="Times New Roman"/>
                <w:sz w:val="18"/>
                <w:szCs w:val="18"/>
              </w:rPr>
              <w:fldChar w:fldCharType="separate"/>
            </w:r>
            <w:r w:rsidRPr="00870F84">
              <w:rPr>
                <w:rFonts w:ascii="Arial Narrow" w:hAnsi="Arial Narrow" w:cs="Times New Roman"/>
                <w:sz w:val="18"/>
                <w:szCs w:val="18"/>
              </w:rPr>
              <w:fldChar w:fldCharType="end"/>
            </w:r>
            <w:r w:rsidRPr="00870F84">
              <w:rPr>
                <w:rFonts w:ascii="Arial Narrow" w:hAnsi="Arial Narrow" w:cs="Times New Roman"/>
                <w:sz w:val="18"/>
                <w:szCs w:val="18"/>
              </w:rPr>
              <w:t xml:space="preserve">Authority Required </w:t>
            </w:r>
          </w:p>
        </w:tc>
      </w:tr>
      <w:tr w:rsidR="00870F84" w:rsidRPr="00870F84" w14:paraId="0A66ED65" w14:textId="77777777" w:rsidTr="006D1A95">
        <w:tc>
          <w:tcPr>
            <w:tcW w:w="1129" w:type="dxa"/>
          </w:tcPr>
          <w:p w14:paraId="3BC9662B" w14:textId="77777777"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tcPr>
          <w:p w14:paraId="38615E2E" w14:textId="77777777" w:rsidR="00870F84" w:rsidRPr="00870F84" w:rsidRDefault="00870F84" w:rsidP="00870F84">
            <w:pPr>
              <w:spacing w:line="256" w:lineRule="auto"/>
              <w:jc w:val="left"/>
              <w:textAlignment w:val="baseline"/>
              <w:rPr>
                <w:rFonts w:ascii="Arial Narrow" w:hAnsi="Arial Narrow" w:cs="Open Sans"/>
                <w:b/>
                <w:bCs/>
                <w:color w:val="333333"/>
                <w:sz w:val="18"/>
                <w:szCs w:val="18"/>
                <w:bdr w:val="none" w:sz="0" w:space="0" w:color="auto" w:frame="1"/>
              </w:rPr>
            </w:pPr>
          </w:p>
        </w:tc>
      </w:tr>
      <w:tr w:rsidR="00870F84" w:rsidRPr="00870F84" w14:paraId="6E21D247" w14:textId="77777777" w:rsidTr="006D1A95">
        <w:tc>
          <w:tcPr>
            <w:tcW w:w="1129" w:type="dxa"/>
          </w:tcPr>
          <w:p w14:paraId="29ADF7A3" w14:textId="77777777"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tcPr>
          <w:p w14:paraId="1201E7AF" w14:textId="77777777" w:rsidR="00870F84" w:rsidRPr="00870F84" w:rsidRDefault="00870F84" w:rsidP="00870F84">
            <w:pPr>
              <w:spacing w:line="256" w:lineRule="auto"/>
              <w:jc w:val="left"/>
              <w:textAlignment w:val="baseline"/>
              <w:rPr>
                <w:rFonts w:ascii="Arial Narrow" w:hAnsi="Arial Narrow" w:cs="Open Sans"/>
                <w:i/>
                <w:iCs/>
                <w:color w:val="333333"/>
                <w:sz w:val="18"/>
                <w:szCs w:val="18"/>
                <w:bdr w:val="none" w:sz="0" w:space="0" w:color="auto" w:frame="1"/>
              </w:rPr>
            </w:pPr>
            <w:r w:rsidRPr="00870F84">
              <w:rPr>
                <w:rFonts w:ascii="Arial Narrow" w:hAnsi="Arial Narrow" w:cs="Open Sans"/>
                <w:i/>
                <w:iCs/>
                <w:color w:val="333333"/>
                <w:sz w:val="18"/>
                <w:szCs w:val="18"/>
                <w:bdr w:val="none" w:sz="0" w:space="0" w:color="auto" w:frame="1"/>
              </w:rPr>
              <w:t>(NOTEs applying to all restriction summaries below)</w:t>
            </w:r>
          </w:p>
        </w:tc>
      </w:tr>
      <w:tr w:rsidR="00870F84" w:rsidRPr="00870F84" w14:paraId="08CFBCFF" w14:textId="77777777" w:rsidTr="006D1A95">
        <w:tc>
          <w:tcPr>
            <w:tcW w:w="1129" w:type="dxa"/>
            <w:tcBorders>
              <w:bottom w:val="single" w:sz="4" w:space="0" w:color="auto"/>
            </w:tcBorders>
          </w:tcPr>
          <w:p w14:paraId="126DEE94" w14:textId="6F60ADA6"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tcBorders>
              <w:bottom w:val="single" w:sz="4" w:space="0" w:color="auto"/>
            </w:tcBorders>
          </w:tcPr>
          <w:p w14:paraId="1E665C1D" w14:textId="77777777" w:rsidR="00870F84" w:rsidRPr="00870F84" w:rsidRDefault="00870F84" w:rsidP="00870F84">
            <w:pPr>
              <w:shd w:val="clear" w:color="auto" w:fill="FFFFFF"/>
              <w:jc w:val="left"/>
              <w:textAlignment w:val="baseline"/>
              <w:rPr>
                <w:rFonts w:ascii="Arial Narrow" w:hAnsi="Arial Narrow" w:cs="Open Sans"/>
                <w:snapToGrid w:val="0"/>
                <w:color w:val="333333"/>
                <w:sz w:val="18"/>
                <w:szCs w:val="18"/>
                <w:bdr w:val="none" w:sz="0" w:space="0" w:color="auto" w:frame="1"/>
                <w:lang w:val="en-GB"/>
              </w:rPr>
            </w:pPr>
            <w:r w:rsidRPr="00870F84">
              <w:rPr>
                <w:rFonts w:ascii="Arial Narrow" w:hAnsi="Arial Narrow" w:cs="Open Sans"/>
                <w:b/>
                <w:bCs/>
                <w:snapToGrid w:val="0"/>
                <w:color w:val="333333"/>
                <w:sz w:val="18"/>
                <w:szCs w:val="18"/>
                <w:u w:val="single"/>
                <w:bdr w:val="none" w:sz="0" w:space="0" w:color="auto" w:frame="1"/>
                <w:lang w:val="en-GB"/>
              </w:rPr>
              <w:t>N</w:t>
            </w:r>
            <w:r w:rsidRPr="00870F84">
              <w:rPr>
                <w:rFonts w:ascii="Arial Narrow" w:hAnsi="Arial Narrow" w:cs="Open Sans"/>
                <w:b/>
                <w:bCs/>
                <w:snapToGrid w:val="0"/>
                <w:color w:val="333333"/>
                <w:sz w:val="18"/>
                <w:szCs w:val="18"/>
                <w:u w:val="single"/>
                <w:lang w:val="en-GB"/>
              </w:rPr>
              <w:t>OTE</w:t>
            </w:r>
            <w:r w:rsidRPr="00870F84">
              <w:rPr>
                <w:rFonts w:ascii="Arial Narrow" w:hAnsi="Arial Narrow" w:cs="Open Sans"/>
                <w:b/>
                <w:bCs/>
                <w:snapToGrid w:val="0"/>
                <w:color w:val="333333"/>
                <w:sz w:val="18"/>
                <w:szCs w:val="18"/>
                <w:bdr w:val="none" w:sz="0" w:space="0" w:color="auto" w:frame="1"/>
                <w:lang w:val="en-GB"/>
              </w:rPr>
              <w:t>:</w:t>
            </w:r>
          </w:p>
          <w:p w14:paraId="57E88ECA" w14:textId="77777777" w:rsidR="00870F84" w:rsidRPr="00870F84" w:rsidRDefault="00870F84" w:rsidP="00870F84">
            <w:pPr>
              <w:shd w:val="clear" w:color="auto" w:fill="FFFFFF"/>
              <w:jc w:val="left"/>
              <w:textAlignment w:val="baseline"/>
              <w:rPr>
                <w:rFonts w:ascii="Arial Narrow" w:hAnsi="Arial Narrow" w:cs="Times New Roman"/>
                <w:b/>
                <w:bCs/>
                <w:snapToGrid w:val="0"/>
                <w:sz w:val="18"/>
                <w:szCs w:val="18"/>
                <w:bdr w:val="none" w:sz="0" w:space="0" w:color="auto" w:frame="1"/>
                <w:lang w:val="en-GB"/>
              </w:rPr>
            </w:pPr>
            <w:r w:rsidRPr="00870F84">
              <w:rPr>
                <w:rFonts w:ascii="Arial Narrow" w:hAnsi="Arial Narrow" w:cs="Times New Roman"/>
                <w:b/>
                <w:bCs/>
                <w:snapToGrid w:val="0"/>
                <w:sz w:val="18"/>
                <w:szCs w:val="18"/>
                <w:bdr w:val="none" w:sz="0" w:space="0" w:color="auto" w:frame="1"/>
                <w:lang w:val="en-GB"/>
              </w:rPr>
              <w:t>TREATMENT OF ADULT PATIENTS WITH MODERATE TO SEVERE ULCERATIVE COLITIS</w:t>
            </w:r>
          </w:p>
          <w:p w14:paraId="0FBAB573" w14:textId="77777777" w:rsidR="00870F84" w:rsidRPr="00870F84" w:rsidRDefault="00870F84" w:rsidP="00870F84">
            <w:pPr>
              <w:shd w:val="clear" w:color="auto" w:fill="FFFFFF"/>
              <w:jc w:val="left"/>
              <w:textAlignment w:val="baseline"/>
              <w:rPr>
                <w:rFonts w:ascii="Times New Roman" w:hAnsi="Times New Roman" w:cs="Times New Roman"/>
                <w:snapToGrid w:val="0"/>
                <w:sz w:val="22"/>
                <w:szCs w:val="22"/>
                <w:lang w:val="en-GB"/>
              </w:rPr>
            </w:pPr>
            <w:r w:rsidRPr="00870F84">
              <w:rPr>
                <w:rFonts w:ascii="Times New Roman" w:hAnsi="Times New Roman" w:cs="Times New Roman"/>
                <w:snapToGrid w:val="0"/>
                <w:sz w:val="22"/>
                <w:szCs w:val="22"/>
                <w:lang w:val="en-GB"/>
              </w:rPr>
              <w:t>--- ---</w:t>
            </w:r>
          </w:p>
        </w:tc>
      </w:tr>
      <w:tr w:rsidR="00870F84" w:rsidRPr="00870F84" w14:paraId="462EB757" w14:textId="77777777" w:rsidTr="006D1A95">
        <w:tc>
          <w:tcPr>
            <w:tcW w:w="1129" w:type="dxa"/>
            <w:shd w:val="clear" w:color="auto" w:fill="auto"/>
          </w:tcPr>
          <w:p w14:paraId="2492294D" w14:textId="6AF2A127"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shd w:val="clear" w:color="auto" w:fill="auto"/>
          </w:tcPr>
          <w:p w14:paraId="16473E53" w14:textId="77777777" w:rsidR="00870F84" w:rsidRPr="00870F84" w:rsidRDefault="00870F84" w:rsidP="00870F84">
            <w:pPr>
              <w:shd w:val="clear" w:color="auto" w:fill="F4F4F4"/>
              <w:jc w:val="left"/>
              <w:textAlignment w:val="baseline"/>
              <w:rPr>
                <w:rFonts w:ascii="Arial Narrow" w:hAnsi="Arial Narrow" w:cs="Times New Roman"/>
                <w:snapToGrid w:val="0"/>
                <w:sz w:val="18"/>
                <w:szCs w:val="18"/>
                <w:lang w:val="en-GB"/>
              </w:rPr>
            </w:pPr>
            <w:r w:rsidRPr="00870F84">
              <w:rPr>
                <w:rFonts w:ascii="Arial Narrow" w:hAnsi="Arial Narrow" w:cs="Open Sans"/>
                <w:b/>
                <w:bCs/>
                <w:snapToGrid w:val="0"/>
                <w:color w:val="333333"/>
                <w:sz w:val="18"/>
                <w:szCs w:val="18"/>
                <w:u w:val="single"/>
                <w:bdr w:val="none" w:sz="0" w:space="0" w:color="auto" w:frame="1"/>
                <w:lang w:val="en-GB"/>
              </w:rPr>
              <w:t xml:space="preserve">NOTE: </w:t>
            </w:r>
            <w:r w:rsidRPr="00870F84">
              <w:rPr>
                <w:rFonts w:ascii="Arial Narrow" w:hAnsi="Arial Narrow" w:cs="Times New Roman"/>
                <w:snapToGrid w:val="0"/>
                <w:sz w:val="18"/>
                <w:szCs w:val="18"/>
                <w:lang w:val="en-GB"/>
              </w:rPr>
              <w:t>No increase in the maximum quantity or number of units may be authorised.</w:t>
            </w:r>
          </w:p>
        </w:tc>
      </w:tr>
      <w:tr w:rsidR="00870F84" w:rsidRPr="00870F84" w14:paraId="60DCA8D9" w14:textId="77777777" w:rsidTr="006D1A95">
        <w:tc>
          <w:tcPr>
            <w:tcW w:w="1129" w:type="dxa"/>
          </w:tcPr>
          <w:p w14:paraId="093C5F7F" w14:textId="791D5777"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tcPr>
          <w:p w14:paraId="6C284B46" w14:textId="77777777" w:rsidR="00870F84" w:rsidRPr="00870F84" w:rsidRDefault="00870F84" w:rsidP="00870F84">
            <w:pPr>
              <w:shd w:val="clear" w:color="auto" w:fill="F4F4F4"/>
              <w:jc w:val="left"/>
              <w:textAlignment w:val="baseline"/>
              <w:rPr>
                <w:rFonts w:ascii="Arial Narrow" w:hAnsi="Arial Narrow" w:cs="Open Sans"/>
                <w:b/>
                <w:bCs/>
                <w:snapToGrid w:val="0"/>
                <w:color w:val="333333"/>
                <w:sz w:val="18"/>
                <w:szCs w:val="18"/>
                <w:bdr w:val="none" w:sz="0" w:space="0" w:color="auto" w:frame="1"/>
                <w:lang w:val="en-GB"/>
              </w:rPr>
            </w:pPr>
            <w:r w:rsidRPr="00870F84">
              <w:rPr>
                <w:rFonts w:ascii="Arial Narrow" w:hAnsi="Arial Narrow" w:cs="Open Sans"/>
                <w:b/>
                <w:bCs/>
                <w:snapToGrid w:val="0"/>
                <w:color w:val="333333"/>
                <w:sz w:val="18"/>
                <w:szCs w:val="18"/>
                <w:u w:val="single"/>
                <w:bdr w:val="none" w:sz="0" w:space="0" w:color="auto" w:frame="1"/>
                <w:lang w:val="en-GB"/>
              </w:rPr>
              <w:t xml:space="preserve">NOTE: </w:t>
            </w:r>
            <w:r w:rsidRPr="00870F84">
              <w:rPr>
                <w:rFonts w:ascii="Arial Narrow" w:hAnsi="Arial Narrow" w:cs="Open Sans"/>
                <w:snapToGrid w:val="0"/>
                <w:color w:val="333333"/>
                <w:sz w:val="18"/>
                <w:szCs w:val="18"/>
                <w:shd w:val="clear" w:color="auto" w:fill="F4F4F4"/>
                <w:lang w:val="en-GB"/>
              </w:rPr>
              <w:t>No increase in the maximum number of repeats may be authorised.</w:t>
            </w:r>
          </w:p>
        </w:tc>
      </w:tr>
      <w:tr w:rsidR="00870F84" w:rsidRPr="00870F84" w14:paraId="46F52F20" w14:textId="77777777" w:rsidTr="006D1A95">
        <w:tc>
          <w:tcPr>
            <w:tcW w:w="1129" w:type="dxa"/>
          </w:tcPr>
          <w:p w14:paraId="0C4686BE" w14:textId="75B16BA2"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tcPr>
          <w:p w14:paraId="08ABEECF" w14:textId="77777777" w:rsidR="00870F84" w:rsidRPr="00870F84" w:rsidRDefault="00870F84" w:rsidP="00870F84">
            <w:pPr>
              <w:shd w:val="clear" w:color="auto" w:fill="F4F4F4"/>
              <w:jc w:val="left"/>
              <w:textAlignment w:val="baseline"/>
              <w:rPr>
                <w:rFonts w:ascii="Arial Narrow" w:hAnsi="Arial Narrow" w:cs="Open Sans"/>
                <w:b/>
                <w:bCs/>
                <w:snapToGrid w:val="0"/>
                <w:color w:val="333333"/>
                <w:sz w:val="18"/>
                <w:szCs w:val="18"/>
                <w:bdr w:val="none" w:sz="0" w:space="0" w:color="auto" w:frame="1"/>
                <w:lang w:val="en-GB"/>
              </w:rPr>
            </w:pPr>
            <w:r w:rsidRPr="00870F84">
              <w:rPr>
                <w:rFonts w:ascii="Arial Narrow" w:hAnsi="Arial Narrow" w:cs="Open Sans"/>
                <w:b/>
                <w:bCs/>
                <w:snapToGrid w:val="0"/>
                <w:color w:val="333333"/>
                <w:sz w:val="18"/>
                <w:szCs w:val="18"/>
                <w:u w:val="single"/>
                <w:bdr w:val="none" w:sz="0" w:space="0" w:color="auto" w:frame="1"/>
                <w:lang w:val="en-GB"/>
              </w:rPr>
              <w:t xml:space="preserve">NOTE: </w:t>
            </w:r>
            <w:r w:rsidRPr="00870F84">
              <w:rPr>
                <w:rFonts w:ascii="Arial Narrow" w:hAnsi="Arial Narrow" w:cs="Open Sans"/>
                <w:snapToGrid w:val="0"/>
                <w:color w:val="333333"/>
                <w:sz w:val="18"/>
                <w:szCs w:val="18"/>
                <w:shd w:val="clear" w:color="auto" w:fill="F4F4F4"/>
                <w:lang w:val="en-GB"/>
              </w:rPr>
              <w:t>Special Pricing Arrangements apply.</w:t>
            </w:r>
          </w:p>
        </w:tc>
      </w:tr>
      <w:tr w:rsidR="00870F84" w:rsidRPr="00870F84" w14:paraId="6DCF2E31" w14:textId="77777777" w:rsidTr="006D1A95">
        <w:tc>
          <w:tcPr>
            <w:tcW w:w="1129" w:type="dxa"/>
          </w:tcPr>
          <w:p w14:paraId="471DB3BE" w14:textId="77777777"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tcPr>
          <w:p w14:paraId="5985670C" w14:textId="77777777" w:rsidR="00870F84" w:rsidRPr="00870F84" w:rsidRDefault="00870F84" w:rsidP="00870F84">
            <w:pPr>
              <w:spacing w:line="256" w:lineRule="auto"/>
              <w:jc w:val="left"/>
              <w:textAlignment w:val="baseline"/>
              <w:rPr>
                <w:rFonts w:ascii="Arial Narrow" w:hAnsi="Arial Narrow" w:cs="Open Sans"/>
                <w:b/>
                <w:bCs/>
                <w:color w:val="333333"/>
                <w:sz w:val="18"/>
                <w:szCs w:val="18"/>
                <w:bdr w:val="none" w:sz="0" w:space="0" w:color="auto" w:frame="1"/>
              </w:rPr>
            </w:pPr>
          </w:p>
        </w:tc>
      </w:tr>
      <w:tr w:rsidR="00870F84" w:rsidRPr="00870F84" w14:paraId="4E1187F0" w14:textId="77777777" w:rsidTr="00955601">
        <w:tc>
          <w:tcPr>
            <w:tcW w:w="1129" w:type="dxa"/>
          </w:tcPr>
          <w:p w14:paraId="402C1127" w14:textId="327B2C59"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hideMark/>
          </w:tcPr>
          <w:p w14:paraId="759AC8AD"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 xml:space="preserve">Indication: </w:t>
            </w:r>
            <w:r w:rsidRPr="00870F84">
              <w:rPr>
                <w:rFonts w:ascii="Arial Narrow" w:hAnsi="Arial Narrow" w:cs="Open Sans"/>
                <w:color w:val="333333"/>
                <w:sz w:val="18"/>
                <w:szCs w:val="18"/>
              </w:rPr>
              <w:t>Moderate to severe ulcerative colitis</w:t>
            </w:r>
          </w:p>
        </w:tc>
      </w:tr>
      <w:tr w:rsidR="00870F84" w:rsidRPr="00870F84" w14:paraId="4D83795F" w14:textId="77777777" w:rsidTr="006D1A95">
        <w:tc>
          <w:tcPr>
            <w:tcW w:w="1129" w:type="dxa"/>
          </w:tcPr>
          <w:p w14:paraId="1198DC08" w14:textId="77777777"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tcPr>
          <w:p w14:paraId="303DCA37" w14:textId="77777777" w:rsidR="00870F84" w:rsidRPr="00870F84" w:rsidRDefault="00870F84" w:rsidP="00870F84">
            <w:pPr>
              <w:spacing w:line="256" w:lineRule="auto"/>
              <w:jc w:val="left"/>
              <w:textAlignment w:val="baseline"/>
              <w:rPr>
                <w:rFonts w:ascii="Arial Narrow" w:hAnsi="Arial Narrow" w:cs="Open Sans"/>
                <w:b/>
                <w:bCs/>
                <w:color w:val="333333"/>
                <w:sz w:val="18"/>
                <w:szCs w:val="18"/>
                <w:bdr w:val="none" w:sz="0" w:space="0" w:color="auto" w:frame="1"/>
              </w:rPr>
            </w:pPr>
          </w:p>
        </w:tc>
      </w:tr>
      <w:tr w:rsidR="00870F84" w:rsidRPr="00870F84" w14:paraId="3D36CB7C" w14:textId="77777777" w:rsidTr="006D1A95">
        <w:tc>
          <w:tcPr>
            <w:tcW w:w="1129" w:type="dxa"/>
          </w:tcPr>
          <w:p w14:paraId="47D3FFBD"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p>
        </w:tc>
        <w:tc>
          <w:tcPr>
            <w:tcW w:w="8080" w:type="dxa"/>
            <w:gridSpan w:val="6"/>
          </w:tcPr>
          <w:p w14:paraId="2B06C16A" w14:textId="77777777" w:rsidR="00870F84" w:rsidRPr="00870F84" w:rsidRDefault="00870F84" w:rsidP="00870F84">
            <w:pPr>
              <w:spacing w:line="256" w:lineRule="auto"/>
              <w:jc w:val="left"/>
              <w:textAlignment w:val="baseline"/>
              <w:rPr>
                <w:rFonts w:ascii="Arial Narrow" w:hAnsi="Arial Narrow" w:cs="Open Sans"/>
                <w:color w:val="333333"/>
                <w:sz w:val="18"/>
                <w:szCs w:val="18"/>
                <w:bdr w:val="none" w:sz="0" w:space="0" w:color="auto" w:frame="1"/>
              </w:rPr>
            </w:pPr>
            <w:r w:rsidRPr="00870F84">
              <w:rPr>
                <w:rFonts w:ascii="Arial Narrow" w:hAnsi="Arial Narrow" w:cs="Open Sans"/>
                <w:b/>
                <w:bCs/>
                <w:color w:val="333333"/>
                <w:sz w:val="18"/>
                <w:szCs w:val="18"/>
                <w:bdr w:val="none" w:sz="0" w:space="0" w:color="auto" w:frame="1"/>
              </w:rPr>
              <w:t xml:space="preserve">Treatment Phase: </w:t>
            </w:r>
            <w:r w:rsidRPr="00870F84">
              <w:rPr>
                <w:rFonts w:ascii="Arial Narrow" w:hAnsi="Arial Narrow" w:cs="Open Sans"/>
                <w:color w:val="333333"/>
                <w:sz w:val="18"/>
                <w:szCs w:val="18"/>
                <w:bdr w:val="none" w:sz="0" w:space="0" w:color="auto" w:frame="1"/>
              </w:rPr>
              <w:t>Continuing treatment</w:t>
            </w:r>
          </w:p>
        </w:tc>
      </w:tr>
      <w:tr w:rsidR="00870F84" w:rsidRPr="00870F84" w14:paraId="50420CD3" w14:textId="77777777" w:rsidTr="006D1A95">
        <w:tc>
          <w:tcPr>
            <w:tcW w:w="1129" w:type="dxa"/>
          </w:tcPr>
          <w:p w14:paraId="7A2934ED"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p>
        </w:tc>
        <w:tc>
          <w:tcPr>
            <w:tcW w:w="8080" w:type="dxa"/>
            <w:gridSpan w:val="6"/>
          </w:tcPr>
          <w:p w14:paraId="19E062FC" w14:textId="77777777" w:rsidR="00870F84" w:rsidRPr="00870F84" w:rsidRDefault="00870F84" w:rsidP="00870F84">
            <w:pPr>
              <w:spacing w:line="256" w:lineRule="auto"/>
              <w:jc w:val="left"/>
              <w:textAlignment w:val="baseline"/>
              <w:rPr>
                <w:rFonts w:ascii="Arial Narrow" w:hAnsi="Arial Narrow" w:cs="Open Sans"/>
                <w:b/>
                <w:bCs/>
                <w:color w:val="333333"/>
                <w:sz w:val="18"/>
                <w:szCs w:val="18"/>
                <w:bdr w:val="none" w:sz="0" w:space="0" w:color="auto" w:frame="1"/>
              </w:rPr>
            </w:pPr>
          </w:p>
        </w:tc>
      </w:tr>
      <w:tr w:rsidR="00870F84" w:rsidRPr="00870F84" w14:paraId="1C04B55D" w14:textId="77777777" w:rsidTr="00955601">
        <w:tc>
          <w:tcPr>
            <w:tcW w:w="1129" w:type="dxa"/>
          </w:tcPr>
          <w:p w14:paraId="10F2EC19" w14:textId="3A612DF8"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hideMark/>
          </w:tcPr>
          <w:p w14:paraId="52582EB5"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Treatment criteria:</w:t>
            </w:r>
          </w:p>
        </w:tc>
      </w:tr>
      <w:tr w:rsidR="00870F84" w:rsidRPr="00870F84" w14:paraId="63AF8954" w14:textId="77777777" w:rsidTr="00955601">
        <w:tc>
          <w:tcPr>
            <w:tcW w:w="1129" w:type="dxa"/>
          </w:tcPr>
          <w:p w14:paraId="7BAE81EE" w14:textId="3D2D628E"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hideMark/>
          </w:tcPr>
          <w:p w14:paraId="70BB7CCC"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color w:val="333333"/>
                <w:sz w:val="18"/>
                <w:szCs w:val="18"/>
              </w:rPr>
              <w:t>Must be treated by a gastroenterologist (code 87); or</w:t>
            </w:r>
          </w:p>
        </w:tc>
      </w:tr>
      <w:tr w:rsidR="00870F84" w:rsidRPr="00870F84" w14:paraId="0B088448" w14:textId="77777777" w:rsidTr="00955601">
        <w:tc>
          <w:tcPr>
            <w:tcW w:w="1129" w:type="dxa"/>
          </w:tcPr>
          <w:p w14:paraId="60345905" w14:textId="112AA4CD"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hideMark/>
          </w:tcPr>
          <w:p w14:paraId="5347F82C"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color w:val="333333"/>
                <w:sz w:val="18"/>
                <w:szCs w:val="18"/>
              </w:rPr>
              <w:t>Must be treated by a consultant physician [internal medicine specialising in gastroenterology (code 81)]; or</w:t>
            </w:r>
          </w:p>
        </w:tc>
      </w:tr>
      <w:tr w:rsidR="00870F84" w:rsidRPr="00870F84" w14:paraId="41DE95B7" w14:textId="77777777" w:rsidTr="00955601">
        <w:tc>
          <w:tcPr>
            <w:tcW w:w="1129" w:type="dxa"/>
          </w:tcPr>
          <w:p w14:paraId="60C77EE5" w14:textId="2C00FD54"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hideMark/>
          </w:tcPr>
          <w:p w14:paraId="605BEEA2"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color w:val="333333"/>
                <w:sz w:val="18"/>
                <w:szCs w:val="18"/>
              </w:rPr>
              <w:t>Must be treated by a consultant physician [general medicine specialising in gastroenterology (code 82)]</w:t>
            </w:r>
          </w:p>
        </w:tc>
      </w:tr>
      <w:tr w:rsidR="00870F84" w:rsidRPr="00870F84" w14:paraId="5A43626C" w14:textId="77777777" w:rsidTr="00955601">
        <w:tc>
          <w:tcPr>
            <w:tcW w:w="1129" w:type="dxa"/>
          </w:tcPr>
          <w:p w14:paraId="132277A8" w14:textId="77777777" w:rsidR="00870F84" w:rsidRPr="00870F84" w:rsidRDefault="00870F84" w:rsidP="00870F84">
            <w:pPr>
              <w:spacing w:line="256" w:lineRule="auto"/>
              <w:jc w:val="center"/>
              <w:rPr>
                <w:rFonts w:ascii="Arial Narrow" w:hAnsi="Arial Narrow" w:cs="Open Sans"/>
                <w:color w:val="333333"/>
                <w:sz w:val="18"/>
                <w:szCs w:val="18"/>
              </w:rPr>
            </w:pPr>
          </w:p>
        </w:tc>
        <w:tc>
          <w:tcPr>
            <w:tcW w:w="8080" w:type="dxa"/>
            <w:gridSpan w:val="6"/>
            <w:hideMark/>
          </w:tcPr>
          <w:p w14:paraId="2C552A45"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AND</w:t>
            </w:r>
          </w:p>
        </w:tc>
      </w:tr>
      <w:tr w:rsidR="00870F84" w:rsidRPr="00870F84" w14:paraId="0AE6CD87" w14:textId="77777777" w:rsidTr="00955601">
        <w:tc>
          <w:tcPr>
            <w:tcW w:w="1129" w:type="dxa"/>
          </w:tcPr>
          <w:p w14:paraId="66239C67" w14:textId="3D03437A"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hideMark/>
          </w:tcPr>
          <w:p w14:paraId="7F340D15"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Clinical criteria:</w:t>
            </w:r>
          </w:p>
        </w:tc>
      </w:tr>
      <w:tr w:rsidR="00870F84" w:rsidRPr="00870F84" w14:paraId="16789EED" w14:textId="77777777" w:rsidTr="00955601">
        <w:tc>
          <w:tcPr>
            <w:tcW w:w="1129" w:type="dxa"/>
          </w:tcPr>
          <w:p w14:paraId="536760ED" w14:textId="41406F7E"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hideMark/>
          </w:tcPr>
          <w:p w14:paraId="3FFE365F"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color w:val="333333"/>
                <w:sz w:val="18"/>
                <w:szCs w:val="18"/>
              </w:rPr>
              <w:t>Patient must have previously received PBS-subsidised treatment with this drug for this condition</w:t>
            </w:r>
          </w:p>
        </w:tc>
      </w:tr>
      <w:tr w:rsidR="00870F84" w:rsidRPr="00870F84" w14:paraId="425B775E" w14:textId="77777777" w:rsidTr="00955601">
        <w:tc>
          <w:tcPr>
            <w:tcW w:w="1129" w:type="dxa"/>
          </w:tcPr>
          <w:p w14:paraId="2C75975B" w14:textId="77777777" w:rsidR="00870F84" w:rsidRPr="00870F84" w:rsidRDefault="00870F84" w:rsidP="00870F84">
            <w:pPr>
              <w:spacing w:line="256" w:lineRule="auto"/>
              <w:jc w:val="center"/>
              <w:rPr>
                <w:rFonts w:ascii="Arial Narrow" w:hAnsi="Arial Narrow" w:cs="Open Sans"/>
                <w:color w:val="333333"/>
                <w:sz w:val="18"/>
                <w:szCs w:val="18"/>
              </w:rPr>
            </w:pPr>
          </w:p>
        </w:tc>
        <w:tc>
          <w:tcPr>
            <w:tcW w:w="8080" w:type="dxa"/>
            <w:gridSpan w:val="6"/>
            <w:hideMark/>
          </w:tcPr>
          <w:p w14:paraId="363C4CCF"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AND</w:t>
            </w:r>
          </w:p>
        </w:tc>
      </w:tr>
      <w:tr w:rsidR="00870F84" w:rsidRPr="00870F84" w14:paraId="59B918DC" w14:textId="77777777" w:rsidTr="00955601">
        <w:tc>
          <w:tcPr>
            <w:tcW w:w="1129" w:type="dxa"/>
          </w:tcPr>
          <w:p w14:paraId="49FF26A4" w14:textId="60021C3F"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hideMark/>
          </w:tcPr>
          <w:p w14:paraId="5C7A4515"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Clinical criteria:</w:t>
            </w:r>
          </w:p>
        </w:tc>
      </w:tr>
      <w:tr w:rsidR="00870F84" w:rsidRPr="00870F84" w14:paraId="4FF364A7" w14:textId="77777777" w:rsidTr="00955601">
        <w:tc>
          <w:tcPr>
            <w:tcW w:w="1129" w:type="dxa"/>
          </w:tcPr>
          <w:p w14:paraId="2CFB8EC8" w14:textId="4C02972B"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hideMark/>
          </w:tcPr>
          <w:p w14:paraId="49A166D9"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color w:val="333333"/>
                <w:sz w:val="18"/>
                <w:szCs w:val="18"/>
              </w:rPr>
              <w:t xml:space="preserve">Patient must have demonstrated or sustained an adequate response to treatment by having a partial Mayo clinic score less than or equal to 2, with no </w:t>
            </w:r>
            <w:proofErr w:type="spellStart"/>
            <w:r w:rsidRPr="00870F84">
              <w:rPr>
                <w:rFonts w:ascii="Arial Narrow" w:hAnsi="Arial Narrow" w:cs="Open Sans"/>
                <w:color w:val="333333"/>
                <w:sz w:val="18"/>
                <w:szCs w:val="18"/>
              </w:rPr>
              <w:t>subscore</w:t>
            </w:r>
            <w:proofErr w:type="spellEnd"/>
            <w:r w:rsidRPr="00870F84">
              <w:rPr>
                <w:rFonts w:ascii="Arial Narrow" w:hAnsi="Arial Narrow" w:cs="Open Sans"/>
                <w:color w:val="333333"/>
                <w:sz w:val="18"/>
                <w:szCs w:val="18"/>
              </w:rPr>
              <w:t xml:space="preserve"> greater than 1 while receiving treatment with this drug</w:t>
            </w:r>
          </w:p>
        </w:tc>
      </w:tr>
      <w:tr w:rsidR="00870F84" w:rsidRPr="00870F84" w14:paraId="53B33543" w14:textId="77777777" w:rsidTr="00955601">
        <w:tc>
          <w:tcPr>
            <w:tcW w:w="1129" w:type="dxa"/>
          </w:tcPr>
          <w:p w14:paraId="476941FE" w14:textId="77777777" w:rsidR="00870F84" w:rsidRPr="00870F84" w:rsidRDefault="00870F84" w:rsidP="00870F84">
            <w:pPr>
              <w:spacing w:line="256" w:lineRule="auto"/>
              <w:jc w:val="center"/>
              <w:rPr>
                <w:rFonts w:ascii="Arial Narrow" w:hAnsi="Arial Narrow" w:cs="Open Sans"/>
                <w:color w:val="333333"/>
                <w:sz w:val="18"/>
                <w:szCs w:val="18"/>
              </w:rPr>
            </w:pPr>
          </w:p>
        </w:tc>
        <w:tc>
          <w:tcPr>
            <w:tcW w:w="8080" w:type="dxa"/>
            <w:gridSpan w:val="6"/>
            <w:hideMark/>
          </w:tcPr>
          <w:p w14:paraId="2C15999F"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AND</w:t>
            </w:r>
          </w:p>
        </w:tc>
      </w:tr>
      <w:tr w:rsidR="00870F84" w:rsidRPr="00870F84" w14:paraId="09E3E4E6" w14:textId="77777777" w:rsidTr="00955601">
        <w:tc>
          <w:tcPr>
            <w:tcW w:w="1129" w:type="dxa"/>
          </w:tcPr>
          <w:p w14:paraId="6BAFE93F" w14:textId="77777777"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hideMark/>
          </w:tcPr>
          <w:p w14:paraId="56941484"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Population criteria:</w:t>
            </w:r>
          </w:p>
        </w:tc>
      </w:tr>
      <w:tr w:rsidR="00870F84" w:rsidRPr="00870F84" w14:paraId="55E48E21" w14:textId="77777777" w:rsidTr="00955601">
        <w:tc>
          <w:tcPr>
            <w:tcW w:w="1129" w:type="dxa"/>
          </w:tcPr>
          <w:p w14:paraId="06D0EFF9" w14:textId="1A6E373F" w:rsidR="00870F84" w:rsidRPr="00870F84" w:rsidRDefault="00870F84" w:rsidP="00870F84">
            <w:pPr>
              <w:spacing w:line="256" w:lineRule="auto"/>
              <w:jc w:val="center"/>
              <w:textAlignment w:val="baseline"/>
              <w:rPr>
                <w:rFonts w:ascii="Arial Narrow" w:hAnsi="Arial Narrow" w:cs="Open Sans"/>
                <w:strike/>
                <w:color w:val="333333"/>
                <w:sz w:val="18"/>
                <w:szCs w:val="18"/>
              </w:rPr>
            </w:pPr>
          </w:p>
        </w:tc>
        <w:tc>
          <w:tcPr>
            <w:tcW w:w="8080" w:type="dxa"/>
            <w:gridSpan w:val="6"/>
            <w:hideMark/>
          </w:tcPr>
          <w:p w14:paraId="1892E193"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color w:val="333333"/>
                <w:sz w:val="18"/>
                <w:szCs w:val="18"/>
              </w:rPr>
              <w:t>Patients must be at least 18 years of age</w:t>
            </w:r>
          </w:p>
        </w:tc>
      </w:tr>
      <w:tr w:rsidR="00870F84" w:rsidRPr="00870F84" w14:paraId="2F476738" w14:textId="77777777" w:rsidTr="006D1A95">
        <w:tc>
          <w:tcPr>
            <w:tcW w:w="1129" w:type="dxa"/>
          </w:tcPr>
          <w:p w14:paraId="3C2D7E00" w14:textId="77777777" w:rsidR="00870F84" w:rsidRPr="00870F84" w:rsidRDefault="00870F84" w:rsidP="00870F84">
            <w:pPr>
              <w:spacing w:line="256" w:lineRule="auto"/>
              <w:jc w:val="center"/>
              <w:textAlignment w:val="baseline"/>
              <w:rPr>
                <w:rFonts w:ascii="Arial Narrow" w:hAnsi="Arial Narrow" w:cs="Times New Roman"/>
                <w:sz w:val="18"/>
                <w:szCs w:val="18"/>
              </w:rPr>
            </w:pPr>
          </w:p>
        </w:tc>
        <w:tc>
          <w:tcPr>
            <w:tcW w:w="8080" w:type="dxa"/>
            <w:gridSpan w:val="6"/>
          </w:tcPr>
          <w:p w14:paraId="3847A310" w14:textId="77777777" w:rsidR="00870F84" w:rsidRPr="00870F84" w:rsidRDefault="00870F84" w:rsidP="00870F84">
            <w:pPr>
              <w:spacing w:line="256" w:lineRule="auto"/>
              <w:jc w:val="left"/>
              <w:rPr>
                <w:rFonts w:ascii="Arial Narrow" w:hAnsi="Arial Narrow" w:cs="Open Sans"/>
                <w:color w:val="333333"/>
                <w:sz w:val="18"/>
                <w:szCs w:val="18"/>
              </w:rPr>
            </w:pPr>
          </w:p>
        </w:tc>
      </w:tr>
      <w:tr w:rsidR="00870F84" w:rsidRPr="00870F84" w14:paraId="67DF9AE2" w14:textId="77777777" w:rsidTr="00955601">
        <w:tc>
          <w:tcPr>
            <w:tcW w:w="1129" w:type="dxa"/>
          </w:tcPr>
          <w:p w14:paraId="4479CB85" w14:textId="114A3193"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hideMark/>
          </w:tcPr>
          <w:p w14:paraId="0F817B18"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Prescribing Instructions:</w:t>
            </w:r>
          </w:p>
          <w:p w14:paraId="755C1006"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 xml:space="preserve">Patients who have failed to maintain a partial Mayo clinic score less than or equal to 2, with no </w:t>
            </w:r>
            <w:proofErr w:type="spellStart"/>
            <w:r w:rsidRPr="00870F84">
              <w:rPr>
                <w:rFonts w:ascii="Arial Narrow" w:hAnsi="Arial Narrow" w:cs="Open Sans"/>
                <w:color w:val="333333"/>
                <w:sz w:val="18"/>
                <w:szCs w:val="18"/>
              </w:rPr>
              <w:t>subscore</w:t>
            </w:r>
            <w:proofErr w:type="spellEnd"/>
            <w:r w:rsidRPr="00870F84">
              <w:rPr>
                <w:rFonts w:ascii="Arial Narrow" w:hAnsi="Arial Narrow" w:cs="Open Sans"/>
                <w:color w:val="333333"/>
                <w:sz w:val="18"/>
                <w:szCs w:val="18"/>
              </w:rPr>
              <w:t xml:space="preserve"> greater than 1 with continuing treatment with this drug, will not be eligible to receive further PBS-subsidised treatment with this drug.</w:t>
            </w:r>
          </w:p>
        </w:tc>
      </w:tr>
      <w:tr w:rsidR="00870F84" w:rsidRPr="00870F84" w14:paraId="5F6CBAF0" w14:textId="77777777" w:rsidTr="00955601">
        <w:tc>
          <w:tcPr>
            <w:tcW w:w="1129" w:type="dxa"/>
          </w:tcPr>
          <w:p w14:paraId="744D4BF1" w14:textId="665C8507"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hideMark/>
          </w:tcPr>
          <w:p w14:paraId="54676119"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Prescribing Instructions:</w:t>
            </w:r>
          </w:p>
          <w:p w14:paraId="1D04E25D"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Patients are eligible to receive continuing treatment with this drug in courses of up to 24 weeks providing they continue to sustain a response.</w:t>
            </w:r>
          </w:p>
        </w:tc>
      </w:tr>
      <w:tr w:rsidR="00870F84" w:rsidRPr="00870F84" w14:paraId="722C45EE" w14:textId="77777777" w:rsidTr="00955601">
        <w:tc>
          <w:tcPr>
            <w:tcW w:w="1129" w:type="dxa"/>
          </w:tcPr>
          <w:p w14:paraId="3365CADF" w14:textId="06685954"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hideMark/>
          </w:tcPr>
          <w:p w14:paraId="63248F9F"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Prescribing Instructions:</w:t>
            </w:r>
          </w:p>
          <w:p w14:paraId="0CA6B2F6"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 xml:space="preserve">At the time of the authority application, medical practitioners should request </w:t>
            </w:r>
            <w:proofErr w:type="gramStart"/>
            <w:r w:rsidRPr="00870F84">
              <w:rPr>
                <w:rFonts w:ascii="Arial Narrow" w:hAnsi="Arial Narrow" w:cs="Open Sans"/>
                <w:color w:val="333333"/>
                <w:sz w:val="18"/>
                <w:szCs w:val="18"/>
              </w:rPr>
              <w:t>sufficient quantity</w:t>
            </w:r>
            <w:proofErr w:type="gramEnd"/>
            <w:r w:rsidRPr="00870F84">
              <w:rPr>
                <w:rFonts w:ascii="Arial Narrow" w:hAnsi="Arial Narrow" w:cs="Open Sans"/>
                <w:color w:val="333333"/>
                <w:sz w:val="18"/>
                <w:szCs w:val="18"/>
              </w:rPr>
              <w:t xml:space="preserve"> for up to 24 weeks of treatment under this restriction.</w:t>
            </w:r>
          </w:p>
        </w:tc>
      </w:tr>
      <w:tr w:rsidR="00870F84" w:rsidRPr="00870F84" w14:paraId="2CDF853C" w14:textId="77777777" w:rsidTr="00955601">
        <w:tc>
          <w:tcPr>
            <w:tcW w:w="1129" w:type="dxa"/>
          </w:tcPr>
          <w:p w14:paraId="272F3F92" w14:textId="6C37A1B0"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hideMark/>
          </w:tcPr>
          <w:p w14:paraId="5AA6976F"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Prescribing Instructions:</w:t>
            </w:r>
          </w:p>
          <w:p w14:paraId="440C7489"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p>
        </w:tc>
      </w:tr>
      <w:tr w:rsidR="00870F84" w:rsidRPr="00870F84" w14:paraId="1071E7E6" w14:textId="77777777" w:rsidTr="00955601">
        <w:tc>
          <w:tcPr>
            <w:tcW w:w="1129" w:type="dxa"/>
          </w:tcPr>
          <w:p w14:paraId="2AFC8EE8" w14:textId="2D42C34B"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hideMark/>
          </w:tcPr>
          <w:p w14:paraId="360326A2"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Prescribing Instructions:</w:t>
            </w:r>
          </w:p>
          <w:p w14:paraId="31EDF237"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870F84" w:rsidRPr="00870F84" w14:paraId="7309D8AE" w14:textId="77777777" w:rsidTr="00955601">
        <w:tc>
          <w:tcPr>
            <w:tcW w:w="1129" w:type="dxa"/>
          </w:tcPr>
          <w:p w14:paraId="5532E696" w14:textId="754ACC84"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hideMark/>
          </w:tcPr>
          <w:p w14:paraId="1CC4EE9F"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Prescribing Instructions:</w:t>
            </w:r>
          </w:p>
          <w:p w14:paraId="4A031357"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 xml:space="preserve">If a patient fails to demonstrate a response to treatment with this </w:t>
            </w:r>
            <w:proofErr w:type="gramStart"/>
            <w:r w:rsidRPr="00870F84">
              <w:rPr>
                <w:rFonts w:ascii="Arial Narrow" w:hAnsi="Arial Narrow" w:cs="Open Sans"/>
                <w:color w:val="333333"/>
                <w:sz w:val="18"/>
                <w:szCs w:val="18"/>
              </w:rPr>
              <w:t>drug</w:t>
            </w:r>
            <w:proofErr w:type="gramEnd"/>
            <w:r w:rsidRPr="00870F84">
              <w:rPr>
                <w:rFonts w:ascii="Arial Narrow" w:hAnsi="Arial Narrow" w:cs="Open Sans"/>
                <w:color w:val="333333"/>
                <w:sz w:val="18"/>
                <w:szCs w:val="18"/>
              </w:rPr>
              <w:t xml:space="preserve">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870F84" w:rsidRPr="00870F84" w14:paraId="3D0CF1E5" w14:textId="77777777" w:rsidTr="00955601">
        <w:tc>
          <w:tcPr>
            <w:tcW w:w="1129" w:type="dxa"/>
          </w:tcPr>
          <w:p w14:paraId="6220C65A" w14:textId="5194CD9A"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hideMark/>
          </w:tcPr>
          <w:p w14:paraId="1E664BE2"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Prescribing Instructions:</w:t>
            </w:r>
          </w:p>
          <w:p w14:paraId="5579CF27"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r>
      <w:tr w:rsidR="00870F84" w:rsidRPr="00870F84" w14:paraId="60222028" w14:textId="77777777" w:rsidTr="00955601">
        <w:tc>
          <w:tcPr>
            <w:tcW w:w="1129" w:type="dxa"/>
          </w:tcPr>
          <w:p w14:paraId="2A432784" w14:textId="54A06B47"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hideMark/>
          </w:tcPr>
          <w:p w14:paraId="6D4FC6CC"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Administrative Advice:</w:t>
            </w:r>
          </w:p>
          <w:p w14:paraId="288A63C4"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870F84" w:rsidRPr="00870F84" w14:paraId="4B09B3B1" w14:textId="77777777" w:rsidTr="00955601">
        <w:trPr>
          <w:trHeight w:val="340"/>
        </w:trPr>
        <w:tc>
          <w:tcPr>
            <w:tcW w:w="9209" w:type="dxa"/>
            <w:gridSpan w:val="7"/>
          </w:tcPr>
          <w:p w14:paraId="18388316" w14:textId="77777777" w:rsidR="00870F84" w:rsidRPr="00870F84" w:rsidRDefault="00870F84" w:rsidP="00870F84">
            <w:pPr>
              <w:spacing w:line="256" w:lineRule="auto"/>
              <w:jc w:val="left"/>
              <w:textAlignment w:val="baseline"/>
              <w:rPr>
                <w:rFonts w:ascii="Arial Narrow" w:hAnsi="Arial Narrow" w:cs="Open Sans"/>
                <w:b/>
                <w:bCs/>
                <w:color w:val="333333"/>
                <w:sz w:val="18"/>
                <w:szCs w:val="18"/>
                <w:bdr w:val="none" w:sz="0" w:space="0" w:color="auto" w:frame="1"/>
              </w:rPr>
            </w:pPr>
          </w:p>
        </w:tc>
      </w:tr>
      <w:tr w:rsidR="00870F84" w:rsidRPr="00870F84" w14:paraId="6F3F9A73" w14:textId="77777777" w:rsidTr="006D1A95">
        <w:tc>
          <w:tcPr>
            <w:tcW w:w="9209" w:type="dxa"/>
            <w:gridSpan w:val="7"/>
          </w:tcPr>
          <w:p w14:paraId="4E3F58D4" w14:textId="77777777" w:rsidR="00870F84" w:rsidRPr="00870F84" w:rsidRDefault="00870F84" w:rsidP="00870F84">
            <w:pPr>
              <w:spacing w:line="256" w:lineRule="auto"/>
              <w:jc w:val="left"/>
              <w:textAlignment w:val="baseline"/>
              <w:rPr>
                <w:rFonts w:ascii="Arial Narrow" w:hAnsi="Arial Narrow" w:cs="Open Sans"/>
                <w:b/>
                <w:bCs/>
                <w:color w:val="333333"/>
                <w:sz w:val="18"/>
                <w:szCs w:val="18"/>
                <w:bdr w:val="none" w:sz="0" w:space="0" w:color="auto" w:frame="1"/>
              </w:rPr>
            </w:pPr>
            <w:r w:rsidRPr="00870F84">
              <w:rPr>
                <w:rFonts w:ascii="Arial Narrow" w:hAnsi="Arial Narrow" w:cs="Times New Roman"/>
                <w:b/>
                <w:sz w:val="18"/>
                <w:szCs w:val="18"/>
              </w:rPr>
              <w:t>Restriction Summary 11882 edited / Treatment of Concept: 11882: Authority Required</w:t>
            </w:r>
          </w:p>
        </w:tc>
      </w:tr>
      <w:tr w:rsidR="00870F84" w:rsidRPr="00870F84" w14:paraId="691C0F6D" w14:textId="77777777" w:rsidTr="00955601">
        <w:tc>
          <w:tcPr>
            <w:tcW w:w="1129" w:type="dxa"/>
          </w:tcPr>
          <w:p w14:paraId="76151B05" w14:textId="579C6B70"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hideMark/>
          </w:tcPr>
          <w:p w14:paraId="22BA88BA"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Indication:</w:t>
            </w:r>
            <w:r w:rsidRPr="00870F84">
              <w:rPr>
                <w:rFonts w:ascii="Arial Narrow" w:hAnsi="Arial Narrow" w:cs="Open Sans"/>
                <w:color w:val="333333"/>
                <w:sz w:val="18"/>
                <w:szCs w:val="18"/>
              </w:rPr>
              <w:t xml:space="preserve"> Moderate to severe ulcerative colitis</w:t>
            </w:r>
          </w:p>
        </w:tc>
      </w:tr>
      <w:tr w:rsidR="00870F84" w:rsidRPr="00870F84" w14:paraId="3BD3BA10" w14:textId="77777777" w:rsidTr="006D1A95">
        <w:tc>
          <w:tcPr>
            <w:tcW w:w="1129" w:type="dxa"/>
          </w:tcPr>
          <w:p w14:paraId="7488A9DA" w14:textId="77777777"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tcPr>
          <w:p w14:paraId="39E9078F" w14:textId="77777777" w:rsidR="00870F84" w:rsidRPr="00870F84" w:rsidRDefault="00870F84" w:rsidP="00870F84">
            <w:pPr>
              <w:spacing w:line="256" w:lineRule="auto"/>
              <w:jc w:val="left"/>
              <w:textAlignment w:val="baseline"/>
              <w:rPr>
                <w:rFonts w:ascii="Arial Narrow" w:hAnsi="Arial Narrow" w:cs="Open Sans"/>
                <w:b/>
                <w:bCs/>
                <w:color w:val="333333"/>
                <w:sz w:val="18"/>
                <w:szCs w:val="18"/>
                <w:bdr w:val="none" w:sz="0" w:space="0" w:color="auto" w:frame="1"/>
              </w:rPr>
            </w:pPr>
          </w:p>
        </w:tc>
      </w:tr>
      <w:tr w:rsidR="00870F84" w:rsidRPr="00870F84" w14:paraId="721CC6A1" w14:textId="77777777" w:rsidTr="00955601">
        <w:tc>
          <w:tcPr>
            <w:tcW w:w="1129" w:type="dxa"/>
          </w:tcPr>
          <w:p w14:paraId="4495CBBB" w14:textId="77777777" w:rsidR="00870F84" w:rsidRPr="00870F84" w:rsidRDefault="00870F84" w:rsidP="00870F84">
            <w:pPr>
              <w:spacing w:line="256" w:lineRule="auto"/>
              <w:jc w:val="center"/>
              <w:rPr>
                <w:rFonts w:ascii="Arial Narrow" w:hAnsi="Arial Narrow" w:cs="Open Sans"/>
                <w:color w:val="333333"/>
                <w:sz w:val="18"/>
                <w:szCs w:val="18"/>
              </w:rPr>
            </w:pPr>
          </w:p>
        </w:tc>
        <w:tc>
          <w:tcPr>
            <w:tcW w:w="8080" w:type="dxa"/>
            <w:gridSpan w:val="6"/>
            <w:hideMark/>
          </w:tcPr>
          <w:p w14:paraId="41B5AF8F"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Treatment Phase:</w:t>
            </w:r>
            <w:r w:rsidRPr="00870F84">
              <w:rPr>
                <w:rFonts w:ascii="Arial Narrow" w:hAnsi="Arial Narrow" w:cs="Open Sans"/>
                <w:color w:val="333333"/>
                <w:sz w:val="18"/>
                <w:szCs w:val="18"/>
              </w:rPr>
              <w:t xml:space="preserve"> Balance of supply for the continuing treatment phase</w:t>
            </w:r>
          </w:p>
        </w:tc>
      </w:tr>
      <w:tr w:rsidR="00870F84" w:rsidRPr="00870F84" w14:paraId="70FBEADF" w14:textId="77777777" w:rsidTr="006D1A95">
        <w:tc>
          <w:tcPr>
            <w:tcW w:w="1129" w:type="dxa"/>
          </w:tcPr>
          <w:p w14:paraId="54FD0BD8" w14:textId="77777777" w:rsidR="00870F84" w:rsidRPr="00870F84" w:rsidRDefault="00870F84" w:rsidP="00870F84">
            <w:pPr>
              <w:spacing w:line="256" w:lineRule="auto"/>
              <w:jc w:val="center"/>
              <w:rPr>
                <w:rFonts w:ascii="Arial Narrow" w:hAnsi="Arial Narrow" w:cs="Open Sans"/>
                <w:color w:val="333333"/>
                <w:sz w:val="18"/>
                <w:szCs w:val="18"/>
              </w:rPr>
            </w:pPr>
          </w:p>
        </w:tc>
        <w:tc>
          <w:tcPr>
            <w:tcW w:w="8080" w:type="dxa"/>
            <w:gridSpan w:val="6"/>
          </w:tcPr>
          <w:p w14:paraId="0ABC32F7" w14:textId="77777777" w:rsidR="00870F84" w:rsidRPr="00870F84" w:rsidRDefault="00870F84" w:rsidP="00870F84">
            <w:pPr>
              <w:spacing w:line="256" w:lineRule="auto"/>
              <w:jc w:val="left"/>
              <w:textAlignment w:val="baseline"/>
              <w:rPr>
                <w:rFonts w:ascii="Arial Narrow" w:hAnsi="Arial Narrow" w:cs="Open Sans"/>
                <w:b/>
                <w:bCs/>
                <w:color w:val="333333"/>
                <w:sz w:val="18"/>
                <w:szCs w:val="18"/>
                <w:bdr w:val="none" w:sz="0" w:space="0" w:color="auto" w:frame="1"/>
              </w:rPr>
            </w:pPr>
          </w:p>
        </w:tc>
      </w:tr>
      <w:tr w:rsidR="00870F84" w:rsidRPr="00870F84" w14:paraId="173053AA" w14:textId="77777777" w:rsidTr="00955601">
        <w:tc>
          <w:tcPr>
            <w:tcW w:w="1129" w:type="dxa"/>
          </w:tcPr>
          <w:p w14:paraId="0B6E4F3F" w14:textId="26D281D4"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hideMark/>
          </w:tcPr>
          <w:p w14:paraId="21E2DC76"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Treatment criteria:</w:t>
            </w:r>
          </w:p>
        </w:tc>
      </w:tr>
      <w:tr w:rsidR="00870F84" w:rsidRPr="00870F84" w14:paraId="2405C1B8" w14:textId="77777777" w:rsidTr="00955601">
        <w:tc>
          <w:tcPr>
            <w:tcW w:w="1129" w:type="dxa"/>
          </w:tcPr>
          <w:p w14:paraId="34066E76" w14:textId="74CB6932"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hideMark/>
          </w:tcPr>
          <w:p w14:paraId="75C86634"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color w:val="333333"/>
                <w:sz w:val="18"/>
                <w:szCs w:val="18"/>
              </w:rPr>
              <w:t>Must be treated by a gastroenterologist (code 87); or</w:t>
            </w:r>
          </w:p>
        </w:tc>
      </w:tr>
      <w:tr w:rsidR="00870F84" w:rsidRPr="00870F84" w14:paraId="13F1E3B3" w14:textId="77777777" w:rsidTr="00955601">
        <w:tc>
          <w:tcPr>
            <w:tcW w:w="1129" w:type="dxa"/>
          </w:tcPr>
          <w:p w14:paraId="0BE567D2" w14:textId="3A8F926F"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hideMark/>
          </w:tcPr>
          <w:p w14:paraId="7ACC8AB3"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color w:val="333333"/>
                <w:sz w:val="18"/>
                <w:szCs w:val="18"/>
              </w:rPr>
              <w:t>Must be treated by a consultant physician [internal medicine specialising in gastroenterology (code 81)]; or</w:t>
            </w:r>
          </w:p>
        </w:tc>
      </w:tr>
      <w:tr w:rsidR="00870F84" w:rsidRPr="00870F84" w14:paraId="0FA33833" w14:textId="77777777" w:rsidTr="00955601">
        <w:tc>
          <w:tcPr>
            <w:tcW w:w="1129" w:type="dxa"/>
          </w:tcPr>
          <w:p w14:paraId="41B90871" w14:textId="30F17C20"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hideMark/>
          </w:tcPr>
          <w:p w14:paraId="7285BCA7"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color w:val="333333"/>
                <w:sz w:val="18"/>
                <w:szCs w:val="18"/>
              </w:rPr>
              <w:t>Must be treated by a consultant physician [general medicine specialising in gastroenterology (code 82)]</w:t>
            </w:r>
          </w:p>
        </w:tc>
      </w:tr>
      <w:tr w:rsidR="00870F84" w:rsidRPr="00870F84" w14:paraId="570FF3A9" w14:textId="77777777" w:rsidTr="00955601">
        <w:tc>
          <w:tcPr>
            <w:tcW w:w="1129" w:type="dxa"/>
          </w:tcPr>
          <w:p w14:paraId="03AFB4CD" w14:textId="77777777" w:rsidR="00870F84" w:rsidRPr="00870F84" w:rsidRDefault="00870F84" w:rsidP="00870F84">
            <w:pPr>
              <w:spacing w:line="256" w:lineRule="auto"/>
              <w:jc w:val="center"/>
              <w:rPr>
                <w:rFonts w:ascii="Arial Narrow" w:hAnsi="Arial Narrow" w:cs="Open Sans"/>
                <w:color w:val="333333"/>
                <w:sz w:val="18"/>
                <w:szCs w:val="18"/>
              </w:rPr>
            </w:pPr>
          </w:p>
        </w:tc>
        <w:tc>
          <w:tcPr>
            <w:tcW w:w="8080" w:type="dxa"/>
            <w:gridSpan w:val="6"/>
            <w:hideMark/>
          </w:tcPr>
          <w:p w14:paraId="06B7DFC3"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AND</w:t>
            </w:r>
          </w:p>
        </w:tc>
      </w:tr>
      <w:tr w:rsidR="00870F84" w:rsidRPr="00870F84" w14:paraId="47815BF1" w14:textId="77777777" w:rsidTr="00955601">
        <w:tc>
          <w:tcPr>
            <w:tcW w:w="1129" w:type="dxa"/>
          </w:tcPr>
          <w:p w14:paraId="1A038099" w14:textId="3B339C43"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hideMark/>
          </w:tcPr>
          <w:p w14:paraId="13693E22"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Clinical criteria:</w:t>
            </w:r>
          </w:p>
        </w:tc>
      </w:tr>
      <w:tr w:rsidR="00870F84" w:rsidRPr="00870F84" w14:paraId="629BC01D" w14:textId="77777777" w:rsidTr="00955601">
        <w:tc>
          <w:tcPr>
            <w:tcW w:w="1129" w:type="dxa"/>
          </w:tcPr>
          <w:p w14:paraId="48B1123A" w14:textId="45FE7880"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hideMark/>
          </w:tcPr>
          <w:p w14:paraId="4C152791"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color w:val="333333"/>
                <w:sz w:val="18"/>
                <w:szCs w:val="18"/>
              </w:rPr>
              <w:t>Patient must have received insufficient therapy with this drug for this condition under the continuing treatment restriction to complete 24 weeks treatment</w:t>
            </w:r>
          </w:p>
        </w:tc>
      </w:tr>
      <w:tr w:rsidR="00870F84" w:rsidRPr="00870F84" w14:paraId="15059ACE" w14:textId="77777777" w:rsidTr="00955601">
        <w:tc>
          <w:tcPr>
            <w:tcW w:w="1129" w:type="dxa"/>
          </w:tcPr>
          <w:p w14:paraId="0C25FB98" w14:textId="77777777" w:rsidR="00870F84" w:rsidRPr="00870F84" w:rsidRDefault="00870F84" w:rsidP="00870F84">
            <w:pPr>
              <w:spacing w:line="256" w:lineRule="auto"/>
              <w:jc w:val="center"/>
              <w:rPr>
                <w:rFonts w:ascii="Arial Narrow" w:hAnsi="Arial Narrow" w:cs="Open Sans"/>
                <w:color w:val="333333"/>
                <w:sz w:val="18"/>
                <w:szCs w:val="18"/>
              </w:rPr>
            </w:pPr>
          </w:p>
        </w:tc>
        <w:tc>
          <w:tcPr>
            <w:tcW w:w="8080" w:type="dxa"/>
            <w:gridSpan w:val="6"/>
            <w:hideMark/>
          </w:tcPr>
          <w:p w14:paraId="2831AEA4"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AND</w:t>
            </w:r>
          </w:p>
        </w:tc>
      </w:tr>
      <w:tr w:rsidR="00870F84" w:rsidRPr="00870F84" w14:paraId="60DDFD5F" w14:textId="77777777" w:rsidTr="00955601">
        <w:tc>
          <w:tcPr>
            <w:tcW w:w="1129" w:type="dxa"/>
          </w:tcPr>
          <w:p w14:paraId="1310806B" w14:textId="4E61AF40"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hideMark/>
          </w:tcPr>
          <w:p w14:paraId="7B1B4975"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Clinical criteria:</w:t>
            </w:r>
          </w:p>
        </w:tc>
      </w:tr>
      <w:tr w:rsidR="00870F84" w:rsidRPr="00870F84" w14:paraId="1CB205D3" w14:textId="77777777" w:rsidTr="00955601">
        <w:tc>
          <w:tcPr>
            <w:tcW w:w="1129" w:type="dxa"/>
          </w:tcPr>
          <w:p w14:paraId="3F4E06B2" w14:textId="148D018B"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hideMark/>
          </w:tcPr>
          <w:p w14:paraId="2F63A4B2"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color w:val="333333"/>
                <w:sz w:val="18"/>
                <w:szCs w:val="18"/>
              </w:rPr>
              <w:t>The treatment must provide no more than the balance of up to 24 weeks treatment available under the above restriction</w:t>
            </w:r>
          </w:p>
        </w:tc>
      </w:tr>
      <w:tr w:rsidR="00870F84" w:rsidRPr="00870F84" w14:paraId="6069103B" w14:textId="77777777" w:rsidTr="006D1A95">
        <w:tc>
          <w:tcPr>
            <w:tcW w:w="1129" w:type="dxa"/>
          </w:tcPr>
          <w:p w14:paraId="74963C3A" w14:textId="77777777"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tcPr>
          <w:p w14:paraId="42916F56" w14:textId="77777777" w:rsidR="00870F84" w:rsidRPr="00870F84" w:rsidRDefault="00870F84" w:rsidP="00870F84">
            <w:pPr>
              <w:spacing w:line="256" w:lineRule="auto"/>
              <w:jc w:val="left"/>
              <w:rPr>
                <w:rFonts w:ascii="Arial Narrow" w:hAnsi="Arial Narrow" w:cs="Open Sans"/>
                <w:color w:val="333333"/>
                <w:sz w:val="18"/>
                <w:szCs w:val="18"/>
              </w:rPr>
            </w:pPr>
          </w:p>
        </w:tc>
      </w:tr>
      <w:tr w:rsidR="00870F84" w:rsidRPr="00870F84" w14:paraId="00392A9C" w14:textId="77777777" w:rsidTr="00955601">
        <w:tc>
          <w:tcPr>
            <w:tcW w:w="1129" w:type="dxa"/>
          </w:tcPr>
          <w:p w14:paraId="10B2946B" w14:textId="0080FC6E"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hideMark/>
          </w:tcPr>
          <w:p w14:paraId="2DF49195"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Administrative Advice:</w:t>
            </w:r>
          </w:p>
          <w:p w14:paraId="1A81CA43"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870F84" w:rsidRPr="00870F84" w14:paraId="58564E44" w14:textId="77777777" w:rsidTr="006D1A95">
        <w:tc>
          <w:tcPr>
            <w:tcW w:w="9209" w:type="dxa"/>
            <w:gridSpan w:val="7"/>
          </w:tcPr>
          <w:p w14:paraId="08B6653B" w14:textId="77777777" w:rsidR="00870F84" w:rsidRPr="00870F84" w:rsidRDefault="00870F84" w:rsidP="00870F84">
            <w:pPr>
              <w:spacing w:line="256" w:lineRule="auto"/>
              <w:jc w:val="left"/>
              <w:textAlignment w:val="baseline"/>
              <w:rPr>
                <w:rFonts w:ascii="Arial Narrow" w:hAnsi="Arial Narrow" w:cs="Open Sans"/>
                <w:b/>
                <w:bCs/>
                <w:color w:val="333333"/>
                <w:sz w:val="18"/>
                <w:szCs w:val="18"/>
                <w:bdr w:val="none" w:sz="0" w:space="0" w:color="auto" w:frame="1"/>
              </w:rPr>
            </w:pPr>
          </w:p>
        </w:tc>
      </w:tr>
      <w:tr w:rsidR="00870F84" w:rsidRPr="00870F84" w14:paraId="24FEF308" w14:textId="77777777" w:rsidTr="006D1A95">
        <w:tc>
          <w:tcPr>
            <w:tcW w:w="9209" w:type="dxa"/>
            <w:gridSpan w:val="7"/>
          </w:tcPr>
          <w:p w14:paraId="02056BA3" w14:textId="77777777" w:rsidR="00870F84" w:rsidRPr="00870F84" w:rsidRDefault="00870F84" w:rsidP="00870F84">
            <w:pPr>
              <w:spacing w:line="256" w:lineRule="auto"/>
              <w:jc w:val="left"/>
              <w:textAlignment w:val="baseline"/>
              <w:rPr>
                <w:rFonts w:ascii="Arial Narrow" w:hAnsi="Arial Narrow" w:cs="Open Sans"/>
                <w:b/>
                <w:bCs/>
                <w:color w:val="333333"/>
                <w:sz w:val="18"/>
                <w:szCs w:val="18"/>
                <w:bdr w:val="none" w:sz="0" w:space="0" w:color="auto" w:frame="1"/>
              </w:rPr>
            </w:pPr>
            <w:r w:rsidRPr="00870F84">
              <w:rPr>
                <w:rFonts w:ascii="Arial Narrow" w:hAnsi="Arial Narrow" w:cs="Times New Roman"/>
                <w:b/>
                <w:sz w:val="18"/>
                <w:szCs w:val="18"/>
              </w:rPr>
              <w:t>Restriction Summary TMP24862  / Treatment of Concept: TMP24861  Authority Required</w:t>
            </w:r>
          </w:p>
        </w:tc>
      </w:tr>
      <w:tr w:rsidR="00870F84" w:rsidRPr="00870F84" w14:paraId="27DF0817" w14:textId="77777777" w:rsidTr="00955601">
        <w:tc>
          <w:tcPr>
            <w:tcW w:w="1129" w:type="dxa"/>
          </w:tcPr>
          <w:p w14:paraId="63BE30D4" w14:textId="7617EF10"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hideMark/>
          </w:tcPr>
          <w:p w14:paraId="12642B55" w14:textId="77777777" w:rsidR="00870F84" w:rsidRPr="00870F84" w:rsidRDefault="00870F84" w:rsidP="00870F84">
            <w:pPr>
              <w:spacing w:line="256" w:lineRule="auto"/>
              <w:ind w:left="-57"/>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Indication:</w:t>
            </w:r>
            <w:r w:rsidRPr="00870F84">
              <w:rPr>
                <w:rFonts w:ascii="Arial Narrow" w:hAnsi="Arial Narrow" w:cs="Open Sans"/>
                <w:color w:val="333333"/>
                <w:sz w:val="18"/>
                <w:szCs w:val="18"/>
              </w:rPr>
              <w:t xml:space="preserve"> Moderate to severe ulcerative colitis</w:t>
            </w:r>
          </w:p>
        </w:tc>
      </w:tr>
      <w:tr w:rsidR="00870F84" w:rsidRPr="00870F84" w14:paraId="0D9E3CB6" w14:textId="77777777" w:rsidTr="006D1A95">
        <w:tc>
          <w:tcPr>
            <w:tcW w:w="1129" w:type="dxa"/>
          </w:tcPr>
          <w:p w14:paraId="32461447" w14:textId="77777777" w:rsidR="00870F84" w:rsidRPr="00870F84" w:rsidRDefault="00870F84" w:rsidP="00870F84">
            <w:pPr>
              <w:spacing w:line="256" w:lineRule="auto"/>
              <w:jc w:val="left"/>
              <w:textAlignment w:val="baseline"/>
              <w:rPr>
                <w:rFonts w:ascii="Arial Narrow" w:hAnsi="Arial Narrow" w:cs="Open Sans"/>
                <w:b/>
                <w:bCs/>
                <w:color w:val="333333"/>
                <w:sz w:val="18"/>
                <w:szCs w:val="18"/>
                <w:bdr w:val="none" w:sz="0" w:space="0" w:color="auto" w:frame="1"/>
              </w:rPr>
            </w:pPr>
          </w:p>
        </w:tc>
        <w:tc>
          <w:tcPr>
            <w:tcW w:w="8080" w:type="dxa"/>
            <w:gridSpan w:val="6"/>
          </w:tcPr>
          <w:p w14:paraId="4584AAEE" w14:textId="77777777" w:rsidR="00870F84" w:rsidRPr="00870F84" w:rsidRDefault="00870F84" w:rsidP="00870F84">
            <w:pPr>
              <w:spacing w:line="256" w:lineRule="auto"/>
              <w:ind w:left="-57"/>
              <w:jc w:val="left"/>
              <w:textAlignment w:val="baseline"/>
              <w:rPr>
                <w:rFonts w:ascii="Arial Narrow" w:hAnsi="Arial Narrow" w:cs="Open Sans"/>
                <w:b/>
                <w:bCs/>
                <w:color w:val="333333"/>
                <w:sz w:val="18"/>
                <w:szCs w:val="18"/>
                <w:bdr w:val="none" w:sz="0" w:space="0" w:color="auto" w:frame="1"/>
              </w:rPr>
            </w:pPr>
          </w:p>
        </w:tc>
      </w:tr>
      <w:tr w:rsidR="00870F84" w:rsidRPr="00870F84" w14:paraId="287FA927" w14:textId="77777777" w:rsidTr="00955601">
        <w:tc>
          <w:tcPr>
            <w:tcW w:w="1129" w:type="dxa"/>
          </w:tcPr>
          <w:p w14:paraId="0A8BDA34" w14:textId="77777777" w:rsidR="00870F84" w:rsidRPr="00870F84" w:rsidRDefault="00870F84" w:rsidP="00870F84">
            <w:pPr>
              <w:spacing w:line="256" w:lineRule="auto"/>
              <w:jc w:val="left"/>
              <w:rPr>
                <w:rFonts w:ascii="Arial Narrow" w:hAnsi="Arial Narrow" w:cs="Open Sans"/>
                <w:color w:val="333333"/>
                <w:sz w:val="18"/>
                <w:szCs w:val="18"/>
              </w:rPr>
            </w:pPr>
          </w:p>
        </w:tc>
        <w:tc>
          <w:tcPr>
            <w:tcW w:w="8080" w:type="dxa"/>
            <w:gridSpan w:val="6"/>
            <w:hideMark/>
          </w:tcPr>
          <w:p w14:paraId="323EA654" w14:textId="77777777" w:rsidR="00870F84" w:rsidRPr="00870F84" w:rsidRDefault="00870F84" w:rsidP="00870F84">
            <w:pPr>
              <w:spacing w:line="256" w:lineRule="auto"/>
              <w:ind w:left="-57"/>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Treatment Phase:</w:t>
            </w:r>
            <w:r w:rsidRPr="00870F84">
              <w:rPr>
                <w:rFonts w:ascii="Arial Narrow" w:hAnsi="Arial Narrow" w:cs="Open Sans"/>
                <w:color w:val="333333"/>
                <w:sz w:val="18"/>
                <w:szCs w:val="18"/>
              </w:rPr>
              <w:t xml:space="preserve"> Transitioning from non-PBS to PBS-subsidised treatment – ‘grandfather’ arrangements</w:t>
            </w:r>
          </w:p>
        </w:tc>
      </w:tr>
      <w:tr w:rsidR="00870F84" w:rsidRPr="00870F84" w14:paraId="710761FE" w14:textId="77777777" w:rsidTr="006D1A95">
        <w:tc>
          <w:tcPr>
            <w:tcW w:w="1129" w:type="dxa"/>
          </w:tcPr>
          <w:p w14:paraId="4488FF54" w14:textId="77777777" w:rsidR="00870F84" w:rsidRPr="00870F84" w:rsidRDefault="00870F84" w:rsidP="00870F84">
            <w:pPr>
              <w:spacing w:line="256" w:lineRule="auto"/>
              <w:jc w:val="left"/>
              <w:textAlignment w:val="baseline"/>
              <w:rPr>
                <w:rFonts w:ascii="Arial Narrow" w:hAnsi="Arial Narrow" w:cs="Open Sans"/>
                <w:b/>
                <w:bCs/>
                <w:color w:val="333333"/>
                <w:sz w:val="18"/>
                <w:szCs w:val="18"/>
                <w:bdr w:val="none" w:sz="0" w:space="0" w:color="auto" w:frame="1"/>
              </w:rPr>
            </w:pPr>
          </w:p>
        </w:tc>
        <w:tc>
          <w:tcPr>
            <w:tcW w:w="8080" w:type="dxa"/>
            <w:gridSpan w:val="6"/>
          </w:tcPr>
          <w:p w14:paraId="56B82244" w14:textId="77777777" w:rsidR="00870F84" w:rsidRPr="00870F84" w:rsidRDefault="00870F84" w:rsidP="00870F84">
            <w:pPr>
              <w:spacing w:line="256" w:lineRule="auto"/>
              <w:ind w:left="-57"/>
              <w:jc w:val="left"/>
              <w:textAlignment w:val="baseline"/>
              <w:rPr>
                <w:rFonts w:ascii="Arial Narrow" w:hAnsi="Arial Narrow" w:cs="Open Sans"/>
                <w:b/>
                <w:bCs/>
                <w:color w:val="333333"/>
                <w:sz w:val="18"/>
                <w:szCs w:val="18"/>
                <w:bdr w:val="none" w:sz="0" w:space="0" w:color="auto" w:frame="1"/>
              </w:rPr>
            </w:pPr>
          </w:p>
        </w:tc>
      </w:tr>
      <w:tr w:rsidR="00870F84" w:rsidRPr="00870F84" w14:paraId="444D236C" w14:textId="77777777" w:rsidTr="00955601">
        <w:tc>
          <w:tcPr>
            <w:tcW w:w="1129" w:type="dxa"/>
          </w:tcPr>
          <w:p w14:paraId="43473E91" w14:textId="77777777"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hideMark/>
          </w:tcPr>
          <w:p w14:paraId="1F380CBB" w14:textId="77777777" w:rsidR="00870F84" w:rsidRPr="00870F84" w:rsidRDefault="00870F84" w:rsidP="00870F84">
            <w:pPr>
              <w:spacing w:line="256" w:lineRule="auto"/>
              <w:ind w:left="-57"/>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Clinical criteria:</w:t>
            </w:r>
          </w:p>
        </w:tc>
      </w:tr>
      <w:tr w:rsidR="00870F84" w:rsidRPr="00870F84" w14:paraId="5EB24491" w14:textId="77777777" w:rsidTr="00955601">
        <w:tc>
          <w:tcPr>
            <w:tcW w:w="1129" w:type="dxa"/>
          </w:tcPr>
          <w:p w14:paraId="5E54B6A2" w14:textId="0F3B3F3D"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hideMark/>
          </w:tcPr>
          <w:p w14:paraId="72EF3ADE" w14:textId="77777777" w:rsidR="00870F84" w:rsidRPr="00870F84" w:rsidRDefault="00870F84" w:rsidP="00870F84">
            <w:pPr>
              <w:spacing w:line="256" w:lineRule="auto"/>
              <w:ind w:left="-57"/>
              <w:jc w:val="left"/>
              <w:rPr>
                <w:rFonts w:ascii="Arial Narrow" w:hAnsi="Arial Narrow" w:cs="Open Sans"/>
                <w:color w:val="333333"/>
                <w:sz w:val="18"/>
                <w:szCs w:val="18"/>
              </w:rPr>
            </w:pPr>
            <w:r w:rsidRPr="00870F84">
              <w:rPr>
                <w:rFonts w:ascii="Arial Narrow" w:hAnsi="Arial Narrow" w:cs="Open Sans"/>
                <w:color w:val="333333"/>
                <w:sz w:val="18"/>
                <w:szCs w:val="18"/>
              </w:rPr>
              <w:t xml:space="preserve">Patient must be receiving non-PBS-subsidised treatment with this drug for this indication which commenced prior to </w:t>
            </w:r>
            <w:r w:rsidRPr="00870F84">
              <w:rPr>
                <w:rFonts w:ascii="Arial Narrow" w:hAnsi="Arial Narrow" w:cs="Open Sans"/>
                <w:color w:val="FF00FF"/>
                <w:sz w:val="18"/>
                <w:szCs w:val="18"/>
              </w:rPr>
              <w:t xml:space="preserve">[1 Month 20XX] </w:t>
            </w:r>
          </w:p>
        </w:tc>
      </w:tr>
      <w:tr w:rsidR="00870F84" w:rsidRPr="00870F84" w14:paraId="1ABB366D" w14:textId="77777777" w:rsidTr="00955601">
        <w:tc>
          <w:tcPr>
            <w:tcW w:w="1129" w:type="dxa"/>
          </w:tcPr>
          <w:p w14:paraId="77FD5A7F" w14:textId="77777777" w:rsidR="00870F84" w:rsidRPr="00870F84" w:rsidRDefault="00870F84" w:rsidP="00870F84">
            <w:pPr>
              <w:spacing w:line="256" w:lineRule="auto"/>
              <w:jc w:val="center"/>
              <w:rPr>
                <w:rFonts w:ascii="Arial Narrow" w:hAnsi="Arial Narrow" w:cs="Open Sans"/>
                <w:color w:val="333333"/>
                <w:sz w:val="18"/>
                <w:szCs w:val="18"/>
              </w:rPr>
            </w:pPr>
          </w:p>
        </w:tc>
        <w:tc>
          <w:tcPr>
            <w:tcW w:w="8080" w:type="dxa"/>
            <w:gridSpan w:val="6"/>
            <w:hideMark/>
          </w:tcPr>
          <w:p w14:paraId="4D85A296" w14:textId="77777777" w:rsidR="00870F84" w:rsidRPr="00870F84" w:rsidRDefault="00870F84" w:rsidP="00870F84">
            <w:pPr>
              <w:spacing w:line="256" w:lineRule="auto"/>
              <w:ind w:left="-57"/>
              <w:jc w:val="left"/>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AND</w:t>
            </w:r>
          </w:p>
        </w:tc>
      </w:tr>
      <w:tr w:rsidR="00870F84" w:rsidRPr="00870F84" w14:paraId="28486129" w14:textId="77777777" w:rsidTr="006D1A95">
        <w:tc>
          <w:tcPr>
            <w:tcW w:w="1129" w:type="dxa"/>
          </w:tcPr>
          <w:p w14:paraId="1B23B696" w14:textId="77777777"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tcPr>
          <w:p w14:paraId="44205ACE" w14:textId="77777777" w:rsidR="00870F84" w:rsidRPr="00870F84" w:rsidRDefault="00870F84" w:rsidP="00870F84">
            <w:pPr>
              <w:spacing w:line="256" w:lineRule="auto"/>
              <w:ind w:left="-57"/>
              <w:jc w:val="left"/>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Clinical criteria:</w:t>
            </w:r>
          </w:p>
        </w:tc>
      </w:tr>
      <w:tr w:rsidR="00870F84" w:rsidRPr="00870F84" w14:paraId="18A9AF61" w14:textId="77777777" w:rsidTr="006D1A95">
        <w:tc>
          <w:tcPr>
            <w:tcW w:w="1129" w:type="dxa"/>
          </w:tcPr>
          <w:p w14:paraId="7BC430F1" w14:textId="6EF5B58A"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tcPr>
          <w:p w14:paraId="30967F98" w14:textId="77777777" w:rsidR="00870F84" w:rsidRPr="00870F84" w:rsidRDefault="00870F84" w:rsidP="00870F84">
            <w:pPr>
              <w:spacing w:line="256" w:lineRule="auto"/>
              <w:ind w:left="-57"/>
              <w:jc w:val="left"/>
              <w:rPr>
                <w:rFonts w:ascii="Arial Narrow" w:hAnsi="Arial Narrow" w:cs="Open Sans"/>
                <w:color w:val="333333"/>
                <w:sz w:val="18"/>
                <w:szCs w:val="18"/>
              </w:rPr>
            </w:pPr>
            <w:r w:rsidRPr="00870F84">
              <w:rPr>
                <w:rFonts w:ascii="Arial Narrow" w:hAnsi="Arial Narrow" w:cs="Open Sans"/>
                <w:color w:val="333333"/>
                <w:sz w:val="18"/>
                <w:szCs w:val="18"/>
              </w:rPr>
              <w:t xml:space="preserve">The condition must have responded inadequately to a </w:t>
            </w:r>
            <w:bookmarkStart w:id="50" w:name="_Hlk119340075"/>
            <w:r w:rsidRPr="00870F84">
              <w:rPr>
                <w:rFonts w:ascii="Arial Narrow" w:hAnsi="Arial Narrow" w:cs="Open Sans"/>
                <w:color w:val="333333"/>
                <w:sz w:val="18"/>
                <w:szCs w:val="18"/>
              </w:rPr>
              <w:t xml:space="preserve">5-aminosalicylate oral preparation </w:t>
            </w:r>
            <w:bookmarkEnd w:id="50"/>
            <w:r w:rsidRPr="00870F84">
              <w:rPr>
                <w:rFonts w:ascii="Arial Narrow" w:hAnsi="Arial Narrow" w:cs="Open Sans"/>
                <w:color w:val="333333"/>
                <w:sz w:val="18"/>
                <w:szCs w:val="18"/>
              </w:rPr>
              <w:t>in a standard dose for induction of remission for at least 3 consecutive months prior to treatment initiation with this drug; or</w:t>
            </w:r>
          </w:p>
        </w:tc>
      </w:tr>
      <w:tr w:rsidR="00870F84" w:rsidRPr="00870F84" w14:paraId="30C04FEE" w14:textId="77777777" w:rsidTr="006D1A95">
        <w:tc>
          <w:tcPr>
            <w:tcW w:w="1129" w:type="dxa"/>
          </w:tcPr>
          <w:p w14:paraId="40B9E8D1" w14:textId="634259AE"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tcPr>
          <w:p w14:paraId="372565D4" w14:textId="77777777" w:rsidR="00870F84" w:rsidRPr="00870F84" w:rsidRDefault="00870F84" w:rsidP="00870F84">
            <w:pPr>
              <w:spacing w:line="256" w:lineRule="auto"/>
              <w:ind w:left="-57"/>
              <w:jc w:val="left"/>
              <w:rPr>
                <w:rFonts w:ascii="Arial Narrow" w:hAnsi="Arial Narrow" w:cs="Open Sans"/>
                <w:color w:val="333333"/>
                <w:sz w:val="18"/>
                <w:szCs w:val="18"/>
              </w:rPr>
            </w:pPr>
            <w:r w:rsidRPr="00870F84">
              <w:rPr>
                <w:rFonts w:ascii="Arial Narrow" w:hAnsi="Arial Narrow" w:cs="Open Sans"/>
                <w:color w:val="333333"/>
                <w:sz w:val="18"/>
                <w:szCs w:val="18"/>
              </w:rPr>
              <w:t>Patient must have experienced a severe intolerance to the above therapy leading to permanent treatment discontinuation</w:t>
            </w:r>
          </w:p>
        </w:tc>
      </w:tr>
      <w:tr w:rsidR="00870F84" w:rsidRPr="00870F84" w14:paraId="211F3315" w14:textId="77777777" w:rsidTr="006D1A95">
        <w:tc>
          <w:tcPr>
            <w:tcW w:w="1129" w:type="dxa"/>
          </w:tcPr>
          <w:p w14:paraId="5CC7361A" w14:textId="77777777"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tcPr>
          <w:p w14:paraId="617358B6" w14:textId="77777777" w:rsidR="00870F84" w:rsidRPr="00870F84" w:rsidRDefault="00870F84" w:rsidP="00870F84">
            <w:pPr>
              <w:spacing w:line="256" w:lineRule="auto"/>
              <w:ind w:left="-57"/>
              <w:jc w:val="left"/>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AND</w:t>
            </w:r>
          </w:p>
        </w:tc>
      </w:tr>
      <w:tr w:rsidR="00870F84" w:rsidRPr="00870F84" w14:paraId="2B5884CA" w14:textId="77777777" w:rsidTr="006D1A95">
        <w:tc>
          <w:tcPr>
            <w:tcW w:w="1129" w:type="dxa"/>
          </w:tcPr>
          <w:p w14:paraId="44F774DC" w14:textId="77777777"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tcPr>
          <w:p w14:paraId="644AF9A8" w14:textId="77777777" w:rsidR="00870F84" w:rsidRPr="00870F84" w:rsidRDefault="00870F84" w:rsidP="00870F84">
            <w:pPr>
              <w:spacing w:line="256" w:lineRule="auto"/>
              <w:ind w:left="-57"/>
              <w:jc w:val="left"/>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Clinical criteria:</w:t>
            </w:r>
          </w:p>
        </w:tc>
      </w:tr>
      <w:tr w:rsidR="00870F84" w:rsidRPr="00870F84" w14:paraId="64F42715" w14:textId="77777777" w:rsidTr="006D1A95">
        <w:tc>
          <w:tcPr>
            <w:tcW w:w="1129" w:type="dxa"/>
          </w:tcPr>
          <w:p w14:paraId="7DEAFC4A" w14:textId="03774D71"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tcPr>
          <w:p w14:paraId="3ADDAAF4" w14:textId="77777777" w:rsidR="00870F84" w:rsidRPr="00870F84" w:rsidRDefault="00870F84" w:rsidP="00870F84">
            <w:pPr>
              <w:spacing w:line="256" w:lineRule="auto"/>
              <w:ind w:left="-57"/>
              <w:jc w:val="left"/>
              <w:rPr>
                <w:rFonts w:ascii="Arial Narrow" w:hAnsi="Arial Narrow" w:cs="Open Sans"/>
                <w:color w:val="333333"/>
                <w:sz w:val="18"/>
                <w:szCs w:val="18"/>
              </w:rPr>
            </w:pPr>
            <w:r w:rsidRPr="00870F84">
              <w:rPr>
                <w:rFonts w:ascii="Arial Narrow" w:hAnsi="Arial Narrow" w:cs="Open Sans"/>
                <w:color w:val="333333"/>
                <w:sz w:val="18"/>
                <w:szCs w:val="18"/>
              </w:rPr>
              <w:t>The condition must have responded inadequately to azathioprine at a dose of at least 2 mg per kg daily for at least 3 consecutive months prior to treatment initiation with this drug; or</w:t>
            </w:r>
          </w:p>
        </w:tc>
      </w:tr>
      <w:tr w:rsidR="00870F84" w:rsidRPr="00870F84" w14:paraId="119CA368" w14:textId="77777777" w:rsidTr="006D1A95">
        <w:tc>
          <w:tcPr>
            <w:tcW w:w="1129" w:type="dxa"/>
          </w:tcPr>
          <w:p w14:paraId="058C45AC" w14:textId="12E2AABD"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tcPr>
          <w:p w14:paraId="71598051" w14:textId="77777777" w:rsidR="00870F84" w:rsidRPr="00870F84" w:rsidRDefault="00870F84" w:rsidP="00870F84">
            <w:pPr>
              <w:spacing w:line="256" w:lineRule="auto"/>
              <w:ind w:left="-57"/>
              <w:jc w:val="left"/>
              <w:rPr>
                <w:rFonts w:ascii="Arial Narrow" w:hAnsi="Arial Narrow" w:cs="Open Sans"/>
                <w:color w:val="333333"/>
                <w:sz w:val="18"/>
                <w:szCs w:val="18"/>
              </w:rPr>
            </w:pPr>
            <w:r w:rsidRPr="00870F84">
              <w:rPr>
                <w:rFonts w:ascii="Arial Narrow" w:hAnsi="Arial Narrow" w:cs="Open Sans"/>
                <w:color w:val="333333"/>
                <w:sz w:val="18"/>
                <w:szCs w:val="18"/>
              </w:rPr>
              <w:t>The condition must have responded inadequately to 6-mercaptopurine at a dose of at least 1 mg per kg daily for at least 3 consecutive months prior to treatment initiation with this drug; or</w:t>
            </w:r>
          </w:p>
        </w:tc>
      </w:tr>
      <w:tr w:rsidR="00870F84" w:rsidRPr="00870F84" w14:paraId="4FC92608" w14:textId="77777777" w:rsidTr="00955601">
        <w:tc>
          <w:tcPr>
            <w:tcW w:w="1129" w:type="dxa"/>
          </w:tcPr>
          <w:p w14:paraId="3DEAA59D" w14:textId="1CBCE177" w:rsidR="00870F84" w:rsidRPr="00870F84" w:rsidRDefault="00870F84" w:rsidP="00870F84">
            <w:pPr>
              <w:spacing w:line="256" w:lineRule="auto"/>
              <w:jc w:val="center"/>
              <w:rPr>
                <w:rFonts w:ascii="Arial Narrow" w:hAnsi="Arial Narrow" w:cs="Open Sans"/>
                <w:color w:val="333333"/>
                <w:sz w:val="18"/>
                <w:szCs w:val="18"/>
              </w:rPr>
            </w:pPr>
          </w:p>
        </w:tc>
        <w:tc>
          <w:tcPr>
            <w:tcW w:w="8080" w:type="dxa"/>
            <w:gridSpan w:val="6"/>
            <w:hideMark/>
          </w:tcPr>
          <w:p w14:paraId="6DE04522" w14:textId="77777777" w:rsidR="00870F84" w:rsidRPr="00870F84" w:rsidRDefault="00870F84" w:rsidP="00870F84">
            <w:pPr>
              <w:spacing w:line="256" w:lineRule="auto"/>
              <w:ind w:left="-57"/>
              <w:jc w:val="left"/>
              <w:rPr>
                <w:rFonts w:ascii="Arial Narrow" w:hAnsi="Arial Narrow" w:cs="Open Sans"/>
                <w:color w:val="333333"/>
                <w:sz w:val="18"/>
                <w:szCs w:val="18"/>
              </w:rPr>
            </w:pPr>
            <w:r w:rsidRPr="00870F84">
              <w:rPr>
                <w:rFonts w:ascii="Arial Narrow" w:hAnsi="Arial Narrow" w:cs="Open Sans"/>
                <w:color w:val="333333"/>
                <w:sz w:val="18"/>
                <w:szCs w:val="18"/>
              </w:rPr>
              <w:t xml:space="preserve">The condition must have responded inadequately to a tapered course of oral steroids, starting at a dose of at least 40 mg prednisolone (or equivalent), over a </w:t>
            </w:r>
            <w:proofErr w:type="gramStart"/>
            <w:r w:rsidRPr="00870F84">
              <w:rPr>
                <w:rFonts w:ascii="Arial Narrow" w:hAnsi="Arial Narrow" w:cs="Open Sans"/>
                <w:color w:val="333333"/>
                <w:sz w:val="18"/>
                <w:szCs w:val="18"/>
              </w:rPr>
              <w:t>6 week</w:t>
            </w:r>
            <w:proofErr w:type="gramEnd"/>
            <w:r w:rsidRPr="00870F84">
              <w:rPr>
                <w:rFonts w:ascii="Arial Narrow" w:hAnsi="Arial Narrow" w:cs="Open Sans"/>
                <w:color w:val="333333"/>
                <w:sz w:val="18"/>
                <w:szCs w:val="18"/>
              </w:rPr>
              <w:t xml:space="preserve"> period, followed by an inadequate response to at least 3 consecutive months of treatment with an appropriately dosed thiopurine agent, prior to treatment initiation with this drug; or</w:t>
            </w:r>
          </w:p>
        </w:tc>
      </w:tr>
      <w:tr w:rsidR="00870F84" w:rsidRPr="00870F84" w14:paraId="5A9941FE" w14:textId="77777777" w:rsidTr="006D1A95">
        <w:tc>
          <w:tcPr>
            <w:tcW w:w="1129" w:type="dxa"/>
          </w:tcPr>
          <w:p w14:paraId="72C4E455" w14:textId="15224CAD"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tcPr>
          <w:p w14:paraId="06789282" w14:textId="77777777" w:rsidR="00870F84" w:rsidRPr="00870F84" w:rsidRDefault="00870F84" w:rsidP="00870F84">
            <w:pPr>
              <w:spacing w:line="256" w:lineRule="auto"/>
              <w:ind w:left="-57"/>
              <w:jc w:val="left"/>
              <w:rPr>
                <w:rFonts w:ascii="Arial Narrow" w:hAnsi="Arial Narrow" w:cs="Open Sans"/>
                <w:color w:val="333333"/>
                <w:sz w:val="18"/>
                <w:szCs w:val="18"/>
              </w:rPr>
            </w:pPr>
            <w:r w:rsidRPr="00870F84">
              <w:rPr>
                <w:rFonts w:ascii="Arial Narrow" w:hAnsi="Arial Narrow" w:cs="Open Sans"/>
                <w:color w:val="333333"/>
                <w:sz w:val="18"/>
                <w:szCs w:val="18"/>
              </w:rPr>
              <w:t>Patient must have experienced a severe intolerance to the each of the above 3 therapies leading to permanent treatment discontinuation</w:t>
            </w:r>
          </w:p>
        </w:tc>
      </w:tr>
      <w:tr w:rsidR="00870F84" w:rsidRPr="00870F84" w14:paraId="14CAD043" w14:textId="77777777" w:rsidTr="006D1A95">
        <w:tc>
          <w:tcPr>
            <w:tcW w:w="1129" w:type="dxa"/>
          </w:tcPr>
          <w:p w14:paraId="44859307" w14:textId="77777777"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tcPr>
          <w:p w14:paraId="536640A5" w14:textId="77777777" w:rsidR="00870F84" w:rsidRPr="00870F84" w:rsidRDefault="00870F84" w:rsidP="00870F84">
            <w:pPr>
              <w:spacing w:line="256" w:lineRule="auto"/>
              <w:ind w:left="-57"/>
              <w:jc w:val="left"/>
              <w:rPr>
                <w:rFonts w:ascii="Arial Narrow" w:hAnsi="Arial Narrow" w:cs="Open Sans"/>
                <w:b/>
                <w:bCs/>
                <w:color w:val="333333"/>
                <w:sz w:val="18"/>
                <w:szCs w:val="18"/>
              </w:rPr>
            </w:pPr>
            <w:r w:rsidRPr="00870F84">
              <w:rPr>
                <w:rFonts w:ascii="Arial Narrow" w:hAnsi="Arial Narrow" w:cs="Open Sans"/>
                <w:b/>
                <w:bCs/>
                <w:color w:val="333333"/>
                <w:sz w:val="18"/>
                <w:szCs w:val="18"/>
              </w:rPr>
              <w:t>AND</w:t>
            </w:r>
          </w:p>
        </w:tc>
      </w:tr>
      <w:tr w:rsidR="00870F84" w:rsidRPr="00870F84" w14:paraId="066CE4FB" w14:textId="77777777" w:rsidTr="00955601">
        <w:tc>
          <w:tcPr>
            <w:tcW w:w="1129" w:type="dxa"/>
          </w:tcPr>
          <w:p w14:paraId="43A45768" w14:textId="5FE45666"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hideMark/>
          </w:tcPr>
          <w:p w14:paraId="12BA0C0C" w14:textId="77777777" w:rsidR="00870F84" w:rsidRPr="00870F84" w:rsidRDefault="00870F84" w:rsidP="00870F84">
            <w:pPr>
              <w:spacing w:line="256" w:lineRule="auto"/>
              <w:ind w:left="-57"/>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Clinical criteria:</w:t>
            </w:r>
          </w:p>
        </w:tc>
      </w:tr>
      <w:tr w:rsidR="00870F84" w:rsidRPr="00870F84" w14:paraId="4DCCEF84" w14:textId="77777777" w:rsidTr="00955601">
        <w:tc>
          <w:tcPr>
            <w:tcW w:w="1129" w:type="dxa"/>
          </w:tcPr>
          <w:p w14:paraId="1A9922A4" w14:textId="55D360D1"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hideMark/>
          </w:tcPr>
          <w:p w14:paraId="7FD29C8E" w14:textId="77777777" w:rsidR="00870F84" w:rsidRPr="00870F84" w:rsidRDefault="00870F84" w:rsidP="00870F84">
            <w:pPr>
              <w:spacing w:line="256" w:lineRule="auto"/>
              <w:ind w:left="-57"/>
              <w:jc w:val="left"/>
              <w:rPr>
                <w:rFonts w:ascii="Arial Narrow" w:hAnsi="Arial Narrow" w:cs="Open Sans"/>
                <w:color w:val="333333"/>
                <w:sz w:val="18"/>
                <w:szCs w:val="18"/>
              </w:rPr>
            </w:pPr>
            <w:r w:rsidRPr="00870F84">
              <w:rPr>
                <w:rFonts w:ascii="Arial Narrow" w:hAnsi="Arial Narrow" w:cs="Open Sans"/>
                <w:color w:val="333333"/>
                <w:sz w:val="18"/>
                <w:szCs w:val="18"/>
              </w:rPr>
              <w:t>Patient must have had a Mayo clinic score greater than or equal to 6 prior to commencing non-PBS-subsidised treatment with this drug for this condition; or</w:t>
            </w:r>
          </w:p>
        </w:tc>
      </w:tr>
      <w:tr w:rsidR="00870F84" w:rsidRPr="00870F84" w14:paraId="75C648FB" w14:textId="77777777" w:rsidTr="00955601">
        <w:tc>
          <w:tcPr>
            <w:tcW w:w="1129" w:type="dxa"/>
          </w:tcPr>
          <w:p w14:paraId="03CA4474" w14:textId="293622FF"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hideMark/>
          </w:tcPr>
          <w:p w14:paraId="01B0C6C6" w14:textId="77777777" w:rsidR="00870F84" w:rsidRPr="00870F84" w:rsidRDefault="00870F84" w:rsidP="00870F84">
            <w:pPr>
              <w:spacing w:line="256" w:lineRule="auto"/>
              <w:ind w:left="-57"/>
              <w:jc w:val="left"/>
              <w:rPr>
                <w:rFonts w:ascii="Arial Narrow" w:hAnsi="Arial Narrow" w:cs="Open Sans"/>
                <w:color w:val="333333"/>
                <w:sz w:val="18"/>
                <w:szCs w:val="18"/>
              </w:rPr>
            </w:pPr>
            <w:r w:rsidRPr="00870F84">
              <w:rPr>
                <w:rFonts w:ascii="Arial Narrow" w:hAnsi="Arial Narrow" w:cs="Open Sans"/>
                <w:color w:val="333333"/>
                <w:sz w:val="18"/>
                <w:szCs w:val="18"/>
              </w:rPr>
              <w:t xml:space="preserve">Patient must have had a partial Mayo clinic score greater than or equal to 6, provided the rectal bleeding and stool frequency </w:t>
            </w:r>
            <w:proofErr w:type="spellStart"/>
            <w:r w:rsidRPr="00870F84">
              <w:rPr>
                <w:rFonts w:ascii="Arial Narrow" w:hAnsi="Arial Narrow" w:cs="Open Sans"/>
                <w:color w:val="333333"/>
                <w:sz w:val="18"/>
                <w:szCs w:val="18"/>
              </w:rPr>
              <w:t>subscores</w:t>
            </w:r>
            <w:proofErr w:type="spellEnd"/>
            <w:r w:rsidRPr="00870F84">
              <w:rPr>
                <w:rFonts w:ascii="Arial Narrow" w:hAnsi="Arial Narrow" w:cs="Open Sans"/>
                <w:color w:val="333333"/>
                <w:sz w:val="18"/>
                <w:szCs w:val="18"/>
              </w:rPr>
              <w:t xml:space="preserve"> were both greater than or equal to 2 (endoscopy </w:t>
            </w:r>
            <w:proofErr w:type="spellStart"/>
            <w:r w:rsidRPr="00870F84">
              <w:rPr>
                <w:rFonts w:ascii="Arial Narrow" w:hAnsi="Arial Narrow" w:cs="Open Sans"/>
                <w:color w:val="333333"/>
                <w:sz w:val="18"/>
                <w:szCs w:val="18"/>
              </w:rPr>
              <w:t>subscore</w:t>
            </w:r>
            <w:proofErr w:type="spellEnd"/>
            <w:r w:rsidRPr="00870F84">
              <w:rPr>
                <w:rFonts w:ascii="Arial Narrow" w:hAnsi="Arial Narrow" w:cs="Open Sans"/>
                <w:color w:val="333333"/>
                <w:sz w:val="18"/>
                <w:szCs w:val="18"/>
              </w:rPr>
              <w:t xml:space="preserve"> is not required for a partial Mayo score) prior to commencing non-PBS-subsidised treatment with this drug for this condition; or</w:t>
            </w:r>
          </w:p>
        </w:tc>
      </w:tr>
      <w:tr w:rsidR="00870F84" w:rsidRPr="00870F84" w14:paraId="68BDB244" w14:textId="77777777" w:rsidTr="00955601">
        <w:tc>
          <w:tcPr>
            <w:tcW w:w="1129" w:type="dxa"/>
          </w:tcPr>
          <w:p w14:paraId="140ACAFD" w14:textId="1CE947C9"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hideMark/>
          </w:tcPr>
          <w:p w14:paraId="7D19FAF6" w14:textId="77777777" w:rsidR="00870F84" w:rsidRPr="00870F84" w:rsidRDefault="00870F84" w:rsidP="00870F84">
            <w:pPr>
              <w:spacing w:line="256" w:lineRule="auto"/>
              <w:ind w:left="-57"/>
              <w:jc w:val="left"/>
              <w:rPr>
                <w:rFonts w:ascii="Arial Narrow" w:hAnsi="Arial Narrow" w:cs="Open Sans"/>
                <w:color w:val="333333"/>
                <w:sz w:val="18"/>
                <w:szCs w:val="18"/>
              </w:rPr>
            </w:pPr>
            <w:r w:rsidRPr="00870F84">
              <w:rPr>
                <w:rFonts w:ascii="Arial Narrow" w:hAnsi="Arial Narrow" w:cs="Open Sans"/>
                <w:color w:val="333333"/>
                <w:sz w:val="18"/>
                <w:szCs w:val="18"/>
              </w:rPr>
              <w:t>Patient must have a documented history of moderate to severe refractory ulcerative colitis prior to having commenced non-PBS-subsidised treatment with this drug for this condition where a Mayo clinic or partial Mayo clinic baseline assessment is not available</w:t>
            </w:r>
          </w:p>
        </w:tc>
      </w:tr>
      <w:tr w:rsidR="00870F84" w:rsidRPr="00870F84" w14:paraId="05636AA5" w14:textId="77777777" w:rsidTr="00955601">
        <w:tc>
          <w:tcPr>
            <w:tcW w:w="1129" w:type="dxa"/>
          </w:tcPr>
          <w:p w14:paraId="506CC121" w14:textId="77777777" w:rsidR="00870F84" w:rsidRPr="00870F84" w:rsidRDefault="00870F84" w:rsidP="00870F84">
            <w:pPr>
              <w:spacing w:line="256" w:lineRule="auto"/>
              <w:jc w:val="center"/>
              <w:rPr>
                <w:rFonts w:ascii="Arial Narrow" w:hAnsi="Arial Narrow" w:cs="Open Sans"/>
                <w:color w:val="333333"/>
                <w:sz w:val="18"/>
                <w:szCs w:val="18"/>
              </w:rPr>
            </w:pPr>
          </w:p>
        </w:tc>
        <w:tc>
          <w:tcPr>
            <w:tcW w:w="8080" w:type="dxa"/>
            <w:gridSpan w:val="6"/>
            <w:hideMark/>
          </w:tcPr>
          <w:p w14:paraId="7739F470" w14:textId="77777777" w:rsidR="00870F84" w:rsidRPr="00870F84" w:rsidRDefault="00870F84" w:rsidP="00870F84">
            <w:pPr>
              <w:spacing w:line="256" w:lineRule="auto"/>
              <w:ind w:left="-57"/>
              <w:jc w:val="left"/>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AND</w:t>
            </w:r>
          </w:p>
        </w:tc>
      </w:tr>
      <w:tr w:rsidR="00870F84" w:rsidRPr="00870F84" w14:paraId="324303F9" w14:textId="77777777" w:rsidTr="00955601">
        <w:tc>
          <w:tcPr>
            <w:tcW w:w="1129" w:type="dxa"/>
          </w:tcPr>
          <w:p w14:paraId="3E27D70A" w14:textId="77777777"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hideMark/>
          </w:tcPr>
          <w:p w14:paraId="19717FDD" w14:textId="77777777" w:rsidR="00870F84" w:rsidRPr="00870F84" w:rsidRDefault="00870F84" w:rsidP="00870F84">
            <w:pPr>
              <w:spacing w:line="256" w:lineRule="auto"/>
              <w:ind w:left="-57"/>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Population criteria:</w:t>
            </w:r>
          </w:p>
        </w:tc>
      </w:tr>
      <w:tr w:rsidR="00870F84" w:rsidRPr="00870F84" w14:paraId="1EF0F493" w14:textId="77777777" w:rsidTr="00955601">
        <w:tc>
          <w:tcPr>
            <w:tcW w:w="1129" w:type="dxa"/>
          </w:tcPr>
          <w:p w14:paraId="4FFC3442" w14:textId="3C73B7DF"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hideMark/>
          </w:tcPr>
          <w:p w14:paraId="196DA8C9" w14:textId="77777777" w:rsidR="00870F84" w:rsidRPr="00870F84" w:rsidRDefault="00870F84" w:rsidP="00870F84">
            <w:pPr>
              <w:spacing w:line="256" w:lineRule="auto"/>
              <w:ind w:left="-57"/>
              <w:jc w:val="left"/>
              <w:rPr>
                <w:rFonts w:ascii="Arial Narrow" w:hAnsi="Arial Narrow" w:cs="Open Sans"/>
                <w:color w:val="333333"/>
                <w:sz w:val="18"/>
                <w:szCs w:val="18"/>
              </w:rPr>
            </w:pPr>
            <w:r w:rsidRPr="00870F84">
              <w:rPr>
                <w:rFonts w:ascii="Arial Narrow" w:hAnsi="Arial Narrow" w:cs="Open Sans"/>
                <w:color w:val="333333"/>
                <w:sz w:val="18"/>
                <w:szCs w:val="18"/>
              </w:rPr>
              <w:t>Patients must be at least 18 years of age</w:t>
            </w:r>
          </w:p>
        </w:tc>
      </w:tr>
      <w:tr w:rsidR="00870F84" w:rsidRPr="00870F84" w14:paraId="21FEBEA5" w14:textId="77777777" w:rsidTr="006D1A95">
        <w:tc>
          <w:tcPr>
            <w:tcW w:w="1129" w:type="dxa"/>
          </w:tcPr>
          <w:p w14:paraId="1CE35ECE" w14:textId="77777777" w:rsidR="00870F84" w:rsidRPr="00870F84" w:rsidRDefault="00870F84" w:rsidP="00870F84">
            <w:pPr>
              <w:spacing w:line="256" w:lineRule="auto"/>
              <w:jc w:val="center"/>
              <w:textAlignment w:val="baseline"/>
              <w:rPr>
                <w:rFonts w:ascii="Arial Narrow" w:hAnsi="Arial Narrow" w:cs="Open Sans"/>
                <w:strike/>
                <w:color w:val="333333"/>
                <w:sz w:val="18"/>
                <w:szCs w:val="18"/>
              </w:rPr>
            </w:pPr>
          </w:p>
        </w:tc>
        <w:tc>
          <w:tcPr>
            <w:tcW w:w="8080" w:type="dxa"/>
            <w:gridSpan w:val="6"/>
          </w:tcPr>
          <w:p w14:paraId="59B8CF8A" w14:textId="77777777" w:rsidR="00870F84" w:rsidRPr="00870F84" w:rsidRDefault="00870F84" w:rsidP="00870F84">
            <w:pPr>
              <w:spacing w:line="256" w:lineRule="auto"/>
              <w:ind w:left="-57"/>
              <w:jc w:val="left"/>
              <w:rPr>
                <w:rFonts w:ascii="Arial Narrow" w:hAnsi="Arial Narrow" w:cs="Open Sans"/>
                <w:strike/>
                <w:color w:val="333333"/>
                <w:sz w:val="18"/>
                <w:szCs w:val="18"/>
              </w:rPr>
            </w:pPr>
          </w:p>
        </w:tc>
      </w:tr>
      <w:tr w:rsidR="00870F84" w:rsidRPr="00870F84" w14:paraId="6B0FC466" w14:textId="77777777" w:rsidTr="006D1A95">
        <w:tc>
          <w:tcPr>
            <w:tcW w:w="1129" w:type="dxa"/>
          </w:tcPr>
          <w:p w14:paraId="44E48DCB" w14:textId="3E61B549" w:rsidR="00870F84" w:rsidRPr="00870F84" w:rsidRDefault="00870F84" w:rsidP="00870F84">
            <w:pPr>
              <w:spacing w:line="256" w:lineRule="auto"/>
              <w:jc w:val="center"/>
              <w:textAlignment w:val="baseline"/>
              <w:rPr>
                <w:rFonts w:ascii="Arial Narrow" w:hAnsi="Arial Narrow" w:cs="Open Sans"/>
                <w:strike/>
                <w:color w:val="333333"/>
                <w:sz w:val="18"/>
                <w:szCs w:val="18"/>
              </w:rPr>
            </w:pPr>
          </w:p>
        </w:tc>
        <w:tc>
          <w:tcPr>
            <w:tcW w:w="8080" w:type="dxa"/>
            <w:gridSpan w:val="6"/>
          </w:tcPr>
          <w:p w14:paraId="0F207406" w14:textId="77777777" w:rsidR="00870F84" w:rsidRPr="00870F84" w:rsidRDefault="00870F84" w:rsidP="00870F84">
            <w:pPr>
              <w:spacing w:line="256" w:lineRule="auto"/>
              <w:ind w:left="-57"/>
              <w:jc w:val="left"/>
              <w:rPr>
                <w:rFonts w:ascii="Arial Narrow" w:hAnsi="Arial Narrow" w:cs="Open Sans"/>
                <w:strike/>
                <w:color w:val="333333"/>
                <w:sz w:val="18"/>
                <w:szCs w:val="18"/>
              </w:rPr>
            </w:pPr>
            <w:r w:rsidRPr="00870F84">
              <w:rPr>
                <w:rFonts w:ascii="Arial Narrow" w:hAnsi="Arial Narrow" w:cs="Open Sans"/>
                <w:b/>
                <w:bCs/>
                <w:color w:val="333333"/>
                <w:sz w:val="18"/>
                <w:szCs w:val="18"/>
                <w:bdr w:val="none" w:sz="0" w:space="0" w:color="auto" w:frame="1"/>
              </w:rPr>
              <w:t>Treatment criteria:</w:t>
            </w:r>
          </w:p>
        </w:tc>
      </w:tr>
      <w:tr w:rsidR="00870F84" w:rsidRPr="00870F84" w14:paraId="13F36222" w14:textId="77777777" w:rsidTr="006D1A95">
        <w:tc>
          <w:tcPr>
            <w:tcW w:w="1129" w:type="dxa"/>
          </w:tcPr>
          <w:p w14:paraId="56EE5C10" w14:textId="4574921A" w:rsidR="00870F84" w:rsidRPr="00870F84" w:rsidRDefault="00870F84" w:rsidP="00870F84">
            <w:pPr>
              <w:spacing w:line="256" w:lineRule="auto"/>
              <w:jc w:val="center"/>
              <w:textAlignment w:val="baseline"/>
              <w:rPr>
                <w:rFonts w:ascii="Arial Narrow" w:hAnsi="Arial Narrow" w:cs="Open Sans"/>
                <w:strike/>
                <w:color w:val="333333"/>
                <w:sz w:val="18"/>
                <w:szCs w:val="18"/>
              </w:rPr>
            </w:pPr>
          </w:p>
        </w:tc>
        <w:tc>
          <w:tcPr>
            <w:tcW w:w="8080" w:type="dxa"/>
            <w:gridSpan w:val="6"/>
          </w:tcPr>
          <w:p w14:paraId="114EB7F1" w14:textId="77777777" w:rsidR="00870F84" w:rsidRPr="00870F84" w:rsidRDefault="00870F84" w:rsidP="00870F84">
            <w:pPr>
              <w:spacing w:line="256" w:lineRule="auto"/>
              <w:ind w:left="-57"/>
              <w:jc w:val="left"/>
              <w:rPr>
                <w:rFonts w:ascii="Arial Narrow" w:hAnsi="Arial Narrow" w:cs="Open Sans"/>
                <w:strike/>
                <w:color w:val="333333"/>
                <w:sz w:val="18"/>
                <w:szCs w:val="18"/>
              </w:rPr>
            </w:pPr>
            <w:r w:rsidRPr="00870F84">
              <w:rPr>
                <w:rFonts w:ascii="Arial Narrow" w:hAnsi="Arial Narrow" w:cs="Open Sans"/>
                <w:color w:val="333333"/>
                <w:sz w:val="18"/>
                <w:szCs w:val="18"/>
              </w:rPr>
              <w:t>Must be treated by a gastroenterologist (code 87); or</w:t>
            </w:r>
          </w:p>
        </w:tc>
      </w:tr>
      <w:tr w:rsidR="00870F84" w:rsidRPr="00870F84" w14:paraId="18089B8E" w14:textId="77777777" w:rsidTr="006D1A95">
        <w:tc>
          <w:tcPr>
            <w:tcW w:w="1129" w:type="dxa"/>
          </w:tcPr>
          <w:p w14:paraId="7B08740F" w14:textId="2415CE75" w:rsidR="00870F84" w:rsidRPr="00870F84" w:rsidRDefault="00870F84" w:rsidP="00870F84">
            <w:pPr>
              <w:spacing w:line="256" w:lineRule="auto"/>
              <w:jc w:val="center"/>
              <w:textAlignment w:val="baseline"/>
              <w:rPr>
                <w:rFonts w:ascii="Arial Narrow" w:hAnsi="Arial Narrow" w:cs="Open Sans"/>
                <w:strike/>
                <w:color w:val="333333"/>
                <w:sz w:val="18"/>
                <w:szCs w:val="18"/>
              </w:rPr>
            </w:pPr>
          </w:p>
        </w:tc>
        <w:tc>
          <w:tcPr>
            <w:tcW w:w="8080" w:type="dxa"/>
            <w:gridSpan w:val="6"/>
          </w:tcPr>
          <w:p w14:paraId="0E596F1E" w14:textId="77777777" w:rsidR="00870F84" w:rsidRPr="00870F84" w:rsidRDefault="00870F84" w:rsidP="00870F84">
            <w:pPr>
              <w:spacing w:line="256" w:lineRule="auto"/>
              <w:ind w:left="-57"/>
              <w:jc w:val="left"/>
              <w:rPr>
                <w:rFonts w:ascii="Arial Narrow" w:hAnsi="Arial Narrow" w:cs="Open Sans"/>
                <w:strike/>
                <w:color w:val="333333"/>
                <w:sz w:val="18"/>
                <w:szCs w:val="18"/>
              </w:rPr>
            </w:pPr>
            <w:r w:rsidRPr="00870F84">
              <w:rPr>
                <w:rFonts w:ascii="Arial Narrow" w:hAnsi="Arial Narrow" w:cs="Open Sans"/>
                <w:color w:val="333333"/>
                <w:sz w:val="18"/>
                <w:szCs w:val="18"/>
              </w:rPr>
              <w:t>Must be treated by a consultant physician [internal medicine specialising in gastroenterology (code 81)]; or</w:t>
            </w:r>
          </w:p>
        </w:tc>
      </w:tr>
      <w:tr w:rsidR="00870F84" w:rsidRPr="00870F84" w14:paraId="34E7927F" w14:textId="77777777" w:rsidTr="006D1A95">
        <w:tc>
          <w:tcPr>
            <w:tcW w:w="1129" w:type="dxa"/>
          </w:tcPr>
          <w:p w14:paraId="1D445F45" w14:textId="739E1E44" w:rsidR="00870F84" w:rsidRPr="00870F84" w:rsidRDefault="00870F84" w:rsidP="00870F84">
            <w:pPr>
              <w:spacing w:line="256" w:lineRule="auto"/>
              <w:jc w:val="center"/>
              <w:textAlignment w:val="baseline"/>
              <w:rPr>
                <w:rFonts w:ascii="Arial Narrow" w:hAnsi="Arial Narrow" w:cs="Open Sans"/>
                <w:strike/>
                <w:color w:val="333333"/>
                <w:sz w:val="18"/>
                <w:szCs w:val="18"/>
              </w:rPr>
            </w:pPr>
          </w:p>
        </w:tc>
        <w:tc>
          <w:tcPr>
            <w:tcW w:w="8080" w:type="dxa"/>
            <w:gridSpan w:val="6"/>
          </w:tcPr>
          <w:p w14:paraId="630794E2" w14:textId="77777777" w:rsidR="00870F84" w:rsidRPr="00870F84" w:rsidRDefault="00870F84" w:rsidP="00870F84">
            <w:pPr>
              <w:spacing w:line="256" w:lineRule="auto"/>
              <w:ind w:left="-57"/>
              <w:jc w:val="left"/>
              <w:rPr>
                <w:rFonts w:ascii="Arial Narrow" w:hAnsi="Arial Narrow" w:cs="Open Sans"/>
                <w:strike/>
                <w:color w:val="333333"/>
                <w:sz w:val="18"/>
                <w:szCs w:val="18"/>
              </w:rPr>
            </w:pPr>
            <w:r w:rsidRPr="00870F84">
              <w:rPr>
                <w:rFonts w:ascii="Arial Narrow" w:hAnsi="Arial Narrow" w:cs="Open Sans"/>
                <w:color w:val="333333"/>
                <w:sz w:val="18"/>
                <w:szCs w:val="18"/>
              </w:rPr>
              <w:t>Must be treated by a consultant physician [general medicine specialising in gastroenterology (code 82)]</w:t>
            </w:r>
          </w:p>
        </w:tc>
      </w:tr>
      <w:tr w:rsidR="00870F84" w:rsidRPr="00870F84" w14:paraId="0BE43C58" w14:textId="77777777" w:rsidTr="006D1A95">
        <w:tc>
          <w:tcPr>
            <w:tcW w:w="1129" w:type="dxa"/>
          </w:tcPr>
          <w:p w14:paraId="32EBD74C" w14:textId="77777777"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tcPr>
          <w:p w14:paraId="1CAF4B30" w14:textId="77777777" w:rsidR="00870F84" w:rsidRPr="00870F84" w:rsidRDefault="00870F84" w:rsidP="00870F84">
            <w:pPr>
              <w:spacing w:line="256" w:lineRule="auto"/>
              <w:ind w:left="-57"/>
              <w:jc w:val="left"/>
              <w:rPr>
                <w:rFonts w:ascii="Arial Narrow" w:hAnsi="Arial Narrow" w:cs="Open Sans"/>
                <w:color w:val="333333"/>
                <w:sz w:val="18"/>
                <w:szCs w:val="18"/>
              </w:rPr>
            </w:pPr>
          </w:p>
        </w:tc>
      </w:tr>
      <w:tr w:rsidR="00870F84" w:rsidRPr="00870F84" w14:paraId="615BA6F8" w14:textId="77777777" w:rsidTr="00955601">
        <w:tc>
          <w:tcPr>
            <w:tcW w:w="1129" w:type="dxa"/>
          </w:tcPr>
          <w:p w14:paraId="731B0907" w14:textId="13FC06A6"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hideMark/>
          </w:tcPr>
          <w:p w14:paraId="6F364022" w14:textId="77777777" w:rsidR="00870F84" w:rsidRPr="00870F84" w:rsidRDefault="00870F84" w:rsidP="00870F84">
            <w:pPr>
              <w:spacing w:line="256" w:lineRule="auto"/>
              <w:ind w:left="-57"/>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Prescribing Instructions:</w:t>
            </w:r>
          </w:p>
          <w:p w14:paraId="0F475C74" w14:textId="77777777" w:rsidR="00870F84" w:rsidRPr="00870F84" w:rsidRDefault="00870F84" w:rsidP="00870F84">
            <w:pPr>
              <w:spacing w:line="256" w:lineRule="auto"/>
              <w:ind w:left="-57"/>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The authority application must be made in writing and must include:</w:t>
            </w:r>
          </w:p>
          <w:p w14:paraId="3FB28A9C" w14:textId="77777777" w:rsidR="00870F84" w:rsidRPr="00870F84" w:rsidRDefault="00870F84" w:rsidP="00870F84">
            <w:pPr>
              <w:spacing w:line="256" w:lineRule="auto"/>
              <w:ind w:left="-57"/>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(1) a completed authority prescription form; and</w:t>
            </w:r>
          </w:p>
          <w:p w14:paraId="3F7C4C8D" w14:textId="77777777" w:rsidR="00870F84" w:rsidRPr="00870F84" w:rsidRDefault="00870F84" w:rsidP="00870F84">
            <w:pPr>
              <w:spacing w:line="256" w:lineRule="auto"/>
              <w:ind w:left="-57"/>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(2) a completed authority application form relevant to the indication and treatment phase (the latest version is located on the website specified in the Administrative Advice), which includes:</w:t>
            </w:r>
          </w:p>
          <w:p w14:paraId="1E919ACF" w14:textId="77777777" w:rsidR="00870F84" w:rsidRPr="00870F84" w:rsidRDefault="00870F84" w:rsidP="00870F84">
            <w:pPr>
              <w:spacing w:line="256" w:lineRule="auto"/>
              <w:ind w:left="-57"/>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w:t>
            </w:r>
            <w:proofErr w:type="spellStart"/>
            <w:r w:rsidRPr="00870F84">
              <w:rPr>
                <w:rFonts w:ascii="Arial Narrow" w:hAnsi="Arial Narrow" w:cs="Open Sans"/>
                <w:color w:val="333333"/>
                <w:sz w:val="18"/>
                <w:szCs w:val="18"/>
              </w:rPr>
              <w:t>i</w:t>
            </w:r>
            <w:proofErr w:type="spellEnd"/>
            <w:r w:rsidRPr="00870F84">
              <w:rPr>
                <w:rFonts w:ascii="Arial Narrow" w:hAnsi="Arial Narrow" w:cs="Open Sans"/>
                <w:color w:val="333333"/>
                <w:sz w:val="18"/>
                <w:szCs w:val="18"/>
              </w:rPr>
              <w:t xml:space="preserve">) the baseline Mayo clinic or partial Mayo clinic score at the time of initiating non-PBS subsidised treatment (if available), including the date of </w:t>
            </w:r>
            <w:proofErr w:type="gramStart"/>
            <w:r w:rsidRPr="00870F84">
              <w:rPr>
                <w:rFonts w:ascii="Arial Narrow" w:hAnsi="Arial Narrow" w:cs="Open Sans"/>
                <w:color w:val="333333"/>
                <w:sz w:val="18"/>
                <w:szCs w:val="18"/>
              </w:rPr>
              <w:t>assessment;</w:t>
            </w:r>
            <w:proofErr w:type="gramEnd"/>
          </w:p>
          <w:p w14:paraId="52ECCC04" w14:textId="77777777" w:rsidR="00870F84" w:rsidRPr="00870F84" w:rsidRDefault="00870F84" w:rsidP="00870F84">
            <w:pPr>
              <w:spacing w:line="256" w:lineRule="auto"/>
              <w:ind w:left="-57"/>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(ii) the date of commencement of this drug.</w:t>
            </w:r>
          </w:p>
        </w:tc>
      </w:tr>
      <w:tr w:rsidR="00870F84" w:rsidRPr="00870F84" w14:paraId="75EDA023" w14:textId="77777777" w:rsidTr="006D1A95">
        <w:tc>
          <w:tcPr>
            <w:tcW w:w="1129" w:type="dxa"/>
          </w:tcPr>
          <w:p w14:paraId="1421590E" w14:textId="77777777"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tcPr>
          <w:p w14:paraId="5E622335" w14:textId="77777777" w:rsidR="00870F84" w:rsidRPr="00870F84" w:rsidRDefault="00870F84" w:rsidP="00870F84">
            <w:pPr>
              <w:spacing w:line="256" w:lineRule="auto"/>
              <w:ind w:left="-57"/>
              <w:jc w:val="left"/>
              <w:textAlignment w:val="baseline"/>
              <w:rPr>
                <w:rFonts w:ascii="Arial Narrow" w:hAnsi="Arial Narrow" w:cs="Open Sans"/>
                <w:color w:val="333333"/>
                <w:sz w:val="18"/>
                <w:szCs w:val="18"/>
              </w:rPr>
            </w:pPr>
          </w:p>
        </w:tc>
      </w:tr>
      <w:tr w:rsidR="00870F84" w:rsidRPr="00870F84" w14:paraId="659222E8" w14:textId="77777777" w:rsidTr="006D1A95">
        <w:tc>
          <w:tcPr>
            <w:tcW w:w="1129" w:type="dxa"/>
          </w:tcPr>
          <w:p w14:paraId="0A8F47F4" w14:textId="4697D02B" w:rsidR="00870F84" w:rsidRPr="00870F84" w:rsidRDefault="00870F84" w:rsidP="00870F84">
            <w:pPr>
              <w:jc w:val="center"/>
              <w:rPr>
                <w:rFonts w:ascii="Arial Narrow" w:hAnsi="Arial Narrow" w:cs="Times New Roman"/>
                <w:bCs/>
                <w:sz w:val="18"/>
                <w:szCs w:val="18"/>
              </w:rPr>
            </w:pPr>
          </w:p>
        </w:tc>
        <w:tc>
          <w:tcPr>
            <w:tcW w:w="8080" w:type="dxa"/>
            <w:gridSpan w:val="6"/>
            <w:hideMark/>
          </w:tcPr>
          <w:p w14:paraId="35C80740" w14:textId="77777777" w:rsidR="00870F84" w:rsidRPr="00870F84" w:rsidRDefault="00870F84" w:rsidP="00870F84">
            <w:pPr>
              <w:ind w:left="-57"/>
              <w:jc w:val="left"/>
              <w:rPr>
                <w:rFonts w:ascii="Arial Narrow" w:hAnsi="Arial Narrow" w:cs="Times New Roman"/>
                <w:b/>
                <w:bCs/>
                <w:sz w:val="18"/>
                <w:szCs w:val="18"/>
              </w:rPr>
            </w:pPr>
            <w:r w:rsidRPr="00870F84">
              <w:rPr>
                <w:rFonts w:ascii="Arial Narrow" w:hAnsi="Arial Narrow" w:cs="Times New Roman"/>
                <w:b/>
                <w:bCs/>
                <w:sz w:val="18"/>
                <w:szCs w:val="18"/>
              </w:rPr>
              <w:t xml:space="preserve">Administrative advice: </w:t>
            </w:r>
          </w:p>
          <w:p w14:paraId="55CAF126" w14:textId="77777777" w:rsidR="00870F84" w:rsidRPr="00870F84" w:rsidRDefault="00870F84" w:rsidP="00870F84">
            <w:pPr>
              <w:ind w:left="-57"/>
              <w:jc w:val="left"/>
              <w:rPr>
                <w:rFonts w:ascii="Arial Narrow" w:hAnsi="Arial Narrow" w:cs="Times New Roman"/>
                <w:b/>
                <w:bCs/>
                <w:sz w:val="18"/>
                <w:szCs w:val="18"/>
              </w:rPr>
            </w:pPr>
            <w:r w:rsidRPr="00870F84">
              <w:rPr>
                <w:rFonts w:ascii="Arial Narrow" w:hAnsi="Arial Narrow" w:cs="Times New Roman"/>
                <w:bCs/>
                <w:sz w:val="18"/>
                <w:szCs w:val="18"/>
              </w:rPr>
              <w:t>Patients may qualify for PBS-subsidised treatment under this restriction once only. For continuing PBS-subsidised treatment, a 'Grandfathered' patient must qualify under the 'Continuing treatment' criteria.</w:t>
            </w:r>
          </w:p>
        </w:tc>
      </w:tr>
      <w:tr w:rsidR="00870F84" w:rsidRPr="00870F84" w14:paraId="3FB811F5" w14:textId="77777777" w:rsidTr="00955601">
        <w:tc>
          <w:tcPr>
            <w:tcW w:w="1129" w:type="dxa"/>
          </w:tcPr>
          <w:p w14:paraId="325211E6" w14:textId="4919CE7F" w:rsidR="00870F84" w:rsidRPr="00870F84" w:rsidRDefault="00870F84" w:rsidP="00870F84">
            <w:pPr>
              <w:jc w:val="center"/>
              <w:rPr>
                <w:rFonts w:ascii="Arial Narrow" w:hAnsi="Arial Narrow" w:cs="Times New Roman"/>
                <w:bCs/>
                <w:sz w:val="18"/>
                <w:szCs w:val="18"/>
              </w:rPr>
            </w:pPr>
          </w:p>
        </w:tc>
        <w:tc>
          <w:tcPr>
            <w:tcW w:w="8080" w:type="dxa"/>
            <w:gridSpan w:val="6"/>
            <w:hideMark/>
          </w:tcPr>
          <w:p w14:paraId="11856273" w14:textId="77777777" w:rsidR="00870F84" w:rsidRPr="00870F84" w:rsidRDefault="00870F84" w:rsidP="00870F84">
            <w:pPr>
              <w:ind w:left="-57"/>
              <w:jc w:val="left"/>
              <w:rPr>
                <w:rFonts w:ascii="Arial Narrow" w:hAnsi="Arial Narrow" w:cs="Times New Roman"/>
                <w:b/>
                <w:bCs/>
                <w:sz w:val="18"/>
                <w:szCs w:val="18"/>
              </w:rPr>
            </w:pPr>
            <w:r w:rsidRPr="00870F84">
              <w:rPr>
                <w:rFonts w:ascii="Arial Narrow" w:hAnsi="Arial Narrow" w:cs="Times New Roman"/>
                <w:b/>
                <w:bCs/>
                <w:sz w:val="18"/>
                <w:szCs w:val="18"/>
              </w:rPr>
              <w:t xml:space="preserve">Administrative advice: </w:t>
            </w:r>
          </w:p>
          <w:p w14:paraId="451E8A9A" w14:textId="77777777" w:rsidR="00870F84" w:rsidRPr="00870F84" w:rsidRDefault="00870F84" w:rsidP="00870F84">
            <w:pPr>
              <w:ind w:left="-57"/>
              <w:jc w:val="left"/>
              <w:rPr>
                <w:rFonts w:ascii="Arial Narrow" w:hAnsi="Arial Narrow" w:cs="Times New Roman"/>
                <w:b/>
                <w:bCs/>
                <w:sz w:val="18"/>
                <w:szCs w:val="18"/>
              </w:rPr>
            </w:pPr>
            <w:r w:rsidRPr="00870F84">
              <w:rPr>
                <w:rFonts w:ascii="Arial Narrow" w:hAnsi="Arial Narrow" w:cs="Times New Roman"/>
                <w:bCs/>
                <w:sz w:val="18"/>
                <w:szCs w:val="18"/>
              </w:rPr>
              <w:t>This grandfather restriction will cease to operate from 12 months after the date specified in the clinical criteria.</w:t>
            </w:r>
          </w:p>
        </w:tc>
      </w:tr>
      <w:tr w:rsidR="00870F84" w:rsidRPr="00870F84" w14:paraId="10B97413" w14:textId="77777777" w:rsidTr="00955601">
        <w:tc>
          <w:tcPr>
            <w:tcW w:w="1129" w:type="dxa"/>
          </w:tcPr>
          <w:p w14:paraId="29CB7693" w14:textId="7E13C5E9"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gridSpan w:val="6"/>
            <w:hideMark/>
          </w:tcPr>
          <w:p w14:paraId="7D90A23E" w14:textId="77777777" w:rsidR="00870F84" w:rsidRPr="00870F84" w:rsidRDefault="00870F84" w:rsidP="00870F84">
            <w:pPr>
              <w:spacing w:line="256" w:lineRule="auto"/>
              <w:ind w:left="-57"/>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Administrative Advice:</w:t>
            </w:r>
          </w:p>
          <w:p w14:paraId="30AD113F" w14:textId="77777777" w:rsidR="00870F84" w:rsidRPr="00870F84" w:rsidRDefault="00870F84" w:rsidP="00870F84">
            <w:pPr>
              <w:spacing w:line="256" w:lineRule="auto"/>
              <w:ind w:left="-57"/>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Any queries concerning the arrangements to prescribe may be directed to Services Australia on 1800 700 270 (hours of operation 8 a.m. to 5 p.m. Monday to Friday).</w:t>
            </w:r>
          </w:p>
          <w:p w14:paraId="7A7B66F0" w14:textId="77777777" w:rsidR="00870F84" w:rsidRPr="00870F84" w:rsidRDefault="00870F84" w:rsidP="00870F84">
            <w:pPr>
              <w:spacing w:line="256" w:lineRule="auto"/>
              <w:ind w:left="-57"/>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Prescribing information (including Authority Application forms and other relevant documentation as applicable) is available on the Services Australia website at www.servicesaustralia.gov.au</w:t>
            </w:r>
          </w:p>
          <w:p w14:paraId="6B290935" w14:textId="77777777" w:rsidR="00870F84" w:rsidRPr="00870F84" w:rsidRDefault="00870F84" w:rsidP="00870F84">
            <w:pPr>
              <w:spacing w:line="256" w:lineRule="auto"/>
              <w:ind w:left="-57"/>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Applications for authority to prescribe should be submitted online using the form upload facility in Health Professional Online Services (HPOS) at www.servicesaustralia.gov.au/hpos</w:t>
            </w:r>
          </w:p>
          <w:p w14:paraId="2053388E" w14:textId="77777777" w:rsidR="00870F84" w:rsidRPr="00870F84" w:rsidRDefault="00870F84" w:rsidP="00870F84">
            <w:pPr>
              <w:spacing w:line="256" w:lineRule="auto"/>
              <w:ind w:left="-57"/>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Or mailed to:</w:t>
            </w:r>
          </w:p>
          <w:p w14:paraId="33AD74A1" w14:textId="77777777" w:rsidR="00870F84" w:rsidRPr="00870F84" w:rsidRDefault="00870F84" w:rsidP="00870F84">
            <w:pPr>
              <w:spacing w:line="256" w:lineRule="auto"/>
              <w:ind w:left="-57"/>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Services Australia</w:t>
            </w:r>
          </w:p>
          <w:p w14:paraId="2060248C" w14:textId="77777777" w:rsidR="00870F84" w:rsidRPr="00870F84" w:rsidRDefault="00870F84" w:rsidP="00870F84">
            <w:pPr>
              <w:spacing w:line="256" w:lineRule="auto"/>
              <w:ind w:left="-57"/>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Complex Drugs</w:t>
            </w:r>
          </w:p>
          <w:p w14:paraId="2366E375" w14:textId="77777777" w:rsidR="00870F84" w:rsidRPr="00870F84" w:rsidRDefault="00870F84" w:rsidP="00870F84">
            <w:pPr>
              <w:spacing w:line="256" w:lineRule="auto"/>
              <w:ind w:left="-57"/>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Reply Paid 9826</w:t>
            </w:r>
          </w:p>
          <w:p w14:paraId="3D30B5C1" w14:textId="77777777" w:rsidR="00870F84" w:rsidRPr="00870F84" w:rsidRDefault="00870F84" w:rsidP="00870F84">
            <w:pPr>
              <w:spacing w:line="256" w:lineRule="auto"/>
              <w:ind w:left="-57"/>
              <w:jc w:val="left"/>
              <w:textAlignment w:val="baseline"/>
              <w:rPr>
                <w:rFonts w:ascii="Arial Narrow" w:hAnsi="Arial Narrow" w:cs="Open Sans"/>
                <w:color w:val="333333"/>
                <w:sz w:val="18"/>
                <w:szCs w:val="18"/>
              </w:rPr>
            </w:pPr>
            <w:r w:rsidRPr="00870F84">
              <w:rPr>
                <w:rFonts w:ascii="Arial Narrow" w:hAnsi="Arial Narrow" w:cs="Open Sans"/>
                <w:color w:val="333333"/>
                <w:sz w:val="18"/>
                <w:szCs w:val="18"/>
              </w:rPr>
              <w:t>HOBART TAS 7001</w:t>
            </w:r>
          </w:p>
        </w:tc>
      </w:tr>
    </w:tbl>
    <w:p w14:paraId="35A6B0E7" w14:textId="77777777" w:rsidR="00870F84" w:rsidRPr="00955601" w:rsidRDefault="00870F84" w:rsidP="00955601">
      <w:pPr>
        <w:spacing w:after="120"/>
        <w:jc w:val="left"/>
        <w:rPr>
          <w:rFonts w:asciiTheme="minorHAnsi" w:eastAsia="Calibri" w:hAnsiTheme="minorHAnsi" w:cstheme="minorHAnsi"/>
          <w:lang w:eastAsia="en-US"/>
        </w:rPr>
      </w:pPr>
    </w:p>
    <w:tbl>
      <w:tblPr>
        <w:tblStyle w:val="HTATableshaded"/>
        <w:tblW w:w="9209" w:type="dxa"/>
        <w:tblLayout w:type="fixed"/>
        <w:tblLook w:val="04A0" w:firstRow="1" w:lastRow="0" w:firstColumn="1" w:lastColumn="0" w:noHBand="0" w:noVBand="1"/>
      </w:tblPr>
      <w:tblGrid>
        <w:gridCol w:w="1129"/>
        <w:gridCol w:w="2831"/>
        <w:gridCol w:w="992"/>
        <w:gridCol w:w="849"/>
        <w:gridCol w:w="857"/>
        <w:gridCol w:w="992"/>
        <w:gridCol w:w="1559"/>
      </w:tblGrid>
      <w:tr w:rsidR="00870F84" w:rsidRPr="00870F84" w14:paraId="20855688" w14:textId="77777777" w:rsidTr="006D1A95">
        <w:trPr>
          <w:cnfStyle w:val="100000000000" w:firstRow="1" w:lastRow="0" w:firstColumn="0" w:lastColumn="0" w:oddVBand="0" w:evenVBand="0" w:oddHBand="0" w:evenHBand="0" w:firstRowFirstColumn="0" w:firstRowLastColumn="0" w:lastRowFirstColumn="0" w:lastRowLastColumn="0"/>
          <w:trHeight w:val="471"/>
        </w:trPr>
        <w:tc>
          <w:tcPr>
            <w:tcW w:w="3960" w:type="dxa"/>
            <w:gridSpan w:val="2"/>
            <w:hideMark/>
          </w:tcPr>
          <w:p w14:paraId="56DD6A01" w14:textId="77777777" w:rsidR="00870F84" w:rsidRPr="00870F84" w:rsidRDefault="00870F84" w:rsidP="00870F84">
            <w:pPr>
              <w:keepNext/>
              <w:ind w:left="-57"/>
              <w:jc w:val="left"/>
              <w:rPr>
                <w:rFonts w:ascii="Arial Narrow" w:hAnsi="Arial Narrow" w:cs="Times New Roman"/>
                <w:b/>
                <w:bCs/>
                <w:sz w:val="18"/>
                <w:szCs w:val="18"/>
              </w:rPr>
            </w:pPr>
            <w:r w:rsidRPr="00870F84">
              <w:rPr>
                <w:rFonts w:ascii="Arial Narrow" w:hAnsi="Arial Narrow" w:cs="Times New Roman"/>
                <w:b/>
                <w:bCs/>
                <w:sz w:val="18"/>
                <w:szCs w:val="18"/>
              </w:rPr>
              <w:t>MEDICINAL PRODUCT</w:t>
            </w:r>
          </w:p>
          <w:p w14:paraId="07388B46" w14:textId="77777777" w:rsidR="00870F84" w:rsidRPr="00870F84" w:rsidRDefault="00870F84" w:rsidP="00870F84">
            <w:pPr>
              <w:keepNext/>
              <w:ind w:left="-57"/>
              <w:jc w:val="left"/>
              <w:rPr>
                <w:rFonts w:ascii="Arial Narrow" w:hAnsi="Arial Narrow" w:cs="Times New Roman"/>
                <w:b/>
                <w:sz w:val="18"/>
                <w:szCs w:val="18"/>
              </w:rPr>
            </w:pPr>
            <w:r w:rsidRPr="00870F84">
              <w:rPr>
                <w:rFonts w:ascii="Arial Narrow" w:hAnsi="Arial Narrow" w:cs="Times New Roman"/>
                <w:b/>
                <w:bCs/>
                <w:sz w:val="18"/>
                <w:szCs w:val="18"/>
              </w:rPr>
              <w:t>medicinal product pack</w:t>
            </w:r>
          </w:p>
        </w:tc>
        <w:tc>
          <w:tcPr>
            <w:tcW w:w="992" w:type="dxa"/>
            <w:hideMark/>
          </w:tcPr>
          <w:p w14:paraId="1F43A6EB" w14:textId="77777777" w:rsidR="00870F84" w:rsidRPr="00870F84" w:rsidRDefault="00870F84" w:rsidP="00870F84">
            <w:pPr>
              <w:keepNext/>
              <w:ind w:left="-108"/>
              <w:jc w:val="center"/>
              <w:rPr>
                <w:rFonts w:ascii="Arial Narrow" w:hAnsi="Arial Narrow" w:cs="Times New Roman"/>
                <w:b/>
                <w:sz w:val="18"/>
                <w:szCs w:val="18"/>
              </w:rPr>
            </w:pPr>
            <w:r w:rsidRPr="00870F84">
              <w:rPr>
                <w:rFonts w:ascii="Arial Narrow" w:hAnsi="Arial Narrow" w:cs="Times New Roman"/>
                <w:b/>
                <w:sz w:val="18"/>
                <w:szCs w:val="18"/>
              </w:rPr>
              <w:t>PBS item code</w:t>
            </w:r>
          </w:p>
        </w:tc>
        <w:tc>
          <w:tcPr>
            <w:tcW w:w="849" w:type="dxa"/>
            <w:hideMark/>
          </w:tcPr>
          <w:p w14:paraId="0167387A" w14:textId="77777777" w:rsidR="00870F84" w:rsidRPr="00870F84" w:rsidRDefault="00870F84" w:rsidP="00870F84">
            <w:pPr>
              <w:keepNext/>
              <w:ind w:left="-108"/>
              <w:jc w:val="center"/>
              <w:rPr>
                <w:rFonts w:ascii="Arial Narrow" w:hAnsi="Arial Narrow" w:cs="Times New Roman"/>
                <w:b/>
                <w:sz w:val="18"/>
                <w:szCs w:val="18"/>
              </w:rPr>
            </w:pPr>
            <w:r w:rsidRPr="00870F84">
              <w:rPr>
                <w:rFonts w:ascii="Arial Narrow" w:hAnsi="Arial Narrow" w:cs="Times New Roman"/>
                <w:b/>
                <w:sz w:val="18"/>
                <w:szCs w:val="18"/>
              </w:rPr>
              <w:t>Max. qty packs</w:t>
            </w:r>
          </w:p>
        </w:tc>
        <w:tc>
          <w:tcPr>
            <w:tcW w:w="857" w:type="dxa"/>
            <w:hideMark/>
          </w:tcPr>
          <w:p w14:paraId="6FEE4F26" w14:textId="77777777" w:rsidR="00870F84" w:rsidRPr="00870F84" w:rsidRDefault="00870F84" w:rsidP="00870F84">
            <w:pPr>
              <w:keepNext/>
              <w:ind w:left="-108"/>
              <w:jc w:val="center"/>
              <w:rPr>
                <w:rFonts w:ascii="Arial Narrow" w:hAnsi="Arial Narrow" w:cs="Times New Roman"/>
                <w:b/>
                <w:sz w:val="18"/>
                <w:szCs w:val="18"/>
              </w:rPr>
            </w:pPr>
            <w:r w:rsidRPr="00870F84">
              <w:rPr>
                <w:rFonts w:ascii="Arial Narrow" w:hAnsi="Arial Narrow" w:cs="Times New Roman"/>
                <w:b/>
                <w:sz w:val="18"/>
                <w:szCs w:val="18"/>
              </w:rPr>
              <w:t>Max. qty units</w:t>
            </w:r>
          </w:p>
        </w:tc>
        <w:tc>
          <w:tcPr>
            <w:tcW w:w="992" w:type="dxa"/>
            <w:hideMark/>
          </w:tcPr>
          <w:p w14:paraId="245F52CD" w14:textId="77777777" w:rsidR="00870F84" w:rsidRPr="00870F84" w:rsidRDefault="00870F84" w:rsidP="00870F84">
            <w:pPr>
              <w:keepNext/>
              <w:ind w:left="-108"/>
              <w:jc w:val="center"/>
              <w:rPr>
                <w:rFonts w:ascii="Arial Narrow" w:hAnsi="Arial Narrow" w:cs="Times New Roman"/>
                <w:b/>
                <w:sz w:val="18"/>
                <w:szCs w:val="18"/>
              </w:rPr>
            </w:pPr>
            <w:r w:rsidRPr="00870F84">
              <w:rPr>
                <w:rFonts w:ascii="Arial Narrow" w:hAnsi="Arial Narrow" w:cs="Times New Roman"/>
                <w:b/>
                <w:sz w:val="18"/>
                <w:szCs w:val="18"/>
              </w:rPr>
              <w:t>№.of</w:t>
            </w:r>
          </w:p>
          <w:p w14:paraId="77F85A5C" w14:textId="77777777" w:rsidR="00870F84" w:rsidRPr="00870F84" w:rsidRDefault="00870F84" w:rsidP="00870F84">
            <w:pPr>
              <w:keepNext/>
              <w:ind w:left="-108"/>
              <w:jc w:val="center"/>
              <w:rPr>
                <w:rFonts w:ascii="Arial Narrow" w:hAnsi="Arial Narrow" w:cs="Times New Roman"/>
                <w:b/>
                <w:sz w:val="18"/>
                <w:szCs w:val="18"/>
              </w:rPr>
            </w:pPr>
            <w:r w:rsidRPr="00870F84">
              <w:rPr>
                <w:rFonts w:ascii="Arial Narrow" w:hAnsi="Arial Narrow" w:cs="Times New Roman"/>
                <w:b/>
                <w:sz w:val="18"/>
                <w:szCs w:val="18"/>
              </w:rPr>
              <w:t>Rpts</w:t>
            </w:r>
          </w:p>
        </w:tc>
        <w:tc>
          <w:tcPr>
            <w:tcW w:w="1559" w:type="dxa"/>
            <w:hideMark/>
          </w:tcPr>
          <w:p w14:paraId="0DAF7E1A" w14:textId="77777777" w:rsidR="00870F84" w:rsidRPr="00870F84" w:rsidRDefault="00870F84" w:rsidP="00870F84">
            <w:pPr>
              <w:keepNext/>
              <w:jc w:val="left"/>
              <w:rPr>
                <w:rFonts w:ascii="Arial Narrow" w:hAnsi="Arial Narrow" w:cs="Times New Roman"/>
                <w:b/>
                <w:sz w:val="18"/>
                <w:szCs w:val="18"/>
                <w:lang w:val="fr-FR"/>
              </w:rPr>
            </w:pPr>
            <w:r w:rsidRPr="00870F84">
              <w:rPr>
                <w:rFonts w:ascii="Arial Narrow" w:hAnsi="Arial Narrow" w:cs="Times New Roman"/>
                <w:b/>
                <w:sz w:val="18"/>
                <w:szCs w:val="18"/>
              </w:rPr>
              <w:t>Available brands</w:t>
            </w:r>
          </w:p>
        </w:tc>
      </w:tr>
      <w:tr w:rsidR="00870F84" w:rsidRPr="00870F84" w14:paraId="04E5FC6C" w14:textId="77777777" w:rsidTr="006D1A95">
        <w:trPr>
          <w:trHeight w:val="83"/>
        </w:trPr>
        <w:tc>
          <w:tcPr>
            <w:tcW w:w="9209" w:type="dxa"/>
            <w:gridSpan w:val="7"/>
            <w:hideMark/>
          </w:tcPr>
          <w:p w14:paraId="365563E4" w14:textId="77777777" w:rsidR="00870F84" w:rsidRPr="00870F84" w:rsidRDefault="00870F84" w:rsidP="00870F84">
            <w:pPr>
              <w:keepNext/>
              <w:ind w:left="-57"/>
              <w:jc w:val="left"/>
              <w:rPr>
                <w:rFonts w:ascii="Arial Narrow" w:eastAsia="Calibri" w:hAnsi="Arial Narrow" w:cs="Times New Roman"/>
                <w:sz w:val="18"/>
                <w:szCs w:val="18"/>
              </w:rPr>
            </w:pPr>
            <w:r w:rsidRPr="00870F84">
              <w:rPr>
                <w:rFonts w:ascii="Arial Narrow" w:eastAsia="Calibri" w:hAnsi="Arial Narrow" w:cs="Times New Roman"/>
                <w:sz w:val="18"/>
                <w:szCs w:val="18"/>
              </w:rPr>
              <w:t>OZANIMOD</w:t>
            </w:r>
          </w:p>
        </w:tc>
      </w:tr>
      <w:tr w:rsidR="00870F84" w:rsidRPr="00870F84" w14:paraId="609458AA" w14:textId="77777777" w:rsidTr="006D1A95">
        <w:trPr>
          <w:trHeight w:val="270"/>
        </w:trPr>
        <w:tc>
          <w:tcPr>
            <w:tcW w:w="3960" w:type="dxa"/>
            <w:gridSpan w:val="2"/>
            <w:hideMark/>
          </w:tcPr>
          <w:p w14:paraId="06115F81" w14:textId="77777777" w:rsidR="00870F84" w:rsidRPr="00870F84" w:rsidRDefault="00870F84" w:rsidP="00870F84">
            <w:pPr>
              <w:keepNext/>
              <w:ind w:left="-57"/>
              <w:jc w:val="left"/>
              <w:rPr>
                <w:rFonts w:ascii="Arial Narrow" w:hAnsi="Arial Narrow" w:cs="Calibri"/>
                <w:sz w:val="18"/>
                <w:szCs w:val="18"/>
              </w:rPr>
            </w:pPr>
            <w:r w:rsidRPr="00870F84">
              <w:rPr>
                <w:rFonts w:ascii="Arial Narrow" w:hAnsi="Arial Narrow" w:cs="Calibri"/>
                <w:color w:val="222222"/>
                <w:sz w:val="18"/>
                <w:szCs w:val="18"/>
                <w:bdr w:val="none" w:sz="0" w:space="0" w:color="auto" w:frame="1"/>
              </w:rPr>
              <w:t>ozanimod 230 microgram capsule [4] (&amp;) ozanimod 460 microgram capsule [3], 7</w:t>
            </w:r>
            <w:r w:rsidRPr="00870F84">
              <w:rPr>
                <w:rFonts w:ascii="Arial Narrow" w:hAnsi="Arial Narrow" w:cs="Calibri"/>
                <w:color w:val="222222"/>
                <w:sz w:val="18"/>
                <w:szCs w:val="18"/>
                <w:shd w:val="clear" w:color="auto" w:fill="EEEEEE"/>
              </w:rPr>
              <w:t> </w:t>
            </w:r>
          </w:p>
        </w:tc>
        <w:tc>
          <w:tcPr>
            <w:tcW w:w="992" w:type="dxa"/>
            <w:hideMark/>
          </w:tcPr>
          <w:p w14:paraId="6389880A" w14:textId="77777777" w:rsidR="00870F84" w:rsidRPr="00870F84" w:rsidRDefault="00870F84" w:rsidP="00870F84">
            <w:pPr>
              <w:keepNext/>
              <w:jc w:val="center"/>
              <w:rPr>
                <w:rFonts w:ascii="Arial Narrow" w:hAnsi="Arial Narrow" w:cs="Times New Roman"/>
                <w:sz w:val="18"/>
                <w:szCs w:val="18"/>
              </w:rPr>
            </w:pPr>
            <w:r w:rsidRPr="00870F84">
              <w:rPr>
                <w:rFonts w:ascii="Arial Narrow" w:hAnsi="Arial Narrow" w:cs="Times New Roman"/>
                <w:sz w:val="18"/>
                <w:szCs w:val="18"/>
              </w:rPr>
              <w:t>12278F</w:t>
            </w:r>
          </w:p>
        </w:tc>
        <w:tc>
          <w:tcPr>
            <w:tcW w:w="849" w:type="dxa"/>
            <w:hideMark/>
          </w:tcPr>
          <w:p w14:paraId="2E34DFF8" w14:textId="77777777" w:rsidR="00870F84" w:rsidRPr="00870F84" w:rsidRDefault="00870F84" w:rsidP="00870F84">
            <w:pPr>
              <w:keepNext/>
              <w:jc w:val="center"/>
              <w:rPr>
                <w:rFonts w:ascii="Arial Narrow" w:hAnsi="Arial Narrow" w:cs="Times New Roman"/>
                <w:sz w:val="18"/>
                <w:szCs w:val="18"/>
              </w:rPr>
            </w:pPr>
            <w:r w:rsidRPr="00870F84">
              <w:rPr>
                <w:rFonts w:ascii="Arial Narrow" w:hAnsi="Arial Narrow" w:cs="Times New Roman"/>
                <w:sz w:val="18"/>
                <w:szCs w:val="18"/>
              </w:rPr>
              <w:t>1</w:t>
            </w:r>
          </w:p>
        </w:tc>
        <w:tc>
          <w:tcPr>
            <w:tcW w:w="857" w:type="dxa"/>
            <w:hideMark/>
          </w:tcPr>
          <w:p w14:paraId="3D80FBFE" w14:textId="77777777" w:rsidR="00870F84" w:rsidRPr="00870F84" w:rsidRDefault="00870F84" w:rsidP="00870F84">
            <w:pPr>
              <w:keepNext/>
              <w:jc w:val="center"/>
              <w:rPr>
                <w:rFonts w:ascii="Arial Narrow" w:hAnsi="Arial Narrow" w:cs="Times New Roman"/>
                <w:sz w:val="18"/>
                <w:szCs w:val="18"/>
              </w:rPr>
            </w:pPr>
            <w:r w:rsidRPr="00870F84">
              <w:rPr>
                <w:rFonts w:ascii="Arial Narrow" w:hAnsi="Arial Narrow" w:cs="Times New Roman"/>
                <w:sz w:val="18"/>
                <w:szCs w:val="18"/>
              </w:rPr>
              <w:t>1</w:t>
            </w:r>
          </w:p>
        </w:tc>
        <w:tc>
          <w:tcPr>
            <w:tcW w:w="992" w:type="dxa"/>
            <w:hideMark/>
          </w:tcPr>
          <w:p w14:paraId="18502361" w14:textId="77777777" w:rsidR="00870F84" w:rsidRPr="00870F84" w:rsidRDefault="00870F84" w:rsidP="00870F84">
            <w:pPr>
              <w:keepNext/>
              <w:jc w:val="center"/>
              <w:rPr>
                <w:rFonts w:ascii="Arial Narrow" w:hAnsi="Arial Narrow" w:cs="Times New Roman"/>
                <w:sz w:val="18"/>
                <w:szCs w:val="18"/>
              </w:rPr>
            </w:pPr>
            <w:r w:rsidRPr="00870F84">
              <w:rPr>
                <w:rFonts w:ascii="Arial Narrow" w:hAnsi="Arial Narrow" w:cs="Times New Roman"/>
                <w:sz w:val="18"/>
                <w:szCs w:val="18"/>
              </w:rPr>
              <w:t>0</w:t>
            </w:r>
          </w:p>
        </w:tc>
        <w:tc>
          <w:tcPr>
            <w:tcW w:w="1559" w:type="dxa"/>
            <w:hideMark/>
          </w:tcPr>
          <w:p w14:paraId="556A0D7D" w14:textId="77777777" w:rsidR="00870F84" w:rsidRPr="00870F84" w:rsidRDefault="00870F84" w:rsidP="00870F84">
            <w:pPr>
              <w:keepNext/>
              <w:jc w:val="left"/>
              <w:rPr>
                <w:rFonts w:ascii="Arial Narrow" w:hAnsi="Arial Narrow" w:cs="Times New Roman"/>
                <w:sz w:val="18"/>
                <w:szCs w:val="18"/>
              </w:rPr>
            </w:pPr>
            <w:proofErr w:type="spellStart"/>
            <w:r w:rsidRPr="00870F84">
              <w:rPr>
                <w:rFonts w:ascii="Arial Narrow" w:hAnsi="Arial Narrow" w:cs="Times New Roman"/>
                <w:sz w:val="18"/>
                <w:szCs w:val="18"/>
              </w:rPr>
              <w:t>Zeposia</w:t>
            </w:r>
            <w:proofErr w:type="spellEnd"/>
          </w:p>
        </w:tc>
      </w:tr>
      <w:tr w:rsidR="00870F84" w:rsidRPr="00870F84" w14:paraId="2638E13D" w14:textId="77777777" w:rsidTr="006D1A95">
        <w:tc>
          <w:tcPr>
            <w:tcW w:w="9209" w:type="dxa"/>
            <w:gridSpan w:val="7"/>
            <w:hideMark/>
          </w:tcPr>
          <w:p w14:paraId="5F644F08" w14:textId="77777777" w:rsidR="00870F84" w:rsidRPr="00870F84" w:rsidRDefault="00870F84" w:rsidP="00870F84">
            <w:pPr>
              <w:spacing w:line="256" w:lineRule="auto"/>
              <w:jc w:val="left"/>
              <w:rPr>
                <w:rFonts w:ascii="Arial Narrow" w:hAnsi="Arial Narrow" w:cs="Times New Roman"/>
                <w:sz w:val="18"/>
                <w:szCs w:val="18"/>
              </w:rPr>
            </w:pPr>
          </w:p>
        </w:tc>
      </w:tr>
      <w:tr w:rsidR="00870F84" w:rsidRPr="00870F84" w14:paraId="156701F8" w14:textId="77777777" w:rsidTr="006D1A95">
        <w:tc>
          <w:tcPr>
            <w:tcW w:w="9209" w:type="dxa"/>
            <w:gridSpan w:val="7"/>
            <w:hideMark/>
          </w:tcPr>
          <w:p w14:paraId="6F25BA3F" w14:textId="77777777" w:rsidR="00870F84" w:rsidRPr="00870F84" w:rsidRDefault="00870F84" w:rsidP="00870F84">
            <w:pPr>
              <w:spacing w:line="256" w:lineRule="auto"/>
              <w:jc w:val="left"/>
              <w:rPr>
                <w:rFonts w:ascii="Arial Narrow" w:hAnsi="Arial Narrow" w:cs="Times New Roman"/>
                <w:b/>
                <w:sz w:val="18"/>
                <w:szCs w:val="18"/>
              </w:rPr>
            </w:pPr>
            <w:r w:rsidRPr="00870F84">
              <w:rPr>
                <w:rFonts w:ascii="Arial Narrow" w:hAnsi="Arial Narrow" w:cs="Times New Roman"/>
                <w:b/>
                <w:sz w:val="18"/>
                <w:szCs w:val="18"/>
              </w:rPr>
              <w:t xml:space="preserve">Restriction Summary TMP24885  / Treatment of Concept: TMP24884 </w:t>
            </w:r>
          </w:p>
        </w:tc>
      </w:tr>
      <w:tr w:rsidR="00870F84" w:rsidRPr="00870F84" w14:paraId="06A5A993" w14:textId="77777777" w:rsidTr="006D1A95">
        <w:tc>
          <w:tcPr>
            <w:tcW w:w="1129" w:type="dxa"/>
            <w:vMerge w:val="restart"/>
          </w:tcPr>
          <w:p w14:paraId="2BC33CF8" w14:textId="77777777" w:rsidR="00870F84" w:rsidRPr="00870F84" w:rsidRDefault="00870F84" w:rsidP="00870F84">
            <w:pPr>
              <w:spacing w:line="256" w:lineRule="auto"/>
              <w:jc w:val="center"/>
              <w:rPr>
                <w:rFonts w:ascii="Arial Narrow" w:hAnsi="Arial Narrow" w:cs="Times New Roman"/>
                <w:b/>
                <w:sz w:val="18"/>
                <w:szCs w:val="18"/>
              </w:rPr>
            </w:pPr>
            <w:r w:rsidRPr="00870F84">
              <w:rPr>
                <w:rFonts w:ascii="Arial Narrow" w:hAnsi="Arial Narrow" w:cs="Times New Roman"/>
                <w:b/>
                <w:sz w:val="18"/>
                <w:szCs w:val="18"/>
              </w:rPr>
              <w:t>Concept ID</w:t>
            </w:r>
          </w:p>
          <w:p w14:paraId="7C06C092" w14:textId="77777777" w:rsidR="00870F84" w:rsidRPr="00870F84" w:rsidRDefault="00870F84" w:rsidP="00870F84">
            <w:pPr>
              <w:spacing w:line="256" w:lineRule="auto"/>
              <w:jc w:val="center"/>
              <w:rPr>
                <w:rFonts w:ascii="Arial Narrow" w:hAnsi="Arial Narrow" w:cs="Times New Roman"/>
                <w:sz w:val="18"/>
                <w:szCs w:val="18"/>
              </w:rPr>
            </w:pPr>
            <w:r w:rsidRPr="00870F84">
              <w:rPr>
                <w:rFonts w:ascii="Arial Narrow" w:hAnsi="Arial Narrow" w:cs="Times New Roman"/>
                <w:sz w:val="18"/>
                <w:szCs w:val="18"/>
              </w:rPr>
              <w:t>(</w:t>
            </w:r>
            <w:proofErr w:type="gramStart"/>
            <w:r w:rsidRPr="00870F84">
              <w:rPr>
                <w:rFonts w:ascii="Arial Narrow" w:hAnsi="Arial Narrow" w:cs="Times New Roman"/>
                <w:sz w:val="18"/>
                <w:szCs w:val="18"/>
              </w:rPr>
              <w:t>for</w:t>
            </w:r>
            <w:proofErr w:type="gramEnd"/>
            <w:r w:rsidRPr="00870F84">
              <w:rPr>
                <w:rFonts w:ascii="Arial Narrow" w:hAnsi="Arial Narrow" w:cs="Times New Roman"/>
                <w:sz w:val="18"/>
                <w:szCs w:val="18"/>
              </w:rPr>
              <w:t xml:space="preserve"> internal Dept. use)</w:t>
            </w:r>
          </w:p>
        </w:tc>
        <w:tc>
          <w:tcPr>
            <w:tcW w:w="8080" w:type="dxa"/>
            <w:gridSpan w:val="6"/>
            <w:hideMark/>
          </w:tcPr>
          <w:p w14:paraId="2A169002" w14:textId="77777777" w:rsidR="00870F84" w:rsidRPr="00870F84" w:rsidRDefault="00870F84" w:rsidP="00870F84">
            <w:pPr>
              <w:spacing w:line="256" w:lineRule="auto"/>
              <w:jc w:val="left"/>
              <w:rPr>
                <w:rFonts w:ascii="Arial Narrow" w:hAnsi="Arial Narrow" w:cs="Times New Roman"/>
                <w:sz w:val="18"/>
                <w:szCs w:val="18"/>
              </w:rPr>
            </w:pPr>
            <w:r w:rsidRPr="00870F84">
              <w:rPr>
                <w:rFonts w:ascii="Arial Narrow" w:hAnsi="Arial Narrow" w:cs="Times New Roman"/>
                <w:b/>
                <w:sz w:val="18"/>
                <w:szCs w:val="18"/>
              </w:rPr>
              <w:t xml:space="preserve">Category / Program:   </w:t>
            </w:r>
            <w:r w:rsidRPr="00870F84">
              <w:rPr>
                <w:rFonts w:ascii="Arial Narrow" w:hAnsi="Arial Narrow" w:cs="Times New Roman"/>
                <w:sz w:val="18"/>
                <w:szCs w:val="18"/>
              </w:rPr>
              <w:t>GENERAL – General Schedule (Code GE)</w:t>
            </w:r>
            <w:r w:rsidRPr="00870F84">
              <w:rPr>
                <w:rFonts w:ascii="Arial Narrow" w:hAnsi="Arial Narrow" w:cs="Times New Roman"/>
                <w:color w:val="FF0000"/>
                <w:sz w:val="18"/>
                <w:szCs w:val="18"/>
              </w:rPr>
              <w:t xml:space="preserve"> </w:t>
            </w:r>
          </w:p>
          <w:p w14:paraId="3E9F7704" w14:textId="77777777" w:rsidR="00870F84" w:rsidRPr="00870F84" w:rsidRDefault="00870F84" w:rsidP="00870F84">
            <w:pPr>
              <w:spacing w:line="256" w:lineRule="auto"/>
              <w:jc w:val="left"/>
              <w:rPr>
                <w:rFonts w:ascii="Arial Narrow" w:hAnsi="Arial Narrow" w:cs="Times New Roman"/>
                <w:sz w:val="18"/>
                <w:szCs w:val="18"/>
              </w:rPr>
            </w:pPr>
          </w:p>
        </w:tc>
      </w:tr>
      <w:tr w:rsidR="00870F84" w:rsidRPr="00870F84" w14:paraId="439D7E4A" w14:textId="77777777" w:rsidTr="006D1A95">
        <w:trPr>
          <w:trHeight w:val="240"/>
        </w:trPr>
        <w:tc>
          <w:tcPr>
            <w:tcW w:w="1129" w:type="dxa"/>
            <w:vMerge/>
            <w:hideMark/>
          </w:tcPr>
          <w:p w14:paraId="1C672D11" w14:textId="77777777" w:rsidR="00870F84" w:rsidRPr="00870F84" w:rsidRDefault="00870F84" w:rsidP="00870F84">
            <w:pPr>
              <w:spacing w:line="256" w:lineRule="auto"/>
              <w:jc w:val="left"/>
              <w:rPr>
                <w:rFonts w:ascii="Arial Narrow" w:hAnsi="Arial Narrow" w:cs="Times New Roman"/>
                <w:b/>
                <w:sz w:val="18"/>
                <w:szCs w:val="18"/>
              </w:rPr>
            </w:pPr>
          </w:p>
        </w:tc>
        <w:tc>
          <w:tcPr>
            <w:tcW w:w="8080" w:type="dxa"/>
            <w:gridSpan w:val="6"/>
            <w:hideMark/>
          </w:tcPr>
          <w:p w14:paraId="3D38B5A6" w14:textId="77777777" w:rsidR="00870F84" w:rsidRPr="00870F84" w:rsidRDefault="00870F84" w:rsidP="00870F84">
            <w:pPr>
              <w:spacing w:line="256" w:lineRule="auto"/>
              <w:jc w:val="left"/>
              <w:rPr>
                <w:rFonts w:ascii="Arial Narrow" w:hAnsi="Arial Narrow" w:cs="Times New Roman"/>
                <w:b/>
                <w:sz w:val="18"/>
                <w:szCs w:val="18"/>
              </w:rPr>
            </w:pPr>
            <w:r w:rsidRPr="00870F84">
              <w:rPr>
                <w:rFonts w:ascii="Arial Narrow" w:hAnsi="Arial Narrow" w:cs="Times New Roman"/>
                <w:b/>
                <w:sz w:val="18"/>
                <w:szCs w:val="18"/>
              </w:rPr>
              <w:t>Prescriber type:</w:t>
            </w:r>
            <w:r w:rsidRPr="00870F84">
              <w:rPr>
                <w:rFonts w:ascii="Arial Narrow" w:hAnsi="Arial Narrow" w:cs="Times New Roman"/>
                <w:sz w:val="18"/>
                <w:szCs w:val="18"/>
              </w:rPr>
              <w:t xml:space="preserve">    </w:t>
            </w:r>
            <w:r w:rsidRPr="00870F84">
              <w:rPr>
                <w:rFonts w:ascii="Arial Narrow" w:hAnsi="Arial Narrow" w:cs="Times New Roman"/>
                <w:sz w:val="18"/>
                <w:szCs w:val="18"/>
              </w:rPr>
              <w:fldChar w:fldCharType="begin">
                <w:ffData>
                  <w:name w:val=""/>
                  <w:enabled/>
                  <w:calcOnExit w:val="0"/>
                  <w:checkBox>
                    <w:sizeAuto/>
                    <w:default w:val="1"/>
                  </w:checkBox>
                </w:ffData>
              </w:fldChar>
            </w:r>
            <w:r w:rsidRPr="00870F84">
              <w:rPr>
                <w:rFonts w:ascii="Arial Narrow" w:hAnsi="Arial Narrow" w:cs="Times New Roman"/>
                <w:sz w:val="18"/>
                <w:szCs w:val="18"/>
              </w:rPr>
              <w:instrText xml:space="preserve"> FORMCHECKBOX </w:instrText>
            </w:r>
            <w:r w:rsidR="00340AC7">
              <w:rPr>
                <w:rFonts w:ascii="Arial Narrow" w:hAnsi="Arial Narrow" w:cs="Times New Roman"/>
                <w:sz w:val="18"/>
                <w:szCs w:val="18"/>
              </w:rPr>
            </w:r>
            <w:r w:rsidR="00340AC7">
              <w:rPr>
                <w:rFonts w:ascii="Arial Narrow" w:hAnsi="Arial Narrow" w:cs="Times New Roman"/>
                <w:sz w:val="18"/>
                <w:szCs w:val="18"/>
              </w:rPr>
              <w:fldChar w:fldCharType="separate"/>
            </w:r>
            <w:r w:rsidRPr="00870F84">
              <w:rPr>
                <w:rFonts w:ascii="Arial Narrow" w:hAnsi="Arial Narrow" w:cs="Times New Roman"/>
                <w:sz w:val="18"/>
                <w:szCs w:val="18"/>
              </w:rPr>
              <w:fldChar w:fldCharType="end"/>
            </w:r>
            <w:r w:rsidRPr="00870F84">
              <w:rPr>
                <w:rFonts w:ascii="Arial Narrow" w:hAnsi="Arial Narrow" w:cs="Times New Roman"/>
                <w:sz w:val="18"/>
                <w:szCs w:val="18"/>
              </w:rPr>
              <w:t xml:space="preserve">Medical Practitioners    </w:t>
            </w:r>
          </w:p>
        </w:tc>
      </w:tr>
      <w:tr w:rsidR="00870F84" w:rsidRPr="00870F84" w14:paraId="7679B3D6" w14:textId="77777777" w:rsidTr="006D1A95">
        <w:trPr>
          <w:trHeight w:val="302"/>
        </w:trPr>
        <w:tc>
          <w:tcPr>
            <w:tcW w:w="1129" w:type="dxa"/>
            <w:vMerge/>
            <w:hideMark/>
          </w:tcPr>
          <w:p w14:paraId="0C02C6AF" w14:textId="77777777" w:rsidR="00870F84" w:rsidRPr="00870F84" w:rsidRDefault="00870F84" w:rsidP="00870F84">
            <w:pPr>
              <w:spacing w:line="256" w:lineRule="auto"/>
              <w:jc w:val="left"/>
              <w:rPr>
                <w:rFonts w:ascii="Arial Narrow" w:hAnsi="Arial Narrow" w:cs="Times New Roman"/>
                <w:b/>
                <w:sz w:val="18"/>
                <w:szCs w:val="18"/>
              </w:rPr>
            </w:pPr>
          </w:p>
        </w:tc>
        <w:tc>
          <w:tcPr>
            <w:tcW w:w="8080" w:type="dxa"/>
            <w:gridSpan w:val="6"/>
            <w:hideMark/>
          </w:tcPr>
          <w:p w14:paraId="618CED55" w14:textId="77777777" w:rsidR="00870F84" w:rsidRPr="00870F84" w:rsidRDefault="00870F84" w:rsidP="00870F84">
            <w:pPr>
              <w:spacing w:line="256" w:lineRule="auto"/>
              <w:jc w:val="left"/>
              <w:rPr>
                <w:rFonts w:ascii="Arial Narrow" w:eastAsia="Calibri" w:hAnsi="Arial Narrow" w:cs="Times New Roman"/>
                <w:color w:val="FF00FF"/>
                <w:sz w:val="18"/>
                <w:szCs w:val="18"/>
              </w:rPr>
            </w:pPr>
            <w:r w:rsidRPr="00870F84">
              <w:rPr>
                <w:rFonts w:ascii="Arial Narrow" w:hAnsi="Arial Narrow" w:cs="Times New Roman"/>
                <w:b/>
                <w:sz w:val="18"/>
                <w:szCs w:val="18"/>
              </w:rPr>
              <w:t xml:space="preserve">Restriction type: </w:t>
            </w:r>
            <w:r w:rsidRPr="00870F84">
              <w:rPr>
                <w:rFonts w:ascii="Arial Narrow" w:eastAsia="Calibri" w:hAnsi="Arial Narrow" w:cs="Times New Roman"/>
                <w:sz w:val="18"/>
                <w:szCs w:val="18"/>
              </w:rPr>
              <w:fldChar w:fldCharType="begin">
                <w:ffData>
                  <w:name w:val=""/>
                  <w:enabled/>
                  <w:calcOnExit w:val="0"/>
                  <w:checkBox>
                    <w:sizeAuto/>
                    <w:default w:val="1"/>
                  </w:checkBox>
                </w:ffData>
              </w:fldChar>
            </w:r>
            <w:r w:rsidRPr="00870F84">
              <w:rPr>
                <w:rFonts w:ascii="Arial Narrow" w:eastAsia="Calibri" w:hAnsi="Arial Narrow" w:cs="Times New Roman"/>
                <w:sz w:val="18"/>
                <w:szCs w:val="18"/>
              </w:rPr>
              <w:instrText xml:space="preserve"> FORMCHECKBOX </w:instrText>
            </w:r>
            <w:r w:rsidR="00340AC7">
              <w:rPr>
                <w:rFonts w:ascii="Arial Narrow" w:eastAsia="Calibri" w:hAnsi="Arial Narrow" w:cs="Times New Roman"/>
                <w:sz w:val="18"/>
                <w:szCs w:val="18"/>
              </w:rPr>
            </w:r>
            <w:r w:rsidR="00340AC7">
              <w:rPr>
                <w:rFonts w:ascii="Arial Narrow" w:eastAsia="Calibri" w:hAnsi="Arial Narrow" w:cs="Times New Roman"/>
                <w:sz w:val="18"/>
                <w:szCs w:val="18"/>
              </w:rPr>
              <w:fldChar w:fldCharType="separate"/>
            </w:r>
            <w:r w:rsidRPr="00870F84">
              <w:rPr>
                <w:rFonts w:ascii="Arial Narrow" w:eastAsia="Calibri" w:hAnsi="Arial Narrow" w:cs="Times New Roman"/>
                <w:sz w:val="18"/>
                <w:szCs w:val="18"/>
              </w:rPr>
              <w:fldChar w:fldCharType="end"/>
            </w:r>
            <w:r w:rsidRPr="00870F84">
              <w:rPr>
                <w:rFonts w:ascii="Arial Narrow" w:eastAsia="Calibri" w:hAnsi="Arial Narrow" w:cs="Times New Roman"/>
                <w:sz w:val="18"/>
                <w:szCs w:val="18"/>
              </w:rPr>
              <w:t>Authority Required (STREAMLINED – NEW CODE)</w:t>
            </w:r>
          </w:p>
        </w:tc>
      </w:tr>
    </w:tbl>
    <w:tbl>
      <w:tblPr>
        <w:tblStyle w:val="LashStyleTable2"/>
        <w:tblW w:w="9209" w:type="dxa"/>
        <w:tblInd w:w="0" w:type="dxa"/>
        <w:tblLook w:val="04A0" w:firstRow="1" w:lastRow="0" w:firstColumn="1" w:lastColumn="0" w:noHBand="0" w:noVBand="1"/>
      </w:tblPr>
      <w:tblGrid>
        <w:gridCol w:w="1129"/>
        <w:gridCol w:w="8080"/>
      </w:tblGrid>
      <w:tr w:rsidR="00870F84" w:rsidRPr="00870F84" w14:paraId="61E58537" w14:textId="77777777" w:rsidTr="006D1A95">
        <w:tc>
          <w:tcPr>
            <w:tcW w:w="1129" w:type="dxa"/>
          </w:tcPr>
          <w:p w14:paraId="35F51067" w14:textId="77777777"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tcPr>
          <w:p w14:paraId="15831C68" w14:textId="77777777" w:rsidR="00870F84" w:rsidRPr="00870F84" w:rsidRDefault="00870F84" w:rsidP="00870F84">
            <w:pPr>
              <w:spacing w:line="256" w:lineRule="auto"/>
              <w:jc w:val="left"/>
              <w:textAlignment w:val="baseline"/>
              <w:rPr>
                <w:rFonts w:ascii="Arial Narrow" w:hAnsi="Arial Narrow" w:cs="Open Sans"/>
                <w:b/>
                <w:bCs/>
                <w:color w:val="333333"/>
                <w:sz w:val="18"/>
                <w:szCs w:val="18"/>
                <w:bdr w:val="none" w:sz="0" w:space="0" w:color="auto" w:frame="1"/>
              </w:rPr>
            </w:pPr>
          </w:p>
        </w:tc>
      </w:tr>
      <w:tr w:rsidR="00870F84" w:rsidRPr="00870F84" w14:paraId="7F28D113" w14:textId="77777777" w:rsidTr="00955601">
        <w:tc>
          <w:tcPr>
            <w:tcW w:w="1129" w:type="dxa"/>
          </w:tcPr>
          <w:p w14:paraId="3D347B1A" w14:textId="4AA60CA5"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21637268"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 xml:space="preserve">Indication: </w:t>
            </w:r>
            <w:r w:rsidRPr="00870F84">
              <w:rPr>
                <w:rFonts w:ascii="Arial Narrow" w:hAnsi="Arial Narrow" w:cs="Open Sans"/>
                <w:color w:val="333333"/>
                <w:sz w:val="18"/>
                <w:szCs w:val="18"/>
                <w:bdr w:val="none" w:sz="0" w:space="0" w:color="auto" w:frame="1"/>
              </w:rPr>
              <w:t>Moderate to severe ulcerative colitis</w:t>
            </w:r>
            <w:r w:rsidRPr="00870F84">
              <w:rPr>
                <w:rFonts w:ascii="Arial Narrow" w:hAnsi="Arial Narrow" w:cs="Open Sans"/>
                <w:b/>
                <w:bCs/>
                <w:color w:val="333333"/>
                <w:sz w:val="18"/>
                <w:szCs w:val="18"/>
                <w:bdr w:val="none" w:sz="0" w:space="0" w:color="auto" w:frame="1"/>
              </w:rPr>
              <w:t xml:space="preserve"> </w:t>
            </w:r>
          </w:p>
        </w:tc>
      </w:tr>
      <w:tr w:rsidR="00870F84" w:rsidRPr="00870F84" w14:paraId="160EFC98" w14:textId="77777777" w:rsidTr="006D1A95">
        <w:tc>
          <w:tcPr>
            <w:tcW w:w="1129" w:type="dxa"/>
          </w:tcPr>
          <w:p w14:paraId="5BE9C92D" w14:textId="77777777"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tcPr>
          <w:p w14:paraId="32D7A62E" w14:textId="77777777" w:rsidR="00870F84" w:rsidRPr="00870F84" w:rsidRDefault="00870F84" w:rsidP="00870F84">
            <w:pPr>
              <w:spacing w:line="256" w:lineRule="auto"/>
              <w:jc w:val="left"/>
              <w:textAlignment w:val="baseline"/>
              <w:rPr>
                <w:rFonts w:ascii="Arial Narrow" w:hAnsi="Arial Narrow" w:cs="Open Sans"/>
                <w:b/>
                <w:bCs/>
                <w:color w:val="333333"/>
                <w:sz w:val="18"/>
                <w:szCs w:val="18"/>
                <w:bdr w:val="none" w:sz="0" w:space="0" w:color="auto" w:frame="1"/>
              </w:rPr>
            </w:pPr>
          </w:p>
        </w:tc>
      </w:tr>
      <w:tr w:rsidR="00870F84" w:rsidRPr="00870F84" w14:paraId="3BFEE72A" w14:textId="77777777" w:rsidTr="00955601">
        <w:tc>
          <w:tcPr>
            <w:tcW w:w="1129" w:type="dxa"/>
          </w:tcPr>
          <w:p w14:paraId="57FD0A71" w14:textId="77777777" w:rsidR="00870F84" w:rsidRPr="00870F84" w:rsidRDefault="00870F84" w:rsidP="00870F84">
            <w:pPr>
              <w:spacing w:line="256" w:lineRule="auto"/>
              <w:jc w:val="center"/>
              <w:rPr>
                <w:rFonts w:ascii="Arial Narrow" w:hAnsi="Arial Narrow" w:cs="Open Sans"/>
                <w:color w:val="333333"/>
                <w:sz w:val="18"/>
                <w:szCs w:val="18"/>
              </w:rPr>
            </w:pPr>
          </w:p>
        </w:tc>
        <w:tc>
          <w:tcPr>
            <w:tcW w:w="8080" w:type="dxa"/>
            <w:hideMark/>
          </w:tcPr>
          <w:p w14:paraId="218665DF"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 xml:space="preserve">Treatment Phase: </w:t>
            </w:r>
            <w:r w:rsidRPr="00870F84">
              <w:rPr>
                <w:rFonts w:ascii="Arial Narrow" w:hAnsi="Arial Narrow" w:cs="Open Sans"/>
                <w:color w:val="333333"/>
                <w:sz w:val="18"/>
                <w:szCs w:val="18"/>
                <w:bdr w:val="none" w:sz="0" w:space="0" w:color="auto" w:frame="1"/>
              </w:rPr>
              <w:t>Dose escalation occurring at initial treatment, or re-initiation of treatment</w:t>
            </w:r>
          </w:p>
        </w:tc>
      </w:tr>
      <w:tr w:rsidR="00870F84" w:rsidRPr="00870F84" w14:paraId="067AF11F" w14:textId="77777777" w:rsidTr="006D1A95">
        <w:tc>
          <w:tcPr>
            <w:tcW w:w="1129" w:type="dxa"/>
          </w:tcPr>
          <w:p w14:paraId="3CF71737" w14:textId="77777777" w:rsidR="00870F84" w:rsidRPr="00870F84" w:rsidRDefault="00870F84" w:rsidP="00870F84">
            <w:pPr>
              <w:spacing w:line="256" w:lineRule="auto"/>
              <w:jc w:val="center"/>
              <w:rPr>
                <w:rFonts w:ascii="Arial Narrow" w:hAnsi="Arial Narrow" w:cs="Open Sans"/>
                <w:color w:val="333333"/>
                <w:sz w:val="18"/>
                <w:szCs w:val="18"/>
              </w:rPr>
            </w:pPr>
          </w:p>
        </w:tc>
        <w:tc>
          <w:tcPr>
            <w:tcW w:w="8080" w:type="dxa"/>
          </w:tcPr>
          <w:p w14:paraId="6E427477" w14:textId="77777777" w:rsidR="00870F84" w:rsidRPr="00870F84" w:rsidRDefault="00870F84" w:rsidP="00870F84">
            <w:pPr>
              <w:spacing w:line="256" w:lineRule="auto"/>
              <w:jc w:val="left"/>
              <w:textAlignment w:val="baseline"/>
              <w:rPr>
                <w:rFonts w:ascii="Arial Narrow" w:hAnsi="Arial Narrow" w:cs="Open Sans"/>
                <w:b/>
                <w:bCs/>
                <w:color w:val="333333"/>
                <w:sz w:val="18"/>
                <w:szCs w:val="18"/>
                <w:bdr w:val="none" w:sz="0" w:space="0" w:color="auto" w:frame="1"/>
              </w:rPr>
            </w:pPr>
          </w:p>
        </w:tc>
      </w:tr>
      <w:tr w:rsidR="00870F84" w:rsidRPr="00870F84" w14:paraId="65D90C42" w14:textId="77777777" w:rsidTr="00955601">
        <w:tc>
          <w:tcPr>
            <w:tcW w:w="1129" w:type="dxa"/>
          </w:tcPr>
          <w:p w14:paraId="3580D75A" w14:textId="5F40025C"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2AD26E2A"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bdr w:val="none" w:sz="0" w:space="0" w:color="auto" w:frame="1"/>
              </w:rPr>
              <w:t>Treatment criteria:</w:t>
            </w:r>
          </w:p>
        </w:tc>
      </w:tr>
      <w:tr w:rsidR="00870F84" w:rsidRPr="00870F84" w14:paraId="652B42F0" w14:textId="77777777" w:rsidTr="00955601">
        <w:tc>
          <w:tcPr>
            <w:tcW w:w="1129" w:type="dxa"/>
          </w:tcPr>
          <w:p w14:paraId="52B8395C" w14:textId="35A77D42"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007D6228"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color w:val="333333"/>
                <w:sz w:val="18"/>
                <w:szCs w:val="18"/>
              </w:rPr>
              <w:t xml:space="preserve"> Must be treated by a gastroenterologist (code 87); or</w:t>
            </w:r>
          </w:p>
        </w:tc>
      </w:tr>
      <w:tr w:rsidR="00870F84" w:rsidRPr="00870F84" w14:paraId="53B32B51" w14:textId="77777777" w:rsidTr="00955601">
        <w:tc>
          <w:tcPr>
            <w:tcW w:w="1129" w:type="dxa"/>
          </w:tcPr>
          <w:p w14:paraId="47B3EA0C" w14:textId="757D0DC9"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5C26B323"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color w:val="333333"/>
                <w:sz w:val="18"/>
                <w:szCs w:val="18"/>
              </w:rPr>
              <w:t xml:space="preserve"> Must be treated by a consultant physician [internal medicine specialising in gastroenterology (code 81)]; or</w:t>
            </w:r>
          </w:p>
        </w:tc>
      </w:tr>
      <w:tr w:rsidR="00870F84" w:rsidRPr="00870F84" w14:paraId="192AF936" w14:textId="77777777" w:rsidTr="00955601">
        <w:tc>
          <w:tcPr>
            <w:tcW w:w="1129" w:type="dxa"/>
          </w:tcPr>
          <w:p w14:paraId="1B91A7F5" w14:textId="5986DCCB"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3DE51A33" w14:textId="77777777" w:rsidR="00870F84" w:rsidRPr="00870F84" w:rsidRDefault="00870F84" w:rsidP="00870F84">
            <w:pPr>
              <w:spacing w:line="256" w:lineRule="auto"/>
              <w:jc w:val="left"/>
              <w:rPr>
                <w:rFonts w:ascii="Arial Narrow" w:hAnsi="Arial Narrow" w:cs="Open Sans"/>
                <w:color w:val="333333"/>
                <w:sz w:val="18"/>
                <w:szCs w:val="18"/>
              </w:rPr>
            </w:pPr>
            <w:r w:rsidRPr="00870F84">
              <w:rPr>
                <w:rFonts w:ascii="Arial Narrow" w:hAnsi="Arial Narrow" w:cs="Open Sans"/>
                <w:color w:val="333333"/>
                <w:sz w:val="18"/>
                <w:szCs w:val="18"/>
              </w:rPr>
              <w:t xml:space="preserve"> Must be treated by a consultant physician [general medicine specialising in gastroenterology (code 82)]</w:t>
            </w:r>
          </w:p>
        </w:tc>
      </w:tr>
      <w:tr w:rsidR="00870F84" w:rsidRPr="00870F84" w14:paraId="6A74555C" w14:textId="77777777" w:rsidTr="006D1A95">
        <w:tc>
          <w:tcPr>
            <w:tcW w:w="1129" w:type="dxa"/>
          </w:tcPr>
          <w:p w14:paraId="20A74890" w14:textId="77777777"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tcPr>
          <w:p w14:paraId="4C977BC7" w14:textId="77777777" w:rsidR="00870F84" w:rsidRPr="00870F84" w:rsidRDefault="00870F84" w:rsidP="00870F84">
            <w:pPr>
              <w:spacing w:line="256" w:lineRule="auto"/>
              <w:jc w:val="left"/>
              <w:rPr>
                <w:rFonts w:ascii="Arial Narrow" w:hAnsi="Arial Narrow" w:cs="Open Sans"/>
                <w:color w:val="333333"/>
                <w:sz w:val="18"/>
                <w:szCs w:val="18"/>
              </w:rPr>
            </w:pPr>
          </w:p>
        </w:tc>
      </w:tr>
      <w:tr w:rsidR="00870F84" w:rsidRPr="00870F84" w14:paraId="08B773A8" w14:textId="77777777" w:rsidTr="00955601">
        <w:tc>
          <w:tcPr>
            <w:tcW w:w="1129" w:type="dxa"/>
          </w:tcPr>
          <w:p w14:paraId="0BFBA2FC" w14:textId="77777777"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hideMark/>
          </w:tcPr>
          <w:p w14:paraId="4FA85AFD"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p>
        </w:tc>
      </w:tr>
      <w:tr w:rsidR="00870F84" w:rsidRPr="00870F84" w14:paraId="06A7C2AD" w14:textId="77777777" w:rsidTr="00955601">
        <w:tc>
          <w:tcPr>
            <w:tcW w:w="1129" w:type="dxa"/>
          </w:tcPr>
          <w:p w14:paraId="00DC9C0C" w14:textId="25D12C7E" w:rsidR="00870F84" w:rsidRPr="00870F84" w:rsidRDefault="00870F84" w:rsidP="00870F84">
            <w:pPr>
              <w:spacing w:line="256" w:lineRule="auto"/>
              <w:jc w:val="center"/>
              <w:textAlignment w:val="baseline"/>
              <w:rPr>
                <w:rFonts w:ascii="Arial Narrow" w:hAnsi="Arial Narrow" w:cs="Open Sans"/>
                <w:strike/>
                <w:color w:val="333333"/>
                <w:sz w:val="18"/>
                <w:szCs w:val="18"/>
              </w:rPr>
            </w:pPr>
          </w:p>
        </w:tc>
        <w:tc>
          <w:tcPr>
            <w:tcW w:w="8080" w:type="dxa"/>
            <w:hideMark/>
          </w:tcPr>
          <w:p w14:paraId="2A5B2BB0"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u w:val="single"/>
                <w:bdr w:val="none" w:sz="0" w:space="0" w:color="auto" w:frame="1"/>
              </w:rPr>
              <w:t xml:space="preserve">NOTE: </w:t>
            </w:r>
            <w:r w:rsidRPr="00870F84">
              <w:rPr>
                <w:rFonts w:ascii="Arial Narrow" w:hAnsi="Arial Narrow" w:cs="Times New Roman"/>
                <w:sz w:val="18"/>
                <w:szCs w:val="18"/>
              </w:rPr>
              <w:t>No increase in the maximum quantity or number of units may be authorised.</w:t>
            </w:r>
          </w:p>
        </w:tc>
      </w:tr>
      <w:tr w:rsidR="00870F84" w:rsidRPr="00870F84" w14:paraId="6B1D01EC" w14:textId="77777777" w:rsidTr="006D1A95">
        <w:tc>
          <w:tcPr>
            <w:tcW w:w="1129" w:type="dxa"/>
          </w:tcPr>
          <w:p w14:paraId="6CE42D9D" w14:textId="64A4A1F5" w:rsidR="00870F84" w:rsidRPr="00870F84" w:rsidRDefault="00870F84" w:rsidP="00870F84">
            <w:pPr>
              <w:spacing w:line="256" w:lineRule="auto"/>
              <w:jc w:val="center"/>
              <w:textAlignment w:val="baseline"/>
              <w:rPr>
                <w:rFonts w:ascii="Arial Narrow" w:hAnsi="Arial Narrow" w:cs="Open Sans"/>
                <w:strike/>
                <w:color w:val="333333"/>
                <w:sz w:val="18"/>
                <w:szCs w:val="18"/>
              </w:rPr>
            </w:pPr>
          </w:p>
        </w:tc>
        <w:tc>
          <w:tcPr>
            <w:tcW w:w="8080" w:type="dxa"/>
          </w:tcPr>
          <w:p w14:paraId="08B6E287"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u w:val="single"/>
                <w:bdr w:val="none" w:sz="0" w:space="0" w:color="auto" w:frame="1"/>
              </w:rPr>
              <w:t xml:space="preserve">NOTE: </w:t>
            </w:r>
            <w:r w:rsidRPr="00870F84">
              <w:rPr>
                <w:rFonts w:ascii="Arial Narrow" w:hAnsi="Arial Narrow" w:cs="Open Sans"/>
                <w:color w:val="333333"/>
                <w:sz w:val="18"/>
                <w:szCs w:val="18"/>
                <w:shd w:val="clear" w:color="auto" w:fill="F4F4F4"/>
              </w:rPr>
              <w:t>No increase in the maximum number of repeats may be authorised.</w:t>
            </w:r>
          </w:p>
        </w:tc>
      </w:tr>
      <w:tr w:rsidR="00870F84" w:rsidRPr="00870F84" w14:paraId="3BCF7C19" w14:textId="77777777" w:rsidTr="006D1A95">
        <w:tc>
          <w:tcPr>
            <w:tcW w:w="1129" w:type="dxa"/>
          </w:tcPr>
          <w:p w14:paraId="52DFB35E" w14:textId="1AE61916" w:rsidR="00870F84" w:rsidRPr="00870F84" w:rsidRDefault="00870F84" w:rsidP="00870F84">
            <w:pPr>
              <w:spacing w:line="256" w:lineRule="auto"/>
              <w:jc w:val="center"/>
              <w:textAlignment w:val="baseline"/>
              <w:rPr>
                <w:rFonts w:ascii="Arial Narrow" w:hAnsi="Arial Narrow" w:cs="Open Sans"/>
                <w:strike/>
                <w:color w:val="333333"/>
                <w:sz w:val="18"/>
                <w:szCs w:val="18"/>
              </w:rPr>
            </w:pPr>
          </w:p>
        </w:tc>
        <w:tc>
          <w:tcPr>
            <w:tcW w:w="8080" w:type="dxa"/>
          </w:tcPr>
          <w:p w14:paraId="6AF10812" w14:textId="77777777" w:rsidR="00870F84" w:rsidRPr="00870F84" w:rsidRDefault="00870F84" w:rsidP="00870F84">
            <w:pPr>
              <w:spacing w:line="256" w:lineRule="auto"/>
              <w:jc w:val="left"/>
              <w:textAlignment w:val="baseline"/>
              <w:rPr>
                <w:rFonts w:ascii="Arial Narrow" w:hAnsi="Arial Narrow" w:cs="Open Sans"/>
                <w:color w:val="333333"/>
                <w:sz w:val="18"/>
                <w:szCs w:val="18"/>
              </w:rPr>
            </w:pPr>
            <w:r w:rsidRPr="00870F84">
              <w:rPr>
                <w:rFonts w:ascii="Arial Narrow" w:hAnsi="Arial Narrow" w:cs="Open Sans"/>
                <w:b/>
                <w:bCs/>
                <w:color w:val="333333"/>
                <w:sz w:val="18"/>
                <w:szCs w:val="18"/>
                <w:u w:val="single"/>
                <w:bdr w:val="none" w:sz="0" w:space="0" w:color="auto" w:frame="1"/>
              </w:rPr>
              <w:t xml:space="preserve">NOTE: </w:t>
            </w:r>
            <w:r w:rsidRPr="00870F84">
              <w:rPr>
                <w:rFonts w:ascii="Arial Narrow" w:hAnsi="Arial Narrow" w:cs="Open Sans"/>
                <w:color w:val="333333"/>
                <w:sz w:val="18"/>
                <w:szCs w:val="18"/>
                <w:shd w:val="clear" w:color="auto" w:fill="F4F4F4"/>
              </w:rPr>
              <w:t>Special Pricing Arrangements apply.</w:t>
            </w:r>
          </w:p>
        </w:tc>
      </w:tr>
      <w:tr w:rsidR="00870F84" w:rsidRPr="00870F84" w14:paraId="7274A04C" w14:textId="77777777" w:rsidTr="006D1A95">
        <w:tc>
          <w:tcPr>
            <w:tcW w:w="1129" w:type="dxa"/>
          </w:tcPr>
          <w:p w14:paraId="0C5BE484" w14:textId="085D15BF" w:rsidR="00870F84" w:rsidRPr="00870F84" w:rsidRDefault="00870F84" w:rsidP="00870F84">
            <w:pPr>
              <w:spacing w:line="256" w:lineRule="auto"/>
              <w:jc w:val="center"/>
              <w:textAlignment w:val="baseline"/>
              <w:rPr>
                <w:rFonts w:ascii="Arial Narrow" w:hAnsi="Arial Narrow" w:cs="Open Sans"/>
                <w:color w:val="333333"/>
                <w:sz w:val="18"/>
                <w:szCs w:val="18"/>
              </w:rPr>
            </w:pPr>
          </w:p>
        </w:tc>
        <w:tc>
          <w:tcPr>
            <w:tcW w:w="8080" w:type="dxa"/>
          </w:tcPr>
          <w:p w14:paraId="3C5A6229" w14:textId="77777777" w:rsidR="00870F84" w:rsidRPr="00870F84" w:rsidRDefault="00870F84" w:rsidP="00870F84">
            <w:pPr>
              <w:spacing w:line="256" w:lineRule="auto"/>
              <w:jc w:val="left"/>
              <w:textAlignment w:val="baseline"/>
              <w:rPr>
                <w:rFonts w:ascii="Arial Narrow" w:hAnsi="Arial Narrow" w:cs="Open Sans"/>
                <w:color w:val="333333"/>
                <w:sz w:val="18"/>
                <w:szCs w:val="18"/>
                <w:bdr w:val="none" w:sz="0" w:space="0" w:color="auto" w:frame="1"/>
              </w:rPr>
            </w:pPr>
            <w:r w:rsidRPr="00870F84">
              <w:rPr>
                <w:rFonts w:ascii="Arial Narrow" w:hAnsi="Arial Narrow" w:cs="Open Sans"/>
                <w:b/>
                <w:bCs/>
                <w:color w:val="333333"/>
                <w:sz w:val="18"/>
                <w:szCs w:val="18"/>
                <w:u w:val="single"/>
                <w:bdr w:val="none" w:sz="0" w:space="0" w:color="auto" w:frame="1"/>
              </w:rPr>
              <w:t xml:space="preserve">NOTE: </w:t>
            </w:r>
            <w:r w:rsidRPr="00870F84">
              <w:rPr>
                <w:rFonts w:ascii="Arial Narrow" w:hAnsi="Arial Narrow" w:cs="Open Sans"/>
                <w:color w:val="333333"/>
                <w:sz w:val="18"/>
                <w:szCs w:val="18"/>
                <w:bdr w:val="none" w:sz="0" w:space="0" w:color="auto" w:frame="1"/>
              </w:rPr>
              <w:t xml:space="preserve">Ensure that PBS-subsidy is approved for the </w:t>
            </w:r>
            <w:proofErr w:type="gramStart"/>
            <w:r w:rsidRPr="00870F84">
              <w:rPr>
                <w:rFonts w:ascii="Arial Narrow" w:hAnsi="Arial Narrow" w:cs="Open Sans"/>
                <w:color w:val="333333"/>
                <w:sz w:val="18"/>
                <w:szCs w:val="18"/>
                <w:bdr w:val="none" w:sz="0" w:space="0" w:color="auto" w:frame="1"/>
              </w:rPr>
              <w:t>920 mcg</w:t>
            </w:r>
            <w:proofErr w:type="gramEnd"/>
            <w:r w:rsidRPr="00870F84">
              <w:rPr>
                <w:rFonts w:ascii="Arial Narrow" w:hAnsi="Arial Narrow" w:cs="Open Sans"/>
                <w:color w:val="333333"/>
                <w:sz w:val="18"/>
                <w:szCs w:val="18"/>
                <w:bdr w:val="none" w:sz="0" w:space="0" w:color="auto" w:frame="1"/>
              </w:rPr>
              <w:t xml:space="preserve"> strength prior to supply of this titration pack. It is advisable to only have the titration pack prescription dispensed at the same time as a prescription for the 920 mcg capsules, or where a supply of the 920 mcg capsules is already in existence (in the case of mid treatment dose interruption).</w:t>
            </w:r>
          </w:p>
        </w:tc>
      </w:tr>
    </w:tbl>
    <w:p w14:paraId="7F3688E7" w14:textId="77777777" w:rsidR="00870F84" w:rsidRPr="00955601" w:rsidRDefault="00870F84" w:rsidP="00DE096F">
      <w:pPr>
        <w:jc w:val="left"/>
        <w:rPr>
          <w:rFonts w:asciiTheme="minorHAnsi" w:eastAsia="Calibri" w:hAnsiTheme="minorHAnsi" w:cstheme="minorHAnsi"/>
          <w:lang w:eastAsia="en-US"/>
        </w:rPr>
      </w:pPr>
    </w:p>
    <w:p w14:paraId="6A2F0B83" w14:textId="77777777" w:rsidR="00870F84" w:rsidRPr="00955601" w:rsidRDefault="00870F84" w:rsidP="00955601">
      <w:pPr>
        <w:spacing w:after="120"/>
        <w:jc w:val="left"/>
        <w:rPr>
          <w:rFonts w:asciiTheme="minorHAnsi" w:eastAsia="Calibri" w:hAnsiTheme="minorHAnsi" w:cstheme="minorHAnsi"/>
          <w:i/>
          <w:lang w:eastAsia="en-US"/>
        </w:rPr>
      </w:pPr>
      <w:r w:rsidRPr="00955601">
        <w:rPr>
          <w:rFonts w:asciiTheme="minorHAnsi" w:eastAsia="Calibri" w:hAnsiTheme="minorHAnsi" w:cstheme="minorHAnsi"/>
          <w:i/>
          <w:lang w:eastAsia="en-US"/>
        </w:rPr>
        <w:t>Revised explanatory NOTE concept to replace the corresponding NOTE in all drugs listed for moderate to severe ulcerative colitis:</w:t>
      </w:r>
    </w:p>
    <w:tbl>
      <w:tblPr>
        <w:tblStyle w:val="LashStyleTable2"/>
        <w:tblW w:w="9209" w:type="dxa"/>
        <w:tblInd w:w="0" w:type="dxa"/>
        <w:tblLook w:val="04A0" w:firstRow="1" w:lastRow="0" w:firstColumn="1" w:lastColumn="0" w:noHBand="0" w:noVBand="1"/>
      </w:tblPr>
      <w:tblGrid>
        <w:gridCol w:w="988"/>
        <w:gridCol w:w="8221"/>
      </w:tblGrid>
      <w:tr w:rsidR="00870F84" w:rsidRPr="00870F84" w14:paraId="46E5B118" w14:textId="77777777" w:rsidTr="006D1A95">
        <w:tc>
          <w:tcPr>
            <w:tcW w:w="988" w:type="dxa"/>
          </w:tcPr>
          <w:p w14:paraId="29D99BB3" w14:textId="77777777" w:rsidR="00870F84" w:rsidRPr="00870F84" w:rsidRDefault="00870F84" w:rsidP="00870F84">
            <w:pPr>
              <w:spacing w:line="256" w:lineRule="auto"/>
              <w:jc w:val="center"/>
              <w:rPr>
                <w:rFonts w:ascii="Arial Narrow" w:hAnsi="Arial Narrow" w:cs="Times New Roman"/>
                <w:sz w:val="18"/>
                <w:szCs w:val="18"/>
              </w:rPr>
            </w:pPr>
          </w:p>
          <w:p w14:paraId="1C36E637" w14:textId="77777777" w:rsidR="00870F84" w:rsidRPr="00870F84" w:rsidRDefault="00870F84" w:rsidP="00870F84">
            <w:pPr>
              <w:spacing w:line="256" w:lineRule="auto"/>
              <w:jc w:val="center"/>
              <w:rPr>
                <w:rFonts w:ascii="Arial Narrow" w:hAnsi="Arial Narrow" w:cs="Times New Roman"/>
                <w:sz w:val="18"/>
                <w:szCs w:val="18"/>
              </w:rPr>
            </w:pPr>
          </w:p>
          <w:p w14:paraId="012A8AB3" w14:textId="77777777" w:rsidR="00870F84" w:rsidRPr="00870F84" w:rsidRDefault="00870F84" w:rsidP="00870F84">
            <w:pPr>
              <w:spacing w:line="256" w:lineRule="auto"/>
              <w:jc w:val="center"/>
              <w:rPr>
                <w:rFonts w:ascii="Arial Narrow" w:hAnsi="Arial Narrow" w:cs="Times New Roman"/>
                <w:sz w:val="18"/>
                <w:szCs w:val="18"/>
              </w:rPr>
            </w:pPr>
          </w:p>
          <w:p w14:paraId="5817A9C7" w14:textId="77777777" w:rsidR="00870F84" w:rsidRPr="00870F84" w:rsidRDefault="00870F84" w:rsidP="00870F84">
            <w:pPr>
              <w:spacing w:line="256" w:lineRule="auto"/>
              <w:jc w:val="center"/>
              <w:rPr>
                <w:rFonts w:ascii="Arial Narrow" w:hAnsi="Arial Narrow" w:cs="Times New Roman"/>
                <w:sz w:val="18"/>
                <w:szCs w:val="18"/>
              </w:rPr>
            </w:pPr>
          </w:p>
          <w:p w14:paraId="1ED90C57" w14:textId="77777777" w:rsidR="00870F84" w:rsidRPr="00870F84" w:rsidRDefault="00870F84" w:rsidP="00870F84">
            <w:pPr>
              <w:spacing w:line="256" w:lineRule="auto"/>
              <w:jc w:val="center"/>
              <w:rPr>
                <w:rFonts w:ascii="Arial Narrow" w:hAnsi="Arial Narrow" w:cs="Times New Roman"/>
                <w:sz w:val="18"/>
                <w:szCs w:val="18"/>
              </w:rPr>
            </w:pPr>
          </w:p>
          <w:p w14:paraId="07BB2AC5" w14:textId="77777777" w:rsidR="00870F84" w:rsidRPr="00870F84" w:rsidRDefault="00870F84" w:rsidP="00870F84">
            <w:pPr>
              <w:spacing w:line="256" w:lineRule="auto"/>
              <w:jc w:val="center"/>
              <w:rPr>
                <w:rFonts w:ascii="Arial Narrow" w:hAnsi="Arial Narrow" w:cs="Times New Roman"/>
                <w:sz w:val="18"/>
                <w:szCs w:val="18"/>
              </w:rPr>
            </w:pPr>
          </w:p>
          <w:p w14:paraId="32646DC8" w14:textId="49047269" w:rsidR="00870F84" w:rsidRPr="00870F84" w:rsidRDefault="00870F84" w:rsidP="00870F84">
            <w:pPr>
              <w:spacing w:line="256" w:lineRule="auto"/>
              <w:jc w:val="center"/>
              <w:rPr>
                <w:rFonts w:ascii="Arial Narrow" w:hAnsi="Arial Narrow" w:cs="Times New Roman"/>
                <w:sz w:val="18"/>
                <w:szCs w:val="18"/>
              </w:rPr>
            </w:pPr>
          </w:p>
        </w:tc>
        <w:tc>
          <w:tcPr>
            <w:tcW w:w="8221" w:type="dxa"/>
          </w:tcPr>
          <w:p w14:paraId="51D45D8F" w14:textId="77777777" w:rsidR="00870F84" w:rsidRPr="00870F84" w:rsidRDefault="00870F84" w:rsidP="00870F84">
            <w:pPr>
              <w:shd w:val="clear" w:color="auto" w:fill="FFFFFF"/>
              <w:jc w:val="left"/>
              <w:textAlignment w:val="baseline"/>
              <w:rPr>
                <w:rFonts w:ascii="Arial Narrow" w:hAnsi="Arial Narrow" w:cs="Open Sans"/>
                <w:b/>
                <w:bCs/>
                <w:snapToGrid w:val="0"/>
                <w:color w:val="333333"/>
                <w:sz w:val="18"/>
                <w:szCs w:val="18"/>
                <w:bdr w:val="none" w:sz="0" w:space="0" w:color="auto" w:frame="1"/>
                <w:lang w:val="en-GB"/>
              </w:rPr>
            </w:pPr>
            <w:r w:rsidRPr="00870F84">
              <w:rPr>
                <w:rFonts w:ascii="Arial Narrow" w:hAnsi="Arial Narrow" w:cs="Open Sans"/>
                <w:b/>
                <w:bCs/>
                <w:snapToGrid w:val="0"/>
                <w:color w:val="333333"/>
                <w:sz w:val="18"/>
                <w:szCs w:val="18"/>
                <w:u w:val="single"/>
                <w:bdr w:val="none" w:sz="0" w:space="0" w:color="auto" w:frame="1"/>
                <w:lang w:val="en-GB"/>
              </w:rPr>
              <w:t>NOTE:</w:t>
            </w:r>
            <w:r w:rsidRPr="00870F84">
              <w:rPr>
                <w:rFonts w:ascii="Arial Narrow" w:hAnsi="Arial Narrow" w:cs="Open Sans"/>
                <w:b/>
                <w:bCs/>
                <w:snapToGrid w:val="0"/>
                <w:color w:val="333333"/>
                <w:sz w:val="18"/>
                <w:szCs w:val="18"/>
                <w:bdr w:val="none" w:sz="0" w:space="0" w:color="auto" w:frame="1"/>
                <w:lang w:val="en-GB"/>
              </w:rPr>
              <w:t xml:space="preserve"> </w:t>
            </w:r>
          </w:p>
          <w:p w14:paraId="5B1610DD" w14:textId="77777777" w:rsidR="00870F84" w:rsidRPr="00870F84" w:rsidRDefault="00870F84" w:rsidP="00870F84">
            <w:pPr>
              <w:shd w:val="clear" w:color="auto" w:fill="FFFFFF"/>
              <w:jc w:val="left"/>
              <w:textAlignment w:val="baseline"/>
              <w:rPr>
                <w:rFonts w:ascii="Arial Narrow" w:hAnsi="Arial Narrow" w:cs="Open Sans"/>
                <w:b/>
                <w:bCs/>
                <w:snapToGrid w:val="0"/>
                <w:color w:val="333333"/>
                <w:sz w:val="18"/>
                <w:szCs w:val="18"/>
                <w:bdr w:val="none" w:sz="0" w:space="0" w:color="auto" w:frame="1"/>
                <w:lang w:val="en-GB"/>
              </w:rPr>
            </w:pPr>
            <w:r w:rsidRPr="00870F84">
              <w:rPr>
                <w:rFonts w:ascii="Arial Narrow" w:hAnsi="Arial Narrow" w:cs="Open Sans"/>
                <w:b/>
                <w:bCs/>
                <w:snapToGrid w:val="0"/>
                <w:color w:val="333333"/>
                <w:sz w:val="18"/>
                <w:szCs w:val="18"/>
                <w:bdr w:val="none" w:sz="0" w:space="0" w:color="auto" w:frame="1"/>
                <w:lang w:val="en-GB"/>
              </w:rPr>
              <w:t>TREATMENT CYCLES AND TREATMENT PHASES IN MODERATE TO SEVERE ULCERATIVE COLITIS LISTINGS</w:t>
            </w:r>
          </w:p>
          <w:p w14:paraId="7891C6EC" w14:textId="77777777" w:rsidR="00870F84" w:rsidRPr="00870F84" w:rsidRDefault="00870F84" w:rsidP="00870F84">
            <w:pPr>
              <w:shd w:val="clear" w:color="auto" w:fill="FFFFFF"/>
              <w:jc w:val="left"/>
              <w:textAlignment w:val="baseline"/>
              <w:rPr>
                <w:rFonts w:ascii="Arial Narrow" w:hAnsi="Arial Narrow" w:cs="Open Sans"/>
                <w:snapToGrid w:val="0"/>
                <w:color w:val="333333"/>
                <w:sz w:val="18"/>
                <w:szCs w:val="18"/>
                <w:lang w:val="en-GB"/>
              </w:rPr>
            </w:pPr>
          </w:p>
          <w:p w14:paraId="0B89475F" w14:textId="77777777" w:rsidR="00870F84" w:rsidRPr="00870F84" w:rsidRDefault="00870F84" w:rsidP="00870F84">
            <w:pPr>
              <w:shd w:val="clear" w:color="auto" w:fill="FFFFFF"/>
              <w:jc w:val="left"/>
              <w:textAlignment w:val="baseline"/>
              <w:rPr>
                <w:rFonts w:ascii="Arial Narrow" w:hAnsi="Arial Narrow" w:cs="Open Sans"/>
                <w:snapToGrid w:val="0"/>
                <w:color w:val="333333"/>
                <w:sz w:val="18"/>
                <w:szCs w:val="18"/>
                <w:lang w:val="en-GB"/>
              </w:rPr>
            </w:pPr>
            <w:r w:rsidRPr="00870F84">
              <w:rPr>
                <w:rFonts w:ascii="Arial Narrow" w:hAnsi="Arial Narrow" w:cs="Open Sans"/>
                <w:snapToGrid w:val="0"/>
                <w:color w:val="333333"/>
                <w:sz w:val="18"/>
                <w:szCs w:val="18"/>
                <w:lang w:val="en-GB"/>
              </w:rPr>
              <w:t xml:space="preserve">The following information applies to Pharmaceutical Benefits Scheme (PBS) benefits listed for the indication of moderate to severe ulcerative colitis (MSUC). Patients are eligible for one PBS-subsidised drug treatment indicated for MSUC at any one time. </w:t>
            </w:r>
          </w:p>
          <w:p w14:paraId="2C83AFE6" w14:textId="77777777" w:rsidR="00870F84" w:rsidRPr="00870F84" w:rsidRDefault="00870F84" w:rsidP="00870F84">
            <w:pPr>
              <w:shd w:val="clear" w:color="auto" w:fill="FFFFFF"/>
              <w:jc w:val="left"/>
              <w:textAlignment w:val="baseline"/>
              <w:rPr>
                <w:rFonts w:ascii="Arial Narrow" w:hAnsi="Arial Narrow" w:cs="Open Sans"/>
                <w:snapToGrid w:val="0"/>
                <w:color w:val="333333"/>
                <w:sz w:val="18"/>
                <w:szCs w:val="18"/>
                <w:lang w:val="en-GB"/>
              </w:rPr>
            </w:pPr>
          </w:p>
          <w:p w14:paraId="52FFE0B9" w14:textId="77777777" w:rsidR="00870F84" w:rsidRPr="00870F84" w:rsidRDefault="00870F84" w:rsidP="00870F84">
            <w:pPr>
              <w:shd w:val="clear" w:color="auto" w:fill="FFFFFF"/>
              <w:jc w:val="left"/>
              <w:textAlignment w:val="baseline"/>
              <w:rPr>
                <w:rFonts w:ascii="Arial Narrow" w:hAnsi="Arial Narrow" w:cs="Open Sans"/>
                <w:snapToGrid w:val="0"/>
                <w:color w:val="333333"/>
                <w:sz w:val="18"/>
                <w:szCs w:val="18"/>
                <w:lang w:val="en-GB"/>
              </w:rPr>
            </w:pPr>
            <w:r w:rsidRPr="00870F84">
              <w:rPr>
                <w:rFonts w:ascii="Arial Narrow" w:hAnsi="Arial Narrow" w:cs="Open Sans"/>
                <w:snapToGrid w:val="0"/>
                <w:color w:val="333333"/>
                <w:sz w:val="18"/>
                <w:szCs w:val="18"/>
                <w:lang w:val="en-GB"/>
              </w:rPr>
              <w:lastRenderedPageBreak/>
              <w:t xml:space="preserve">Where the term 'biological medicine' appears in this note and restrictions, it refers to any PBS benefit where the PBS indication specifies: Moderate to severe ulcerative colitis. Some benefits are not biological </w:t>
            </w:r>
            <w:proofErr w:type="gramStart"/>
            <w:r w:rsidRPr="00870F84">
              <w:rPr>
                <w:rFonts w:ascii="Arial Narrow" w:hAnsi="Arial Narrow" w:cs="Open Sans"/>
                <w:snapToGrid w:val="0"/>
                <w:color w:val="333333"/>
                <w:sz w:val="18"/>
                <w:szCs w:val="18"/>
                <w:lang w:val="en-GB"/>
              </w:rPr>
              <w:t>medicines, but</w:t>
            </w:r>
            <w:proofErr w:type="gramEnd"/>
            <w:r w:rsidRPr="00870F84">
              <w:rPr>
                <w:rFonts w:ascii="Arial Narrow" w:hAnsi="Arial Narrow" w:cs="Open Sans"/>
                <w:snapToGrid w:val="0"/>
                <w:color w:val="333333"/>
                <w:sz w:val="18"/>
                <w:szCs w:val="18"/>
                <w:lang w:val="en-GB"/>
              </w:rPr>
              <w:t xml:space="preserve"> are small molecules. However, for administrative purposes, these benefits are included within the term “biological medicine”.  </w:t>
            </w:r>
          </w:p>
          <w:p w14:paraId="3D5CEEB3" w14:textId="77777777" w:rsidR="00870F84" w:rsidRPr="00870F84" w:rsidRDefault="00870F84" w:rsidP="00870F84">
            <w:pPr>
              <w:shd w:val="clear" w:color="auto" w:fill="FFFFFF"/>
              <w:jc w:val="left"/>
              <w:textAlignment w:val="baseline"/>
              <w:rPr>
                <w:rFonts w:ascii="Arial Narrow" w:hAnsi="Arial Narrow" w:cs="Open Sans"/>
                <w:snapToGrid w:val="0"/>
                <w:color w:val="333333"/>
                <w:sz w:val="18"/>
                <w:szCs w:val="18"/>
                <w:lang w:val="en-GB"/>
              </w:rPr>
            </w:pPr>
          </w:p>
          <w:p w14:paraId="313E2C89" w14:textId="77777777" w:rsidR="00870F84" w:rsidRPr="00870F84" w:rsidRDefault="00870F84" w:rsidP="00870F84">
            <w:pPr>
              <w:shd w:val="clear" w:color="auto" w:fill="FFFFFF"/>
              <w:jc w:val="left"/>
              <w:textAlignment w:val="baseline"/>
              <w:rPr>
                <w:rFonts w:ascii="Arial Narrow" w:hAnsi="Arial Narrow" w:cs="Open Sans"/>
                <w:snapToGrid w:val="0"/>
                <w:color w:val="333333"/>
                <w:sz w:val="18"/>
                <w:szCs w:val="18"/>
                <w:lang w:val="en-GB"/>
              </w:rPr>
            </w:pPr>
            <w:r w:rsidRPr="00870F84">
              <w:rPr>
                <w:rFonts w:ascii="Arial Narrow" w:hAnsi="Arial Narrow" w:cs="Open Sans"/>
                <w:snapToGrid w:val="0"/>
                <w:color w:val="333333"/>
                <w:sz w:val="18"/>
                <w:szCs w:val="18"/>
                <w:lang w:val="en-GB"/>
              </w:rPr>
              <w:t>Treatment cycles:</w:t>
            </w:r>
          </w:p>
          <w:p w14:paraId="393F3FA3" w14:textId="77777777" w:rsidR="00870F84" w:rsidRPr="00870F84" w:rsidRDefault="00870F84" w:rsidP="00870F84">
            <w:pPr>
              <w:shd w:val="clear" w:color="auto" w:fill="FFFFFF"/>
              <w:jc w:val="left"/>
              <w:textAlignment w:val="baseline"/>
              <w:rPr>
                <w:rFonts w:ascii="Arial Narrow" w:hAnsi="Arial Narrow" w:cs="Open Sans"/>
                <w:snapToGrid w:val="0"/>
                <w:color w:val="333333"/>
                <w:sz w:val="18"/>
                <w:szCs w:val="18"/>
                <w:lang w:val="en-GB"/>
              </w:rPr>
            </w:pPr>
            <w:r w:rsidRPr="00870F84">
              <w:rPr>
                <w:rFonts w:ascii="Arial Narrow" w:hAnsi="Arial Narrow" w:cs="Open Sans"/>
                <w:snapToGrid w:val="0"/>
                <w:color w:val="333333"/>
                <w:sz w:val="18"/>
                <w:szCs w:val="18"/>
                <w:lang w:val="en-GB"/>
              </w:rPr>
              <w:t>The same biological medicine cannot be prescribed twice within t</w:t>
            </w:r>
            <w:r w:rsidRPr="00870F84">
              <w:rPr>
                <w:rFonts w:ascii="Arial Narrow" w:hAnsi="Arial Narrow" w:cs="Times New Roman"/>
                <w:snapToGrid w:val="0"/>
                <w:sz w:val="18"/>
                <w:szCs w:val="18"/>
                <w:lang w:val="en-GB"/>
              </w:rPr>
              <w:t>he same</w:t>
            </w:r>
            <w:r w:rsidRPr="00870F84">
              <w:rPr>
                <w:rFonts w:ascii="Arial Narrow" w:hAnsi="Arial Narrow" w:cs="Open Sans"/>
                <w:snapToGrid w:val="0"/>
                <w:color w:val="333333"/>
                <w:sz w:val="18"/>
                <w:szCs w:val="18"/>
                <w:lang w:val="en-GB"/>
              </w:rPr>
              <w:t xml:space="preserve"> treatment cycle where it has resulted in an inadequate response in terms of Mayo clinic score improvement in the same treatment cycle.  </w:t>
            </w:r>
          </w:p>
          <w:p w14:paraId="4A792F13" w14:textId="77777777" w:rsidR="00870F84" w:rsidRPr="00870F84" w:rsidRDefault="00870F84" w:rsidP="00870F84">
            <w:pPr>
              <w:shd w:val="clear" w:color="auto" w:fill="FFFFFF"/>
              <w:jc w:val="left"/>
              <w:textAlignment w:val="baseline"/>
              <w:rPr>
                <w:rFonts w:ascii="Arial Narrow" w:hAnsi="Arial Narrow" w:cs="Open Sans"/>
                <w:snapToGrid w:val="0"/>
                <w:color w:val="333333"/>
                <w:sz w:val="18"/>
                <w:szCs w:val="18"/>
                <w:lang w:val="en-GB"/>
              </w:rPr>
            </w:pPr>
          </w:p>
          <w:p w14:paraId="260FC418" w14:textId="77777777" w:rsidR="00870F84" w:rsidRPr="00870F84" w:rsidRDefault="00870F84" w:rsidP="00870F84">
            <w:pPr>
              <w:shd w:val="clear" w:color="auto" w:fill="FFFFFF"/>
              <w:jc w:val="left"/>
              <w:textAlignment w:val="baseline"/>
              <w:rPr>
                <w:rFonts w:ascii="Arial Narrow" w:hAnsi="Arial Narrow" w:cs="Open Sans"/>
                <w:snapToGrid w:val="0"/>
                <w:color w:val="333333"/>
                <w:sz w:val="18"/>
                <w:szCs w:val="18"/>
                <w:lang w:val="en-GB"/>
              </w:rPr>
            </w:pPr>
            <w:r w:rsidRPr="00870F84">
              <w:rPr>
                <w:rFonts w:ascii="Arial Narrow" w:hAnsi="Arial Narrow" w:cs="Open Sans"/>
                <w:snapToGrid w:val="0"/>
                <w:color w:val="333333"/>
                <w:sz w:val="18"/>
                <w:szCs w:val="18"/>
                <w:lang w:val="en-GB"/>
              </w:rPr>
              <w:t>Where treatment has resulted in an inadequate response on 3 occasions in total, a treatment cycle is considered to have been completed and there must be a 5-year break in PBS-subsidy from all medicines with the PBS indication: ‘Moderate to severe ulcerative colitis’ before starting a new treatment cycle. The 5-year break is measured from the date of the last approval for PBS-subsidised biological medicine treatment in the most recent cycle to the date of the first application for initial treatment with a PBS-subsidised biological medicine under the new treatment cycle.</w:t>
            </w:r>
          </w:p>
          <w:p w14:paraId="45E29E8A" w14:textId="77777777" w:rsidR="00870F84" w:rsidRPr="00870F84" w:rsidRDefault="00870F84" w:rsidP="00870F84">
            <w:pPr>
              <w:shd w:val="clear" w:color="auto" w:fill="FFFFFF"/>
              <w:jc w:val="left"/>
              <w:textAlignment w:val="baseline"/>
              <w:rPr>
                <w:rFonts w:ascii="Arial Narrow" w:hAnsi="Arial Narrow" w:cs="Open Sans"/>
                <w:snapToGrid w:val="0"/>
                <w:color w:val="333333"/>
                <w:sz w:val="18"/>
                <w:szCs w:val="18"/>
                <w:lang w:val="en-GB"/>
              </w:rPr>
            </w:pPr>
          </w:p>
          <w:p w14:paraId="21E8FB76" w14:textId="77777777" w:rsidR="00870F84" w:rsidRPr="00870F84" w:rsidRDefault="00870F84" w:rsidP="00870F84">
            <w:pPr>
              <w:shd w:val="clear" w:color="auto" w:fill="FFFFFF"/>
              <w:jc w:val="left"/>
              <w:textAlignment w:val="baseline"/>
              <w:rPr>
                <w:rFonts w:ascii="Arial Narrow" w:hAnsi="Arial Narrow" w:cs="Open Sans"/>
                <w:snapToGrid w:val="0"/>
                <w:color w:val="333333"/>
                <w:sz w:val="18"/>
                <w:szCs w:val="18"/>
                <w:lang w:val="en-GB"/>
              </w:rPr>
            </w:pPr>
            <w:r w:rsidRPr="00870F84">
              <w:rPr>
                <w:rFonts w:ascii="Arial Narrow" w:hAnsi="Arial Narrow" w:cs="Open Sans"/>
                <w:snapToGrid w:val="0"/>
                <w:color w:val="333333"/>
                <w:sz w:val="18"/>
                <w:szCs w:val="18"/>
                <w:lang w:val="en-GB"/>
              </w:rPr>
              <w:t>A serious adverse reaction of a severity resulting in the necessity for permanent withdrawal of treatment, including serious infusion or injection related reactions, Steven's Johnson Syndrome, development of a demyelinating lesion, progressive multifocal leukoencephalopathy and malignancy related to treatment with the biological medicine, is not considered as a treatment failure.</w:t>
            </w:r>
          </w:p>
          <w:p w14:paraId="0203A3DB" w14:textId="77777777" w:rsidR="00870F84" w:rsidRPr="00870F84" w:rsidRDefault="00870F84" w:rsidP="00870F84">
            <w:pPr>
              <w:shd w:val="clear" w:color="auto" w:fill="FFFFFF"/>
              <w:jc w:val="left"/>
              <w:textAlignment w:val="baseline"/>
              <w:rPr>
                <w:rFonts w:ascii="Arial Narrow" w:hAnsi="Arial Narrow" w:cs="Open Sans"/>
                <w:snapToGrid w:val="0"/>
                <w:color w:val="333333"/>
                <w:sz w:val="18"/>
                <w:szCs w:val="18"/>
                <w:lang w:val="en-GB"/>
              </w:rPr>
            </w:pPr>
          </w:p>
          <w:p w14:paraId="60B1AEB2" w14:textId="77777777" w:rsidR="00870F84" w:rsidRPr="00870F84" w:rsidRDefault="00870F84" w:rsidP="00870F84">
            <w:pPr>
              <w:shd w:val="clear" w:color="auto" w:fill="FFFFFF"/>
              <w:jc w:val="left"/>
              <w:textAlignment w:val="baseline"/>
              <w:rPr>
                <w:rFonts w:ascii="Arial Narrow" w:hAnsi="Arial Narrow" w:cs="Open Sans"/>
                <w:snapToGrid w:val="0"/>
                <w:color w:val="333333"/>
                <w:sz w:val="18"/>
                <w:szCs w:val="18"/>
                <w:lang w:val="en-GB"/>
              </w:rPr>
            </w:pPr>
            <w:r w:rsidRPr="00870F84">
              <w:rPr>
                <w:rFonts w:ascii="Arial Narrow" w:hAnsi="Arial Narrow" w:cs="Open Sans"/>
                <w:snapToGrid w:val="0"/>
                <w:color w:val="333333"/>
                <w:sz w:val="18"/>
                <w:szCs w:val="18"/>
                <w:lang w:val="en-GB"/>
              </w:rPr>
              <w:t>Prescribing under the correct ‘Treatment phase’ listing for the authority application:</w:t>
            </w:r>
          </w:p>
          <w:p w14:paraId="1B87CDF7" w14:textId="77777777" w:rsidR="00870F84" w:rsidRPr="00870F84" w:rsidRDefault="00870F84" w:rsidP="00870F84">
            <w:pPr>
              <w:shd w:val="clear" w:color="auto" w:fill="FFFFFF"/>
              <w:jc w:val="left"/>
              <w:textAlignment w:val="baseline"/>
              <w:rPr>
                <w:rFonts w:ascii="Arial Narrow" w:hAnsi="Arial Narrow" w:cs="Open Sans"/>
                <w:snapToGrid w:val="0"/>
                <w:color w:val="333333"/>
                <w:sz w:val="18"/>
                <w:szCs w:val="18"/>
                <w:lang w:val="en-GB"/>
              </w:rPr>
            </w:pPr>
          </w:p>
          <w:p w14:paraId="43F54B68" w14:textId="77777777" w:rsidR="00870F84" w:rsidRPr="00870F84" w:rsidRDefault="00870F84" w:rsidP="00870F84">
            <w:pPr>
              <w:shd w:val="clear" w:color="auto" w:fill="FFFFFF"/>
              <w:jc w:val="left"/>
              <w:textAlignment w:val="baseline"/>
              <w:rPr>
                <w:rFonts w:ascii="Arial Narrow" w:hAnsi="Arial Narrow" w:cs="Open Sans"/>
                <w:snapToGrid w:val="0"/>
                <w:color w:val="333333"/>
                <w:sz w:val="18"/>
                <w:szCs w:val="18"/>
                <w:lang w:val="en-GB"/>
              </w:rPr>
            </w:pPr>
            <w:r w:rsidRPr="00870F84">
              <w:rPr>
                <w:rFonts w:ascii="Arial Narrow" w:hAnsi="Arial Narrow" w:cs="Open Sans"/>
                <w:snapToGrid w:val="0"/>
                <w:color w:val="333333"/>
                <w:sz w:val="18"/>
                <w:szCs w:val="18"/>
                <w:lang w:val="en-GB"/>
              </w:rPr>
              <w:t>(1) Initial treatment.</w:t>
            </w:r>
          </w:p>
          <w:p w14:paraId="345AA3FB" w14:textId="77777777" w:rsidR="00870F84" w:rsidRPr="00870F84" w:rsidRDefault="00870F84" w:rsidP="00870F84">
            <w:pPr>
              <w:shd w:val="clear" w:color="auto" w:fill="FFFFFF"/>
              <w:jc w:val="left"/>
              <w:textAlignment w:val="baseline"/>
              <w:rPr>
                <w:rFonts w:ascii="Arial Narrow" w:hAnsi="Arial Narrow" w:cs="Open Sans"/>
                <w:snapToGrid w:val="0"/>
                <w:color w:val="333333"/>
                <w:sz w:val="18"/>
                <w:szCs w:val="18"/>
                <w:lang w:val="en-GB"/>
              </w:rPr>
            </w:pPr>
            <w:r w:rsidRPr="00870F84">
              <w:rPr>
                <w:rFonts w:ascii="Arial Narrow" w:hAnsi="Arial Narrow" w:cs="Open Sans"/>
                <w:snapToGrid w:val="0"/>
                <w:color w:val="333333"/>
                <w:sz w:val="18"/>
                <w:szCs w:val="18"/>
                <w:lang w:val="en-GB"/>
              </w:rPr>
              <w:t xml:space="preserve">Apply under the ‘Initial 1’ treatment listing where the patient has never received a biological medicine for moderate to severe ulcerative colitis. </w:t>
            </w:r>
          </w:p>
          <w:p w14:paraId="1451ADCD" w14:textId="77777777" w:rsidR="00870F84" w:rsidRPr="00870F84" w:rsidRDefault="00870F84" w:rsidP="00870F84">
            <w:pPr>
              <w:shd w:val="clear" w:color="auto" w:fill="FFFFFF"/>
              <w:jc w:val="left"/>
              <w:textAlignment w:val="baseline"/>
              <w:rPr>
                <w:rFonts w:ascii="Arial Narrow" w:hAnsi="Arial Narrow" w:cs="Open Sans"/>
                <w:snapToGrid w:val="0"/>
                <w:color w:val="333333"/>
                <w:sz w:val="18"/>
                <w:szCs w:val="18"/>
                <w:lang w:val="en-GB"/>
              </w:rPr>
            </w:pPr>
          </w:p>
          <w:p w14:paraId="1C854E3E" w14:textId="77777777" w:rsidR="00870F84" w:rsidRPr="00870F84" w:rsidRDefault="00870F84" w:rsidP="00870F84">
            <w:pPr>
              <w:shd w:val="clear" w:color="auto" w:fill="FFFFFF"/>
              <w:jc w:val="left"/>
              <w:textAlignment w:val="baseline"/>
              <w:rPr>
                <w:rFonts w:ascii="Arial Narrow" w:hAnsi="Arial Narrow" w:cs="Open Sans"/>
                <w:snapToGrid w:val="0"/>
                <w:color w:val="333333"/>
                <w:sz w:val="18"/>
                <w:szCs w:val="18"/>
                <w:lang w:val="en-GB"/>
              </w:rPr>
            </w:pPr>
            <w:r w:rsidRPr="00870F84">
              <w:rPr>
                <w:rFonts w:ascii="Arial Narrow" w:hAnsi="Arial Narrow" w:cs="Open Sans"/>
                <w:snapToGrid w:val="0"/>
                <w:color w:val="333333"/>
                <w:sz w:val="18"/>
                <w:szCs w:val="18"/>
                <w:lang w:val="en-GB"/>
              </w:rPr>
              <w:t>(2) Continuing treatment.</w:t>
            </w:r>
          </w:p>
          <w:p w14:paraId="41175FEA" w14:textId="77777777" w:rsidR="00870F84" w:rsidRPr="00870F84" w:rsidRDefault="00870F84" w:rsidP="00870F84">
            <w:pPr>
              <w:shd w:val="clear" w:color="auto" w:fill="FFFFFF"/>
              <w:jc w:val="left"/>
              <w:textAlignment w:val="baseline"/>
              <w:rPr>
                <w:rFonts w:ascii="Arial Narrow" w:hAnsi="Arial Narrow" w:cs="Open Sans"/>
                <w:snapToGrid w:val="0"/>
                <w:color w:val="333333"/>
                <w:sz w:val="18"/>
                <w:szCs w:val="18"/>
                <w:lang w:val="en-GB"/>
              </w:rPr>
            </w:pPr>
            <w:r w:rsidRPr="00870F84">
              <w:rPr>
                <w:rFonts w:ascii="Arial Narrow" w:hAnsi="Arial Narrow" w:cs="Open Sans"/>
                <w:snapToGrid w:val="0"/>
                <w:color w:val="333333"/>
                <w:sz w:val="18"/>
                <w:szCs w:val="18"/>
                <w:lang w:val="en-GB"/>
              </w:rPr>
              <w:t xml:space="preserve">Apply under the ‘Continuing treatment’ listing where the patient is experiencing an adequate response as defined in the restriction where there has been no change in prescribed biological medicine. Under no circumstance is continuing treatment to proceed initial treatment. An authority application for continuing treatment is not to be made on the same day as initial treatment. </w:t>
            </w:r>
          </w:p>
          <w:p w14:paraId="38C7611C" w14:textId="77777777" w:rsidR="00870F84" w:rsidRPr="00870F84" w:rsidRDefault="00870F84" w:rsidP="00870F84">
            <w:pPr>
              <w:shd w:val="clear" w:color="auto" w:fill="FFFFFF"/>
              <w:jc w:val="left"/>
              <w:textAlignment w:val="baseline"/>
              <w:rPr>
                <w:rFonts w:ascii="Arial Narrow" w:hAnsi="Arial Narrow" w:cs="Open Sans"/>
                <w:snapToGrid w:val="0"/>
                <w:color w:val="333333"/>
                <w:sz w:val="18"/>
                <w:szCs w:val="18"/>
                <w:lang w:val="en-GB"/>
              </w:rPr>
            </w:pPr>
          </w:p>
          <w:p w14:paraId="53E5457D" w14:textId="77777777" w:rsidR="00870F84" w:rsidRPr="00870F84" w:rsidRDefault="00870F84" w:rsidP="00870F84">
            <w:pPr>
              <w:shd w:val="clear" w:color="auto" w:fill="FFFFFF"/>
              <w:jc w:val="left"/>
              <w:textAlignment w:val="baseline"/>
              <w:rPr>
                <w:rFonts w:ascii="Arial Narrow" w:hAnsi="Arial Narrow" w:cs="Open Sans"/>
                <w:snapToGrid w:val="0"/>
                <w:color w:val="333333"/>
                <w:sz w:val="18"/>
                <w:szCs w:val="18"/>
                <w:lang w:val="en-GB"/>
              </w:rPr>
            </w:pPr>
            <w:r w:rsidRPr="00870F84">
              <w:rPr>
                <w:rFonts w:ascii="Arial Narrow" w:hAnsi="Arial Narrow" w:cs="Open Sans"/>
                <w:snapToGrid w:val="0"/>
                <w:color w:val="333333"/>
                <w:sz w:val="18"/>
                <w:szCs w:val="18"/>
                <w:lang w:val="en-GB"/>
              </w:rPr>
              <w:t>(3) Changing therapy.</w:t>
            </w:r>
          </w:p>
          <w:p w14:paraId="1DA7AFD8" w14:textId="77777777" w:rsidR="00870F84" w:rsidRPr="00870F84" w:rsidRDefault="00870F84" w:rsidP="00870F84">
            <w:pPr>
              <w:shd w:val="clear" w:color="auto" w:fill="FFFFFF"/>
              <w:jc w:val="left"/>
              <w:textAlignment w:val="baseline"/>
              <w:rPr>
                <w:rFonts w:ascii="Arial Narrow" w:hAnsi="Arial Narrow" w:cs="Open Sans"/>
                <w:snapToGrid w:val="0"/>
                <w:color w:val="333333"/>
                <w:sz w:val="18"/>
                <w:szCs w:val="18"/>
                <w:lang w:val="en-GB"/>
              </w:rPr>
            </w:pPr>
            <w:r w:rsidRPr="00870F84">
              <w:rPr>
                <w:rFonts w:ascii="Arial Narrow" w:hAnsi="Arial Narrow" w:cs="Open Sans"/>
                <w:snapToGrid w:val="0"/>
                <w:color w:val="333333"/>
                <w:sz w:val="18"/>
                <w:szCs w:val="18"/>
                <w:lang w:val="en-GB"/>
              </w:rPr>
              <w:t>Apply under the ‘Initial 2’ treatment listing. The indices of disease severity (</w:t>
            </w:r>
            <w:proofErr w:type="gramStart"/>
            <w:r w:rsidRPr="00870F84">
              <w:rPr>
                <w:rFonts w:ascii="Arial Narrow" w:hAnsi="Arial Narrow" w:cs="Open Sans"/>
                <w:snapToGrid w:val="0"/>
                <w:color w:val="333333"/>
                <w:sz w:val="18"/>
                <w:szCs w:val="18"/>
                <w:lang w:val="en-GB"/>
              </w:rPr>
              <w:t>i.e.</w:t>
            </w:r>
            <w:proofErr w:type="gramEnd"/>
            <w:r w:rsidRPr="00870F84">
              <w:rPr>
                <w:rFonts w:ascii="Arial Narrow" w:hAnsi="Arial Narrow" w:cs="Open Sans"/>
                <w:snapToGrid w:val="0"/>
                <w:color w:val="333333"/>
                <w:sz w:val="18"/>
                <w:szCs w:val="18"/>
                <w:lang w:val="en-GB"/>
              </w:rPr>
              <w:t xml:space="preserve"> Mayo clinic score or partial Mayo clinic score), or the prior corticosteroid therapy and immunosuppressive therapy will not need to be restated. A patient may trial an alternate biological medicine treatment at any time, regardless of whether they are receiving therapy (initial or continuing) at the time of the application. However, they cannot change to a particular biological medicine if it has failed to provide the patient with an adequate response within the same treatment cycle. A response assessment to the preceding supply of biological medicine must accompany this initial 2 treatment authority application. </w:t>
            </w:r>
          </w:p>
          <w:p w14:paraId="4511A65E" w14:textId="77777777" w:rsidR="00870F84" w:rsidRPr="00870F84" w:rsidRDefault="00870F84" w:rsidP="00870F84">
            <w:pPr>
              <w:shd w:val="clear" w:color="auto" w:fill="FFFFFF"/>
              <w:jc w:val="left"/>
              <w:textAlignment w:val="baseline"/>
              <w:rPr>
                <w:rFonts w:ascii="Arial Narrow" w:hAnsi="Arial Narrow" w:cs="Open Sans"/>
                <w:snapToGrid w:val="0"/>
                <w:color w:val="333333"/>
                <w:sz w:val="18"/>
                <w:szCs w:val="18"/>
                <w:lang w:val="en-GB"/>
              </w:rPr>
            </w:pPr>
          </w:p>
          <w:p w14:paraId="51284721" w14:textId="77777777" w:rsidR="00870F84" w:rsidRPr="00870F84" w:rsidRDefault="00870F84" w:rsidP="00870F84">
            <w:pPr>
              <w:shd w:val="clear" w:color="auto" w:fill="FFFFFF"/>
              <w:jc w:val="left"/>
              <w:textAlignment w:val="baseline"/>
              <w:rPr>
                <w:rFonts w:ascii="Arial Narrow" w:hAnsi="Arial Narrow" w:cs="Open Sans"/>
                <w:snapToGrid w:val="0"/>
                <w:color w:val="333333"/>
                <w:sz w:val="18"/>
                <w:szCs w:val="18"/>
                <w:lang w:val="en-GB"/>
              </w:rPr>
            </w:pPr>
            <w:r w:rsidRPr="00870F84">
              <w:rPr>
                <w:rFonts w:ascii="Arial Narrow" w:hAnsi="Arial Narrow" w:cs="Open Sans"/>
                <w:snapToGrid w:val="0"/>
                <w:color w:val="333333"/>
                <w:sz w:val="18"/>
                <w:szCs w:val="18"/>
                <w:lang w:val="en-GB"/>
              </w:rPr>
              <w:t>(4) Recommencement of treatment after a 5-year break in PBS-subsidised therapy.</w:t>
            </w:r>
          </w:p>
          <w:p w14:paraId="113D94CF" w14:textId="77777777" w:rsidR="00870F84" w:rsidRPr="00870F84" w:rsidRDefault="00870F84" w:rsidP="00870F84">
            <w:pPr>
              <w:shd w:val="clear" w:color="auto" w:fill="FFFFFF"/>
              <w:jc w:val="left"/>
              <w:textAlignment w:val="baseline"/>
              <w:rPr>
                <w:rFonts w:ascii="Arial Narrow" w:hAnsi="Arial Narrow" w:cs="Times New Roman"/>
                <w:snapToGrid w:val="0"/>
                <w:sz w:val="18"/>
                <w:szCs w:val="18"/>
                <w:lang w:val="en-GB"/>
              </w:rPr>
            </w:pPr>
            <w:r w:rsidRPr="00870F84">
              <w:rPr>
                <w:rFonts w:ascii="Arial Narrow" w:hAnsi="Arial Narrow" w:cs="Times New Roman"/>
                <w:snapToGrid w:val="0"/>
                <w:sz w:val="18"/>
                <w:szCs w:val="18"/>
                <w:lang w:val="en-GB"/>
              </w:rPr>
              <w:t>Apply under the ‘Initial 3’ treatment listing. Prior corticosteroid and immunosuppressive therapies need not be re-trialled.</w:t>
            </w:r>
          </w:p>
          <w:p w14:paraId="0282782F" w14:textId="77777777" w:rsidR="00870F84" w:rsidRPr="00870F84" w:rsidRDefault="00870F84" w:rsidP="00870F84">
            <w:pPr>
              <w:shd w:val="clear" w:color="auto" w:fill="FFFFFF"/>
              <w:jc w:val="left"/>
              <w:textAlignment w:val="baseline"/>
              <w:rPr>
                <w:rFonts w:ascii="Arial Narrow" w:hAnsi="Arial Narrow" w:cs="Times New Roman"/>
                <w:snapToGrid w:val="0"/>
                <w:sz w:val="18"/>
                <w:szCs w:val="18"/>
                <w:lang w:val="en-GB"/>
              </w:rPr>
            </w:pPr>
          </w:p>
          <w:p w14:paraId="62495247" w14:textId="77777777" w:rsidR="00870F84" w:rsidRPr="00870F84" w:rsidRDefault="00870F84" w:rsidP="00870F84">
            <w:pPr>
              <w:shd w:val="clear" w:color="auto" w:fill="FFFFFF"/>
              <w:jc w:val="left"/>
              <w:textAlignment w:val="baseline"/>
              <w:rPr>
                <w:rFonts w:ascii="Arial Narrow" w:hAnsi="Arial Narrow" w:cs="Times New Roman"/>
                <w:snapToGrid w:val="0"/>
                <w:sz w:val="18"/>
                <w:szCs w:val="18"/>
                <w:lang w:val="en-GB"/>
              </w:rPr>
            </w:pPr>
            <w:r w:rsidRPr="00870F84">
              <w:rPr>
                <w:rFonts w:ascii="Arial Narrow" w:hAnsi="Arial Narrow" w:cs="Times New Roman"/>
                <w:snapToGrid w:val="0"/>
                <w:sz w:val="18"/>
                <w:szCs w:val="18"/>
                <w:lang w:val="en-GB"/>
              </w:rPr>
              <w:t>(5) Balance of supply.</w:t>
            </w:r>
          </w:p>
          <w:p w14:paraId="31E65845" w14:textId="77777777" w:rsidR="00870F84" w:rsidRPr="00870F84" w:rsidRDefault="00870F84" w:rsidP="00870F84">
            <w:pPr>
              <w:shd w:val="clear" w:color="auto" w:fill="FFFFFF"/>
              <w:jc w:val="left"/>
              <w:textAlignment w:val="baseline"/>
              <w:rPr>
                <w:rFonts w:ascii="Arial Narrow" w:hAnsi="Arial Narrow" w:cs="Times New Roman"/>
                <w:snapToGrid w:val="0"/>
                <w:sz w:val="18"/>
                <w:szCs w:val="18"/>
                <w:lang w:val="en-GB"/>
              </w:rPr>
            </w:pPr>
            <w:r w:rsidRPr="00870F84">
              <w:rPr>
                <w:rFonts w:ascii="Arial Narrow" w:hAnsi="Arial Narrow" w:cs="Times New Roman"/>
                <w:snapToGrid w:val="0"/>
                <w:sz w:val="18"/>
                <w:szCs w:val="18"/>
                <w:lang w:val="en-GB"/>
              </w:rPr>
              <w:t xml:space="preserve">Where the full number of repeat prescriptions have not been requested under any initial or continuing listing, apply for the balance of the supply of the repeats under any treatment phase listing containing the words “balance of supply”. </w:t>
            </w:r>
          </w:p>
          <w:p w14:paraId="6CD51DD0" w14:textId="77777777" w:rsidR="00870F84" w:rsidRPr="00870F84" w:rsidRDefault="00870F84" w:rsidP="00870F84">
            <w:pPr>
              <w:shd w:val="clear" w:color="auto" w:fill="FFFFFF"/>
              <w:jc w:val="left"/>
              <w:textAlignment w:val="baseline"/>
              <w:rPr>
                <w:rFonts w:ascii="Arial Narrow" w:hAnsi="Arial Narrow" w:cs="Times New Roman"/>
                <w:snapToGrid w:val="0"/>
                <w:sz w:val="18"/>
                <w:szCs w:val="18"/>
                <w:lang w:val="en-GB"/>
              </w:rPr>
            </w:pPr>
            <w:r w:rsidRPr="00870F84">
              <w:rPr>
                <w:rFonts w:ascii="Arial Narrow" w:hAnsi="Arial Narrow" w:cs="Times New Roman"/>
                <w:snapToGrid w:val="0"/>
                <w:sz w:val="18"/>
                <w:szCs w:val="18"/>
                <w:lang w:val="en-GB"/>
              </w:rPr>
              <w:t xml:space="preserve"> </w:t>
            </w:r>
          </w:p>
        </w:tc>
      </w:tr>
    </w:tbl>
    <w:p w14:paraId="74C7BB5C" w14:textId="77777777" w:rsidR="00870F84" w:rsidRPr="00870F84" w:rsidRDefault="00870F84" w:rsidP="00870F84">
      <w:pPr>
        <w:widowControl w:val="0"/>
        <w:rPr>
          <w:rFonts w:ascii="Arial" w:hAnsi="Arial"/>
          <w:snapToGrid w:val="0"/>
          <w:sz w:val="22"/>
          <w:szCs w:val="20"/>
          <w:lang w:val="en-GB" w:eastAsia="en-US"/>
        </w:rPr>
      </w:pPr>
    </w:p>
    <w:p w14:paraId="12C0B404" w14:textId="77777777" w:rsidR="00AA2B58" w:rsidRPr="00423AB1" w:rsidRDefault="00AA2B58" w:rsidP="00AA2B58">
      <w:pPr>
        <w:jc w:val="left"/>
      </w:pPr>
      <w:r w:rsidRPr="00423AB1">
        <w:rPr>
          <w:b/>
          <w:bCs/>
          <w:i/>
        </w:rPr>
        <w:t>This restriction may be subject to further review. Should there be any changes made to the restriction the Sponsor will be informed.</w:t>
      </w:r>
    </w:p>
    <w:p w14:paraId="46EF28A2" w14:textId="53BA8318" w:rsidR="00753B29" w:rsidRDefault="00753B29">
      <w:pPr>
        <w:jc w:val="left"/>
        <w:rPr>
          <w:rFonts w:ascii="Arial Narrow" w:hAnsi="Arial Narrow"/>
          <w:b/>
          <w:snapToGrid w:val="0"/>
          <w:sz w:val="18"/>
          <w:szCs w:val="18"/>
        </w:rPr>
      </w:pPr>
    </w:p>
    <w:p w14:paraId="0CB135D3" w14:textId="77777777" w:rsidR="000C7578" w:rsidRDefault="000C7578" w:rsidP="000C7578">
      <w:pPr>
        <w:pStyle w:val="2-SectionHeading"/>
        <w:numPr>
          <w:ilvl w:val="0"/>
          <w:numId w:val="1"/>
        </w:numPr>
        <w:rPr>
          <w:bCs/>
          <w:lang w:val="en-GB"/>
        </w:rPr>
      </w:pPr>
      <w:r w:rsidRPr="00C07617">
        <w:t>Context for Decision</w:t>
      </w:r>
    </w:p>
    <w:p w14:paraId="056A9DB2" w14:textId="77777777" w:rsidR="000C7578" w:rsidRPr="007129F2" w:rsidRDefault="000C7578" w:rsidP="000C7578">
      <w:pPr>
        <w:spacing w:after="120"/>
        <w:ind w:left="720"/>
        <w:rPr>
          <w:rFonts w:asciiTheme="minorHAnsi" w:hAnsiTheme="minorHAnsi"/>
          <w:bCs/>
          <w:lang w:val="en-GB"/>
        </w:rPr>
      </w:pPr>
      <w:r w:rsidRPr="007129F2">
        <w:rPr>
          <w:rFonts w:asciiTheme="minorHAnsi" w:hAnsiTheme="minorHAnsi"/>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w:t>
      </w:r>
      <w:r w:rsidRPr="007129F2">
        <w:rPr>
          <w:rFonts w:asciiTheme="minorHAnsi" w:hAnsiTheme="minorHAnsi"/>
          <w:bCs/>
          <w:lang w:val="en-GB"/>
        </w:rPr>
        <w:lastRenderedPageBreak/>
        <w:t>merits of the medicine or the circumstances in which it should be made available through the PBS. The PBAC welcomes applications containing new information at any time.</w:t>
      </w:r>
    </w:p>
    <w:p w14:paraId="6630786C" w14:textId="77777777" w:rsidR="000C7578" w:rsidRPr="00C07617" w:rsidRDefault="000C7578" w:rsidP="000C7578">
      <w:pPr>
        <w:pStyle w:val="2-SectionHeading"/>
        <w:numPr>
          <w:ilvl w:val="0"/>
          <w:numId w:val="1"/>
        </w:numPr>
        <w:rPr>
          <w:b w:val="0"/>
        </w:rPr>
      </w:pPr>
      <w:r>
        <w:t>Sponsor’s Comment</w:t>
      </w:r>
    </w:p>
    <w:p w14:paraId="3543FF98" w14:textId="7CF86902" w:rsidR="000C7578" w:rsidRPr="00F9776F" w:rsidRDefault="000C7578" w:rsidP="000C7578">
      <w:pPr>
        <w:ind w:left="720"/>
        <w:jc w:val="left"/>
        <w:rPr>
          <w:rFonts w:ascii="Arial Narrow" w:hAnsi="Arial Narrow"/>
          <w:b/>
          <w:snapToGrid w:val="0"/>
          <w:sz w:val="18"/>
          <w:szCs w:val="18"/>
        </w:rPr>
      </w:pPr>
      <w:r w:rsidRPr="001F1884">
        <w:rPr>
          <w:rFonts w:asciiTheme="minorHAnsi" w:hAnsiTheme="minorHAnsi"/>
          <w:snapToGrid w:val="0"/>
          <w:lang w:val="en-GB"/>
        </w:rPr>
        <w:t>The Sponsor looks forward to continuing to work with the PBAC and the Department of Health to provide access to ozanimod for the treatment of moderate to severe ulcerative colitis (MSUC).</w:t>
      </w:r>
    </w:p>
    <w:sectPr w:rsidR="000C7578" w:rsidRPr="00F9776F" w:rsidSect="003D6FB5">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AB264" w14:textId="77777777" w:rsidR="00C655F9" w:rsidRDefault="00C655F9" w:rsidP="00124A51">
      <w:r>
        <w:separator/>
      </w:r>
    </w:p>
    <w:p w14:paraId="07BA98D3" w14:textId="77777777" w:rsidR="00C655F9" w:rsidRDefault="00C655F9"/>
  </w:endnote>
  <w:endnote w:type="continuationSeparator" w:id="0">
    <w:p w14:paraId="477603AA" w14:textId="77777777" w:rsidR="00C655F9" w:rsidRDefault="00C655F9" w:rsidP="00124A51">
      <w:r>
        <w:continuationSeparator/>
      </w:r>
    </w:p>
    <w:p w14:paraId="15776727" w14:textId="77777777" w:rsidR="00C655F9" w:rsidRDefault="00C655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TimesNewRoman">
    <w:altName w:val="Yu Gothic"/>
    <w:panose1 w:val="00000000000000000000"/>
    <w:charset w:val="80"/>
    <w:family w:val="auto"/>
    <w:notTrueType/>
    <w:pitch w:val="default"/>
    <w:sig w:usb0="00000001" w:usb1="08070000" w:usb2="00000010" w:usb3="00000000" w:csb0="00020000"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02F53" w14:textId="77777777" w:rsidR="004F6E8E" w:rsidRDefault="004F6E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25E99B9A" w:rsidR="00082D83" w:rsidRDefault="00082D83" w:rsidP="00753B29">
    <w:pPr>
      <w:pStyle w:val="Footer"/>
      <w:jc w:val="center"/>
    </w:pPr>
  </w:p>
  <w:p w14:paraId="37484CD3" w14:textId="5A5B568B" w:rsidR="00082D83" w:rsidRPr="00B716DE" w:rsidRDefault="00340AC7" w:rsidP="00753B29">
    <w:pPr>
      <w:pStyle w:val="Footer"/>
      <w:jc w:val="center"/>
      <w:rPr>
        <w:b/>
        <w:bCs/>
      </w:rPr>
    </w:pPr>
    <w:sdt>
      <w:sdtPr>
        <w:rPr>
          <w:b/>
          <w:bCs/>
        </w:rPr>
        <w:id w:val="1036156457"/>
        <w:docPartObj>
          <w:docPartGallery w:val="Page Numbers (Bottom of Page)"/>
          <w:docPartUnique/>
        </w:docPartObj>
      </w:sdtPr>
      <w:sdtEndPr>
        <w:rPr>
          <w:noProof/>
        </w:rPr>
      </w:sdtEndPr>
      <w:sdtContent>
        <w:r w:rsidR="00082D83" w:rsidRPr="00B716DE">
          <w:rPr>
            <w:b/>
            <w:bCs/>
          </w:rPr>
          <w:fldChar w:fldCharType="begin"/>
        </w:r>
        <w:r w:rsidR="00082D83" w:rsidRPr="00B716DE">
          <w:rPr>
            <w:b/>
            <w:bCs/>
          </w:rPr>
          <w:instrText xml:space="preserve"> PAGE   \* MERGEFORMAT </w:instrText>
        </w:r>
        <w:r w:rsidR="00082D83" w:rsidRPr="00B716DE">
          <w:rPr>
            <w:b/>
            <w:bCs/>
          </w:rPr>
          <w:fldChar w:fldCharType="separate"/>
        </w:r>
        <w:r w:rsidR="00082D83" w:rsidRPr="00B716DE">
          <w:rPr>
            <w:b/>
            <w:bCs/>
            <w:noProof/>
          </w:rPr>
          <w:t>2</w:t>
        </w:r>
        <w:r w:rsidR="00082D83" w:rsidRPr="00B716DE">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5E75" w14:textId="77777777" w:rsidR="004F6E8E" w:rsidRDefault="004F6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27B65" w14:textId="77777777" w:rsidR="00C655F9" w:rsidRDefault="00C655F9" w:rsidP="00124A51">
      <w:r>
        <w:separator/>
      </w:r>
    </w:p>
    <w:p w14:paraId="2F64CAED" w14:textId="77777777" w:rsidR="00C655F9" w:rsidRDefault="00C655F9"/>
  </w:footnote>
  <w:footnote w:type="continuationSeparator" w:id="0">
    <w:p w14:paraId="7E3FB295" w14:textId="77777777" w:rsidR="00C655F9" w:rsidRDefault="00C655F9" w:rsidP="00124A51">
      <w:r>
        <w:continuationSeparator/>
      </w:r>
    </w:p>
    <w:p w14:paraId="6CB2EDFF" w14:textId="77777777" w:rsidR="00C655F9" w:rsidRDefault="00C655F9"/>
  </w:footnote>
  <w:footnote w:id="1">
    <w:p w14:paraId="014B9BFD" w14:textId="1D0B5902" w:rsidR="00082D83" w:rsidRDefault="00082D83">
      <w:pPr>
        <w:pStyle w:val="FootnoteText"/>
      </w:pPr>
      <w:r>
        <w:rPr>
          <w:rStyle w:val="FootnoteReference"/>
        </w:rPr>
        <w:footnoteRef/>
      </w:r>
      <w:r>
        <w:t xml:space="preserve"> Source: Tables 1 and 2 </w:t>
      </w:r>
      <w:r w:rsidRPr="00872009">
        <w:t xml:space="preserve">Dubinsky, M.C., Betts, K.A., Yin, L., </w:t>
      </w:r>
      <w:proofErr w:type="spellStart"/>
      <w:r w:rsidRPr="00872009">
        <w:t>Eren</w:t>
      </w:r>
      <w:proofErr w:type="spellEnd"/>
      <w:r w:rsidRPr="00872009">
        <w:t>, D., Tang, W., Gupte-Singh, K. (10/2021). Comparative Efficacy and Safety of Ozanimod and Adalimumab in Patients with Moderately to Severely Active Ulcerative Colitis. [Poster]. United European Gastroenterology (UEG) Week Virtual 2021.</w:t>
      </w:r>
    </w:p>
  </w:footnote>
  <w:footnote w:id="2">
    <w:p w14:paraId="0B7A0C33" w14:textId="7E328573" w:rsidR="00082D83" w:rsidRDefault="00082D83">
      <w:pPr>
        <w:pStyle w:val="FootnoteText"/>
      </w:pPr>
      <w:r>
        <w:rPr>
          <w:rStyle w:val="FootnoteReference"/>
        </w:rPr>
        <w:footnoteRef/>
      </w:r>
      <w:r>
        <w:t xml:space="preserve"> </w:t>
      </w:r>
      <w:r w:rsidRPr="008736C8">
        <w:t>ICER. Targeted Immune Modulators for Ulcerative Colitis: Effectiveness and Value; Final Evidence Report and Meeting Summary. 2020.</w:t>
      </w:r>
    </w:p>
  </w:footnote>
  <w:footnote w:id="3">
    <w:p w14:paraId="7916D94B" w14:textId="03C566FE" w:rsidR="00082D83" w:rsidRDefault="00082D83">
      <w:pPr>
        <w:pStyle w:val="FootnoteText"/>
      </w:pPr>
      <w:r>
        <w:rPr>
          <w:rStyle w:val="FootnoteReference"/>
        </w:rPr>
        <w:footnoteRef/>
      </w:r>
      <w:r>
        <w:t xml:space="preserve"> The credible interval/</w:t>
      </w:r>
      <w:proofErr w:type="spellStart"/>
      <w:r>
        <w:t>Crl</w:t>
      </w:r>
      <w:proofErr w:type="spellEnd"/>
      <w:r>
        <w:t xml:space="preserve"> in Bayesian statistics refers to the interval within which an unobserved parameter value falls within a particular probability and differs from the frequentist 95% confidence interval.</w:t>
      </w:r>
    </w:p>
  </w:footnote>
  <w:footnote w:id="4">
    <w:p w14:paraId="32BD23D8" w14:textId="4AA25C2E" w:rsidR="00181D16" w:rsidRDefault="00181D16">
      <w:pPr>
        <w:pStyle w:val="FootnoteText"/>
      </w:pPr>
      <w:r>
        <w:rPr>
          <w:rStyle w:val="FootnoteReference"/>
        </w:rPr>
        <w:footnoteRef/>
      </w:r>
      <w:r>
        <w:t xml:space="preserve"> </w:t>
      </w:r>
      <w:r w:rsidRPr="00F12A5F">
        <w:t xml:space="preserve">Dias, </w:t>
      </w:r>
      <w:r>
        <w:t xml:space="preserve">S., </w:t>
      </w:r>
      <w:r w:rsidRPr="00F12A5F">
        <w:t xml:space="preserve">Sutton, </w:t>
      </w:r>
      <w:r>
        <w:t xml:space="preserve">A., </w:t>
      </w:r>
      <w:r w:rsidRPr="00F12A5F">
        <w:t>Welton</w:t>
      </w:r>
      <w:r>
        <w:t>, N.,</w:t>
      </w:r>
      <w:r w:rsidRPr="00F12A5F">
        <w:t xml:space="preserve"> Ades, A</w:t>
      </w:r>
      <w:r>
        <w:t>E</w:t>
      </w:r>
      <w:r w:rsidRPr="00F12A5F">
        <w:t>. (201</w:t>
      </w:r>
      <w:r>
        <w:t>2</w:t>
      </w:r>
      <w:r w:rsidRPr="00F12A5F">
        <w:t xml:space="preserve">). NICE DSU Technical Support Document </w:t>
      </w:r>
      <w:r>
        <w:t>3</w:t>
      </w:r>
      <w:r w:rsidRPr="00F12A5F">
        <w:t xml:space="preserve">: </w:t>
      </w:r>
      <w:r>
        <w:t xml:space="preserve">Heterogeneity: Subgroups, meta-regression, </w:t>
      </w:r>
      <w:proofErr w:type="gramStart"/>
      <w:r>
        <w:t>bias</w:t>
      </w:r>
      <w:proofErr w:type="gramEnd"/>
      <w:r>
        <w:t xml:space="preserve"> and bias-adjustment.</w:t>
      </w:r>
      <w:r w:rsidRPr="00F12A5F">
        <w:t xml:space="preserve"> </w:t>
      </w:r>
      <w:r>
        <w:t xml:space="preserve">Decision Support Unit, </w:t>
      </w:r>
      <w:proofErr w:type="spellStart"/>
      <w:r>
        <w:t>ScHARR</w:t>
      </w:r>
      <w:proofErr w:type="spellEnd"/>
      <w:r>
        <w:t>, University of Sheffield (UK).</w:t>
      </w:r>
    </w:p>
  </w:footnote>
  <w:footnote w:id="5">
    <w:p w14:paraId="7191FB4D" w14:textId="41E22D8C" w:rsidR="007814BB" w:rsidRDefault="007814BB">
      <w:pPr>
        <w:pStyle w:val="FootnoteText"/>
      </w:pPr>
      <w:r>
        <w:rPr>
          <w:rStyle w:val="FootnoteReference"/>
        </w:rPr>
        <w:footnoteRef/>
      </w:r>
      <w:r>
        <w:t xml:space="preserve"> Inconsistency refers to where the direct and indirect evidence in an NMA do not concur; heterogeneity refers to variation in study outcomes between studies.</w:t>
      </w:r>
    </w:p>
  </w:footnote>
  <w:footnote w:id="6">
    <w:p w14:paraId="60D6BD35" w14:textId="21D6C145" w:rsidR="00F9776F" w:rsidRDefault="00F9776F">
      <w:pPr>
        <w:pStyle w:val="FootnoteText"/>
      </w:pPr>
      <w:r>
        <w:rPr>
          <w:rStyle w:val="FootnoteReference"/>
        </w:rPr>
        <w:footnoteRef/>
      </w:r>
      <w:r>
        <w:t xml:space="preserve"> </w:t>
      </w:r>
      <w:proofErr w:type="spellStart"/>
      <w:r w:rsidRPr="00F9776F">
        <w:t>Sandborn</w:t>
      </w:r>
      <w:proofErr w:type="spellEnd"/>
      <w:r w:rsidRPr="00F9776F">
        <w:t xml:space="preserve"> WJ, </w:t>
      </w:r>
      <w:proofErr w:type="spellStart"/>
      <w:r w:rsidRPr="00F9776F">
        <w:t>Feagan</w:t>
      </w:r>
      <w:proofErr w:type="spellEnd"/>
      <w:r w:rsidRPr="00F9776F">
        <w:t xml:space="preserve"> BG, </w:t>
      </w:r>
      <w:proofErr w:type="spellStart"/>
      <w:r w:rsidRPr="00F9776F">
        <w:t>Marano</w:t>
      </w:r>
      <w:proofErr w:type="spellEnd"/>
      <w:r w:rsidRPr="00F9776F">
        <w:t xml:space="preserve"> C, et al; PURSUIT-SC Study Group. Subcutaneous golimumab induces clinical response and remission in patients with moderate-to-severe ulcerative colitis. Gastroenterology. 2014; 146:85-95.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D6527" w14:textId="77777777" w:rsidR="004F6E8E" w:rsidRDefault="004F6E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C5B71" w14:textId="40ACE937" w:rsidR="00B716DE" w:rsidRPr="00056684" w:rsidRDefault="00955601" w:rsidP="00B716DE">
    <w:pPr>
      <w:pStyle w:val="Header"/>
      <w:ind w:left="360"/>
      <w:rPr>
        <w:rFonts w:asciiTheme="minorHAnsi" w:hAnsiTheme="minorHAnsi"/>
        <w:i/>
        <w:color w:val="808080"/>
      </w:rPr>
    </w:pPr>
    <w:r>
      <w:rPr>
        <w:rFonts w:asciiTheme="minorHAnsi" w:hAnsiTheme="minorHAnsi"/>
        <w:i/>
        <w:color w:val="808080"/>
      </w:rPr>
      <w:t>Public Summary Document</w:t>
    </w:r>
    <w:r w:rsidR="00B716DE" w:rsidRPr="00056684">
      <w:rPr>
        <w:rFonts w:asciiTheme="minorHAnsi" w:hAnsiTheme="minorHAnsi"/>
        <w:i/>
        <w:color w:val="808080"/>
      </w:rPr>
      <w:t xml:space="preserve"> –</w:t>
    </w:r>
    <w:r w:rsidR="00B716DE">
      <w:rPr>
        <w:rFonts w:asciiTheme="minorHAnsi" w:hAnsiTheme="minorHAnsi"/>
        <w:i/>
        <w:color w:val="808080"/>
      </w:rPr>
      <w:t xml:space="preserve"> November 2022</w:t>
    </w:r>
    <w:r w:rsidR="00B716DE" w:rsidRPr="00056684">
      <w:rPr>
        <w:rFonts w:asciiTheme="minorHAnsi" w:hAnsiTheme="minorHAnsi"/>
        <w:i/>
        <w:color w:val="808080"/>
      </w:rPr>
      <w:t xml:space="preserve"> PBAC Meeting</w:t>
    </w:r>
  </w:p>
  <w:p w14:paraId="5E9DD38F" w14:textId="77777777" w:rsidR="00B716DE" w:rsidRPr="008C7ECB" w:rsidRDefault="00B716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7742C" w14:textId="77777777" w:rsidR="004F6E8E" w:rsidRDefault="004F6E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7742F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A0001"/>
    <w:multiLevelType w:val="hybridMultilevel"/>
    <w:tmpl w:val="AB822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2343B7D"/>
    <w:multiLevelType w:val="hybridMultilevel"/>
    <w:tmpl w:val="3B140150"/>
    <w:lvl w:ilvl="0" w:tplc="C5C80ADE">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2348A9"/>
    <w:multiLevelType w:val="hybridMultilevel"/>
    <w:tmpl w:val="A000B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B44BCA"/>
    <w:multiLevelType w:val="hybridMultilevel"/>
    <w:tmpl w:val="B4C6B2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CCF7499"/>
    <w:multiLevelType w:val="hybridMultilevel"/>
    <w:tmpl w:val="0652DC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FB219F8"/>
    <w:multiLevelType w:val="hybridMultilevel"/>
    <w:tmpl w:val="5CD60F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B6274A"/>
    <w:multiLevelType w:val="hybridMultilevel"/>
    <w:tmpl w:val="F1DC1B22"/>
    <w:lvl w:ilvl="0" w:tplc="5A04D296">
      <w:start w:val="1"/>
      <w:numFmt w:val="decimal"/>
      <w:lvlText w:val="%1."/>
      <w:lvlJc w:val="left"/>
      <w:pPr>
        <w:ind w:left="1778" w:hanging="360"/>
      </w:pPr>
      <w:rPr>
        <w:rFonts w:hint="default"/>
        <w:b w:val="0"/>
        <w:bCs/>
        <w:color w:val="auto"/>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923C3C"/>
    <w:multiLevelType w:val="hybridMultilevel"/>
    <w:tmpl w:val="EE5CCAE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A5C1AAE"/>
    <w:multiLevelType w:val="hybridMultilevel"/>
    <w:tmpl w:val="5396026E"/>
    <w:lvl w:ilvl="0" w:tplc="0C090001">
      <w:start w:val="1"/>
      <w:numFmt w:val="bullet"/>
      <w:lvlText w:val=""/>
      <w:lvlJc w:val="left"/>
      <w:pPr>
        <w:ind w:left="1490" w:hanging="360"/>
      </w:pPr>
      <w:rPr>
        <w:rFonts w:ascii="Symbol" w:hAnsi="Symbol" w:hint="default"/>
      </w:rPr>
    </w:lvl>
    <w:lvl w:ilvl="1" w:tplc="0C090003" w:tentative="1">
      <w:start w:val="1"/>
      <w:numFmt w:val="bullet"/>
      <w:lvlText w:val="o"/>
      <w:lvlJc w:val="left"/>
      <w:pPr>
        <w:ind w:left="2210" w:hanging="360"/>
      </w:pPr>
      <w:rPr>
        <w:rFonts w:ascii="Courier New" w:hAnsi="Courier New" w:cs="Courier New" w:hint="default"/>
      </w:rPr>
    </w:lvl>
    <w:lvl w:ilvl="2" w:tplc="0C090005" w:tentative="1">
      <w:start w:val="1"/>
      <w:numFmt w:val="bullet"/>
      <w:lvlText w:val=""/>
      <w:lvlJc w:val="left"/>
      <w:pPr>
        <w:ind w:left="2930" w:hanging="360"/>
      </w:pPr>
      <w:rPr>
        <w:rFonts w:ascii="Wingdings" w:hAnsi="Wingdings" w:hint="default"/>
      </w:rPr>
    </w:lvl>
    <w:lvl w:ilvl="3" w:tplc="0C090001" w:tentative="1">
      <w:start w:val="1"/>
      <w:numFmt w:val="bullet"/>
      <w:lvlText w:val=""/>
      <w:lvlJc w:val="left"/>
      <w:pPr>
        <w:ind w:left="3650" w:hanging="360"/>
      </w:pPr>
      <w:rPr>
        <w:rFonts w:ascii="Symbol" w:hAnsi="Symbol" w:hint="default"/>
      </w:rPr>
    </w:lvl>
    <w:lvl w:ilvl="4" w:tplc="0C090003" w:tentative="1">
      <w:start w:val="1"/>
      <w:numFmt w:val="bullet"/>
      <w:lvlText w:val="o"/>
      <w:lvlJc w:val="left"/>
      <w:pPr>
        <w:ind w:left="4370" w:hanging="360"/>
      </w:pPr>
      <w:rPr>
        <w:rFonts w:ascii="Courier New" w:hAnsi="Courier New" w:cs="Courier New" w:hint="default"/>
      </w:rPr>
    </w:lvl>
    <w:lvl w:ilvl="5" w:tplc="0C090005" w:tentative="1">
      <w:start w:val="1"/>
      <w:numFmt w:val="bullet"/>
      <w:lvlText w:val=""/>
      <w:lvlJc w:val="left"/>
      <w:pPr>
        <w:ind w:left="5090" w:hanging="360"/>
      </w:pPr>
      <w:rPr>
        <w:rFonts w:ascii="Wingdings" w:hAnsi="Wingdings" w:hint="default"/>
      </w:rPr>
    </w:lvl>
    <w:lvl w:ilvl="6" w:tplc="0C090001" w:tentative="1">
      <w:start w:val="1"/>
      <w:numFmt w:val="bullet"/>
      <w:lvlText w:val=""/>
      <w:lvlJc w:val="left"/>
      <w:pPr>
        <w:ind w:left="5810" w:hanging="360"/>
      </w:pPr>
      <w:rPr>
        <w:rFonts w:ascii="Symbol" w:hAnsi="Symbol" w:hint="default"/>
      </w:rPr>
    </w:lvl>
    <w:lvl w:ilvl="7" w:tplc="0C090003" w:tentative="1">
      <w:start w:val="1"/>
      <w:numFmt w:val="bullet"/>
      <w:lvlText w:val="o"/>
      <w:lvlJc w:val="left"/>
      <w:pPr>
        <w:ind w:left="6530" w:hanging="360"/>
      </w:pPr>
      <w:rPr>
        <w:rFonts w:ascii="Courier New" w:hAnsi="Courier New" w:cs="Courier New" w:hint="default"/>
      </w:rPr>
    </w:lvl>
    <w:lvl w:ilvl="8" w:tplc="0C090005" w:tentative="1">
      <w:start w:val="1"/>
      <w:numFmt w:val="bullet"/>
      <w:lvlText w:val=""/>
      <w:lvlJc w:val="left"/>
      <w:pPr>
        <w:ind w:left="7250" w:hanging="360"/>
      </w:pPr>
      <w:rPr>
        <w:rFonts w:ascii="Wingdings" w:hAnsi="Wingdings" w:hint="default"/>
      </w:rPr>
    </w:lvl>
  </w:abstractNum>
  <w:abstractNum w:abstractNumId="15" w15:restartNumberingAfterBreak="0">
    <w:nsid w:val="3FAD01D7"/>
    <w:multiLevelType w:val="hybridMultilevel"/>
    <w:tmpl w:val="85885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C55F0F"/>
    <w:multiLevelType w:val="hybridMultilevel"/>
    <w:tmpl w:val="08AE3A7A"/>
    <w:lvl w:ilvl="0" w:tplc="DA14E322">
      <w:start w:val="1"/>
      <w:numFmt w:val="bullet"/>
      <w:lvlText w:val="•"/>
      <w:lvlJc w:val="left"/>
      <w:pPr>
        <w:tabs>
          <w:tab w:val="num" w:pos="720"/>
        </w:tabs>
        <w:ind w:left="720" w:hanging="360"/>
      </w:pPr>
      <w:rPr>
        <w:rFonts w:ascii="Arial" w:hAnsi="Arial" w:hint="default"/>
      </w:rPr>
    </w:lvl>
    <w:lvl w:ilvl="1" w:tplc="13B0ADC8" w:tentative="1">
      <w:start w:val="1"/>
      <w:numFmt w:val="bullet"/>
      <w:lvlText w:val="•"/>
      <w:lvlJc w:val="left"/>
      <w:pPr>
        <w:tabs>
          <w:tab w:val="num" w:pos="1440"/>
        </w:tabs>
        <w:ind w:left="1440" w:hanging="360"/>
      </w:pPr>
      <w:rPr>
        <w:rFonts w:ascii="Arial" w:hAnsi="Arial" w:hint="default"/>
      </w:rPr>
    </w:lvl>
    <w:lvl w:ilvl="2" w:tplc="4CC45D78" w:tentative="1">
      <w:start w:val="1"/>
      <w:numFmt w:val="bullet"/>
      <w:lvlText w:val="•"/>
      <w:lvlJc w:val="left"/>
      <w:pPr>
        <w:tabs>
          <w:tab w:val="num" w:pos="2160"/>
        </w:tabs>
        <w:ind w:left="2160" w:hanging="360"/>
      </w:pPr>
      <w:rPr>
        <w:rFonts w:ascii="Arial" w:hAnsi="Arial" w:hint="default"/>
      </w:rPr>
    </w:lvl>
    <w:lvl w:ilvl="3" w:tplc="232EF08A" w:tentative="1">
      <w:start w:val="1"/>
      <w:numFmt w:val="bullet"/>
      <w:lvlText w:val="•"/>
      <w:lvlJc w:val="left"/>
      <w:pPr>
        <w:tabs>
          <w:tab w:val="num" w:pos="2880"/>
        </w:tabs>
        <w:ind w:left="2880" w:hanging="360"/>
      </w:pPr>
      <w:rPr>
        <w:rFonts w:ascii="Arial" w:hAnsi="Arial" w:hint="default"/>
      </w:rPr>
    </w:lvl>
    <w:lvl w:ilvl="4" w:tplc="6F708924" w:tentative="1">
      <w:start w:val="1"/>
      <w:numFmt w:val="bullet"/>
      <w:lvlText w:val="•"/>
      <w:lvlJc w:val="left"/>
      <w:pPr>
        <w:tabs>
          <w:tab w:val="num" w:pos="3600"/>
        </w:tabs>
        <w:ind w:left="3600" w:hanging="360"/>
      </w:pPr>
      <w:rPr>
        <w:rFonts w:ascii="Arial" w:hAnsi="Arial" w:hint="default"/>
      </w:rPr>
    </w:lvl>
    <w:lvl w:ilvl="5" w:tplc="BE122DD8" w:tentative="1">
      <w:start w:val="1"/>
      <w:numFmt w:val="bullet"/>
      <w:lvlText w:val="•"/>
      <w:lvlJc w:val="left"/>
      <w:pPr>
        <w:tabs>
          <w:tab w:val="num" w:pos="4320"/>
        </w:tabs>
        <w:ind w:left="4320" w:hanging="360"/>
      </w:pPr>
      <w:rPr>
        <w:rFonts w:ascii="Arial" w:hAnsi="Arial" w:hint="default"/>
      </w:rPr>
    </w:lvl>
    <w:lvl w:ilvl="6" w:tplc="2B468622" w:tentative="1">
      <w:start w:val="1"/>
      <w:numFmt w:val="bullet"/>
      <w:lvlText w:val="•"/>
      <w:lvlJc w:val="left"/>
      <w:pPr>
        <w:tabs>
          <w:tab w:val="num" w:pos="5040"/>
        </w:tabs>
        <w:ind w:left="5040" w:hanging="360"/>
      </w:pPr>
      <w:rPr>
        <w:rFonts w:ascii="Arial" w:hAnsi="Arial" w:hint="default"/>
      </w:rPr>
    </w:lvl>
    <w:lvl w:ilvl="7" w:tplc="42BA2936" w:tentative="1">
      <w:start w:val="1"/>
      <w:numFmt w:val="bullet"/>
      <w:lvlText w:val="•"/>
      <w:lvlJc w:val="left"/>
      <w:pPr>
        <w:tabs>
          <w:tab w:val="num" w:pos="5760"/>
        </w:tabs>
        <w:ind w:left="5760" w:hanging="360"/>
      </w:pPr>
      <w:rPr>
        <w:rFonts w:ascii="Arial" w:hAnsi="Arial" w:hint="default"/>
      </w:rPr>
    </w:lvl>
    <w:lvl w:ilvl="8" w:tplc="72CED69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B157F6C"/>
    <w:multiLevelType w:val="hybridMultilevel"/>
    <w:tmpl w:val="3CE239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5C8400DA"/>
    <w:multiLevelType w:val="hybridMultilevel"/>
    <w:tmpl w:val="A042A2F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3AA2A1D"/>
    <w:multiLevelType w:val="hybridMultilevel"/>
    <w:tmpl w:val="F6F0D6C0"/>
    <w:lvl w:ilvl="0" w:tplc="B464DD0E">
      <w:start w:val="2"/>
      <w:numFmt w:val="bullet"/>
      <w:lvlText w:val=""/>
      <w:lvlJc w:val="left"/>
      <w:pPr>
        <w:ind w:left="720" w:hanging="360"/>
      </w:pPr>
      <w:rPr>
        <w:rFonts w:ascii="Wingdings" w:eastAsiaTheme="minorHAnsi"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1162153"/>
    <w:multiLevelType w:val="hybridMultilevel"/>
    <w:tmpl w:val="415261F6"/>
    <w:lvl w:ilvl="0" w:tplc="0C090001">
      <w:start w:val="1"/>
      <w:numFmt w:val="bullet"/>
      <w:lvlText w:val=""/>
      <w:lvlJc w:val="left"/>
      <w:pPr>
        <w:ind w:left="1500" w:hanging="360"/>
      </w:pPr>
      <w:rPr>
        <w:rFonts w:ascii="Symbol" w:hAnsi="Symbol" w:hint="default"/>
      </w:rPr>
    </w:lvl>
    <w:lvl w:ilvl="1" w:tplc="0C090003">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29" w15:restartNumberingAfterBreak="0">
    <w:nsid w:val="720F6BED"/>
    <w:multiLevelType w:val="hybridMultilevel"/>
    <w:tmpl w:val="7A767E4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74B51C26"/>
    <w:multiLevelType w:val="hybridMultilevel"/>
    <w:tmpl w:val="4D925E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76381817"/>
    <w:multiLevelType w:val="hybridMultilevel"/>
    <w:tmpl w:val="ABDC8B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8E0043B"/>
    <w:multiLevelType w:val="hybridMultilevel"/>
    <w:tmpl w:val="D422D28A"/>
    <w:lvl w:ilvl="0" w:tplc="0C090001">
      <w:start w:val="1"/>
      <w:numFmt w:val="bullet"/>
      <w:lvlText w:val=""/>
      <w:lvlJc w:val="left"/>
      <w:pPr>
        <w:ind w:left="1091" w:hanging="360"/>
      </w:pPr>
      <w:rPr>
        <w:rFonts w:ascii="Symbol" w:hAnsi="Symbol" w:hint="default"/>
      </w:rPr>
    </w:lvl>
    <w:lvl w:ilvl="1" w:tplc="0C090003">
      <w:start w:val="1"/>
      <w:numFmt w:val="bullet"/>
      <w:lvlText w:val="o"/>
      <w:lvlJc w:val="left"/>
      <w:pPr>
        <w:ind w:left="1811" w:hanging="360"/>
      </w:pPr>
      <w:rPr>
        <w:rFonts w:ascii="Courier New" w:hAnsi="Courier New" w:cs="Courier New" w:hint="default"/>
      </w:rPr>
    </w:lvl>
    <w:lvl w:ilvl="2" w:tplc="0C090005" w:tentative="1">
      <w:start w:val="1"/>
      <w:numFmt w:val="bullet"/>
      <w:lvlText w:val=""/>
      <w:lvlJc w:val="left"/>
      <w:pPr>
        <w:ind w:left="2531" w:hanging="360"/>
      </w:pPr>
      <w:rPr>
        <w:rFonts w:ascii="Wingdings" w:hAnsi="Wingdings" w:hint="default"/>
      </w:rPr>
    </w:lvl>
    <w:lvl w:ilvl="3" w:tplc="0C090001" w:tentative="1">
      <w:start w:val="1"/>
      <w:numFmt w:val="bullet"/>
      <w:lvlText w:val=""/>
      <w:lvlJc w:val="left"/>
      <w:pPr>
        <w:ind w:left="3251" w:hanging="360"/>
      </w:pPr>
      <w:rPr>
        <w:rFonts w:ascii="Symbol" w:hAnsi="Symbol" w:hint="default"/>
      </w:rPr>
    </w:lvl>
    <w:lvl w:ilvl="4" w:tplc="0C090003" w:tentative="1">
      <w:start w:val="1"/>
      <w:numFmt w:val="bullet"/>
      <w:lvlText w:val="o"/>
      <w:lvlJc w:val="left"/>
      <w:pPr>
        <w:ind w:left="3971" w:hanging="360"/>
      </w:pPr>
      <w:rPr>
        <w:rFonts w:ascii="Courier New" w:hAnsi="Courier New" w:cs="Courier New" w:hint="default"/>
      </w:rPr>
    </w:lvl>
    <w:lvl w:ilvl="5" w:tplc="0C090005" w:tentative="1">
      <w:start w:val="1"/>
      <w:numFmt w:val="bullet"/>
      <w:lvlText w:val=""/>
      <w:lvlJc w:val="left"/>
      <w:pPr>
        <w:ind w:left="4691" w:hanging="360"/>
      </w:pPr>
      <w:rPr>
        <w:rFonts w:ascii="Wingdings" w:hAnsi="Wingdings" w:hint="default"/>
      </w:rPr>
    </w:lvl>
    <w:lvl w:ilvl="6" w:tplc="0C090001" w:tentative="1">
      <w:start w:val="1"/>
      <w:numFmt w:val="bullet"/>
      <w:lvlText w:val=""/>
      <w:lvlJc w:val="left"/>
      <w:pPr>
        <w:ind w:left="5411" w:hanging="360"/>
      </w:pPr>
      <w:rPr>
        <w:rFonts w:ascii="Symbol" w:hAnsi="Symbol" w:hint="default"/>
      </w:rPr>
    </w:lvl>
    <w:lvl w:ilvl="7" w:tplc="0C090003" w:tentative="1">
      <w:start w:val="1"/>
      <w:numFmt w:val="bullet"/>
      <w:lvlText w:val="o"/>
      <w:lvlJc w:val="left"/>
      <w:pPr>
        <w:ind w:left="6131" w:hanging="360"/>
      </w:pPr>
      <w:rPr>
        <w:rFonts w:ascii="Courier New" w:hAnsi="Courier New" w:cs="Courier New" w:hint="default"/>
      </w:rPr>
    </w:lvl>
    <w:lvl w:ilvl="8" w:tplc="0C090005" w:tentative="1">
      <w:start w:val="1"/>
      <w:numFmt w:val="bullet"/>
      <w:lvlText w:val=""/>
      <w:lvlJc w:val="left"/>
      <w:pPr>
        <w:ind w:left="6851" w:hanging="360"/>
      </w:pPr>
      <w:rPr>
        <w:rFonts w:ascii="Wingdings" w:hAnsi="Wingdings" w:hint="default"/>
      </w:rPr>
    </w:lvl>
  </w:abstractNum>
  <w:abstractNum w:abstractNumId="34" w15:restartNumberingAfterBreak="0">
    <w:nsid w:val="79EC272B"/>
    <w:multiLevelType w:val="hybridMultilevel"/>
    <w:tmpl w:val="D1D8CCE8"/>
    <w:lvl w:ilvl="0" w:tplc="9C34262C">
      <w:start w:val="1"/>
      <w:numFmt w:val="bullet"/>
      <w:lvlText w:val=""/>
      <w:lvlJc w:val="left"/>
      <w:pPr>
        <w:ind w:left="72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ACA5DC4"/>
    <w:multiLevelType w:val="hybridMultilevel"/>
    <w:tmpl w:val="5A3AEBEE"/>
    <w:lvl w:ilvl="0" w:tplc="2E70CC1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D365750"/>
    <w:multiLevelType w:val="hybridMultilevel"/>
    <w:tmpl w:val="E4BCC01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7E44491C"/>
    <w:multiLevelType w:val="hybridMultilevel"/>
    <w:tmpl w:val="E078D94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32"/>
  </w:num>
  <w:num w:numId="2">
    <w:abstractNumId w:val="17"/>
  </w:num>
  <w:num w:numId="3">
    <w:abstractNumId w:val="18"/>
  </w:num>
  <w:num w:numId="4">
    <w:abstractNumId w:val="0"/>
  </w:num>
  <w:num w:numId="5">
    <w:abstractNumId w:val="32"/>
  </w:num>
  <w:num w:numId="6">
    <w:abstractNumId w:val="34"/>
  </w:num>
  <w:num w:numId="7">
    <w:abstractNumId w:val="25"/>
  </w:num>
  <w:num w:numId="8">
    <w:abstractNumId w:val="31"/>
  </w:num>
  <w:num w:numId="9">
    <w:abstractNumId w:val="6"/>
  </w:num>
  <w:num w:numId="10">
    <w:abstractNumId w:val="36"/>
  </w:num>
  <w:num w:numId="11">
    <w:abstractNumId w:val="33"/>
  </w:num>
  <w:num w:numId="12">
    <w:abstractNumId w:val="28"/>
  </w:num>
  <w:num w:numId="13">
    <w:abstractNumId w:val="3"/>
  </w:num>
  <w:num w:numId="14">
    <w:abstractNumId w:val="32"/>
  </w:num>
  <w:num w:numId="15">
    <w:abstractNumId w:val="32"/>
  </w:num>
  <w:num w:numId="16">
    <w:abstractNumId w:val="26"/>
  </w:num>
  <w:num w:numId="17">
    <w:abstractNumId w:val="18"/>
  </w:num>
  <w:num w:numId="18">
    <w:abstractNumId w:val="21"/>
  </w:num>
  <w:num w:numId="19">
    <w:abstractNumId w:val="18"/>
  </w:num>
  <w:num w:numId="20">
    <w:abstractNumId w:val="5"/>
  </w:num>
  <w:num w:numId="21">
    <w:abstractNumId w:val="16"/>
  </w:num>
  <w:num w:numId="22">
    <w:abstractNumId w:val="19"/>
  </w:num>
  <w:num w:numId="23">
    <w:abstractNumId w:val="20"/>
  </w:num>
  <w:num w:numId="24">
    <w:abstractNumId w:val="4"/>
  </w:num>
  <w:num w:numId="25">
    <w:abstractNumId w:val="2"/>
  </w:num>
  <w:num w:numId="26">
    <w:abstractNumId w:val="11"/>
  </w:num>
  <w:num w:numId="27">
    <w:abstractNumId w:val="12"/>
  </w:num>
  <w:num w:numId="28">
    <w:abstractNumId w:val="9"/>
  </w:num>
  <w:num w:numId="2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8"/>
  </w:num>
  <w:num w:numId="32">
    <w:abstractNumId w:val="14"/>
  </w:num>
  <w:num w:numId="33">
    <w:abstractNumId w:val="22"/>
  </w:num>
  <w:num w:numId="34">
    <w:abstractNumId w:val="30"/>
  </w:num>
  <w:num w:numId="35">
    <w:abstractNumId w:val="13"/>
  </w:num>
  <w:num w:numId="36">
    <w:abstractNumId w:val="10"/>
  </w:num>
  <w:num w:numId="37">
    <w:abstractNumId w:val="15"/>
  </w:num>
  <w:num w:numId="38">
    <w:abstractNumId w:val="37"/>
  </w:num>
  <w:num w:numId="39">
    <w:abstractNumId w:val="29"/>
  </w:num>
  <w:num w:numId="40">
    <w:abstractNumId w:val="7"/>
  </w:num>
  <w:num w:numId="41">
    <w:abstractNumId w:val="1"/>
  </w:num>
  <w:num w:numId="42">
    <w:abstractNumId w:val="24"/>
  </w:num>
  <w:num w:numId="43">
    <w:abstractNumId w:val="35"/>
  </w:num>
  <w:num w:numId="44">
    <w:abstractNumId w:val="32"/>
  </w:num>
  <w:num w:numId="45">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110B"/>
    <w:rsid w:val="00003499"/>
    <w:rsid w:val="000039B7"/>
    <w:rsid w:val="000056B9"/>
    <w:rsid w:val="0000639A"/>
    <w:rsid w:val="00013247"/>
    <w:rsid w:val="00015886"/>
    <w:rsid w:val="000162EF"/>
    <w:rsid w:val="000207C9"/>
    <w:rsid w:val="00020824"/>
    <w:rsid w:val="0002225F"/>
    <w:rsid w:val="00023763"/>
    <w:rsid w:val="00024EB5"/>
    <w:rsid w:val="000274B8"/>
    <w:rsid w:val="00033863"/>
    <w:rsid w:val="00035DC0"/>
    <w:rsid w:val="00036829"/>
    <w:rsid w:val="00036CAC"/>
    <w:rsid w:val="00040895"/>
    <w:rsid w:val="00040E32"/>
    <w:rsid w:val="000410A0"/>
    <w:rsid w:val="000435EE"/>
    <w:rsid w:val="00043C37"/>
    <w:rsid w:val="00045017"/>
    <w:rsid w:val="00045A2B"/>
    <w:rsid w:val="0004698F"/>
    <w:rsid w:val="00046D64"/>
    <w:rsid w:val="000508C2"/>
    <w:rsid w:val="000539D0"/>
    <w:rsid w:val="00054621"/>
    <w:rsid w:val="000546D7"/>
    <w:rsid w:val="00054A8D"/>
    <w:rsid w:val="00056ECF"/>
    <w:rsid w:val="000604DF"/>
    <w:rsid w:val="00062324"/>
    <w:rsid w:val="00063566"/>
    <w:rsid w:val="000653B5"/>
    <w:rsid w:val="00066360"/>
    <w:rsid w:val="00066AF8"/>
    <w:rsid w:val="00067F22"/>
    <w:rsid w:val="00071248"/>
    <w:rsid w:val="00072062"/>
    <w:rsid w:val="000720B9"/>
    <w:rsid w:val="00072229"/>
    <w:rsid w:val="00072277"/>
    <w:rsid w:val="000735A1"/>
    <w:rsid w:val="000737F7"/>
    <w:rsid w:val="0007672F"/>
    <w:rsid w:val="00076B54"/>
    <w:rsid w:val="000774F0"/>
    <w:rsid w:val="00080909"/>
    <w:rsid w:val="000812CA"/>
    <w:rsid w:val="00081E63"/>
    <w:rsid w:val="0008258D"/>
    <w:rsid w:val="00082636"/>
    <w:rsid w:val="00082D83"/>
    <w:rsid w:val="000839C3"/>
    <w:rsid w:val="00083E99"/>
    <w:rsid w:val="00084FA8"/>
    <w:rsid w:val="000856C5"/>
    <w:rsid w:val="00085C31"/>
    <w:rsid w:val="000902D9"/>
    <w:rsid w:val="00090C7E"/>
    <w:rsid w:val="000911AC"/>
    <w:rsid w:val="00092600"/>
    <w:rsid w:val="0009262B"/>
    <w:rsid w:val="00093310"/>
    <w:rsid w:val="0009382C"/>
    <w:rsid w:val="0009445C"/>
    <w:rsid w:val="00095200"/>
    <w:rsid w:val="00095FE5"/>
    <w:rsid w:val="00096284"/>
    <w:rsid w:val="000A1BC0"/>
    <w:rsid w:val="000A2F9E"/>
    <w:rsid w:val="000A3188"/>
    <w:rsid w:val="000A3E47"/>
    <w:rsid w:val="000A522B"/>
    <w:rsid w:val="000A6039"/>
    <w:rsid w:val="000A7402"/>
    <w:rsid w:val="000A7453"/>
    <w:rsid w:val="000A7D08"/>
    <w:rsid w:val="000B0121"/>
    <w:rsid w:val="000B0670"/>
    <w:rsid w:val="000B0E75"/>
    <w:rsid w:val="000B2DCB"/>
    <w:rsid w:val="000B5CE0"/>
    <w:rsid w:val="000B6CAC"/>
    <w:rsid w:val="000B7612"/>
    <w:rsid w:val="000B78AE"/>
    <w:rsid w:val="000C3DF9"/>
    <w:rsid w:val="000C4CF2"/>
    <w:rsid w:val="000C6713"/>
    <w:rsid w:val="000C7578"/>
    <w:rsid w:val="000D1BFC"/>
    <w:rsid w:val="000D1D5D"/>
    <w:rsid w:val="000D21BF"/>
    <w:rsid w:val="000D281A"/>
    <w:rsid w:val="000D2848"/>
    <w:rsid w:val="000D326A"/>
    <w:rsid w:val="000D51FB"/>
    <w:rsid w:val="000E0640"/>
    <w:rsid w:val="000E135D"/>
    <w:rsid w:val="000E1971"/>
    <w:rsid w:val="000E5BB8"/>
    <w:rsid w:val="000F00BA"/>
    <w:rsid w:val="000F0C82"/>
    <w:rsid w:val="000F316A"/>
    <w:rsid w:val="000F3C74"/>
    <w:rsid w:val="000F4BB8"/>
    <w:rsid w:val="000F4FA9"/>
    <w:rsid w:val="000F53FB"/>
    <w:rsid w:val="000F7127"/>
    <w:rsid w:val="000F7B54"/>
    <w:rsid w:val="001000B3"/>
    <w:rsid w:val="00100F8A"/>
    <w:rsid w:val="00103BD4"/>
    <w:rsid w:val="00103DFB"/>
    <w:rsid w:val="0010452E"/>
    <w:rsid w:val="00105AE2"/>
    <w:rsid w:val="001060C6"/>
    <w:rsid w:val="00106B80"/>
    <w:rsid w:val="00107ECD"/>
    <w:rsid w:val="0011032E"/>
    <w:rsid w:val="0011348B"/>
    <w:rsid w:val="00115982"/>
    <w:rsid w:val="00116C53"/>
    <w:rsid w:val="00121799"/>
    <w:rsid w:val="001222FC"/>
    <w:rsid w:val="00123902"/>
    <w:rsid w:val="00124A51"/>
    <w:rsid w:val="00125B5A"/>
    <w:rsid w:val="00126621"/>
    <w:rsid w:val="00126B1D"/>
    <w:rsid w:val="00127942"/>
    <w:rsid w:val="001301E9"/>
    <w:rsid w:val="001315EB"/>
    <w:rsid w:val="00131D82"/>
    <w:rsid w:val="00132B22"/>
    <w:rsid w:val="00133D36"/>
    <w:rsid w:val="00137645"/>
    <w:rsid w:val="0014015A"/>
    <w:rsid w:val="00140E99"/>
    <w:rsid w:val="00143F67"/>
    <w:rsid w:val="00144415"/>
    <w:rsid w:val="00145234"/>
    <w:rsid w:val="00145540"/>
    <w:rsid w:val="001456B0"/>
    <w:rsid w:val="00145A91"/>
    <w:rsid w:val="001547AB"/>
    <w:rsid w:val="0015651D"/>
    <w:rsid w:val="00156F8F"/>
    <w:rsid w:val="00157130"/>
    <w:rsid w:val="001576B1"/>
    <w:rsid w:val="0016047B"/>
    <w:rsid w:val="00160A4C"/>
    <w:rsid w:val="00162913"/>
    <w:rsid w:val="00163EFF"/>
    <w:rsid w:val="00163F66"/>
    <w:rsid w:val="0016478E"/>
    <w:rsid w:val="00165EC4"/>
    <w:rsid w:val="001661FB"/>
    <w:rsid w:val="001671A0"/>
    <w:rsid w:val="0016767F"/>
    <w:rsid w:val="00173565"/>
    <w:rsid w:val="00173B07"/>
    <w:rsid w:val="001751FA"/>
    <w:rsid w:val="00176400"/>
    <w:rsid w:val="00181C10"/>
    <w:rsid w:val="00181D16"/>
    <w:rsid w:val="00181D9C"/>
    <w:rsid w:val="001837FF"/>
    <w:rsid w:val="00184B0E"/>
    <w:rsid w:val="0018752F"/>
    <w:rsid w:val="00193692"/>
    <w:rsid w:val="00193838"/>
    <w:rsid w:val="00194AD8"/>
    <w:rsid w:val="00194CD8"/>
    <w:rsid w:val="00195222"/>
    <w:rsid w:val="00195452"/>
    <w:rsid w:val="001975D8"/>
    <w:rsid w:val="001A178E"/>
    <w:rsid w:val="001A1968"/>
    <w:rsid w:val="001A43FA"/>
    <w:rsid w:val="001A47C5"/>
    <w:rsid w:val="001A4D3F"/>
    <w:rsid w:val="001A59FB"/>
    <w:rsid w:val="001A5E9E"/>
    <w:rsid w:val="001A6354"/>
    <w:rsid w:val="001A6366"/>
    <w:rsid w:val="001A684C"/>
    <w:rsid w:val="001A7AE8"/>
    <w:rsid w:val="001B1B05"/>
    <w:rsid w:val="001B204E"/>
    <w:rsid w:val="001B2372"/>
    <w:rsid w:val="001B3443"/>
    <w:rsid w:val="001B4D20"/>
    <w:rsid w:val="001B7F28"/>
    <w:rsid w:val="001B7F84"/>
    <w:rsid w:val="001C12F2"/>
    <w:rsid w:val="001C2A9B"/>
    <w:rsid w:val="001C3DD6"/>
    <w:rsid w:val="001C4299"/>
    <w:rsid w:val="001C4874"/>
    <w:rsid w:val="001C5F94"/>
    <w:rsid w:val="001C6E66"/>
    <w:rsid w:val="001D1100"/>
    <w:rsid w:val="001D1391"/>
    <w:rsid w:val="001D25D7"/>
    <w:rsid w:val="001D3717"/>
    <w:rsid w:val="001D49C2"/>
    <w:rsid w:val="001D50B2"/>
    <w:rsid w:val="001D71F4"/>
    <w:rsid w:val="001D7645"/>
    <w:rsid w:val="001D7D5E"/>
    <w:rsid w:val="001E1E86"/>
    <w:rsid w:val="001E238E"/>
    <w:rsid w:val="001E2483"/>
    <w:rsid w:val="001E2598"/>
    <w:rsid w:val="001E2B1E"/>
    <w:rsid w:val="001E2CFF"/>
    <w:rsid w:val="001E2F24"/>
    <w:rsid w:val="001E30D4"/>
    <w:rsid w:val="001E34DF"/>
    <w:rsid w:val="001E52EB"/>
    <w:rsid w:val="001E61D2"/>
    <w:rsid w:val="001E740C"/>
    <w:rsid w:val="001F1235"/>
    <w:rsid w:val="001F1CB3"/>
    <w:rsid w:val="001F38B5"/>
    <w:rsid w:val="001F4081"/>
    <w:rsid w:val="001F5BB7"/>
    <w:rsid w:val="001F7361"/>
    <w:rsid w:val="002011B0"/>
    <w:rsid w:val="00202E4E"/>
    <w:rsid w:val="00203181"/>
    <w:rsid w:val="00203783"/>
    <w:rsid w:val="0020385F"/>
    <w:rsid w:val="002068A0"/>
    <w:rsid w:val="00207021"/>
    <w:rsid w:val="0020732F"/>
    <w:rsid w:val="00207D00"/>
    <w:rsid w:val="002105C1"/>
    <w:rsid w:val="002116FD"/>
    <w:rsid w:val="00213EF5"/>
    <w:rsid w:val="00215155"/>
    <w:rsid w:val="00216BF5"/>
    <w:rsid w:val="002216BF"/>
    <w:rsid w:val="002234EF"/>
    <w:rsid w:val="00223B49"/>
    <w:rsid w:val="00223D5A"/>
    <w:rsid w:val="00223FB2"/>
    <w:rsid w:val="00224DD4"/>
    <w:rsid w:val="002278A0"/>
    <w:rsid w:val="002309CC"/>
    <w:rsid w:val="00231BA9"/>
    <w:rsid w:val="0023209F"/>
    <w:rsid w:val="00233C01"/>
    <w:rsid w:val="0023413C"/>
    <w:rsid w:val="002346F0"/>
    <w:rsid w:val="0023629D"/>
    <w:rsid w:val="00237255"/>
    <w:rsid w:val="002400BA"/>
    <w:rsid w:val="002424AF"/>
    <w:rsid w:val="002439DC"/>
    <w:rsid w:val="002441D2"/>
    <w:rsid w:val="00244DC8"/>
    <w:rsid w:val="002458BA"/>
    <w:rsid w:val="00245900"/>
    <w:rsid w:val="00245CE9"/>
    <w:rsid w:val="0024636C"/>
    <w:rsid w:val="00247925"/>
    <w:rsid w:val="00251006"/>
    <w:rsid w:val="002524D5"/>
    <w:rsid w:val="00253B1D"/>
    <w:rsid w:val="00254DCF"/>
    <w:rsid w:val="0025534B"/>
    <w:rsid w:val="00255BB7"/>
    <w:rsid w:val="00257541"/>
    <w:rsid w:val="00257A39"/>
    <w:rsid w:val="00257AC4"/>
    <w:rsid w:val="00257BBE"/>
    <w:rsid w:val="00261EEF"/>
    <w:rsid w:val="00262A1A"/>
    <w:rsid w:val="00262A87"/>
    <w:rsid w:val="002636EC"/>
    <w:rsid w:val="00264D26"/>
    <w:rsid w:val="00267642"/>
    <w:rsid w:val="00267AEA"/>
    <w:rsid w:val="002700E6"/>
    <w:rsid w:val="0027140A"/>
    <w:rsid w:val="0027294B"/>
    <w:rsid w:val="00273EB4"/>
    <w:rsid w:val="00274682"/>
    <w:rsid w:val="00274B50"/>
    <w:rsid w:val="00275158"/>
    <w:rsid w:val="00275C5A"/>
    <w:rsid w:val="00281014"/>
    <w:rsid w:val="0028254A"/>
    <w:rsid w:val="00285BCE"/>
    <w:rsid w:val="0028665D"/>
    <w:rsid w:val="002968A3"/>
    <w:rsid w:val="002A14AB"/>
    <w:rsid w:val="002A2ADE"/>
    <w:rsid w:val="002A2F50"/>
    <w:rsid w:val="002A7943"/>
    <w:rsid w:val="002B05A1"/>
    <w:rsid w:val="002B09A4"/>
    <w:rsid w:val="002B1C1F"/>
    <w:rsid w:val="002B432F"/>
    <w:rsid w:val="002B62B3"/>
    <w:rsid w:val="002B6754"/>
    <w:rsid w:val="002B6CCE"/>
    <w:rsid w:val="002C2510"/>
    <w:rsid w:val="002C2775"/>
    <w:rsid w:val="002C27C1"/>
    <w:rsid w:val="002C36E3"/>
    <w:rsid w:val="002C5099"/>
    <w:rsid w:val="002C5644"/>
    <w:rsid w:val="002C5889"/>
    <w:rsid w:val="002C71CE"/>
    <w:rsid w:val="002D05D1"/>
    <w:rsid w:val="002D08F8"/>
    <w:rsid w:val="002D577C"/>
    <w:rsid w:val="002D58BB"/>
    <w:rsid w:val="002D7832"/>
    <w:rsid w:val="002E1071"/>
    <w:rsid w:val="002E15B9"/>
    <w:rsid w:val="002E2158"/>
    <w:rsid w:val="002E4F02"/>
    <w:rsid w:val="002E7722"/>
    <w:rsid w:val="002F07BA"/>
    <w:rsid w:val="002F0DA9"/>
    <w:rsid w:val="002F1014"/>
    <w:rsid w:val="002F1E3B"/>
    <w:rsid w:val="002F643C"/>
    <w:rsid w:val="002F6D21"/>
    <w:rsid w:val="002F71C0"/>
    <w:rsid w:val="002F74F1"/>
    <w:rsid w:val="00301017"/>
    <w:rsid w:val="0030139B"/>
    <w:rsid w:val="0030155F"/>
    <w:rsid w:val="00303708"/>
    <w:rsid w:val="0030587B"/>
    <w:rsid w:val="00306D98"/>
    <w:rsid w:val="0030786C"/>
    <w:rsid w:val="0031031A"/>
    <w:rsid w:val="00310981"/>
    <w:rsid w:val="00311D9B"/>
    <w:rsid w:val="003124D9"/>
    <w:rsid w:val="00312594"/>
    <w:rsid w:val="00315498"/>
    <w:rsid w:val="00315E03"/>
    <w:rsid w:val="00316474"/>
    <w:rsid w:val="00322107"/>
    <w:rsid w:val="00322355"/>
    <w:rsid w:val="00322846"/>
    <w:rsid w:val="00324FBC"/>
    <w:rsid w:val="00326DA7"/>
    <w:rsid w:val="003270E4"/>
    <w:rsid w:val="00330DAA"/>
    <w:rsid w:val="00330F5C"/>
    <w:rsid w:val="003342C0"/>
    <w:rsid w:val="00335B91"/>
    <w:rsid w:val="003366C9"/>
    <w:rsid w:val="003371B0"/>
    <w:rsid w:val="00337F18"/>
    <w:rsid w:val="00340AC7"/>
    <w:rsid w:val="00340DF1"/>
    <w:rsid w:val="003443A6"/>
    <w:rsid w:val="0034653F"/>
    <w:rsid w:val="003517F9"/>
    <w:rsid w:val="00351BA9"/>
    <w:rsid w:val="00354F64"/>
    <w:rsid w:val="00355435"/>
    <w:rsid w:val="0035620E"/>
    <w:rsid w:val="003575BE"/>
    <w:rsid w:val="00360345"/>
    <w:rsid w:val="00361A05"/>
    <w:rsid w:val="003624C4"/>
    <w:rsid w:val="00363B00"/>
    <w:rsid w:val="003654AC"/>
    <w:rsid w:val="003710CF"/>
    <w:rsid w:val="00372B89"/>
    <w:rsid w:val="0037358A"/>
    <w:rsid w:val="003750F6"/>
    <w:rsid w:val="003760FC"/>
    <w:rsid w:val="00380C7B"/>
    <w:rsid w:val="0038365C"/>
    <w:rsid w:val="0038369B"/>
    <w:rsid w:val="00383B78"/>
    <w:rsid w:val="00385897"/>
    <w:rsid w:val="00385A9D"/>
    <w:rsid w:val="00387121"/>
    <w:rsid w:val="003872DE"/>
    <w:rsid w:val="003902B1"/>
    <w:rsid w:val="0039179C"/>
    <w:rsid w:val="003944DE"/>
    <w:rsid w:val="00396896"/>
    <w:rsid w:val="00396FD0"/>
    <w:rsid w:val="003A1A7A"/>
    <w:rsid w:val="003A2392"/>
    <w:rsid w:val="003A2831"/>
    <w:rsid w:val="003A3CB6"/>
    <w:rsid w:val="003A3ED1"/>
    <w:rsid w:val="003A44DB"/>
    <w:rsid w:val="003A4C14"/>
    <w:rsid w:val="003A593E"/>
    <w:rsid w:val="003B00F5"/>
    <w:rsid w:val="003B3971"/>
    <w:rsid w:val="003B55D1"/>
    <w:rsid w:val="003B5B61"/>
    <w:rsid w:val="003C1654"/>
    <w:rsid w:val="003C2D86"/>
    <w:rsid w:val="003C5542"/>
    <w:rsid w:val="003C7C15"/>
    <w:rsid w:val="003C7D19"/>
    <w:rsid w:val="003C7D2F"/>
    <w:rsid w:val="003D0C5A"/>
    <w:rsid w:val="003D1828"/>
    <w:rsid w:val="003D1DE4"/>
    <w:rsid w:val="003D1E9A"/>
    <w:rsid w:val="003D2422"/>
    <w:rsid w:val="003D39A1"/>
    <w:rsid w:val="003D3FBF"/>
    <w:rsid w:val="003D4A30"/>
    <w:rsid w:val="003D6FB5"/>
    <w:rsid w:val="003D7452"/>
    <w:rsid w:val="003D79BB"/>
    <w:rsid w:val="003D7C98"/>
    <w:rsid w:val="003D7D9D"/>
    <w:rsid w:val="003E0543"/>
    <w:rsid w:val="003E5603"/>
    <w:rsid w:val="003E749E"/>
    <w:rsid w:val="003F1395"/>
    <w:rsid w:val="003F315D"/>
    <w:rsid w:val="003F3AE3"/>
    <w:rsid w:val="003F4156"/>
    <w:rsid w:val="003F5ADF"/>
    <w:rsid w:val="003F6B45"/>
    <w:rsid w:val="00400B29"/>
    <w:rsid w:val="00402812"/>
    <w:rsid w:val="0040504B"/>
    <w:rsid w:val="004059F4"/>
    <w:rsid w:val="00407FE5"/>
    <w:rsid w:val="004101B0"/>
    <w:rsid w:val="00410326"/>
    <w:rsid w:val="00410708"/>
    <w:rsid w:val="00410EC7"/>
    <w:rsid w:val="00411B39"/>
    <w:rsid w:val="004127A7"/>
    <w:rsid w:val="00413A1E"/>
    <w:rsid w:val="00414476"/>
    <w:rsid w:val="00414C2E"/>
    <w:rsid w:val="004151CF"/>
    <w:rsid w:val="00416364"/>
    <w:rsid w:val="0042047F"/>
    <w:rsid w:val="00420AA6"/>
    <w:rsid w:val="00420B9F"/>
    <w:rsid w:val="004211BE"/>
    <w:rsid w:val="0042192C"/>
    <w:rsid w:val="00422260"/>
    <w:rsid w:val="0042413F"/>
    <w:rsid w:val="004253ED"/>
    <w:rsid w:val="00430F84"/>
    <w:rsid w:val="004319F8"/>
    <w:rsid w:val="00431E55"/>
    <w:rsid w:val="004321F6"/>
    <w:rsid w:val="00433044"/>
    <w:rsid w:val="00434088"/>
    <w:rsid w:val="00435D33"/>
    <w:rsid w:val="004375B9"/>
    <w:rsid w:val="00440FFF"/>
    <w:rsid w:val="004428D0"/>
    <w:rsid w:val="00444185"/>
    <w:rsid w:val="004443A7"/>
    <w:rsid w:val="0044442C"/>
    <w:rsid w:val="00445941"/>
    <w:rsid w:val="004464EB"/>
    <w:rsid w:val="00447D26"/>
    <w:rsid w:val="00447DFC"/>
    <w:rsid w:val="00455A9C"/>
    <w:rsid w:val="00455D45"/>
    <w:rsid w:val="00464595"/>
    <w:rsid w:val="00464B16"/>
    <w:rsid w:val="0046535D"/>
    <w:rsid w:val="004658B5"/>
    <w:rsid w:val="004671D1"/>
    <w:rsid w:val="00471EA5"/>
    <w:rsid w:val="00472A79"/>
    <w:rsid w:val="00473F19"/>
    <w:rsid w:val="00475E22"/>
    <w:rsid w:val="0048088E"/>
    <w:rsid w:val="00480C6E"/>
    <w:rsid w:val="00480F2B"/>
    <w:rsid w:val="00482720"/>
    <w:rsid w:val="004835E7"/>
    <w:rsid w:val="004859E1"/>
    <w:rsid w:val="004867E2"/>
    <w:rsid w:val="00490B17"/>
    <w:rsid w:val="00491B3A"/>
    <w:rsid w:val="00492354"/>
    <w:rsid w:val="0049272D"/>
    <w:rsid w:val="00492CFD"/>
    <w:rsid w:val="00494207"/>
    <w:rsid w:val="00494DD5"/>
    <w:rsid w:val="00495F25"/>
    <w:rsid w:val="004962D2"/>
    <w:rsid w:val="00496E20"/>
    <w:rsid w:val="004A0DA1"/>
    <w:rsid w:val="004A13D6"/>
    <w:rsid w:val="004A2F72"/>
    <w:rsid w:val="004A3B8D"/>
    <w:rsid w:val="004A52E9"/>
    <w:rsid w:val="004A5F43"/>
    <w:rsid w:val="004A6040"/>
    <w:rsid w:val="004A6597"/>
    <w:rsid w:val="004A7848"/>
    <w:rsid w:val="004A793B"/>
    <w:rsid w:val="004B1CB4"/>
    <w:rsid w:val="004B2461"/>
    <w:rsid w:val="004B2F18"/>
    <w:rsid w:val="004B3DDB"/>
    <w:rsid w:val="004B44FD"/>
    <w:rsid w:val="004B5CFC"/>
    <w:rsid w:val="004B6F79"/>
    <w:rsid w:val="004B774D"/>
    <w:rsid w:val="004C20CD"/>
    <w:rsid w:val="004C2AC2"/>
    <w:rsid w:val="004C3A68"/>
    <w:rsid w:val="004C4AED"/>
    <w:rsid w:val="004C5523"/>
    <w:rsid w:val="004D2C2D"/>
    <w:rsid w:val="004D69B5"/>
    <w:rsid w:val="004D7227"/>
    <w:rsid w:val="004D7B5E"/>
    <w:rsid w:val="004E0E7F"/>
    <w:rsid w:val="004E0EB8"/>
    <w:rsid w:val="004E18E9"/>
    <w:rsid w:val="004E2ADC"/>
    <w:rsid w:val="004E43B2"/>
    <w:rsid w:val="004E63D7"/>
    <w:rsid w:val="004F0D95"/>
    <w:rsid w:val="004F1D02"/>
    <w:rsid w:val="004F2679"/>
    <w:rsid w:val="004F2F21"/>
    <w:rsid w:val="004F31AE"/>
    <w:rsid w:val="004F3DE5"/>
    <w:rsid w:val="004F6913"/>
    <w:rsid w:val="004F6E8E"/>
    <w:rsid w:val="004F7865"/>
    <w:rsid w:val="004F7E7D"/>
    <w:rsid w:val="005002BC"/>
    <w:rsid w:val="0050174E"/>
    <w:rsid w:val="00501854"/>
    <w:rsid w:val="00501FBB"/>
    <w:rsid w:val="0050219B"/>
    <w:rsid w:val="00503F17"/>
    <w:rsid w:val="00503F3A"/>
    <w:rsid w:val="00506928"/>
    <w:rsid w:val="005077EF"/>
    <w:rsid w:val="00510597"/>
    <w:rsid w:val="00511AD5"/>
    <w:rsid w:val="00511DC7"/>
    <w:rsid w:val="005142C5"/>
    <w:rsid w:val="0051501B"/>
    <w:rsid w:val="005152B5"/>
    <w:rsid w:val="00515886"/>
    <w:rsid w:val="00517A63"/>
    <w:rsid w:val="0052123C"/>
    <w:rsid w:val="00521319"/>
    <w:rsid w:val="00522BC8"/>
    <w:rsid w:val="00523395"/>
    <w:rsid w:val="00523C28"/>
    <w:rsid w:val="0053176B"/>
    <w:rsid w:val="005333C1"/>
    <w:rsid w:val="005341B3"/>
    <w:rsid w:val="005349F7"/>
    <w:rsid w:val="00536F42"/>
    <w:rsid w:val="00537182"/>
    <w:rsid w:val="005373CD"/>
    <w:rsid w:val="00541EDD"/>
    <w:rsid w:val="00542743"/>
    <w:rsid w:val="00542C2D"/>
    <w:rsid w:val="00543E3A"/>
    <w:rsid w:val="00545EFA"/>
    <w:rsid w:val="005478BD"/>
    <w:rsid w:val="005479E3"/>
    <w:rsid w:val="00550F91"/>
    <w:rsid w:val="00551985"/>
    <w:rsid w:val="00552BD3"/>
    <w:rsid w:val="005532A0"/>
    <w:rsid w:val="00555109"/>
    <w:rsid w:val="00556B35"/>
    <w:rsid w:val="0055741A"/>
    <w:rsid w:val="005611B7"/>
    <w:rsid w:val="005618D4"/>
    <w:rsid w:val="00564867"/>
    <w:rsid w:val="00565C79"/>
    <w:rsid w:val="00565DF0"/>
    <w:rsid w:val="0056671F"/>
    <w:rsid w:val="0056696F"/>
    <w:rsid w:val="00567665"/>
    <w:rsid w:val="00572269"/>
    <w:rsid w:val="0057244A"/>
    <w:rsid w:val="00572F26"/>
    <w:rsid w:val="005750C5"/>
    <w:rsid w:val="005752DE"/>
    <w:rsid w:val="00575D60"/>
    <w:rsid w:val="00575D8D"/>
    <w:rsid w:val="00576972"/>
    <w:rsid w:val="00577248"/>
    <w:rsid w:val="005805C5"/>
    <w:rsid w:val="00583699"/>
    <w:rsid w:val="00585CDD"/>
    <w:rsid w:val="00587058"/>
    <w:rsid w:val="00591957"/>
    <w:rsid w:val="005937E7"/>
    <w:rsid w:val="005959C8"/>
    <w:rsid w:val="00596129"/>
    <w:rsid w:val="00596DF9"/>
    <w:rsid w:val="005970C0"/>
    <w:rsid w:val="00597BF9"/>
    <w:rsid w:val="00597C3E"/>
    <w:rsid w:val="005A0C11"/>
    <w:rsid w:val="005A309A"/>
    <w:rsid w:val="005A373D"/>
    <w:rsid w:val="005A5950"/>
    <w:rsid w:val="005B0B58"/>
    <w:rsid w:val="005B14F6"/>
    <w:rsid w:val="005B4BCB"/>
    <w:rsid w:val="005B4E53"/>
    <w:rsid w:val="005B5857"/>
    <w:rsid w:val="005B63FC"/>
    <w:rsid w:val="005C19C4"/>
    <w:rsid w:val="005C1B83"/>
    <w:rsid w:val="005C25FF"/>
    <w:rsid w:val="005C2D55"/>
    <w:rsid w:val="005C346B"/>
    <w:rsid w:val="005C5ABC"/>
    <w:rsid w:val="005C6AF0"/>
    <w:rsid w:val="005D044D"/>
    <w:rsid w:val="005D0ABD"/>
    <w:rsid w:val="005D0C22"/>
    <w:rsid w:val="005D18AD"/>
    <w:rsid w:val="005D1BF1"/>
    <w:rsid w:val="005D22C7"/>
    <w:rsid w:val="005D26B4"/>
    <w:rsid w:val="005D63BE"/>
    <w:rsid w:val="005E0181"/>
    <w:rsid w:val="005E1995"/>
    <w:rsid w:val="005E3FC5"/>
    <w:rsid w:val="005E6CBC"/>
    <w:rsid w:val="005E72FF"/>
    <w:rsid w:val="005E73C0"/>
    <w:rsid w:val="005F07ED"/>
    <w:rsid w:val="005F2706"/>
    <w:rsid w:val="005F27CE"/>
    <w:rsid w:val="005F6157"/>
    <w:rsid w:val="005F6808"/>
    <w:rsid w:val="005F6A8F"/>
    <w:rsid w:val="005F6BB7"/>
    <w:rsid w:val="005F7588"/>
    <w:rsid w:val="00600993"/>
    <w:rsid w:val="00603DB9"/>
    <w:rsid w:val="006056BD"/>
    <w:rsid w:val="00605A40"/>
    <w:rsid w:val="00606433"/>
    <w:rsid w:val="00606FBA"/>
    <w:rsid w:val="00607669"/>
    <w:rsid w:val="006076F4"/>
    <w:rsid w:val="00607AFD"/>
    <w:rsid w:val="00611791"/>
    <w:rsid w:val="00611B12"/>
    <w:rsid w:val="00612F97"/>
    <w:rsid w:val="0061345D"/>
    <w:rsid w:val="0061549B"/>
    <w:rsid w:val="00616652"/>
    <w:rsid w:val="00616802"/>
    <w:rsid w:val="006175CC"/>
    <w:rsid w:val="00617E12"/>
    <w:rsid w:val="00620C25"/>
    <w:rsid w:val="00621477"/>
    <w:rsid w:val="00621ADA"/>
    <w:rsid w:val="00623F7B"/>
    <w:rsid w:val="00624BD4"/>
    <w:rsid w:val="006254D8"/>
    <w:rsid w:val="00630D40"/>
    <w:rsid w:val="0063158F"/>
    <w:rsid w:val="006315C9"/>
    <w:rsid w:val="00631D6B"/>
    <w:rsid w:val="00632183"/>
    <w:rsid w:val="006330A1"/>
    <w:rsid w:val="0063479F"/>
    <w:rsid w:val="006353F0"/>
    <w:rsid w:val="006357B5"/>
    <w:rsid w:val="006364A1"/>
    <w:rsid w:val="0063678E"/>
    <w:rsid w:val="00637BFD"/>
    <w:rsid w:val="00637C5C"/>
    <w:rsid w:val="00640881"/>
    <w:rsid w:val="00641C4E"/>
    <w:rsid w:val="00641FB3"/>
    <w:rsid w:val="0064434C"/>
    <w:rsid w:val="006471CC"/>
    <w:rsid w:val="006472EE"/>
    <w:rsid w:val="006472FE"/>
    <w:rsid w:val="00647A29"/>
    <w:rsid w:val="0065079F"/>
    <w:rsid w:val="00652A28"/>
    <w:rsid w:val="0065379F"/>
    <w:rsid w:val="00653ACA"/>
    <w:rsid w:val="00656188"/>
    <w:rsid w:val="0065715A"/>
    <w:rsid w:val="00660EBD"/>
    <w:rsid w:val="006610F1"/>
    <w:rsid w:val="00661C6B"/>
    <w:rsid w:val="00662D3E"/>
    <w:rsid w:val="00664882"/>
    <w:rsid w:val="00667084"/>
    <w:rsid w:val="00667BE3"/>
    <w:rsid w:val="006706EF"/>
    <w:rsid w:val="00671004"/>
    <w:rsid w:val="00672646"/>
    <w:rsid w:val="00674E42"/>
    <w:rsid w:val="00676563"/>
    <w:rsid w:val="006813F8"/>
    <w:rsid w:val="00682112"/>
    <w:rsid w:val="00682355"/>
    <w:rsid w:val="00682BA6"/>
    <w:rsid w:val="00685DBD"/>
    <w:rsid w:val="00686430"/>
    <w:rsid w:val="00686957"/>
    <w:rsid w:val="006872BA"/>
    <w:rsid w:val="00690795"/>
    <w:rsid w:val="00691648"/>
    <w:rsid w:val="006917D7"/>
    <w:rsid w:val="0069434C"/>
    <w:rsid w:val="00694F44"/>
    <w:rsid w:val="00696EF9"/>
    <w:rsid w:val="00696F51"/>
    <w:rsid w:val="006979A5"/>
    <w:rsid w:val="006A016F"/>
    <w:rsid w:val="006A0674"/>
    <w:rsid w:val="006A0DF7"/>
    <w:rsid w:val="006A2550"/>
    <w:rsid w:val="006A4321"/>
    <w:rsid w:val="006A43D9"/>
    <w:rsid w:val="006A6B99"/>
    <w:rsid w:val="006A7E5F"/>
    <w:rsid w:val="006B261B"/>
    <w:rsid w:val="006B2C90"/>
    <w:rsid w:val="006B35E6"/>
    <w:rsid w:val="006B44E1"/>
    <w:rsid w:val="006B465A"/>
    <w:rsid w:val="006B6DD0"/>
    <w:rsid w:val="006C0399"/>
    <w:rsid w:val="006C2A8E"/>
    <w:rsid w:val="006C3255"/>
    <w:rsid w:val="006C3F26"/>
    <w:rsid w:val="006C7F6C"/>
    <w:rsid w:val="006D0D17"/>
    <w:rsid w:val="006D2741"/>
    <w:rsid w:val="006D3C7D"/>
    <w:rsid w:val="006D4659"/>
    <w:rsid w:val="006D558C"/>
    <w:rsid w:val="006D5D5F"/>
    <w:rsid w:val="006D68FB"/>
    <w:rsid w:val="006E2868"/>
    <w:rsid w:val="006F306C"/>
    <w:rsid w:val="006F63A5"/>
    <w:rsid w:val="00700F65"/>
    <w:rsid w:val="0070142B"/>
    <w:rsid w:val="0070276E"/>
    <w:rsid w:val="00702F8F"/>
    <w:rsid w:val="007079FC"/>
    <w:rsid w:val="00711A36"/>
    <w:rsid w:val="007125D3"/>
    <w:rsid w:val="00714C26"/>
    <w:rsid w:val="0071529C"/>
    <w:rsid w:val="007170DA"/>
    <w:rsid w:val="007172AD"/>
    <w:rsid w:val="00717546"/>
    <w:rsid w:val="00720801"/>
    <w:rsid w:val="007212BE"/>
    <w:rsid w:val="00722B1B"/>
    <w:rsid w:val="0072416F"/>
    <w:rsid w:val="0072728E"/>
    <w:rsid w:val="00727C94"/>
    <w:rsid w:val="00731B0A"/>
    <w:rsid w:val="00731EAE"/>
    <w:rsid w:val="00733073"/>
    <w:rsid w:val="00735033"/>
    <w:rsid w:val="00735328"/>
    <w:rsid w:val="00735D07"/>
    <w:rsid w:val="0073685B"/>
    <w:rsid w:val="00740DBF"/>
    <w:rsid w:val="00742A75"/>
    <w:rsid w:val="00744605"/>
    <w:rsid w:val="007449BF"/>
    <w:rsid w:val="007463FE"/>
    <w:rsid w:val="00746BC0"/>
    <w:rsid w:val="007510B4"/>
    <w:rsid w:val="00752142"/>
    <w:rsid w:val="007523F9"/>
    <w:rsid w:val="0075357E"/>
    <w:rsid w:val="00753B29"/>
    <w:rsid w:val="0075680E"/>
    <w:rsid w:val="00756F4D"/>
    <w:rsid w:val="007573E8"/>
    <w:rsid w:val="00760C4E"/>
    <w:rsid w:val="00760F9E"/>
    <w:rsid w:val="007616E6"/>
    <w:rsid w:val="007626BC"/>
    <w:rsid w:val="007627BE"/>
    <w:rsid w:val="00764F03"/>
    <w:rsid w:val="00765B1A"/>
    <w:rsid w:val="00765DC1"/>
    <w:rsid w:val="00767091"/>
    <w:rsid w:val="00771C64"/>
    <w:rsid w:val="00777335"/>
    <w:rsid w:val="007814BB"/>
    <w:rsid w:val="007843F2"/>
    <w:rsid w:val="007846FA"/>
    <w:rsid w:val="00785A9F"/>
    <w:rsid w:val="0078621D"/>
    <w:rsid w:val="00787D4F"/>
    <w:rsid w:val="007916F9"/>
    <w:rsid w:val="007925DF"/>
    <w:rsid w:val="00793D37"/>
    <w:rsid w:val="00793EF2"/>
    <w:rsid w:val="007970B7"/>
    <w:rsid w:val="007A08AA"/>
    <w:rsid w:val="007A0A12"/>
    <w:rsid w:val="007A132D"/>
    <w:rsid w:val="007A1345"/>
    <w:rsid w:val="007A2DDB"/>
    <w:rsid w:val="007A4F01"/>
    <w:rsid w:val="007A70BA"/>
    <w:rsid w:val="007B019F"/>
    <w:rsid w:val="007B0D68"/>
    <w:rsid w:val="007B21DB"/>
    <w:rsid w:val="007B251D"/>
    <w:rsid w:val="007B3533"/>
    <w:rsid w:val="007B4F58"/>
    <w:rsid w:val="007B528D"/>
    <w:rsid w:val="007B63CA"/>
    <w:rsid w:val="007B68BD"/>
    <w:rsid w:val="007B77D1"/>
    <w:rsid w:val="007C07C7"/>
    <w:rsid w:val="007C1222"/>
    <w:rsid w:val="007C1CD9"/>
    <w:rsid w:val="007C32EF"/>
    <w:rsid w:val="007C361D"/>
    <w:rsid w:val="007C4B84"/>
    <w:rsid w:val="007C70FF"/>
    <w:rsid w:val="007C7C25"/>
    <w:rsid w:val="007D004F"/>
    <w:rsid w:val="007D035F"/>
    <w:rsid w:val="007D06B2"/>
    <w:rsid w:val="007D0B38"/>
    <w:rsid w:val="007D2102"/>
    <w:rsid w:val="007D25B5"/>
    <w:rsid w:val="007D5440"/>
    <w:rsid w:val="007D68FB"/>
    <w:rsid w:val="007D69EB"/>
    <w:rsid w:val="007E128F"/>
    <w:rsid w:val="007F1017"/>
    <w:rsid w:val="007F4A3F"/>
    <w:rsid w:val="007F4A61"/>
    <w:rsid w:val="007F5255"/>
    <w:rsid w:val="007F56CC"/>
    <w:rsid w:val="007F61C2"/>
    <w:rsid w:val="007F6AC8"/>
    <w:rsid w:val="00805142"/>
    <w:rsid w:val="00805309"/>
    <w:rsid w:val="00805FCE"/>
    <w:rsid w:val="00807A8B"/>
    <w:rsid w:val="00811383"/>
    <w:rsid w:val="00812149"/>
    <w:rsid w:val="00812CAC"/>
    <w:rsid w:val="00816361"/>
    <w:rsid w:val="008166EF"/>
    <w:rsid w:val="00816FEF"/>
    <w:rsid w:val="00820A8C"/>
    <w:rsid w:val="008215FB"/>
    <w:rsid w:val="008220CC"/>
    <w:rsid w:val="00823174"/>
    <w:rsid w:val="00825751"/>
    <w:rsid w:val="008264EB"/>
    <w:rsid w:val="008268CE"/>
    <w:rsid w:val="00827C23"/>
    <w:rsid w:val="00833B05"/>
    <w:rsid w:val="008362B4"/>
    <w:rsid w:val="00840CA2"/>
    <w:rsid w:val="0084374F"/>
    <w:rsid w:val="00844A22"/>
    <w:rsid w:val="00845888"/>
    <w:rsid w:val="00847703"/>
    <w:rsid w:val="00847DF5"/>
    <w:rsid w:val="00851646"/>
    <w:rsid w:val="0085309D"/>
    <w:rsid w:val="008547A4"/>
    <w:rsid w:val="008555E5"/>
    <w:rsid w:val="00856897"/>
    <w:rsid w:val="00856E9A"/>
    <w:rsid w:val="0086075D"/>
    <w:rsid w:val="00862502"/>
    <w:rsid w:val="00862CC1"/>
    <w:rsid w:val="008633B9"/>
    <w:rsid w:val="008642A7"/>
    <w:rsid w:val="008660D4"/>
    <w:rsid w:val="00870F84"/>
    <w:rsid w:val="00871FA9"/>
    <w:rsid w:val="00872009"/>
    <w:rsid w:val="008728E9"/>
    <w:rsid w:val="008736C8"/>
    <w:rsid w:val="008765A9"/>
    <w:rsid w:val="00882874"/>
    <w:rsid w:val="00882E3C"/>
    <w:rsid w:val="0088308A"/>
    <w:rsid w:val="00883787"/>
    <w:rsid w:val="008855E4"/>
    <w:rsid w:val="00885C55"/>
    <w:rsid w:val="00886B19"/>
    <w:rsid w:val="00886CD2"/>
    <w:rsid w:val="008908E5"/>
    <w:rsid w:val="008914CA"/>
    <w:rsid w:val="00891E6F"/>
    <w:rsid w:val="0089275D"/>
    <w:rsid w:val="00892A36"/>
    <w:rsid w:val="00893239"/>
    <w:rsid w:val="00894489"/>
    <w:rsid w:val="00894CD6"/>
    <w:rsid w:val="00894D91"/>
    <w:rsid w:val="008963A5"/>
    <w:rsid w:val="008964A8"/>
    <w:rsid w:val="00896D5D"/>
    <w:rsid w:val="008A3158"/>
    <w:rsid w:val="008A3363"/>
    <w:rsid w:val="008A3371"/>
    <w:rsid w:val="008A3C3E"/>
    <w:rsid w:val="008A43B7"/>
    <w:rsid w:val="008A79DE"/>
    <w:rsid w:val="008B1757"/>
    <w:rsid w:val="008B1C33"/>
    <w:rsid w:val="008B418A"/>
    <w:rsid w:val="008B4B6F"/>
    <w:rsid w:val="008B5381"/>
    <w:rsid w:val="008B7992"/>
    <w:rsid w:val="008B7D7E"/>
    <w:rsid w:val="008C4C78"/>
    <w:rsid w:val="008C5610"/>
    <w:rsid w:val="008C5739"/>
    <w:rsid w:val="008C57EA"/>
    <w:rsid w:val="008C7282"/>
    <w:rsid w:val="008C7611"/>
    <w:rsid w:val="008C7ECB"/>
    <w:rsid w:val="008D3B86"/>
    <w:rsid w:val="008D43FD"/>
    <w:rsid w:val="008D4755"/>
    <w:rsid w:val="008D4C3D"/>
    <w:rsid w:val="008D743C"/>
    <w:rsid w:val="008E0D3C"/>
    <w:rsid w:val="008E1B9E"/>
    <w:rsid w:val="008E55AB"/>
    <w:rsid w:val="008F120A"/>
    <w:rsid w:val="008F27E0"/>
    <w:rsid w:val="008F48EB"/>
    <w:rsid w:val="008F4F0B"/>
    <w:rsid w:val="009046C4"/>
    <w:rsid w:val="009062A5"/>
    <w:rsid w:val="00907699"/>
    <w:rsid w:val="00907F61"/>
    <w:rsid w:val="00910FA7"/>
    <w:rsid w:val="00911272"/>
    <w:rsid w:val="00911339"/>
    <w:rsid w:val="009135D6"/>
    <w:rsid w:val="00914C77"/>
    <w:rsid w:val="00915F48"/>
    <w:rsid w:val="00921ACB"/>
    <w:rsid w:val="0092369B"/>
    <w:rsid w:val="00933776"/>
    <w:rsid w:val="00934988"/>
    <w:rsid w:val="00936492"/>
    <w:rsid w:val="00937089"/>
    <w:rsid w:val="009375DD"/>
    <w:rsid w:val="00937742"/>
    <w:rsid w:val="00944F8A"/>
    <w:rsid w:val="00945E1A"/>
    <w:rsid w:val="009507DA"/>
    <w:rsid w:val="009510A2"/>
    <w:rsid w:val="00953257"/>
    <w:rsid w:val="0095474C"/>
    <w:rsid w:val="00955601"/>
    <w:rsid w:val="00957D92"/>
    <w:rsid w:val="009600D2"/>
    <w:rsid w:val="00960FD9"/>
    <w:rsid w:val="00961F01"/>
    <w:rsid w:val="00962CB9"/>
    <w:rsid w:val="00964312"/>
    <w:rsid w:val="00965063"/>
    <w:rsid w:val="00965B8A"/>
    <w:rsid w:val="0097071F"/>
    <w:rsid w:val="009717AC"/>
    <w:rsid w:val="009751C1"/>
    <w:rsid w:val="00980F6C"/>
    <w:rsid w:val="009811F1"/>
    <w:rsid w:val="00983638"/>
    <w:rsid w:val="00983E57"/>
    <w:rsid w:val="00985C5E"/>
    <w:rsid w:val="00985DE2"/>
    <w:rsid w:val="0098675D"/>
    <w:rsid w:val="00987BA4"/>
    <w:rsid w:val="009926E0"/>
    <w:rsid w:val="0099451E"/>
    <w:rsid w:val="00996B1A"/>
    <w:rsid w:val="009A127C"/>
    <w:rsid w:val="009A18F6"/>
    <w:rsid w:val="009A2DCC"/>
    <w:rsid w:val="009A3B79"/>
    <w:rsid w:val="009A5ABC"/>
    <w:rsid w:val="009A7F10"/>
    <w:rsid w:val="009B0B9C"/>
    <w:rsid w:val="009B3E26"/>
    <w:rsid w:val="009B4186"/>
    <w:rsid w:val="009B4555"/>
    <w:rsid w:val="009C0570"/>
    <w:rsid w:val="009C1271"/>
    <w:rsid w:val="009C3706"/>
    <w:rsid w:val="009C3A3A"/>
    <w:rsid w:val="009C3C52"/>
    <w:rsid w:val="009C6CEA"/>
    <w:rsid w:val="009C7B85"/>
    <w:rsid w:val="009D0254"/>
    <w:rsid w:val="009D0BBC"/>
    <w:rsid w:val="009D1A64"/>
    <w:rsid w:val="009D482D"/>
    <w:rsid w:val="009D5B91"/>
    <w:rsid w:val="009D6E8D"/>
    <w:rsid w:val="009D792E"/>
    <w:rsid w:val="009E031F"/>
    <w:rsid w:val="009E0DFE"/>
    <w:rsid w:val="009E31F6"/>
    <w:rsid w:val="009E4C07"/>
    <w:rsid w:val="009E74B6"/>
    <w:rsid w:val="009E777F"/>
    <w:rsid w:val="009E783E"/>
    <w:rsid w:val="009F1127"/>
    <w:rsid w:val="009F6120"/>
    <w:rsid w:val="00A00567"/>
    <w:rsid w:val="00A00D76"/>
    <w:rsid w:val="00A01184"/>
    <w:rsid w:val="00A01449"/>
    <w:rsid w:val="00A037C2"/>
    <w:rsid w:val="00A03D43"/>
    <w:rsid w:val="00A04380"/>
    <w:rsid w:val="00A04786"/>
    <w:rsid w:val="00A04C82"/>
    <w:rsid w:val="00A04D40"/>
    <w:rsid w:val="00A05472"/>
    <w:rsid w:val="00A05C32"/>
    <w:rsid w:val="00A0653F"/>
    <w:rsid w:val="00A06A30"/>
    <w:rsid w:val="00A11CD0"/>
    <w:rsid w:val="00A13948"/>
    <w:rsid w:val="00A1555B"/>
    <w:rsid w:val="00A155C5"/>
    <w:rsid w:val="00A166F8"/>
    <w:rsid w:val="00A168D4"/>
    <w:rsid w:val="00A16AD8"/>
    <w:rsid w:val="00A2021E"/>
    <w:rsid w:val="00A21C95"/>
    <w:rsid w:val="00A21CF3"/>
    <w:rsid w:val="00A24256"/>
    <w:rsid w:val="00A24813"/>
    <w:rsid w:val="00A27AEC"/>
    <w:rsid w:val="00A305A1"/>
    <w:rsid w:val="00A30908"/>
    <w:rsid w:val="00A320DB"/>
    <w:rsid w:val="00A35D16"/>
    <w:rsid w:val="00A37BCD"/>
    <w:rsid w:val="00A41689"/>
    <w:rsid w:val="00A42592"/>
    <w:rsid w:val="00A42E9E"/>
    <w:rsid w:val="00A43C59"/>
    <w:rsid w:val="00A46C4D"/>
    <w:rsid w:val="00A4737C"/>
    <w:rsid w:val="00A50ECD"/>
    <w:rsid w:val="00A518F3"/>
    <w:rsid w:val="00A5245F"/>
    <w:rsid w:val="00A52729"/>
    <w:rsid w:val="00A53675"/>
    <w:rsid w:val="00A564D7"/>
    <w:rsid w:val="00A56AA7"/>
    <w:rsid w:val="00A56B6A"/>
    <w:rsid w:val="00A578DC"/>
    <w:rsid w:val="00A640E2"/>
    <w:rsid w:val="00A64753"/>
    <w:rsid w:val="00A64D65"/>
    <w:rsid w:val="00A6725B"/>
    <w:rsid w:val="00A70605"/>
    <w:rsid w:val="00A73134"/>
    <w:rsid w:val="00A7365A"/>
    <w:rsid w:val="00A736C8"/>
    <w:rsid w:val="00A76001"/>
    <w:rsid w:val="00A77161"/>
    <w:rsid w:val="00A777B2"/>
    <w:rsid w:val="00A777FA"/>
    <w:rsid w:val="00A82355"/>
    <w:rsid w:val="00A825D4"/>
    <w:rsid w:val="00A828F6"/>
    <w:rsid w:val="00A82B73"/>
    <w:rsid w:val="00A8506B"/>
    <w:rsid w:val="00A86E8B"/>
    <w:rsid w:val="00A87164"/>
    <w:rsid w:val="00A871A9"/>
    <w:rsid w:val="00A92C12"/>
    <w:rsid w:val="00A93072"/>
    <w:rsid w:val="00A938BD"/>
    <w:rsid w:val="00A93953"/>
    <w:rsid w:val="00A959D8"/>
    <w:rsid w:val="00AA0FB1"/>
    <w:rsid w:val="00AA113D"/>
    <w:rsid w:val="00AA2B58"/>
    <w:rsid w:val="00AA3CF7"/>
    <w:rsid w:val="00AA6BD5"/>
    <w:rsid w:val="00AA6BD8"/>
    <w:rsid w:val="00AA6C7D"/>
    <w:rsid w:val="00AA7FD6"/>
    <w:rsid w:val="00AB042A"/>
    <w:rsid w:val="00AB0E79"/>
    <w:rsid w:val="00AB11AD"/>
    <w:rsid w:val="00AB19EF"/>
    <w:rsid w:val="00AB1AFE"/>
    <w:rsid w:val="00AB2495"/>
    <w:rsid w:val="00AB2D34"/>
    <w:rsid w:val="00AB33DD"/>
    <w:rsid w:val="00AB3430"/>
    <w:rsid w:val="00AB37B9"/>
    <w:rsid w:val="00AB4AD1"/>
    <w:rsid w:val="00AB4E6D"/>
    <w:rsid w:val="00AB5288"/>
    <w:rsid w:val="00AB5E07"/>
    <w:rsid w:val="00AB7CFA"/>
    <w:rsid w:val="00AC1121"/>
    <w:rsid w:val="00AC3DBE"/>
    <w:rsid w:val="00AC5B42"/>
    <w:rsid w:val="00AC5B48"/>
    <w:rsid w:val="00AD1450"/>
    <w:rsid w:val="00AD15E8"/>
    <w:rsid w:val="00AD356D"/>
    <w:rsid w:val="00AD6502"/>
    <w:rsid w:val="00AE0695"/>
    <w:rsid w:val="00AE3E7E"/>
    <w:rsid w:val="00AE5220"/>
    <w:rsid w:val="00AE7E53"/>
    <w:rsid w:val="00AF1315"/>
    <w:rsid w:val="00AF19BF"/>
    <w:rsid w:val="00AF2DC3"/>
    <w:rsid w:val="00B033E5"/>
    <w:rsid w:val="00B03A63"/>
    <w:rsid w:val="00B04DE4"/>
    <w:rsid w:val="00B052D1"/>
    <w:rsid w:val="00B05A49"/>
    <w:rsid w:val="00B0671B"/>
    <w:rsid w:val="00B129A4"/>
    <w:rsid w:val="00B201A4"/>
    <w:rsid w:val="00B201D1"/>
    <w:rsid w:val="00B213A6"/>
    <w:rsid w:val="00B235B0"/>
    <w:rsid w:val="00B24DF6"/>
    <w:rsid w:val="00B25248"/>
    <w:rsid w:val="00B27A61"/>
    <w:rsid w:val="00B34BE4"/>
    <w:rsid w:val="00B34FE2"/>
    <w:rsid w:val="00B35166"/>
    <w:rsid w:val="00B357D8"/>
    <w:rsid w:val="00B360F4"/>
    <w:rsid w:val="00B36A00"/>
    <w:rsid w:val="00B37354"/>
    <w:rsid w:val="00B3792B"/>
    <w:rsid w:val="00B37BFC"/>
    <w:rsid w:val="00B40358"/>
    <w:rsid w:val="00B41614"/>
    <w:rsid w:val="00B41DAA"/>
    <w:rsid w:val="00B42851"/>
    <w:rsid w:val="00B42F80"/>
    <w:rsid w:val="00B435CB"/>
    <w:rsid w:val="00B465EC"/>
    <w:rsid w:val="00B505C8"/>
    <w:rsid w:val="00B50DB8"/>
    <w:rsid w:val="00B514A1"/>
    <w:rsid w:val="00B53654"/>
    <w:rsid w:val="00B53905"/>
    <w:rsid w:val="00B546DB"/>
    <w:rsid w:val="00B548CA"/>
    <w:rsid w:val="00B54B5B"/>
    <w:rsid w:val="00B5562E"/>
    <w:rsid w:val="00B55862"/>
    <w:rsid w:val="00B55D65"/>
    <w:rsid w:val="00B56305"/>
    <w:rsid w:val="00B57000"/>
    <w:rsid w:val="00B5795D"/>
    <w:rsid w:val="00B6045E"/>
    <w:rsid w:val="00B60939"/>
    <w:rsid w:val="00B60AFD"/>
    <w:rsid w:val="00B62715"/>
    <w:rsid w:val="00B6495D"/>
    <w:rsid w:val="00B65611"/>
    <w:rsid w:val="00B67F1D"/>
    <w:rsid w:val="00B70E8E"/>
    <w:rsid w:val="00B716DE"/>
    <w:rsid w:val="00B72896"/>
    <w:rsid w:val="00B75853"/>
    <w:rsid w:val="00B76C92"/>
    <w:rsid w:val="00B80EFD"/>
    <w:rsid w:val="00B818A4"/>
    <w:rsid w:val="00B83739"/>
    <w:rsid w:val="00B84117"/>
    <w:rsid w:val="00B855B3"/>
    <w:rsid w:val="00B858F0"/>
    <w:rsid w:val="00B85A69"/>
    <w:rsid w:val="00B85AA2"/>
    <w:rsid w:val="00B8649C"/>
    <w:rsid w:val="00B8695D"/>
    <w:rsid w:val="00B87F0A"/>
    <w:rsid w:val="00B920C4"/>
    <w:rsid w:val="00B92D0B"/>
    <w:rsid w:val="00B94945"/>
    <w:rsid w:val="00B94DD6"/>
    <w:rsid w:val="00BA2D49"/>
    <w:rsid w:val="00BA322D"/>
    <w:rsid w:val="00BA55AC"/>
    <w:rsid w:val="00BA561C"/>
    <w:rsid w:val="00BA5F79"/>
    <w:rsid w:val="00BA63FA"/>
    <w:rsid w:val="00BB00B3"/>
    <w:rsid w:val="00BB0BDD"/>
    <w:rsid w:val="00BB176C"/>
    <w:rsid w:val="00BB2836"/>
    <w:rsid w:val="00BB2A73"/>
    <w:rsid w:val="00BB3A45"/>
    <w:rsid w:val="00BB4ACC"/>
    <w:rsid w:val="00BB4CA4"/>
    <w:rsid w:val="00BB4F26"/>
    <w:rsid w:val="00BB703E"/>
    <w:rsid w:val="00BB732D"/>
    <w:rsid w:val="00BB7405"/>
    <w:rsid w:val="00BC0EC6"/>
    <w:rsid w:val="00BC1FFA"/>
    <w:rsid w:val="00BC3631"/>
    <w:rsid w:val="00BC591F"/>
    <w:rsid w:val="00BC5A0B"/>
    <w:rsid w:val="00BC6F62"/>
    <w:rsid w:val="00BC7314"/>
    <w:rsid w:val="00BC7D6D"/>
    <w:rsid w:val="00BD2108"/>
    <w:rsid w:val="00BD68A3"/>
    <w:rsid w:val="00BD6938"/>
    <w:rsid w:val="00BD6CF3"/>
    <w:rsid w:val="00BD6D2E"/>
    <w:rsid w:val="00BD7D9F"/>
    <w:rsid w:val="00BD7F72"/>
    <w:rsid w:val="00BE0ECA"/>
    <w:rsid w:val="00BE2180"/>
    <w:rsid w:val="00BE21F2"/>
    <w:rsid w:val="00BE4275"/>
    <w:rsid w:val="00BF06AE"/>
    <w:rsid w:val="00BF0F95"/>
    <w:rsid w:val="00BF2433"/>
    <w:rsid w:val="00BF2E6E"/>
    <w:rsid w:val="00BF61C9"/>
    <w:rsid w:val="00BF652D"/>
    <w:rsid w:val="00BF6A2F"/>
    <w:rsid w:val="00BF6C94"/>
    <w:rsid w:val="00C00424"/>
    <w:rsid w:val="00C00BB0"/>
    <w:rsid w:val="00C07ACA"/>
    <w:rsid w:val="00C1179F"/>
    <w:rsid w:val="00C127B9"/>
    <w:rsid w:val="00C128FA"/>
    <w:rsid w:val="00C12C14"/>
    <w:rsid w:val="00C15F04"/>
    <w:rsid w:val="00C179B3"/>
    <w:rsid w:val="00C17E3F"/>
    <w:rsid w:val="00C200AA"/>
    <w:rsid w:val="00C237ED"/>
    <w:rsid w:val="00C24632"/>
    <w:rsid w:val="00C25418"/>
    <w:rsid w:val="00C25D9C"/>
    <w:rsid w:val="00C2778B"/>
    <w:rsid w:val="00C31649"/>
    <w:rsid w:val="00C32F34"/>
    <w:rsid w:val="00C3385B"/>
    <w:rsid w:val="00C3434C"/>
    <w:rsid w:val="00C357EA"/>
    <w:rsid w:val="00C40385"/>
    <w:rsid w:val="00C41768"/>
    <w:rsid w:val="00C475AA"/>
    <w:rsid w:val="00C527C7"/>
    <w:rsid w:val="00C53C98"/>
    <w:rsid w:val="00C56FCF"/>
    <w:rsid w:val="00C576F6"/>
    <w:rsid w:val="00C57B6C"/>
    <w:rsid w:val="00C60C4D"/>
    <w:rsid w:val="00C61A59"/>
    <w:rsid w:val="00C628A6"/>
    <w:rsid w:val="00C64344"/>
    <w:rsid w:val="00C65108"/>
    <w:rsid w:val="00C65576"/>
    <w:rsid w:val="00C655F9"/>
    <w:rsid w:val="00C66165"/>
    <w:rsid w:val="00C66D38"/>
    <w:rsid w:val="00C7060A"/>
    <w:rsid w:val="00C7151A"/>
    <w:rsid w:val="00C717E3"/>
    <w:rsid w:val="00C71F60"/>
    <w:rsid w:val="00C72241"/>
    <w:rsid w:val="00C750C8"/>
    <w:rsid w:val="00C7560F"/>
    <w:rsid w:val="00C801FB"/>
    <w:rsid w:val="00C80A0E"/>
    <w:rsid w:val="00C8213F"/>
    <w:rsid w:val="00C8303F"/>
    <w:rsid w:val="00C8310E"/>
    <w:rsid w:val="00C85154"/>
    <w:rsid w:val="00C85A70"/>
    <w:rsid w:val="00C87612"/>
    <w:rsid w:val="00C8797A"/>
    <w:rsid w:val="00C900B8"/>
    <w:rsid w:val="00C90197"/>
    <w:rsid w:val="00C90C71"/>
    <w:rsid w:val="00C91FD1"/>
    <w:rsid w:val="00C931CF"/>
    <w:rsid w:val="00C938CF"/>
    <w:rsid w:val="00C94053"/>
    <w:rsid w:val="00C9624D"/>
    <w:rsid w:val="00C969DA"/>
    <w:rsid w:val="00CA1412"/>
    <w:rsid w:val="00CA2C77"/>
    <w:rsid w:val="00CA3428"/>
    <w:rsid w:val="00CA34EB"/>
    <w:rsid w:val="00CA3E05"/>
    <w:rsid w:val="00CA444F"/>
    <w:rsid w:val="00CA5245"/>
    <w:rsid w:val="00CA71F4"/>
    <w:rsid w:val="00CA7B09"/>
    <w:rsid w:val="00CB12A5"/>
    <w:rsid w:val="00CB1CAC"/>
    <w:rsid w:val="00CB2F2A"/>
    <w:rsid w:val="00CB37B5"/>
    <w:rsid w:val="00CB5B1A"/>
    <w:rsid w:val="00CB6B22"/>
    <w:rsid w:val="00CB7F5F"/>
    <w:rsid w:val="00CC1B39"/>
    <w:rsid w:val="00CC1BFA"/>
    <w:rsid w:val="00CC2D1A"/>
    <w:rsid w:val="00CC2E9F"/>
    <w:rsid w:val="00CC35EA"/>
    <w:rsid w:val="00CC3848"/>
    <w:rsid w:val="00CC5DB8"/>
    <w:rsid w:val="00CC6D5E"/>
    <w:rsid w:val="00CC7DC2"/>
    <w:rsid w:val="00CD0200"/>
    <w:rsid w:val="00CD0DF4"/>
    <w:rsid w:val="00CD1CBC"/>
    <w:rsid w:val="00CD3F77"/>
    <w:rsid w:val="00CD4D8F"/>
    <w:rsid w:val="00CD4E7D"/>
    <w:rsid w:val="00CD6ADC"/>
    <w:rsid w:val="00CD7193"/>
    <w:rsid w:val="00CE006A"/>
    <w:rsid w:val="00CE27FC"/>
    <w:rsid w:val="00CE38C8"/>
    <w:rsid w:val="00CE42B4"/>
    <w:rsid w:val="00CE524F"/>
    <w:rsid w:val="00CE58CC"/>
    <w:rsid w:val="00CE6274"/>
    <w:rsid w:val="00CE6B7D"/>
    <w:rsid w:val="00CE77B6"/>
    <w:rsid w:val="00CF0135"/>
    <w:rsid w:val="00CF2B8D"/>
    <w:rsid w:val="00CF3A1B"/>
    <w:rsid w:val="00CF456B"/>
    <w:rsid w:val="00CF537D"/>
    <w:rsid w:val="00CF5A22"/>
    <w:rsid w:val="00CF640A"/>
    <w:rsid w:val="00D0262E"/>
    <w:rsid w:val="00D03679"/>
    <w:rsid w:val="00D04899"/>
    <w:rsid w:val="00D055C8"/>
    <w:rsid w:val="00D0587E"/>
    <w:rsid w:val="00D05E3D"/>
    <w:rsid w:val="00D06139"/>
    <w:rsid w:val="00D061FD"/>
    <w:rsid w:val="00D110BD"/>
    <w:rsid w:val="00D12CE3"/>
    <w:rsid w:val="00D13675"/>
    <w:rsid w:val="00D141E1"/>
    <w:rsid w:val="00D15314"/>
    <w:rsid w:val="00D15B48"/>
    <w:rsid w:val="00D17D6C"/>
    <w:rsid w:val="00D201BA"/>
    <w:rsid w:val="00D202AD"/>
    <w:rsid w:val="00D2155B"/>
    <w:rsid w:val="00D21598"/>
    <w:rsid w:val="00D23D11"/>
    <w:rsid w:val="00D244B6"/>
    <w:rsid w:val="00D264AC"/>
    <w:rsid w:val="00D2754D"/>
    <w:rsid w:val="00D27B27"/>
    <w:rsid w:val="00D30D5B"/>
    <w:rsid w:val="00D33BE9"/>
    <w:rsid w:val="00D33F93"/>
    <w:rsid w:val="00D357FF"/>
    <w:rsid w:val="00D40097"/>
    <w:rsid w:val="00D424C7"/>
    <w:rsid w:val="00D43B2A"/>
    <w:rsid w:val="00D43CF1"/>
    <w:rsid w:val="00D43D83"/>
    <w:rsid w:val="00D47575"/>
    <w:rsid w:val="00D5243B"/>
    <w:rsid w:val="00D533EC"/>
    <w:rsid w:val="00D55AC3"/>
    <w:rsid w:val="00D56264"/>
    <w:rsid w:val="00D56A95"/>
    <w:rsid w:val="00D572F6"/>
    <w:rsid w:val="00D6076E"/>
    <w:rsid w:val="00D64AD8"/>
    <w:rsid w:val="00D70F16"/>
    <w:rsid w:val="00D72617"/>
    <w:rsid w:val="00D72F57"/>
    <w:rsid w:val="00D75914"/>
    <w:rsid w:val="00D76A44"/>
    <w:rsid w:val="00D8066E"/>
    <w:rsid w:val="00D815EF"/>
    <w:rsid w:val="00D81949"/>
    <w:rsid w:val="00D81F26"/>
    <w:rsid w:val="00D822E2"/>
    <w:rsid w:val="00D843F2"/>
    <w:rsid w:val="00D84C1F"/>
    <w:rsid w:val="00D86231"/>
    <w:rsid w:val="00D912AB"/>
    <w:rsid w:val="00D91923"/>
    <w:rsid w:val="00D93753"/>
    <w:rsid w:val="00DA3167"/>
    <w:rsid w:val="00DA3923"/>
    <w:rsid w:val="00DA4DC3"/>
    <w:rsid w:val="00DA5F0C"/>
    <w:rsid w:val="00DA77A5"/>
    <w:rsid w:val="00DB0E36"/>
    <w:rsid w:val="00DB1D96"/>
    <w:rsid w:val="00DB3DBF"/>
    <w:rsid w:val="00DB484F"/>
    <w:rsid w:val="00DC04F6"/>
    <w:rsid w:val="00DC0690"/>
    <w:rsid w:val="00DC1D65"/>
    <w:rsid w:val="00DC3C57"/>
    <w:rsid w:val="00DC5501"/>
    <w:rsid w:val="00DC5DE4"/>
    <w:rsid w:val="00DC7154"/>
    <w:rsid w:val="00DC7E8A"/>
    <w:rsid w:val="00DD0C48"/>
    <w:rsid w:val="00DD0F78"/>
    <w:rsid w:val="00DD273C"/>
    <w:rsid w:val="00DD3F28"/>
    <w:rsid w:val="00DD4446"/>
    <w:rsid w:val="00DD4537"/>
    <w:rsid w:val="00DD4E15"/>
    <w:rsid w:val="00DD59F9"/>
    <w:rsid w:val="00DD7C07"/>
    <w:rsid w:val="00DE096F"/>
    <w:rsid w:val="00DE2304"/>
    <w:rsid w:val="00DE2896"/>
    <w:rsid w:val="00DE3138"/>
    <w:rsid w:val="00DE37F8"/>
    <w:rsid w:val="00DE4273"/>
    <w:rsid w:val="00DE4FCB"/>
    <w:rsid w:val="00DE5D07"/>
    <w:rsid w:val="00DE72A7"/>
    <w:rsid w:val="00DE7832"/>
    <w:rsid w:val="00DF12C2"/>
    <w:rsid w:val="00DF18FC"/>
    <w:rsid w:val="00DF5D2B"/>
    <w:rsid w:val="00DF5FBF"/>
    <w:rsid w:val="00DF6341"/>
    <w:rsid w:val="00E00E8E"/>
    <w:rsid w:val="00E03F7F"/>
    <w:rsid w:val="00E05630"/>
    <w:rsid w:val="00E06790"/>
    <w:rsid w:val="00E06DBB"/>
    <w:rsid w:val="00E10149"/>
    <w:rsid w:val="00E10872"/>
    <w:rsid w:val="00E10D17"/>
    <w:rsid w:val="00E11340"/>
    <w:rsid w:val="00E122A1"/>
    <w:rsid w:val="00E14D0B"/>
    <w:rsid w:val="00E16372"/>
    <w:rsid w:val="00E16AD8"/>
    <w:rsid w:val="00E17FFA"/>
    <w:rsid w:val="00E20528"/>
    <w:rsid w:val="00E20E4D"/>
    <w:rsid w:val="00E20ED6"/>
    <w:rsid w:val="00E21358"/>
    <w:rsid w:val="00E2249B"/>
    <w:rsid w:val="00E22A0D"/>
    <w:rsid w:val="00E23B77"/>
    <w:rsid w:val="00E244F6"/>
    <w:rsid w:val="00E258DB"/>
    <w:rsid w:val="00E25DAC"/>
    <w:rsid w:val="00E2771E"/>
    <w:rsid w:val="00E311EF"/>
    <w:rsid w:val="00E32180"/>
    <w:rsid w:val="00E34948"/>
    <w:rsid w:val="00E37569"/>
    <w:rsid w:val="00E401B2"/>
    <w:rsid w:val="00E41E30"/>
    <w:rsid w:val="00E4249A"/>
    <w:rsid w:val="00E42F73"/>
    <w:rsid w:val="00E43D70"/>
    <w:rsid w:val="00E466F3"/>
    <w:rsid w:val="00E4724C"/>
    <w:rsid w:val="00E47B2C"/>
    <w:rsid w:val="00E51560"/>
    <w:rsid w:val="00E51821"/>
    <w:rsid w:val="00E51841"/>
    <w:rsid w:val="00E522FE"/>
    <w:rsid w:val="00E5272F"/>
    <w:rsid w:val="00E52813"/>
    <w:rsid w:val="00E532C8"/>
    <w:rsid w:val="00E53FC8"/>
    <w:rsid w:val="00E54347"/>
    <w:rsid w:val="00E545C9"/>
    <w:rsid w:val="00E55424"/>
    <w:rsid w:val="00E55915"/>
    <w:rsid w:val="00E55BB5"/>
    <w:rsid w:val="00E6033D"/>
    <w:rsid w:val="00E611DF"/>
    <w:rsid w:val="00E65E79"/>
    <w:rsid w:val="00E66BA2"/>
    <w:rsid w:val="00E67416"/>
    <w:rsid w:val="00E718B6"/>
    <w:rsid w:val="00E723BA"/>
    <w:rsid w:val="00E73581"/>
    <w:rsid w:val="00E824D6"/>
    <w:rsid w:val="00E833F7"/>
    <w:rsid w:val="00E83BDF"/>
    <w:rsid w:val="00E83C66"/>
    <w:rsid w:val="00E845AD"/>
    <w:rsid w:val="00E8608B"/>
    <w:rsid w:val="00E86FCC"/>
    <w:rsid w:val="00E87A1D"/>
    <w:rsid w:val="00E9094A"/>
    <w:rsid w:val="00E90AC4"/>
    <w:rsid w:val="00E91D35"/>
    <w:rsid w:val="00E926A5"/>
    <w:rsid w:val="00E962CC"/>
    <w:rsid w:val="00EA17C3"/>
    <w:rsid w:val="00EA2CAA"/>
    <w:rsid w:val="00EA3864"/>
    <w:rsid w:val="00EA40C8"/>
    <w:rsid w:val="00EA7F1C"/>
    <w:rsid w:val="00EB15B6"/>
    <w:rsid w:val="00EB3D06"/>
    <w:rsid w:val="00EB4916"/>
    <w:rsid w:val="00EC00C9"/>
    <w:rsid w:val="00EC05EE"/>
    <w:rsid w:val="00EC0DD9"/>
    <w:rsid w:val="00EC2649"/>
    <w:rsid w:val="00EC31ED"/>
    <w:rsid w:val="00EC5836"/>
    <w:rsid w:val="00EC688C"/>
    <w:rsid w:val="00EC6EB4"/>
    <w:rsid w:val="00ED12E3"/>
    <w:rsid w:val="00ED4B04"/>
    <w:rsid w:val="00ED57EA"/>
    <w:rsid w:val="00ED5BD4"/>
    <w:rsid w:val="00EE07D3"/>
    <w:rsid w:val="00EE1996"/>
    <w:rsid w:val="00EE1C01"/>
    <w:rsid w:val="00EE22AF"/>
    <w:rsid w:val="00EE73C0"/>
    <w:rsid w:val="00EE7F81"/>
    <w:rsid w:val="00EF0171"/>
    <w:rsid w:val="00EF1B25"/>
    <w:rsid w:val="00EF1DA0"/>
    <w:rsid w:val="00EF4747"/>
    <w:rsid w:val="00EF4BF8"/>
    <w:rsid w:val="00EF6B08"/>
    <w:rsid w:val="00EF7780"/>
    <w:rsid w:val="00F02253"/>
    <w:rsid w:val="00F03A44"/>
    <w:rsid w:val="00F03C27"/>
    <w:rsid w:val="00F03C2E"/>
    <w:rsid w:val="00F04A66"/>
    <w:rsid w:val="00F04B4B"/>
    <w:rsid w:val="00F0516C"/>
    <w:rsid w:val="00F067A2"/>
    <w:rsid w:val="00F07B9E"/>
    <w:rsid w:val="00F1116F"/>
    <w:rsid w:val="00F1263A"/>
    <w:rsid w:val="00F12A5F"/>
    <w:rsid w:val="00F139C5"/>
    <w:rsid w:val="00F15B77"/>
    <w:rsid w:val="00F21236"/>
    <w:rsid w:val="00F21C76"/>
    <w:rsid w:val="00F239DF"/>
    <w:rsid w:val="00F24837"/>
    <w:rsid w:val="00F2575F"/>
    <w:rsid w:val="00F270C5"/>
    <w:rsid w:val="00F27565"/>
    <w:rsid w:val="00F27DEE"/>
    <w:rsid w:val="00F310D4"/>
    <w:rsid w:val="00F31D5A"/>
    <w:rsid w:val="00F33975"/>
    <w:rsid w:val="00F33DE9"/>
    <w:rsid w:val="00F35E6D"/>
    <w:rsid w:val="00F3619A"/>
    <w:rsid w:val="00F40AAA"/>
    <w:rsid w:val="00F40BA7"/>
    <w:rsid w:val="00F40F9D"/>
    <w:rsid w:val="00F41ACD"/>
    <w:rsid w:val="00F41BEB"/>
    <w:rsid w:val="00F46CB6"/>
    <w:rsid w:val="00F4756D"/>
    <w:rsid w:val="00F47DE8"/>
    <w:rsid w:val="00F50844"/>
    <w:rsid w:val="00F542C1"/>
    <w:rsid w:val="00F550E3"/>
    <w:rsid w:val="00F55E73"/>
    <w:rsid w:val="00F55EDA"/>
    <w:rsid w:val="00F56C80"/>
    <w:rsid w:val="00F60092"/>
    <w:rsid w:val="00F601C4"/>
    <w:rsid w:val="00F612A7"/>
    <w:rsid w:val="00F61C18"/>
    <w:rsid w:val="00F65F4B"/>
    <w:rsid w:val="00F67468"/>
    <w:rsid w:val="00F67A69"/>
    <w:rsid w:val="00F70BFF"/>
    <w:rsid w:val="00F70C9D"/>
    <w:rsid w:val="00F713B6"/>
    <w:rsid w:val="00F73E08"/>
    <w:rsid w:val="00F74CD9"/>
    <w:rsid w:val="00F74D90"/>
    <w:rsid w:val="00F80A7B"/>
    <w:rsid w:val="00F80DCC"/>
    <w:rsid w:val="00F80E5D"/>
    <w:rsid w:val="00F81E78"/>
    <w:rsid w:val="00F83916"/>
    <w:rsid w:val="00F851CE"/>
    <w:rsid w:val="00F87355"/>
    <w:rsid w:val="00F91219"/>
    <w:rsid w:val="00F91B8A"/>
    <w:rsid w:val="00F92155"/>
    <w:rsid w:val="00F92444"/>
    <w:rsid w:val="00F9393E"/>
    <w:rsid w:val="00F96FD0"/>
    <w:rsid w:val="00F9776F"/>
    <w:rsid w:val="00F97951"/>
    <w:rsid w:val="00F97A78"/>
    <w:rsid w:val="00FA0B20"/>
    <w:rsid w:val="00FA24E7"/>
    <w:rsid w:val="00FA46D6"/>
    <w:rsid w:val="00FA5EE6"/>
    <w:rsid w:val="00FA7956"/>
    <w:rsid w:val="00FB0824"/>
    <w:rsid w:val="00FB2630"/>
    <w:rsid w:val="00FB2FCB"/>
    <w:rsid w:val="00FB4C9C"/>
    <w:rsid w:val="00FB7C55"/>
    <w:rsid w:val="00FC1074"/>
    <w:rsid w:val="00FC1884"/>
    <w:rsid w:val="00FC1CB5"/>
    <w:rsid w:val="00FC319B"/>
    <w:rsid w:val="00FC371D"/>
    <w:rsid w:val="00FC5F0B"/>
    <w:rsid w:val="00FD2100"/>
    <w:rsid w:val="00FD264B"/>
    <w:rsid w:val="00FD436C"/>
    <w:rsid w:val="00FD446D"/>
    <w:rsid w:val="00FD4F2C"/>
    <w:rsid w:val="00FD6394"/>
    <w:rsid w:val="00FE0E6C"/>
    <w:rsid w:val="00FE1CDC"/>
    <w:rsid w:val="00FE31A7"/>
    <w:rsid w:val="00FE59BE"/>
    <w:rsid w:val="00FE674E"/>
    <w:rsid w:val="00FE7098"/>
    <w:rsid w:val="00FE70C3"/>
    <w:rsid w:val="00FF1084"/>
    <w:rsid w:val="00FF1A8B"/>
    <w:rsid w:val="00FF2AD9"/>
    <w:rsid w:val="00FF359F"/>
    <w:rsid w:val="00FF3DCF"/>
    <w:rsid w:val="00FF492C"/>
    <w:rsid w:val="00FF4A21"/>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7"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aliases w:val="Subsection Headings"/>
    <w:basedOn w:val="Normal"/>
    <w:next w:val="Normal"/>
    <w:link w:val="Heading2Char"/>
    <w:uiPriority w:val="1"/>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aliases w:val="Appendix Heading,Appendix 2"/>
    <w:basedOn w:val="Normal"/>
    <w:next w:val="Normal"/>
    <w:link w:val="Heading7Char"/>
    <w:qFormat/>
    <w:rsid w:val="00124A51"/>
    <w:pPr>
      <w:keepNext/>
      <w:jc w:val="center"/>
      <w:outlineLvl w:val="6"/>
    </w:pPr>
    <w:rPr>
      <w:b/>
      <w:sz w:val="20"/>
    </w:rPr>
  </w:style>
  <w:style w:type="paragraph" w:styleId="Heading8">
    <w:name w:val="heading 8"/>
    <w:aliases w:val="Appendix 3"/>
    <w:basedOn w:val="Normal"/>
    <w:next w:val="Normal"/>
    <w:link w:val="Heading8Char"/>
    <w:uiPriority w:val="7"/>
    <w:qFormat/>
    <w:rsid w:val="00124A51"/>
    <w:pPr>
      <w:keepNext/>
      <w:jc w:val="right"/>
      <w:outlineLvl w:val="7"/>
    </w:pPr>
    <w:rPr>
      <w:b/>
    </w:rPr>
  </w:style>
  <w:style w:type="paragraph" w:styleId="Heading9">
    <w:name w:val="heading 9"/>
    <w:aliases w:val="Appendix 4"/>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B2836"/>
    <w:rPr>
      <w:rFonts w:ascii="Calibri" w:hAnsi="Calibri" w:cs="Arial"/>
      <w:b/>
      <w:caps/>
      <w:sz w:val="32"/>
      <w:szCs w:val="24"/>
    </w:rPr>
  </w:style>
  <w:style w:type="character" w:customStyle="1" w:styleId="Heading2Char">
    <w:name w:val="Heading 2 Char"/>
    <w:aliases w:val="Subsection Headings Char"/>
    <w:link w:val="Heading2"/>
    <w:uiPriority w:val="1"/>
    <w:rsid w:val="001B204E"/>
    <w:rPr>
      <w:rFonts w:ascii="Calibri" w:hAnsi="Calibri" w:cs="Arial"/>
      <w:b/>
      <w:i/>
      <w:snapToGrid w:val="0"/>
      <w:sz w:val="28"/>
      <w:szCs w:val="22"/>
      <w:lang w:eastAsia="en-US"/>
    </w:rPr>
  </w:style>
  <w:style w:type="character" w:customStyle="1" w:styleId="Heading3Char">
    <w:name w:val="Heading 3 Char"/>
    <w:link w:val="Heading3"/>
    <w:rsid w:val="005002BC"/>
    <w:rPr>
      <w:rFonts w:ascii="Calibri" w:hAnsi="Calibri" w:cs="Arial"/>
      <w:sz w:val="24"/>
      <w:szCs w:val="24"/>
      <w:u w:val="single"/>
    </w:rPr>
  </w:style>
  <w:style w:type="character" w:customStyle="1" w:styleId="Heading4Char">
    <w:name w:val="Heading 4 Char"/>
    <w:basedOn w:val="DefaultParagraphFont"/>
    <w:link w:val="Heading4"/>
    <w:rsid w:val="00BB2836"/>
    <w:rPr>
      <w:rFonts w:ascii="Calibri" w:hAnsi="Calibri" w:cs="Arial"/>
      <w:b/>
      <w:bCs/>
      <w:i/>
      <w:sz w:val="26"/>
      <w:szCs w:val="28"/>
    </w:rPr>
  </w:style>
  <w:style w:type="character" w:customStyle="1" w:styleId="Heading5Char">
    <w:name w:val="Heading 5 Char"/>
    <w:basedOn w:val="DefaultParagraphFont"/>
    <w:link w:val="Heading5"/>
    <w:rsid w:val="00BB2836"/>
    <w:rPr>
      <w:rFonts w:ascii="Calibri" w:hAnsi="Calibri" w:cs="Arial"/>
      <w:b/>
      <w:bCs/>
      <w:iCs/>
      <w:sz w:val="26"/>
      <w:szCs w:val="26"/>
    </w:rPr>
  </w:style>
  <w:style w:type="character" w:customStyle="1" w:styleId="Heading6Char">
    <w:name w:val="Heading 6 Char"/>
    <w:basedOn w:val="DefaultParagraphFont"/>
    <w:link w:val="Heading6"/>
    <w:rsid w:val="00BB2836"/>
    <w:rPr>
      <w:rFonts w:ascii="Calibri" w:hAnsi="Calibri" w:cs="Arial"/>
      <w:b/>
      <w:bCs/>
      <w:i/>
      <w:sz w:val="24"/>
      <w:szCs w:val="24"/>
    </w:rPr>
  </w:style>
  <w:style w:type="character" w:customStyle="1" w:styleId="Heading7Char">
    <w:name w:val="Heading 7 Char"/>
    <w:aliases w:val="Appendix Heading Char,Appendix 2 Char"/>
    <w:basedOn w:val="DefaultParagraphFont"/>
    <w:link w:val="Heading7"/>
    <w:rsid w:val="00124A51"/>
    <w:rPr>
      <w:rFonts w:ascii="Arial" w:hAnsi="Arial"/>
      <w:b/>
      <w:snapToGrid w:val="0"/>
      <w:lang w:eastAsia="en-US"/>
    </w:rPr>
  </w:style>
  <w:style w:type="character" w:customStyle="1" w:styleId="Heading8Char">
    <w:name w:val="Heading 8 Char"/>
    <w:aliases w:val="Appendix 3 Char"/>
    <w:basedOn w:val="DefaultParagraphFont"/>
    <w:link w:val="Heading8"/>
    <w:uiPriority w:val="7"/>
    <w:rsid w:val="00124A51"/>
    <w:rPr>
      <w:b/>
      <w:snapToGrid w:val="0"/>
      <w:sz w:val="24"/>
      <w:lang w:eastAsia="en-US"/>
    </w:rPr>
  </w:style>
  <w:style w:type="character" w:customStyle="1" w:styleId="Heading9Char">
    <w:name w:val="Heading 9 Char"/>
    <w:aliases w:val="Appendix 4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Bullets Points,Styl moj,Akapit z listą1,Akapit z listą11,ES Paragraph,PBAC ES Paragraph"/>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paragraph" w:styleId="ListBullet">
    <w:name w:val="List Bullet"/>
    <w:basedOn w:val="Normal"/>
    <w:unhideWhenUsed/>
    <w:rsid w:val="00EE1996"/>
    <w:pPr>
      <w:numPr>
        <w:numId w:val="4"/>
      </w:numPr>
      <w:contextualSpacing/>
    </w:p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Char,Bullets Points Char,Styl moj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Lash Style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 H19"/>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 H19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customStyle="1" w:styleId="ExecSumBodyText">
    <w:name w:val="Exec Sum Body Text"/>
    <w:basedOn w:val="Normal"/>
    <w:link w:val="ExecSumBodyTextChar"/>
    <w:qFormat/>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7"/>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table" w:customStyle="1" w:styleId="LashStyleTable1">
    <w:name w:val="Lash Style Table1"/>
    <w:basedOn w:val="TableNormal"/>
    <w:next w:val="TableGrid"/>
    <w:uiPriority w:val="39"/>
    <w:rsid w:val="00E90AC4"/>
    <w:rPr>
      <w:rFonts w:ascii="Trebuchet MS" w:eastAsiaTheme="minorHAnsi" w:hAnsi="Trebuchet M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1,Footnote Text Char Char,Footnote Text Char2,Footnote Text Char Char1"/>
    <w:basedOn w:val="Normal"/>
    <w:link w:val="FootnoteTextChar"/>
    <w:uiPriority w:val="99"/>
    <w:unhideWhenUsed/>
    <w:rsid w:val="00BA55AC"/>
    <w:rPr>
      <w:sz w:val="20"/>
      <w:szCs w:val="20"/>
    </w:rPr>
  </w:style>
  <w:style w:type="character" w:customStyle="1" w:styleId="FootnoteTextChar">
    <w:name w:val="Footnote Text Char"/>
    <w:aliases w:val="Footnote Text Char1 Char,Footnote Text Char Char Char,Footnote Text Char2 Char,Footnote Text Char Char1 Char"/>
    <w:basedOn w:val="DefaultParagraphFont"/>
    <w:link w:val="FootnoteText"/>
    <w:uiPriority w:val="99"/>
    <w:rsid w:val="00BA55AC"/>
    <w:rPr>
      <w:rFonts w:ascii="Calibri" w:hAnsi="Calibri" w:cs="Arial"/>
    </w:rPr>
  </w:style>
  <w:style w:type="character" w:styleId="FootnoteReference">
    <w:name w:val="footnote reference"/>
    <w:basedOn w:val="DefaultParagraphFont"/>
    <w:unhideWhenUsed/>
    <w:qFormat/>
    <w:rsid w:val="00BA55AC"/>
    <w:rPr>
      <w:vertAlign w:val="superscript"/>
    </w:rPr>
  </w:style>
  <w:style w:type="paragraph" w:customStyle="1" w:styleId="BMSBodyText">
    <w:name w:val="BMS Body Text"/>
    <w:link w:val="BMSBodyTextChar"/>
    <w:qFormat/>
    <w:rsid w:val="005002BC"/>
    <w:pPr>
      <w:spacing w:after="120" w:line="264" w:lineRule="auto"/>
      <w:jc w:val="both"/>
    </w:pPr>
    <w:rPr>
      <w:rFonts w:eastAsia="SimSun"/>
      <w:color w:val="000000"/>
      <w:sz w:val="24"/>
      <w:lang w:val="en-US" w:eastAsia="en-US"/>
    </w:rPr>
  </w:style>
  <w:style w:type="character" w:customStyle="1" w:styleId="BMSBodyTextChar">
    <w:name w:val="BMS Body Text Char"/>
    <w:link w:val="BMSBodyText"/>
    <w:rsid w:val="005002BC"/>
    <w:rPr>
      <w:rFonts w:eastAsia="SimSun"/>
      <w:color w:val="000000"/>
      <w:sz w:val="24"/>
      <w:lang w:val="en-US" w:eastAsia="en-US"/>
    </w:rPr>
  </w:style>
  <w:style w:type="paragraph" w:customStyle="1" w:styleId="TableFigureFooter">
    <w:name w:val="Table/Figure Footer"/>
    <w:basedOn w:val="Normal"/>
    <w:link w:val="TableFigureFooterChar"/>
    <w:qFormat/>
    <w:rsid w:val="00885C55"/>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885C55"/>
    <w:rPr>
      <w:rFonts w:ascii="Arial Narrow" w:hAnsi="Arial Narrow" w:cs="Arial"/>
      <w:snapToGrid w:val="0"/>
      <w:sz w:val="18"/>
      <w:szCs w:val="22"/>
    </w:rPr>
  </w:style>
  <w:style w:type="paragraph" w:customStyle="1" w:styleId="Tablenotes">
    <w:name w:val="Table notes"/>
    <w:basedOn w:val="Normal"/>
    <w:link w:val="TablenotesChar"/>
    <w:uiPriority w:val="99"/>
    <w:qFormat/>
    <w:rsid w:val="00BB2836"/>
    <w:pPr>
      <w:jc w:val="left"/>
    </w:pPr>
    <w:rPr>
      <w:rFonts w:ascii="Trebuchet MS" w:hAnsi="Trebuchet MS" w:cs="Times New Roman"/>
      <w:sz w:val="16"/>
      <w:szCs w:val="20"/>
      <w:lang w:eastAsia="en-US"/>
    </w:rPr>
  </w:style>
  <w:style w:type="character" w:customStyle="1" w:styleId="TablenotesChar">
    <w:name w:val="Table notes Char"/>
    <w:basedOn w:val="DefaultParagraphFont"/>
    <w:link w:val="Tablenotes"/>
    <w:uiPriority w:val="99"/>
    <w:rsid w:val="00BB2836"/>
    <w:rPr>
      <w:rFonts w:ascii="Trebuchet MS" w:hAnsi="Trebuchet MS"/>
      <w:sz w:val="16"/>
      <w:lang w:eastAsia="en-US"/>
    </w:rPr>
  </w:style>
  <w:style w:type="paragraph" w:customStyle="1" w:styleId="TableTextHeading">
    <w:name w:val="Table Text Heading"/>
    <w:basedOn w:val="Normal"/>
    <w:uiPriority w:val="99"/>
    <w:rsid w:val="00BB2836"/>
    <w:pPr>
      <w:spacing w:before="60" w:after="60"/>
      <w:jc w:val="center"/>
    </w:pPr>
    <w:rPr>
      <w:rFonts w:ascii="Arial Bold" w:hAnsi="Arial Bold" w:cs="Times New Roman"/>
      <w:b/>
      <w:sz w:val="18"/>
      <w:szCs w:val="20"/>
    </w:rPr>
  </w:style>
  <w:style w:type="paragraph" w:customStyle="1" w:styleId="TableText1">
    <w:name w:val="TableText"/>
    <w:basedOn w:val="Normal"/>
    <w:uiPriority w:val="99"/>
    <w:qFormat/>
    <w:rsid w:val="00BB2836"/>
    <w:pPr>
      <w:spacing w:before="60" w:after="60"/>
      <w:jc w:val="left"/>
    </w:pPr>
    <w:rPr>
      <w:rFonts w:ascii="Arial" w:hAnsi="Arial" w:cs="Times New Roman"/>
      <w:sz w:val="18"/>
      <w:szCs w:val="22"/>
    </w:rPr>
  </w:style>
  <w:style w:type="paragraph" w:customStyle="1" w:styleId="V50Instructions">
    <w:name w:val="V5.0 Instructions"/>
    <w:basedOn w:val="Normal"/>
    <w:link w:val="V50InstructionsChar"/>
    <w:qFormat/>
    <w:rsid w:val="00BB2836"/>
    <w:pPr>
      <w:spacing w:before="120" w:after="160"/>
      <w:jc w:val="left"/>
    </w:pPr>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BB2836"/>
    <w:rPr>
      <w:rFonts w:asciiTheme="minorHAnsi" w:eastAsiaTheme="minorHAnsi" w:hAnsiTheme="minorHAnsi" w:cstheme="minorBidi"/>
      <w:color w:val="4BACC6" w:themeColor="accent5"/>
      <w:sz w:val="24"/>
      <w:szCs w:val="22"/>
      <w:lang w:eastAsia="en-US"/>
    </w:rPr>
  </w:style>
  <w:style w:type="paragraph" w:styleId="List3">
    <w:name w:val="List 3"/>
    <w:basedOn w:val="Normal"/>
    <w:uiPriority w:val="99"/>
    <w:unhideWhenUsed/>
    <w:rsid w:val="00BB2836"/>
    <w:pPr>
      <w:spacing w:after="160" w:line="360" w:lineRule="auto"/>
      <w:ind w:left="849" w:hanging="283"/>
      <w:contextualSpacing/>
      <w:jc w:val="left"/>
    </w:pPr>
    <w:rPr>
      <w:rFonts w:ascii="Trebuchet MS" w:hAnsi="Trebuchet MS" w:cs="Times New Roman"/>
      <w:sz w:val="22"/>
      <w:szCs w:val="20"/>
      <w:lang w:eastAsia="en-US"/>
    </w:rPr>
  </w:style>
  <w:style w:type="paragraph" w:customStyle="1" w:styleId="EndNoteBibliographyTitle">
    <w:name w:val="EndNote Bibliography Title"/>
    <w:basedOn w:val="Normal"/>
    <w:link w:val="EndNoteBibliographyTitleChar"/>
    <w:rsid w:val="00BB2836"/>
    <w:pPr>
      <w:jc w:val="center"/>
    </w:pPr>
    <w:rPr>
      <w:rFonts w:cs="Calibri"/>
      <w:noProof/>
    </w:rPr>
  </w:style>
  <w:style w:type="character" w:customStyle="1" w:styleId="EndNoteBibliographyTitleChar">
    <w:name w:val="EndNote Bibliography Title Char"/>
    <w:basedOn w:val="DefaultParagraphFont"/>
    <w:link w:val="EndNoteBibliographyTitle"/>
    <w:rsid w:val="00BB2836"/>
    <w:rPr>
      <w:rFonts w:ascii="Calibri" w:hAnsi="Calibri" w:cs="Calibri"/>
      <w:noProof/>
      <w:sz w:val="24"/>
      <w:szCs w:val="24"/>
    </w:rPr>
  </w:style>
  <w:style w:type="paragraph" w:customStyle="1" w:styleId="EndNoteBibliography">
    <w:name w:val="EndNote Bibliography"/>
    <w:basedOn w:val="Normal"/>
    <w:link w:val="EndNoteBibliographyChar"/>
    <w:rsid w:val="00BB2836"/>
    <w:rPr>
      <w:rFonts w:cs="Calibri"/>
      <w:noProof/>
    </w:rPr>
  </w:style>
  <w:style w:type="character" w:customStyle="1" w:styleId="EndNoteBibliographyChar">
    <w:name w:val="EndNote Bibliography Char"/>
    <w:basedOn w:val="DefaultParagraphFont"/>
    <w:link w:val="EndNoteBibliography"/>
    <w:rsid w:val="00BB2836"/>
    <w:rPr>
      <w:rFonts w:ascii="Calibri" w:hAnsi="Calibri" w:cs="Calibri"/>
      <w:noProof/>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BB2836"/>
    <w:pPr>
      <w:spacing w:after="160" w:line="240" w:lineRule="exact"/>
      <w:jc w:val="left"/>
    </w:pPr>
    <w:rPr>
      <w:rFonts w:ascii="Verdana" w:eastAsia="MS Mincho" w:hAnsi="Verdana" w:cs="Verdana"/>
      <w:sz w:val="20"/>
      <w:szCs w:val="20"/>
      <w:lang w:val="en-US" w:eastAsia="en-US"/>
    </w:rPr>
  </w:style>
  <w:style w:type="character" w:customStyle="1" w:styleId="text-widget">
    <w:name w:val="text-widget"/>
    <w:basedOn w:val="DefaultParagraphFont"/>
    <w:rsid w:val="00BB2836"/>
  </w:style>
  <w:style w:type="paragraph" w:customStyle="1" w:styleId="Tablenotes1">
    <w:name w:val="Tablenotes"/>
    <w:basedOn w:val="Normal"/>
    <w:link w:val="TablenotesChar0"/>
    <w:qFormat/>
    <w:rsid w:val="00BB2836"/>
    <w:pPr>
      <w:widowControl w:val="0"/>
      <w:spacing w:before="20" w:after="360" w:line="269" w:lineRule="auto"/>
      <w:contextualSpacing/>
      <w:jc w:val="left"/>
    </w:pPr>
    <w:rPr>
      <w:rFonts w:ascii="Arial Narrow" w:hAnsi="Arial Narrow"/>
      <w:snapToGrid w:val="0"/>
      <w:sz w:val="18"/>
      <w:szCs w:val="20"/>
      <w:lang w:eastAsia="en-US"/>
    </w:rPr>
  </w:style>
  <w:style w:type="character" w:customStyle="1" w:styleId="TablenotesChar0">
    <w:name w:val="Tablenotes Char"/>
    <w:basedOn w:val="DefaultParagraphFont"/>
    <w:link w:val="Tablenotes1"/>
    <w:rsid w:val="00BB2836"/>
    <w:rPr>
      <w:rFonts w:ascii="Arial Narrow" w:hAnsi="Arial Narrow" w:cs="Arial"/>
      <w:snapToGrid w:val="0"/>
      <w:sz w:val="18"/>
      <w:lang w:eastAsia="en-US"/>
    </w:rPr>
  </w:style>
  <w:style w:type="paragraph" w:customStyle="1" w:styleId="3-SubsectionHeading">
    <w:name w:val="3-Subsection Heading"/>
    <w:basedOn w:val="Heading2"/>
    <w:next w:val="Normal"/>
    <w:link w:val="3-SubsectionHeadingChar"/>
    <w:qFormat/>
    <w:rsid w:val="00BB2836"/>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BB2836"/>
    <w:rPr>
      <w:rFonts w:asciiTheme="minorHAnsi" w:eastAsiaTheme="majorEastAsia" w:hAnsiTheme="minorHAnsi" w:cstheme="majorBidi"/>
      <w:b/>
      <w:i/>
      <w:snapToGrid/>
      <w:spacing w:val="5"/>
      <w:kern w:val="28"/>
      <w:sz w:val="28"/>
      <w:szCs w:val="36"/>
      <w:lang w:eastAsia="en-US"/>
    </w:rPr>
  </w:style>
  <w:style w:type="character" w:styleId="Strong">
    <w:name w:val="Strong"/>
    <w:basedOn w:val="DefaultParagraphFont"/>
    <w:uiPriority w:val="22"/>
    <w:qFormat/>
    <w:rsid w:val="00BB2836"/>
    <w:rPr>
      <w:b/>
      <w:bCs/>
    </w:rPr>
  </w:style>
  <w:style w:type="character" w:customStyle="1" w:styleId="form-strength">
    <w:name w:val="form-strength"/>
    <w:basedOn w:val="DefaultParagraphFont"/>
    <w:rsid w:val="00BB2836"/>
  </w:style>
  <w:style w:type="numbering" w:customStyle="1" w:styleId="NoList1">
    <w:name w:val="No List1"/>
    <w:next w:val="NoList"/>
    <w:uiPriority w:val="99"/>
    <w:semiHidden/>
    <w:unhideWhenUsed/>
    <w:rsid w:val="00870F84"/>
  </w:style>
  <w:style w:type="table" w:customStyle="1" w:styleId="LashStyleTable2">
    <w:name w:val="Lash Style Table2"/>
    <w:basedOn w:val="TableNormal"/>
    <w:next w:val="TableGrid"/>
    <w:uiPriority w:val="39"/>
    <w:rsid w:val="00870F84"/>
    <w:rPr>
      <w:rFonts w:eastAsia="Calibri"/>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
    <w:name w:val="Plain Table 211"/>
    <w:basedOn w:val="TableNormal"/>
    <w:uiPriority w:val="42"/>
    <w:rsid w:val="00870F84"/>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1">
    <w:name w:val="Unresolved Mention1"/>
    <w:basedOn w:val="DefaultParagraphFont"/>
    <w:uiPriority w:val="99"/>
    <w:semiHidden/>
    <w:unhideWhenUsed/>
    <w:rsid w:val="00870F84"/>
    <w:rPr>
      <w:color w:val="605E5C"/>
      <w:shd w:val="clear" w:color="auto" w:fill="E1DFDD"/>
    </w:rPr>
  </w:style>
  <w:style w:type="table" w:customStyle="1" w:styleId="Sourcetable1">
    <w:name w:val="Source table_1"/>
    <w:basedOn w:val="TableNormal"/>
    <w:next w:val="TableGrid"/>
    <w:rsid w:val="00870F84"/>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ashStyleTable11">
    <w:name w:val="Lash Style Table11"/>
    <w:basedOn w:val="TableNormal"/>
    <w:next w:val="TableGrid"/>
    <w:uiPriority w:val="39"/>
    <w:rsid w:val="00870F84"/>
    <w:rPr>
      <w:rFonts w:ascii="Trebuchet MS" w:eastAsia="Calibri" w:hAnsi="Trebuchet M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870F84"/>
    <w:rPr>
      <w:color w:val="605E5C"/>
      <w:shd w:val="clear" w:color="auto" w:fill="E1DFDD"/>
    </w:rPr>
  </w:style>
  <w:style w:type="table" w:customStyle="1" w:styleId="TableGrid2">
    <w:name w:val="Table Grid2"/>
    <w:basedOn w:val="TableNormal"/>
    <w:next w:val="TableGrid"/>
    <w:uiPriority w:val="39"/>
    <w:rsid w:val="00870F84"/>
    <w:rPr>
      <w:rFonts w:ascii="Trebuchet MS" w:eastAsia="Calibri" w:hAnsi="Trebuchet M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HTAsimple1">
    <w:name w:val="Table HTA simple1"/>
    <w:basedOn w:val="TableNormal"/>
    <w:uiPriority w:val="99"/>
    <w:rsid w:val="00870F84"/>
    <w:rPr>
      <w:rFonts w:ascii="Calibri" w:eastAsia="Calibri" w:hAnsi="Calibri"/>
      <w:sz w:val="18"/>
      <w:szCs w:val="22"/>
      <w:lang w:val="de-DE" w:eastAsia="en-US"/>
    </w:rPr>
    <w:tblPr>
      <w:tblStyleRowBandSize w:val="1"/>
      <w:tblBorders>
        <w:top w:val="single" w:sz="4" w:space="0" w:color="auto"/>
        <w:bottom w:val="single" w:sz="4" w:space="0" w:color="auto"/>
        <w:insideH w:val="single" w:sz="6" w:space="0" w:color="auto"/>
      </w:tblBorders>
    </w:tblPr>
    <w:tcPr>
      <w:vAlign w:val="center"/>
    </w:tcPr>
    <w:tblStylePr w:type="firstRow">
      <w:pPr>
        <w:wordWrap/>
        <w:spacing w:beforeLines="0" w:before="40" w:beforeAutospacing="0" w:afterLines="0" w:after="40" w:afterAutospacing="0" w:line="240" w:lineRule="auto"/>
      </w:pPr>
      <w:rPr>
        <w:rFonts w:ascii="Calibri" w:hAnsi="Calibri"/>
        <w:b w:val="0"/>
        <w:sz w:val="18"/>
      </w:rPr>
    </w:tblStylePr>
    <w:tblStylePr w:type="band1Horz">
      <w:pPr>
        <w:wordWrap/>
        <w:spacing w:beforeLines="0" w:before="20" w:beforeAutospacing="0" w:afterLines="0" w:after="20" w:afterAutospacing="0" w:line="240" w:lineRule="auto"/>
      </w:pPr>
    </w:tblStylePr>
    <w:tblStylePr w:type="band2Horz">
      <w:pPr>
        <w:wordWrap/>
        <w:spacing w:beforeLines="0" w:before="20" w:beforeAutospacing="0" w:afterLines="0" w:after="20" w:afterAutospacing="0" w:line="240" w:lineRule="auto"/>
      </w:pPr>
    </w:tblStylePr>
  </w:style>
  <w:style w:type="table" w:customStyle="1" w:styleId="Summarybox11">
    <w:name w:val="Summary box11"/>
    <w:basedOn w:val="TableNormal"/>
    <w:next w:val="TableGrid"/>
    <w:rsid w:val="00870F84"/>
    <w:pPr>
      <w:jc w:val="both"/>
    </w:pPr>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shaded1">
    <w:name w:val="HTA Table shaded1"/>
    <w:basedOn w:val="TableNormal"/>
    <w:rsid w:val="00870F84"/>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
    <w:name w:val="HTA Table shaded"/>
    <w:basedOn w:val="TableNormal"/>
    <w:rsid w:val="00870F84"/>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751438720">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614284790">
      <w:bodyDiv w:val="1"/>
      <w:marLeft w:val="0"/>
      <w:marRight w:val="0"/>
      <w:marTop w:val="0"/>
      <w:marBottom w:val="0"/>
      <w:divBdr>
        <w:top w:val="none" w:sz="0" w:space="0" w:color="auto"/>
        <w:left w:val="none" w:sz="0" w:space="0" w:color="auto"/>
        <w:bottom w:val="none" w:sz="0" w:space="0" w:color="auto"/>
        <w:right w:val="none" w:sz="0" w:space="0" w:color="auto"/>
      </w:divBdr>
      <w:divsChild>
        <w:div w:id="1675912618">
          <w:marLeft w:val="360"/>
          <w:marRight w:val="0"/>
          <w:marTop w:val="200"/>
          <w:marBottom w:val="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Dub21</b:Tag>
    <b:SourceType>ConferenceProceedings</b:SourceType>
    <b:Guid>{94A9FFDE-99E2-452C-AD16-142F733ABA5F}</b:Guid>
    <b:Title>Comparative Efficacy and Safety of Ozanimod and Adalimumab in Patients With Moderately to Severely Active Ulcerative Colitis</b:Title>
    <b:Year>2021</b:Year>
    <b:Author>
      <b:Author>
        <b:NameList>
          <b:Person>
            <b:Last>Dubinsky</b:Last>
            <b:First>M.C.,</b:First>
            <b:Middle>Betts, K. A., Yin, L., Eren, D., Tang, W., Gupte-Singh, K.</b:Middle>
          </b:Person>
        </b:NameList>
      </b:Author>
    </b:Author>
    <b:Pages>MP050</b:Pages>
    <b:ConferenceName>UEG</b:ConferenceName>
    <b:City>Virtual</b:City>
    <b:RefOrder>5</b:RefOrder>
  </b:Source>
</b:Sources>
</file>

<file path=customXml/itemProps1.xml><?xml version="1.0" encoding="utf-8"?>
<ds:datastoreItem xmlns:ds="http://schemas.openxmlformats.org/officeDocument/2006/customXml" ds:itemID="{D62B7F64-D94D-430E-9AA1-845CDCA1A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15487</Words>
  <Characters>85666</Characters>
  <Application>Microsoft Office Word</Application>
  <DocSecurity>0</DocSecurity>
  <Lines>713</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2023-02-27T00:43:00Z</dcterms:created>
  <dcterms:modified xsi:type="dcterms:W3CDTF">2023-02-27T00:44:00Z</dcterms:modified>
</cp:coreProperties>
</file>